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color w:val="000000"/>
          <w:kern w:val="0"/>
          <w:sz w:val="36"/>
          <w:szCs w:val="36"/>
          <w:u w:val="none" w:color="auto"/>
          <w:lang w:eastAsia="zh-CN"/>
        </w:rPr>
      </w:pPr>
      <w:r>
        <w:rPr>
          <w:rFonts w:hint="eastAsia" w:ascii="楷体" w:hAnsi="楷体" w:eastAsia="楷体" w:cs="楷体"/>
          <w:b/>
          <w:bCs/>
          <w:color w:val="000000"/>
          <w:kern w:val="0"/>
          <w:sz w:val="36"/>
          <w:szCs w:val="36"/>
          <w:u w:val="none" w:color="auto"/>
          <w:lang w:eastAsia="zh-CN"/>
        </w:rPr>
        <w:t>陕西省交通医院信息系统售后运维服务项目</w:t>
      </w:r>
    </w:p>
    <w:p>
      <w:pPr>
        <w:jc w:val="center"/>
        <w:rPr>
          <w:rFonts w:hint="eastAsia" w:ascii="楷体" w:hAnsi="楷体" w:eastAsia="楷体" w:cs="楷体"/>
          <w:sz w:val="32"/>
          <w:szCs w:val="32"/>
          <w:u w:val="none" w:color="auto"/>
        </w:rPr>
      </w:pPr>
      <w:r>
        <w:rPr>
          <w:rFonts w:hint="eastAsia" w:ascii="楷体" w:hAnsi="楷体" w:eastAsia="楷体" w:cs="楷体"/>
          <w:b/>
          <w:bCs/>
          <w:color w:val="000000"/>
          <w:kern w:val="0"/>
          <w:sz w:val="32"/>
          <w:szCs w:val="32"/>
          <w:u w:val="none" w:color="auto"/>
        </w:rPr>
        <w:t>单一来源</w:t>
      </w:r>
      <w:r>
        <w:rPr>
          <w:rFonts w:hint="eastAsia" w:ascii="楷体" w:hAnsi="楷体" w:eastAsia="楷体" w:cs="楷体"/>
          <w:b/>
          <w:bCs/>
          <w:color w:val="000000"/>
          <w:kern w:val="0"/>
          <w:sz w:val="32"/>
          <w:szCs w:val="32"/>
          <w:u w:val="none" w:color="auto"/>
          <w:lang w:eastAsia="zh-CN"/>
        </w:rPr>
        <w:t>采购</w:t>
      </w:r>
      <w:r>
        <w:rPr>
          <w:rFonts w:hint="eastAsia" w:ascii="楷体" w:hAnsi="楷体" w:eastAsia="楷体" w:cs="楷体"/>
          <w:b/>
          <w:bCs/>
          <w:color w:val="000000"/>
          <w:kern w:val="0"/>
          <w:sz w:val="32"/>
          <w:szCs w:val="32"/>
          <w:u w:val="none" w:color="auto"/>
        </w:rPr>
        <w:t>征求意见公示</w:t>
      </w:r>
    </w:p>
    <w:p>
      <w:pPr>
        <w:pStyle w:val="8"/>
        <w:keepNext w:val="0"/>
        <w:keepLines w:val="0"/>
        <w:widowControl/>
        <w:suppressLineNumbers w:val="0"/>
        <w:spacing w:line="450" w:lineRule="atLeast"/>
        <w:ind w:left="0" w:firstLine="420"/>
        <w:jc w:val="left"/>
        <w:rPr>
          <w:rFonts w:hint="eastAsia" w:ascii="楷体" w:hAnsi="楷体" w:eastAsia="楷体" w:cs="楷体"/>
          <w:sz w:val="28"/>
          <w:szCs w:val="28"/>
          <w:u w:val="none" w:color="auto"/>
        </w:rPr>
      </w:pPr>
      <w:r>
        <w:rPr>
          <w:rFonts w:hint="eastAsia" w:ascii="楷体" w:hAnsi="楷体" w:eastAsia="楷体" w:cs="楷体"/>
          <w:color w:val="333333"/>
          <w:sz w:val="28"/>
          <w:szCs w:val="28"/>
          <w:u w:val="none" w:color="auto"/>
          <w:lang w:eastAsia="zh-CN"/>
        </w:rPr>
        <w:t>陕西省交通医院信息系统售后运维服务项目</w:t>
      </w:r>
      <w:r>
        <w:rPr>
          <w:rFonts w:hint="eastAsia" w:ascii="楷体" w:hAnsi="楷体" w:eastAsia="楷体" w:cs="楷体"/>
          <w:color w:val="333333"/>
          <w:sz w:val="28"/>
          <w:szCs w:val="28"/>
          <w:u w:val="none" w:color="auto"/>
        </w:rPr>
        <w:t>拟采取单一来源采购方式采购,该项目拟由</w:t>
      </w:r>
      <w:r>
        <w:rPr>
          <w:rFonts w:hint="eastAsia" w:ascii="楷体" w:hAnsi="楷体" w:eastAsia="楷体" w:cs="楷体"/>
          <w:color w:val="333333"/>
          <w:sz w:val="28"/>
          <w:szCs w:val="28"/>
          <w:highlight w:val="none"/>
          <w:u w:val="none" w:color="auto"/>
          <w:lang w:eastAsia="zh-CN"/>
        </w:rPr>
        <w:t>重庆中联信息产业有限公司</w:t>
      </w:r>
      <w:r>
        <w:rPr>
          <w:rFonts w:hint="eastAsia" w:ascii="楷体" w:hAnsi="楷体" w:eastAsia="楷体" w:cs="楷体"/>
          <w:color w:val="333333"/>
          <w:sz w:val="28"/>
          <w:szCs w:val="28"/>
          <w:u w:val="none" w:color="auto"/>
        </w:rPr>
        <w:t>承担。现将有关情况向潜在政府采购供应商广泛征求意见。征求意见期限从</w:t>
      </w:r>
      <w:r>
        <w:rPr>
          <w:rFonts w:hint="eastAsia" w:ascii="楷体" w:hAnsi="楷体" w:eastAsia="楷体" w:cs="楷体"/>
          <w:color w:val="333333"/>
          <w:sz w:val="28"/>
          <w:szCs w:val="28"/>
          <w:u w:val="none" w:color="auto"/>
          <w:lang w:eastAsia="zh-CN"/>
        </w:rPr>
        <w:t>20</w:t>
      </w:r>
      <w:r>
        <w:rPr>
          <w:rFonts w:hint="eastAsia" w:ascii="楷体" w:hAnsi="楷体" w:eastAsia="楷体" w:cs="楷体"/>
          <w:color w:val="333333"/>
          <w:sz w:val="28"/>
          <w:szCs w:val="28"/>
          <w:u w:val="none" w:color="auto"/>
          <w:lang w:val="en-US" w:eastAsia="zh-CN"/>
        </w:rPr>
        <w:t>20</w:t>
      </w:r>
      <w:r>
        <w:rPr>
          <w:rFonts w:hint="eastAsia" w:ascii="楷体" w:hAnsi="楷体" w:eastAsia="楷体" w:cs="楷体"/>
          <w:color w:val="333333"/>
          <w:sz w:val="28"/>
          <w:szCs w:val="28"/>
          <w:u w:val="none" w:color="auto"/>
          <w:lang w:eastAsia="zh-CN"/>
        </w:rPr>
        <w:t>年</w:t>
      </w:r>
      <w:r>
        <w:rPr>
          <w:rFonts w:hint="eastAsia" w:ascii="楷体" w:hAnsi="楷体" w:eastAsia="楷体" w:cs="楷体"/>
          <w:color w:val="333333"/>
          <w:sz w:val="28"/>
          <w:szCs w:val="28"/>
          <w:u w:val="none" w:color="auto"/>
          <w:lang w:val="en-US" w:eastAsia="zh-CN"/>
        </w:rPr>
        <w:t>7</w:t>
      </w:r>
      <w:r>
        <w:rPr>
          <w:rFonts w:hint="eastAsia" w:ascii="楷体" w:hAnsi="楷体" w:eastAsia="楷体" w:cs="楷体"/>
          <w:color w:val="333333"/>
          <w:sz w:val="28"/>
          <w:szCs w:val="28"/>
          <w:u w:val="none" w:color="auto"/>
          <w:lang w:eastAsia="zh-CN"/>
        </w:rPr>
        <w:t>月</w:t>
      </w:r>
      <w:r>
        <w:rPr>
          <w:rFonts w:hint="eastAsia" w:ascii="楷体" w:hAnsi="楷体" w:eastAsia="楷体" w:cs="楷体"/>
          <w:color w:val="333333"/>
          <w:sz w:val="28"/>
          <w:szCs w:val="28"/>
          <w:u w:val="none" w:color="auto"/>
          <w:lang w:val="en-US" w:eastAsia="zh-CN"/>
        </w:rPr>
        <w:t>16</w:t>
      </w:r>
      <w:r>
        <w:rPr>
          <w:rFonts w:hint="eastAsia" w:ascii="楷体" w:hAnsi="楷体" w:eastAsia="楷体" w:cs="楷体"/>
          <w:color w:val="333333"/>
          <w:sz w:val="28"/>
          <w:szCs w:val="28"/>
          <w:u w:val="none" w:color="auto"/>
          <w:lang w:eastAsia="zh-CN"/>
        </w:rPr>
        <w:t>日起至20</w:t>
      </w:r>
      <w:r>
        <w:rPr>
          <w:rFonts w:hint="eastAsia" w:ascii="楷体" w:hAnsi="楷体" w:eastAsia="楷体" w:cs="楷体"/>
          <w:color w:val="333333"/>
          <w:sz w:val="28"/>
          <w:szCs w:val="28"/>
          <w:u w:val="none" w:color="auto"/>
          <w:lang w:val="en-US" w:eastAsia="zh-CN"/>
        </w:rPr>
        <w:t>20</w:t>
      </w:r>
      <w:r>
        <w:rPr>
          <w:rFonts w:hint="eastAsia" w:ascii="楷体" w:hAnsi="楷体" w:eastAsia="楷体" w:cs="楷体"/>
          <w:color w:val="333333"/>
          <w:sz w:val="28"/>
          <w:szCs w:val="28"/>
          <w:u w:val="none" w:color="auto"/>
          <w:lang w:eastAsia="zh-CN"/>
        </w:rPr>
        <w:t>年</w:t>
      </w:r>
      <w:r>
        <w:rPr>
          <w:rFonts w:hint="eastAsia" w:ascii="楷体" w:hAnsi="楷体" w:eastAsia="楷体" w:cs="楷体"/>
          <w:color w:val="333333"/>
          <w:sz w:val="28"/>
          <w:szCs w:val="28"/>
          <w:u w:val="none" w:color="auto"/>
          <w:lang w:val="en-US" w:eastAsia="zh-CN"/>
        </w:rPr>
        <w:t>7</w:t>
      </w:r>
      <w:r>
        <w:rPr>
          <w:rFonts w:hint="eastAsia" w:ascii="楷体" w:hAnsi="楷体" w:eastAsia="楷体" w:cs="楷体"/>
          <w:color w:val="333333"/>
          <w:sz w:val="28"/>
          <w:szCs w:val="28"/>
          <w:u w:val="none" w:color="auto"/>
          <w:lang w:eastAsia="zh-CN"/>
        </w:rPr>
        <w:t>月</w:t>
      </w:r>
      <w:r>
        <w:rPr>
          <w:rFonts w:hint="eastAsia" w:ascii="楷体" w:hAnsi="楷体" w:eastAsia="楷体" w:cs="楷体"/>
          <w:color w:val="333333"/>
          <w:sz w:val="28"/>
          <w:szCs w:val="28"/>
          <w:u w:val="none" w:color="auto"/>
          <w:lang w:val="en-US" w:eastAsia="zh-CN"/>
        </w:rPr>
        <w:t>23</w:t>
      </w:r>
      <w:r>
        <w:rPr>
          <w:rFonts w:hint="eastAsia" w:ascii="楷体" w:hAnsi="楷体" w:eastAsia="楷体" w:cs="楷体"/>
          <w:color w:val="333333"/>
          <w:sz w:val="28"/>
          <w:szCs w:val="28"/>
          <w:u w:val="none" w:color="auto"/>
          <w:lang w:eastAsia="zh-CN"/>
        </w:rPr>
        <w:t>日</w:t>
      </w:r>
      <w:r>
        <w:rPr>
          <w:rFonts w:hint="eastAsia" w:ascii="楷体" w:hAnsi="楷体" w:eastAsia="楷体" w:cs="楷体"/>
          <w:color w:val="333333"/>
          <w:sz w:val="28"/>
          <w:szCs w:val="28"/>
          <w:u w:val="none" w:color="auto"/>
        </w:rPr>
        <w:t>止。</w:t>
      </w:r>
    </w:p>
    <w:p>
      <w:pPr>
        <w:pStyle w:val="8"/>
        <w:keepNext w:val="0"/>
        <w:keepLines w:val="0"/>
        <w:pageBreakBefore w:val="0"/>
        <w:widowControl/>
        <w:suppressLineNumbers w:val="0"/>
        <w:kinsoku/>
        <w:wordWrap w:val="0"/>
        <w:overflowPunct/>
        <w:topLinePunct/>
        <w:autoSpaceDE/>
        <w:autoSpaceDN/>
        <w:bidi w:val="0"/>
        <w:adjustRightInd/>
        <w:snapToGrid/>
        <w:spacing w:line="450" w:lineRule="atLeast"/>
        <w:ind w:left="0" w:firstLine="420"/>
        <w:jc w:val="left"/>
        <w:textAlignment w:val="auto"/>
        <w:rPr>
          <w:rFonts w:hint="eastAsia" w:ascii="楷体" w:hAnsi="楷体" w:eastAsia="楷体" w:cs="楷体"/>
          <w:sz w:val="28"/>
          <w:szCs w:val="28"/>
          <w:highlight w:val="none"/>
          <w:u w:val="none" w:color="auto"/>
        </w:rPr>
      </w:pPr>
      <w:r>
        <w:rPr>
          <w:rFonts w:hint="eastAsia" w:ascii="楷体" w:hAnsi="楷体" w:eastAsia="楷体" w:cs="楷体"/>
          <w:color w:val="333333"/>
          <w:sz w:val="28"/>
          <w:szCs w:val="28"/>
          <w:u w:val="none" w:color="auto"/>
        </w:rPr>
        <w:t>潜在政府采购供应商对公示内容有异议的，请于公示期内以实名书面（包括联系人、地址、联系电话）形式将意见反馈至</w:t>
      </w:r>
      <w:r>
        <w:rPr>
          <w:rFonts w:hint="eastAsia" w:ascii="楷体" w:hAnsi="楷体" w:eastAsia="楷体" w:cs="楷体"/>
          <w:color w:val="333333"/>
          <w:sz w:val="28"/>
          <w:szCs w:val="28"/>
          <w:u w:val="none" w:color="auto"/>
          <w:lang w:eastAsia="zh-CN"/>
        </w:rPr>
        <w:t>陕西省交通医院</w:t>
      </w:r>
      <w:r>
        <w:rPr>
          <w:rFonts w:hint="eastAsia" w:ascii="楷体" w:hAnsi="楷体" w:eastAsia="楷体" w:cs="楷体"/>
          <w:color w:val="333333"/>
          <w:sz w:val="28"/>
          <w:szCs w:val="28"/>
          <w:u w:val="none" w:color="auto"/>
        </w:rPr>
        <w:t>（地址</w:t>
      </w:r>
      <w:r>
        <w:rPr>
          <w:rFonts w:hint="eastAsia" w:ascii="楷体" w:hAnsi="楷体" w:eastAsia="楷体" w:cs="楷体"/>
          <w:color w:val="333333"/>
          <w:sz w:val="28"/>
          <w:szCs w:val="28"/>
          <w:u w:val="none" w:color="auto"/>
          <w:lang w:eastAsia="zh-CN"/>
        </w:rPr>
        <w:t>：西安市碑林区大学南路276号，</w:t>
      </w:r>
      <w:r>
        <w:rPr>
          <w:rFonts w:hint="eastAsia" w:ascii="楷体" w:hAnsi="楷体" w:eastAsia="楷体" w:cs="楷体"/>
          <w:color w:val="333333"/>
          <w:sz w:val="28"/>
          <w:szCs w:val="28"/>
          <w:highlight w:val="none"/>
          <w:u w:val="none" w:color="auto"/>
        </w:rPr>
        <w:t>联系电话：</w:t>
      </w:r>
      <w:r>
        <w:rPr>
          <w:rFonts w:hint="eastAsia" w:ascii="楷体" w:hAnsi="楷体" w:eastAsia="楷体" w:cs="楷体"/>
          <w:color w:val="333333"/>
          <w:sz w:val="28"/>
          <w:szCs w:val="28"/>
          <w:highlight w:val="none"/>
          <w:u w:val="none" w:color="auto"/>
          <w:lang w:eastAsia="zh-CN"/>
        </w:rPr>
        <w:t>029-88483079</w:t>
      </w:r>
      <w:r>
        <w:rPr>
          <w:rFonts w:hint="eastAsia" w:ascii="楷体" w:hAnsi="楷体" w:eastAsia="楷体" w:cs="楷体"/>
          <w:color w:val="333333"/>
          <w:sz w:val="28"/>
          <w:szCs w:val="28"/>
          <w:highlight w:val="none"/>
          <w:u w:val="none" w:color="auto"/>
        </w:rPr>
        <w:t>）。</w:t>
      </w:r>
    </w:p>
    <w:p>
      <w:pPr>
        <w:pStyle w:val="8"/>
        <w:keepNext w:val="0"/>
        <w:keepLines w:val="0"/>
        <w:widowControl/>
        <w:suppressLineNumbers w:val="0"/>
        <w:spacing w:line="450" w:lineRule="atLeast"/>
        <w:ind w:left="0" w:firstLine="420"/>
        <w:jc w:val="left"/>
        <w:rPr>
          <w:rFonts w:hint="eastAsia" w:ascii="楷体" w:hAnsi="楷体" w:eastAsia="楷体" w:cs="楷体"/>
          <w:sz w:val="28"/>
          <w:szCs w:val="28"/>
        </w:rPr>
      </w:pPr>
      <w:r>
        <w:rPr>
          <w:rFonts w:hint="eastAsia" w:ascii="楷体" w:hAnsi="楷体" w:eastAsia="楷体" w:cs="楷体"/>
          <w:color w:val="333333"/>
          <w:sz w:val="28"/>
          <w:szCs w:val="28"/>
        </w:rPr>
        <w:t> </w:t>
      </w:r>
    </w:p>
    <w:p>
      <w:pPr>
        <w:pStyle w:val="8"/>
        <w:keepNext w:val="0"/>
        <w:keepLines w:val="0"/>
        <w:widowControl/>
        <w:suppressLineNumbers w:val="0"/>
        <w:spacing w:line="450" w:lineRule="atLeast"/>
        <w:ind w:left="0" w:firstLine="420"/>
        <w:jc w:val="right"/>
        <w:rPr>
          <w:rFonts w:hint="eastAsia" w:ascii="楷体" w:hAnsi="楷体" w:eastAsia="楷体" w:cs="楷体"/>
          <w:sz w:val="28"/>
          <w:szCs w:val="28"/>
        </w:rPr>
      </w:pPr>
      <w:r>
        <w:rPr>
          <w:rFonts w:hint="eastAsia" w:ascii="楷体" w:hAnsi="楷体" w:eastAsia="楷体" w:cs="楷体"/>
          <w:color w:val="333333"/>
          <w:sz w:val="28"/>
          <w:szCs w:val="28"/>
        </w:rPr>
        <w:t>20</w:t>
      </w:r>
      <w:r>
        <w:rPr>
          <w:rFonts w:hint="eastAsia" w:ascii="楷体" w:hAnsi="楷体" w:eastAsia="楷体" w:cs="楷体"/>
          <w:color w:val="333333"/>
          <w:sz w:val="28"/>
          <w:szCs w:val="28"/>
          <w:lang w:val="en-US" w:eastAsia="zh-CN"/>
        </w:rPr>
        <w:t>20</w:t>
      </w:r>
      <w:r>
        <w:rPr>
          <w:rFonts w:hint="eastAsia" w:ascii="楷体" w:hAnsi="楷体" w:eastAsia="楷体" w:cs="楷体"/>
          <w:color w:val="333333"/>
          <w:sz w:val="28"/>
          <w:szCs w:val="28"/>
        </w:rPr>
        <w:t>年</w:t>
      </w:r>
      <w:r>
        <w:rPr>
          <w:rFonts w:hint="eastAsia" w:ascii="楷体" w:hAnsi="楷体" w:eastAsia="楷体" w:cs="楷体"/>
          <w:color w:val="333333"/>
          <w:sz w:val="28"/>
          <w:szCs w:val="28"/>
          <w:lang w:val="en-US" w:eastAsia="zh-CN"/>
        </w:rPr>
        <w:t>7</w:t>
      </w:r>
      <w:r>
        <w:rPr>
          <w:rFonts w:hint="eastAsia" w:ascii="楷体" w:hAnsi="楷体" w:eastAsia="楷体" w:cs="楷体"/>
          <w:color w:val="333333"/>
          <w:sz w:val="28"/>
          <w:szCs w:val="28"/>
        </w:rPr>
        <w:t>月</w:t>
      </w:r>
      <w:r>
        <w:rPr>
          <w:rFonts w:hint="eastAsia" w:ascii="楷体" w:hAnsi="楷体" w:eastAsia="楷体" w:cs="楷体"/>
          <w:color w:val="333333"/>
          <w:sz w:val="28"/>
          <w:szCs w:val="28"/>
          <w:lang w:val="en-US" w:eastAsia="zh-CN"/>
        </w:rPr>
        <w:t>16</w:t>
      </w:r>
      <w:bookmarkStart w:id="0" w:name="_GoBack"/>
      <w:bookmarkEnd w:id="0"/>
      <w:r>
        <w:rPr>
          <w:rFonts w:hint="eastAsia" w:ascii="楷体" w:hAnsi="楷体" w:eastAsia="楷体" w:cs="楷体"/>
          <w:color w:val="333333"/>
          <w:sz w:val="28"/>
          <w:szCs w:val="28"/>
        </w:rPr>
        <w:t>日</w:t>
      </w:r>
    </w:p>
    <w:p>
      <w:pPr>
        <w:pStyle w:val="8"/>
        <w:keepNext w:val="0"/>
        <w:keepLines w:val="0"/>
        <w:widowControl/>
        <w:suppressLineNumbers w:val="0"/>
        <w:spacing w:line="450" w:lineRule="atLeast"/>
        <w:ind w:left="0" w:firstLine="420"/>
        <w:jc w:val="left"/>
      </w:pPr>
      <w:r>
        <w:rPr>
          <w:rFonts w:hint="eastAsia" w:ascii="微软雅黑" w:hAnsi="微软雅黑" w:eastAsia="微软雅黑" w:cs="微软雅黑"/>
          <w:color w:val="333333"/>
          <w:sz w:val="21"/>
          <w:szCs w:val="21"/>
        </w:rPr>
        <w:t> </w:t>
      </w:r>
    </w:p>
    <w:p>
      <w:pPr>
        <w:pStyle w:val="8"/>
        <w:keepNext w:val="0"/>
        <w:keepLines w:val="0"/>
        <w:widowControl/>
        <w:suppressLineNumbers w:val="0"/>
        <w:spacing w:line="450" w:lineRule="atLeast"/>
        <w:ind w:left="0" w:firstLine="420"/>
        <w:jc w:val="left"/>
        <w:rPr>
          <w:rFonts w:hint="eastAsia" w:ascii="楷体" w:hAnsi="楷体" w:eastAsia="楷体" w:cs="楷体"/>
          <w:sz w:val="28"/>
          <w:szCs w:val="28"/>
        </w:rPr>
        <w:sectPr>
          <w:headerReference r:id="rId3" w:type="default"/>
          <w:footerReference r:id="rId4" w:type="even"/>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312" w:charSpace="0"/>
        </w:sectPr>
      </w:pPr>
      <w:r>
        <w:rPr>
          <w:rFonts w:hint="eastAsia" w:ascii="楷体" w:hAnsi="楷体" w:eastAsia="楷体" w:cs="楷体"/>
          <w:color w:val="000000"/>
          <w:sz w:val="28"/>
          <w:szCs w:val="28"/>
        </w:rPr>
        <w:t>附：专家论证意见及专家姓名、工作单位</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center"/>
        <w:textAlignment w:val="auto"/>
        <w:outlineLvl w:val="9"/>
        <w:rPr>
          <w:rFonts w:hint="eastAsia" w:ascii="楷体" w:hAnsi="楷体" w:eastAsia="楷体" w:cs="楷体"/>
          <w:b/>
          <w:bCs/>
          <w:color w:val="000000"/>
          <w:kern w:val="0"/>
          <w:sz w:val="44"/>
          <w:szCs w:val="44"/>
          <w:lang w:val="zh-CN"/>
        </w:rPr>
      </w:pPr>
      <w:r>
        <w:rPr>
          <w:rFonts w:hint="eastAsia" w:ascii="楷体" w:hAnsi="楷体" w:eastAsia="楷体" w:cs="楷体"/>
          <w:b/>
          <w:bCs/>
          <w:color w:val="000000"/>
          <w:kern w:val="0"/>
          <w:sz w:val="44"/>
          <w:szCs w:val="44"/>
          <w:lang w:val="zh-CN"/>
        </w:rPr>
        <w:t>单一来源采购专家论证意见表</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right"/>
        <w:textAlignment w:val="auto"/>
        <w:outlineLvl w:val="9"/>
        <w:rPr>
          <w:rFonts w:hint="eastAsia" w:ascii="楷体" w:hAnsi="楷体" w:eastAsia="楷体" w:cs="楷体"/>
          <w:b/>
          <w:bCs/>
          <w:color w:val="000000"/>
          <w:kern w:val="0"/>
          <w:sz w:val="24"/>
          <w:u w:val="none" w:color="auto"/>
          <w:lang w:val="zh-CN"/>
        </w:rPr>
      </w:pPr>
      <w:r>
        <w:rPr>
          <w:rFonts w:hint="eastAsia" w:ascii="楷体" w:hAnsi="楷体" w:eastAsia="楷体" w:cs="楷体"/>
          <w:color w:val="000000"/>
          <w:kern w:val="0"/>
          <w:sz w:val="24"/>
          <w:u w:val="none" w:color="auto"/>
          <w:lang w:val="zh-CN"/>
        </w:rPr>
        <w:t>时间：20</w:t>
      </w:r>
      <w:r>
        <w:rPr>
          <w:rFonts w:hint="eastAsia" w:ascii="楷体" w:hAnsi="楷体" w:eastAsia="楷体" w:cs="楷体"/>
          <w:color w:val="000000"/>
          <w:kern w:val="0"/>
          <w:sz w:val="24"/>
          <w:u w:val="none" w:color="auto"/>
          <w:lang w:val="en-US" w:eastAsia="zh-CN"/>
        </w:rPr>
        <w:t>20</w:t>
      </w:r>
      <w:r>
        <w:rPr>
          <w:rFonts w:hint="eastAsia" w:ascii="楷体" w:hAnsi="楷体" w:eastAsia="楷体" w:cs="楷体"/>
          <w:color w:val="000000"/>
          <w:kern w:val="0"/>
          <w:sz w:val="24"/>
          <w:u w:val="none" w:color="auto"/>
          <w:lang w:val="zh-CN"/>
        </w:rPr>
        <w:t>年</w:t>
      </w:r>
      <w:r>
        <w:rPr>
          <w:rFonts w:hint="eastAsia" w:ascii="楷体" w:hAnsi="楷体" w:eastAsia="楷体" w:cs="楷体"/>
          <w:color w:val="000000"/>
          <w:kern w:val="0"/>
          <w:sz w:val="24"/>
          <w:u w:val="none" w:color="auto"/>
          <w:lang w:val="en-US" w:eastAsia="zh-CN"/>
        </w:rPr>
        <w:t>7</w:t>
      </w:r>
      <w:r>
        <w:rPr>
          <w:rFonts w:hint="eastAsia" w:ascii="楷体" w:hAnsi="楷体" w:eastAsia="楷体" w:cs="楷体"/>
          <w:color w:val="000000"/>
          <w:kern w:val="0"/>
          <w:sz w:val="24"/>
          <w:u w:val="none" w:color="auto"/>
          <w:lang w:val="zh-CN"/>
        </w:rPr>
        <w:t>月</w:t>
      </w:r>
      <w:r>
        <w:rPr>
          <w:rFonts w:hint="eastAsia" w:ascii="楷体" w:hAnsi="楷体" w:eastAsia="楷体" w:cs="楷体"/>
          <w:color w:val="000000"/>
          <w:kern w:val="0"/>
          <w:sz w:val="24"/>
          <w:u w:val="none" w:color="auto"/>
          <w:lang w:val="en-US" w:eastAsia="zh-CN"/>
        </w:rPr>
        <w:t>16</w:t>
      </w:r>
      <w:r>
        <w:rPr>
          <w:rFonts w:hint="eastAsia" w:ascii="楷体" w:hAnsi="楷体" w:eastAsia="楷体" w:cs="楷体"/>
          <w:color w:val="000000"/>
          <w:kern w:val="0"/>
          <w:sz w:val="24"/>
          <w:u w:val="none" w:color="auto"/>
          <w:lang w:val="zh-CN"/>
        </w:rPr>
        <w:t>日</w:t>
      </w:r>
    </w:p>
    <w:tbl>
      <w:tblPr>
        <w:tblStyle w:val="9"/>
        <w:tblW w:w="8820" w:type="dxa"/>
        <w:tblInd w:w="10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1260"/>
        <w:gridCol w:w="1440"/>
        <w:gridCol w:w="3240"/>
        <w:gridCol w:w="1080"/>
        <w:gridCol w:w="1800"/>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2" w:hRule="atLeast"/>
        </w:trPr>
        <w:tc>
          <w:tcPr>
            <w:tcW w:w="126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rPr>
              <w:t>预算单位</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u w:val="none" w:color="auto"/>
                <w:lang w:eastAsia="zh-CN"/>
              </w:rPr>
            </w:pPr>
            <w:r>
              <w:rPr>
                <w:rFonts w:hint="eastAsia" w:ascii="楷体" w:hAnsi="楷体" w:eastAsia="楷体" w:cs="楷体"/>
                <w:sz w:val="22"/>
                <w:szCs w:val="22"/>
                <w:u w:val="none" w:color="auto"/>
                <w:lang w:eastAsia="zh-CN"/>
              </w:rPr>
              <w:t>陕西省交通医院</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90" w:hRule="atLeast"/>
        </w:trPr>
        <w:tc>
          <w:tcPr>
            <w:tcW w:w="126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rPr>
              <w:t>使用单位</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u w:val="none" w:color="auto"/>
                <w:lang w:eastAsia="zh-CN"/>
              </w:rPr>
            </w:pPr>
            <w:r>
              <w:rPr>
                <w:rFonts w:hint="eastAsia" w:ascii="楷体" w:hAnsi="楷体" w:eastAsia="楷体" w:cs="楷体"/>
                <w:sz w:val="22"/>
                <w:szCs w:val="22"/>
                <w:u w:val="none" w:color="auto"/>
                <w:lang w:eastAsia="zh-CN"/>
              </w:rPr>
              <w:t>陕西省交通医院</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97" w:hRule="atLeast"/>
        </w:trPr>
        <w:tc>
          <w:tcPr>
            <w:tcW w:w="126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rPr>
              <w:t>项目名称</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lang w:eastAsia="zh-CN"/>
              </w:rPr>
              <w:t>陕西省交通医院信息系统售后运维服务项目</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16" w:hRule="atLeast"/>
        </w:trPr>
        <w:tc>
          <w:tcPr>
            <w:tcW w:w="126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rPr>
              <w:t>项目金额</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u w:val="none" w:color="auto"/>
                <w:lang w:val="en-US" w:eastAsia="zh-CN"/>
              </w:rPr>
            </w:pPr>
            <w:r>
              <w:rPr>
                <w:rFonts w:hint="eastAsia" w:ascii="楷体" w:hAnsi="楷体" w:eastAsia="楷体" w:cs="楷体"/>
                <w:sz w:val="22"/>
                <w:szCs w:val="22"/>
                <w:u w:val="none" w:color="auto"/>
                <w:lang w:val="en-US" w:eastAsia="zh-CN"/>
              </w:rPr>
              <w:t>35万元</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784" w:hRule="atLeast"/>
        </w:trPr>
        <w:tc>
          <w:tcPr>
            <w:tcW w:w="1260" w:type="dxa"/>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专家1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论证意见</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采购人使用的医院信息系统中包括药学管理系统均由重庆中联信息产业有限责任公司提供，本次采购的售后运维服务是为保障原采购的软件、硬件系统的基础。</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lang w:val="en-US" w:eastAsia="zh-CN"/>
              </w:rPr>
            </w:pPr>
            <w:r>
              <w:rPr>
                <w:rFonts w:hint="eastAsia" w:ascii="楷体" w:hAnsi="楷体" w:eastAsia="楷体" w:cs="楷体"/>
                <w:sz w:val="22"/>
                <w:szCs w:val="22"/>
                <w:lang w:val="en-US" w:eastAsia="zh-CN"/>
              </w:rPr>
              <w:t>技术上其有唯一性，故同意以单一来源方式向重庆中联信息产业有限责任公司进行采购</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专家姓名</w:t>
            </w:r>
          </w:p>
        </w:tc>
        <w:tc>
          <w:tcPr>
            <w:tcW w:w="32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张永进</w:t>
            </w:r>
          </w:p>
        </w:tc>
        <w:tc>
          <w:tcPr>
            <w:tcW w:w="10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职 称</w:t>
            </w:r>
          </w:p>
        </w:tc>
        <w:tc>
          <w:tcPr>
            <w:tcW w:w="180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高工</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32"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工作单位</w:t>
            </w:r>
          </w:p>
        </w:tc>
        <w:tc>
          <w:tcPr>
            <w:tcW w:w="6120"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楷体" w:hAnsi="楷体" w:eastAsia="楷体" w:cs="楷体"/>
                <w:sz w:val="22"/>
                <w:szCs w:val="22"/>
                <w:lang w:val="en-US" w:eastAsia="zh-CN"/>
              </w:rPr>
            </w:pPr>
            <w:r>
              <w:rPr>
                <w:rFonts w:hint="eastAsia" w:ascii="楷体" w:hAnsi="楷体" w:eastAsia="楷体" w:cs="楷体"/>
                <w:sz w:val="22"/>
                <w:szCs w:val="22"/>
                <w:lang w:val="en-US" w:eastAsia="zh-CN"/>
              </w:rPr>
              <w:t>西安理工大学</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58" w:hRule="atLeast"/>
        </w:trPr>
        <w:tc>
          <w:tcPr>
            <w:tcW w:w="1260" w:type="dxa"/>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专家2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论证意见</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本项目是元医院信息平台的运维项目《政府采购法》第三十一条规定，为保证与原有项目的一致性和服务配套性。</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lang w:val="en-US" w:eastAsia="zh-CN"/>
              </w:rPr>
            </w:pPr>
            <w:r>
              <w:rPr>
                <w:rFonts w:hint="eastAsia" w:ascii="楷体" w:hAnsi="楷体" w:eastAsia="楷体" w:cs="楷体"/>
                <w:sz w:val="22"/>
                <w:szCs w:val="22"/>
                <w:lang w:val="en-US" w:eastAsia="zh-CN"/>
              </w:rPr>
              <w:t>建议按政府采购的单一来源方式进行采购，由重庆中联信息产业有限责任公司负责实施。</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62"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专家姓名</w:t>
            </w:r>
          </w:p>
        </w:tc>
        <w:tc>
          <w:tcPr>
            <w:tcW w:w="32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王波</w:t>
            </w:r>
          </w:p>
        </w:tc>
        <w:tc>
          <w:tcPr>
            <w:tcW w:w="10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职 称</w:t>
            </w:r>
          </w:p>
        </w:tc>
        <w:tc>
          <w:tcPr>
            <w:tcW w:w="180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高工</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56"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工作单位</w:t>
            </w:r>
          </w:p>
        </w:tc>
        <w:tc>
          <w:tcPr>
            <w:tcW w:w="6120"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楷体" w:hAnsi="楷体" w:eastAsia="楷体" w:cs="楷体"/>
                <w:sz w:val="22"/>
                <w:szCs w:val="22"/>
                <w:lang w:val="en-US" w:eastAsia="zh-CN"/>
              </w:rPr>
            </w:pPr>
            <w:r>
              <w:rPr>
                <w:rFonts w:hint="eastAsia" w:ascii="楷体" w:hAnsi="楷体" w:eastAsia="楷体" w:cs="楷体"/>
                <w:sz w:val="22"/>
                <w:szCs w:val="22"/>
                <w:lang w:val="en-US" w:eastAsia="zh-CN"/>
              </w:rPr>
              <w:t>陕西省专家库</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746" w:hRule="atLeast"/>
        </w:trPr>
        <w:tc>
          <w:tcPr>
            <w:tcW w:w="1260" w:type="dxa"/>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专家3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论证意见</w:t>
            </w:r>
          </w:p>
        </w:tc>
        <w:tc>
          <w:tcPr>
            <w:tcW w:w="7560" w:type="dxa"/>
            <w:gridSpan w:val="4"/>
            <w:tcBorders>
              <w:tl2br w:val="nil"/>
              <w:tr2bl w:val="nil"/>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textAlignment w:val="auto"/>
              <w:rPr>
                <w:rFonts w:hint="default" w:ascii="楷体" w:hAnsi="楷体" w:eastAsia="楷体" w:cs="楷体"/>
                <w:sz w:val="22"/>
                <w:szCs w:val="22"/>
                <w:lang w:val="en-US" w:eastAsia="zh-CN"/>
              </w:rPr>
            </w:pPr>
            <w:r>
              <w:rPr>
                <w:rFonts w:hint="eastAsia" w:ascii="楷体" w:hAnsi="楷体" w:eastAsia="楷体" w:cs="楷体"/>
                <w:sz w:val="22"/>
                <w:szCs w:val="22"/>
                <w:lang w:val="en-US" w:eastAsia="zh-CN"/>
              </w:rPr>
              <w:t>本系统由重庆中联信息产业有限责任公司研发并投入使用已有10年，经过全年使用不断对系统的完善，新增功能，全年维护，对系统功能有强大的支持力度，使用单位对其服务满意，该系统由于是原单位单开发、建设，并一直进行维护，运营效果良好，对系统非常熟悉，双方配合默切，其它单位难以替代，考虑到项目的实际使用情况及现状，建议本系统售后服务及运维服务作为单一来源采购，仍有重庆中联信息产业有限责任公司承担此项工作。</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67"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rPr>
            </w:pPr>
            <w:r>
              <w:rPr>
                <w:rFonts w:hint="eastAsia" w:ascii="楷体" w:hAnsi="楷体" w:eastAsia="楷体" w:cs="楷体"/>
                <w:sz w:val="22"/>
                <w:szCs w:val="22"/>
                <w:lang w:eastAsia="zh-CN"/>
              </w:rPr>
              <w:t>专家姓名</w:t>
            </w:r>
          </w:p>
        </w:tc>
        <w:tc>
          <w:tcPr>
            <w:tcW w:w="32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李志俊</w:t>
            </w:r>
          </w:p>
        </w:tc>
        <w:tc>
          <w:tcPr>
            <w:tcW w:w="10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eastAsia="zh-CN"/>
              </w:rPr>
              <w:t>职 称</w:t>
            </w:r>
          </w:p>
        </w:tc>
        <w:tc>
          <w:tcPr>
            <w:tcW w:w="180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高工</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633"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rPr>
            </w:pPr>
            <w:r>
              <w:rPr>
                <w:rFonts w:hint="eastAsia" w:ascii="楷体" w:hAnsi="楷体" w:eastAsia="楷体" w:cs="楷体"/>
                <w:sz w:val="22"/>
                <w:szCs w:val="22"/>
                <w:lang w:eastAsia="zh-CN"/>
              </w:rPr>
              <w:t>工作单位</w:t>
            </w:r>
          </w:p>
        </w:tc>
        <w:tc>
          <w:tcPr>
            <w:tcW w:w="6120"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楷体" w:hAnsi="楷体" w:eastAsia="楷体" w:cs="楷体"/>
                <w:sz w:val="22"/>
                <w:szCs w:val="22"/>
                <w:lang w:val="en-US" w:eastAsia="zh-CN"/>
              </w:rPr>
            </w:pPr>
            <w:r>
              <w:rPr>
                <w:rFonts w:hint="eastAsia" w:ascii="楷体" w:hAnsi="楷体" w:eastAsia="楷体" w:cs="楷体"/>
                <w:sz w:val="22"/>
                <w:szCs w:val="22"/>
                <w:lang w:val="en-US" w:eastAsia="zh-CN"/>
              </w:rPr>
              <w:t>长安大学</w:t>
            </w:r>
          </w:p>
        </w:tc>
      </w:tr>
    </w:tbl>
    <w:p>
      <w:pPr>
        <w:rPr>
          <w:rFonts w:hint="eastAsia" w:ascii="楷体" w:hAnsi="楷体" w:eastAsia="楷体" w:cs="楷体"/>
          <w:b/>
          <w:sz w:val="30"/>
          <w:szCs w:val="30"/>
          <w:lang w:val="en-US" w:eastAsia="zh-CN"/>
        </w:rPr>
      </w:pPr>
      <w:r>
        <w:rPr>
          <w:rFonts w:hint="eastAsia" w:ascii="楷体" w:hAnsi="楷体" w:eastAsia="楷体" w:cs="楷体"/>
          <w:b/>
          <w:sz w:val="30"/>
          <w:szCs w:val="30"/>
          <w:lang w:val="en-US" w:eastAsia="zh-CN"/>
        </w:rPr>
        <w:br w:type="page"/>
      </w:r>
    </w:p>
    <w:p>
      <w:pPr>
        <w:rPr>
          <w:rFonts w:hint="eastAsia"/>
          <w:lang w:val="en-US" w:eastAsia="zh-CN"/>
        </w:rPr>
      </w:pPr>
      <w:r>
        <w:rPr>
          <w:rFonts w:hint="eastAsia"/>
          <w:lang w:val="en-US" w:eastAsia="zh-CN"/>
        </w:rPr>
        <w:drawing>
          <wp:inline distT="0" distB="0" distL="114300" distR="114300">
            <wp:extent cx="5264150" cy="7656830"/>
            <wp:effectExtent l="0" t="0" r="12700" b="1270"/>
            <wp:docPr id="1" name="图片 1" descr="张永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张永进"/>
                    <pic:cNvPicPr>
                      <a:picLocks noChangeAspect="1"/>
                    </pic:cNvPicPr>
                  </pic:nvPicPr>
                  <pic:blipFill>
                    <a:blip r:embed="rId6"/>
                    <a:stretch>
                      <a:fillRect/>
                    </a:stretch>
                  </pic:blipFill>
                  <pic:spPr>
                    <a:xfrm>
                      <a:off x="0" y="0"/>
                      <a:ext cx="5264150" cy="7656830"/>
                    </a:xfrm>
                    <a:prstGeom prst="rect">
                      <a:avLst/>
                    </a:prstGeom>
                  </pic:spPr>
                </pic:pic>
              </a:graphicData>
            </a:graphic>
          </wp:inline>
        </w:drawing>
      </w:r>
    </w:p>
    <w:p>
      <w:pPr>
        <w:rPr>
          <w:rFonts w:hint="eastAsia"/>
          <w:lang w:val="en-US" w:eastAsia="zh-CN"/>
        </w:rPr>
      </w:pPr>
    </w:p>
    <w:p>
      <w:pPr>
        <w:rPr>
          <w:rFonts w:hint="eastAsia"/>
          <w:lang w:val="en-US" w:eastAsia="zh-CN"/>
        </w:rPr>
      </w:pPr>
    </w:p>
    <w:p>
      <w:pPr>
        <w:rPr>
          <w:rFonts w:hint="eastAsia"/>
          <w:lang w:val="en-US" w:eastAsia="zh-CN"/>
        </w:rPr>
      </w:pPr>
    </w:p>
    <w:p>
      <w:pPr>
        <w:pStyle w:val="2"/>
        <w:numPr>
          <w:ilvl w:val="3"/>
          <w:numId w:val="0"/>
        </w:numPr>
        <w:rPr>
          <w:rFonts w:hint="eastAsia"/>
          <w:lang w:val="en-US" w:eastAsia="zh-CN"/>
        </w:rPr>
      </w:pPr>
      <w:r>
        <w:rPr>
          <w:rFonts w:hint="eastAsia"/>
          <w:lang w:val="en-US" w:eastAsia="zh-CN"/>
        </w:rPr>
        <w:drawing>
          <wp:inline distT="0" distB="0" distL="114300" distR="114300">
            <wp:extent cx="5262245" cy="7792085"/>
            <wp:effectExtent l="0" t="0" r="14605" b="18415"/>
            <wp:docPr id="2" name="图片 2" descr="王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王波"/>
                    <pic:cNvPicPr>
                      <a:picLocks noChangeAspect="1"/>
                    </pic:cNvPicPr>
                  </pic:nvPicPr>
                  <pic:blipFill>
                    <a:blip r:embed="rId7"/>
                    <a:stretch>
                      <a:fillRect/>
                    </a:stretch>
                  </pic:blipFill>
                  <pic:spPr>
                    <a:xfrm>
                      <a:off x="0" y="0"/>
                      <a:ext cx="5262245" cy="7792085"/>
                    </a:xfrm>
                    <a:prstGeom prst="rect">
                      <a:avLst/>
                    </a:prstGeom>
                  </pic:spPr>
                </pic:pic>
              </a:graphicData>
            </a:graphic>
          </wp:inline>
        </w:drawing>
      </w:r>
    </w:p>
    <w:p>
      <w:pPr>
        <w:rPr>
          <w:rFonts w:hint="eastAsia"/>
          <w:lang w:val="en-US" w:eastAsia="zh-CN"/>
        </w:rPr>
      </w:pPr>
    </w:p>
    <w:p>
      <w:pPr>
        <w:pStyle w:val="2"/>
        <w:rPr>
          <w:rFonts w:hint="eastAsia"/>
          <w:lang w:val="en-US" w:eastAsia="zh-CN"/>
        </w:rPr>
      </w:pPr>
    </w:p>
    <w:p>
      <w:pPr>
        <w:rPr>
          <w:rFonts w:hint="eastAsia"/>
          <w:lang w:val="en-US" w:eastAsia="zh-CN"/>
        </w:rPr>
      </w:pPr>
      <w:r>
        <w:rPr>
          <w:rFonts w:hint="eastAsia"/>
          <w:lang w:val="en-US" w:eastAsia="zh-CN"/>
        </w:rPr>
        <w:drawing>
          <wp:inline distT="0" distB="0" distL="114300" distR="114300">
            <wp:extent cx="5266690" cy="7227570"/>
            <wp:effectExtent l="0" t="0" r="10160" b="11430"/>
            <wp:docPr id="3" name="图片 3" descr="李志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李志俊"/>
                    <pic:cNvPicPr>
                      <a:picLocks noChangeAspect="1"/>
                    </pic:cNvPicPr>
                  </pic:nvPicPr>
                  <pic:blipFill>
                    <a:blip r:embed="rId8"/>
                    <a:stretch>
                      <a:fillRect/>
                    </a:stretch>
                  </pic:blipFill>
                  <pic:spPr>
                    <a:xfrm>
                      <a:off x="0" y="0"/>
                      <a:ext cx="5266690" cy="7227570"/>
                    </a:xfrm>
                    <a:prstGeom prst="rect">
                      <a:avLst/>
                    </a:prstGeom>
                  </pic:spPr>
                </pic:pic>
              </a:graphicData>
            </a:graphic>
          </wp:inline>
        </w:drawing>
      </w:r>
    </w:p>
    <w:p>
      <w:pPr>
        <w:pStyle w:val="2"/>
        <w:rPr>
          <w:rFonts w:hint="eastAsia"/>
          <w:lang w:val="en-US" w:eastAsia="zh-CN"/>
        </w:rPr>
      </w:pPr>
    </w:p>
    <w:p>
      <w:pPr>
        <w:rPr>
          <w:rFonts w:hint="eastAsia"/>
          <w:lang w:val="en-US" w:eastAsia="zh-CN"/>
        </w:rPr>
      </w:pPr>
    </w:p>
    <w:p>
      <w:pPr>
        <w:pStyle w:val="2"/>
        <w:rPr>
          <w:rFonts w:hint="eastAsia"/>
          <w:lang w:val="en-US" w:eastAsia="zh-CN"/>
        </w:rPr>
      </w:pPr>
      <w:r>
        <w:rPr>
          <w:rFonts w:hint="eastAsia"/>
          <w:lang w:val="en-US" w:eastAsia="zh-CN"/>
        </w:rPr>
        <w:drawing>
          <wp:inline distT="0" distB="0" distL="114300" distR="114300">
            <wp:extent cx="5266055" cy="7452360"/>
            <wp:effectExtent l="0" t="0" r="10795" b="15240"/>
            <wp:docPr id="4" name="图片 4" descr="综合意见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综合意见表"/>
                    <pic:cNvPicPr>
                      <a:picLocks noChangeAspect="1"/>
                    </pic:cNvPicPr>
                  </pic:nvPicPr>
                  <pic:blipFill>
                    <a:blip r:embed="rId9"/>
                    <a:stretch>
                      <a:fillRect/>
                    </a:stretch>
                  </pic:blipFill>
                  <pic:spPr>
                    <a:xfrm>
                      <a:off x="0" y="0"/>
                      <a:ext cx="5266055" cy="7452360"/>
                    </a:xfrm>
                    <a:prstGeom prst="rect">
                      <a:avLst/>
                    </a:prstGeom>
                  </pic:spPr>
                </pic:pic>
              </a:graphicData>
            </a:graphic>
          </wp:inline>
        </w:drawing>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none"/>
      <w:suff w:val="nothing"/>
      <w:lvlText w:val=""/>
      <w:lvlJc w:val="left"/>
    </w:lvl>
    <w:lvl w:ilvl="1" w:tentative="0">
      <w:start w:val="1"/>
      <w:numFmt w:val="none"/>
      <w:lvlText w:val=""/>
      <w:legacy w:legacy="1" w:legacySpace="0" w:legacyIndent="0"/>
      <w:lvlJc w:val="left"/>
    </w:lvl>
    <w:lvl w:ilvl="2" w:tentative="0">
      <w:start w:val="1"/>
      <w:numFmt w:val="none"/>
      <w:lvlText w:val=""/>
      <w:legacy w:legacy="1" w:legacySpace="0" w:legacyIndent="0"/>
      <w:lvlJc w:val="left"/>
    </w:lvl>
    <w:lvl w:ilvl="3" w:tentative="0">
      <w:start w:val="1"/>
      <w:numFmt w:val="none"/>
      <w:pStyle w:val="2"/>
      <w:lvlText w:val=""/>
      <w:legacy w:legacy="1" w:legacySpace="0" w:legacyIndent="0"/>
      <w:lvlJc w:val="left"/>
    </w:lvl>
    <w:lvl w:ilvl="4" w:tentative="0">
      <w:start w:val="1"/>
      <w:numFmt w:val="none"/>
      <w:lvlText w:val=""/>
      <w:legacy w:legacy="1" w:legacySpace="0" w:legacyIndent="0"/>
      <w:lvlJc w:val="left"/>
    </w:lvl>
    <w:lvl w:ilvl="5" w:tentative="0">
      <w:start w:val="1"/>
      <w:numFmt w:val="decimal"/>
      <w:lvlText w:val=".%6"/>
      <w:legacy w:legacy="1" w:legacySpace="144" w:legacyIndent="0"/>
      <w:lvlJc w:val="left"/>
    </w:lvl>
    <w:lvl w:ilvl="6" w:tentative="0">
      <w:start w:val="1"/>
      <w:numFmt w:val="decimal"/>
      <w:lvlText w:val=".%6.%7"/>
      <w:legacy w:legacy="1" w:legacySpace="144" w:legacyIndent="0"/>
      <w:lvlJc w:val="left"/>
    </w:lvl>
    <w:lvl w:ilvl="7" w:tentative="0">
      <w:start w:val="1"/>
      <w:numFmt w:val="decimal"/>
      <w:lvlText w:val=".%6.%7.%8"/>
      <w:legacy w:legacy="1" w:legacySpace="144" w:legacyIndent="0"/>
      <w:lvlJc w:val="left"/>
    </w:lvl>
    <w:lvl w:ilvl="8" w:tentative="0">
      <w:start w:val="1"/>
      <w:numFmt w:val="decimal"/>
      <w:lvlText w:val=".%6.%7.%8.%9"/>
      <w:legacy w:legacy="1" w:legacySpace="144"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92FF4"/>
    <w:rsid w:val="00005A25"/>
    <w:rsid w:val="0002697E"/>
    <w:rsid w:val="00030955"/>
    <w:rsid w:val="00030DCC"/>
    <w:rsid w:val="0003228C"/>
    <w:rsid w:val="00037D6C"/>
    <w:rsid w:val="00041849"/>
    <w:rsid w:val="00043656"/>
    <w:rsid w:val="0006048B"/>
    <w:rsid w:val="0006089B"/>
    <w:rsid w:val="000668F1"/>
    <w:rsid w:val="000836D3"/>
    <w:rsid w:val="000B0D2A"/>
    <w:rsid w:val="000B2156"/>
    <w:rsid w:val="000B6BDA"/>
    <w:rsid w:val="000B6C9D"/>
    <w:rsid w:val="000C0F76"/>
    <w:rsid w:val="000C3070"/>
    <w:rsid w:val="000C787A"/>
    <w:rsid w:val="000C7980"/>
    <w:rsid w:val="000D7365"/>
    <w:rsid w:val="000E0D09"/>
    <w:rsid w:val="000E2DAB"/>
    <w:rsid w:val="000E3632"/>
    <w:rsid w:val="000F132F"/>
    <w:rsid w:val="000F2E76"/>
    <w:rsid w:val="001022B4"/>
    <w:rsid w:val="00117EA2"/>
    <w:rsid w:val="001364F0"/>
    <w:rsid w:val="00141E5D"/>
    <w:rsid w:val="001469CA"/>
    <w:rsid w:val="001512F8"/>
    <w:rsid w:val="00162670"/>
    <w:rsid w:val="00180525"/>
    <w:rsid w:val="001806AF"/>
    <w:rsid w:val="00181FFA"/>
    <w:rsid w:val="001915B9"/>
    <w:rsid w:val="00191EF0"/>
    <w:rsid w:val="00197326"/>
    <w:rsid w:val="00197F24"/>
    <w:rsid w:val="001B4F26"/>
    <w:rsid w:val="001F206E"/>
    <w:rsid w:val="002262F9"/>
    <w:rsid w:val="0022704B"/>
    <w:rsid w:val="00235D7F"/>
    <w:rsid w:val="0024077C"/>
    <w:rsid w:val="0024145F"/>
    <w:rsid w:val="00245466"/>
    <w:rsid w:val="00251F5C"/>
    <w:rsid w:val="00252BC3"/>
    <w:rsid w:val="00256186"/>
    <w:rsid w:val="00264907"/>
    <w:rsid w:val="0027007F"/>
    <w:rsid w:val="00272666"/>
    <w:rsid w:val="00275CEB"/>
    <w:rsid w:val="0029224F"/>
    <w:rsid w:val="002A4F7F"/>
    <w:rsid w:val="002B3B65"/>
    <w:rsid w:val="002B4C48"/>
    <w:rsid w:val="002C49FF"/>
    <w:rsid w:val="002D2CEA"/>
    <w:rsid w:val="002F1025"/>
    <w:rsid w:val="002F3BD3"/>
    <w:rsid w:val="003013A1"/>
    <w:rsid w:val="00320ABE"/>
    <w:rsid w:val="00320F53"/>
    <w:rsid w:val="00321FC0"/>
    <w:rsid w:val="0034047D"/>
    <w:rsid w:val="00345163"/>
    <w:rsid w:val="0035298F"/>
    <w:rsid w:val="00362F78"/>
    <w:rsid w:val="0036594F"/>
    <w:rsid w:val="00376890"/>
    <w:rsid w:val="003971FB"/>
    <w:rsid w:val="003B23FC"/>
    <w:rsid w:val="003B4758"/>
    <w:rsid w:val="003B7FA7"/>
    <w:rsid w:val="003C6ECE"/>
    <w:rsid w:val="003E6386"/>
    <w:rsid w:val="003F3EA2"/>
    <w:rsid w:val="00425E5E"/>
    <w:rsid w:val="00425EC5"/>
    <w:rsid w:val="00460146"/>
    <w:rsid w:val="00472A6D"/>
    <w:rsid w:val="004777B7"/>
    <w:rsid w:val="00484CAC"/>
    <w:rsid w:val="004A078E"/>
    <w:rsid w:val="004A3CA8"/>
    <w:rsid w:val="004A5A21"/>
    <w:rsid w:val="004C5E99"/>
    <w:rsid w:val="004C72D2"/>
    <w:rsid w:val="004D0323"/>
    <w:rsid w:val="004E0638"/>
    <w:rsid w:val="004E2388"/>
    <w:rsid w:val="004E57CF"/>
    <w:rsid w:val="004E5B5D"/>
    <w:rsid w:val="004E7A5D"/>
    <w:rsid w:val="00504406"/>
    <w:rsid w:val="00506F8F"/>
    <w:rsid w:val="00522241"/>
    <w:rsid w:val="00522E24"/>
    <w:rsid w:val="005253C9"/>
    <w:rsid w:val="005375D3"/>
    <w:rsid w:val="00557658"/>
    <w:rsid w:val="0058367C"/>
    <w:rsid w:val="00586474"/>
    <w:rsid w:val="005A4535"/>
    <w:rsid w:val="005B5E05"/>
    <w:rsid w:val="005C0EC4"/>
    <w:rsid w:val="005E3E38"/>
    <w:rsid w:val="005F2448"/>
    <w:rsid w:val="00614937"/>
    <w:rsid w:val="00615D2B"/>
    <w:rsid w:val="00617996"/>
    <w:rsid w:val="00621727"/>
    <w:rsid w:val="00632503"/>
    <w:rsid w:val="00632F72"/>
    <w:rsid w:val="0063412B"/>
    <w:rsid w:val="00634B5B"/>
    <w:rsid w:val="00637E1C"/>
    <w:rsid w:val="0064636A"/>
    <w:rsid w:val="00651238"/>
    <w:rsid w:val="006529CD"/>
    <w:rsid w:val="00655F99"/>
    <w:rsid w:val="00664335"/>
    <w:rsid w:val="006658C8"/>
    <w:rsid w:val="006766F0"/>
    <w:rsid w:val="00683044"/>
    <w:rsid w:val="00692FF4"/>
    <w:rsid w:val="006974FB"/>
    <w:rsid w:val="006A7B7E"/>
    <w:rsid w:val="006C2D50"/>
    <w:rsid w:val="006D3C44"/>
    <w:rsid w:val="006D57A0"/>
    <w:rsid w:val="006E25CB"/>
    <w:rsid w:val="006E65AD"/>
    <w:rsid w:val="006F05A1"/>
    <w:rsid w:val="006F1042"/>
    <w:rsid w:val="006F7665"/>
    <w:rsid w:val="00703570"/>
    <w:rsid w:val="00723806"/>
    <w:rsid w:val="007371F1"/>
    <w:rsid w:val="00737F47"/>
    <w:rsid w:val="0074436C"/>
    <w:rsid w:val="0074532D"/>
    <w:rsid w:val="0075380D"/>
    <w:rsid w:val="00753ECD"/>
    <w:rsid w:val="007572DB"/>
    <w:rsid w:val="0075756E"/>
    <w:rsid w:val="00763A5E"/>
    <w:rsid w:val="007641F4"/>
    <w:rsid w:val="00794DC6"/>
    <w:rsid w:val="007A399E"/>
    <w:rsid w:val="007B5562"/>
    <w:rsid w:val="007B5E4E"/>
    <w:rsid w:val="007C408C"/>
    <w:rsid w:val="007E0A05"/>
    <w:rsid w:val="007F6F1D"/>
    <w:rsid w:val="008122CC"/>
    <w:rsid w:val="0081516E"/>
    <w:rsid w:val="00823AE5"/>
    <w:rsid w:val="008307D2"/>
    <w:rsid w:val="00833959"/>
    <w:rsid w:val="00834739"/>
    <w:rsid w:val="0083566D"/>
    <w:rsid w:val="00835A48"/>
    <w:rsid w:val="00846448"/>
    <w:rsid w:val="00872864"/>
    <w:rsid w:val="00877CDD"/>
    <w:rsid w:val="00883E62"/>
    <w:rsid w:val="008854E5"/>
    <w:rsid w:val="008864A4"/>
    <w:rsid w:val="00887DB1"/>
    <w:rsid w:val="00895588"/>
    <w:rsid w:val="008A4F4D"/>
    <w:rsid w:val="008A6953"/>
    <w:rsid w:val="008B33B1"/>
    <w:rsid w:val="008C6517"/>
    <w:rsid w:val="008C6C46"/>
    <w:rsid w:val="008C77A1"/>
    <w:rsid w:val="008D01CC"/>
    <w:rsid w:val="008E523F"/>
    <w:rsid w:val="008E79E3"/>
    <w:rsid w:val="00904B63"/>
    <w:rsid w:val="009119AF"/>
    <w:rsid w:val="009121A0"/>
    <w:rsid w:val="00912F0A"/>
    <w:rsid w:val="00926F93"/>
    <w:rsid w:val="00931CEC"/>
    <w:rsid w:val="00957DD3"/>
    <w:rsid w:val="00973C90"/>
    <w:rsid w:val="00977249"/>
    <w:rsid w:val="00977932"/>
    <w:rsid w:val="009B0E06"/>
    <w:rsid w:val="009C0265"/>
    <w:rsid w:val="009C4941"/>
    <w:rsid w:val="009D0EBA"/>
    <w:rsid w:val="009E06C5"/>
    <w:rsid w:val="009E1DA9"/>
    <w:rsid w:val="009F2CA2"/>
    <w:rsid w:val="009F3611"/>
    <w:rsid w:val="00A01122"/>
    <w:rsid w:val="00A129A9"/>
    <w:rsid w:val="00A25546"/>
    <w:rsid w:val="00A31382"/>
    <w:rsid w:val="00A34EAB"/>
    <w:rsid w:val="00A43D24"/>
    <w:rsid w:val="00A637DF"/>
    <w:rsid w:val="00A70A6C"/>
    <w:rsid w:val="00A75692"/>
    <w:rsid w:val="00A905B1"/>
    <w:rsid w:val="00A9727B"/>
    <w:rsid w:val="00AA17C8"/>
    <w:rsid w:val="00AB2F7D"/>
    <w:rsid w:val="00AC285A"/>
    <w:rsid w:val="00AD3409"/>
    <w:rsid w:val="00AD7E19"/>
    <w:rsid w:val="00AE5B5B"/>
    <w:rsid w:val="00AF4716"/>
    <w:rsid w:val="00B04CB6"/>
    <w:rsid w:val="00B1166F"/>
    <w:rsid w:val="00B11B28"/>
    <w:rsid w:val="00B17505"/>
    <w:rsid w:val="00B176D4"/>
    <w:rsid w:val="00B250E4"/>
    <w:rsid w:val="00B43414"/>
    <w:rsid w:val="00B67111"/>
    <w:rsid w:val="00B679EE"/>
    <w:rsid w:val="00B739BB"/>
    <w:rsid w:val="00B9351A"/>
    <w:rsid w:val="00B94802"/>
    <w:rsid w:val="00BB48A5"/>
    <w:rsid w:val="00BC1049"/>
    <w:rsid w:val="00BC292F"/>
    <w:rsid w:val="00C00693"/>
    <w:rsid w:val="00C03EEC"/>
    <w:rsid w:val="00C13747"/>
    <w:rsid w:val="00C20B54"/>
    <w:rsid w:val="00C20E49"/>
    <w:rsid w:val="00C3021D"/>
    <w:rsid w:val="00C4327F"/>
    <w:rsid w:val="00C62A17"/>
    <w:rsid w:val="00C63FB6"/>
    <w:rsid w:val="00C65DD2"/>
    <w:rsid w:val="00C903B8"/>
    <w:rsid w:val="00C923CF"/>
    <w:rsid w:val="00CA36CB"/>
    <w:rsid w:val="00CA5226"/>
    <w:rsid w:val="00CA76A0"/>
    <w:rsid w:val="00CB3E1F"/>
    <w:rsid w:val="00CD2BDE"/>
    <w:rsid w:val="00D01B98"/>
    <w:rsid w:val="00D05043"/>
    <w:rsid w:val="00D05BF2"/>
    <w:rsid w:val="00D1632E"/>
    <w:rsid w:val="00D26D36"/>
    <w:rsid w:val="00D313C4"/>
    <w:rsid w:val="00D35585"/>
    <w:rsid w:val="00D47F72"/>
    <w:rsid w:val="00D554CC"/>
    <w:rsid w:val="00D573FF"/>
    <w:rsid w:val="00D760EE"/>
    <w:rsid w:val="00D956FB"/>
    <w:rsid w:val="00D9721C"/>
    <w:rsid w:val="00DA3CBC"/>
    <w:rsid w:val="00DB5F84"/>
    <w:rsid w:val="00DC7940"/>
    <w:rsid w:val="00DE174E"/>
    <w:rsid w:val="00DE3242"/>
    <w:rsid w:val="00DE63C1"/>
    <w:rsid w:val="00DE6D9E"/>
    <w:rsid w:val="00E07EC0"/>
    <w:rsid w:val="00E20617"/>
    <w:rsid w:val="00E3689B"/>
    <w:rsid w:val="00E4057D"/>
    <w:rsid w:val="00E41303"/>
    <w:rsid w:val="00E46346"/>
    <w:rsid w:val="00E46E25"/>
    <w:rsid w:val="00E50521"/>
    <w:rsid w:val="00E553FD"/>
    <w:rsid w:val="00E55883"/>
    <w:rsid w:val="00E621B2"/>
    <w:rsid w:val="00E71D37"/>
    <w:rsid w:val="00E95413"/>
    <w:rsid w:val="00E95890"/>
    <w:rsid w:val="00EA6138"/>
    <w:rsid w:val="00EB5F17"/>
    <w:rsid w:val="00EC1759"/>
    <w:rsid w:val="00EC27F0"/>
    <w:rsid w:val="00EE0ED8"/>
    <w:rsid w:val="00EF5781"/>
    <w:rsid w:val="00F13CD5"/>
    <w:rsid w:val="00F174B4"/>
    <w:rsid w:val="00F21D7D"/>
    <w:rsid w:val="00F2200E"/>
    <w:rsid w:val="00F3345D"/>
    <w:rsid w:val="00F36052"/>
    <w:rsid w:val="00F3707A"/>
    <w:rsid w:val="00F54D7B"/>
    <w:rsid w:val="00F75BC7"/>
    <w:rsid w:val="00F8383D"/>
    <w:rsid w:val="00F83969"/>
    <w:rsid w:val="00F937F9"/>
    <w:rsid w:val="00FA3BD5"/>
    <w:rsid w:val="00FB21EA"/>
    <w:rsid w:val="00FC0FE6"/>
    <w:rsid w:val="00FD7B76"/>
    <w:rsid w:val="00FE6E19"/>
    <w:rsid w:val="01584923"/>
    <w:rsid w:val="016F4385"/>
    <w:rsid w:val="01D0575A"/>
    <w:rsid w:val="020A573D"/>
    <w:rsid w:val="02DB4B61"/>
    <w:rsid w:val="04F34A63"/>
    <w:rsid w:val="05023430"/>
    <w:rsid w:val="054A2432"/>
    <w:rsid w:val="055F288C"/>
    <w:rsid w:val="05742C6C"/>
    <w:rsid w:val="06345E7F"/>
    <w:rsid w:val="07AD7841"/>
    <w:rsid w:val="07CB08CC"/>
    <w:rsid w:val="09840F77"/>
    <w:rsid w:val="09BE7A0E"/>
    <w:rsid w:val="0AC53EF9"/>
    <w:rsid w:val="0B0C19A3"/>
    <w:rsid w:val="0BEA4224"/>
    <w:rsid w:val="0CEE0570"/>
    <w:rsid w:val="0D5435C9"/>
    <w:rsid w:val="0EEA683A"/>
    <w:rsid w:val="0EFD2D6B"/>
    <w:rsid w:val="0F6623DF"/>
    <w:rsid w:val="0FA369AF"/>
    <w:rsid w:val="10EE11F9"/>
    <w:rsid w:val="11733199"/>
    <w:rsid w:val="12B816FD"/>
    <w:rsid w:val="12CA711C"/>
    <w:rsid w:val="13132908"/>
    <w:rsid w:val="13134C79"/>
    <w:rsid w:val="13962463"/>
    <w:rsid w:val="15AD4D14"/>
    <w:rsid w:val="16AD531A"/>
    <w:rsid w:val="16E02E2E"/>
    <w:rsid w:val="18802F22"/>
    <w:rsid w:val="18D30E6E"/>
    <w:rsid w:val="19850B09"/>
    <w:rsid w:val="1CB81A77"/>
    <w:rsid w:val="1DA32061"/>
    <w:rsid w:val="1E153E80"/>
    <w:rsid w:val="1E9322E3"/>
    <w:rsid w:val="1EE10571"/>
    <w:rsid w:val="1FCC185F"/>
    <w:rsid w:val="20DD0E10"/>
    <w:rsid w:val="21B95BFF"/>
    <w:rsid w:val="21C51EBC"/>
    <w:rsid w:val="21FD1D2D"/>
    <w:rsid w:val="22D04009"/>
    <w:rsid w:val="26965599"/>
    <w:rsid w:val="27473A87"/>
    <w:rsid w:val="276E0322"/>
    <w:rsid w:val="2815749E"/>
    <w:rsid w:val="2869509C"/>
    <w:rsid w:val="287A08D4"/>
    <w:rsid w:val="28E17096"/>
    <w:rsid w:val="29391125"/>
    <w:rsid w:val="2AEF7BA8"/>
    <w:rsid w:val="2FC177FB"/>
    <w:rsid w:val="30144800"/>
    <w:rsid w:val="31E150BB"/>
    <w:rsid w:val="32D4130A"/>
    <w:rsid w:val="32E03B0B"/>
    <w:rsid w:val="331F5B69"/>
    <w:rsid w:val="34CA3AD8"/>
    <w:rsid w:val="36501658"/>
    <w:rsid w:val="36951A7F"/>
    <w:rsid w:val="36AB4D80"/>
    <w:rsid w:val="36AF29C6"/>
    <w:rsid w:val="370F4A95"/>
    <w:rsid w:val="38E070C3"/>
    <w:rsid w:val="39744480"/>
    <w:rsid w:val="3993135D"/>
    <w:rsid w:val="3AC35DDB"/>
    <w:rsid w:val="3B0F6579"/>
    <w:rsid w:val="3B6A55C9"/>
    <w:rsid w:val="3C015CE7"/>
    <w:rsid w:val="3CB4547B"/>
    <w:rsid w:val="3F722F97"/>
    <w:rsid w:val="3FFE1D19"/>
    <w:rsid w:val="40340B43"/>
    <w:rsid w:val="41D559BB"/>
    <w:rsid w:val="43997B1F"/>
    <w:rsid w:val="43FD4E20"/>
    <w:rsid w:val="44CE65F0"/>
    <w:rsid w:val="44D82B89"/>
    <w:rsid w:val="46C577C9"/>
    <w:rsid w:val="474234B5"/>
    <w:rsid w:val="48606C3F"/>
    <w:rsid w:val="48857FFC"/>
    <w:rsid w:val="4C4018C8"/>
    <w:rsid w:val="4C8B2EC3"/>
    <w:rsid w:val="4CCD53C4"/>
    <w:rsid w:val="4D8A7A93"/>
    <w:rsid w:val="4DFE55AE"/>
    <w:rsid w:val="56CB7BB3"/>
    <w:rsid w:val="587E65C6"/>
    <w:rsid w:val="58CF1FC3"/>
    <w:rsid w:val="59CF50FF"/>
    <w:rsid w:val="59F24D1C"/>
    <w:rsid w:val="5AAB1BDA"/>
    <w:rsid w:val="5B0E70C2"/>
    <w:rsid w:val="5B8419DD"/>
    <w:rsid w:val="5BAC7140"/>
    <w:rsid w:val="5D571F62"/>
    <w:rsid w:val="5DF433F3"/>
    <w:rsid w:val="5E162060"/>
    <w:rsid w:val="5EB70CF8"/>
    <w:rsid w:val="61726491"/>
    <w:rsid w:val="62141F52"/>
    <w:rsid w:val="62D96C0B"/>
    <w:rsid w:val="631F27ED"/>
    <w:rsid w:val="635E18ED"/>
    <w:rsid w:val="648D27BA"/>
    <w:rsid w:val="66110838"/>
    <w:rsid w:val="6709291A"/>
    <w:rsid w:val="676D6C82"/>
    <w:rsid w:val="67796FF0"/>
    <w:rsid w:val="67A733CE"/>
    <w:rsid w:val="6A74103C"/>
    <w:rsid w:val="6B464391"/>
    <w:rsid w:val="6B4E159D"/>
    <w:rsid w:val="6B955DB4"/>
    <w:rsid w:val="6C1A5B6C"/>
    <w:rsid w:val="6C1A67F3"/>
    <w:rsid w:val="6C9304E2"/>
    <w:rsid w:val="6ECB3AE4"/>
    <w:rsid w:val="6FF077C0"/>
    <w:rsid w:val="716341EB"/>
    <w:rsid w:val="71F63097"/>
    <w:rsid w:val="72072378"/>
    <w:rsid w:val="724E493C"/>
    <w:rsid w:val="72567CCF"/>
    <w:rsid w:val="739F2AF6"/>
    <w:rsid w:val="73E847C3"/>
    <w:rsid w:val="74761D81"/>
    <w:rsid w:val="74F96B91"/>
    <w:rsid w:val="75202233"/>
    <w:rsid w:val="75F22D87"/>
    <w:rsid w:val="766957F2"/>
    <w:rsid w:val="77A61F94"/>
    <w:rsid w:val="79B64D50"/>
    <w:rsid w:val="7A555117"/>
    <w:rsid w:val="7B6C3D02"/>
    <w:rsid w:val="7CB172A8"/>
    <w:rsid w:val="7EC823D9"/>
    <w:rsid w:val="7F5D1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2">
    <w:name w:val="heading 4"/>
    <w:basedOn w:val="1"/>
    <w:next w:val="1"/>
    <w:qFormat/>
    <w:uiPriority w:val="99"/>
    <w:pPr>
      <w:keepNext/>
      <w:keepLines/>
      <w:numPr>
        <w:ilvl w:val="3"/>
        <w:numId w:val="1"/>
      </w:numPr>
      <w:adjustRightInd w:val="0"/>
      <w:spacing w:before="280" w:after="290" w:line="376" w:lineRule="atLeast"/>
      <w:textAlignment w:val="baseline"/>
      <w:outlineLvl w:val="3"/>
    </w:pPr>
    <w:rPr>
      <w:rFonts w:ascii="Arial" w:hAnsi="Arial"/>
      <w:b/>
      <w:spacing w:val="20"/>
      <w:sz w:val="28"/>
      <w:szCs w:val="20"/>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0"/>
    <w:rPr>
      <w:b/>
    </w:rPr>
  </w:style>
  <w:style w:type="character" w:styleId="12">
    <w:name w:val="page number"/>
    <w:basedOn w:val="10"/>
    <w:qFormat/>
    <w:uiPriority w:val="0"/>
  </w:style>
  <w:style w:type="character" w:styleId="13">
    <w:name w:val="FollowedHyperlink"/>
    <w:basedOn w:val="10"/>
    <w:qFormat/>
    <w:uiPriority w:val="0"/>
    <w:rPr>
      <w:color w:val="333333"/>
      <w:u w:val="none"/>
    </w:rPr>
  </w:style>
  <w:style w:type="character" w:styleId="14">
    <w:name w:val="Emphasis"/>
    <w:basedOn w:val="10"/>
    <w:qFormat/>
    <w:uiPriority w:val="0"/>
  </w:style>
  <w:style w:type="character" w:styleId="15">
    <w:name w:val="HTML Definition"/>
    <w:basedOn w:val="10"/>
    <w:qFormat/>
    <w:uiPriority w:val="0"/>
    <w:rPr>
      <w:i/>
    </w:rPr>
  </w:style>
  <w:style w:type="character" w:styleId="16">
    <w:name w:val="Hyperlink"/>
    <w:basedOn w:val="10"/>
    <w:qFormat/>
    <w:uiPriority w:val="0"/>
    <w:rPr>
      <w:color w:val="333333"/>
      <w:u w:val="none"/>
    </w:rPr>
  </w:style>
  <w:style w:type="character" w:styleId="17">
    <w:name w:val="HTML Code"/>
    <w:basedOn w:val="10"/>
    <w:qFormat/>
    <w:uiPriority w:val="0"/>
    <w:rPr>
      <w:rFonts w:hint="default" w:ascii="Consolas" w:hAnsi="Consolas" w:eastAsia="Consolas" w:cs="Consolas"/>
      <w:color w:val="C7254E"/>
      <w:sz w:val="21"/>
      <w:szCs w:val="21"/>
      <w:shd w:val="clear" w:fill="F9F2F4"/>
    </w:rPr>
  </w:style>
  <w:style w:type="character" w:styleId="18">
    <w:name w:val="HTML Keyboard"/>
    <w:basedOn w:val="10"/>
    <w:qFormat/>
    <w:uiPriority w:val="0"/>
    <w:rPr>
      <w:rFonts w:hint="default" w:ascii="Consolas" w:hAnsi="Consolas" w:eastAsia="Consolas" w:cs="Consolas"/>
      <w:color w:val="FFFFFF"/>
      <w:sz w:val="21"/>
      <w:szCs w:val="21"/>
      <w:shd w:val="clear" w:fill="333333"/>
    </w:rPr>
  </w:style>
  <w:style w:type="character" w:styleId="19">
    <w:name w:val="HTML Sample"/>
    <w:basedOn w:val="10"/>
    <w:qFormat/>
    <w:uiPriority w:val="0"/>
    <w:rPr>
      <w:rFonts w:ascii="Consolas" w:hAnsi="Consolas" w:eastAsia="Consolas" w:cs="Consolas"/>
      <w:sz w:val="21"/>
      <w:szCs w:val="21"/>
    </w:rPr>
  </w:style>
  <w:style w:type="character" w:customStyle="1" w:styleId="20">
    <w:name w:val="apple-converted-space"/>
    <w:basedOn w:val="10"/>
    <w:qFormat/>
    <w:uiPriority w:val="0"/>
  </w:style>
  <w:style w:type="paragraph" w:customStyle="1" w:styleId="21">
    <w:name w:val="Char1 Char Char Char Char Char Char"/>
    <w:basedOn w:val="1"/>
    <w:qFormat/>
    <w:uiPriority w:val="0"/>
    <w:rPr>
      <w:rFonts w:ascii="Tahoma" w:hAnsi="Tahoma"/>
      <w:sz w:val="24"/>
      <w:szCs w:val="20"/>
    </w:rPr>
  </w:style>
  <w:style w:type="paragraph" w:customStyle="1" w:styleId="22">
    <w:name w:val="09正文_wh"/>
    <w:qFormat/>
    <w:uiPriority w:val="0"/>
    <w:pPr>
      <w:spacing w:line="300" w:lineRule="auto"/>
      <w:ind w:firstLine="200" w:firstLineChars="200"/>
      <w:jc w:val="both"/>
    </w:pPr>
    <w:rPr>
      <w:rFonts w:ascii="Times New Roman" w:hAnsi="Times New Roman" w:eastAsia="宋体" w:cs="Times New Roman"/>
      <w:sz w:val="28"/>
      <w:szCs w:val="22"/>
      <w:lang w:val="en-US" w:eastAsia="zh-CN" w:bidi="ar-SA"/>
    </w:rPr>
  </w:style>
  <w:style w:type="character" w:customStyle="1" w:styleId="23">
    <w:name w:val="old"/>
    <w:basedOn w:val="10"/>
    <w:qFormat/>
    <w:uiPriority w:val="0"/>
    <w:rPr>
      <w:color w:val="999999"/>
    </w:rPr>
  </w:style>
  <w:style w:type="character" w:customStyle="1" w:styleId="24">
    <w:name w:val="hover3"/>
    <w:basedOn w:val="10"/>
    <w:qFormat/>
    <w:uiPriority w:val="0"/>
    <w:rPr>
      <w:shd w:val="clear" w:fill="EEEEEE"/>
    </w:rPr>
  </w:style>
  <w:style w:type="character" w:customStyle="1" w:styleId="25">
    <w:name w:val="hour_am"/>
    <w:basedOn w:val="10"/>
    <w:qFormat/>
    <w:uiPriority w:val="0"/>
  </w:style>
  <w:style w:type="character" w:customStyle="1" w:styleId="26">
    <w:name w:val="hour_pm"/>
    <w:basedOn w:val="10"/>
    <w:qFormat/>
    <w:uiPriority w:val="0"/>
  </w:style>
  <w:style w:type="character" w:customStyle="1" w:styleId="27">
    <w:name w:val="glyphicon4"/>
    <w:basedOn w:val="10"/>
    <w:qFormat/>
    <w:uiPriority w:val="0"/>
  </w:style>
  <w:style w:type="character" w:customStyle="1" w:styleId="28">
    <w:name w:val="button"/>
    <w:basedOn w:val="10"/>
    <w:qFormat/>
    <w:uiPriority w:val="0"/>
  </w:style>
  <w:style w:type="character" w:customStyle="1" w:styleId="29">
    <w:name w:val="tmpztreemove_arrow"/>
    <w:basedOn w:val="10"/>
    <w:qFormat/>
    <w:uiPriority w:val="0"/>
    <w:rPr>
      <w:shd w:val="clear" w:fill="FFFFFF"/>
    </w:rPr>
  </w:style>
  <w:style w:type="character" w:customStyle="1" w:styleId="30">
    <w:name w:val="indent"/>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234020-7746-46C6-A486-608948E0687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157</Words>
  <Characters>900</Characters>
  <Lines>7</Lines>
  <Paragraphs>2</Paragraphs>
  <TotalTime>4</TotalTime>
  <ScaleCrop>false</ScaleCrop>
  <LinksUpToDate>false</LinksUpToDate>
  <CharactersWithSpaces>1055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2016-12-16T05:53:00Z</dcterms:created>
  <dc:creator>lenovo</dc:creator>
  <cp:lastModifiedBy>lx</cp:lastModifiedBy>
  <cp:lastPrinted>2017-04-17T02:08:00Z</cp:lastPrinted>
  <dcterms:modified xsi:type="dcterms:W3CDTF">2020-07-16T03:46:33Z</dcterms:modified>
  <dc:title>省教育厅：</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