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left"/>
        <w:rPr>
          <w:rFonts w:ascii="仿宋_GB2312" w:hAnsi="仿宋_GB2312" w:eastAsia="仿宋_GB2312" w:cs="仿宋_GB2312"/>
          <w:b/>
          <w:bCs/>
          <w:sz w:val="30"/>
          <w:szCs w:val="30"/>
          <w:lang w:val="zh-CN"/>
        </w:rPr>
      </w:pPr>
      <w:r>
        <w:rPr>
          <w:rFonts w:hint="eastAsia" w:ascii="仿宋_GB2312" w:hAnsi="仿宋_GB2312" w:eastAsia="仿宋_GB2312" w:cs="仿宋_GB2312"/>
          <w:b/>
          <w:bCs/>
          <w:sz w:val="30"/>
          <w:szCs w:val="30"/>
          <w:lang w:val="zh-CN"/>
        </w:rPr>
        <w:t>政府采购项目</w:t>
      </w:r>
    </w:p>
    <w:p>
      <w:pPr>
        <w:autoSpaceDE w:val="0"/>
        <w:autoSpaceDN w:val="0"/>
        <w:adjustRightInd w:val="0"/>
        <w:snapToGrid w:val="0"/>
        <w:spacing w:line="360" w:lineRule="auto"/>
        <w:jc w:val="left"/>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zh-CN"/>
        </w:rPr>
        <w:t>采购项目编号：</w:t>
      </w:r>
      <w:r>
        <w:rPr>
          <w:rFonts w:hint="eastAsia" w:ascii="仿宋_GB2312" w:hAnsi="仿宋_GB2312" w:eastAsia="仿宋_GB2312" w:cs="仿宋_GB2312"/>
          <w:b/>
          <w:bCs/>
          <w:sz w:val="30"/>
          <w:szCs w:val="30"/>
          <w:lang w:val="en-US" w:eastAsia="zh-CN"/>
        </w:rPr>
        <w:t>ZR30GN2021-ZB-012</w:t>
      </w:r>
    </w:p>
    <w:p>
      <w:pPr>
        <w:pStyle w:val="22"/>
        <w:rPr>
          <w:rFonts w:hint="default"/>
          <w:lang w:val="en-US"/>
        </w:rPr>
      </w:pPr>
      <w:r>
        <w:rPr>
          <w:rFonts w:hint="eastAsia" w:ascii="仿宋_GB2312" w:hAnsi="仿宋_GB2312" w:eastAsia="仿宋_GB2312" w:cs="仿宋_GB2312"/>
          <w:b/>
          <w:bCs/>
          <w:sz w:val="30"/>
          <w:szCs w:val="30"/>
          <w:lang w:val="en-US" w:eastAsia="zh-CN"/>
        </w:rPr>
        <w:t>高新政采编号：</w:t>
      </w:r>
      <w:r>
        <w:rPr>
          <w:rFonts w:hint="eastAsia" w:ascii="仿宋_GB2312" w:hAnsi="仿宋_GB2312" w:eastAsia="仿宋_GB2312" w:cs="仿宋_GB2312"/>
          <w:b/>
          <w:bCs/>
          <w:kern w:val="2"/>
          <w:sz w:val="30"/>
          <w:szCs w:val="30"/>
          <w:lang w:val="zh-CN" w:eastAsia="zh-CN" w:bidi="ar-SA"/>
        </w:rPr>
        <w:t>XDZ20</w:t>
      </w:r>
      <w:r>
        <w:rPr>
          <w:rFonts w:hint="eastAsia" w:ascii="仿宋_GB2312" w:hAnsi="仿宋_GB2312" w:eastAsia="仿宋_GB2312" w:cs="仿宋_GB2312"/>
          <w:b/>
          <w:bCs/>
          <w:kern w:val="2"/>
          <w:sz w:val="30"/>
          <w:szCs w:val="30"/>
          <w:lang w:val="en-US" w:eastAsia="zh-CN" w:bidi="ar-SA"/>
        </w:rPr>
        <w:t>21</w:t>
      </w:r>
      <w:r>
        <w:rPr>
          <w:rFonts w:hint="eastAsia" w:ascii="仿宋_GB2312" w:hAnsi="仿宋_GB2312" w:eastAsia="仿宋_GB2312" w:cs="仿宋_GB2312"/>
          <w:b/>
          <w:bCs/>
          <w:kern w:val="2"/>
          <w:sz w:val="30"/>
          <w:szCs w:val="30"/>
          <w:lang w:val="zh-CN" w:eastAsia="zh-CN" w:bidi="ar-SA"/>
        </w:rPr>
        <w:t>-</w:t>
      </w:r>
      <w:r>
        <w:rPr>
          <w:rFonts w:hint="eastAsia" w:ascii="仿宋_GB2312" w:hAnsi="仿宋_GB2312" w:eastAsia="仿宋_GB2312" w:cs="仿宋_GB2312"/>
          <w:b/>
          <w:bCs/>
          <w:kern w:val="2"/>
          <w:sz w:val="30"/>
          <w:szCs w:val="30"/>
          <w:lang w:val="en-US" w:eastAsia="zh-CN" w:bidi="ar-SA"/>
        </w:rPr>
        <w:t>223</w:t>
      </w:r>
      <w:r>
        <w:rPr>
          <w:rFonts w:hint="eastAsia" w:ascii="仿宋_GB2312" w:hAnsi="仿宋_GB2312" w:eastAsia="仿宋_GB2312" w:cs="仿宋_GB2312"/>
          <w:b/>
          <w:bCs/>
          <w:kern w:val="2"/>
          <w:sz w:val="30"/>
          <w:szCs w:val="30"/>
          <w:lang w:val="zh-CN" w:eastAsia="zh-CN" w:bidi="ar-SA"/>
        </w:rPr>
        <w:t>-Z</w:t>
      </w:r>
    </w:p>
    <w:p>
      <w:pPr>
        <w:tabs>
          <w:tab w:val="left" w:pos="5670"/>
        </w:tabs>
        <w:autoSpaceDE w:val="0"/>
        <w:autoSpaceDN w:val="0"/>
        <w:adjustRightInd w:val="0"/>
        <w:snapToGrid w:val="0"/>
        <w:spacing w:line="360" w:lineRule="auto"/>
        <w:jc w:val="center"/>
        <w:rPr>
          <w:rFonts w:ascii="仿宋_GB2312" w:hAnsi="仿宋_GB2312" w:eastAsia="仿宋_GB2312" w:cs="仿宋_GB2312"/>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32"/>
          <w:szCs w:val="32"/>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tabs>
          <w:tab w:val="left" w:pos="5670"/>
        </w:tabs>
        <w:autoSpaceDE w:val="0"/>
        <w:autoSpaceDN w:val="0"/>
        <w:adjustRightInd w:val="0"/>
        <w:snapToGrid w:val="0"/>
        <w:spacing w:line="360" w:lineRule="auto"/>
        <w:jc w:val="center"/>
        <w:rPr>
          <w:rFonts w:hint="eastAsia" w:ascii="仿宋_GB2312" w:hAnsi="仿宋_GB2312" w:eastAsia="仿宋_GB2312" w:cs="仿宋_GB2312"/>
          <w:b/>
          <w:bCs/>
          <w:sz w:val="52"/>
          <w:szCs w:val="52"/>
          <w:lang w:val="zh-CN" w:eastAsia="zh-CN"/>
        </w:rPr>
      </w:pPr>
      <w:r>
        <w:rPr>
          <w:rFonts w:hint="eastAsia" w:ascii="仿宋_GB2312" w:hAnsi="仿宋_GB2312" w:eastAsia="仿宋_GB2312" w:cs="仿宋_GB2312"/>
          <w:b/>
          <w:bCs/>
          <w:sz w:val="52"/>
          <w:szCs w:val="52"/>
          <w:lang w:val="zh-CN" w:eastAsia="zh-CN"/>
        </w:rPr>
        <w:t>丈八街道社区（村）级阵地提升工程（二期）</w:t>
      </w: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6"/>
          <w:szCs w:val="36"/>
          <w:lang w:val="zh-CN"/>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52"/>
          <w:szCs w:val="52"/>
          <w:lang w:val="zh-CN"/>
        </w:rPr>
      </w:pPr>
      <w:r>
        <w:rPr>
          <w:rFonts w:hint="eastAsia" w:ascii="仿宋_GB2312" w:hAnsi="仿宋_GB2312" w:eastAsia="仿宋_GB2312" w:cs="仿宋_GB2312"/>
          <w:b/>
          <w:bCs/>
          <w:sz w:val="52"/>
          <w:szCs w:val="52"/>
          <w:lang w:val="zh-CN"/>
        </w:rPr>
        <w:t>竞争性磋商文件</w:t>
      </w:r>
    </w:p>
    <w:p>
      <w:pPr>
        <w:tabs>
          <w:tab w:val="left" w:pos="5670"/>
        </w:tabs>
        <w:autoSpaceDE w:val="0"/>
        <w:autoSpaceDN w:val="0"/>
        <w:adjustRightInd w:val="0"/>
        <w:snapToGrid w:val="0"/>
        <w:spacing w:line="360" w:lineRule="auto"/>
        <w:jc w:val="center"/>
        <w:rPr>
          <w:rFonts w:ascii="仿宋_GB2312" w:hAnsi="仿宋_GB2312" w:eastAsia="仿宋_GB2312" w:cs="仿宋_GB2312"/>
          <w:sz w:val="50"/>
          <w:szCs w:val="50"/>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50"/>
          <w:szCs w:val="50"/>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50"/>
          <w:szCs w:val="5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0"/>
          <w:szCs w:val="30"/>
        </w:rPr>
      </w:pPr>
      <w:r>
        <w:rPr>
          <w:rFonts w:hint="eastAsia" w:ascii="仿宋_GB2312" w:hAnsi="仿宋_GB2312" w:eastAsia="仿宋_GB2312" w:cs="仿宋_GB2312"/>
          <w:b/>
          <w:bCs/>
          <w:sz w:val="30"/>
          <w:szCs w:val="30"/>
          <w:lang w:val="zh-CN"/>
        </w:rPr>
        <w:t xml:space="preserve"> 陕西中润国际招标有限公司</w:t>
      </w:r>
    </w:p>
    <w:p>
      <w:pPr>
        <w:tabs>
          <w:tab w:val="left" w:pos="5460"/>
        </w:tabs>
        <w:autoSpaceDE w:val="0"/>
        <w:autoSpaceDN w:val="0"/>
        <w:adjustRightInd w:val="0"/>
        <w:snapToGrid w:val="0"/>
        <w:spacing w:line="360" w:lineRule="auto"/>
        <w:jc w:val="center"/>
        <w:rPr>
          <w:rFonts w:ascii="仿宋_GB2312" w:hAnsi="仿宋_GB2312" w:eastAsia="仿宋_GB2312" w:cs="仿宋_GB2312"/>
          <w:b/>
          <w:bCs/>
          <w:sz w:val="30"/>
          <w:szCs w:val="30"/>
          <w:lang w:val="zh-CN"/>
        </w:rPr>
      </w:pPr>
      <w:r>
        <w:rPr>
          <w:rFonts w:hint="eastAsia" w:ascii="仿宋_GB2312" w:hAnsi="仿宋_GB2312" w:eastAsia="仿宋_GB2312" w:cs="仿宋_GB2312"/>
          <w:b/>
          <w:bCs/>
          <w:sz w:val="30"/>
          <w:szCs w:val="30"/>
          <w:lang w:val="zh-CN"/>
        </w:rPr>
        <w:t>二〇二一年</w:t>
      </w:r>
      <w:r>
        <w:rPr>
          <w:rFonts w:hint="eastAsia" w:ascii="仿宋_GB2312" w:hAnsi="仿宋_GB2312" w:eastAsia="仿宋_GB2312" w:cs="仿宋_GB2312"/>
          <w:b/>
          <w:bCs/>
          <w:sz w:val="30"/>
          <w:szCs w:val="30"/>
          <w:lang w:val="en-US" w:eastAsia="zh-CN"/>
        </w:rPr>
        <w:t>六</w:t>
      </w:r>
      <w:r>
        <w:rPr>
          <w:rFonts w:hint="eastAsia" w:ascii="仿宋_GB2312" w:hAnsi="仿宋_GB2312" w:eastAsia="仿宋_GB2312" w:cs="仿宋_GB2312"/>
          <w:b/>
          <w:bCs/>
          <w:sz w:val="30"/>
          <w:szCs w:val="30"/>
          <w:lang w:val="zh-CN"/>
        </w:rPr>
        <w:t>月</w:t>
      </w:r>
    </w:p>
    <w:p>
      <w:pPr>
        <w:tabs>
          <w:tab w:val="left" w:pos="3739"/>
        </w:tabs>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ab/>
      </w:r>
    </w:p>
    <w:p>
      <w:pPr>
        <w:sectPr>
          <w:headerReference r:id="rId4" w:type="first"/>
          <w:headerReference r:id="rId3" w:type="default"/>
          <w:footerReference r:id="rId5" w:type="even"/>
          <w:pgSz w:w="11906" w:h="16838"/>
          <w:pgMar w:top="1440" w:right="1083" w:bottom="1440" w:left="1083" w:header="851" w:footer="992" w:gutter="0"/>
          <w:pgNumType w:start="0"/>
          <w:cols w:space="720" w:num="1"/>
          <w:titlePg/>
          <w:docGrid w:linePitch="312" w:charSpace="0"/>
        </w:sectPr>
      </w:pPr>
      <w:r>
        <w:rPr>
          <w:rFonts w:hint="eastAsia" w:ascii="仿宋_GB2312" w:hAnsi="仿宋_GB2312" w:eastAsia="仿宋_GB2312" w:cs="仿宋_GB2312"/>
          <w:sz w:val="32"/>
          <w:szCs w:val="32"/>
        </w:rPr>
        <w:br w:type="page"/>
      </w:r>
    </w:p>
    <w:p>
      <w:pPr>
        <w:pStyle w:val="2"/>
        <w:ind w:firstLine="0" w:firstLineChars="0"/>
        <w:jc w:val="center"/>
        <w:rPr>
          <w:rFonts w:hint="eastAsia" w:ascii="仿宋_GB2312" w:hAnsi="仿宋_GB2312" w:eastAsia="仿宋_GB2312" w:cs="仿宋_GB2312"/>
          <w:b/>
          <w:sz w:val="32"/>
          <w:szCs w:val="32"/>
        </w:rPr>
      </w:pPr>
    </w:p>
    <w:p>
      <w:pPr>
        <w:pStyle w:val="2"/>
        <w:ind w:firstLine="0" w:firstLineChars="0"/>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目  录</w:t>
      </w:r>
    </w:p>
    <w:p>
      <w:pPr>
        <w:pStyle w:val="35"/>
        <w:tabs>
          <w:tab w:val="right" w:leader="dot" w:pos="8300"/>
          <w:tab w:val="clear" w:pos="9344"/>
        </w:tabs>
        <w:adjustRightInd w:val="0"/>
        <w:snapToGrid w:val="0"/>
        <w:spacing w:before="0" w:after="0"/>
        <w:jc w:val="both"/>
        <w:rPr>
          <w:rFonts w:hint="eastAsia" w:ascii="仿宋_GB2312" w:hAnsi="仿宋_GB2312" w:eastAsia="仿宋_GB2312" w:cs="仿宋_GB2312"/>
          <w:b w:val="0"/>
          <w:bCs w:val="0"/>
          <w:sz w:val="20"/>
        </w:rPr>
      </w:pPr>
    </w:p>
    <w:p>
      <w:pPr>
        <w:pStyle w:val="35"/>
        <w:tabs>
          <w:tab w:val="right" w:leader="dot" w:pos="8300"/>
          <w:tab w:val="clear" w:pos="9344"/>
        </w:tabs>
        <w:adjustRightInd w:val="0"/>
        <w:snapToGrid w:val="0"/>
        <w:spacing w:before="0" w:after="0"/>
        <w:jc w:val="both"/>
        <w:rPr>
          <w:rFonts w:ascii="仿宋_GB2312" w:hAnsi="仿宋_GB2312" w:eastAsia="仿宋_GB2312" w:cs="仿宋_GB2312"/>
          <w:b w:val="0"/>
          <w:bCs w:val="0"/>
          <w:caps w:val="0"/>
          <w:szCs w:val="24"/>
        </w:rPr>
      </w:pPr>
      <w:r>
        <w:rPr>
          <w:rFonts w:hint="eastAsia" w:ascii="仿宋_GB2312" w:hAnsi="仿宋_GB2312" w:eastAsia="仿宋_GB2312" w:cs="仿宋_GB2312"/>
          <w:b w:val="0"/>
          <w:bCs w:val="0"/>
          <w:sz w:val="20"/>
        </w:rPr>
        <w:fldChar w:fldCharType="begin"/>
      </w:r>
      <w:r>
        <w:rPr>
          <w:rFonts w:hint="eastAsia" w:ascii="仿宋_GB2312" w:hAnsi="仿宋_GB2312" w:eastAsia="仿宋_GB2312" w:cs="仿宋_GB2312"/>
          <w:b w:val="0"/>
          <w:bCs w:val="0"/>
          <w:sz w:val="20"/>
        </w:rPr>
        <w:instrText xml:space="preserve"> TOC \o "1-2" \h \z \u </w:instrText>
      </w:r>
      <w:r>
        <w:rPr>
          <w:rFonts w:hint="eastAsia" w:ascii="仿宋_GB2312" w:hAnsi="仿宋_GB2312" w:eastAsia="仿宋_GB2312" w:cs="仿宋_GB2312"/>
          <w:b w:val="0"/>
          <w:bCs w:val="0"/>
          <w:sz w:val="20"/>
        </w:rPr>
        <w:fldChar w:fldCharType="separate"/>
      </w:r>
      <w:r>
        <w:fldChar w:fldCharType="begin"/>
      </w:r>
      <w:r>
        <w:instrText xml:space="preserve"> HYPERLINK \l "_Toc62196416" </w:instrText>
      </w:r>
      <w:r>
        <w:fldChar w:fldCharType="separate"/>
      </w:r>
      <w:r>
        <w:rPr>
          <w:rStyle w:val="59"/>
          <w:rFonts w:hint="default" w:ascii="仿宋_GB2312" w:hAnsi="仿宋_GB2312" w:eastAsia="仿宋_GB2312" w:cs="仿宋_GB2312"/>
          <w:b w:val="0"/>
          <w:bCs w:val="0"/>
          <w:sz w:val="24"/>
          <w:szCs w:val="24"/>
        </w:rPr>
        <w:t>第一章 磋商公告/（或磋商邀请）</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rPr>
        <w:fldChar w:fldCharType="begin"/>
      </w:r>
      <w:r>
        <w:rPr>
          <w:rFonts w:hint="eastAsia" w:ascii="仿宋_GB2312" w:hAnsi="仿宋_GB2312" w:eastAsia="仿宋_GB2312" w:cs="仿宋_GB2312"/>
          <w:b w:val="0"/>
          <w:bCs w:val="0"/>
          <w:szCs w:val="24"/>
        </w:rPr>
        <w:instrText xml:space="preserve"> PAGEREF _Toc62196416 \h </w:instrText>
      </w:r>
      <w:r>
        <w:rPr>
          <w:rFonts w:hint="eastAsia" w:ascii="仿宋_GB2312" w:hAnsi="仿宋_GB2312" w:eastAsia="仿宋_GB2312" w:cs="仿宋_GB2312"/>
          <w:b w:val="0"/>
          <w:bCs w:val="0"/>
          <w:szCs w:val="24"/>
        </w:rPr>
        <w:fldChar w:fldCharType="separate"/>
      </w:r>
      <w:r>
        <w:rPr>
          <w:rFonts w:hint="eastAsia" w:ascii="仿宋_GB2312" w:hAnsi="仿宋_GB2312" w:eastAsia="仿宋_GB2312" w:cs="仿宋_GB2312"/>
          <w:b w:val="0"/>
          <w:bCs w:val="0"/>
          <w:szCs w:val="24"/>
        </w:rPr>
        <w:t>1</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rPr>
        <w:fldChar w:fldCharType="end"/>
      </w:r>
    </w:p>
    <w:p>
      <w:pPr>
        <w:pStyle w:val="35"/>
        <w:tabs>
          <w:tab w:val="right" w:leader="dot" w:pos="8300"/>
          <w:tab w:val="clear" w:pos="9344"/>
        </w:tabs>
        <w:adjustRightInd w:val="0"/>
        <w:snapToGrid w:val="0"/>
        <w:spacing w:before="0" w:after="0"/>
        <w:jc w:val="both"/>
        <w:rPr>
          <w:rFonts w:ascii="仿宋_GB2312" w:hAnsi="仿宋_GB2312" w:eastAsia="仿宋_GB2312" w:cs="仿宋_GB2312"/>
          <w:b w:val="0"/>
          <w:bCs w:val="0"/>
          <w:szCs w:val="24"/>
        </w:rPr>
      </w:pPr>
      <w:r>
        <w:fldChar w:fldCharType="begin"/>
      </w:r>
      <w:r>
        <w:instrText xml:space="preserve"> HYPERLINK \l "_Toc62196417" </w:instrText>
      </w:r>
      <w:r>
        <w:fldChar w:fldCharType="separate"/>
      </w:r>
      <w:r>
        <w:rPr>
          <w:rFonts w:hint="eastAsia" w:ascii="仿宋_GB2312" w:hAnsi="仿宋_GB2312" w:eastAsia="仿宋_GB2312" w:cs="仿宋_GB2312"/>
          <w:b w:val="0"/>
          <w:bCs w:val="0"/>
          <w:szCs w:val="24"/>
        </w:rPr>
        <w:t>第二章 供应商须知</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rPr>
        <w:fldChar w:fldCharType="begin"/>
      </w:r>
      <w:r>
        <w:rPr>
          <w:rFonts w:hint="eastAsia" w:ascii="仿宋_GB2312" w:hAnsi="仿宋_GB2312" w:eastAsia="仿宋_GB2312" w:cs="仿宋_GB2312"/>
          <w:b w:val="0"/>
          <w:bCs w:val="0"/>
          <w:szCs w:val="24"/>
        </w:rPr>
        <w:instrText xml:space="preserve"> PAGEREF _Toc62196417 \h </w:instrText>
      </w:r>
      <w:r>
        <w:rPr>
          <w:rFonts w:hint="eastAsia" w:ascii="仿宋_GB2312" w:hAnsi="仿宋_GB2312" w:eastAsia="仿宋_GB2312" w:cs="仿宋_GB2312"/>
          <w:b w:val="0"/>
          <w:bCs w:val="0"/>
          <w:szCs w:val="24"/>
        </w:rPr>
        <w:fldChar w:fldCharType="separate"/>
      </w:r>
      <w:r>
        <w:rPr>
          <w:rFonts w:hint="eastAsia" w:ascii="仿宋_GB2312" w:hAnsi="仿宋_GB2312" w:eastAsia="仿宋_GB2312" w:cs="仿宋_GB2312"/>
          <w:b w:val="0"/>
          <w:bCs w:val="0"/>
          <w:szCs w:val="24"/>
        </w:rPr>
        <w:t>4</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rPr>
        <w:fldChar w:fldCharType="end"/>
      </w:r>
    </w:p>
    <w:p>
      <w:pPr>
        <w:pStyle w:val="40"/>
        <w:tabs>
          <w:tab w:val="left" w:pos="112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"_Toc62196418" </w:instrText>
      </w:r>
      <w:r>
        <w:fldChar w:fldCharType="separate"/>
      </w:r>
      <w:r>
        <w:rPr>
          <w:rStyle w:val="59"/>
          <w:rFonts w:hint="default" w:ascii="仿宋_GB2312" w:hAnsi="仿宋_GB2312" w:eastAsia="仿宋_GB2312" w:cs="仿宋_GB2312"/>
          <w:sz w:val="24"/>
          <w:szCs w:val="24"/>
        </w:rPr>
        <w:t>（一）供应商须知前附表</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_Toc62196418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"_Toc62196419" </w:instrText>
      </w:r>
      <w:r>
        <w:fldChar w:fldCharType="separate"/>
      </w:r>
      <w:r>
        <w:rPr>
          <w:rStyle w:val="59"/>
          <w:rFonts w:hint="default" w:ascii="仿宋_GB2312" w:hAnsi="仿宋_GB2312" w:eastAsia="仿宋_GB2312" w:cs="仿宋_GB2312"/>
          <w:sz w:val="24"/>
          <w:szCs w:val="24"/>
        </w:rPr>
        <w:t>（二）供应商须知</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_Toc62196419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"_Toc62196420" </w:instrText>
      </w:r>
      <w:r>
        <w:fldChar w:fldCharType="separate"/>
      </w:r>
      <w:r>
        <w:rPr>
          <w:rStyle w:val="59"/>
          <w:rFonts w:hint="default" w:ascii="仿宋_GB2312" w:hAnsi="仿宋_GB2312" w:eastAsia="仿宋_GB2312" w:cs="仿宋_GB2312"/>
          <w:sz w:val="24"/>
          <w:szCs w:val="24"/>
        </w:rPr>
        <w:t>一、总则</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"_Toc62196421" </w:instrText>
      </w:r>
      <w:r>
        <w:fldChar w:fldCharType="separate"/>
      </w:r>
      <w:r>
        <w:rPr>
          <w:rStyle w:val="59"/>
          <w:rFonts w:hint="default" w:ascii="仿宋_GB2312" w:hAnsi="仿宋_GB2312" w:eastAsia="仿宋_GB2312" w:cs="仿宋_GB2312"/>
          <w:sz w:val="24"/>
          <w:szCs w:val="24"/>
        </w:rPr>
        <w:t>二、磋商文件说明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7</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"_Toc62196422" </w:instrText>
      </w:r>
      <w:r>
        <w:fldChar w:fldCharType="separate"/>
      </w:r>
      <w:r>
        <w:rPr>
          <w:rStyle w:val="59"/>
          <w:rFonts w:hint="default" w:ascii="仿宋_GB2312" w:hAnsi="仿宋_GB2312" w:eastAsia="仿宋_GB2312" w:cs="仿宋_GB2312"/>
          <w:sz w:val="24"/>
          <w:szCs w:val="24"/>
        </w:rPr>
        <w:t>三、响应文件的编写</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28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"_Toc62196423" </w:instrText>
      </w:r>
      <w:r>
        <w:fldChar w:fldCharType="separate"/>
      </w:r>
      <w:r>
        <w:rPr>
          <w:rStyle w:val="59"/>
          <w:rFonts w:hint="default" w:ascii="仿宋_GB2312" w:hAnsi="仿宋_GB2312" w:eastAsia="仿宋_GB2312" w:cs="仿宋_GB2312"/>
          <w:sz w:val="24"/>
          <w:szCs w:val="24"/>
        </w:rPr>
        <w:t>四、响应文件的密封和递交</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"_Toc62196424" </w:instrText>
      </w:r>
      <w:r>
        <w:fldChar w:fldCharType="separate"/>
      </w:r>
      <w:r>
        <w:rPr>
          <w:rStyle w:val="59"/>
          <w:rFonts w:hint="default" w:ascii="仿宋_GB2312" w:hAnsi="仿宋_GB2312" w:eastAsia="仿宋_GB2312" w:cs="仿宋_GB2312"/>
          <w:sz w:val="24"/>
          <w:szCs w:val="24"/>
        </w:rPr>
        <w:t>五、评审与磋商</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left" w:pos="840"/>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"_Toc62196425" </w:instrText>
      </w:r>
      <w:r>
        <w:fldChar w:fldCharType="separate"/>
      </w:r>
      <w:r>
        <w:rPr>
          <w:rStyle w:val="59"/>
          <w:rFonts w:hint="default" w:ascii="仿宋_GB2312" w:hAnsi="仿宋_GB2312" w:eastAsia="仿宋_GB2312" w:cs="仿宋_GB2312"/>
          <w:sz w:val="24"/>
          <w:szCs w:val="24"/>
        </w:rPr>
        <w:t>六、确定成交单位、授予合同</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35"/>
        <w:tabs>
          <w:tab w:val="right" w:leader="dot" w:pos="8300"/>
          <w:tab w:val="clear" w:pos="9344"/>
        </w:tabs>
        <w:adjustRightInd w:val="0"/>
        <w:snapToGrid w:val="0"/>
        <w:spacing w:before="0" w:after="0"/>
        <w:jc w:val="both"/>
        <w:rPr>
          <w:rFonts w:ascii="仿宋_GB2312" w:hAnsi="仿宋_GB2312" w:eastAsia="仿宋_GB2312" w:cs="仿宋_GB2312"/>
          <w:b w:val="0"/>
          <w:bCs w:val="0"/>
          <w:szCs w:val="24"/>
        </w:rPr>
      </w:pPr>
      <w:r>
        <w:fldChar w:fldCharType="begin"/>
      </w:r>
      <w:r>
        <w:instrText xml:space="preserve"> HYPERLINK \l "_Toc62196426" </w:instrText>
      </w:r>
      <w:r>
        <w:fldChar w:fldCharType="separate"/>
      </w:r>
      <w:r>
        <w:rPr>
          <w:rFonts w:hint="eastAsia" w:ascii="仿宋_GB2312" w:hAnsi="仿宋_GB2312" w:eastAsia="仿宋_GB2312" w:cs="仿宋_GB2312"/>
          <w:b w:val="0"/>
          <w:bCs w:val="0"/>
          <w:szCs w:val="24"/>
        </w:rPr>
        <w:t>第三章 评审办法和标准</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rPr>
        <w:fldChar w:fldCharType="begin"/>
      </w:r>
      <w:r>
        <w:rPr>
          <w:rFonts w:hint="eastAsia" w:ascii="仿宋_GB2312" w:hAnsi="仿宋_GB2312" w:eastAsia="仿宋_GB2312" w:cs="仿宋_GB2312"/>
          <w:b w:val="0"/>
          <w:bCs w:val="0"/>
          <w:szCs w:val="24"/>
        </w:rPr>
        <w:instrText xml:space="preserve"> PAGEREF _Toc62196426 \h </w:instrText>
      </w:r>
      <w:r>
        <w:rPr>
          <w:rFonts w:hint="eastAsia" w:ascii="仿宋_GB2312" w:hAnsi="仿宋_GB2312" w:eastAsia="仿宋_GB2312" w:cs="仿宋_GB2312"/>
          <w:b w:val="0"/>
          <w:bCs w:val="0"/>
          <w:szCs w:val="24"/>
        </w:rPr>
        <w:fldChar w:fldCharType="separate"/>
      </w:r>
      <w:r>
        <w:rPr>
          <w:rFonts w:hint="eastAsia" w:ascii="仿宋_GB2312" w:hAnsi="仿宋_GB2312" w:eastAsia="仿宋_GB2312" w:cs="仿宋_GB2312"/>
          <w:b w:val="0"/>
          <w:bCs w:val="0"/>
          <w:szCs w:val="24"/>
        </w:rPr>
        <w:t>18</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rPr>
        <w:fldChar w:fldCharType="end"/>
      </w:r>
    </w:p>
    <w:p>
      <w:pPr>
        <w:pStyle w:val="40"/>
        <w:tabs>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"_Toc62196427" </w:instrText>
      </w:r>
      <w:r>
        <w:fldChar w:fldCharType="separate"/>
      </w:r>
      <w:r>
        <w:rPr>
          <w:rStyle w:val="59"/>
          <w:rFonts w:hint="default" w:ascii="仿宋_GB2312" w:hAnsi="仿宋_GB2312" w:eastAsia="仿宋_GB2312" w:cs="仿宋_GB2312"/>
          <w:sz w:val="24"/>
          <w:szCs w:val="24"/>
        </w:rPr>
        <w:t>1.评审方法</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"_Toc62196428" </w:instrText>
      </w:r>
      <w:r>
        <w:fldChar w:fldCharType="separate"/>
      </w:r>
      <w:r>
        <w:rPr>
          <w:rStyle w:val="59"/>
          <w:rFonts w:hint="default" w:ascii="仿宋_GB2312" w:hAnsi="仿宋_GB2312" w:eastAsia="仿宋_GB2312" w:cs="仿宋_GB2312"/>
          <w:sz w:val="24"/>
          <w:szCs w:val="24"/>
        </w:rPr>
        <w:t>2.评审标准</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40"/>
        <w:tabs>
          <w:tab w:val="right" w:leader="dot" w:pos="8300"/>
        </w:tabs>
        <w:snapToGrid w:val="0"/>
        <w:spacing w:line="360" w:lineRule="auto"/>
        <w:ind w:firstLine="480" w:firstLineChars="200"/>
        <w:jc w:val="both"/>
        <w:rPr>
          <w:rFonts w:ascii="仿宋_GB2312" w:hAnsi="仿宋_GB2312" w:eastAsia="仿宋_GB2312" w:cs="仿宋_GB2312"/>
          <w:smallCaps w:val="0"/>
          <w:kern w:val="2"/>
        </w:rPr>
      </w:pPr>
      <w:r>
        <w:fldChar w:fldCharType="begin"/>
      </w:r>
      <w:r>
        <w:instrText xml:space="preserve"> HYPERLINK \l "_Toc62196429" </w:instrText>
      </w:r>
      <w:r>
        <w:fldChar w:fldCharType="separate"/>
      </w:r>
      <w:r>
        <w:rPr>
          <w:rStyle w:val="59"/>
          <w:rFonts w:hint="default" w:ascii="仿宋_GB2312" w:hAnsi="仿宋_GB2312" w:eastAsia="仿宋_GB2312" w:cs="仿宋_GB2312"/>
          <w:sz w:val="24"/>
          <w:szCs w:val="24"/>
        </w:rPr>
        <w:t>3.评审程序</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_Toc62196429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35"/>
        <w:tabs>
          <w:tab w:val="right" w:leader="dot" w:pos="8300"/>
          <w:tab w:val="clear" w:pos="9344"/>
        </w:tabs>
        <w:adjustRightInd w:val="0"/>
        <w:snapToGrid w:val="0"/>
        <w:spacing w:before="0" w:after="0"/>
        <w:jc w:val="both"/>
        <w:rPr>
          <w:rFonts w:ascii="仿宋_GB2312" w:hAnsi="仿宋_GB2312" w:eastAsia="仿宋_GB2312" w:cs="仿宋_GB2312"/>
          <w:b w:val="0"/>
          <w:bCs w:val="0"/>
          <w:szCs w:val="24"/>
        </w:rPr>
      </w:pPr>
      <w:r>
        <w:fldChar w:fldCharType="begin"/>
      </w:r>
      <w:r>
        <w:instrText xml:space="preserve"> HYPERLINK \l "_Toc62196430" </w:instrText>
      </w:r>
      <w:r>
        <w:fldChar w:fldCharType="separate"/>
      </w:r>
      <w:r>
        <w:rPr>
          <w:rFonts w:hint="eastAsia" w:ascii="仿宋_GB2312" w:hAnsi="仿宋_GB2312" w:eastAsia="仿宋_GB2312" w:cs="仿宋_GB2312"/>
          <w:b w:val="0"/>
          <w:bCs w:val="0"/>
          <w:szCs w:val="24"/>
        </w:rPr>
        <w:t>第四章 合同草案条款</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rPr>
        <w:fldChar w:fldCharType="begin"/>
      </w:r>
      <w:r>
        <w:rPr>
          <w:rFonts w:hint="eastAsia" w:ascii="仿宋_GB2312" w:hAnsi="仿宋_GB2312" w:eastAsia="仿宋_GB2312" w:cs="仿宋_GB2312"/>
          <w:b w:val="0"/>
          <w:bCs w:val="0"/>
          <w:szCs w:val="24"/>
        </w:rPr>
        <w:instrText xml:space="preserve"> PAGEREF _Toc62196430 \h </w:instrText>
      </w:r>
      <w:r>
        <w:rPr>
          <w:rFonts w:hint="eastAsia" w:ascii="仿宋_GB2312" w:hAnsi="仿宋_GB2312" w:eastAsia="仿宋_GB2312" w:cs="仿宋_GB2312"/>
          <w:b w:val="0"/>
          <w:bCs w:val="0"/>
          <w:szCs w:val="24"/>
        </w:rPr>
        <w:fldChar w:fldCharType="separate"/>
      </w:r>
      <w:r>
        <w:rPr>
          <w:rFonts w:hint="eastAsia" w:ascii="仿宋_GB2312" w:hAnsi="仿宋_GB2312" w:eastAsia="仿宋_GB2312" w:cs="仿宋_GB2312"/>
          <w:b w:val="0"/>
          <w:bCs w:val="0"/>
          <w:szCs w:val="24"/>
        </w:rPr>
        <w:t>29</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rPr>
        <w:fldChar w:fldCharType="end"/>
      </w:r>
    </w:p>
    <w:p>
      <w:pPr>
        <w:pStyle w:val="35"/>
        <w:tabs>
          <w:tab w:val="right" w:leader="dot" w:pos="8300"/>
          <w:tab w:val="clear" w:pos="9344"/>
        </w:tabs>
        <w:adjustRightInd w:val="0"/>
        <w:snapToGrid w:val="0"/>
        <w:spacing w:before="0" w:after="0"/>
        <w:jc w:val="both"/>
        <w:rPr>
          <w:rFonts w:hint="eastAsia" w:ascii="仿宋_GB2312" w:hAnsi="仿宋_GB2312" w:eastAsia="仿宋_GB2312" w:cs="仿宋_GB2312"/>
          <w:b w:val="0"/>
          <w:bCs w:val="0"/>
          <w:szCs w:val="24"/>
          <w:lang w:val="en-US" w:eastAsia="zh-CN"/>
        </w:rPr>
      </w:pPr>
      <w:r>
        <w:fldChar w:fldCharType="begin"/>
      </w:r>
      <w:r>
        <w:instrText xml:space="preserve"> HYPERLINK \l "_Toc62196431" </w:instrText>
      </w:r>
      <w:r>
        <w:fldChar w:fldCharType="separate"/>
      </w:r>
      <w:r>
        <w:rPr>
          <w:rFonts w:hint="eastAsia" w:ascii="仿宋_GB2312" w:hAnsi="仿宋_GB2312" w:eastAsia="仿宋_GB2312" w:cs="仿宋_GB2312"/>
          <w:b w:val="0"/>
          <w:bCs w:val="0"/>
          <w:szCs w:val="24"/>
        </w:rPr>
        <w:t>第五章 采购内容及要求</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lang w:val="en-US" w:eastAsia="zh-CN"/>
        </w:rPr>
        <w:t>3</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lang w:val="en-US" w:eastAsia="zh-CN"/>
        </w:rPr>
        <w:t>5</w:t>
      </w:r>
    </w:p>
    <w:p>
      <w:pPr>
        <w:pStyle w:val="35"/>
        <w:tabs>
          <w:tab w:val="right" w:leader="dot" w:pos="8300"/>
          <w:tab w:val="clear" w:pos="9344"/>
        </w:tabs>
        <w:adjustRightInd w:val="0"/>
        <w:snapToGrid w:val="0"/>
        <w:spacing w:before="0" w:after="0"/>
        <w:jc w:val="both"/>
        <w:rPr>
          <w:rFonts w:hint="eastAsia" w:ascii="仿宋_GB2312" w:hAnsi="仿宋_GB2312" w:eastAsia="仿宋_GB2312" w:cs="仿宋_GB2312"/>
          <w:b w:val="0"/>
          <w:bCs w:val="0"/>
          <w:szCs w:val="24"/>
          <w:lang w:val="en-US" w:eastAsia="zh-CN"/>
        </w:rPr>
      </w:pPr>
      <w:r>
        <w:fldChar w:fldCharType="begin"/>
      </w:r>
      <w:r>
        <w:instrText xml:space="preserve"> HYPERLINK \l "_Toc62196432" </w:instrText>
      </w:r>
      <w:r>
        <w:fldChar w:fldCharType="separate"/>
      </w:r>
      <w:r>
        <w:rPr>
          <w:rFonts w:hint="eastAsia" w:ascii="仿宋_GB2312" w:hAnsi="仿宋_GB2312" w:eastAsia="仿宋_GB2312" w:cs="仿宋_GB2312"/>
          <w:b w:val="0"/>
          <w:bCs w:val="0"/>
          <w:szCs w:val="24"/>
        </w:rPr>
        <w:t>第六章 磋商响应文件格式</w:t>
      </w:r>
      <w:r>
        <w:rPr>
          <w:rFonts w:hint="eastAsia" w:ascii="仿宋_GB2312" w:hAnsi="仿宋_GB2312" w:eastAsia="仿宋_GB2312" w:cs="仿宋_GB2312"/>
          <w:b w:val="0"/>
          <w:bCs w:val="0"/>
          <w:szCs w:val="24"/>
        </w:rPr>
        <w:tab/>
      </w:r>
      <w:r>
        <w:rPr>
          <w:rFonts w:hint="eastAsia" w:ascii="仿宋_GB2312" w:hAnsi="仿宋_GB2312" w:eastAsia="仿宋_GB2312" w:cs="仿宋_GB2312"/>
          <w:b w:val="0"/>
          <w:bCs w:val="0"/>
          <w:szCs w:val="24"/>
          <w:lang w:val="en-US" w:eastAsia="zh-CN"/>
        </w:rPr>
        <w:t>6</w:t>
      </w:r>
      <w:r>
        <w:rPr>
          <w:rFonts w:hint="eastAsia" w:ascii="仿宋_GB2312" w:hAnsi="仿宋_GB2312" w:eastAsia="仿宋_GB2312" w:cs="仿宋_GB2312"/>
          <w:b w:val="0"/>
          <w:bCs w:val="0"/>
          <w:szCs w:val="24"/>
        </w:rPr>
        <w:fldChar w:fldCharType="end"/>
      </w:r>
      <w:r>
        <w:rPr>
          <w:rFonts w:hint="eastAsia" w:ascii="仿宋_GB2312" w:hAnsi="仿宋_GB2312" w:eastAsia="仿宋_GB2312" w:cs="仿宋_GB2312"/>
          <w:b w:val="0"/>
          <w:bCs w:val="0"/>
          <w:szCs w:val="24"/>
          <w:lang w:val="en-US" w:eastAsia="zh-CN"/>
        </w:rPr>
        <w:t>1</w:t>
      </w:r>
    </w:p>
    <w:p>
      <w:pPr>
        <w:pStyle w:val="40"/>
        <w:tabs>
          <w:tab w:val="right" w:leader="dot" w:pos="8300"/>
        </w:tabs>
        <w:snapToGrid w:val="0"/>
        <w:spacing w:line="360" w:lineRule="auto"/>
        <w:ind w:firstLine="480" w:firstLineChars="200"/>
        <w:jc w:val="both"/>
        <w:rPr>
          <w:rFonts w:ascii="仿宋_GB2312" w:hAnsi="仿宋_GB2312" w:eastAsia="仿宋_GB2312" w:cs="仿宋_GB2312"/>
          <w:smallCaps w:val="0"/>
          <w:kern w:val="2"/>
          <w:sz w:val="21"/>
          <w:szCs w:val="22"/>
        </w:rPr>
      </w:pPr>
      <w:r>
        <w:rPr>
          <w:rFonts w:hint="eastAsia"/>
          <w:lang w:val="en-US" w:eastAsia="zh-CN"/>
        </w:rPr>
        <w:t xml:space="preserve">     </w:t>
      </w:r>
    </w:p>
    <w:p>
      <w:pPr>
        <w:tabs>
          <w:tab w:val="center" w:pos="4677"/>
          <w:tab w:val="left" w:pos="5040"/>
        </w:tabs>
        <w:adjustRightInd w:val="0"/>
        <w:snapToGrid w:val="0"/>
        <w:spacing w:line="360" w:lineRule="auto"/>
        <w:jc w:val="left"/>
        <w:rPr>
          <w:rFonts w:ascii="仿宋_GB2312" w:hAnsi="仿宋_GB2312" w:eastAsia="仿宋_GB2312" w:cs="仿宋_GB2312"/>
          <w:szCs w:val="20"/>
        </w:rPr>
      </w:pPr>
      <w:r>
        <w:rPr>
          <w:rFonts w:hint="eastAsia" w:ascii="仿宋_GB2312" w:hAnsi="仿宋_GB2312" w:eastAsia="仿宋_GB2312" w:cs="仿宋_GB2312"/>
          <w:szCs w:val="20"/>
        </w:rPr>
        <w:fldChar w:fldCharType="end"/>
      </w:r>
    </w:p>
    <w:p>
      <w:pPr>
        <w:sectPr>
          <w:footerReference r:id="rId7" w:type="first"/>
          <w:footerReference r:id="rId6" w:type="default"/>
          <w:pgSz w:w="11906" w:h="16838"/>
          <w:pgMar w:top="1440" w:right="1800" w:bottom="1440" w:left="1800" w:header="851" w:footer="992" w:gutter="0"/>
          <w:cols w:space="720" w:num="1"/>
          <w:titlePg/>
          <w:docGrid w:linePitch="312" w:charSpace="0"/>
        </w:sectPr>
      </w:pPr>
      <w:r>
        <w:rPr>
          <w:rFonts w:hint="eastAsia" w:ascii="仿宋_GB2312" w:hAnsi="仿宋_GB2312" w:eastAsia="仿宋_GB2312" w:cs="仿宋_GB2312"/>
          <w:szCs w:val="20"/>
        </w:rPr>
        <w:br w:type="page"/>
      </w:r>
    </w:p>
    <w:p>
      <w:pPr>
        <w:pStyle w:val="46"/>
        <w:spacing w:line="360" w:lineRule="auto"/>
        <w:rPr>
          <w:rFonts w:ascii="仿宋_GB2312" w:hAnsi="仿宋_GB2312" w:eastAsia="仿宋_GB2312" w:cs="仿宋_GB2312"/>
        </w:rPr>
      </w:pPr>
      <w:bookmarkStart w:id="0" w:name="_Toc62196416"/>
      <w:bookmarkStart w:id="1" w:name="_Toc58504445"/>
      <w:bookmarkStart w:id="2" w:name="_Toc21755"/>
      <w:bookmarkStart w:id="3" w:name="_Toc415499894"/>
      <w:bookmarkStart w:id="4" w:name="_Toc503063420"/>
      <w:bookmarkStart w:id="5" w:name="_Toc177817333"/>
      <w:bookmarkStart w:id="6" w:name="_Toc177189234"/>
      <w:bookmarkStart w:id="7" w:name="_Toc177995472"/>
      <w:bookmarkStart w:id="8" w:name="_Toc53722839"/>
      <w:bookmarkStart w:id="9" w:name="_Toc500747187"/>
      <w:bookmarkStart w:id="10" w:name="_Toc500747060"/>
      <w:bookmarkStart w:id="11" w:name="_Toc492955413"/>
      <w:bookmarkStart w:id="12" w:name="_Toc499711882"/>
      <w:bookmarkStart w:id="13" w:name="_Toc500746964"/>
      <w:bookmarkStart w:id="14" w:name="_Toc496324577"/>
      <w:bookmarkStart w:id="15" w:name="_Toc70687138"/>
      <w:bookmarkStart w:id="16" w:name="_Toc176882541"/>
      <w:bookmarkStart w:id="17" w:name="_Toc499711041"/>
      <w:bookmarkStart w:id="18" w:name="_Toc385992325"/>
      <w:bookmarkStart w:id="19" w:name="_Toc385992324"/>
      <w:r>
        <w:rPr>
          <w:rFonts w:hint="eastAsia" w:ascii="仿宋_GB2312" w:hAnsi="仿宋_GB2312" w:eastAsia="仿宋_GB2312" w:cs="仿宋_GB2312"/>
        </w:rPr>
        <w:t>第一章  磋商公告</w:t>
      </w:r>
      <w:bookmarkEnd w:id="0"/>
      <w:bookmarkEnd w:id="1"/>
      <w:bookmarkEnd w:id="2"/>
      <w:bookmarkEnd w:id="3"/>
    </w:p>
    <w:p>
      <w:pPr>
        <w:spacing w:line="360" w:lineRule="auto"/>
        <w:jc w:val="cente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丈八街道社区（村）级阵地提升工程（二期）</w:t>
      </w:r>
    </w:p>
    <w:p>
      <w:pPr>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竞争性磋商公告</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丈八街道社区（村）级阵地提升工程（二期）</w:t>
      </w:r>
      <w:r>
        <w:rPr>
          <w:rFonts w:hint="eastAsia" w:ascii="仿宋_GB2312" w:hAnsi="仿宋_GB2312" w:eastAsia="仿宋_GB2312" w:cs="仿宋_GB2312"/>
          <w:kern w:val="0"/>
          <w:sz w:val="24"/>
        </w:rPr>
        <w:t>潜在的供应商可在</w:t>
      </w:r>
      <w:r>
        <w:rPr>
          <w:rFonts w:hint="eastAsia" w:ascii="仿宋_GB2312" w:hAnsi="仿宋_GB2312" w:eastAsia="仿宋_GB2312" w:cs="仿宋_GB2312"/>
          <w:kern w:val="0"/>
          <w:sz w:val="24"/>
          <w:lang w:val="en-US" w:eastAsia="zh-CN"/>
        </w:rPr>
        <w:t>西安市高新区唐延路1号旺座国际城A座12楼</w:t>
      </w:r>
      <w:r>
        <w:rPr>
          <w:rFonts w:hint="eastAsia" w:ascii="仿宋_GB2312" w:hAnsi="仿宋_GB2312" w:eastAsia="仿宋_GB2312" w:cs="仿宋_GB2312"/>
          <w:kern w:val="0"/>
          <w:sz w:val="24"/>
        </w:rPr>
        <w:t>获取</w:t>
      </w:r>
      <w:r>
        <w:rPr>
          <w:rFonts w:hint="eastAsia" w:ascii="仿宋_GB2312" w:hAnsi="仿宋_GB2312" w:eastAsia="仿宋_GB2312" w:cs="仿宋_GB2312"/>
          <w:kern w:val="0"/>
          <w:sz w:val="24"/>
          <w:lang w:val="en-US" w:eastAsia="zh-CN"/>
        </w:rPr>
        <w:t>磋商</w:t>
      </w:r>
      <w:r>
        <w:rPr>
          <w:rFonts w:hint="eastAsia" w:ascii="仿宋_GB2312" w:hAnsi="仿宋_GB2312" w:eastAsia="仿宋_GB2312" w:cs="仿宋_GB2312"/>
          <w:kern w:val="0"/>
          <w:sz w:val="24"/>
        </w:rPr>
        <w:t>文件，并于</w:t>
      </w:r>
      <w:r>
        <w:rPr>
          <w:rFonts w:hint="eastAsia" w:ascii="仿宋_GB2312" w:hAnsi="仿宋_GB2312" w:eastAsia="仿宋_GB2312" w:cs="仿宋_GB2312"/>
          <w:kern w:val="0"/>
          <w:sz w:val="24"/>
          <w:highlight w:val="none"/>
          <w:u w:val="none"/>
        </w:rPr>
        <w:t xml:space="preserve"> 2021-0</w:t>
      </w:r>
      <w:r>
        <w:rPr>
          <w:rFonts w:hint="eastAsia" w:ascii="仿宋_GB2312" w:hAnsi="仿宋_GB2312" w:eastAsia="仿宋_GB2312" w:cs="仿宋_GB2312"/>
          <w:kern w:val="0"/>
          <w:sz w:val="24"/>
          <w:highlight w:val="none"/>
          <w:u w:val="none"/>
          <w:lang w:val="en-US" w:eastAsia="zh-CN"/>
        </w:rPr>
        <w:t>7</w:t>
      </w:r>
      <w:r>
        <w:rPr>
          <w:rFonts w:hint="eastAsia" w:ascii="仿宋_GB2312" w:hAnsi="仿宋_GB2312" w:eastAsia="仿宋_GB2312" w:cs="仿宋_GB2312"/>
          <w:kern w:val="0"/>
          <w:sz w:val="24"/>
          <w:highlight w:val="none"/>
          <w:u w:val="none"/>
        </w:rPr>
        <w:t>-0</w:t>
      </w:r>
      <w:r>
        <w:rPr>
          <w:rFonts w:hint="eastAsia" w:ascii="仿宋_GB2312" w:hAnsi="仿宋_GB2312" w:eastAsia="仿宋_GB2312" w:cs="仿宋_GB2312"/>
          <w:kern w:val="0"/>
          <w:sz w:val="24"/>
          <w:highlight w:val="none"/>
          <w:u w:val="none"/>
          <w:lang w:val="en-US" w:eastAsia="zh-CN"/>
        </w:rPr>
        <w:t>2 9</w:t>
      </w:r>
      <w:r>
        <w:rPr>
          <w:rFonts w:hint="eastAsia" w:ascii="仿宋_GB2312" w:hAnsi="仿宋_GB2312" w:eastAsia="仿宋_GB2312" w:cs="仿宋_GB2312"/>
          <w:kern w:val="0"/>
          <w:sz w:val="24"/>
          <w:highlight w:val="none"/>
          <w:u w:val="none"/>
        </w:rPr>
        <w:t>:30:00</w:t>
      </w:r>
      <w:r>
        <w:rPr>
          <w:rFonts w:hint="eastAsia" w:ascii="仿宋_GB2312" w:hAnsi="仿宋_GB2312" w:eastAsia="仿宋_GB2312" w:cs="仿宋_GB2312"/>
          <w:kern w:val="0"/>
          <w:sz w:val="24"/>
        </w:rPr>
        <w:t xml:space="preserve">前递交响应文件。 </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一、项目基本情况 </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1、项目编号：</w:t>
      </w:r>
      <w:r>
        <w:rPr>
          <w:rFonts w:hint="eastAsia" w:ascii="仿宋_GB2312" w:hAnsi="仿宋_GB2312" w:eastAsia="仿宋_GB2312" w:cs="仿宋_GB2312"/>
          <w:kern w:val="0"/>
          <w:sz w:val="24"/>
          <w:lang w:eastAsia="zh-CN"/>
        </w:rPr>
        <w:t>ZR30GN2021-ZB-012</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2、项目名称：</w:t>
      </w:r>
      <w:r>
        <w:rPr>
          <w:rFonts w:hint="eastAsia" w:ascii="仿宋_GB2312" w:hAnsi="仿宋_GB2312" w:eastAsia="仿宋_GB2312" w:cs="仿宋_GB2312"/>
          <w:kern w:val="0"/>
          <w:sz w:val="24"/>
          <w:lang w:eastAsia="zh-CN"/>
        </w:rPr>
        <w:t>丈八街道社区（村）级阵地提升工程（二期）</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3、预算金额：</w:t>
      </w:r>
      <w:r>
        <w:rPr>
          <w:rFonts w:hint="eastAsia" w:ascii="仿宋_GB2312" w:hAnsi="仿宋_GB2312" w:eastAsia="仿宋_GB2312" w:cs="仿宋_GB2312"/>
          <w:kern w:val="0"/>
          <w:sz w:val="24"/>
          <w:lang w:val="en-US" w:eastAsia="zh-CN"/>
        </w:rPr>
        <w:t>3937898</w:t>
      </w: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lang w:val="en-US" w:eastAsia="zh-CN"/>
        </w:rPr>
        <w:t>76</w:t>
      </w:r>
      <w:r>
        <w:rPr>
          <w:rFonts w:hint="eastAsia" w:ascii="仿宋_GB2312" w:hAnsi="仿宋_GB2312" w:eastAsia="仿宋_GB2312" w:cs="仿宋_GB2312"/>
          <w:kern w:val="0"/>
          <w:sz w:val="24"/>
        </w:rPr>
        <w:t>元</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4、最高限价：</w:t>
      </w:r>
      <w:r>
        <w:rPr>
          <w:rFonts w:hint="eastAsia" w:ascii="仿宋_GB2312" w:hAnsi="仿宋_GB2312" w:eastAsia="仿宋_GB2312" w:cs="仿宋_GB2312"/>
          <w:kern w:val="0"/>
          <w:sz w:val="24"/>
          <w:lang w:val="en-US" w:eastAsia="zh-CN"/>
        </w:rPr>
        <w:t>无</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5、采购需求：</w:t>
      </w:r>
      <w:r>
        <w:rPr>
          <w:rFonts w:hint="eastAsia" w:ascii="仿宋_GB2312" w:hAnsi="仿宋_GB2312" w:eastAsia="仿宋_GB2312" w:cs="仿宋_GB2312"/>
          <w:kern w:val="0"/>
          <w:sz w:val="24"/>
          <w:u w:val="none"/>
          <w:lang w:eastAsia="zh-CN"/>
        </w:rPr>
        <w:t>丈八街道社区（村）级阵地提升工程（二期）</w:t>
      </w:r>
      <w:r>
        <w:rPr>
          <w:rFonts w:hint="eastAsia" w:ascii="仿宋_GB2312" w:hAnsi="仿宋_GB2312" w:eastAsia="仿宋_GB2312" w:cs="仿宋_GB2312"/>
          <w:kern w:val="0"/>
          <w:sz w:val="24"/>
        </w:rPr>
        <w:t>，1项， 采购预算：</w:t>
      </w:r>
      <w:r>
        <w:rPr>
          <w:rFonts w:hint="eastAsia" w:ascii="仿宋_GB2312" w:hAnsi="仿宋_GB2312" w:eastAsia="仿宋_GB2312" w:cs="仿宋_GB2312"/>
          <w:kern w:val="0"/>
          <w:sz w:val="24"/>
          <w:lang w:val="en-US" w:eastAsia="zh-CN"/>
        </w:rPr>
        <w:t>3937898</w:t>
      </w: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lang w:val="en-US" w:eastAsia="zh-CN"/>
        </w:rPr>
        <w:t>76</w:t>
      </w:r>
      <w:r>
        <w:rPr>
          <w:rFonts w:hint="eastAsia" w:ascii="仿宋_GB2312" w:hAnsi="仿宋_GB2312" w:eastAsia="仿宋_GB2312" w:cs="仿宋_GB2312"/>
          <w:kern w:val="0"/>
          <w:sz w:val="24"/>
        </w:rPr>
        <w:t>元，项目概况：</w:t>
      </w:r>
      <w:r>
        <w:rPr>
          <w:rFonts w:hint="eastAsia" w:ascii="仿宋_GB2312" w:hAnsi="仿宋_GB2312" w:eastAsia="仿宋_GB2312" w:cs="仿宋_GB2312"/>
          <w:kern w:val="0"/>
          <w:sz w:val="24"/>
          <w:u w:val="none"/>
          <w:lang w:eastAsia="zh-CN"/>
        </w:rPr>
        <w:t>丈八街道社区（村）级阵地提升工程（二期）包含陈家庄社区、里花水社区、茶张村、东付社区、东辛庄社区、蒋家寨社区、南窑头社区、铺尚社区、西付社区、西辛庄社区、余家庄社区、袁旗寨社区、闸口社区、丈八东社区、丈八西社区、东滩社区、双水磨社区、甘家寨社区等17个社区、1个村的基层组织阵地提升。</w:t>
      </w:r>
      <w:r>
        <w:rPr>
          <w:rFonts w:hint="eastAsia" w:ascii="仿宋_GB2312" w:hAnsi="仿宋_GB2312" w:eastAsia="仿宋_GB2312" w:cs="仿宋_GB2312"/>
          <w:kern w:val="0"/>
          <w:sz w:val="24"/>
        </w:rPr>
        <w:t>具体要求详见竞争性磋商文件。简要技术要求、用途：</w:t>
      </w:r>
      <w:r>
        <w:rPr>
          <w:rFonts w:hint="eastAsia" w:ascii="仿宋_GB2312" w:hAnsi="仿宋_GB2312" w:eastAsia="仿宋_GB2312" w:cs="仿宋_GB2312"/>
          <w:kern w:val="0"/>
          <w:sz w:val="24"/>
          <w:lang w:val="en-US" w:eastAsia="zh-CN"/>
        </w:rPr>
        <w:t>党群服务中心建设</w:t>
      </w:r>
      <w:r>
        <w:rPr>
          <w:rFonts w:hint="eastAsia" w:ascii="仿宋_GB2312" w:hAnsi="仿宋_GB2312" w:eastAsia="仿宋_GB2312" w:cs="仿宋_GB2312"/>
          <w:kern w:val="0"/>
          <w:sz w:val="24"/>
          <w:lang w:eastAsia="zh-CN"/>
        </w:rPr>
        <w:t>提升</w:t>
      </w:r>
      <w:r>
        <w:rPr>
          <w:rFonts w:hint="eastAsia" w:ascii="仿宋_GB2312" w:hAnsi="仿宋_GB2312" w:eastAsia="仿宋_GB2312" w:cs="仿宋_GB2312"/>
          <w:kern w:val="0"/>
          <w:sz w:val="24"/>
        </w:rPr>
        <w:t>。</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6、合同履行期限：</w:t>
      </w:r>
      <w:r>
        <w:rPr>
          <w:rFonts w:hint="eastAsia" w:ascii="仿宋_GB2312" w:hAnsi="仿宋_GB2312" w:eastAsia="仿宋_GB2312" w:cs="仿宋_GB2312"/>
          <w:kern w:val="0"/>
          <w:sz w:val="24"/>
          <w:highlight w:val="none"/>
        </w:rPr>
        <w:t>2021-0</w:t>
      </w:r>
      <w:r>
        <w:rPr>
          <w:rFonts w:hint="eastAsia" w:ascii="仿宋_GB2312" w:hAnsi="仿宋_GB2312" w:eastAsia="仿宋_GB2312" w:cs="仿宋_GB2312"/>
          <w:kern w:val="0"/>
          <w:sz w:val="24"/>
          <w:highlight w:val="none"/>
          <w:lang w:val="en-US" w:eastAsia="zh-CN"/>
        </w:rPr>
        <w:t>7</w:t>
      </w:r>
      <w:r>
        <w:rPr>
          <w:rFonts w:hint="eastAsia" w:ascii="仿宋_GB2312" w:hAnsi="仿宋_GB2312" w:eastAsia="仿宋_GB2312" w:cs="仿宋_GB2312"/>
          <w:kern w:val="0"/>
          <w:sz w:val="24"/>
          <w:highlight w:val="none"/>
        </w:rPr>
        <w:t>-</w:t>
      </w:r>
      <w:r>
        <w:rPr>
          <w:rFonts w:hint="eastAsia" w:ascii="仿宋_GB2312" w:hAnsi="仿宋_GB2312" w:eastAsia="仿宋_GB2312" w:cs="仿宋_GB2312"/>
          <w:kern w:val="0"/>
          <w:sz w:val="24"/>
          <w:highlight w:val="none"/>
          <w:lang w:val="en-US" w:eastAsia="zh-CN"/>
        </w:rPr>
        <w:t>07</w:t>
      </w:r>
      <w:r>
        <w:rPr>
          <w:rFonts w:hint="eastAsia" w:ascii="仿宋_GB2312" w:hAnsi="仿宋_GB2312" w:eastAsia="仿宋_GB2312" w:cs="仿宋_GB2312"/>
          <w:kern w:val="0"/>
          <w:sz w:val="24"/>
          <w:highlight w:val="none"/>
        </w:rPr>
        <w:t xml:space="preserve">  00:00:00 至 2021-0</w:t>
      </w:r>
      <w:r>
        <w:rPr>
          <w:rFonts w:hint="eastAsia" w:ascii="仿宋_GB2312" w:hAnsi="仿宋_GB2312" w:eastAsia="仿宋_GB2312" w:cs="仿宋_GB2312"/>
          <w:kern w:val="0"/>
          <w:sz w:val="24"/>
          <w:highlight w:val="none"/>
          <w:lang w:val="en-US" w:eastAsia="zh-CN"/>
        </w:rPr>
        <w:t>8</w:t>
      </w:r>
      <w:r>
        <w:rPr>
          <w:rFonts w:hint="eastAsia" w:ascii="仿宋_GB2312" w:hAnsi="仿宋_GB2312" w:eastAsia="仿宋_GB2312" w:cs="仿宋_GB2312"/>
          <w:kern w:val="0"/>
          <w:sz w:val="24"/>
          <w:highlight w:val="none"/>
        </w:rPr>
        <w:t>-</w:t>
      </w:r>
      <w:r>
        <w:rPr>
          <w:rFonts w:hint="eastAsia" w:ascii="仿宋_GB2312" w:hAnsi="仿宋_GB2312" w:eastAsia="仿宋_GB2312" w:cs="仿宋_GB2312"/>
          <w:kern w:val="0"/>
          <w:sz w:val="24"/>
          <w:highlight w:val="none"/>
          <w:lang w:val="en-US" w:eastAsia="zh-CN"/>
        </w:rPr>
        <w:t>07</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00:00:00（具体</w:t>
      </w:r>
      <w:r>
        <w:rPr>
          <w:rFonts w:hint="eastAsia" w:ascii="仿宋_GB2312" w:hAnsi="仿宋_GB2312" w:eastAsia="仿宋_GB2312" w:cs="仿宋_GB2312"/>
          <w:kern w:val="0"/>
          <w:sz w:val="24"/>
          <w:lang w:val="en-US" w:eastAsia="zh-CN"/>
        </w:rPr>
        <w:t>服务</w:t>
      </w:r>
      <w:r>
        <w:rPr>
          <w:rFonts w:hint="eastAsia" w:ascii="仿宋_GB2312" w:hAnsi="仿宋_GB2312" w:eastAsia="仿宋_GB2312" w:cs="仿宋_GB2312"/>
          <w:kern w:val="0"/>
          <w:sz w:val="24"/>
        </w:rPr>
        <w:t>起止日期可随合同签订时间相应顺延）</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7、本项目是否接受联合体投标：否</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二、响应供应商的资格要求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1、满足《中华人民共和国政府采购法》第二十二条规定；</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2、落实政府采购政策需满足的资格要求：</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2.1《政府采购促进中小企业发展管办法》（财库〔2020〕46号）；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2.2《财政部、司法部关于政府采购支持监狱企业发展有关问题的通知》（财库〔2014〕68号）；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2.3残疾人福利性单位应符合《财政部、民政部、中国残疾人联合会关于促进残疾人就业政府采购政策的通知》（财库[2017]141号）文件规定；</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2.4《财政部国家发展改革委关于印发(节能产品政府采购实施意见)的通知》(库(2004)185号)；</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2.5《国务院办公厅关于建立政府强制采购节能产品制度的通知》(国办发(2007)51号)；</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2.6 《财政部环保总局关于环境标志产品政府采购实施的意见》(财库(2006)90号)。</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若享受以上政策优惠的企业，提供相应声明函或品目清单范围内产品的有效认证证书。</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3、本项目的特定资格要求：</w:t>
      </w:r>
    </w:p>
    <w:p>
      <w:pPr>
        <w:widowControl/>
        <w:wordWrap w:val="0"/>
        <w:topLinePunct/>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3.1供应商在递交响应文件截止时间前被“信用中国”网站（www.creditchina.gov.cn）和中国政府采购网（www.ccgp.gov.cn）上被列入失信被执行人、重大税收违法案件当事人名单、政府采购严重违法失信行为记录名单的，不得参加磋商；</w:t>
      </w:r>
    </w:p>
    <w:p>
      <w:pPr>
        <w:widowControl/>
        <w:wordWrap w:val="0"/>
        <w:topLinePunct/>
        <w:snapToGrid w:val="0"/>
        <w:spacing w:line="360" w:lineRule="auto"/>
        <w:ind w:right="-197" w:rightChars="-94" w:firstLine="480" w:firstLineChars="200"/>
        <w:jc w:val="left"/>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rPr>
        <w:t>3.2供应商须具有建设行政主管部门颁发的建筑工程施工总承包三级以上（含三级）资质，且具有有效的安全生产许可证；拟派项目经理具有建筑工程专业二级以上（含二级）注册建造师证书和安全生产考核合格证（B证）</w:t>
      </w:r>
      <w:r>
        <w:rPr>
          <w:rFonts w:hint="eastAsia" w:ascii="仿宋_GB2312" w:hAnsi="仿宋_GB2312" w:eastAsia="仿宋_GB2312" w:cs="仿宋_GB2312"/>
          <w:kern w:val="0"/>
          <w:sz w:val="24"/>
          <w:lang w:eastAsia="zh-CN"/>
        </w:rPr>
        <w:t>；</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3.3供应商应授权合法的人员参加磋商全过程，其中法定代表人直接参加磋商的，须出具法人身份证，并与营业执照上信息一致。法定代表人授权代表参加磋商的，须出具法定代表人授权书及授权代表身份证、授权代表本单位证明（养老保险缴纳证明或劳动合同）；</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3.4供应商不得存在下列情形之一：</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（1）单位负责人为同一人或者存在直接控股、管理关系的不同供应商，不得参加本次采购活动；</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（2）为本项目提供整体设计、规范编制或者项目管理、监理、检测等服务的供应商，不得再参加本项目的采购活动；</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3.5需向采购代理机构免费领取磋商文件并登记备案，未向采购代理机构领取磋商文件并登记备案的供应商均无资格参加磋商。</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三、采购文件的获取方式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时间：即日起至2021-06-</w:t>
      </w:r>
      <w:r>
        <w:rPr>
          <w:rFonts w:hint="eastAsia" w:ascii="仿宋_GB2312" w:hAnsi="仿宋_GB2312" w:eastAsia="仿宋_GB2312" w:cs="仿宋_GB2312"/>
          <w:kern w:val="0"/>
          <w:sz w:val="24"/>
          <w:lang w:val="en-US" w:eastAsia="zh-CN"/>
        </w:rPr>
        <w:t>25</w:t>
      </w:r>
      <w:r>
        <w:rPr>
          <w:rFonts w:hint="eastAsia" w:ascii="仿宋_GB2312" w:hAnsi="仿宋_GB2312" w:eastAsia="仿宋_GB2312" w:cs="仿宋_GB2312"/>
          <w:kern w:val="0"/>
          <w:sz w:val="24"/>
        </w:rPr>
        <w:t xml:space="preserve">  17:00:00 止</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地点：</w:t>
      </w:r>
      <w:r>
        <w:rPr>
          <w:rFonts w:hint="eastAsia" w:ascii="仿宋_GB2312" w:hAnsi="仿宋_GB2312" w:eastAsia="仿宋_GB2312" w:cs="仿宋_GB2312"/>
          <w:kern w:val="0"/>
          <w:sz w:val="24"/>
          <w:lang w:val="en-US" w:eastAsia="zh-CN"/>
        </w:rPr>
        <w:t>西安市高新区唐延路1号旺座国际城A座12楼</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方式：</w:t>
      </w:r>
      <w:r>
        <w:rPr>
          <w:rFonts w:hint="eastAsia" w:ascii="仿宋_GB2312" w:hAnsi="仿宋_GB2312" w:eastAsia="仿宋_GB2312" w:cs="仿宋_GB2312"/>
          <w:kern w:val="0"/>
          <w:sz w:val="24"/>
          <w:lang w:val="en-US" w:eastAsia="zh-CN"/>
        </w:rPr>
        <w:t>现场购买/邮寄</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售价：免费赠送</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注：获取文件时须携带单位介绍信（原件）及身份证（复印件加盖公章）。或在采购文件获取时间内通过电子邮箱发送电子版资料的方式获取竞争性磋商文件，请将单位介绍信、身份证复印件加盖公章发至</w:t>
      </w:r>
      <w:r>
        <w:rPr>
          <w:rFonts w:hint="eastAsia" w:ascii="仿宋_GB2312" w:hAnsi="仿宋_GB2312" w:eastAsia="仿宋_GB2312" w:cs="仿宋_GB2312"/>
          <w:kern w:val="0"/>
          <w:sz w:val="24"/>
          <w:lang w:val="en-US" w:eastAsia="zh-CN"/>
        </w:rPr>
        <w:t>zhongrun</w:t>
      </w:r>
      <w:r>
        <w:rPr>
          <w:rFonts w:ascii="仿宋_GB2312" w:hAnsi="仿宋_GB2312" w:eastAsia="仿宋_GB2312" w:cs="仿宋_GB2312"/>
          <w:kern w:val="0"/>
          <w:sz w:val="24"/>
        </w:rPr>
        <w:t>@</w:t>
      </w:r>
      <w:r>
        <w:rPr>
          <w:rFonts w:hint="eastAsia" w:ascii="仿宋_GB2312" w:hAnsi="仿宋_GB2312" w:eastAsia="仿宋_GB2312" w:cs="仿宋_GB2312"/>
          <w:kern w:val="0"/>
          <w:sz w:val="24"/>
          <w:lang w:val="en-US" w:eastAsia="zh-CN"/>
        </w:rPr>
        <w:t>sxzrzb</w:t>
      </w:r>
      <w:r>
        <w:rPr>
          <w:rFonts w:ascii="仿宋_GB2312" w:hAnsi="仿宋_GB2312" w:eastAsia="仿宋_GB2312" w:cs="仿宋_GB2312"/>
          <w:kern w:val="0"/>
          <w:sz w:val="24"/>
        </w:rPr>
        <w:t>.com</w:t>
      </w:r>
      <w:r>
        <w:rPr>
          <w:rFonts w:hint="eastAsia" w:ascii="仿宋_GB2312" w:hAnsi="仿宋_GB2312" w:eastAsia="仿宋_GB2312" w:cs="仿宋_GB2312"/>
          <w:kern w:val="0"/>
          <w:sz w:val="24"/>
        </w:rPr>
        <w:t>邮箱</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邮箱标题请以项目名称</w:t>
      </w:r>
      <w:r>
        <w:rPr>
          <w:rFonts w:hint="eastAsia" w:ascii="仿宋_GB2312" w:hAnsi="仿宋_GB2312" w:eastAsia="仿宋_GB2312" w:cs="仿宋_GB2312"/>
          <w:kern w:val="0"/>
          <w:sz w:val="24"/>
          <w:lang w:val="en-US" w:eastAsia="zh-CN"/>
        </w:rPr>
        <w:t>+</w:t>
      </w:r>
      <w:r>
        <w:rPr>
          <w:rFonts w:hint="eastAsia" w:ascii="仿宋_GB2312" w:hAnsi="仿宋_GB2312" w:eastAsia="仿宋_GB2312" w:cs="仿宋_GB2312"/>
          <w:kern w:val="0"/>
          <w:sz w:val="24"/>
        </w:rPr>
        <w:t>单位名称的方式命名</w:t>
      </w:r>
      <w:r>
        <w:rPr>
          <w:rFonts w:hint="eastAsia" w:ascii="仿宋_GB2312" w:hAnsi="仿宋_GB2312" w:eastAsia="仿宋_GB2312" w:cs="仿宋_GB2312"/>
          <w:kern w:val="0"/>
          <w:sz w:val="24"/>
          <w:lang w:eastAsia="zh-CN"/>
        </w:rPr>
        <w:t>）</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四、响应文件递交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截止时间： 2021-0</w:t>
      </w:r>
      <w:r>
        <w:rPr>
          <w:rFonts w:hint="eastAsia" w:ascii="仿宋_GB2312" w:hAnsi="仿宋_GB2312" w:eastAsia="仿宋_GB2312" w:cs="仿宋_GB2312"/>
          <w:kern w:val="0"/>
          <w:sz w:val="24"/>
          <w:lang w:val="en-US" w:eastAsia="zh-CN"/>
        </w:rPr>
        <w:t>7</w:t>
      </w:r>
      <w:r>
        <w:rPr>
          <w:rFonts w:hint="eastAsia" w:ascii="仿宋_GB2312" w:hAnsi="仿宋_GB2312" w:eastAsia="仿宋_GB2312" w:cs="仿宋_GB2312"/>
          <w:kern w:val="0"/>
          <w:sz w:val="24"/>
        </w:rPr>
        <w:t>-0</w:t>
      </w:r>
      <w:r>
        <w:rPr>
          <w:rFonts w:hint="eastAsia" w:ascii="仿宋_GB2312" w:hAnsi="仿宋_GB2312" w:eastAsia="仿宋_GB2312" w:cs="仿宋_GB2312"/>
          <w:kern w:val="0"/>
          <w:sz w:val="24"/>
          <w:lang w:val="en-US" w:eastAsia="zh-CN"/>
        </w:rPr>
        <w:t>2</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en-US" w:eastAsia="zh-CN"/>
        </w:rPr>
        <w:t>9</w:t>
      </w:r>
      <w:r>
        <w:rPr>
          <w:rFonts w:hint="eastAsia" w:ascii="仿宋_GB2312" w:hAnsi="仿宋_GB2312" w:eastAsia="仿宋_GB2312" w:cs="仿宋_GB2312"/>
          <w:kern w:val="0"/>
          <w:sz w:val="24"/>
        </w:rPr>
        <w:t xml:space="preserve">:30:00 </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地点：</w:t>
      </w:r>
      <w:r>
        <w:rPr>
          <w:rFonts w:hint="eastAsia" w:ascii="仿宋_GB2312" w:hAnsi="仿宋_GB2312" w:eastAsia="仿宋_GB2312" w:cs="仿宋_GB2312"/>
          <w:kern w:val="0"/>
          <w:sz w:val="24"/>
          <w:lang w:val="en-US" w:eastAsia="zh-CN"/>
        </w:rPr>
        <w:t>西安市高新区唐延路1号旺座国际城A座12楼第一会议室</w:t>
      </w:r>
      <w:r>
        <w:rPr>
          <w:rFonts w:hint="eastAsia" w:ascii="仿宋_GB2312" w:hAnsi="仿宋_GB2312" w:eastAsia="仿宋_GB2312" w:cs="仿宋_GB2312"/>
          <w:kern w:val="0"/>
          <w:sz w:val="24"/>
        </w:rPr>
        <w:t xml:space="preserve"> </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五、公告期限</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自本公告发布之日起 </w:t>
      </w:r>
      <w:r>
        <w:rPr>
          <w:rFonts w:hint="eastAsia" w:ascii="仿宋_GB2312" w:hAnsi="仿宋_GB2312" w:eastAsia="仿宋_GB2312" w:cs="仿宋_GB2312"/>
          <w:kern w:val="0"/>
          <w:sz w:val="24"/>
          <w:lang w:val="en-US" w:eastAsia="zh-CN"/>
        </w:rPr>
        <w:t>3</w:t>
      </w:r>
      <w:r>
        <w:rPr>
          <w:rFonts w:hint="eastAsia" w:ascii="仿宋_GB2312" w:hAnsi="仿宋_GB2312" w:eastAsia="仿宋_GB2312" w:cs="仿宋_GB2312"/>
          <w:kern w:val="0"/>
          <w:sz w:val="24"/>
        </w:rPr>
        <w:t>个工作日。</w:t>
      </w:r>
    </w:p>
    <w:p>
      <w:pPr>
        <w:widowControl/>
        <w:numPr>
          <w:ilvl w:val="0"/>
          <w:numId w:val="5"/>
        </w:numPr>
        <w:snapToGrid w:val="0"/>
        <w:spacing w:line="360" w:lineRule="auto"/>
        <w:ind w:right="-197" w:rightChars="-94" w:firstLine="482" w:firstLineChars="200"/>
        <w:jc w:val="left"/>
        <w:rPr>
          <w:rFonts w:hint="eastAsia" w:ascii="仿宋_GB2312" w:hAnsi="仿宋_GB2312" w:eastAsia="仿宋_GB2312" w:cs="仿宋_GB2312"/>
          <w:b/>
          <w:kern w:val="0"/>
          <w:sz w:val="24"/>
          <w:lang w:val="en-US" w:eastAsia="zh-CN"/>
        </w:rPr>
      </w:pPr>
      <w:r>
        <w:rPr>
          <w:rFonts w:hint="eastAsia" w:ascii="仿宋_GB2312" w:hAnsi="仿宋_GB2312" w:eastAsia="仿宋_GB2312" w:cs="仿宋_GB2312"/>
          <w:b/>
          <w:kern w:val="0"/>
          <w:sz w:val="24"/>
        </w:rPr>
        <w:t>其他补充事宜</w:t>
      </w:r>
      <w:r>
        <w:rPr>
          <w:rFonts w:hint="eastAsia" w:ascii="仿宋_GB2312" w:hAnsi="仿宋_GB2312" w:eastAsia="仿宋_GB2312" w:cs="仿宋_GB2312"/>
          <w:b/>
          <w:kern w:val="0"/>
          <w:sz w:val="24"/>
          <w:lang w:val="en-US" w:eastAsia="zh-CN"/>
        </w:rPr>
        <w:t>:</w:t>
      </w:r>
    </w:p>
    <w:p>
      <w:pPr>
        <w:widowControl/>
        <w:numPr>
          <w:ilvl w:val="0"/>
          <w:numId w:val="0"/>
        </w:numPr>
        <w:snapToGrid w:val="0"/>
        <w:spacing w:line="360" w:lineRule="auto"/>
        <w:ind w:right="-197" w:rightChars="-94" w:firstLine="480" w:firstLineChars="200"/>
        <w:jc w:val="left"/>
        <w:rPr>
          <w:rFonts w:hint="default" w:ascii="仿宋_GB2312" w:hAnsi="仿宋_GB2312" w:eastAsia="仿宋_GB2312" w:cs="仿宋_GB2312"/>
          <w:b/>
          <w:kern w:val="0"/>
          <w:sz w:val="24"/>
          <w:lang w:val="en-US" w:eastAsia="zh-CN"/>
        </w:rPr>
      </w:pPr>
      <w:r>
        <w:rPr>
          <w:rFonts w:hint="eastAsia" w:ascii="仿宋_GB2312" w:hAnsi="仿宋_GB2312" w:eastAsia="仿宋_GB2312" w:cs="仿宋_GB2312"/>
          <w:b w:val="0"/>
          <w:bCs/>
          <w:kern w:val="0"/>
          <w:sz w:val="24"/>
          <w:lang w:val="en-US" w:eastAsia="zh-CN"/>
        </w:rPr>
        <w:t>本项目为非专门面向中小企业的项目。</w:t>
      </w:r>
    </w:p>
    <w:p>
      <w:pPr>
        <w:widowControl/>
        <w:snapToGrid w:val="0"/>
        <w:spacing w:line="360" w:lineRule="auto"/>
        <w:ind w:right="-197" w:rightChars="-94" w:firstLine="482" w:firstLineChars="200"/>
        <w:jc w:val="left"/>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七、对本次采购提出询问，请按以下方式联系。 </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1、采购人信息：</w:t>
      </w:r>
      <w:r>
        <w:rPr>
          <w:rFonts w:hint="eastAsia" w:ascii="仿宋_GB2312" w:hAnsi="仿宋_GB2312" w:eastAsia="仿宋_GB2312" w:cs="仿宋_GB2312"/>
          <w:kern w:val="0"/>
          <w:sz w:val="24"/>
          <w:lang w:val="en-US" w:eastAsia="zh-CN"/>
        </w:rPr>
        <w:t>西安市雁塔区丈八街道办事处</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地址：</w:t>
      </w:r>
      <w:r>
        <w:rPr>
          <w:rFonts w:hint="eastAsia" w:ascii="仿宋_GB2312" w:hAnsi="仿宋_GB2312" w:eastAsia="仿宋_GB2312" w:cs="仿宋_GB2312"/>
          <w:kern w:val="0"/>
          <w:sz w:val="24"/>
          <w:lang w:val="en-US" w:eastAsia="zh-CN"/>
        </w:rPr>
        <w:t>高新区科技五路19号</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联系人：王工</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电话：029-88113117</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2、项目联系方式</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项目联系人：</w:t>
      </w:r>
      <w:r>
        <w:rPr>
          <w:rFonts w:hint="eastAsia" w:ascii="仿宋_GB2312" w:hAnsi="仿宋_GB2312" w:eastAsia="仿宋_GB2312" w:cs="仿宋_GB2312"/>
          <w:kern w:val="0"/>
          <w:sz w:val="24"/>
          <w:lang w:val="en-US" w:eastAsia="zh-CN"/>
        </w:rPr>
        <w:t>郑岩 刘文龙</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电话：</w:t>
      </w:r>
      <w:r>
        <w:rPr>
          <w:rFonts w:hint="eastAsia" w:ascii="仿宋_GB2312" w:hAnsi="仿宋_GB2312" w:eastAsia="仿宋_GB2312" w:cs="仿宋_GB2312"/>
          <w:kern w:val="0"/>
          <w:sz w:val="24"/>
          <w:lang w:val="en-US" w:eastAsia="zh-CN"/>
        </w:rPr>
        <w:t>029-88825655</w:t>
      </w:r>
    </w:p>
    <w:p>
      <w:pPr>
        <w:widowControl/>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3、采购代理机构信息</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名称：</w:t>
      </w:r>
      <w:r>
        <w:rPr>
          <w:rFonts w:hint="eastAsia" w:ascii="仿宋_GB2312" w:hAnsi="仿宋_GB2312" w:eastAsia="仿宋_GB2312" w:cs="仿宋_GB2312"/>
          <w:kern w:val="0"/>
          <w:sz w:val="24"/>
          <w:lang w:val="en-US" w:eastAsia="zh-CN"/>
        </w:rPr>
        <w:t>陕西中润国际招标有限公司</w:t>
      </w:r>
    </w:p>
    <w:p>
      <w:pPr>
        <w:widowControl/>
        <w:snapToGrid w:val="0"/>
        <w:spacing w:line="360" w:lineRule="auto"/>
        <w:ind w:right="-197" w:rightChars="-94" w:firstLine="480" w:firstLineChars="200"/>
        <w:jc w:val="lef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联系地址：</w:t>
      </w:r>
      <w:r>
        <w:rPr>
          <w:rFonts w:hint="eastAsia" w:ascii="仿宋_GB2312" w:hAnsi="仿宋_GB2312" w:eastAsia="仿宋_GB2312" w:cs="仿宋_GB2312"/>
          <w:kern w:val="0"/>
          <w:sz w:val="24"/>
          <w:lang w:val="en-US" w:eastAsia="zh-CN"/>
        </w:rPr>
        <w:t>西安市高新区唐延路1号旺座国际城A座12楼</w:t>
      </w:r>
    </w:p>
    <w:p>
      <w:pPr>
        <w:widowControl/>
        <w:snapToGrid w:val="0"/>
        <w:spacing w:line="360" w:lineRule="auto"/>
        <w:ind w:right="-197" w:rightChars="-94" w:firstLine="480" w:firstLineChars="200"/>
        <w:jc w:val="left"/>
        <w:rPr>
          <w:rFonts w:ascii="仿宋_GB2312" w:hAnsi="仿宋_GB2312" w:eastAsia="仿宋_GB2312" w:cs="仿宋_GB2312"/>
        </w:rPr>
      </w:pPr>
      <w:r>
        <w:rPr>
          <w:rFonts w:hint="eastAsia" w:ascii="仿宋_GB2312" w:hAnsi="仿宋_GB2312" w:eastAsia="仿宋_GB2312" w:cs="仿宋_GB2312"/>
          <w:kern w:val="0"/>
          <w:sz w:val="24"/>
        </w:rPr>
        <w:t>联系方式：</w:t>
      </w:r>
      <w:r>
        <w:rPr>
          <w:rFonts w:hint="eastAsia" w:ascii="Times New Roman" w:hAnsi="Times New Roman" w:eastAsia="仿宋_GB2312" w:cs="Times New Roman"/>
          <w:kern w:val="0"/>
          <w:sz w:val="24"/>
          <w:szCs w:val="24"/>
          <w:highlight w:val="none"/>
          <w:lang w:val="en-US" w:eastAsia="zh-CN" w:bidi="ar-SA"/>
        </w:rPr>
        <w:fldChar w:fldCharType="begin"/>
      </w:r>
      <w:r>
        <w:rPr>
          <w:rFonts w:hint="eastAsia" w:ascii="Times New Roman" w:hAnsi="Times New Roman" w:eastAsia="仿宋_GB2312" w:cs="Times New Roman"/>
          <w:kern w:val="0"/>
          <w:sz w:val="24"/>
          <w:szCs w:val="24"/>
          <w:highlight w:val="none"/>
          <w:lang w:val="en-US" w:eastAsia="zh-CN" w:bidi="ar-SA"/>
        </w:rPr>
        <w:instrText xml:space="preserve"> HYPERLINK "http://www.ccgp.gov.cn/agency/a_agencylist.html" \t "http://www.ccgp-shaanxi.gov.cn/notice/_blank" </w:instrText>
      </w:r>
      <w:r>
        <w:rPr>
          <w:rFonts w:hint="eastAsia" w:ascii="Times New Roman" w:hAnsi="Times New Roman" w:eastAsia="仿宋_GB2312" w:cs="Times New Roman"/>
          <w:kern w:val="0"/>
          <w:sz w:val="24"/>
          <w:szCs w:val="24"/>
          <w:highlight w:val="none"/>
          <w:lang w:val="en-US" w:eastAsia="zh-CN" w:bidi="ar-SA"/>
        </w:rPr>
        <w:fldChar w:fldCharType="separate"/>
      </w:r>
      <w:r>
        <w:rPr>
          <w:rFonts w:hint="eastAsia" w:ascii="Times New Roman" w:hAnsi="Times New Roman" w:eastAsia="仿宋_GB2312" w:cs="Times New Roman"/>
          <w:kern w:val="0"/>
          <w:sz w:val="24"/>
          <w:szCs w:val="24"/>
          <w:highlight w:val="none"/>
          <w:lang w:val="en-US" w:eastAsia="zh-CN" w:bidi="ar-SA"/>
        </w:rPr>
        <w:t>http://www.ccgp.gov.cn/agency/a_agencylist.html</w:t>
      </w:r>
      <w:r>
        <w:rPr>
          <w:rFonts w:hint="eastAsia" w:ascii="Times New Roman" w:hAnsi="Times New Roman" w:eastAsia="仿宋_GB2312" w:cs="Times New Roman"/>
          <w:kern w:val="0"/>
          <w:sz w:val="24"/>
          <w:szCs w:val="24"/>
          <w:highlight w:val="none"/>
          <w:lang w:val="en-US" w:eastAsia="zh-CN" w:bidi="ar-SA"/>
        </w:rPr>
        <w:fldChar w:fldCharType="end"/>
      </w:r>
      <w:r>
        <w:rPr>
          <w:rFonts w:hint="eastAsia" w:ascii="Times New Roman" w:hAnsi="Times New Roman" w:eastAsia="仿宋_GB2312" w:cs="Times New Roman"/>
          <w:kern w:val="0"/>
          <w:sz w:val="24"/>
          <w:szCs w:val="24"/>
          <w:highlight w:val="none"/>
          <w:lang w:val="en-US" w:eastAsia="zh-CN" w:bidi="ar-SA"/>
        </w:rPr>
        <w:t>  </w:t>
      </w:r>
      <w:r>
        <w:rPr>
          <w:rFonts w:hint="eastAsia" w:ascii="仿宋_GB2312" w:hAnsi="仿宋_GB2312" w:eastAsia="仿宋_GB2312" w:cs="仿宋_GB2312"/>
        </w:rPr>
        <w:br w:type="page"/>
      </w:r>
    </w:p>
    <w:bookmarkEnd w:id="4"/>
    <w:bookmarkEnd w:id="5"/>
    <w:bookmarkEnd w:id="6"/>
    <w:bookmarkEnd w:id="7"/>
    <w:bookmarkEnd w:id="8"/>
    <w:bookmarkEnd w:id="9"/>
    <w:bookmarkEnd w:id="10"/>
    <w:bookmarkEnd w:id="11"/>
    <w:bookmarkEnd w:id="12"/>
    <w:bookmarkEnd w:id="13"/>
    <w:bookmarkEnd w:id="14"/>
    <w:bookmarkEnd w:id="15"/>
    <w:bookmarkEnd w:id="16"/>
    <w:bookmarkEnd w:id="17"/>
    <w:p>
      <w:pPr>
        <w:pStyle w:val="46"/>
        <w:rPr>
          <w:rFonts w:ascii="仿宋_GB2312" w:hAnsi="仿宋_GB2312" w:eastAsia="仿宋_GB2312" w:cs="仿宋_GB2312"/>
        </w:rPr>
      </w:pPr>
      <w:bookmarkStart w:id="20" w:name="_Toc249515389"/>
      <w:bookmarkStart w:id="21" w:name="_Toc230583540"/>
      <w:bookmarkStart w:id="22" w:name="_Toc62196417"/>
      <w:bookmarkStart w:id="23" w:name="_Toc184043011"/>
      <w:bookmarkStart w:id="24" w:name="_Toc249525158"/>
      <w:bookmarkStart w:id="25" w:name="_Toc21126"/>
      <w:bookmarkStart w:id="26" w:name="_Toc232176271"/>
      <w:bookmarkStart w:id="27" w:name="_Toc232395211"/>
      <w:bookmarkStart w:id="28" w:name="_Toc415499895"/>
      <w:bookmarkStart w:id="29" w:name="_Toc249515277"/>
      <w:bookmarkStart w:id="30" w:name="_Toc58504446"/>
      <w:bookmarkStart w:id="31" w:name="_Toc256342142"/>
      <w:bookmarkStart w:id="32" w:name="_Toc230099796"/>
      <w:bookmarkStart w:id="33" w:name="_Toc230013631"/>
      <w:bookmarkStart w:id="34" w:name="_Toc499711042"/>
      <w:bookmarkStart w:id="35" w:name="_Toc500746965"/>
      <w:bookmarkStart w:id="36" w:name="_Toc230099797"/>
      <w:bookmarkStart w:id="37" w:name="_Toc249515278"/>
      <w:bookmarkStart w:id="38" w:name="_Toc177189235"/>
      <w:bookmarkStart w:id="39" w:name="_Toc256342143"/>
      <w:bookmarkStart w:id="40" w:name="_Toc503063421"/>
      <w:bookmarkStart w:id="41" w:name="_Toc496324578"/>
      <w:bookmarkStart w:id="42" w:name="_Toc176882542"/>
      <w:bookmarkStart w:id="43" w:name="_Toc232176272"/>
      <w:bookmarkStart w:id="44" w:name="_Toc184043012"/>
      <w:bookmarkStart w:id="45" w:name="_Toc499711883"/>
      <w:bookmarkStart w:id="46" w:name="_Toc53722840"/>
      <w:bookmarkStart w:id="47" w:name="_Toc249515390"/>
      <w:bookmarkStart w:id="48" w:name="_Toc177995473"/>
      <w:bookmarkStart w:id="49" w:name="_Toc500747188"/>
      <w:bookmarkStart w:id="50" w:name="_Toc249525159"/>
      <w:bookmarkStart w:id="51" w:name="_Toc232395212"/>
      <w:bookmarkStart w:id="52" w:name="_Toc177817334"/>
      <w:bookmarkStart w:id="53" w:name="_Toc70687139"/>
      <w:bookmarkStart w:id="54" w:name="_Toc492955414"/>
      <w:bookmarkStart w:id="55" w:name="_Toc230013632"/>
      <w:bookmarkStart w:id="56" w:name="_Toc500747061"/>
      <w:bookmarkStart w:id="57" w:name="_Toc230583541"/>
      <w:r>
        <w:rPr>
          <w:rFonts w:hint="eastAsia" w:ascii="仿宋_GB2312" w:hAnsi="仿宋_GB2312" w:eastAsia="仿宋_GB2312" w:cs="仿宋_GB2312"/>
        </w:rPr>
        <w:t>第二章  供应商须知</w:t>
      </w:r>
      <w:bookmarkEnd w:id="20"/>
      <w:bookmarkEnd w:id="21"/>
      <w:bookmarkEnd w:id="22"/>
      <w:bookmarkEnd w:id="23"/>
      <w:bookmarkEnd w:id="24"/>
      <w:bookmarkEnd w:id="25"/>
      <w:bookmarkEnd w:id="26"/>
      <w:bookmarkEnd w:id="27"/>
      <w:bookmarkEnd w:id="28"/>
      <w:bookmarkEnd w:id="29"/>
      <w:bookmarkEnd w:id="30"/>
      <w:bookmarkEnd w:id="31"/>
      <w:bookmarkEnd w:id="32"/>
      <w:bookmarkEnd w:id="33"/>
    </w:p>
    <w:p>
      <w:pPr>
        <w:pStyle w:val="77"/>
        <w:spacing w:before="240" w:beforeLines="100" w:after="24"/>
        <w:jc w:val="center"/>
        <w:rPr>
          <w:rFonts w:ascii="仿宋_GB2312" w:hAnsi="仿宋_GB2312" w:eastAsia="仿宋_GB2312" w:cs="仿宋_GB2312"/>
          <w:sz w:val="28"/>
          <w:szCs w:val="28"/>
        </w:rPr>
      </w:pPr>
      <w:bookmarkStart w:id="58" w:name="_Toc62196418"/>
      <w:r>
        <w:rPr>
          <w:rFonts w:hint="eastAsia" w:ascii="仿宋_GB2312" w:hAnsi="仿宋_GB2312" w:eastAsia="仿宋_GB2312" w:cs="仿宋_GB2312"/>
          <w:sz w:val="28"/>
          <w:szCs w:val="28"/>
        </w:rPr>
        <w:t>（一）供应商须知前附表</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rPr>
          <w:rFonts w:ascii="仿宋_GB2312" w:hAnsi="仿宋_GB2312" w:eastAsia="仿宋_GB2312" w:cs="仿宋_GB2312"/>
        </w:rPr>
      </w:pPr>
    </w:p>
    <w:p>
      <w:pPr>
        <w:rPr>
          <w:rFonts w:ascii="仿宋_GB2312" w:hAnsi="仿宋_GB2312" w:eastAsia="仿宋_GB2312" w:cs="仿宋_GB2312"/>
          <w:sz w:val="24"/>
        </w:rPr>
      </w:pPr>
      <w:r>
        <w:rPr>
          <w:rFonts w:hint="eastAsia" w:ascii="仿宋_GB2312" w:hAnsi="仿宋_GB2312" w:eastAsia="仿宋_GB2312" w:cs="仿宋_GB2312"/>
          <w:sz w:val="24"/>
        </w:rPr>
        <w:t>本表是对供应商须知的具体补充和修改，如有矛盾，均以本表为准。</w:t>
      </w:r>
    </w:p>
    <w:p>
      <w:pPr>
        <w:ind w:left="720" w:hanging="720" w:hangingChars="343"/>
        <w:rPr>
          <w:rFonts w:ascii="仿宋_GB2312" w:hAnsi="仿宋_GB2312" w:eastAsia="仿宋_GB2312" w:cs="仿宋_GB2312"/>
          <w:b/>
          <w:sz w:val="20"/>
          <w:szCs w:val="20"/>
        </w:rPr>
      </w:pPr>
      <w:r>
        <w:rPr>
          <w:rFonts w:hint="eastAsia" w:ascii="仿宋_GB2312" w:hAnsi="仿宋_GB2312" w:eastAsia="仿宋_GB2312" w:cs="仿宋_GB2312"/>
          <w:szCs w:val="21"/>
        </w:rPr>
        <w:t xml:space="preserve">   </w:t>
      </w:r>
    </w:p>
    <w:bookmarkEnd w:id="18"/>
    <w:tbl>
      <w:tblPr>
        <w:tblStyle w:val="50"/>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blHeader/>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b/>
                <w:sz w:val="24"/>
                <w:szCs w:val="24"/>
              </w:rPr>
            </w:pPr>
            <w:bookmarkStart w:id="59" w:name="_Hlt14560610"/>
            <w:bookmarkEnd w:id="59"/>
            <w:bookmarkStart w:id="60" w:name="_Toc500747063"/>
            <w:bookmarkStart w:id="61" w:name="_Toc496324580"/>
            <w:bookmarkStart w:id="62" w:name="_Toc492955416"/>
            <w:bookmarkStart w:id="63" w:name="_Toc503063423"/>
            <w:bookmarkStart w:id="64" w:name="_Toc385992326"/>
            <w:bookmarkStart w:id="65" w:name="_Toc499711885"/>
            <w:bookmarkStart w:id="66" w:name="_Toc500746967"/>
            <w:bookmarkStart w:id="67" w:name="_Toc389620165"/>
            <w:bookmarkStart w:id="68" w:name="_Toc499711044"/>
            <w:bookmarkStart w:id="69" w:name="_Toc500747190"/>
            <w:r>
              <w:rPr>
                <w:rFonts w:hint="eastAsia" w:ascii="仿宋_GB2312" w:hAnsi="仿宋_GB2312" w:eastAsia="仿宋_GB2312" w:cs="仿宋_GB2312"/>
                <w:b/>
                <w:sz w:val="24"/>
                <w:szCs w:val="24"/>
              </w:rPr>
              <w:t>条款号</w:t>
            </w:r>
          </w:p>
        </w:tc>
        <w:tc>
          <w:tcPr>
            <w:tcW w:w="7650" w:type="dxa"/>
            <w:vAlign w:val="center"/>
          </w:tcPr>
          <w:p>
            <w:pPr>
              <w:pStyle w:val="28"/>
              <w:adjustRightInd w:val="0"/>
              <w:snapToGrid w:val="0"/>
              <w:spacing w:line="240" w:lineRule="auto"/>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内容说明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3"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7650" w:type="dxa"/>
            <w:vAlign w:val="center"/>
          </w:tcPr>
          <w:p>
            <w:pPr>
              <w:pStyle w:val="28"/>
              <w:adjustRightInd w:val="0"/>
              <w:snapToGrid w:val="0"/>
              <w:spacing w:line="240"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eastAsia="zh-CN"/>
              </w:rPr>
              <w:t>丈八街道社区（村）级阵地提升工程（二期）</w:t>
            </w:r>
          </w:p>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项目编号：</w:t>
            </w:r>
            <w:r>
              <w:rPr>
                <w:rFonts w:hint="eastAsia" w:ascii="仿宋_GB2312" w:hAnsi="仿宋_GB2312" w:eastAsia="仿宋_GB2312" w:cs="仿宋_GB2312"/>
                <w:sz w:val="24"/>
                <w:szCs w:val="24"/>
                <w:lang w:eastAsia="zh-CN"/>
              </w:rPr>
              <w:t>ZR30GN2021-ZB-012</w:t>
            </w:r>
            <w:r>
              <w:rPr>
                <w:rFonts w:hint="eastAsia" w:ascii="仿宋_GB2312" w:hAnsi="仿宋_GB2312" w:eastAsia="仿宋_GB2312" w:cs="仿宋_GB2312"/>
                <w:sz w:val="24"/>
                <w:szCs w:val="24"/>
              </w:rPr>
              <w:t xml:space="preserve"> </w:t>
            </w:r>
          </w:p>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预算金额：</w:t>
            </w:r>
            <w:r>
              <w:rPr>
                <w:rFonts w:hint="eastAsia" w:ascii="仿宋_GB2312" w:hAnsi="仿宋_GB2312" w:eastAsia="仿宋_GB2312" w:cs="仿宋_GB2312"/>
                <w:kern w:val="0"/>
                <w:sz w:val="24"/>
                <w:lang w:val="en-US" w:eastAsia="zh-CN"/>
              </w:rPr>
              <w:t>3937898</w:t>
            </w: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lang w:val="en-US" w:eastAsia="zh-CN"/>
              </w:rPr>
              <w:t>76</w:t>
            </w:r>
            <w:r>
              <w:rPr>
                <w:rFonts w:hint="eastAsia" w:ascii="仿宋_GB2312" w:hAnsi="仿宋_GB2312" w:eastAsia="仿宋_GB2312" w:cs="仿宋_GB2312"/>
                <w:sz w:val="24"/>
                <w:szCs w:val="24"/>
              </w:rPr>
              <w:t>元</w:t>
            </w:r>
          </w:p>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采购方式：竞争性磋商</w:t>
            </w:r>
          </w:p>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采购内容：详见本磋商文件第五章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2.1</w:t>
            </w:r>
          </w:p>
        </w:tc>
        <w:tc>
          <w:tcPr>
            <w:tcW w:w="7650" w:type="dxa"/>
            <w:vAlign w:val="center"/>
          </w:tcPr>
          <w:p>
            <w:pPr>
              <w:pStyle w:val="28"/>
              <w:adjustRightInd w:val="0"/>
              <w:snapToGrid w:val="0"/>
              <w:spacing w:line="240"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采购人：</w:t>
            </w:r>
            <w:r>
              <w:rPr>
                <w:rFonts w:hint="eastAsia" w:ascii="仿宋_GB2312" w:hAnsi="仿宋_GB2312" w:eastAsia="仿宋_GB2312" w:cs="仿宋_GB2312"/>
                <w:sz w:val="24"/>
                <w:szCs w:val="24"/>
                <w:lang w:eastAsia="zh-CN"/>
              </w:rPr>
              <w:t>西安市雁塔区丈八街道办事处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2.2</w:t>
            </w:r>
          </w:p>
        </w:tc>
        <w:tc>
          <w:tcPr>
            <w:tcW w:w="7650" w:type="dxa"/>
            <w:vAlign w:val="center"/>
          </w:tcPr>
          <w:p>
            <w:pPr>
              <w:pStyle w:val="28"/>
              <w:adjustRightInd w:val="0"/>
              <w:snapToGrid w:val="0"/>
              <w:spacing w:line="240"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采购代理机构：</w:t>
            </w:r>
            <w:r>
              <w:rPr>
                <w:rFonts w:hint="eastAsia" w:ascii="仿宋_GB2312" w:hAnsi="仿宋_GB2312" w:eastAsia="仿宋_GB2312" w:cs="仿宋_GB2312"/>
                <w:sz w:val="24"/>
                <w:szCs w:val="24"/>
                <w:lang w:eastAsia="zh-CN"/>
              </w:rPr>
              <w:t>陕西中润国际招标有限公司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2.3</w:t>
            </w:r>
          </w:p>
        </w:tc>
        <w:tc>
          <w:tcPr>
            <w:tcW w:w="7650" w:type="dxa"/>
            <w:vAlign w:val="center"/>
          </w:tcPr>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邀请供应商的方式：发布磋商公告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3.1</w:t>
            </w:r>
          </w:p>
        </w:tc>
        <w:tc>
          <w:tcPr>
            <w:tcW w:w="7650" w:type="dxa"/>
            <w:vAlign w:val="center"/>
          </w:tcPr>
          <w:p>
            <w:pPr>
              <w:pStyle w:val="14"/>
              <w:spacing w:line="360" w:lineRule="auto"/>
              <w:rPr>
                <w:rFonts w:ascii="仿宋_GB2312" w:hAnsi="仿宋_GB2312" w:eastAsia="仿宋_GB2312" w:cs="仿宋_GB2312"/>
                <w:color w:val="auto"/>
                <w:kern w:val="2"/>
              </w:rPr>
            </w:pPr>
            <w:r>
              <w:rPr>
                <w:rFonts w:hint="eastAsia" w:ascii="仿宋_GB2312" w:hAnsi="仿宋_GB2312" w:eastAsia="仿宋_GB2312" w:cs="仿宋_GB2312"/>
                <w:color w:val="auto"/>
                <w:kern w:val="2"/>
              </w:rPr>
              <w:t>对供应商的资格要求：见磋商公告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3.6</w:t>
            </w:r>
          </w:p>
        </w:tc>
        <w:tc>
          <w:tcPr>
            <w:tcW w:w="7650" w:type="dxa"/>
            <w:vAlign w:val="center"/>
          </w:tcPr>
          <w:p>
            <w:pPr>
              <w:pStyle w:val="14"/>
              <w:spacing w:line="360" w:lineRule="auto"/>
              <w:rPr>
                <w:rFonts w:ascii="仿宋_GB2312" w:hAnsi="仿宋_GB2312" w:eastAsia="仿宋_GB2312" w:cs="仿宋_GB2312"/>
                <w:color w:val="auto"/>
                <w:kern w:val="2"/>
              </w:rPr>
            </w:pPr>
            <w:r>
              <w:rPr>
                <w:rFonts w:hint="eastAsia" w:ascii="仿宋_GB2312" w:hAnsi="仿宋_GB2312" w:eastAsia="仿宋_GB2312" w:cs="仿宋_GB2312"/>
                <w:color w:val="auto"/>
                <w:kern w:val="2"/>
              </w:rPr>
              <w:t>是否允许采购进口产品：</w:t>
            </w:r>
            <w:r>
              <w:rPr>
                <w:rFonts w:hint="eastAsia" w:ascii="仿宋_GB2312" w:hAnsi="仿宋_GB2312" w:eastAsia="仿宋_GB2312" w:cs="仿宋_GB2312"/>
                <w:color w:val="auto"/>
                <w:kern w:val="2"/>
                <w:u w:val="singl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3.7</w:t>
            </w:r>
          </w:p>
        </w:tc>
        <w:tc>
          <w:tcPr>
            <w:tcW w:w="7650" w:type="dxa"/>
            <w:vAlign w:val="center"/>
          </w:tcPr>
          <w:p>
            <w:pPr>
              <w:pStyle w:val="14"/>
              <w:spacing w:line="360" w:lineRule="auto"/>
              <w:rPr>
                <w:rFonts w:ascii="仿宋_GB2312" w:hAnsi="仿宋_GB2312" w:eastAsia="仿宋_GB2312" w:cs="仿宋_GB2312"/>
                <w:color w:val="auto"/>
                <w:kern w:val="2"/>
              </w:rPr>
            </w:pPr>
            <w:r>
              <w:rPr>
                <w:rFonts w:hint="eastAsia" w:ascii="仿宋_GB2312" w:hAnsi="仿宋_GB2312" w:eastAsia="仿宋_GB2312" w:cs="仿宋_GB2312"/>
                <w:color w:val="auto"/>
                <w:kern w:val="2"/>
              </w:rPr>
              <w:t xml:space="preserve">是否允许联合体磋商： </w:t>
            </w:r>
            <w:r>
              <w:rPr>
                <w:rFonts w:hint="eastAsia" w:ascii="仿宋_GB2312" w:hAnsi="仿宋_GB2312" w:eastAsia="仿宋_GB2312" w:cs="仿宋_GB2312"/>
                <w:color w:val="auto"/>
                <w:kern w:val="2"/>
                <w:u w:val="singl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12.1</w:t>
            </w:r>
          </w:p>
        </w:tc>
        <w:tc>
          <w:tcPr>
            <w:tcW w:w="7650" w:type="dxa"/>
            <w:vAlign w:val="center"/>
          </w:tcPr>
          <w:p>
            <w:pPr>
              <w:spacing w:line="312" w:lineRule="auto"/>
              <w:rPr>
                <w:rFonts w:ascii="仿宋_GB2312" w:hAnsi="仿宋_GB2312" w:eastAsia="仿宋_GB2312" w:cs="仿宋_GB2312"/>
                <w:sz w:val="24"/>
              </w:rPr>
            </w:pPr>
            <w:r>
              <w:rPr>
                <w:rFonts w:hint="eastAsia" w:ascii="仿宋_GB2312" w:hAnsi="仿宋_GB2312" w:eastAsia="仿宋_GB2312" w:cs="仿宋_GB2312"/>
                <w:sz w:val="24"/>
              </w:rPr>
              <w:t>响应报价为提供磋商文件要求工程内容的所有费用，包括但不限于</w:t>
            </w:r>
            <w:r>
              <w:rPr>
                <w:rFonts w:hint="eastAsia" w:ascii="仿宋_GB2312" w:hAnsi="仿宋_GB2312" w:eastAsia="仿宋_GB2312" w:cs="仿宋_GB2312"/>
                <w:sz w:val="24"/>
                <w:lang w:val="en-US" w:eastAsia="zh-CN"/>
              </w:rPr>
              <w:t>完成该工程项目的产品制作费、</w:t>
            </w:r>
            <w:r>
              <w:rPr>
                <w:rFonts w:hint="eastAsia" w:ascii="仿宋_GB2312" w:hAnsi="仿宋_GB2312" w:eastAsia="仿宋_GB2312" w:cs="仿宋_GB2312"/>
                <w:sz w:val="24"/>
              </w:rPr>
              <w:t>人工费、材料费、</w:t>
            </w:r>
            <w:r>
              <w:rPr>
                <w:rFonts w:hint="eastAsia" w:ascii="仿宋_GB2312" w:hAnsi="仿宋_GB2312" w:eastAsia="仿宋_GB2312" w:cs="仿宋_GB2312"/>
                <w:sz w:val="24"/>
                <w:lang w:val="en-US" w:eastAsia="zh-CN"/>
              </w:rPr>
              <w:t>安装费、</w:t>
            </w:r>
            <w:r>
              <w:rPr>
                <w:rFonts w:hint="eastAsia" w:ascii="仿宋_GB2312" w:hAnsi="仿宋_GB2312" w:eastAsia="仿宋_GB2312" w:cs="仿宋_GB2312"/>
                <w:sz w:val="24"/>
              </w:rPr>
              <w:t>机械设备费、</w:t>
            </w:r>
            <w:r>
              <w:rPr>
                <w:rFonts w:hint="eastAsia" w:ascii="仿宋_GB2312" w:hAnsi="仿宋_GB2312" w:eastAsia="仿宋_GB2312" w:cs="仿宋_GB2312"/>
                <w:sz w:val="24"/>
                <w:lang w:val="en-US" w:eastAsia="zh-CN"/>
              </w:rPr>
              <w:t>运输费、措施费、</w:t>
            </w:r>
            <w:r>
              <w:rPr>
                <w:rFonts w:hint="eastAsia" w:ascii="仿宋_GB2312" w:hAnsi="仿宋_GB2312" w:eastAsia="仿宋_GB2312" w:cs="仿宋_GB2312"/>
                <w:sz w:val="24"/>
              </w:rPr>
              <w:t>交通费、住宿费、管理费及利润等。按国家及地方政府规定的应由乙方缴纳的各种税收、保险及其它所有费用不再额外计取。</w:t>
            </w:r>
          </w:p>
          <w:p>
            <w:pPr>
              <w:pStyle w:val="28"/>
              <w:adjustRightInd w:val="0"/>
              <w:snapToGrid w:val="0"/>
              <w:spacing w:line="240" w:lineRule="auto"/>
              <w:rPr>
                <w:rFonts w:ascii="仿宋_GB2312" w:hAnsi="仿宋_GB2312" w:eastAsia="仿宋_GB2312" w:cs="仿宋_GB2312"/>
                <w:sz w:val="24"/>
              </w:rPr>
            </w:pPr>
            <w:r>
              <w:rPr>
                <w:rFonts w:hint="eastAsia" w:ascii="仿宋_GB2312" w:hAnsi="仿宋_GB2312" w:eastAsia="仿宋_GB2312" w:cs="仿宋_GB2312"/>
                <w:sz w:val="24"/>
              </w:rPr>
              <w:t>（1）报价货币：人民币；</w:t>
            </w:r>
          </w:p>
          <w:p>
            <w:pPr>
              <w:pStyle w:val="28"/>
              <w:adjustRightInd w:val="0"/>
              <w:snapToGrid w:val="0"/>
              <w:spacing w:line="240" w:lineRule="auto"/>
              <w:rPr>
                <w:rFonts w:ascii="仿宋_GB2312" w:hAnsi="仿宋_GB2312" w:eastAsia="仿宋_GB2312" w:cs="仿宋_GB2312"/>
                <w:sz w:val="24"/>
              </w:rPr>
            </w:pPr>
            <w:r>
              <w:rPr>
                <w:rFonts w:hint="eastAsia" w:ascii="仿宋_GB2312" w:hAnsi="仿宋_GB2312" w:eastAsia="仿宋_GB2312" w:cs="仿宋_GB2312"/>
                <w:sz w:val="24"/>
              </w:rPr>
              <w:t>（2）严格按照分项报价表进行分项报价。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14.1</w:t>
            </w:r>
          </w:p>
        </w:tc>
        <w:tc>
          <w:tcPr>
            <w:tcW w:w="7650" w:type="dxa"/>
            <w:vAlign w:val="center"/>
          </w:tcPr>
          <w:p>
            <w:pPr>
              <w:pStyle w:val="28"/>
              <w:adjustRightInd w:val="0"/>
              <w:snapToGrid w:val="0"/>
              <w:spacing w:line="240" w:lineRule="auto"/>
              <w:rPr>
                <w:rFonts w:hint="eastAsia" w:ascii="仿宋_GB2312" w:hAnsi="仿宋_GB2312" w:eastAsia="仿宋_GB2312" w:cs="仿宋_GB2312"/>
                <w:sz w:val="24"/>
                <w:lang w:eastAsia="zh-CN"/>
              </w:rPr>
            </w:pPr>
            <w:r>
              <w:rPr>
                <w:rFonts w:hint="eastAsia" w:ascii="仿宋_GB2312" w:hAnsi="仿宋_GB2312" w:eastAsia="仿宋_GB2312" w:cs="仿宋_GB2312"/>
                <w:sz w:val="24"/>
              </w:rPr>
              <w:t>本项目无需提供磋商保证金</w:t>
            </w:r>
            <w:r>
              <w:rPr>
                <w:rFonts w:hint="eastAsia" w:ascii="仿宋_GB2312" w:hAnsi="仿宋_GB2312" w:eastAsia="仿宋_GB2312" w:cs="仿宋_GB2312"/>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15.1</w:t>
            </w:r>
          </w:p>
        </w:tc>
        <w:tc>
          <w:tcPr>
            <w:tcW w:w="7650" w:type="dxa"/>
            <w:vAlign w:val="center"/>
          </w:tcPr>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磋商有效期：自响应文件递交之日起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9</w:t>
            </w:r>
            <w:r>
              <w:rPr>
                <w:rFonts w:hint="eastAsia" w:ascii="仿宋_GB2312" w:hAnsi="仿宋_GB2312" w:eastAsia="仿宋_GB2312" w:cs="仿宋_GB2312"/>
                <w:sz w:val="24"/>
                <w:szCs w:val="24"/>
                <w:u w:val="single"/>
              </w:rPr>
              <w:t xml:space="preserve">0 </w:t>
            </w:r>
            <w:r>
              <w:rPr>
                <w:rFonts w:hint="eastAsia" w:ascii="仿宋_GB2312" w:hAnsi="仿宋_GB2312" w:eastAsia="仿宋_GB2312" w:cs="仿宋_GB2312"/>
                <w:sz w:val="24"/>
                <w:szCs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16.1</w:t>
            </w:r>
          </w:p>
        </w:tc>
        <w:tc>
          <w:tcPr>
            <w:tcW w:w="7650" w:type="dxa"/>
            <w:vAlign w:val="center"/>
          </w:tcPr>
          <w:p>
            <w:pPr>
              <w:pStyle w:val="28"/>
              <w:adjustRightInd w:val="0"/>
              <w:snapToGrid w:val="0"/>
              <w:spacing w:line="24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响应文件的份数：正本1份，副本2份</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电子版1份（U盘）</w:t>
            </w:r>
            <w:r>
              <w:rPr>
                <w:rFonts w:hint="eastAsia" w:ascii="仿宋_GB2312" w:hAnsi="仿宋_GB2312" w:eastAsia="仿宋_GB2312" w:cs="仿宋_GB2312"/>
                <w:i/>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17.2</w:t>
            </w:r>
          </w:p>
        </w:tc>
        <w:tc>
          <w:tcPr>
            <w:tcW w:w="7650" w:type="dxa"/>
            <w:vAlign w:val="center"/>
          </w:tcPr>
          <w:p>
            <w:pPr>
              <w:pStyle w:val="28"/>
              <w:adjustRightInd w:val="0"/>
              <w:snapToGrid w:val="0"/>
              <w:rPr>
                <w:rFonts w:ascii="仿宋_GB2312" w:hAnsi="仿宋_GB2312" w:eastAsia="仿宋_GB2312" w:cs="仿宋_GB2312"/>
                <w:sz w:val="24"/>
                <w:szCs w:val="24"/>
              </w:rPr>
            </w:pPr>
            <w:r>
              <w:rPr>
                <w:rFonts w:hint="eastAsia" w:ascii="仿宋_GB2312" w:hAnsi="仿宋_GB2312" w:eastAsia="仿宋_GB2312" w:cs="仿宋_GB2312"/>
                <w:sz w:val="24"/>
                <w:szCs w:val="24"/>
              </w:rPr>
              <w:t>密封袋（箱）上须标注：</w:t>
            </w:r>
          </w:p>
          <w:p>
            <w:pPr>
              <w:pStyle w:val="28"/>
              <w:adjustRightInd w:val="0"/>
              <w:snapToGrid w:val="0"/>
              <w:rPr>
                <w:rFonts w:hint="eastAsia" w:ascii="仿宋_GB2312" w:hAnsi="仿宋_GB2312" w:eastAsia="仿宋_GB2312" w:cs="仿宋_GB2312"/>
                <w:color w:val="FF0000"/>
                <w:sz w:val="24"/>
                <w:szCs w:val="24"/>
                <w:lang w:eastAsia="zh-CN"/>
              </w:rPr>
            </w:pPr>
            <w:r>
              <w:rPr>
                <w:rFonts w:hint="eastAsia" w:ascii="仿宋_GB2312" w:hAnsi="仿宋_GB2312" w:eastAsia="仿宋_GB2312" w:cs="仿宋_GB2312"/>
                <w:sz w:val="24"/>
                <w:szCs w:val="24"/>
              </w:rPr>
              <w:t xml:space="preserve">    （l）采购项目编号：</w:t>
            </w:r>
            <w:r>
              <w:rPr>
                <w:rFonts w:hint="eastAsia" w:ascii="仿宋_GB2312" w:hAnsi="仿宋_GB2312" w:eastAsia="仿宋_GB2312" w:cs="仿宋_GB2312"/>
                <w:sz w:val="24"/>
                <w:szCs w:val="24"/>
                <w:lang w:eastAsia="zh-CN"/>
              </w:rPr>
              <w:t>ZR30GN2021-ZB-012</w:t>
            </w:r>
          </w:p>
          <w:p>
            <w:pPr>
              <w:pStyle w:val="28"/>
              <w:adjustRightInd w:val="0"/>
              <w:snapToGrid w:val="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xml:space="preserve">    （2）项目名称：</w:t>
            </w:r>
            <w:r>
              <w:rPr>
                <w:rFonts w:hint="eastAsia" w:ascii="仿宋_GB2312" w:hAnsi="仿宋_GB2312" w:eastAsia="仿宋_GB2312" w:cs="仿宋_GB2312"/>
                <w:sz w:val="24"/>
                <w:szCs w:val="24"/>
                <w:lang w:eastAsia="zh-CN"/>
              </w:rPr>
              <w:t>丈八街道社区（村）级阵地提升工程（二期）</w:t>
            </w:r>
          </w:p>
          <w:p>
            <w:pPr>
              <w:pStyle w:val="28"/>
              <w:adjustRightInd w:val="0"/>
              <w:snapToGrid w:val="0"/>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（3）供应商的名称、地址、联系人、电话和传真。</w:t>
            </w:r>
          </w:p>
          <w:p>
            <w:pPr>
              <w:pStyle w:val="28"/>
              <w:adjustRightInd w:val="0"/>
              <w:snapToGrid w:val="0"/>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（4）在</w:t>
            </w:r>
            <w:r>
              <w:rPr>
                <w:rFonts w:ascii="仿宋_GB2312" w:hAnsi="仿宋_GB2312" w:eastAsia="仿宋_GB2312" w:cs="仿宋_GB2312"/>
                <w:sz w:val="24"/>
                <w:szCs w:val="24"/>
                <w:highlight w:val="none"/>
              </w:rPr>
              <w:t>2021-0</w:t>
            </w:r>
            <w:r>
              <w:rPr>
                <w:rFonts w:hint="eastAsia" w:ascii="仿宋_GB2312" w:hAnsi="仿宋_GB2312" w:eastAsia="仿宋_GB2312" w:cs="仿宋_GB2312"/>
                <w:sz w:val="24"/>
                <w:szCs w:val="24"/>
                <w:highlight w:val="none"/>
                <w:lang w:val="en-US" w:eastAsia="zh-CN"/>
              </w:rPr>
              <w:t>7</w:t>
            </w:r>
            <w:r>
              <w:rPr>
                <w:rFonts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02</w:t>
            </w:r>
            <w:r>
              <w:rPr>
                <w:rFonts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9</w:t>
            </w:r>
            <w:r>
              <w:rPr>
                <w:rFonts w:ascii="仿宋_GB2312" w:hAnsi="仿宋_GB2312" w:eastAsia="仿宋_GB2312" w:cs="仿宋_GB2312"/>
                <w:sz w:val="24"/>
                <w:szCs w:val="24"/>
                <w:highlight w:val="none"/>
              </w:rPr>
              <w:t>:30:00</w:t>
            </w:r>
            <w:r>
              <w:rPr>
                <w:rFonts w:hint="eastAsia" w:ascii="仿宋_GB2312" w:hAnsi="仿宋_GB2312" w:eastAsia="仿宋_GB2312" w:cs="仿宋_GB2312"/>
                <w:sz w:val="24"/>
                <w:szCs w:val="24"/>
              </w:rPr>
              <w:t>（北京时间）之前不得启封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17.3</w:t>
            </w:r>
          </w:p>
        </w:tc>
        <w:tc>
          <w:tcPr>
            <w:tcW w:w="7650" w:type="dxa"/>
            <w:vAlign w:val="center"/>
          </w:tcPr>
          <w:p>
            <w:pPr>
              <w:pStyle w:val="28"/>
              <w:adjustRightInd w:val="0"/>
              <w:snapToGrid w:val="0"/>
              <w:rPr>
                <w:rFonts w:ascii="仿宋_GB2312" w:hAnsi="仿宋_GB2312" w:eastAsia="仿宋_GB2312" w:cs="仿宋_GB2312"/>
                <w:sz w:val="24"/>
                <w:szCs w:val="24"/>
              </w:rPr>
            </w:pPr>
            <w:r>
              <w:rPr>
                <w:rFonts w:hint="eastAsia" w:ascii="仿宋_GB2312" w:hAnsi="仿宋_GB2312" w:eastAsia="仿宋_GB2312" w:cs="仿宋_GB2312"/>
                <w:sz w:val="24"/>
                <w:szCs w:val="24"/>
              </w:rPr>
              <w:t>本项目不要求提交样品。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18.1</w:t>
            </w:r>
          </w:p>
        </w:tc>
        <w:tc>
          <w:tcPr>
            <w:tcW w:w="7650" w:type="dxa"/>
            <w:vAlign w:val="center"/>
          </w:tcPr>
          <w:p>
            <w:pPr>
              <w:tabs>
                <w:tab w:val="left" w:pos="588"/>
              </w:tabs>
              <w:spacing w:line="360" w:lineRule="auto"/>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响应文件递交截止时间：</w:t>
            </w:r>
            <w:r>
              <w:rPr>
                <w:rFonts w:ascii="仿宋_GB2312" w:hAnsi="仿宋_GB2312" w:eastAsia="仿宋_GB2312" w:cs="仿宋_GB2312"/>
                <w:kern w:val="24"/>
                <w:sz w:val="24"/>
                <w:szCs w:val="21"/>
                <w:highlight w:val="none"/>
              </w:rPr>
              <w:t>2021-0</w:t>
            </w:r>
            <w:r>
              <w:rPr>
                <w:rFonts w:hint="eastAsia" w:ascii="仿宋_GB2312" w:hAnsi="仿宋_GB2312" w:eastAsia="仿宋_GB2312" w:cs="仿宋_GB2312"/>
                <w:kern w:val="24"/>
                <w:sz w:val="24"/>
                <w:szCs w:val="21"/>
                <w:highlight w:val="none"/>
                <w:lang w:val="en-US" w:eastAsia="zh-CN"/>
              </w:rPr>
              <w:t>7</w:t>
            </w:r>
            <w:r>
              <w:rPr>
                <w:rFonts w:ascii="仿宋_GB2312" w:hAnsi="仿宋_GB2312" w:eastAsia="仿宋_GB2312" w:cs="仿宋_GB2312"/>
                <w:kern w:val="24"/>
                <w:sz w:val="24"/>
                <w:szCs w:val="21"/>
                <w:highlight w:val="none"/>
              </w:rPr>
              <w:t>-</w:t>
            </w:r>
            <w:r>
              <w:rPr>
                <w:rFonts w:hint="eastAsia" w:ascii="仿宋_GB2312" w:hAnsi="仿宋_GB2312" w:eastAsia="仿宋_GB2312" w:cs="仿宋_GB2312"/>
                <w:kern w:val="24"/>
                <w:sz w:val="24"/>
                <w:szCs w:val="21"/>
                <w:highlight w:val="none"/>
              </w:rPr>
              <w:t>0</w:t>
            </w:r>
            <w:r>
              <w:rPr>
                <w:rFonts w:hint="eastAsia" w:ascii="仿宋_GB2312" w:hAnsi="仿宋_GB2312" w:eastAsia="仿宋_GB2312" w:cs="仿宋_GB2312"/>
                <w:kern w:val="24"/>
                <w:sz w:val="24"/>
                <w:szCs w:val="21"/>
                <w:highlight w:val="none"/>
                <w:lang w:val="en-US" w:eastAsia="zh-CN"/>
              </w:rPr>
              <w:t>2</w:t>
            </w:r>
            <w:r>
              <w:rPr>
                <w:rFonts w:ascii="仿宋_GB2312" w:hAnsi="仿宋_GB2312" w:eastAsia="仿宋_GB2312" w:cs="仿宋_GB2312"/>
                <w:kern w:val="24"/>
                <w:sz w:val="24"/>
                <w:szCs w:val="21"/>
                <w:highlight w:val="none"/>
              </w:rPr>
              <w:t xml:space="preserve"> </w:t>
            </w:r>
            <w:r>
              <w:rPr>
                <w:rFonts w:hint="eastAsia" w:ascii="仿宋_GB2312" w:hAnsi="仿宋_GB2312" w:eastAsia="仿宋_GB2312" w:cs="仿宋_GB2312"/>
                <w:kern w:val="24"/>
                <w:sz w:val="24"/>
                <w:szCs w:val="21"/>
                <w:highlight w:val="none"/>
                <w:lang w:val="en-US" w:eastAsia="zh-CN"/>
              </w:rPr>
              <w:t>9</w:t>
            </w:r>
            <w:r>
              <w:rPr>
                <w:rFonts w:ascii="仿宋_GB2312" w:hAnsi="仿宋_GB2312" w:eastAsia="仿宋_GB2312" w:cs="仿宋_GB2312"/>
                <w:kern w:val="24"/>
                <w:sz w:val="24"/>
                <w:szCs w:val="21"/>
              </w:rPr>
              <w:t>:30:00</w:t>
            </w:r>
            <w:r>
              <w:rPr>
                <w:rFonts w:hint="eastAsia" w:ascii="仿宋_GB2312" w:hAnsi="仿宋_GB2312" w:eastAsia="仿宋_GB2312" w:cs="仿宋_GB2312"/>
                <w:kern w:val="24"/>
                <w:sz w:val="24"/>
                <w:szCs w:val="21"/>
              </w:rPr>
              <w:t>（北京时间）。</w:t>
            </w:r>
          </w:p>
          <w:p>
            <w:pPr>
              <w:tabs>
                <w:tab w:val="left" w:pos="588"/>
              </w:tabs>
              <w:spacing w:line="360" w:lineRule="auto"/>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响应文件递交地点：</w:t>
            </w:r>
            <w:r>
              <w:rPr>
                <w:rFonts w:hint="eastAsia" w:ascii="仿宋_GB2312" w:hAnsi="仿宋_GB2312" w:eastAsia="仿宋_GB2312" w:cs="仿宋_GB2312"/>
                <w:kern w:val="0"/>
                <w:sz w:val="24"/>
                <w:lang w:val="en-US" w:eastAsia="zh-CN"/>
              </w:rPr>
              <w:t>西安市高新区唐延路1号旺座国际城A座12楼</w:t>
            </w:r>
            <w:r>
              <w:rPr>
                <w:rFonts w:hint="eastAsia" w:ascii="仿宋_GB2312" w:hAnsi="仿宋_GB2312" w:eastAsia="仿宋_GB2312" w:cs="仿宋_GB2312"/>
                <w:kern w:val="24"/>
                <w:sz w:val="24"/>
                <w:szCs w:val="21"/>
              </w:rPr>
              <w:t>会议室。</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kern w:val="24"/>
                <w:sz w:val="24"/>
                <w:szCs w:val="21"/>
              </w:rPr>
              <w:t>响应文件须于响应文件递交截止时间之前由专人密封送达响应文件递交地点，以电报、传真、电子邮件形式递交的响应文件将不予接受。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1080" w:type="dxa"/>
            <w:vAlign w:val="center"/>
          </w:tcPr>
          <w:p>
            <w:pPr>
              <w:pStyle w:val="28"/>
              <w:adjustRightInd w:val="0"/>
              <w:snapToGrid w:val="0"/>
              <w:spacing w:line="24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21.1</w:t>
            </w:r>
          </w:p>
        </w:tc>
        <w:tc>
          <w:tcPr>
            <w:tcW w:w="7650" w:type="dxa"/>
            <w:vAlign w:val="center"/>
          </w:tcPr>
          <w:p>
            <w:pPr>
              <w:spacing w:line="360" w:lineRule="exact"/>
              <w:rPr>
                <w:rFonts w:ascii="仿宋_GB2312" w:hAnsi="仿宋_GB2312" w:eastAsia="仿宋_GB2312" w:cs="仿宋_GB2312"/>
                <w:sz w:val="24"/>
              </w:rPr>
            </w:pPr>
            <w:r>
              <w:rPr>
                <w:rFonts w:hint="eastAsia" w:ascii="仿宋_GB2312" w:hAnsi="仿宋_GB2312" w:eastAsia="仿宋_GB2312" w:cs="仿宋_GB2312"/>
                <w:sz w:val="24"/>
              </w:rPr>
              <w:t>磋商小组由</w:t>
            </w:r>
            <w:r>
              <w:rPr>
                <w:rFonts w:hint="eastAsia" w:ascii="仿宋_GB2312" w:hAnsi="仿宋_GB2312" w:eastAsia="仿宋_GB2312" w:cs="仿宋_GB2312"/>
                <w:sz w:val="24"/>
                <w:lang w:val="en-US" w:eastAsia="zh-CN"/>
              </w:rPr>
              <w:t>采购人代表和评审专家共</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3 </w:t>
            </w:r>
            <w:r>
              <w:rPr>
                <w:rFonts w:hint="eastAsia" w:ascii="仿宋_GB2312" w:hAnsi="仿宋_GB2312" w:eastAsia="仿宋_GB2312" w:cs="仿宋_GB2312"/>
                <w:sz w:val="24"/>
              </w:rPr>
              <w:t>人</w:t>
            </w:r>
            <w:r>
              <w:rPr>
                <w:rFonts w:hint="eastAsia" w:ascii="仿宋_GB2312" w:hAnsi="仿宋_GB2312" w:eastAsia="仿宋_GB2312" w:cs="仿宋_GB2312"/>
                <w:sz w:val="24"/>
                <w:lang w:val="en-US" w:eastAsia="zh-CN"/>
              </w:rPr>
              <w:t>以上单数</w:t>
            </w:r>
            <w:r>
              <w:rPr>
                <w:rFonts w:hint="eastAsia" w:ascii="仿宋_GB2312" w:hAnsi="仿宋_GB2312" w:eastAsia="仿宋_GB2312" w:cs="仿宋_GB2312"/>
                <w:sz w:val="24"/>
              </w:rPr>
              <w:t>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0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28.1</w:t>
            </w:r>
          </w:p>
        </w:tc>
        <w:tc>
          <w:tcPr>
            <w:tcW w:w="7650" w:type="dxa"/>
            <w:vAlign w:val="center"/>
          </w:tcPr>
          <w:p>
            <w:pPr>
              <w:jc w:val="left"/>
              <w:rPr>
                <w:rFonts w:ascii="仿宋_GB2312" w:hAnsi="仿宋_GB2312" w:eastAsia="仿宋_GB2312" w:cs="仿宋_GB2312"/>
              </w:rPr>
            </w:pPr>
            <w:r>
              <w:rPr>
                <w:rFonts w:hint="eastAsia" w:ascii="仿宋_GB2312" w:hAnsi="仿宋_GB2312" w:eastAsia="仿宋_GB2312" w:cs="仿宋_GB2312"/>
                <w:sz w:val="24"/>
              </w:rPr>
              <w:t>本项目不要求履约保证金。</w:t>
            </w:r>
          </w:p>
        </w:tc>
      </w:tr>
    </w:tbl>
    <w:p>
      <w:pPr>
        <w:rPr>
          <w:rFonts w:ascii="仿宋_GB2312" w:hAnsi="仿宋_GB2312" w:eastAsia="仿宋_GB2312" w:cs="仿宋_GB2312"/>
          <w:sz w:val="30"/>
          <w:szCs w:val="30"/>
        </w:rPr>
      </w:pPr>
      <w:bookmarkStart w:id="70" w:name="_Toc62196419"/>
      <w:bookmarkStart w:id="71" w:name="_Toc232176273"/>
      <w:bookmarkStart w:id="72" w:name="_Toc249525160"/>
      <w:bookmarkStart w:id="73" w:name="_Toc230013633"/>
      <w:bookmarkStart w:id="74" w:name="_Toc230583542"/>
      <w:bookmarkStart w:id="75" w:name="_Toc184043013"/>
      <w:bookmarkStart w:id="76" w:name="_Toc53722841"/>
      <w:bookmarkStart w:id="77" w:name="_Toc230099798"/>
      <w:bookmarkStart w:id="78" w:name="_Toc249515279"/>
      <w:bookmarkStart w:id="79" w:name="_Toc232395213"/>
      <w:bookmarkStart w:id="80" w:name="_Toc177817335"/>
      <w:bookmarkStart w:id="81" w:name="_Toc256342144"/>
      <w:bookmarkStart w:id="82" w:name="_Toc70687140"/>
      <w:bookmarkStart w:id="83" w:name="_Toc176882543"/>
      <w:bookmarkStart w:id="84" w:name="_Toc177189236"/>
      <w:bookmarkStart w:id="85" w:name="_Toc177995474"/>
      <w:bookmarkStart w:id="86" w:name="_Toc249515391"/>
      <w:r>
        <w:rPr>
          <w:rFonts w:hint="eastAsia" w:ascii="仿宋_GB2312" w:hAnsi="仿宋_GB2312" w:eastAsia="仿宋_GB2312" w:cs="仿宋_GB2312"/>
          <w:sz w:val="30"/>
          <w:szCs w:val="30"/>
        </w:rPr>
        <w:br w:type="page"/>
      </w:r>
    </w:p>
    <w:p>
      <w:pPr>
        <w:pStyle w:val="77"/>
        <w:spacing w:before="24" w:after="24"/>
        <w:jc w:val="center"/>
        <w:rPr>
          <w:rFonts w:ascii="仿宋_GB2312" w:hAnsi="仿宋_GB2312" w:eastAsia="仿宋_GB2312" w:cs="仿宋_GB2312"/>
          <w:szCs w:val="32"/>
        </w:rPr>
      </w:pPr>
      <w:r>
        <w:rPr>
          <w:rFonts w:hint="eastAsia" w:ascii="仿宋_GB2312" w:hAnsi="仿宋_GB2312" w:eastAsia="仿宋_GB2312" w:cs="仿宋_GB2312"/>
          <w:szCs w:val="32"/>
        </w:rPr>
        <w:t>（二）供应商须知</w:t>
      </w:r>
      <w:bookmarkEnd w:id="70"/>
    </w:p>
    <w:p>
      <w:pPr>
        <w:pStyle w:val="77"/>
        <w:spacing w:before="24" w:after="24"/>
        <w:jc w:val="center"/>
        <w:rPr>
          <w:rFonts w:ascii="仿宋_GB2312" w:hAnsi="仿宋_GB2312" w:eastAsia="仿宋_GB2312" w:cs="仿宋_GB2312"/>
          <w:sz w:val="30"/>
          <w:szCs w:val="30"/>
        </w:rPr>
      </w:pPr>
      <w:bookmarkStart w:id="87" w:name="_Toc62196420"/>
      <w:r>
        <w:rPr>
          <w:rFonts w:hint="eastAsia" w:ascii="仿宋_GB2312" w:hAnsi="仿宋_GB2312" w:eastAsia="仿宋_GB2312" w:cs="仿宋_GB2312"/>
          <w:sz w:val="30"/>
          <w:szCs w:val="30"/>
        </w:rPr>
        <w:t>一、总  则</w:t>
      </w:r>
      <w:bookmarkEnd w:id="60"/>
      <w:bookmarkEnd w:id="61"/>
      <w:bookmarkEnd w:id="62"/>
      <w:bookmarkEnd w:id="63"/>
      <w:bookmarkEnd w:id="64"/>
      <w:bookmarkEnd w:id="65"/>
      <w:bookmarkEnd w:id="66"/>
      <w:bookmarkEnd w:id="67"/>
      <w:bookmarkEnd w:id="68"/>
      <w:bookmarkEnd w:id="69"/>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pPr>
        <w:pStyle w:val="5"/>
        <w:rPr>
          <w:rFonts w:ascii="仿宋_GB2312" w:hAnsi="仿宋_GB2312" w:eastAsia="仿宋_GB2312" w:cs="仿宋_GB2312"/>
          <w:b/>
          <w:sz w:val="24"/>
          <w:szCs w:val="21"/>
        </w:rPr>
      </w:pPr>
      <w:bookmarkStart w:id="88" w:name="_Hlt14560612"/>
      <w:bookmarkEnd w:id="88"/>
      <w:bookmarkStart w:id="89" w:name="_Toc249525161"/>
      <w:bookmarkStart w:id="90" w:name="_Toc25504"/>
      <w:bookmarkStart w:id="91" w:name="_Toc249515392"/>
      <w:bookmarkStart w:id="92" w:name="_Toc184043014"/>
      <w:bookmarkStart w:id="93" w:name="_Toc249515280"/>
      <w:r>
        <w:rPr>
          <w:rFonts w:hint="eastAsia" w:ascii="仿宋_GB2312" w:hAnsi="仿宋_GB2312" w:eastAsia="仿宋_GB2312" w:cs="仿宋_GB2312"/>
          <w:b/>
          <w:sz w:val="24"/>
          <w:szCs w:val="21"/>
        </w:rPr>
        <w:t>1.     项目说明</w:t>
      </w:r>
      <w:bookmarkEnd w:id="89"/>
      <w:bookmarkEnd w:id="90"/>
      <w:bookmarkEnd w:id="91"/>
      <w:bookmarkEnd w:id="92"/>
      <w:bookmarkEnd w:id="93"/>
    </w:p>
    <w:p>
      <w:pPr>
        <w:pStyle w:val="63"/>
        <w:widowControl w:val="0"/>
        <w:tabs>
          <w:tab w:val="left" w:pos="588"/>
        </w:tabs>
        <w:spacing w:before="0" w:beforeAutospacing="0" w:after="0" w:afterAutospacing="0"/>
        <w:textAlignment w:val="auto"/>
        <w:rPr>
          <w:rFonts w:ascii="仿宋_GB2312" w:hAnsi="仿宋_GB2312" w:eastAsia="仿宋_GB2312" w:cs="仿宋_GB2312"/>
          <w:kern w:val="24"/>
          <w:szCs w:val="21"/>
        </w:rPr>
      </w:pPr>
      <w:r>
        <w:rPr>
          <w:rFonts w:hint="eastAsia" w:ascii="仿宋_GB2312" w:hAnsi="仿宋_GB2312" w:eastAsia="仿宋_GB2312" w:cs="仿宋_GB2312"/>
          <w:kern w:val="24"/>
          <w:szCs w:val="21"/>
        </w:rPr>
        <w:t>1.1    项目说明：</w:t>
      </w:r>
      <w:r>
        <w:rPr>
          <w:rFonts w:hint="eastAsia" w:ascii="仿宋_GB2312" w:hAnsi="仿宋_GB2312" w:eastAsia="仿宋_GB2312" w:cs="仿宋_GB2312"/>
          <w:b/>
          <w:kern w:val="24"/>
          <w:szCs w:val="21"/>
        </w:rPr>
        <w:t>见供应商须知前附表</w:t>
      </w:r>
      <w:r>
        <w:rPr>
          <w:rFonts w:hint="eastAsia" w:ascii="仿宋_GB2312" w:hAnsi="仿宋_GB2312" w:eastAsia="仿宋_GB2312" w:cs="仿宋_GB2312"/>
          <w:kern w:val="24"/>
          <w:szCs w:val="21"/>
        </w:rPr>
        <w:t>。</w:t>
      </w:r>
    </w:p>
    <w:p>
      <w:pPr>
        <w:pStyle w:val="5"/>
        <w:rPr>
          <w:rFonts w:ascii="仿宋_GB2312" w:hAnsi="仿宋_GB2312" w:eastAsia="仿宋_GB2312" w:cs="仿宋_GB2312"/>
          <w:b/>
          <w:sz w:val="24"/>
          <w:szCs w:val="21"/>
        </w:rPr>
      </w:pPr>
      <w:bookmarkStart w:id="94" w:name="_Toc31509"/>
      <w:bookmarkStart w:id="95" w:name="_Toc184043015"/>
      <w:bookmarkStart w:id="96" w:name="_Toc249525162"/>
      <w:bookmarkStart w:id="97" w:name="_Toc249515393"/>
      <w:bookmarkStart w:id="98" w:name="_Toc249515281"/>
      <w:bookmarkStart w:id="99" w:name="_Toc70687142"/>
      <w:r>
        <w:rPr>
          <w:rFonts w:hint="eastAsia" w:ascii="仿宋_GB2312" w:hAnsi="仿宋_GB2312" w:eastAsia="仿宋_GB2312" w:cs="仿宋_GB2312"/>
          <w:b/>
          <w:sz w:val="24"/>
          <w:szCs w:val="21"/>
        </w:rPr>
        <w:t>2.     定义</w:t>
      </w:r>
      <w:bookmarkEnd w:id="94"/>
      <w:bookmarkEnd w:id="95"/>
      <w:bookmarkEnd w:id="96"/>
      <w:bookmarkEnd w:id="97"/>
      <w:bookmarkEnd w:id="98"/>
      <w:bookmarkEnd w:id="99"/>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2.1    采购人：</w:t>
      </w:r>
      <w:r>
        <w:rPr>
          <w:rFonts w:hint="eastAsia" w:ascii="仿宋_GB2312" w:hAnsi="仿宋_GB2312" w:eastAsia="仿宋_GB2312" w:cs="仿宋_GB2312"/>
          <w:b/>
          <w:sz w:val="24"/>
        </w:rPr>
        <w:t>见供应商须知前附表</w:t>
      </w:r>
      <w:r>
        <w:rPr>
          <w:rFonts w:hint="eastAsia" w:ascii="仿宋_GB2312" w:hAnsi="仿宋_GB2312" w:eastAsia="仿宋_GB2312" w:cs="仿宋_GB2312"/>
          <w:sz w:val="24"/>
        </w:rPr>
        <w:t>。</w:t>
      </w:r>
    </w:p>
    <w:p>
      <w:pPr>
        <w:pStyle w:val="22"/>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2.2    采购代理机构：</w:t>
      </w:r>
      <w:r>
        <w:rPr>
          <w:rFonts w:hint="eastAsia" w:ascii="仿宋_GB2312" w:hAnsi="仿宋_GB2312" w:eastAsia="仿宋_GB2312" w:cs="仿宋_GB2312"/>
          <w:b/>
          <w:kern w:val="24"/>
          <w:sz w:val="24"/>
          <w:szCs w:val="21"/>
        </w:rPr>
        <w:t>见供应商须知前附表</w:t>
      </w:r>
      <w:r>
        <w:rPr>
          <w:rFonts w:hint="eastAsia" w:ascii="仿宋_GB2312" w:hAnsi="仿宋_GB2312" w:eastAsia="仿宋_GB2312" w:cs="仿宋_GB2312"/>
          <w:kern w:val="24"/>
          <w:sz w:val="24"/>
          <w:szCs w:val="21"/>
        </w:rPr>
        <w:t>。</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2.3    供应商：指响应磋商文件要求、参加竞争性磋商采购的法人、其他组织或者自然人。本次政府采购项目邀请供应商方式见</w:t>
      </w:r>
      <w:r>
        <w:rPr>
          <w:rFonts w:hint="eastAsia" w:ascii="仿宋_GB2312" w:hAnsi="仿宋_GB2312" w:eastAsia="仿宋_GB2312" w:cs="仿宋_GB2312"/>
          <w:b/>
          <w:sz w:val="24"/>
        </w:rPr>
        <w:t>供应商须知前附表。</w:t>
      </w:r>
    </w:p>
    <w:p>
      <w:pPr>
        <w:pStyle w:val="22"/>
        <w:tabs>
          <w:tab w:val="left" w:pos="360"/>
        </w:tabs>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2.4    磋商小组：指依据《中华人民共和国政府采购法》和财政部《政府采购竞争性磋商采购方式管理暂行办法》有关规定组建，依法依规履行其职责和义务的机构。</w:t>
      </w:r>
    </w:p>
    <w:p>
      <w:pPr>
        <w:pStyle w:val="5"/>
        <w:rPr>
          <w:rFonts w:ascii="仿宋_GB2312" w:hAnsi="仿宋_GB2312" w:eastAsia="仿宋_GB2312" w:cs="仿宋_GB2312"/>
          <w:b/>
          <w:sz w:val="24"/>
          <w:szCs w:val="21"/>
        </w:rPr>
      </w:pPr>
      <w:bookmarkStart w:id="100" w:name="_Toc249515394"/>
      <w:bookmarkStart w:id="101" w:name="_Toc249515282"/>
      <w:bookmarkStart w:id="102" w:name="_Toc70687143"/>
      <w:bookmarkStart w:id="103" w:name="_Toc389620168"/>
      <w:bookmarkStart w:id="104" w:name="_Toc23705"/>
      <w:bookmarkStart w:id="105" w:name="_Toc249525163"/>
      <w:bookmarkStart w:id="106" w:name="_Toc184043016"/>
      <w:bookmarkStart w:id="107" w:name="_Toc385992329"/>
      <w:r>
        <w:rPr>
          <w:rFonts w:hint="eastAsia" w:ascii="仿宋_GB2312" w:hAnsi="仿宋_GB2312" w:eastAsia="仿宋_GB2312" w:cs="仿宋_GB2312"/>
          <w:b/>
          <w:sz w:val="24"/>
          <w:szCs w:val="21"/>
        </w:rPr>
        <w:t>3.     合格的供应商</w:t>
      </w:r>
      <w:bookmarkEnd w:id="100"/>
      <w:bookmarkEnd w:id="101"/>
      <w:bookmarkEnd w:id="102"/>
      <w:bookmarkEnd w:id="103"/>
      <w:bookmarkEnd w:id="104"/>
      <w:bookmarkEnd w:id="105"/>
      <w:bookmarkEnd w:id="106"/>
      <w:bookmarkEnd w:id="107"/>
    </w:p>
    <w:p>
      <w:pPr>
        <w:tabs>
          <w:tab w:val="left" w:pos="588"/>
        </w:tabs>
        <w:spacing w:line="360" w:lineRule="auto"/>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3.1    供应商基本资质要求详见</w:t>
      </w:r>
      <w:r>
        <w:rPr>
          <w:rFonts w:hint="eastAsia" w:ascii="仿宋_GB2312" w:hAnsi="仿宋_GB2312" w:eastAsia="仿宋_GB2312" w:cs="仿宋_GB2312"/>
          <w:b/>
          <w:kern w:val="24"/>
          <w:sz w:val="24"/>
          <w:szCs w:val="21"/>
        </w:rPr>
        <w:t>供应商须知前附表</w:t>
      </w:r>
      <w:r>
        <w:rPr>
          <w:rFonts w:hint="eastAsia" w:ascii="仿宋_GB2312" w:hAnsi="仿宋_GB2312" w:eastAsia="仿宋_GB2312" w:cs="仿宋_GB2312"/>
          <w:kern w:val="24"/>
          <w:sz w:val="24"/>
          <w:szCs w:val="21"/>
        </w:rPr>
        <w:t>。</w:t>
      </w:r>
    </w:p>
    <w:p>
      <w:pPr>
        <w:tabs>
          <w:tab w:val="left" w:pos="588"/>
        </w:tabs>
        <w:spacing w:line="360" w:lineRule="auto"/>
        <w:ind w:left="840" w:leftChars="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3.2    本项目将执行在政府采购活动中查询及使用信用记录的规定，具体要求为：</w:t>
      </w:r>
    </w:p>
    <w:p>
      <w:pPr>
        <w:tabs>
          <w:tab w:val="left" w:pos="588"/>
        </w:tabs>
        <w:spacing w:line="360" w:lineRule="auto"/>
        <w:ind w:left="840" w:leftChars="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3.2.1  供应商应当未被列入失信被执行人、重大税收违法案件当事人名单、政府采购严重违法失信行为记录名单，否则不得参与政府采购活动。</w:t>
      </w:r>
    </w:p>
    <w:p>
      <w:pPr>
        <w:tabs>
          <w:tab w:val="left" w:pos="588"/>
        </w:tabs>
        <w:spacing w:line="360" w:lineRule="auto"/>
        <w:ind w:left="840" w:leftChars="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3.2.2  信用信息查询的时间：响应文件递交截止时间之后至磋商</w:t>
      </w:r>
      <w:r>
        <w:rPr>
          <w:rFonts w:hint="eastAsia" w:ascii="仿宋_GB2312" w:hAnsi="仿宋_GB2312" w:eastAsia="仿宋_GB2312" w:cs="仿宋_GB2312"/>
          <w:sz w:val="24"/>
        </w:rPr>
        <w:t>资格性检查结束</w:t>
      </w:r>
      <w:r>
        <w:rPr>
          <w:rFonts w:hint="eastAsia" w:ascii="仿宋_GB2312" w:hAnsi="仿宋_GB2312" w:eastAsia="仿宋_GB2312" w:cs="仿宋_GB2312"/>
          <w:kern w:val="24"/>
          <w:sz w:val="24"/>
          <w:szCs w:val="21"/>
        </w:rPr>
        <w:t xml:space="preserve">。 </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 xml:space="preserve">3.2.3  查询渠道：“信用中国”网站（www.creditchina.gov.cn）和中国政府采购网（www.ccgp.gov.cn）； </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 xml:space="preserve">3.2.4  信用信息查询记录和证据留存具体方式：将经查询存在不良信用记录的潜在供应商的查询结果网页截图作为查询记录和证据，与其他采购文件一并保存； </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3.3.5  信用信息的使用规则：采购人或采购代理机构若发现参与本项目政府采购活动的供应商在存在不良信用记录的，将信用信息查询记录提交给磋商小组，作无效文件进行处理。</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3.4    供应商必须向采购人领取磋商文件并登记备案，未向采购人领取磋商文件并登记备案的潜在供应商均无资格参加本次采购。</w:t>
      </w:r>
    </w:p>
    <w:p>
      <w:pPr>
        <w:tabs>
          <w:tab w:val="left" w:pos="588"/>
        </w:tabs>
        <w:spacing w:line="360" w:lineRule="auto"/>
        <w:ind w:left="840" w:leftChars="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3.5    供应商应遵守《中华人民共和国政府采购法》及其它有关的中国法律和法规。</w:t>
      </w:r>
    </w:p>
    <w:p>
      <w:pPr>
        <w:pStyle w:val="5"/>
        <w:rPr>
          <w:rFonts w:ascii="仿宋_GB2312" w:hAnsi="仿宋_GB2312" w:eastAsia="仿宋_GB2312" w:cs="仿宋_GB2312"/>
          <w:b/>
          <w:sz w:val="24"/>
          <w:szCs w:val="21"/>
        </w:rPr>
      </w:pPr>
      <w:bookmarkStart w:id="108" w:name="_Toc249515395"/>
      <w:bookmarkStart w:id="109" w:name="_Toc70687144"/>
      <w:bookmarkStart w:id="110" w:name="_Toc249525164"/>
      <w:bookmarkStart w:id="111" w:name="_Toc26580"/>
      <w:bookmarkStart w:id="112" w:name="_Toc389620169"/>
      <w:bookmarkStart w:id="113" w:name="_Toc184043017"/>
      <w:bookmarkStart w:id="114" w:name="_Toc249515283"/>
      <w:bookmarkStart w:id="115" w:name="_Toc385992330"/>
      <w:r>
        <w:rPr>
          <w:rFonts w:hint="eastAsia" w:ascii="仿宋_GB2312" w:hAnsi="仿宋_GB2312" w:eastAsia="仿宋_GB2312" w:cs="仿宋_GB2312"/>
          <w:b/>
          <w:sz w:val="24"/>
          <w:szCs w:val="21"/>
        </w:rPr>
        <w:t>4.     磋商费用</w:t>
      </w:r>
      <w:bookmarkEnd w:id="108"/>
      <w:bookmarkEnd w:id="109"/>
      <w:bookmarkEnd w:id="110"/>
      <w:bookmarkEnd w:id="111"/>
      <w:bookmarkEnd w:id="112"/>
      <w:bookmarkEnd w:id="113"/>
      <w:bookmarkEnd w:id="114"/>
      <w:bookmarkEnd w:id="115"/>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4.1    供应商应承担所有与编写和提交响应文件有关的费用，无论磋商过程和结果如何，采购人在任何情况下均无义务和责任承担这些费用。</w:t>
      </w:r>
    </w:p>
    <w:p>
      <w:pPr>
        <w:pStyle w:val="77"/>
        <w:spacing w:before="24" w:after="24"/>
        <w:ind w:left="3313"/>
        <w:rPr>
          <w:rFonts w:ascii="仿宋_GB2312" w:hAnsi="仿宋_GB2312" w:eastAsia="仿宋_GB2312" w:cs="仿宋_GB2312"/>
          <w:sz w:val="30"/>
          <w:szCs w:val="30"/>
        </w:rPr>
      </w:pPr>
      <w:bookmarkStart w:id="116" w:name="_Toc62196421"/>
      <w:r>
        <w:rPr>
          <w:rFonts w:hint="eastAsia" w:ascii="仿宋_GB2312" w:hAnsi="仿宋_GB2312" w:eastAsia="仿宋_GB2312" w:cs="仿宋_GB2312"/>
          <w:sz w:val="30"/>
          <w:szCs w:val="30"/>
        </w:rPr>
        <w:t>二、磋商文件说明</w:t>
      </w:r>
      <w:bookmarkEnd w:id="116"/>
    </w:p>
    <w:p>
      <w:pPr>
        <w:pStyle w:val="5"/>
        <w:numPr>
          <w:ilvl w:val="0"/>
          <w:numId w:val="6"/>
        </w:numPr>
        <w:rPr>
          <w:rFonts w:ascii="仿宋_GB2312" w:hAnsi="仿宋_GB2312" w:eastAsia="仿宋_GB2312" w:cs="仿宋_GB2312"/>
          <w:b/>
          <w:sz w:val="24"/>
          <w:szCs w:val="21"/>
        </w:rPr>
      </w:pPr>
      <w:bookmarkStart w:id="117" w:name="_Toc128"/>
      <w:bookmarkStart w:id="118" w:name="_Toc249515285"/>
      <w:bookmarkStart w:id="119" w:name="_Toc249515397"/>
      <w:bookmarkStart w:id="120" w:name="_Toc70687146"/>
      <w:bookmarkStart w:id="121" w:name="_Toc184043019"/>
      <w:bookmarkStart w:id="122" w:name="_Toc249525166"/>
      <w:bookmarkStart w:id="123" w:name="_Toc389620171"/>
      <w:bookmarkStart w:id="124" w:name="_Toc385992332"/>
      <w:r>
        <w:rPr>
          <w:rFonts w:hint="eastAsia" w:ascii="仿宋_GB2312" w:hAnsi="仿宋_GB2312" w:eastAsia="仿宋_GB2312" w:cs="仿宋_GB2312"/>
          <w:b/>
          <w:sz w:val="24"/>
          <w:szCs w:val="21"/>
        </w:rPr>
        <w:t xml:space="preserve">    通知</w:t>
      </w:r>
      <w:bookmarkEnd w:id="117"/>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5.1    对与本项目有关的通知，采购人或采购代理机构将以书面（包括书面材料、信函、传真、电子邮件等，下同）的形式，送达所有与通知有关的已登记备案并领取了磋商文件的供应商（潜在供应商），传真号码以供应商登记的为准。供应商应于收到通知后按规定时间以书面方式予以回复确认。因登记有误或传真线路故障导致通知延迟送达或无法送达，采购人或采购代理机构不承担责任。</w:t>
      </w:r>
    </w:p>
    <w:p>
      <w:pPr>
        <w:pStyle w:val="5"/>
        <w:rPr>
          <w:rFonts w:ascii="仿宋_GB2312" w:hAnsi="仿宋_GB2312" w:eastAsia="仿宋_GB2312" w:cs="仿宋_GB2312"/>
          <w:b/>
          <w:sz w:val="24"/>
          <w:szCs w:val="21"/>
        </w:rPr>
      </w:pPr>
      <w:bookmarkStart w:id="125" w:name="_Toc27223"/>
      <w:r>
        <w:rPr>
          <w:rFonts w:hint="eastAsia" w:ascii="仿宋_GB2312" w:hAnsi="仿宋_GB2312" w:eastAsia="仿宋_GB2312" w:cs="仿宋_GB2312"/>
          <w:b/>
          <w:sz w:val="24"/>
          <w:szCs w:val="21"/>
        </w:rPr>
        <w:t>6.     磋商文件的构成</w:t>
      </w:r>
      <w:bookmarkEnd w:id="118"/>
      <w:bookmarkEnd w:id="119"/>
      <w:bookmarkEnd w:id="120"/>
      <w:bookmarkEnd w:id="121"/>
      <w:bookmarkEnd w:id="122"/>
      <w:bookmarkEnd w:id="123"/>
      <w:bookmarkEnd w:id="124"/>
      <w:bookmarkEnd w:id="125"/>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6.1    磋商文件用以阐明供应商所需提供的工程以及其它类似的义务、采购响应程序和合同条款。磋商文件包括如下六章内容：</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第一章</w:t>
      </w:r>
      <w:r>
        <w:rPr>
          <w:rFonts w:hint="eastAsia" w:ascii="仿宋_GB2312" w:hAnsi="仿宋_GB2312" w:eastAsia="仿宋_GB2312" w:cs="仿宋_GB2312"/>
          <w:sz w:val="24"/>
        </w:rPr>
        <w:tab/>
      </w:r>
      <w:r>
        <w:rPr>
          <w:rFonts w:hint="eastAsia" w:ascii="仿宋_GB2312" w:hAnsi="仿宋_GB2312" w:eastAsia="仿宋_GB2312" w:cs="仿宋_GB2312"/>
          <w:sz w:val="24"/>
        </w:rPr>
        <w:t>磋商公告</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第二章</w:t>
      </w:r>
      <w:r>
        <w:rPr>
          <w:rFonts w:hint="eastAsia" w:ascii="仿宋_GB2312" w:hAnsi="仿宋_GB2312" w:eastAsia="仿宋_GB2312" w:cs="仿宋_GB2312"/>
          <w:sz w:val="24"/>
        </w:rPr>
        <w:tab/>
      </w:r>
      <w:r>
        <w:rPr>
          <w:rFonts w:hint="eastAsia" w:ascii="仿宋_GB2312" w:hAnsi="仿宋_GB2312" w:eastAsia="仿宋_GB2312" w:cs="仿宋_GB2312"/>
          <w:sz w:val="24"/>
        </w:rPr>
        <w:t>供应商须知</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第三章</w:t>
      </w:r>
      <w:r>
        <w:rPr>
          <w:rFonts w:hint="eastAsia" w:ascii="仿宋_GB2312" w:hAnsi="仿宋_GB2312" w:eastAsia="仿宋_GB2312" w:cs="仿宋_GB2312"/>
          <w:sz w:val="24"/>
        </w:rPr>
        <w:tab/>
      </w:r>
      <w:r>
        <w:rPr>
          <w:rFonts w:hint="eastAsia" w:ascii="仿宋_GB2312" w:hAnsi="仿宋_GB2312" w:eastAsia="仿宋_GB2312" w:cs="仿宋_GB2312"/>
          <w:sz w:val="24"/>
        </w:rPr>
        <w:t>评审办法和标准</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第四章</w:t>
      </w:r>
      <w:r>
        <w:rPr>
          <w:rFonts w:hint="eastAsia" w:ascii="仿宋_GB2312" w:hAnsi="仿宋_GB2312" w:eastAsia="仿宋_GB2312" w:cs="仿宋_GB2312"/>
          <w:sz w:val="24"/>
        </w:rPr>
        <w:tab/>
      </w:r>
      <w:r>
        <w:rPr>
          <w:rFonts w:hint="eastAsia" w:ascii="仿宋_GB2312" w:hAnsi="仿宋_GB2312" w:eastAsia="仿宋_GB2312" w:cs="仿宋_GB2312"/>
          <w:sz w:val="24"/>
        </w:rPr>
        <w:t>合同草案条款</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第五章</w:t>
      </w:r>
      <w:r>
        <w:rPr>
          <w:rFonts w:hint="eastAsia" w:ascii="仿宋_GB2312" w:hAnsi="仿宋_GB2312" w:eastAsia="仿宋_GB2312" w:cs="仿宋_GB2312"/>
          <w:sz w:val="24"/>
        </w:rPr>
        <w:tab/>
      </w:r>
      <w:r>
        <w:rPr>
          <w:rFonts w:hint="eastAsia" w:ascii="仿宋_GB2312" w:hAnsi="仿宋_GB2312" w:eastAsia="仿宋_GB2312" w:cs="仿宋_GB2312"/>
          <w:sz w:val="24"/>
        </w:rPr>
        <w:t>采购内容及要求</w:t>
      </w:r>
    </w:p>
    <w:p>
      <w:pPr>
        <w:pStyle w:val="22"/>
        <w:ind w:left="838" w:leftChars="399"/>
        <w:rPr>
          <w:rFonts w:ascii="仿宋_GB2312" w:hAnsi="仿宋_GB2312" w:eastAsia="仿宋_GB2312" w:cs="仿宋_GB2312"/>
          <w:sz w:val="24"/>
        </w:rPr>
      </w:pPr>
      <w:r>
        <w:rPr>
          <w:rFonts w:hint="eastAsia" w:ascii="仿宋_GB2312" w:hAnsi="仿宋_GB2312" w:eastAsia="仿宋_GB2312" w:cs="仿宋_GB2312"/>
          <w:sz w:val="24"/>
        </w:rPr>
        <w:t>第六章</w:t>
      </w:r>
      <w:r>
        <w:rPr>
          <w:rFonts w:hint="eastAsia" w:ascii="仿宋_GB2312" w:hAnsi="仿宋_GB2312" w:eastAsia="仿宋_GB2312" w:cs="仿宋_GB2312"/>
          <w:sz w:val="24"/>
        </w:rPr>
        <w:tab/>
      </w:r>
      <w:r>
        <w:rPr>
          <w:rFonts w:hint="eastAsia" w:ascii="仿宋_GB2312" w:hAnsi="仿宋_GB2312" w:eastAsia="仿宋_GB2312" w:cs="仿宋_GB2312"/>
          <w:sz w:val="24"/>
        </w:rPr>
        <w:t>磋商响应文件格式</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6.2    供应商应认真阅读磋商文件中所有的事项、格式条款和规范要求等。供应商没有对磋商文件做出全面的实质性响应是供应商的风险。采购人有权拒绝没有对磋商文件要求做出实质性响应的响应文件。</w:t>
      </w:r>
    </w:p>
    <w:p>
      <w:pPr>
        <w:pStyle w:val="5"/>
        <w:rPr>
          <w:rFonts w:ascii="仿宋_GB2312" w:hAnsi="仿宋_GB2312" w:eastAsia="仿宋_GB2312" w:cs="仿宋_GB2312"/>
          <w:b/>
          <w:sz w:val="24"/>
          <w:szCs w:val="21"/>
        </w:rPr>
      </w:pPr>
      <w:bookmarkStart w:id="126" w:name="_Toc184043020"/>
      <w:bookmarkStart w:id="127" w:name="_Toc70687147"/>
      <w:bookmarkStart w:id="128" w:name="_Toc249515398"/>
      <w:bookmarkStart w:id="129" w:name="_Toc385992333"/>
      <w:bookmarkStart w:id="130" w:name="_Toc249525167"/>
      <w:bookmarkStart w:id="131" w:name="_Toc389620172"/>
      <w:bookmarkStart w:id="132" w:name="_Toc249515286"/>
      <w:bookmarkStart w:id="133" w:name="_Toc10350"/>
      <w:r>
        <w:rPr>
          <w:rFonts w:hint="eastAsia" w:ascii="仿宋_GB2312" w:hAnsi="仿宋_GB2312" w:eastAsia="仿宋_GB2312" w:cs="仿宋_GB2312"/>
          <w:b/>
          <w:sz w:val="24"/>
          <w:szCs w:val="21"/>
        </w:rPr>
        <w:t>7.     磋商文件的澄清</w:t>
      </w:r>
      <w:bookmarkEnd w:id="126"/>
      <w:bookmarkEnd w:id="127"/>
      <w:bookmarkEnd w:id="128"/>
      <w:bookmarkEnd w:id="129"/>
      <w:bookmarkEnd w:id="130"/>
      <w:bookmarkEnd w:id="131"/>
      <w:bookmarkEnd w:id="132"/>
      <w:r>
        <w:rPr>
          <w:rFonts w:hint="eastAsia" w:ascii="仿宋_GB2312" w:hAnsi="仿宋_GB2312" w:eastAsia="仿宋_GB2312" w:cs="仿宋_GB2312"/>
          <w:b/>
          <w:sz w:val="24"/>
          <w:szCs w:val="21"/>
        </w:rPr>
        <w:t>和修改</w:t>
      </w:r>
      <w:bookmarkEnd w:id="133"/>
    </w:p>
    <w:p>
      <w:pPr>
        <w:tabs>
          <w:tab w:val="left" w:pos="588"/>
        </w:tabs>
        <w:spacing w:line="360" w:lineRule="auto"/>
        <w:ind w:left="840" w:hanging="840" w:hangingChars="350"/>
        <w:rPr>
          <w:rFonts w:ascii="仿宋_GB2312" w:hAnsi="仿宋_GB2312" w:eastAsia="仿宋_GB2312" w:cs="仿宋_GB2312"/>
          <w:sz w:val="24"/>
        </w:rPr>
      </w:pPr>
      <w:bookmarkStart w:id="134" w:name="_Toc70687148"/>
      <w:bookmarkStart w:id="135" w:name="_Toc385992334"/>
      <w:bookmarkStart w:id="136" w:name="_Toc389620173"/>
      <w:r>
        <w:rPr>
          <w:rFonts w:hint="eastAsia" w:ascii="仿宋_GB2312" w:hAnsi="仿宋_GB2312" w:eastAsia="仿宋_GB2312" w:cs="仿宋_GB2312"/>
          <w:sz w:val="24"/>
        </w:rPr>
        <w:t xml:space="preserve">7.1    </w:t>
      </w:r>
      <w:bookmarkEnd w:id="134"/>
      <w:bookmarkEnd w:id="135"/>
      <w:bookmarkEnd w:id="136"/>
      <w:bookmarkStart w:id="137" w:name="_Toc389620174"/>
      <w:bookmarkStart w:id="138" w:name="_Toc496324582"/>
      <w:bookmarkStart w:id="139" w:name="_Toc500747192"/>
      <w:bookmarkStart w:id="140" w:name="_Toc499711046"/>
      <w:bookmarkStart w:id="141" w:name="_Toc500746969"/>
      <w:bookmarkStart w:id="142" w:name="_Toc503063425"/>
      <w:bookmarkStart w:id="143" w:name="_Toc500747065"/>
      <w:bookmarkStart w:id="144" w:name="_Toc492955418"/>
      <w:bookmarkStart w:id="145" w:name="_Toc499711887"/>
      <w:bookmarkStart w:id="146" w:name="_Toc53722843"/>
      <w:bookmarkStart w:id="147" w:name="_Toc70687149"/>
      <w:bookmarkStart w:id="148" w:name="_Toc385992335"/>
      <w:r>
        <w:rPr>
          <w:rFonts w:hint="eastAsia" w:ascii="仿宋_GB2312" w:hAnsi="仿宋_GB2312" w:eastAsia="仿宋_GB2312" w:cs="仿宋_GB2312"/>
          <w:sz w:val="24"/>
        </w:rPr>
        <w:t>在首次响应文件递交截止时间前，采购人或采购代理机构可以对已发出的磋商文件进行必要的澄清或修改，澄清或修改的内容为磋商文件的组成部分。</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7.2    磋商文件的修改将以书面形式通知所有领取磋商文件的供应商，并对其具有约束力。供应商在收到上述通知后，应立即向采购人回函确认。</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7.3    澄清或修改的内容可能影响响应文件编制的，采购人或采购代理机构可适当延长首次响应文件递交截止时间，并以书面形式通知所有领取磋商文件的供应商。</w:t>
      </w:r>
    </w:p>
    <w:p>
      <w:pPr>
        <w:pStyle w:val="77"/>
        <w:spacing w:before="24" w:after="24"/>
        <w:ind w:left="3313"/>
        <w:rPr>
          <w:rFonts w:ascii="仿宋_GB2312" w:hAnsi="仿宋_GB2312" w:eastAsia="仿宋_GB2312" w:cs="仿宋_GB2312"/>
          <w:sz w:val="30"/>
          <w:szCs w:val="30"/>
        </w:rPr>
      </w:pPr>
      <w:bookmarkStart w:id="149" w:name="_Toc176882545"/>
      <w:bookmarkStart w:id="150" w:name="_Toc177995476"/>
      <w:bookmarkStart w:id="151" w:name="_Toc230583544"/>
      <w:bookmarkStart w:id="152" w:name="_Toc256342146"/>
      <w:bookmarkStart w:id="153" w:name="_Toc249515400"/>
      <w:bookmarkStart w:id="154" w:name="_Toc249525169"/>
      <w:bookmarkStart w:id="155" w:name="_Toc177189238"/>
      <w:bookmarkStart w:id="156" w:name="_Toc230099800"/>
      <w:bookmarkStart w:id="157" w:name="_Toc177817337"/>
      <w:bookmarkStart w:id="158" w:name="_Toc232395215"/>
      <w:bookmarkStart w:id="159" w:name="_Toc184043022"/>
      <w:bookmarkStart w:id="160" w:name="_Toc232176275"/>
      <w:bookmarkStart w:id="161" w:name="_Toc62196422"/>
      <w:bookmarkStart w:id="162" w:name="_Toc249515288"/>
      <w:bookmarkStart w:id="163" w:name="_Toc230013635"/>
      <w:r>
        <w:rPr>
          <w:rFonts w:hint="eastAsia" w:ascii="仿宋_GB2312" w:hAnsi="仿宋_GB2312" w:eastAsia="仿宋_GB2312" w:cs="仿宋_GB2312"/>
          <w:sz w:val="30"/>
          <w:szCs w:val="30"/>
        </w:rPr>
        <w:t>三、响应文件的编写</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pStyle w:val="5"/>
        <w:rPr>
          <w:rFonts w:ascii="仿宋_GB2312" w:hAnsi="仿宋_GB2312" w:eastAsia="仿宋_GB2312" w:cs="仿宋_GB2312"/>
          <w:b/>
          <w:sz w:val="24"/>
          <w:szCs w:val="21"/>
        </w:rPr>
      </w:pPr>
      <w:bookmarkStart w:id="164" w:name="_Toc184043023"/>
      <w:bookmarkStart w:id="165" w:name="_Toc249525170"/>
      <w:bookmarkStart w:id="166" w:name="_Toc70687150"/>
      <w:bookmarkStart w:id="167" w:name="_Toc249515401"/>
      <w:bookmarkStart w:id="168" w:name="_Toc30150"/>
      <w:bookmarkStart w:id="169" w:name="_Toc249515289"/>
      <w:bookmarkStart w:id="170" w:name="_Toc385992337"/>
      <w:bookmarkStart w:id="171" w:name="_Toc389620176"/>
      <w:r>
        <w:rPr>
          <w:rFonts w:hint="eastAsia" w:ascii="仿宋_GB2312" w:hAnsi="仿宋_GB2312" w:eastAsia="仿宋_GB2312" w:cs="仿宋_GB2312"/>
          <w:b/>
          <w:sz w:val="24"/>
          <w:szCs w:val="21"/>
        </w:rPr>
        <w:t>8.     响应文件语言</w:t>
      </w:r>
      <w:bookmarkEnd w:id="164"/>
      <w:bookmarkEnd w:id="165"/>
      <w:bookmarkEnd w:id="166"/>
      <w:bookmarkEnd w:id="167"/>
      <w:bookmarkEnd w:id="168"/>
      <w:bookmarkEnd w:id="169"/>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8.1    响应文件及与响应相关的所有文件均应以中文书写。</w:t>
      </w:r>
    </w:p>
    <w:p>
      <w:pPr>
        <w:pStyle w:val="5"/>
        <w:rPr>
          <w:rFonts w:ascii="仿宋_GB2312" w:hAnsi="仿宋_GB2312" w:eastAsia="仿宋_GB2312" w:cs="仿宋_GB2312"/>
          <w:b/>
          <w:sz w:val="24"/>
          <w:szCs w:val="21"/>
        </w:rPr>
      </w:pPr>
      <w:bookmarkStart w:id="172" w:name="_Toc249525171"/>
      <w:bookmarkStart w:id="173" w:name="_Toc249515402"/>
      <w:bookmarkStart w:id="174" w:name="_Toc184043024"/>
      <w:bookmarkStart w:id="175" w:name="_Toc18327"/>
      <w:bookmarkStart w:id="176" w:name="_Toc249515290"/>
      <w:bookmarkStart w:id="177" w:name="_Toc70687151"/>
      <w:r>
        <w:rPr>
          <w:rFonts w:hint="eastAsia" w:ascii="仿宋_GB2312" w:hAnsi="仿宋_GB2312" w:eastAsia="仿宋_GB2312" w:cs="仿宋_GB2312"/>
          <w:b/>
          <w:sz w:val="24"/>
          <w:szCs w:val="21"/>
        </w:rPr>
        <w:t>9.     计量单位</w:t>
      </w:r>
      <w:bookmarkEnd w:id="170"/>
      <w:bookmarkEnd w:id="171"/>
      <w:bookmarkEnd w:id="172"/>
      <w:bookmarkEnd w:id="173"/>
      <w:bookmarkEnd w:id="174"/>
      <w:bookmarkEnd w:id="175"/>
      <w:bookmarkEnd w:id="176"/>
      <w:bookmarkEnd w:id="177"/>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9.1    除在磋商文件的技术规格中另有规定外，计量单位应使用中华人民共和国法定计量单位。</w:t>
      </w:r>
    </w:p>
    <w:p>
      <w:pPr>
        <w:pStyle w:val="5"/>
        <w:rPr>
          <w:rFonts w:ascii="仿宋_GB2312" w:hAnsi="仿宋_GB2312" w:eastAsia="仿宋_GB2312" w:cs="仿宋_GB2312"/>
          <w:b/>
          <w:sz w:val="24"/>
          <w:szCs w:val="21"/>
        </w:rPr>
      </w:pPr>
      <w:bookmarkStart w:id="178" w:name="_Toc184043025"/>
      <w:bookmarkStart w:id="179" w:name="_Toc389620177"/>
      <w:bookmarkStart w:id="180" w:name="_Toc29318"/>
      <w:bookmarkStart w:id="181" w:name="_Toc249515403"/>
      <w:bookmarkStart w:id="182" w:name="_Toc70687152"/>
      <w:bookmarkStart w:id="183" w:name="_Toc385992338"/>
      <w:bookmarkStart w:id="184" w:name="_Toc249525172"/>
      <w:bookmarkStart w:id="185" w:name="_Toc249515291"/>
      <w:r>
        <w:rPr>
          <w:rFonts w:hint="eastAsia" w:ascii="仿宋_GB2312" w:hAnsi="仿宋_GB2312" w:eastAsia="仿宋_GB2312" w:cs="仿宋_GB2312"/>
          <w:b/>
          <w:sz w:val="24"/>
          <w:szCs w:val="21"/>
        </w:rPr>
        <w:t>10.    响应文件的组成</w:t>
      </w:r>
      <w:bookmarkEnd w:id="178"/>
      <w:bookmarkEnd w:id="179"/>
      <w:bookmarkEnd w:id="180"/>
      <w:bookmarkEnd w:id="181"/>
      <w:bookmarkEnd w:id="182"/>
      <w:bookmarkEnd w:id="183"/>
      <w:bookmarkEnd w:id="184"/>
      <w:bookmarkEnd w:id="185"/>
    </w:p>
    <w:p>
      <w:pPr>
        <w:tabs>
          <w:tab w:val="left" w:pos="588"/>
        </w:tabs>
        <w:spacing w:line="360" w:lineRule="auto"/>
        <w:ind w:left="840" w:leftChars="0" w:hanging="840" w:hangingChars="350"/>
        <w:rPr>
          <w:rFonts w:ascii="仿宋_GB2312" w:hAnsi="仿宋_GB2312" w:eastAsia="仿宋_GB2312" w:cs="仿宋_GB2312"/>
          <w:sz w:val="24"/>
        </w:rPr>
      </w:pPr>
      <w:r>
        <w:rPr>
          <w:rFonts w:hint="eastAsia" w:ascii="仿宋_GB2312" w:hAnsi="仿宋_GB2312" w:eastAsia="仿宋_GB2312" w:cs="仿宋_GB2312"/>
          <w:sz w:val="24"/>
        </w:rPr>
        <w:t>10.1   供应商编写的响应文件</w:t>
      </w:r>
      <w:r>
        <w:rPr>
          <w:rFonts w:hint="eastAsia" w:ascii="仿宋_GB2312" w:hAnsi="仿宋_GB2312" w:eastAsia="仿宋_GB2312" w:cs="仿宋_GB2312"/>
          <w:b/>
          <w:sz w:val="24"/>
        </w:rPr>
        <w:t>由《资格证明文件》、《商务及技术文件》两部分</w:t>
      </w:r>
      <w:r>
        <w:rPr>
          <w:rFonts w:hint="eastAsia" w:ascii="仿宋_GB2312" w:hAnsi="仿宋_GB2312" w:eastAsia="仿宋_GB2312" w:cs="仿宋_GB2312"/>
          <w:sz w:val="24"/>
        </w:rPr>
        <w:t>组成。供应商应完整地按照磋商文件提供的响应文件格式及要求编写响应文件。响应文件中资格审查和符合性审查涉及的事项不满足要求的，其响应文件将被认定为无效。</w:t>
      </w:r>
    </w:p>
    <w:p>
      <w:pPr>
        <w:tabs>
          <w:tab w:val="left" w:pos="588"/>
        </w:tabs>
        <w:spacing w:line="360" w:lineRule="auto"/>
        <w:ind w:left="840" w:leftChars="0" w:hanging="840" w:hangingChars="350"/>
        <w:rPr>
          <w:rFonts w:ascii="仿宋_GB2312" w:hAnsi="仿宋_GB2312" w:eastAsia="仿宋_GB2312" w:cs="仿宋_GB2312"/>
          <w:sz w:val="24"/>
        </w:rPr>
      </w:pPr>
      <w:r>
        <w:rPr>
          <w:rFonts w:hint="eastAsia" w:ascii="仿宋_GB2312" w:hAnsi="仿宋_GB2312" w:eastAsia="仿宋_GB2312" w:cs="仿宋_GB2312"/>
          <w:sz w:val="24"/>
        </w:rPr>
        <w:t>10.2   供应商提供的以上材料必须真实有效，任何一项的虚假将导致其响应被拒绝。</w:t>
      </w:r>
    </w:p>
    <w:p>
      <w:pPr>
        <w:pStyle w:val="5"/>
        <w:rPr>
          <w:rFonts w:ascii="仿宋_GB2312" w:hAnsi="仿宋_GB2312" w:eastAsia="仿宋_GB2312" w:cs="仿宋_GB2312"/>
          <w:b/>
          <w:sz w:val="24"/>
          <w:szCs w:val="21"/>
        </w:rPr>
      </w:pPr>
      <w:bookmarkStart w:id="186" w:name="_Toc184043026"/>
      <w:bookmarkStart w:id="187" w:name="_Toc70687153"/>
      <w:bookmarkStart w:id="188" w:name="_Toc249515292"/>
      <w:bookmarkStart w:id="189" w:name="_Toc249525173"/>
      <w:bookmarkStart w:id="190" w:name="_Toc26312"/>
      <w:bookmarkStart w:id="191" w:name="_Toc249515404"/>
      <w:bookmarkStart w:id="192" w:name="_Toc385992339"/>
      <w:bookmarkStart w:id="193" w:name="_Toc389620178"/>
      <w:r>
        <w:rPr>
          <w:rFonts w:hint="eastAsia" w:ascii="仿宋_GB2312" w:hAnsi="仿宋_GB2312" w:eastAsia="仿宋_GB2312" w:cs="仿宋_GB2312"/>
          <w:b/>
          <w:sz w:val="24"/>
        </w:rPr>
        <w:t>11.    响应文件格式</w:t>
      </w:r>
      <w:bookmarkEnd w:id="186"/>
      <w:bookmarkEnd w:id="187"/>
      <w:bookmarkEnd w:id="188"/>
      <w:bookmarkEnd w:id="189"/>
      <w:bookmarkEnd w:id="190"/>
      <w:bookmarkEnd w:id="191"/>
      <w:bookmarkEnd w:id="192"/>
      <w:bookmarkEnd w:id="193"/>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11.1   对于磋商文件第六章中已经提供了格式的响应文件内容，供应商必须按提供的响应文件格式进行填写和编制，没有提供格式的可自行设计。</w:t>
      </w:r>
    </w:p>
    <w:p>
      <w:pPr>
        <w:pStyle w:val="5"/>
        <w:rPr>
          <w:rFonts w:ascii="仿宋_GB2312" w:hAnsi="仿宋_GB2312" w:eastAsia="仿宋_GB2312" w:cs="仿宋_GB2312"/>
          <w:b/>
          <w:sz w:val="24"/>
          <w:szCs w:val="21"/>
        </w:rPr>
      </w:pPr>
      <w:bookmarkStart w:id="194" w:name="_Toc26688"/>
      <w:r>
        <w:rPr>
          <w:rFonts w:hint="eastAsia" w:ascii="仿宋_GB2312" w:hAnsi="仿宋_GB2312" w:eastAsia="仿宋_GB2312" w:cs="仿宋_GB2312"/>
          <w:b/>
          <w:sz w:val="24"/>
          <w:szCs w:val="21"/>
        </w:rPr>
        <w:t>12.    响应报价</w:t>
      </w:r>
      <w:bookmarkEnd w:id="194"/>
    </w:p>
    <w:p>
      <w:pPr>
        <w:tabs>
          <w:tab w:val="left" w:pos="0"/>
          <w:tab w:val="left" w:pos="540"/>
          <w:tab w:val="left" w:pos="720"/>
        </w:tabs>
        <w:spacing w:line="360" w:lineRule="auto"/>
        <w:ind w:left="840" w:hanging="840" w:hangingChars="350"/>
        <w:rPr>
          <w:rFonts w:ascii="仿宋_GB2312" w:hAnsi="仿宋_GB2312" w:eastAsia="仿宋_GB2312" w:cs="仿宋_GB2312"/>
        </w:rPr>
      </w:pPr>
      <w:r>
        <w:rPr>
          <w:rFonts w:hint="eastAsia" w:ascii="仿宋_GB2312" w:hAnsi="仿宋_GB2312" w:eastAsia="仿宋_GB2312" w:cs="仿宋_GB2312"/>
          <w:kern w:val="24"/>
          <w:sz w:val="24"/>
          <w:szCs w:val="21"/>
        </w:rPr>
        <w:t>12.1   响应报价应包括供应商为完成磋商文件中规定的本项目采购内容和范围所需要的全部费用，以及与所报服务相关的所有税费，具体包括但不限于第五章列出的内容。供应商估算错误或漏项的风险一律由供应商承担。见</w:t>
      </w:r>
      <w:r>
        <w:rPr>
          <w:rFonts w:hint="eastAsia" w:ascii="仿宋_GB2312" w:hAnsi="仿宋_GB2312" w:eastAsia="仿宋_GB2312" w:cs="仿宋_GB2312"/>
          <w:b/>
          <w:kern w:val="24"/>
          <w:sz w:val="24"/>
          <w:szCs w:val="21"/>
        </w:rPr>
        <w:t>供应商须知前附表。</w:t>
      </w:r>
    </w:p>
    <w:p>
      <w:pPr>
        <w:tabs>
          <w:tab w:val="left" w:pos="540"/>
          <w:tab w:val="left" w:pos="840"/>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12.2   供应商应在响应分项报价表中详细列出所报</w:t>
      </w:r>
      <w:r>
        <w:rPr>
          <w:rFonts w:hint="eastAsia" w:ascii="仿宋_GB2312" w:hAnsi="仿宋_GB2312" w:eastAsia="仿宋_GB2312" w:cs="仿宋_GB2312"/>
          <w:sz w:val="24"/>
        </w:rPr>
        <w:t>施工内容</w:t>
      </w:r>
      <w:r>
        <w:rPr>
          <w:rFonts w:hint="eastAsia" w:ascii="仿宋_GB2312" w:hAnsi="仿宋_GB2312" w:eastAsia="仿宋_GB2312" w:cs="仿宋_GB2312"/>
          <w:kern w:val="24"/>
          <w:sz w:val="24"/>
          <w:szCs w:val="21"/>
        </w:rPr>
        <w:t>的单价和总价，并</w:t>
      </w:r>
      <w:r>
        <w:rPr>
          <w:rFonts w:hint="eastAsia" w:ascii="仿宋_GB2312" w:hAnsi="仿宋_GB2312" w:eastAsia="仿宋_GB2312" w:cs="仿宋_GB2312"/>
          <w:kern w:val="24"/>
          <w:sz w:val="24"/>
          <w:szCs w:val="21"/>
          <w:highlight w:val="none"/>
        </w:rPr>
        <w:t>由法定代表人或其授权代表签署并加盖公章。</w:t>
      </w:r>
    </w:p>
    <w:p>
      <w:pPr>
        <w:tabs>
          <w:tab w:val="left" w:pos="180"/>
          <w:tab w:val="left" w:pos="540"/>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12.3   响应分项报价表的总价应和响应报价一览表的响应报价相一致，也包括供应商为完成本项目所发生的一切费用且已包括与所报</w:t>
      </w:r>
      <w:r>
        <w:rPr>
          <w:rFonts w:hint="eastAsia" w:ascii="仿宋_GB2312" w:hAnsi="仿宋_GB2312" w:eastAsia="仿宋_GB2312" w:cs="仿宋_GB2312"/>
          <w:kern w:val="24"/>
          <w:sz w:val="24"/>
          <w:szCs w:val="21"/>
          <w:highlight w:val="none"/>
        </w:rPr>
        <w:t>服务</w:t>
      </w:r>
      <w:r>
        <w:rPr>
          <w:rFonts w:hint="eastAsia" w:ascii="仿宋_GB2312" w:hAnsi="仿宋_GB2312" w:eastAsia="仿宋_GB2312" w:cs="仿宋_GB2312"/>
          <w:kern w:val="24"/>
          <w:sz w:val="24"/>
          <w:szCs w:val="21"/>
        </w:rPr>
        <w:t>相关的所有税费。若响应分项报价表的总价和响应报价一览表的响应报价不一致，则供应商的报价以《响应报价一览表》的响应报价为准。</w:t>
      </w:r>
    </w:p>
    <w:p>
      <w:pPr>
        <w:tabs>
          <w:tab w:val="left" w:pos="180"/>
          <w:tab w:val="left" w:pos="540"/>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12.4   供应商的最终报价固定不变，未经采购人许可不得以任何理由予以变更。以可调整的价格提交的响应文件将作为非实质性响应而予以拒绝。</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12.5   供应商每次对每种工程只允许有一个报价，采购人不接受有任何选择的报价。</w:t>
      </w:r>
    </w:p>
    <w:p>
      <w:pPr>
        <w:tabs>
          <w:tab w:val="left" w:pos="180"/>
          <w:tab w:val="left" w:pos="540"/>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sz w:val="24"/>
        </w:rPr>
        <w:t>12.6   供应商根据本须知12.2条规定将响应报价分成几部分并按</w:t>
      </w:r>
      <w:r>
        <w:rPr>
          <w:rFonts w:hint="eastAsia" w:ascii="仿宋_GB2312" w:hAnsi="仿宋_GB2312" w:eastAsia="仿宋_GB2312" w:cs="仿宋_GB2312"/>
          <w:kern w:val="24"/>
          <w:sz w:val="24"/>
          <w:szCs w:val="21"/>
        </w:rPr>
        <w:t>磋商文件</w:t>
      </w:r>
      <w:r>
        <w:rPr>
          <w:rFonts w:hint="eastAsia" w:ascii="仿宋_GB2312" w:hAnsi="仿宋_GB2312" w:eastAsia="仿宋_GB2312" w:cs="仿宋_GB2312"/>
          <w:kern w:val="24"/>
          <w:sz w:val="24"/>
          <w:szCs w:val="21"/>
          <w:highlight w:val="none"/>
          <w:lang w:val="en-US" w:eastAsia="zh-CN"/>
        </w:rPr>
        <w:t>要求</w:t>
      </w:r>
      <w:r>
        <w:rPr>
          <w:rFonts w:hint="eastAsia" w:ascii="仿宋_GB2312" w:hAnsi="仿宋_GB2312" w:eastAsia="仿宋_GB2312" w:cs="仿宋_GB2312"/>
          <w:kern w:val="24"/>
          <w:sz w:val="24"/>
          <w:szCs w:val="21"/>
          <w:highlight w:val="none"/>
        </w:rPr>
        <w:t>填写“响应分项报价表”，</w:t>
      </w:r>
      <w:r>
        <w:rPr>
          <w:rFonts w:hint="eastAsia" w:ascii="仿宋_GB2312" w:hAnsi="仿宋_GB2312" w:eastAsia="仿宋_GB2312" w:cs="仿宋_GB2312"/>
          <w:kern w:val="24"/>
          <w:sz w:val="24"/>
          <w:szCs w:val="21"/>
        </w:rPr>
        <w:t>只是为了方便采购人对响应文件进行比较，并不限制采购人以其它方式签订合同的权力。</w:t>
      </w:r>
    </w:p>
    <w:p>
      <w:pPr>
        <w:pStyle w:val="5"/>
        <w:rPr>
          <w:rFonts w:ascii="仿宋_GB2312" w:hAnsi="仿宋_GB2312" w:eastAsia="仿宋_GB2312" w:cs="仿宋_GB2312"/>
          <w:b/>
          <w:sz w:val="24"/>
          <w:szCs w:val="21"/>
        </w:rPr>
      </w:pPr>
      <w:bookmarkStart w:id="195" w:name="_Toc249515294"/>
      <w:bookmarkStart w:id="196" w:name="_Toc389620180"/>
      <w:bookmarkStart w:id="197" w:name="_Toc70687155"/>
      <w:bookmarkStart w:id="198" w:name="_Toc184043028"/>
      <w:bookmarkStart w:id="199" w:name="_Toc385992341"/>
      <w:bookmarkStart w:id="200" w:name="_Toc249515406"/>
      <w:bookmarkStart w:id="201" w:name="_Toc249525175"/>
      <w:bookmarkStart w:id="202" w:name="_Toc20687"/>
      <w:r>
        <w:rPr>
          <w:rFonts w:hint="eastAsia" w:ascii="仿宋_GB2312" w:hAnsi="仿宋_GB2312" w:eastAsia="仿宋_GB2312" w:cs="仿宋_GB2312"/>
          <w:b/>
          <w:sz w:val="24"/>
          <w:szCs w:val="21"/>
        </w:rPr>
        <w:t>13.    报价货币</w:t>
      </w:r>
      <w:bookmarkEnd w:id="195"/>
      <w:bookmarkEnd w:id="196"/>
      <w:bookmarkEnd w:id="197"/>
      <w:bookmarkEnd w:id="198"/>
      <w:bookmarkEnd w:id="199"/>
      <w:bookmarkEnd w:id="200"/>
      <w:bookmarkEnd w:id="201"/>
      <w:bookmarkEnd w:id="202"/>
    </w:p>
    <w:p>
      <w:pPr>
        <w:tabs>
          <w:tab w:val="left" w:pos="180"/>
          <w:tab w:val="left" w:pos="540"/>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12.3   谈判响应函、响应报价一览表、响应分项报价表、最后报价表等所有报价一律用人民币填报。采购人不接受任何非人民币币种的报价。</w:t>
      </w:r>
      <w:bookmarkStart w:id="203" w:name="_Toc389620181"/>
      <w:bookmarkStart w:id="204" w:name="_Toc385992342"/>
    </w:p>
    <w:bookmarkEnd w:id="203"/>
    <w:bookmarkEnd w:id="204"/>
    <w:p>
      <w:pPr>
        <w:pStyle w:val="5"/>
        <w:rPr>
          <w:rFonts w:ascii="仿宋_GB2312" w:hAnsi="仿宋_GB2312" w:eastAsia="仿宋_GB2312" w:cs="仿宋_GB2312"/>
          <w:b/>
          <w:kern w:val="24"/>
          <w:sz w:val="24"/>
          <w:szCs w:val="21"/>
        </w:rPr>
      </w:pPr>
      <w:bookmarkStart w:id="205" w:name="止观"/>
      <w:bookmarkEnd w:id="205"/>
      <w:r>
        <w:rPr>
          <w:rFonts w:hint="eastAsia" w:ascii="仿宋_GB2312" w:hAnsi="仿宋_GB2312" w:eastAsia="仿宋_GB2312" w:cs="仿宋_GB2312"/>
          <w:b/>
          <w:sz w:val="24"/>
          <w:szCs w:val="21"/>
        </w:rPr>
        <w:t>14.    磋商保证金</w:t>
      </w:r>
    </w:p>
    <w:p>
      <w:pPr>
        <w:tabs>
          <w:tab w:val="left" w:pos="588"/>
        </w:tabs>
        <w:spacing w:line="360" w:lineRule="auto"/>
        <w:ind w:left="840" w:hanging="840" w:hangingChars="350"/>
        <w:rPr>
          <w:rFonts w:ascii="仿宋_GB2312" w:hAnsi="仿宋_GB2312" w:eastAsia="仿宋_GB2312" w:cs="仿宋_GB2312"/>
          <w:kern w:val="24"/>
          <w:sz w:val="24"/>
          <w:szCs w:val="21"/>
        </w:rPr>
      </w:pPr>
      <w:r>
        <w:rPr>
          <w:rFonts w:hint="eastAsia" w:ascii="仿宋_GB2312" w:hAnsi="仿宋_GB2312" w:eastAsia="仿宋_GB2312" w:cs="仿宋_GB2312"/>
          <w:kern w:val="24"/>
          <w:sz w:val="24"/>
          <w:szCs w:val="21"/>
        </w:rPr>
        <w:t>14.1   本项目不需要交纳磋商保证金。</w:t>
      </w:r>
    </w:p>
    <w:p>
      <w:pPr>
        <w:pStyle w:val="5"/>
        <w:rPr>
          <w:rFonts w:ascii="仿宋_GB2312" w:hAnsi="仿宋_GB2312" w:eastAsia="仿宋_GB2312" w:cs="仿宋_GB2312"/>
          <w:b/>
          <w:sz w:val="24"/>
          <w:szCs w:val="21"/>
        </w:rPr>
      </w:pPr>
      <w:bookmarkStart w:id="206" w:name="_Toc249525177"/>
      <w:bookmarkStart w:id="207" w:name="_Toc7949"/>
      <w:bookmarkStart w:id="208" w:name="_Toc249515408"/>
      <w:bookmarkStart w:id="209" w:name="_Toc249515296"/>
      <w:r>
        <w:rPr>
          <w:rFonts w:hint="eastAsia" w:ascii="仿宋_GB2312" w:hAnsi="仿宋_GB2312" w:eastAsia="仿宋_GB2312" w:cs="仿宋_GB2312"/>
          <w:b/>
          <w:sz w:val="24"/>
          <w:szCs w:val="21"/>
        </w:rPr>
        <w:t>15.    磋商有效期</w:t>
      </w:r>
      <w:bookmarkEnd w:id="206"/>
      <w:bookmarkEnd w:id="207"/>
      <w:bookmarkEnd w:id="208"/>
      <w:bookmarkEnd w:id="209"/>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15.1   磋商有效期见</w:t>
      </w:r>
      <w:r>
        <w:rPr>
          <w:rFonts w:hint="eastAsia" w:ascii="仿宋_GB2312" w:hAnsi="仿宋_GB2312" w:eastAsia="仿宋_GB2312" w:cs="仿宋_GB2312"/>
          <w:b/>
          <w:sz w:val="24"/>
        </w:rPr>
        <w:t>本须知前附表</w:t>
      </w:r>
      <w:r>
        <w:rPr>
          <w:rFonts w:hint="eastAsia" w:ascii="仿宋_GB2312" w:hAnsi="仿宋_GB2312" w:eastAsia="仿宋_GB2312" w:cs="仿宋_GB2312"/>
          <w:sz w:val="24"/>
        </w:rPr>
        <w:t>。在磋商有效期内，所有响应文件均保持有效。响应文件的有效期比本须知规定的有效期短的，将被视为非实质响应，采购人有权拒绝。</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15.2   特殊情况下，采购人可于原磋商有效期满之前要求供应商同意延长有效期，要求与答复均应为书面形式。供应商可以拒绝上述要求，其投标保证金不被没收。对于同意该要求的供应商，既不要求也不允许其修改响应文件，但将要求其相应延长磋商保证金的有效期，有关退还和保证金不予退还的规定在磋商有效期的延长期内继续有效。</w:t>
      </w:r>
    </w:p>
    <w:p>
      <w:pPr>
        <w:pStyle w:val="5"/>
        <w:rPr>
          <w:rFonts w:ascii="仿宋_GB2312" w:hAnsi="仿宋_GB2312" w:eastAsia="仿宋_GB2312" w:cs="仿宋_GB2312"/>
          <w:b/>
          <w:sz w:val="24"/>
          <w:szCs w:val="21"/>
        </w:rPr>
      </w:pPr>
      <w:bookmarkStart w:id="210" w:name="_Toc389620185"/>
      <w:bookmarkStart w:id="211" w:name="_Toc249515409"/>
      <w:bookmarkStart w:id="212" w:name="_Toc184043033"/>
      <w:bookmarkStart w:id="213" w:name="_Toc385992346"/>
      <w:bookmarkStart w:id="214" w:name="_Toc70687160"/>
      <w:bookmarkStart w:id="215" w:name="_Toc249515297"/>
      <w:bookmarkStart w:id="216" w:name="_Toc249525178"/>
      <w:bookmarkStart w:id="217" w:name="_Toc16612"/>
      <w:r>
        <w:rPr>
          <w:rFonts w:hint="eastAsia" w:ascii="仿宋_GB2312" w:hAnsi="仿宋_GB2312" w:eastAsia="仿宋_GB2312" w:cs="仿宋_GB2312"/>
          <w:b/>
          <w:sz w:val="24"/>
          <w:szCs w:val="21"/>
        </w:rPr>
        <w:t>16.    响应文件的制作和签署</w:t>
      </w:r>
      <w:bookmarkEnd w:id="210"/>
      <w:bookmarkEnd w:id="211"/>
      <w:bookmarkEnd w:id="212"/>
      <w:bookmarkEnd w:id="213"/>
      <w:bookmarkEnd w:id="214"/>
      <w:bookmarkEnd w:id="215"/>
      <w:bookmarkEnd w:id="216"/>
      <w:bookmarkEnd w:id="217"/>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16.1   供应商应准备一份响应文件正本和“</w:t>
      </w:r>
      <w:r>
        <w:rPr>
          <w:rFonts w:hint="eastAsia" w:ascii="仿宋_GB2312" w:hAnsi="仿宋_GB2312" w:eastAsia="仿宋_GB2312" w:cs="仿宋_GB2312"/>
          <w:b/>
          <w:sz w:val="24"/>
        </w:rPr>
        <w:t>供应商须知前附表</w:t>
      </w:r>
      <w:r>
        <w:rPr>
          <w:rFonts w:hint="eastAsia" w:ascii="仿宋_GB2312" w:hAnsi="仿宋_GB2312" w:eastAsia="仿宋_GB2312" w:cs="仿宋_GB2312"/>
          <w:sz w:val="24"/>
        </w:rPr>
        <w:t>”中规定数目的副本，每套响应文件须清楚地标明“正本”、“副本”</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电子版</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。若正本和副本不符，以正本为准。</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16.2   响应文件须用中文编写，并采用A4纸张装订成册。装订须牢固，不易拆散和换页，采用软胶装，不得采用活页方式装订，封面不建议硬装。</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16.3   响应文件的正本，一律用不褪色的墨水书写或打印，签字页加盖供应商单位公章，并由供应商的法定代表人或其授权的代理人签署。响应文件的副本可采用正本的复印件。</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16.4   任何行间插字、涂改或增删，必须由响应文件签字人将姓或首字母在旁边签字才有效。</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16.5   采购人不接受以电报、电话、传真、电子邮件形式递交的响应文件。</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16.6   供应商在磋商过程中，签订、履行、通知等事项的书面文件中的单位盖章、印章、公章等处均应使用与供应商全称相一致的公章，不得使用其他形式（如带有“专用章”等字样）的印章。如响应过程中供应商使用专用章，须提供特别说明函，明确该专用章作为相关响应文件的盖章，其效力等同于公章（该特别说明函须同时加盖供应商公章和供应商专用章）。</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16.7   响应文件应按照“资格证明文件”和“商务及技术文件”分成两部分，并用不可拆装的方式分别装订成册。</w:t>
      </w:r>
    </w:p>
    <w:p>
      <w:pPr>
        <w:pStyle w:val="77"/>
        <w:spacing w:before="24" w:after="24"/>
        <w:jc w:val="center"/>
        <w:rPr>
          <w:rFonts w:ascii="仿宋_GB2312" w:hAnsi="仿宋_GB2312" w:eastAsia="仿宋_GB2312" w:cs="仿宋_GB2312"/>
          <w:sz w:val="30"/>
          <w:szCs w:val="30"/>
        </w:rPr>
      </w:pPr>
      <w:bookmarkStart w:id="218" w:name="_Hlt491765640"/>
      <w:bookmarkEnd w:id="218"/>
      <w:bookmarkStart w:id="219" w:name="_Toc249515410"/>
      <w:bookmarkStart w:id="220" w:name="_Toc499711888"/>
      <w:bookmarkStart w:id="221" w:name="_Toc184043034"/>
      <w:bookmarkStart w:id="222" w:name="_Toc500747066"/>
      <w:bookmarkStart w:id="223" w:name="_Toc232176276"/>
      <w:bookmarkStart w:id="224" w:name="_Toc385992347"/>
      <w:bookmarkStart w:id="225" w:name="_Toc389620186"/>
      <w:bookmarkStart w:id="226" w:name="_Toc249525179"/>
      <w:bookmarkStart w:id="227" w:name="_Toc256342147"/>
      <w:bookmarkStart w:id="228" w:name="_Toc230583545"/>
      <w:bookmarkStart w:id="229" w:name="_Toc176882546"/>
      <w:bookmarkStart w:id="230" w:name="_Toc70687161"/>
      <w:bookmarkStart w:id="231" w:name="_Toc249515298"/>
      <w:bookmarkStart w:id="232" w:name="_Toc500746970"/>
      <w:bookmarkStart w:id="233" w:name="_Toc177817338"/>
      <w:bookmarkStart w:id="234" w:name="_Toc177995477"/>
      <w:bookmarkStart w:id="235" w:name="_Toc177189239"/>
      <w:bookmarkStart w:id="236" w:name="_Toc496324583"/>
      <w:bookmarkStart w:id="237" w:name="_Toc62196423"/>
      <w:bookmarkStart w:id="238" w:name="_Toc230013636"/>
      <w:bookmarkStart w:id="239" w:name="_Toc232395216"/>
      <w:bookmarkStart w:id="240" w:name="_Toc230099801"/>
      <w:bookmarkStart w:id="241" w:name="_Toc499711047"/>
      <w:bookmarkStart w:id="242" w:name="_Toc492955419"/>
      <w:bookmarkStart w:id="243" w:name="_Toc500747193"/>
      <w:bookmarkStart w:id="244" w:name="_Toc53722844"/>
      <w:bookmarkStart w:id="245" w:name="_Toc503063426"/>
      <w:r>
        <w:rPr>
          <w:rFonts w:hint="eastAsia" w:ascii="仿宋_GB2312" w:hAnsi="仿宋_GB2312" w:eastAsia="仿宋_GB2312" w:cs="仿宋_GB2312"/>
          <w:sz w:val="30"/>
          <w:szCs w:val="30"/>
        </w:rPr>
        <w:t>四、响应文件的密封和递交</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pStyle w:val="5"/>
        <w:rPr>
          <w:rFonts w:ascii="仿宋_GB2312" w:hAnsi="仿宋_GB2312" w:eastAsia="仿宋_GB2312" w:cs="仿宋_GB2312"/>
          <w:b/>
          <w:sz w:val="24"/>
          <w:szCs w:val="21"/>
        </w:rPr>
      </w:pPr>
      <w:bookmarkStart w:id="246" w:name="_Toc249525180"/>
      <w:bookmarkStart w:id="247" w:name="_Toc184043035"/>
      <w:bookmarkStart w:id="248" w:name="_Toc4042"/>
      <w:bookmarkStart w:id="249" w:name="_Toc389620187"/>
      <w:bookmarkStart w:id="250" w:name="_Toc249515299"/>
      <w:bookmarkStart w:id="251" w:name="_Toc70687162"/>
      <w:bookmarkStart w:id="252" w:name="_Toc385992348"/>
      <w:bookmarkStart w:id="253" w:name="_Toc249515411"/>
      <w:r>
        <w:rPr>
          <w:rFonts w:hint="eastAsia" w:ascii="仿宋_GB2312" w:hAnsi="仿宋_GB2312" w:eastAsia="仿宋_GB2312" w:cs="仿宋_GB2312"/>
          <w:b/>
          <w:sz w:val="24"/>
          <w:szCs w:val="21"/>
        </w:rPr>
        <w:t>17.    响应文件的密封和标记</w:t>
      </w:r>
      <w:bookmarkEnd w:id="246"/>
      <w:bookmarkEnd w:id="247"/>
      <w:bookmarkEnd w:id="248"/>
      <w:bookmarkEnd w:id="249"/>
      <w:bookmarkEnd w:id="250"/>
      <w:bookmarkEnd w:id="251"/>
      <w:bookmarkEnd w:id="252"/>
      <w:bookmarkEnd w:id="253"/>
    </w:p>
    <w:p>
      <w:pPr>
        <w:tabs>
          <w:tab w:val="left" w:pos="588"/>
        </w:tabs>
        <w:spacing w:line="360" w:lineRule="auto"/>
        <w:ind w:left="840" w:hanging="840" w:hangingChars="350"/>
        <w:rPr>
          <w:rFonts w:ascii="仿宋_GB2312" w:hAnsi="仿宋_GB2312" w:eastAsia="仿宋_GB2312" w:cs="仿宋_GB2312"/>
          <w:sz w:val="24"/>
        </w:rPr>
      </w:pPr>
      <w:bookmarkStart w:id="254" w:name="_Toc385992349"/>
      <w:bookmarkStart w:id="255" w:name="_Toc389620188"/>
      <w:bookmarkStart w:id="256" w:name="_Toc70687163"/>
      <w:bookmarkStart w:id="257" w:name="_Toc184043036"/>
      <w:r>
        <w:rPr>
          <w:rFonts w:hint="eastAsia" w:ascii="仿宋_GB2312" w:hAnsi="仿宋_GB2312" w:eastAsia="仿宋_GB2312" w:cs="仿宋_GB2312"/>
          <w:kern w:val="0"/>
          <w:sz w:val="24"/>
          <w:szCs w:val="21"/>
        </w:rPr>
        <w:t>17.1   供应商应将响应文件“资格证明文件”和“商务及技术文件”分别密封在两个密封袋（箱）中，并在密封袋（箱）上标明“资格证明文件”和“商务及技术文件”字样，封口处应加盖公章或授权代表签字。</w:t>
      </w:r>
    </w:p>
    <w:p>
      <w:pPr>
        <w:tabs>
          <w:tab w:val="left" w:pos="588"/>
        </w:tabs>
        <w:autoSpaceDE w:val="0"/>
        <w:autoSpaceDN w:val="0"/>
        <w:adjustRightInd w:val="0"/>
        <w:spacing w:line="360" w:lineRule="auto"/>
        <w:ind w:left="840" w:hanging="840" w:hangingChars="350"/>
        <w:rPr>
          <w:rFonts w:ascii="仿宋_GB2312" w:hAnsi="仿宋_GB2312" w:eastAsia="仿宋_GB2312" w:cs="仿宋_GB2312"/>
          <w:sz w:val="24"/>
          <w:szCs w:val="21"/>
        </w:rPr>
      </w:pPr>
      <w:r>
        <w:rPr>
          <w:rFonts w:hint="eastAsia" w:ascii="仿宋_GB2312" w:hAnsi="仿宋_GB2312" w:eastAsia="仿宋_GB2312" w:cs="仿宋_GB2312"/>
          <w:kern w:val="0"/>
          <w:sz w:val="24"/>
          <w:szCs w:val="21"/>
        </w:rPr>
        <w:t>17.2   密封袋（箱）上标识的内容见</w:t>
      </w:r>
      <w:r>
        <w:rPr>
          <w:rFonts w:hint="eastAsia" w:ascii="仿宋_GB2312" w:hAnsi="仿宋_GB2312" w:eastAsia="仿宋_GB2312" w:cs="仿宋_GB2312"/>
          <w:b/>
          <w:sz w:val="24"/>
        </w:rPr>
        <w:t>供应商须知前附表。</w:t>
      </w:r>
      <w:r>
        <w:rPr>
          <w:rFonts w:hint="eastAsia" w:ascii="仿宋_GB2312" w:hAnsi="仿宋_GB2312" w:eastAsia="仿宋_GB2312" w:cs="仿宋_GB2312"/>
          <w:sz w:val="24"/>
          <w:szCs w:val="21"/>
        </w:rPr>
        <w:t>响应文件</w:t>
      </w:r>
      <w:r>
        <w:rPr>
          <w:rFonts w:hint="eastAsia" w:ascii="仿宋_GB2312" w:hAnsi="仿宋_GB2312" w:eastAsia="仿宋_GB2312" w:cs="仿宋_GB2312"/>
          <w:kern w:val="0"/>
          <w:sz w:val="24"/>
          <w:szCs w:val="21"/>
        </w:rPr>
        <w:t>如果</w:t>
      </w:r>
      <w:r>
        <w:rPr>
          <w:rFonts w:hint="eastAsia" w:ascii="仿宋_GB2312" w:hAnsi="仿宋_GB2312" w:eastAsia="仿宋_GB2312" w:cs="仿宋_GB2312"/>
          <w:sz w:val="24"/>
          <w:szCs w:val="21"/>
        </w:rPr>
        <w:t>未按上述规定密封和标记，采购代理机构应当拒绝接收。</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17.3   书面方式不能准确描述采购需求或者需要对样品进行主观判断以确认是否满足采购需求的情况下需提交样品。成交单位样品不予退还，成为合同内容的一部分，做为验收依据。样品的要求见</w:t>
      </w:r>
      <w:r>
        <w:rPr>
          <w:rFonts w:hint="eastAsia" w:ascii="仿宋_GB2312" w:hAnsi="仿宋_GB2312" w:eastAsia="仿宋_GB2312" w:cs="仿宋_GB2312"/>
          <w:b/>
          <w:sz w:val="24"/>
        </w:rPr>
        <w:t>供应商须知前附表</w:t>
      </w:r>
      <w:r>
        <w:rPr>
          <w:rFonts w:hint="eastAsia" w:ascii="仿宋_GB2312" w:hAnsi="仿宋_GB2312" w:eastAsia="仿宋_GB2312" w:cs="仿宋_GB2312"/>
          <w:sz w:val="24"/>
        </w:rPr>
        <w:t>。</w:t>
      </w:r>
    </w:p>
    <w:bookmarkEnd w:id="254"/>
    <w:bookmarkEnd w:id="255"/>
    <w:p>
      <w:pPr>
        <w:pStyle w:val="5"/>
        <w:rPr>
          <w:rFonts w:ascii="仿宋_GB2312" w:hAnsi="仿宋_GB2312" w:eastAsia="仿宋_GB2312" w:cs="仿宋_GB2312"/>
          <w:b/>
          <w:sz w:val="24"/>
          <w:szCs w:val="21"/>
        </w:rPr>
      </w:pPr>
      <w:bookmarkStart w:id="258" w:name="_Toc31171"/>
      <w:bookmarkStart w:id="259" w:name="_Toc249515412"/>
      <w:bookmarkStart w:id="260" w:name="_Toc249515300"/>
      <w:bookmarkStart w:id="261" w:name="_Toc249525181"/>
      <w:r>
        <w:rPr>
          <w:rFonts w:hint="eastAsia" w:ascii="仿宋_GB2312" w:hAnsi="仿宋_GB2312" w:eastAsia="仿宋_GB2312" w:cs="仿宋_GB2312"/>
          <w:b/>
          <w:sz w:val="24"/>
          <w:szCs w:val="21"/>
        </w:rPr>
        <w:t>18.    响应文件递交截止时间</w:t>
      </w:r>
      <w:bookmarkEnd w:id="256"/>
      <w:bookmarkEnd w:id="257"/>
      <w:bookmarkEnd w:id="258"/>
      <w:bookmarkEnd w:id="259"/>
      <w:bookmarkEnd w:id="260"/>
      <w:bookmarkEnd w:id="261"/>
    </w:p>
    <w:p>
      <w:pPr>
        <w:tabs>
          <w:tab w:val="left" w:pos="588"/>
        </w:tabs>
        <w:spacing w:line="360" w:lineRule="auto"/>
        <w:rPr>
          <w:rFonts w:ascii="仿宋_GB2312" w:hAnsi="仿宋_GB2312" w:eastAsia="仿宋_GB2312" w:cs="仿宋_GB2312"/>
          <w:sz w:val="24"/>
        </w:rPr>
      </w:pPr>
      <w:bookmarkStart w:id="262" w:name="_Toc385992350"/>
      <w:bookmarkStart w:id="263" w:name="_Toc184043037"/>
      <w:bookmarkStart w:id="264" w:name="_Toc70687164"/>
      <w:bookmarkStart w:id="265" w:name="_Toc389620189"/>
      <w:r>
        <w:rPr>
          <w:rFonts w:hint="eastAsia" w:ascii="仿宋_GB2312" w:hAnsi="仿宋_GB2312" w:eastAsia="仿宋_GB2312" w:cs="仿宋_GB2312"/>
          <w:sz w:val="24"/>
        </w:rPr>
        <w:t>18.1   响应文件递交截止时间和地点见</w:t>
      </w:r>
      <w:r>
        <w:rPr>
          <w:rFonts w:hint="eastAsia" w:ascii="仿宋_GB2312" w:hAnsi="仿宋_GB2312" w:eastAsia="仿宋_GB2312" w:cs="仿宋_GB2312"/>
          <w:b/>
          <w:sz w:val="24"/>
        </w:rPr>
        <w:t>供应商须知前附表</w:t>
      </w:r>
      <w:r>
        <w:rPr>
          <w:rFonts w:hint="eastAsia" w:ascii="仿宋_GB2312" w:hAnsi="仿宋_GB2312" w:eastAsia="仿宋_GB2312" w:cs="仿宋_GB2312"/>
          <w:sz w:val="24"/>
        </w:rPr>
        <w:t>。</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18.2   供应商须由其合法的授权人在响应文件递交截止时间之前将响应文件在响应文件递交地点送达采购人并签字确认。供应商须承担因未送达并签字所造成的一切责任。</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18.3   采购人可以按本须知第7条规定，通知修改磋商文件，适当延长响应文件递交截止时间。在此情况下，采购人和供应商受响应文件递交截止时间制约的所有权利和义务均应延长至新的截止期。</w:t>
      </w:r>
    </w:p>
    <w:p>
      <w:pPr>
        <w:pStyle w:val="5"/>
        <w:rPr>
          <w:rFonts w:ascii="仿宋_GB2312" w:hAnsi="仿宋_GB2312" w:eastAsia="仿宋_GB2312" w:cs="仿宋_GB2312"/>
          <w:b/>
          <w:sz w:val="24"/>
          <w:szCs w:val="21"/>
        </w:rPr>
      </w:pPr>
      <w:bookmarkStart w:id="266" w:name="_Toc249515301"/>
      <w:bookmarkStart w:id="267" w:name="_Toc249515413"/>
      <w:bookmarkStart w:id="268" w:name="_Toc7175"/>
      <w:bookmarkStart w:id="269" w:name="_Toc249525182"/>
      <w:r>
        <w:rPr>
          <w:rFonts w:hint="eastAsia" w:ascii="仿宋_GB2312" w:hAnsi="仿宋_GB2312" w:eastAsia="仿宋_GB2312" w:cs="仿宋_GB2312"/>
          <w:b/>
          <w:sz w:val="24"/>
          <w:szCs w:val="21"/>
        </w:rPr>
        <w:t>19.    迟交的响应文件</w:t>
      </w:r>
      <w:bookmarkEnd w:id="262"/>
      <w:bookmarkEnd w:id="263"/>
      <w:bookmarkEnd w:id="264"/>
      <w:bookmarkEnd w:id="265"/>
      <w:bookmarkEnd w:id="266"/>
      <w:bookmarkEnd w:id="267"/>
      <w:bookmarkEnd w:id="268"/>
      <w:bookmarkEnd w:id="269"/>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19.1   采购人将拒绝接收第18条规定的响应文件递交截止时间后递交的任何响应文件。</w:t>
      </w:r>
    </w:p>
    <w:p>
      <w:pPr>
        <w:pStyle w:val="5"/>
        <w:rPr>
          <w:rFonts w:ascii="仿宋_GB2312" w:hAnsi="仿宋_GB2312" w:eastAsia="仿宋_GB2312" w:cs="仿宋_GB2312"/>
          <w:b/>
          <w:sz w:val="24"/>
          <w:szCs w:val="21"/>
        </w:rPr>
      </w:pPr>
      <w:bookmarkStart w:id="270" w:name="_Toc249525183"/>
      <w:bookmarkStart w:id="271" w:name="_Toc385992351"/>
      <w:bookmarkStart w:id="272" w:name="_Toc389620190"/>
      <w:bookmarkStart w:id="273" w:name="_Toc249515414"/>
      <w:bookmarkStart w:id="274" w:name="_Toc70687165"/>
      <w:bookmarkStart w:id="275" w:name="_Toc10272"/>
      <w:bookmarkStart w:id="276" w:name="_Toc249515302"/>
      <w:bookmarkStart w:id="277" w:name="_Toc184043038"/>
      <w:r>
        <w:rPr>
          <w:rFonts w:hint="eastAsia" w:ascii="仿宋_GB2312" w:hAnsi="仿宋_GB2312" w:eastAsia="仿宋_GB2312" w:cs="仿宋_GB2312"/>
          <w:b/>
          <w:sz w:val="24"/>
          <w:szCs w:val="21"/>
        </w:rPr>
        <w:t>20.    响应文件的修改和撤</w:t>
      </w:r>
      <w:bookmarkEnd w:id="270"/>
      <w:bookmarkEnd w:id="271"/>
      <w:bookmarkEnd w:id="272"/>
      <w:bookmarkEnd w:id="273"/>
      <w:bookmarkEnd w:id="274"/>
      <w:bookmarkEnd w:id="275"/>
      <w:bookmarkEnd w:id="276"/>
      <w:bookmarkEnd w:id="277"/>
      <w:r>
        <w:rPr>
          <w:rFonts w:hint="eastAsia" w:ascii="仿宋_GB2312" w:hAnsi="仿宋_GB2312" w:eastAsia="仿宋_GB2312" w:cs="仿宋_GB2312"/>
          <w:b/>
          <w:sz w:val="24"/>
          <w:szCs w:val="21"/>
        </w:rPr>
        <w:t>回</w:t>
      </w:r>
    </w:p>
    <w:p>
      <w:pPr>
        <w:tabs>
          <w:tab w:val="left" w:pos="588"/>
        </w:tabs>
        <w:spacing w:line="360" w:lineRule="auto"/>
        <w:ind w:left="840" w:leftChars="400"/>
        <w:rPr>
          <w:rFonts w:ascii="仿宋_GB2312" w:hAnsi="仿宋_GB2312" w:eastAsia="仿宋_GB2312" w:cs="仿宋_GB2312"/>
          <w:sz w:val="24"/>
        </w:rPr>
      </w:pPr>
      <w:r>
        <w:rPr>
          <w:rFonts w:hint="eastAsia" w:ascii="仿宋_GB2312" w:hAnsi="仿宋_GB2312" w:eastAsia="仿宋_GB2312" w:cs="仿宋_GB2312"/>
          <w:sz w:val="24"/>
        </w:rPr>
        <w:t>供应商在提交响应文件后可对其响应文件进行修改或撤回，但该修改或撤回的书面通知须在响应文件递交截止时间之前送达响应文件递交地点，且该通知需其法定代表人或经正式授权的供应商代表签字方为有效。</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20.1   供应商对响应文件修改的书面材料或撤回的通知应按第16和17条规定进行编写、密封、标注和递送，并注明“修改响应文件”或“撤回响应文件”字样。</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20.2   在响应文件递交截止时间之后，供应商不得对其响应文件做任何修改。</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20.3   供应商不得在响应文件递交截止时间起至响应文件有效期期满前撤销其响应文件。</w:t>
      </w:r>
    </w:p>
    <w:p>
      <w:pPr>
        <w:pStyle w:val="77"/>
        <w:spacing w:before="24" w:after="24"/>
        <w:ind w:left="3313"/>
        <w:rPr>
          <w:rFonts w:ascii="仿宋_GB2312" w:hAnsi="仿宋_GB2312" w:eastAsia="仿宋_GB2312" w:cs="仿宋_GB2312"/>
          <w:sz w:val="30"/>
          <w:szCs w:val="30"/>
        </w:rPr>
      </w:pPr>
      <w:bookmarkStart w:id="278" w:name="_Hlt491765712"/>
      <w:bookmarkEnd w:id="278"/>
      <w:bookmarkStart w:id="279" w:name="_Hlt497729441"/>
      <w:bookmarkEnd w:id="279"/>
      <w:bookmarkStart w:id="280" w:name="_Toc249515303"/>
      <w:bookmarkStart w:id="281" w:name="_Toc256342148"/>
      <w:bookmarkStart w:id="282" w:name="_Toc249515415"/>
      <w:bookmarkStart w:id="283" w:name="_Toc249525184"/>
      <w:bookmarkStart w:id="284" w:name="_Toc62196424"/>
      <w:bookmarkStart w:id="285" w:name="_Toc177817339"/>
      <w:bookmarkStart w:id="286" w:name="_Toc389620191"/>
      <w:bookmarkStart w:id="287" w:name="_Toc496324584"/>
      <w:bookmarkStart w:id="288" w:name="_Toc500747194"/>
      <w:bookmarkStart w:id="289" w:name="_Toc177995478"/>
      <w:bookmarkStart w:id="290" w:name="_Toc177189240"/>
      <w:bookmarkStart w:id="291" w:name="_Toc184043039"/>
      <w:bookmarkStart w:id="292" w:name="_Toc176882547"/>
      <w:bookmarkStart w:id="293" w:name="_Toc500746971"/>
      <w:bookmarkStart w:id="294" w:name="_Toc499711889"/>
      <w:bookmarkStart w:id="295" w:name="_Toc499711048"/>
      <w:bookmarkStart w:id="296" w:name="_Toc385992352"/>
      <w:bookmarkStart w:id="297" w:name="_Toc503063427"/>
      <w:bookmarkStart w:id="298" w:name="_Toc492955420"/>
      <w:bookmarkStart w:id="299" w:name="_Toc70687166"/>
      <w:bookmarkStart w:id="300" w:name="_Toc53722845"/>
      <w:bookmarkStart w:id="301" w:name="_Toc500747067"/>
      <w:r>
        <w:rPr>
          <w:rFonts w:hint="eastAsia" w:ascii="仿宋_GB2312" w:hAnsi="仿宋_GB2312" w:eastAsia="仿宋_GB2312" w:cs="仿宋_GB2312"/>
          <w:sz w:val="30"/>
          <w:szCs w:val="30"/>
        </w:rPr>
        <w:t>五、评审与</w:t>
      </w:r>
      <w:bookmarkEnd w:id="280"/>
      <w:bookmarkEnd w:id="281"/>
      <w:bookmarkEnd w:id="282"/>
      <w:bookmarkEnd w:id="283"/>
      <w:r>
        <w:rPr>
          <w:rFonts w:hint="eastAsia" w:ascii="仿宋_GB2312" w:hAnsi="仿宋_GB2312" w:eastAsia="仿宋_GB2312" w:cs="仿宋_GB2312"/>
          <w:sz w:val="30"/>
          <w:szCs w:val="30"/>
        </w:rPr>
        <w:t>磋商</w:t>
      </w:r>
      <w:bookmarkEnd w:id="284"/>
    </w:p>
    <w:p>
      <w:pPr>
        <w:pStyle w:val="5"/>
        <w:numPr>
          <w:ilvl w:val="0"/>
          <w:numId w:val="7"/>
        </w:numPr>
        <w:rPr>
          <w:rFonts w:ascii="仿宋_GB2312" w:hAnsi="仿宋_GB2312" w:eastAsia="仿宋_GB2312" w:cs="仿宋_GB2312"/>
          <w:b/>
          <w:sz w:val="24"/>
        </w:rPr>
      </w:pPr>
      <w:bookmarkStart w:id="302" w:name="_Toc249515417"/>
      <w:bookmarkStart w:id="303" w:name="_Toc16042"/>
      <w:bookmarkStart w:id="304" w:name="_Toc249515305"/>
      <w:bookmarkStart w:id="305" w:name="_Toc249525186"/>
      <w:r>
        <w:rPr>
          <w:rFonts w:hint="eastAsia" w:ascii="仿宋_GB2312" w:hAnsi="仿宋_GB2312" w:eastAsia="仿宋_GB2312" w:cs="仿宋_GB2312"/>
          <w:b/>
          <w:sz w:val="24"/>
        </w:rPr>
        <w:t xml:space="preserve">   磋商小组</w:t>
      </w:r>
      <w:bookmarkEnd w:id="302"/>
      <w:bookmarkEnd w:id="303"/>
      <w:bookmarkEnd w:id="304"/>
      <w:bookmarkEnd w:id="305"/>
    </w:p>
    <w:p>
      <w:pPr>
        <w:pStyle w:val="28"/>
        <w:adjustRightInd w:val="0"/>
        <w:snapToGrid w:val="0"/>
        <w:ind w:left="840" w:hanging="840" w:hangingChars="350"/>
        <w:rPr>
          <w:rFonts w:ascii="仿宋_GB2312" w:hAnsi="仿宋_GB2312" w:eastAsia="仿宋_GB2312" w:cs="仿宋_GB2312"/>
          <w:b/>
          <w:sz w:val="24"/>
        </w:rPr>
      </w:pPr>
      <w:r>
        <w:rPr>
          <w:rFonts w:hint="eastAsia" w:ascii="仿宋_GB2312" w:hAnsi="仿宋_GB2312" w:eastAsia="仿宋_GB2312" w:cs="仿宋_GB2312"/>
          <w:sz w:val="24"/>
          <w:szCs w:val="24"/>
        </w:rPr>
        <w:t>21.1   在磋商开始前组建磋商小组，磋商小组由采购人代表及有关专家组成。专家从政府采购评审专家库相关专业中随机抽取。磋商小组组成见</w:t>
      </w:r>
      <w:r>
        <w:rPr>
          <w:rFonts w:hint="eastAsia" w:ascii="仿宋_GB2312" w:hAnsi="仿宋_GB2312" w:eastAsia="仿宋_GB2312" w:cs="仿宋_GB2312"/>
          <w:b/>
          <w:sz w:val="24"/>
        </w:rPr>
        <w:t>供应商须知前附表。</w:t>
      </w:r>
    </w:p>
    <w:p>
      <w:pPr>
        <w:pStyle w:val="28"/>
        <w:adjustRightInd w:val="0"/>
        <w:snapToGrid w:val="0"/>
        <w:rPr>
          <w:rFonts w:ascii="仿宋_GB2312" w:hAnsi="仿宋_GB2312" w:eastAsia="仿宋_GB2312" w:cs="仿宋_GB2312"/>
          <w:sz w:val="24"/>
          <w:szCs w:val="24"/>
        </w:rPr>
      </w:pPr>
      <w:r>
        <w:rPr>
          <w:rFonts w:hint="eastAsia" w:ascii="仿宋_GB2312" w:hAnsi="仿宋_GB2312" w:eastAsia="仿宋_GB2312" w:cs="仿宋_GB2312"/>
          <w:sz w:val="24"/>
          <w:szCs w:val="24"/>
        </w:rPr>
        <w:t>21.2   磋商小组职责</w:t>
      </w:r>
    </w:p>
    <w:p>
      <w:pPr>
        <w:pStyle w:val="28"/>
        <w:adjustRightInd w:val="0"/>
        <w:snapToGrid w:val="0"/>
        <w:ind w:left="840" w:leftChars="400"/>
        <w:rPr>
          <w:rFonts w:ascii="仿宋_GB2312" w:hAnsi="仿宋_GB2312" w:eastAsia="仿宋_GB2312" w:cs="仿宋_GB2312"/>
          <w:sz w:val="24"/>
          <w:szCs w:val="24"/>
        </w:rPr>
      </w:pPr>
      <w:r>
        <w:rPr>
          <w:rFonts w:hint="eastAsia" w:ascii="仿宋_GB2312" w:hAnsi="仿宋_GB2312" w:eastAsia="仿宋_GB2312" w:cs="仿宋_GB2312"/>
          <w:sz w:val="24"/>
          <w:szCs w:val="24"/>
        </w:rPr>
        <w:t>（1）确认竞争性磋商文件；</w:t>
      </w:r>
    </w:p>
    <w:p>
      <w:pPr>
        <w:pStyle w:val="28"/>
        <w:adjustRightInd w:val="0"/>
        <w:snapToGrid w:val="0"/>
        <w:ind w:left="840" w:leftChars="400"/>
        <w:rPr>
          <w:rFonts w:ascii="仿宋_GB2312" w:hAnsi="仿宋_GB2312" w:eastAsia="仿宋_GB2312" w:cs="仿宋_GB2312"/>
          <w:sz w:val="24"/>
          <w:szCs w:val="24"/>
        </w:rPr>
      </w:pPr>
      <w:r>
        <w:rPr>
          <w:rFonts w:hint="eastAsia" w:ascii="仿宋_GB2312" w:hAnsi="仿宋_GB2312" w:eastAsia="仿宋_GB2312" w:cs="仿宋_GB2312"/>
          <w:sz w:val="24"/>
          <w:szCs w:val="24"/>
        </w:rPr>
        <w:t>（2）审查通过了资格审查的供应商响应文件并做出评价；</w:t>
      </w:r>
    </w:p>
    <w:p>
      <w:pPr>
        <w:pStyle w:val="28"/>
        <w:adjustRightInd w:val="0"/>
        <w:snapToGrid w:val="0"/>
        <w:ind w:left="840" w:leftChars="400"/>
        <w:rPr>
          <w:rFonts w:ascii="仿宋_GB2312" w:hAnsi="仿宋_GB2312" w:eastAsia="仿宋_GB2312" w:cs="仿宋_GB2312"/>
          <w:sz w:val="24"/>
          <w:szCs w:val="24"/>
        </w:rPr>
      </w:pPr>
      <w:r>
        <w:rPr>
          <w:rFonts w:hint="eastAsia" w:ascii="仿宋_GB2312" w:hAnsi="仿宋_GB2312" w:eastAsia="仿宋_GB2312" w:cs="仿宋_GB2312"/>
          <w:sz w:val="24"/>
          <w:szCs w:val="24"/>
        </w:rPr>
        <w:t>（3）要求供应商解释或者澄清其响应文件；</w:t>
      </w:r>
    </w:p>
    <w:p>
      <w:pPr>
        <w:pStyle w:val="28"/>
        <w:adjustRightInd w:val="0"/>
        <w:snapToGrid w:val="0"/>
        <w:ind w:left="840" w:leftChars="400"/>
        <w:rPr>
          <w:rFonts w:ascii="仿宋_GB2312" w:hAnsi="仿宋_GB2312" w:eastAsia="仿宋_GB2312" w:cs="仿宋_GB2312"/>
          <w:sz w:val="24"/>
          <w:szCs w:val="24"/>
        </w:rPr>
      </w:pPr>
      <w:r>
        <w:rPr>
          <w:rFonts w:hint="eastAsia" w:ascii="仿宋_GB2312" w:hAnsi="仿宋_GB2312" w:eastAsia="仿宋_GB2312" w:cs="仿宋_GB2312"/>
          <w:sz w:val="24"/>
          <w:szCs w:val="24"/>
        </w:rPr>
        <w:t>（4）编写评审报告；</w:t>
      </w:r>
    </w:p>
    <w:p>
      <w:pPr>
        <w:pStyle w:val="28"/>
        <w:adjustRightInd w:val="0"/>
        <w:snapToGrid w:val="0"/>
        <w:ind w:left="840" w:leftChars="400"/>
        <w:rPr>
          <w:rFonts w:ascii="仿宋_GB2312" w:hAnsi="仿宋_GB2312" w:eastAsia="仿宋_GB2312" w:cs="仿宋_GB2312"/>
          <w:sz w:val="24"/>
          <w:szCs w:val="24"/>
        </w:rPr>
      </w:pPr>
      <w:r>
        <w:rPr>
          <w:rFonts w:hint="eastAsia" w:ascii="仿宋_GB2312" w:hAnsi="仿宋_GB2312" w:eastAsia="仿宋_GB2312" w:cs="仿宋_GB2312"/>
          <w:sz w:val="24"/>
          <w:szCs w:val="24"/>
        </w:rPr>
        <w:t>（5）告知采购人、采购代理机构在评审过程中发现的供应商的违法违规行为。</w:t>
      </w:r>
    </w:p>
    <w:p>
      <w:pPr>
        <w:pStyle w:val="28"/>
        <w:adjustRightInd w:val="0"/>
        <w:snapToGrid w:val="0"/>
        <w:rPr>
          <w:rFonts w:ascii="仿宋_GB2312" w:hAnsi="仿宋_GB2312" w:eastAsia="仿宋_GB2312" w:cs="仿宋_GB2312"/>
          <w:sz w:val="24"/>
          <w:szCs w:val="24"/>
        </w:rPr>
      </w:pPr>
      <w:r>
        <w:rPr>
          <w:rFonts w:hint="eastAsia" w:ascii="仿宋_GB2312" w:hAnsi="仿宋_GB2312" w:eastAsia="仿宋_GB2312" w:cs="仿宋_GB2312"/>
          <w:sz w:val="24"/>
          <w:szCs w:val="24"/>
        </w:rPr>
        <w:t>21.3   磋商小组义务</w:t>
      </w:r>
    </w:p>
    <w:p>
      <w:pPr>
        <w:pStyle w:val="28"/>
        <w:adjustRightInd w:val="0"/>
        <w:snapToGrid w:val="0"/>
        <w:ind w:left="838" w:leftChars="399"/>
        <w:rPr>
          <w:rFonts w:ascii="仿宋_GB2312" w:hAnsi="仿宋_GB2312" w:eastAsia="仿宋_GB2312" w:cs="仿宋_GB2312"/>
          <w:sz w:val="24"/>
          <w:szCs w:val="24"/>
        </w:rPr>
      </w:pPr>
      <w:r>
        <w:rPr>
          <w:rFonts w:hint="eastAsia" w:ascii="仿宋_GB2312" w:hAnsi="仿宋_GB2312" w:eastAsia="仿宋_GB2312" w:cs="仿宋_GB2312"/>
          <w:sz w:val="24"/>
          <w:szCs w:val="24"/>
        </w:rPr>
        <w:t>（1）遵纪客观、公正、审慎的原则；</w:t>
      </w:r>
    </w:p>
    <w:p>
      <w:pPr>
        <w:pStyle w:val="28"/>
        <w:adjustRightInd w:val="0"/>
        <w:snapToGrid w:val="0"/>
        <w:ind w:left="838" w:leftChars="399"/>
        <w:rPr>
          <w:rFonts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根据磋商文件的规定评审程序、评审方法和评审标准独立进行评审，对个人的评审意见承担法律责任；</w:t>
      </w:r>
    </w:p>
    <w:p>
      <w:pPr>
        <w:pStyle w:val="28"/>
        <w:adjustRightInd w:val="0"/>
        <w:snapToGrid w:val="0"/>
        <w:ind w:left="838" w:leftChars="399"/>
        <w:rPr>
          <w:rFonts w:ascii="仿宋_GB2312" w:hAnsi="仿宋_GB2312" w:eastAsia="仿宋_GB2312" w:cs="仿宋_GB2312"/>
          <w:sz w:val="24"/>
          <w:szCs w:val="24"/>
        </w:rPr>
      </w:pPr>
      <w:r>
        <w:rPr>
          <w:rFonts w:hint="eastAsia" w:ascii="仿宋_GB2312" w:hAnsi="仿宋_GB2312" w:eastAsia="仿宋_GB2312" w:cs="仿宋_GB2312"/>
          <w:sz w:val="24"/>
          <w:szCs w:val="24"/>
        </w:rPr>
        <w:t>（3）参与评审报告的起草；</w:t>
      </w:r>
    </w:p>
    <w:p>
      <w:pPr>
        <w:pStyle w:val="28"/>
        <w:adjustRightInd w:val="0"/>
        <w:snapToGrid w:val="0"/>
        <w:ind w:left="838" w:leftChars="399"/>
        <w:rPr>
          <w:rFonts w:ascii="仿宋_GB2312" w:hAnsi="仿宋_GB2312" w:eastAsia="仿宋_GB2312" w:cs="仿宋_GB2312"/>
          <w:sz w:val="24"/>
          <w:szCs w:val="24"/>
        </w:rPr>
      </w:pPr>
      <w:r>
        <w:rPr>
          <w:rFonts w:hint="eastAsia" w:ascii="仿宋_GB2312" w:hAnsi="仿宋_GB2312" w:eastAsia="仿宋_GB2312" w:cs="仿宋_GB2312"/>
          <w:sz w:val="24"/>
          <w:szCs w:val="24"/>
        </w:rPr>
        <w:t>（4）配合采购人、采购代理机构答复供应商提出的质疑；</w:t>
      </w:r>
    </w:p>
    <w:p>
      <w:pPr>
        <w:pStyle w:val="28"/>
        <w:adjustRightInd w:val="0"/>
        <w:snapToGrid w:val="0"/>
        <w:ind w:left="838" w:leftChars="399"/>
        <w:rPr>
          <w:rFonts w:ascii="仿宋_GB2312" w:hAnsi="仿宋_GB2312" w:eastAsia="仿宋_GB2312" w:cs="仿宋_GB2312"/>
          <w:sz w:val="24"/>
          <w:szCs w:val="24"/>
        </w:rPr>
      </w:pPr>
      <w:r>
        <w:rPr>
          <w:rFonts w:hint="eastAsia" w:ascii="仿宋_GB2312" w:hAnsi="仿宋_GB2312" w:eastAsia="仿宋_GB2312" w:cs="仿宋_GB2312"/>
          <w:sz w:val="24"/>
          <w:szCs w:val="24"/>
        </w:rPr>
        <w:t>（5）配合财政部门的投诉处理和监督检查工作。</w:t>
      </w:r>
    </w:p>
    <w:p>
      <w:pPr>
        <w:pStyle w:val="28"/>
        <w:adjustRightInd w:val="0"/>
        <w:snapToGrid w:val="0"/>
        <w:ind w:left="840" w:hanging="840" w:hangingChars="350"/>
        <w:rPr>
          <w:rFonts w:ascii="仿宋_GB2312" w:hAnsi="仿宋_GB2312" w:eastAsia="仿宋_GB2312" w:cs="仿宋_GB2312"/>
          <w:sz w:val="24"/>
          <w:szCs w:val="24"/>
        </w:rPr>
      </w:pPr>
      <w:r>
        <w:rPr>
          <w:rFonts w:hint="eastAsia" w:ascii="仿宋_GB2312" w:hAnsi="仿宋_GB2312" w:eastAsia="仿宋_GB2312" w:cs="仿宋_GB2312"/>
          <w:sz w:val="24"/>
          <w:szCs w:val="24"/>
        </w:rPr>
        <w:t>21.4   确认磋商文件：磋商小组对磋商文件进行审阅，无修改进行签字确认，有修改，修改内容经采购人确认后，磋商小组以书面形式通知所有供应商。</w:t>
      </w:r>
    </w:p>
    <w:p>
      <w:pPr>
        <w:pStyle w:val="5"/>
        <w:rPr>
          <w:rFonts w:ascii="仿宋_GB2312" w:hAnsi="仿宋_GB2312" w:eastAsia="仿宋_GB2312" w:cs="仿宋_GB2312"/>
          <w:b/>
          <w:sz w:val="24"/>
          <w:szCs w:val="21"/>
        </w:rPr>
      </w:pPr>
      <w:r>
        <w:rPr>
          <w:rFonts w:hint="eastAsia" w:ascii="仿宋_GB2312" w:hAnsi="仿宋_GB2312" w:eastAsia="仿宋_GB2312" w:cs="仿宋_GB2312"/>
          <w:b/>
          <w:sz w:val="24"/>
          <w:szCs w:val="21"/>
        </w:rPr>
        <w:t>22.    磋商小组成员有下列情形之一的，应当回避：</w:t>
      </w:r>
    </w:p>
    <w:p>
      <w:pPr>
        <w:pStyle w:val="5"/>
        <w:tabs>
          <w:tab w:val="left" w:pos="360"/>
        </w:tabs>
        <w:rPr>
          <w:rFonts w:ascii="仿宋_GB2312" w:hAnsi="仿宋_GB2312" w:eastAsia="仿宋_GB2312" w:cs="仿宋_GB2312"/>
          <w:sz w:val="24"/>
          <w:szCs w:val="21"/>
        </w:rPr>
      </w:pPr>
      <w:r>
        <w:rPr>
          <w:rFonts w:hint="eastAsia" w:ascii="仿宋_GB2312" w:hAnsi="仿宋_GB2312" w:eastAsia="仿宋_GB2312" w:cs="仿宋_GB2312"/>
          <w:sz w:val="24"/>
          <w:szCs w:val="21"/>
        </w:rPr>
        <w:t>22.1   参加采购活动前3年内与供应商存在劳动关系；</w:t>
      </w:r>
    </w:p>
    <w:p>
      <w:pPr>
        <w:pStyle w:val="5"/>
        <w:tabs>
          <w:tab w:val="left" w:pos="360"/>
        </w:tabs>
        <w:rPr>
          <w:rFonts w:ascii="仿宋_GB2312" w:hAnsi="仿宋_GB2312" w:eastAsia="仿宋_GB2312" w:cs="仿宋_GB2312"/>
          <w:sz w:val="24"/>
          <w:szCs w:val="21"/>
        </w:rPr>
      </w:pPr>
      <w:r>
        <w:rPr>
          <w:rFonts w:hint="eastAsia" w:ascii="仿宋_GB2312" w:hAnsi="仿宋_GB2312" w:eastAsia="仿宋_GB2312" w:cs="仿宋_GB2312"/>
          <w:sz w:val="24"/>
          <w:szCs w:val="21"/>
        </w:rPr>
        <w:t>22.2   参加采购活动前3年内担任供应商的董事、监事；</w:t>
      </w:r>
    </w:p>
    <w:p>
      <w:pPr>
        <w:pStyle w:val="5"/>
        <w:tabs>
          <w:tab w:val="left" w:pos="360"/>
        </w:tabs>
        <w:rPr>
          <w:rFonts w:ascii="仿宋_GB2312" w:hAnsi="仿宋_GB2312" w:eastAsia="仿宋_GB2312" w:cs="仿宋_GB2312"/>
          <w:sz w:val="24"/>
          <w:szCs w:val="21"/>
        </w:rPr>
      </w:pPr>
      <w:r>
        <w:rPr>
          <w:rFonts w:hint="eastAsia" w:ascii="仿宋_GB2312" w:hAnsi="仿宋_GB2312" w:eastAsia="仿宋_GB2312" w:cs="仿宋_GB2312"/>
          <w:sz w:val="24"/>
          <w:szCs w:val="21"/>
        </w:rPr>
        <w:t>22.3   参加采购活动前3年内是供应商的控股股东或者实际控制人；</w:t>
      </w:r>
    </w:p>
    <w:p>
      <w:pPr>
        <w:pStyle w:val="5"/>
        <w:tabs>
          <w:tab w:val="left" w:pos="360"/>
        </w:tabs>
        <w:ind w:left="840" w:hanging="840" w:hangingChars="350"/>
        <w:rPr>
          <w:rFonts w:ascii="仿宋_GB2312" w:hAnsi="仿宋_GB2312" w:eastAsia="仿宋_GB2312" w:cs="仿宋_GB2312"/>
          <w:sz w:val="24"/>
          <w:szCs w:val="21"/>
        </w:rPr>
      </w:pPr>
      <w:r>
        <w:rPr>
          <w:rFonts w:hint="eastAsia" w:ascii="仿宋_GB2312" w:hAnsi="仿宋_GB2312" w:eastAsia="仿宋_GB2312" w:cs="仿宋_GB2312"/>
          <w:sz w:val="24"/>
          <w:szCs w:val="21"/>
        </w:rPr>
        <w:t>22.4   与供应商的法定代表人或者负责人有夫妻、直系血亲、三代以内旁系血亲或者近姻亲关系；</w:t>
      </w:r>
    </w:p>
    <w:p>
      <w:pPr>
        <w:pStyle w:val="5"/>
        <w:tabs>
          <w:tab w:val="left" w:pos="360"/>
        </w:tabs>
        <w:rPr>
          <w:rFonts w:ascii="仿宋_GB2312" w:hAnsi="仿宋_GB2312" w:eastAsia="仿宋_GB2312" w:cs="仿宋_GB2312"/>
          <w:sz w:val="24"/>
          <w:szCs w:val="21"/>
        </w:rPr>
      </w:pPr>
      <w:r>
        <w:rPr>
          <w:rFonts w:hint="eastAsia" w:ascii="仿宋_GB2312" w:hAnsi="仿宋_GB2312" w:eastAsia="仿宋_GB2312" w:cs="仿宋_GB2312"/>
          <w:sz w:val="24"/>
          <w:szCs w:val="21"/>
        </w:rPr>
        <w:t>22.5   与供应商有其他可能影响政府采购活动公平、公正进行的关系。</w:t>
      </w:r>
    </w:p>
    <w:p>
      <w:pPr>
        <w:pStyle w:val="5"/>
        <w:rPr>
          <w:rFonts w:ascii="仿宋_GB2312" w:hAnsi="仿宋_GB2312" w:eastAsia="仿宋_GB2312" w:cs="仿宋_GB2312"/>
          <w:b/>
          <w:sz w:val="24"/>
          <w:szCs w:val="21"/>
        </w:rPr>
      </w:pPr>
      <w:bookmarkStart w:id="306" w:name="_Toc249515306"/>
      <w:bookmarkStart w:id="307" w:name="_Toc249515418"/>
      <w:bookmarkStart w:id="308" w:name="_Toc83547667"/>
      <w:bookmarkStart w:id="309" w:name="_Toc249525187"/>
      <w:bookmarkStart w:id="310" w:name="_Toc20608"/>
      <w:r>
        <w:rPr>
          <w:rFonts w:hint="eastAsia" w:ascii="仿宋_GB2312" w:hAnsi="仿宋_GB2312" w:eastAsia="仿宋_GB2312" w:cs="仿宋_GB2312"/>
          <w:b/>
          <w:sz w:val="24"/>
          <w:szCs w:val="21"/>
        </w:rPr>
        <w:t>23.    磋商程序</w:t>
      </w:r>
    </w:p>
    <w:p>
      <w:pPr>
        <w:pStyle w:val="5"/>
        <w:tabs>
          <w:tab w:val="left" w:pos="360"/>
        </w:tabs>
        <w:rPr>
          <w:rFonts w:ascii="仿宋_GB2312" w:hAnsi="仿宋_GB2312" w:eastAsia="仿宋_GB2312" w:cs="仿宋_GB2312"/>
          <w:b/>
          <w:sz w:val="24"/>
          <w:szCs w:val="21"/>
        </w:rPr>
      </w:pPr>
      <w:bookmarkStart w:id="311" w:name="_Toc58504507"/>
      <w:r>
        <w:rPr>
          <w:rFonts w:hint="eastAsia" w:ascii="仿宋_GB2312" w:hAnsi="仿宋_GB2312" w:eastAsia="仿宋_GB2312" w:cs="仿宋_GB2312"/>
          <w:b/>
          <w:sz w:val="24"/>
          <w:szCs w:val="21"/>
        </w:rPr>
        <w:t>23.1   磋商会议</w:t>
      </w:r>
      <w:bookmarkEnd w:id="311"/>
    </w:p>
    <w:p>
      <w:pPr>
        <w:pStyle w:val="22"/>
        <w:ind w:left="840" w:leftChars="400"/>
        <w:rPr>
          <w:rFonts w:ascii="仿宋_GB2312" w:hAnsi="仿宋_GB2312" w:eastAsia="仿宋_GB2312" w:cs="仿宋_GB2312"/>
          <w:color w:val="000000" w:themeColor="text1"/>
          <w:sz w:val="24"/>
          <w:szCs w:val="32"/>
        </w:rPr>
      </w:pPr>
      <w:bookmarkStart w:id="312" w:name="_Toc58504508"/>
      <w:r>
        <w:rPr>
          <w:rFonts w:hint="eastAsia" w:ascii="仿宋_GB2312" w:hAnsi="仿宋_GB2312" w:eastAsia="仿宋_GB2312" w:cs="仿宋_GB2312"/>
          <w:color w:val="000000" w:themeColor="text1"/>
          <w:sz w:val="24"/>
          <w:szCs w:val="32"/>
        </w:rPr>
        <w:t>（1）在磋商文件规定的时间和地点，由采购代理机构组织磋商工作，供应商须委派代表参加，签名以证明其出席。</w:t>
      </w:r>
      <w:bookmarkEnd w:id="312"/>
    </w:p>
    <w:p>
      <w:pPr>
        <w:pStyle w:val="22"/>
        <w:ind w:left="840" w:leftChars="400"/>
        <w:rPr>
          <w:rFonts w:ascii="仿宋_GB2312" w:hAnsi="仿宋_GB2312" w:eastAsia="仿宋_GB2312" w:cs="仿宋_GB2312"/>
          <w:color w:val="000000" w:themeColor="text1"/>
          <w:sz w:val="24"/>
          <w:szCs w:val="32"/>
        </w:rPr>
      </w:pPr>
      <w:bookmarkStart w:id="313" w:name="_Toc58504509"/>
      <w:r>
        <w:rPr>
          <w:rFonts w:hint="eastAsia" w:ascii="仿宋_GB2312" w:hAnsi="仿宋_GB2312" w:eastAsia="仿宋_GB2312" w:cs="仿宋_GB2312"/>
          <w:color w:val="000000" w:themeColor="text1"/>
          <w:sz w:val="24"/>
          <w:szCs w:val="32"/>
        </w:rPr>
        <w:t>（2）各供应商或其推荐的代表与采购监督人共同检查响应文件的密封情况，经检查无误后，签字确认。</w:t>
      </w:r>
      <w:bookmarkEnd w:id="313"/>
    </w:p>
    <w:p>
      <w:pPr>
        <w:pStyle w:val="22"/>
        <w:ind w:left="840" w:leftChars="400"/>
        <w:rPr>
          <w:rFonts w:ascii="仿宋_GB2312" w:hAnsi="仿宋_GB2312" w:eastAsia="仿宋_GB2312" w:cs="仿宋_GB2312"/>
          <w:color w:val="000000" w:themeColor="text1"/>
          <w:sz w:val="24"/>
          <w:szCs w:val="32"/>
        </w:rPr>
      </w:pPr>
      <w:bookmarkStart w:id="314" w:name="_Toc58504510"/>
      <w:r>
        <w:rPr>
          <w:rFonts w:hint="eastAsia" w:ascii="仿宋_GB2312" w:hAnsi="仿宋_GB2312" w:eastAsia="仿宋_GB2312" w:cs="仿宋_GB2312"/>
          <w:color w:val="000000" w:themeColor="text1"/>
          <w:sz w:val="24"/>
          <w:szCs w:val="32"/>
        </w:rPr>
        <w:t>（3）采购代理机构工作人员按照顺序，将各供应商首次响应文件的份数等内容公布，无异议后，由供应商法定代表人（或授权代表人）和监督人签字确认。</w:t>
      </w:r>
      <w:bookmarkEnd w:id="314"/>
    </w:p>
    <w:p>
      <w:pPr>
        <w:pStyle w:val="5"/>
        <w:tabs>
          <w:tab w:val="left" w:pos="360"/>
        </w:tabs>
        <w:rPr>
          <w:rFonts w:ascii="仿宋_GB2312" w:hAnsi="仿宋_GB2312" w:eastAsia="仿宋_GB2312" w:cs="仿宋_GB2312"/>
          <w:b/>
          <w:sz w:val="24"/>
          <w:szCs w:val="21"/>
        </w:rPr>
      </w:pPr>
      <w:bookmarkStart w:id="315" w:name="_Toc58504511"/>
      <w:r>
        <w:rPr>
          <w:rFonts w:hint="eastAsia" w:ascii="仿宋_GB2312" w:hAnsi="仿宋_GB2312" w:eastAsia="仿宋_GB2312" w:cs="仿宋_GB2312"/>
          <w:b/>
          <w:sz w:val="24"/>
          <w:szCs w:val="21"/>
        </w:rPr>
        <w:t>23.2   响应文件</w:t>
      </w:r>
      <w:bookmarkEnd w:id="306"/>
      <w:bookmarkEnd w:id="307"/>
      <w:bookmarkEnd w:id="308"/>
      <w:bookmarkEnd w:id="309"/>
      <w:bookmarkEnd w:id="310"/>
      <w:r>
        <w:rPr>
          <w:rFonts w:hint="eastAsia" w:ascii="仿宋_GB2312" w:hAnsi="仿宋_GB2312" w:eastAsia="仿宋_GB2312" w:cs="仿宋_GB2312"/>
          <w:b/>
          <w:sz w:val="24"/>
          <w:szCs w:val="21"/>
        </w:rPr>
        <w:t>评审</w:t>
      </w:r>
      <w:bookmarkEnd w:id="315"/>
    </w:p>
    <w:p>
      <w:pPr>
        <w:tabs>
          <w:tab w:val="left" w:pos="360"/>
          <w:tab w:val="left" w:pos="588"/>
        </w:tabs>
        <w:spacing w:line="360" w:lineRule="auto"/>
        <w:ind w:left="843" w:hanging="843" w:hangingChars="350"/>
        <w:rPr>
          <w:rFonts w:ascii="仿宋_GB2312" w:hAnsi="仿宋_GB2312" w:eastAsia="仿宋_GB2312" w:cs="仿宋_GB2312"/>
          <w:color w:val="000000" w:themeColor="text1"/>
          <w:sz w:val="24"/>
        </w:rPr>
      </w:pPr>
      <w:bookmarkStart w:id="316" w:name="_Toc83547671"/>
      <w:r>
        <w:rPr>
          <w:rFonts w:hint="eastAsia" w:ascii="仿宋_GB2312" w:hAnsi="仿宋_GB2312" w:eastAsia="仿宋_GB2312" w:cs="仿宋_GB2312"/>
          <w:b/>
          <w:color w:val="000000" w:themeColor="text1"/>
          <w:sz w:val="24"/>
        </w:rPr>
        <w:t xml:space="preserve">23.2.1 </w:t>
      </w:r>
      <w:r>
        <w:rPr>
          <w:rFonts w:hint="eastAsia" w:ascii="仿宋_GB2312" w:hAnsi="仿宋_GB2312" w:eastAsia="仿宋_GB2312" w:cs="仿宋_GB2312"/>
          <w:b/>
          <w:color w:val="000000" w:themeColor="text1"/>
          <w:sz w:val="24"/>
          <w:lang w:val="en-US" w:eastAsia="zh-CN"/>
        </w:rPr>
        <w:t>磋商</w:t>
      </w:r>
      <w:r>
        <w:rPr>
          <w:rFonts w:hint="eastAsia" w:ascii="仿宋_GB2312" w:hAnsi="仿宋_GB2312" w:eastAsia="仿宋_GB2312" w:cs="仿宋_GB2312"/>
          <w:b/>
          <w:color w:val="000000" w:themeColor="text1"/>
          <w:sz w:val="24"/>
        </w:rPr>
        <w:t>响应文件的资格性审查</w:t>
      </w:r>
      <w:r>
        <w:rPr>
          <w:rFonts w:hint="eastAsia" w:ascii="仿宋_GB2312" w:hAnsi="仿宋_GB2312" w:eastAsia="仿宋_GB2312" w:cs="仿宋_GB2312"/>
          <w:color w:val="000000" w:themeColor="text1"/>
          <w:sz w:val="24"/>
        </w:rPr>
        <w:t>。依据法律法规和磋商文件的规定，采购人或采购代理机构负责对响应文件中的资格要求文件、信用查询记录等进行审查，以确认供应商具备相应资格。资格性审查出现下列情况者（但不限于），按无效文件处理：</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rPr>
        <w:t>（</w:t>
      </w:r>
      <w:r>
        <w:rPr>
          <w:rFonts w:hint="eastAsia" w:ascii="仿宋_GB2312" w:hAnsi="仿宋_GB2312" w:eastAsia="仿宋_GB2312" w:cs="仿宋_GB2312"/>
          <w:color w:val="000000" w:themeColor="text1"/>
          <w:sz w:val="24"/>
        </w:rPr>
        <w:t>1）供应商资格不符合《中华人民共和国政府采购法》第二十二条的规定和特定资格条件要求的。</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（2）供应商没有经过正常渠道获取磋商文件或供应商的名称与登记领取磋商文件单位的名称不符。</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（3）磋商响应文件中未提交法定代表人授权书（法定代表人直接参加磋商未按要求提交其有效身份证）或授权书的合法性或有效性不符合磋商文件规定。授权代表本单位证明的有效性或符合性不符合要求的。</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（4）信用查询中列入失信被执行人、重大税收违法案件当事人名单、政府采购严重违法失信行为记录名单及其他不符合《中华人民共和国政府采购法》第二十二条规定条件的供应商，拒绝参与政府采购活动。</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w:t>
      </w:r>
      <w:r>
        <w:rPr>
          <w:rFonts w:hint="eastAsia" w:ascii="仿宋_GB2312" w:hAnsi="仿宋_GB2312" w:eastAsia="仿宋_GB2312" w:cs="仿宋_GB2312"/>
          <w:color w:val="000000" w:themeColor="text1"/>
          <w:sz w:val="24"/>
          <w:lang w:val="en-US" w:eastAsia="zh-CN"/>
        </w:rPr>
        <w:t>5</w:t>
      </w:r>
      <w:r>
        <w:rPr>
          <w:rFonts w:hint="eastAsia" w:ascii="仿宋_GB2312" w:hAnsi="仿宋_GB2312" w:eastAsia="仿宋_GB2312" w:cs="仿宋_GB2312"/>
          <w:color w:val="000000" w:themeColor="text1"/>
          <w:sz w:val="24"/>
        </w:rPr>
        <w:t>）采购人或采购代理机构通过“信用中国”网站(www.creditchina.gov.cn)、中国政府采购网(www.ccgp.gov.cn) 等查询相关主体信用记录，并将查询网页打印、存档备查。</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w:t>
      </w:r>
      <w:r>
        <w:rPr>
          <w:rFonts w:hint="eastAsia" w:ascii="仿宋_GB2312" w:hAnsi="仿宋_GB2312" w:eastAsia="仿宋_GB2312" w:cs="仿宋_GB2312"/>
          <w:color w:val="000000" w:themeColor="text1"/>
          <w:sz w:val="24"/>
          <w:lang w:val="en-US" w:eastAsia="zh-CN"/>
        </w:rPr>
        <w:t>6</w:t>
      </w:r>
      <w:r>
        <w:rPr>
          <w:rFonts w:hint="eastAsia" w:ascii="仿宋_GB2312" w:hAnsi="仿宋_GB2312" w:eastAsia="仿宋_GB2312" w:cs="仿宋_GB2312"/>
          <w:color w:val="000000" w:themeColor="text1"/>
          <w:sz w:val="24"/>
        </w:rPr>
        <w:t>）查询时间为磋商文件发售期至评审截止时间前，此段时间段外，网站信息发生的任何变更均不作为资格审查依据。</w:t>
      </w:r>
    </w:p>
    <w:p>
      <w:pPr>
        <w:pStyle w:val="22"/>
        <w:ind w:left="840" w:leftChars="400"/>
        <w:rPr>
          <w:rFonts w:ascii="仿宋_GB2312" w:hAnsi="仿宋_GB2312" w:eastAsia="仿宋_GB2312" w:cs="仿宋_GB2312"/>
          <w:color w:val="000000" w:themeColor="text1"/>
          <w:sz w:val="24"/>
        </w:rPr>
      </w:pPr>
      <w:r>
        <w:rPr>
          <w:rFonts w:hint="eastAsia" w:ascii="仿宋_GB2312" w:hAnsi="仿宋_GB2312" w:eastAsia="仿宋_GB2312" w:cs="仿宋_GB2312"/>
          <w:color w:val="000000" w:themeColor="text1"/>
          <w:sz w:val="24"/>
        </w:rPr>
        <w:t>（</w:t>
      </w:r>
      <w:r>
        <w:rPr>
          <w:rFonts w:hint="eastAsia" w:ascii="仿宋_GB2312" w:hAnsi="仿宋_GB2312" w:eastAsia="仿宋_GB2312" w:cs="仿宋_GB2312"/>
          <w:color w:val="000000" w:themeColor="text1"/>
          <w:sz w:val="24"/>
          <w:lang w:val="en-US" w:eastAsia="zh-CN"/>
        </w:rPr>
        <w:t>7</w:t>
      </w:r>
      <w:r>
        <w:rPr>
          <w:rFonts w:hint="eastAsia" w:ascii="仿宋_GB2312" w:hAnsi="仿宋_GB2312" w:eastAsia="仿宋_GB2312" w:cs="仿宋_GB2312"/>
          <w:color w:val="000000" w:themeColor="text1"/>
          <w:sz w:val="24"/>
        </w:rPr>
        <w:t>）供应商不良信用记录以采购人或采购代理机构查询结果为准。供应商自行提供的与网站信息不一致的其他证明材料亦不作为资格审查依据。</w:t>
      </w:r>
    </w:p>
    <w:p>
      <w:pPr>
        <w:pStyle w:val="22"/>
        <w:ind w:left="843" w:hanging="843" w:hangingChars="350"/>
        <w:rPr>
          <w:rFonts w:ascii="仿宋_GB2312" w:hAnsi="仿宋_GB2312" w:eastAsia="仿宋_GB2312" w:cs="仿宋_GB2312"/>
          <w:sz w:val="24"/>
        </w:rPr>
      </w:pPr>
      <w:r>
        <w:rPr>
          <w:rFonts w:hint="eastAsia" w:ascii="仿宋_GB2312" w:hAnsi="仿宋_GB2312" w:eastAsia="仿宋_GB2312" w:cs="仿宋_GB2312"/>
          <w:b/>
          <w:sz w:val="24"/>
        </w:rPr>
        <w:t>23.2.2 磋商响应文件</w:t>
      </w:r>
      <w:r>
        <w:rPr>
          <w:rFonts w:hint="eastAsia" w:ascii="仿宋_GB2312" w:hAnsi="仿宋_GB2312" w:eastAsia="仿宋_GB2312" w:cs="仿宋_GB2312"/>
          <w:b/>
          <w:sz w:val="24"/>
          <w:lang w:val="en-US" w:eastAsia="zh-CN"/>
        </w:rPr>
        <w:t>的符合性</w:t>
      </w:r>
      <w:r>
        <w:rPr>
          <w:rFonts w:hint="eastAsia" w:ascii="仿宋_GB2312" w:hAnsi="仿宋_GB2312" w:eastAsia="仿宋_GB2312" w:cs="仿宋_GB2312"/>
          <w:b/>
          <w:sz w:val="24"/>
        </w:rPr>
        <w:t>审查：</w:t>
      </w:r>
      <w:r>
        <w:rPr>
          <w:rFonts w:hint="eastAsia" w:ascii="仿宋_GB2312" w:hAnsi="仿宋_GB2312" w:eastAsia="仿宋_GB2312" w:cs="仿宋_GB2312"/>
          <w:sz w:val="24"/>
        </w:rPr>
        <w:t>磋商小组负责对通过资格审查的响应文件的有效性、完整性和响应性进行审查，以确定是否满足磋商文件要求，出现下列情况者（但不限于），按无效文件处理。</w:t>
      </w:r>
    </w:p>
    <w:p>
      <w:pPr>
        <w:pStyle w:val="22"/>
        <w:ind w:left="840" w:leftChars="400"/>
        <w:rPr>
          <w:rFonts w:hint="eastAsia" w:ascii="仿宋_GB2312" w:hAnsi="仿宋_GB2312" w:eastAsia="仿宋_GB2312" w:cs="仿宋_GB2312"/>
          <w:sz w:val="24"/>
          <w:lang w:eastAsia="zh-CN"/>
        </w:rPr>
      </w:pPr>
      <w:r>
        <w:rPr>
          <w:rFonts w:hint="eastAsia" w:ascii="仿宋_GB2312" w:hAnsi="仿宋_GB2312" w:eastAsia="仿宋_GB2312" w:cs="仿宋_GB2312"/>
          <w:sz w:val="24"/>
        </w:rPr>
        <w:t>（1）供应商未按磋商文件要求加盖单位公章</w:t>
      </w:r>
      <w:r>
        <w:rPr>
          <w:rFonts w:hint="eastAsia" w:ascii="仿宋_GB2312" w:hAnsi="仿宋_GB2312" w:eastAsia="仿宋_GB2312" w:cs="仿宋_GB2312"/>
          <w:sz w:val="24"/>
          <w:lang w:eastAsia="zh-CN"/>
        </w:rPr>
        <w:t>。</w:t>
      </w:r>
    </w:p>
    <w:p>
      <w:pPr>
        <w:pStyle w:val="22"/>
        <w:ind w:left="840" w:leftChars="400"/>
        <w:rPr>
          <w:rFonts w:hint="eastAsia" w:ascii="仿宋_GB2312" w:hAnsi="仿宋_GB2312" w:eastAsia="仿宋_GB2312" w:cs="仿宋_GB2312"/>
          <w:sz w:val="24"/>
          <w:lang w:eastAsia="zh-CN"/>
        </w:rPr>
      </w:pPr>
      <w:r>
        <w:rPr>
          <w:rFonts w:hint="eastAsia" w:ascii="仿宋_GB2312" w:hAnsi="仿宋_GB2312" w:eastAsia="仿宋_GB2312" w:cs="仿宋_GB2312"/>
          <w:sz w:val="24"/>
        </w:rPr>
        <w:t>（2）磋商响应文件未按磋商文件要求法定代表人或其授权代表签字</w:t>
      </w:r>
      <w:r>
        <w:rPr>
          <w:rFonts w:hint="eastAsia" w:ascii="仿宋_GB2312" w:hAnsi="仿宋_GB2312" w:eastAsia="仿宋_GB2312" w:cs="仿宋_GB2312"/>
          <w:sz w:val="24"/>
          <w:lang w:eastAsia="zh-CN"/>
        </w:rPr>
        <w:t>。</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（3）无有效期或有效期达不到磋商文件的要求。</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（4）供应商首次磋商报价出现选择性报价。</w:t>
      </w:r>
    </w:p>
    <w:p>
      <w:pPr>
        <w:pStyle w:val="22"/>
        <w:ind w:left="840" w:leftChars="400"/>
        <w:rPr>
          <w:rFonts w:hint="eastAsia" w:ascii="仿宋_GB2312" w:hAnsi="仿宋_GB2312" w:eastAsia="仿宋_GB2312" w:cs="仿宋_GB2312"/>
          <w:sz w:val="24"/>
          <w:lang w:eastAsia="zh-CN"/>
        </w:rPr>
      </w:pPr>
      <w:r>
        <w:rPr>
          <w:rFonts w:hint="eastAsia" w:ascii="仿宋_GB2312" w:hAnsi="仿宋_GB2312" w:eastAsia="仿宋_GB2312" w:cs="仿宋_GB2312"/>
          <w:sz w:val="24"/>
        </w:rPr>
        <w:t>（5）首次磋商报价超出采购预算</w:t>
      </w:r>
      <w:r>
        <w:rPr>
          <w:rFonts w:hint="eastAsia" w:ascii="仿宋_GB2312" w:hAnsi="仿宋_GB2312" w:eastAsia="仿宋_GB2312" w:cs="仿宋_GB2312"/>
          <w:sz w:val="24"/>
          <w:lang w:eastAsia="zh-CN"/>
        </w:rPr>
        <w:t>。</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（6）响应文件中对合同草案条款附加了采购人难以接受的条件。</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（7）磋商内容出现漏项或数量与要求不符，出现重大负偏差。</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（8）响应文件中技术指标达不到采购要求，降低了产品档次或影响产品性能、功能。</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（9）响应报价与市场价偏离较大，低于成本，形成不正当竞争。</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（10）供应商提供虚假证明，开具虚假资质，出现虚假应答或故意隐瞒行为。</w:t>
      </w:r>
    </w:p>
    <w:p>
      <w:pPr>
        <w:pStyle w:val="5"/>
        <w:tabs>
          <w:tab w:val="left" w:pos="360"/>
        </w:tabs>
        <w:rPr>
          <w:rFonts w:ascii="仿宋_GB2312" w:hAnsi="仿宋_GB2312" w:eastAsia="仿宋_GB2312" w:cs="仿宋_GB2312"/>
          <w:b/>
          <w:sz w:val="24"/>
          <w:szCs w:val="21"/>
        </w:rPr>
      </w:pPr>
      <w:bookmarkStart w:id="317" w:name="_Toc58504512"/>
      <w:r>
        <w:rPr>
          <w:rFonts w:hint="eastAsia" w:ascii="仿宋_GB2312" w:hAnsi="仿宋_GB2312" w:eastAsia="仿宋_GB2312" w:cs="仿宋_GB2312"/>
          <w:b/>
          <w:sz w:val="24"/>
          <w:szCs w:val="21"/>
        </w:rPr>
        <w:t>23.3   磋商</w:t>
      </w:r>
      <w:bookmarkEnd w:id="317"/>
    </w:p>
    <w:p>
      <w:pPr>
        <w:pStyle w:val="22"/>
        <w:ind w:left="840" w:hanging="840" w:hangingChars="350"/>
        <w:rPr>
          <w:rFonts w:ascii="仿宋_GB2312" w:hAnsi="仿宋_GB2312" w:eastAsia="仿宋_GB2312" w:cs="仿宋_GB2312"/>
          <w:sz w:val="24"/>
        </w:rPr>
      </w:pPr>
      <w:bookmarkStart w:id="318" w:name="_Toc58504513"/>
      <w:r>
        <w:rPr>
          <w:rFonts w:hint="eastAsia" w:ascii="仿宋_GB2312" w:hAnsi="仿宋_GB2312" w:eastAsia="仿宋_GB2312" w:cs="仿宋_GB2312"/>
          <w:sz w:val="24"/>
        </w:rPr>
        <w:t>23.3.1 磋商小组集中与各供应商分别进行磋商，并给所有参加磋商供应商平等的磋商机会。</w:t>
      </w:r>
      <w:bookmarkEnd w:id="318"/>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23.3.2 磋商小组在对响应文件的</w:t>
      </w:r>
      <w:r>
        <w:rPr>
          <w:rFonts w:hint="eastAsia" w:ascii="仿宋_GB2312" w:hAnsi="仿宋_GB2312" w:eastAsia="仿宋_GB2312" w:cs="仿宋_GB2312"/>
          <w:sz w:val="24"/>
          <w:lang w:val="en-US" w:eastAsia="zh-CN"/>
        </w:rPr>
        <w:t>资格性、</w:t>
      </w:r>
      <w:r>
        <w:rPr>
          <w:rFonts w:hint="eastAsia" w:ascii="仿宋_GB2312" w:hAnsi="仿宋_GB2312" w:eastAsia="仿宋_GB2312" w:cs="仿宋_GB2312"/>
          <w:sz w:val="24"/>
        </w:rPr>
        <w:t>有效性、完整性和响应程度进行审核时，以</w:t>
      </w:r>
      <w:r>
        <w:rPr>
          <w:rFonts w:hint="eastAsia" w:ascii="仿宋_GB2312" w:hAnsi="仿宋_GB2312" w:eastAsia="仿宋_GB2312" w:cs="仿宋_GB2312"/>
          <w:b/>
          <w:sz w:val="24"/>
        </w:rPr>
        <w:t>书面形式</w:t>
      </w:r>
      <w:r>
        <w:rPr>
          <w:rFonts w:hint="eastAsia" w:ascii="仿宋_GB2312" w:hAnsi="仿宋_GB2312" w:eastAsia="仿宋_GB2312" w:cs="仿宋_GB2312"/>
          <w:sz w:val="24"/>
        </w:rPr>
        <w:t>要求供应商对响应文件中含义不明确、同类问题表述不一致、或者明显文字和计算错误的内容在约定时间内做出必要的澄清、说明或更正。供应商澄清、说明或者更正应当由法定代表人或者授权代表签字或者加盖公章。澄清、说明或者更正不得超出响应范围，或者改变响应文件的实质性内容。</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23.3.3 磋商过程中，磋商小组可以根据磋商文件和磋商情况实质性变动采购需求中的技术、</w:t>
      </w:r>
      <w:r>
        <w:rPr>
          <w:rFonts w:hint="eastAsia" w:ascii="仿宋_GB2312" w:hAnsi="仿宋_GB2312" w:eastAsia="仿宋_GB2312" w:cs="仿宋_GB2312"/>
          <w:sz w:val="24"/>
          <w:highlight w:val="none"/>
        </w:rPr>
        <w:t>服务</w:t>
      </w:r>
      <w:r>
        <w:rPr>
          <w:rFonts w:hint="eastAsia" w:ascii="仿宋_GB2312" w:hAnsi="仿宋_GB2312" w:eastAsia="仿宋_GB2312" w:cs="仿宋_GB2312"/>
          <w:sz w:val="24"/>
        </w:rPr>
        <w:t>要求以及合同草案条款，但不得变动磋商文件中的其他内容。实质性变动的内容，须经采购人代表确认，并成为磋商文件的有效组成部分。</w:t>
      </w:r>
    </w:p>
    <w:p>
      <w:pPr>
        <w:pStyle w:val="22"/>
        <w:rPr>
          <w:rFonts w:ascii="仿宋_GB2312" w:hAnsi="仿宋_GB2312" w:eastAsia="仿宋_GB2312" w:cs="仿宋_GB2312"/>
          <w:sz w:val="24"/>
        </w:rPr>
      </w:pPr>
      <w:r>
        <w:rPr>
          <w:rFonts w:hint="eastAsia" w:ascii="仿宋_GB2312" w:hAnsi="仿宋_GB2312" w:eastAsia="仿宋_GB2312" w:cs="仿宋_GB2312"/>
          <w:sz w:val="24"/>
        </w:rPr>
        <w:t>23.3.4 如出现下述情形之一的，视为供应商主动退出磋商，其响应将被拒绝：</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（1）供应商未按要求确认磋商小组确定的本项目最终技术需求的；</w:t>
      </w:r>
    </w:p>
    <w:p>
      <w:pPr>
        <w:pStyle w:val="22"/>
        <w:ind w:left="840" w:leftChars="400"/>
        <w:rPr>
          <w:rFonts w:ascii="仿宋_GB2312" w:hAnsi="仿宋_GB2312" w:eastAsia="仿宋_GB2312" w:cs="仿宋_GB2312"/>
          <w:sz w:val="24"/>
        </w:rPr>
      </w:pPr>
      <w:r>
        <w:rPr>
          <w:rFonts w:hint="eastAsia" w:ascii="仿宋_GB2312" w:hAnsi="仿宋_GB2312" w:eastAsia="仿宋_GB2312" w:cs="仿宋_GB2312"/>
          <w:sz w:val="24"/>
        </w:rPr>
        <w:t>（2）最后报价未实质性响应磋商小组确定的本项目最终技术需求的，或附有采购人无法接受的条件的。</w:t>
      </w:r>
    </w:p>
    <w:p>
      <w:pPr>
        <w:pStyle w:val="22"/>
        <w:rPr>
          <w:rFonts w:ascii="仿宋_GB2312" w:hAnsi="仿宋_GB2312" w:eastAsia="仿宋_GB2312" w:cs="仿宋_GB2312"/>
          <w:b/>
          <w:sz w:val="24"/>
          <w:szCs w:val="21"/>
        </w:rPr>
      </w:pPr>
      <w:r>
        <w:rPr>
          <w:rFonts w:hint="eastAsia" w:ascii="仿宋_GB2312" w:hAnsi="仿宋_GB2312" w:eastAsia="仿宋_GB2312" w:cs="仿宋_GB2312"/>
          <w:b/>
          <w:sz w:val="24"/>
          <w:szCs w:val="21"/>
        </w:rPr>
        <w:t>23.4   最后报价</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23.4.1 磋商结束后，磋商小组要求所有实质性响应的供应商在规定时间内提交最后报价，提交最后报价的供应商不少于3家。最后报价是供应商响应文件的有效组成部分。</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23.4.2 最后报价应按报价的格式内容填写，并且同时提交最后响应报价表</w:t>
      </w:r>
      <w:r>
        <w:rPr>
          <w:rFonts w:hint="eastAsia" w:ascii="仿宋_GB2312" w:hAnsi="仿宋_GB2312" w:eastAsia="仿宋_GB2312" w:cs="仿宋_GB2312"/>
          <w:sz w:val="24"/>
          <w:highlight w:val="none"/>
        </w:rPr>
        <w:t>等内容。</w:t>
      </w:r>
      <w:r>
        <w:rPr>
          <w:rFonts w:hint="eastAsia" w:ascii="仿宋_GB2312" w:hAnsi="仿宋_GB2312" w:eastAsia="仿宋_GB2312" w:cs="仿宋_GB2312"/>
          <w:sz w:val="24"/>
        </w:rPr>
        <w:t>各供应商在提交响应文件时，应对最后报价加盖供应商红色公章，且由法定代表人（或授权代表人）签字。</w:t>
      </w:r>
    </w:p>
    <w:p>
      <w:pPr>
        <w:pStyle w:val="5"/>
        <w:rPr>
          <w:rFonts w:ascii="仿宋_GB2312" w:hAnsi="仿宋_GB2312" w:eastAsia="仿宋_GB2312" w:cs="仿宋_GB2312"/>
          <w:b/>
          <w:bCs/>
          <w:sz w:val="24"/>
          <w:szCs w:val="21"/>
        </w:rPr>
      </w:pPr>
      <w:bookmarkStart w:id="319" w:name="_Toc127161460"/>
      <w:bookmarkStart w:id="320" w:name="_Toc151193934"/>
      <w:bookmarkStart w:id="321" w:name="_Toc151193860"/>
      <w:bookmarkStart w:id="322" w:name="_Toc195842911"/>
      <w:bookmarkStart w:id="323" w:name="_Toc151190173"/>
      <w:bookmarkStart w:id="324" w:name="_Toc150774646"/>
      <w:bookmarkStart w:id="325" w:name="_Toc150480784"/>
      <w:bookmarkStart w:id="326" w:name="_Toc164608815"/>
      <w:bookmarkStart w:id="327" w:name="_Toc164229387"/>
      <w:bookmarkStart w:id="328" w:name="_Toc151193788"/>
      <w:bookmarkStart w:id="329" w:name="_Toc150774751"/>
      <w:bookmarkStart w:id="330" w:name="_Toc164608660"/>
      <w:bookmarkStart w:id="331" w:name="_Toc142311048"/>
      <w:bookmarkStart w:id="332" w:name="_Toc249515310"/>
      <w:bookmarkStart w:id="333" w:name="_Toc249515422"/>
      <w:bookmarkStart w:id="334" w:name="_Toc13753"/>
      <w:bookmarkStart w:id="335" w:name="_Toc520356170"/>
      <w:bookmarkStart w:id="336" w:name="_Toc149720839"/>
      <w:bookmarkStart w:id="337" w:name="_Toc249525191"/>
      <w:bookmarkStart w:id="338" w:name="_Toc127151546"/>
      <w:bookmarkStart w:id="339" w:name="_Toc150509297"/>
      <w:bookmarkStart w:id="340" w:name="_Toc127151747"/>
      <w:bookmarkStart w:id="341" w:name="_Toc151193644"/>
      <w:bookmarkStart w:id="342" w:name="_Toc151193716"/>
      <w:bookmarkStart w:id="343" w:name="_Toc164229241"/>
      <w:bookmarkStart w:id="344" w:name="_Ref467307010"/>
      <w:bookmarkStart w:id="345" w:name="_Toc164351640"/>
      <w:r>
        <w:rPr>
          <w:rFonts w:hint="eastAsia" w:ascii="仿宋_GB2312" w:hAnsi="仿宋_GB2312" w:eastAsia="仿宋_GB2312" w:cs="仿宋_GB2312"/>
          <w:b/>
          <w:bCs/>
          <w:sz w:val="24"/>
          <w:szCs w:val="21"/>
        </w:rPr>
        <w:t>24.    评审办法及</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仿宋_GB2312" w:hAnsi="仿宋_GB2312" w:eastAsia="仿宋_GB2312" w:cs="仿宋_GB2312"/>
          <w:b/>
          <w:bCs/>
          <w:sz w:val="24"/>
          <w:szCs w:val="21"/>
        </w:rPr>
        <w:t>落实政府采购政策，详见第三章。</w:t>
      </w:r>
    </w:p>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16"/>
    <w:p>
      <w:pPr>
        <w:pStyle w:val="77"/>
        <w:spacing w:before="24" w:after="24"/>
        <w:jc w:val="center"/>
        <w:rPr>
          <w:rFonts w:ascii="仿宋_GB2312" w:hAnsi="仿宋_GB2312" w:eastAsia="仿宋_GB2312" w:cs="仿宋_GB2312"/>
          <w:sz w:val="30"/>
          <w:szCs w:val="30"/>
        </w:rPr>
      </w:pPr>
      <w:bookmarkStart w:id="346" w:name="_Hlt497729446"/>
      <w:bookmarkEnd w:id="346"/>
      <w:bookmarkStart w:id="347" w:name="_Hlt491765714"/>
      <w:bookmarkEnd w:id="347"/>
      <w:bookmarkStart w:id="348" w:name="_Toc256342149"/>
      <w:bookmarkStart w:id="349" w:name="_Toc249525192"/>
      <w:bookmarkStart w:id="350" w:name="_Toc249515311"/>
      <w:bookmarkStart w:id="351" w:name="_Toc62196425"/>
      <w:bookmarkStart w:id="352" w:name="_Toc232176278"/>
      <w:bookmarkStart w:id="353" w:name="_Toc232395218"/>
      <w:bookmarkStart w:id="354" w:name="_Toc249515423"/>
      <w:bookmarkStart w:id="355" w:name="_Toc176882548"/>
      <w:bookmarkStart w:id="356" w:name="_Toc499711890"/>
      <w:bookmarkStart w:id="357" w:name="_Toc177817340"/>
      <w:bookmarkStart w:id="358" w:name="_Toc496324585"/>
      <w:bookmarkStart w:id="359" w:name="_Toc500746972"/>
      <w:bookmarkStart w:id="360" w:name="_Toc53722846"/>
      <w:bookmarkStart w:id="361" w:name="_Toc184043047"/>
      <w:bookmarkStart w:id="362" w:name="_Toc492955421"/>
      <w:bookmarkStart w:id="363" w:name="_Toc500747195"/>
      <w:bookmarkStart w:id="364" w:name="_Toc389620199"/>
      <w:bookmarkStart w:id="365" w:name="_Toc385992360"/>
      <w:bookmarkStart w:id="366" w:name="_Toc70687174"/>
      <w:bookmarkStart w:id="367" w:name="_Toc500747068"/>
      <w:bookmarkStart w:id="368" w:name="_Toc177995479"/>
      <w:bookmarkStart w:id="369" w:name="_Toc503063428"/>
      <w:bookmarkStart w:id="370" w:name="_Toc499711049"/>
      <w:bookmarkStart w:id="371" w:name="_Toc177189241"/>
      <w:r>
        <w:rPr>
          <w:rFonts w:hint="eastAsia" w:ascii="仿宋_GB2312" w:hAnsi="仿宋_GB2312" w:eastAsia="仿宋_GB2312" w:cs="仿宋_GB2312"/>
          <w:sz w:val="30"/>
          <w:szCs w:val="30"/>
        </w:rPr>
        <w:t>六、确定成交单位、授予合同</w:t>
      </w:r>
      <w:bookmarkEnd w:id="348"/>
      <w:bookmarkEnd w:id="349"/>
      <w:bookmarkEnd w:id="350"/>
      <w:bookmarkEnd w:id="351"/>
      <w:bookmarkEnd w:id="352"/>
      <w:bookmarkEnd w:id="353"/>
      <w:bookmarkEnd w:id="354"/>
    </w:p>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Pr>
        <w:pStyle w:val="5"/>
        <w:numPr>
          <w:ilvl w:val="0"/>
          <w:numId w:val="8"/>
        </w:numPr>
        <w:rPr>
          <w:rFonts w:ascii="仿宋_GB2312" w:hAnsi="仿宋_GB2312" w:eastAsia="仿宋_GB2312" w:cs="仿宋_GB2312"/>
          <w:b/>
          <w:bCs/>
          <w:sz w:val="24"/>
          <w:szCs w:val="21"/>
        </w:rPr>
      </w:pPr>
      <w:bookmarkStart w:id="372" w:name="_Toc389620200"/>
      <w:bookmarkStart w:id="373" w:name="_Toc249525193"/>
      <w:bookmarkStart w:id="374" w:name="_Toc249515424"/>
      <w:bookmarkStart w:id="375" w:name="_Toc27151"/>
      <w:bookmarkStart w:id="376" w:name="_Toc385992361"/>
      <w:bookmarkStart w:id="377" w:name="_Toc184043048"/>
      <w:bookmarkStart w:id="378" w:name="_Toc249515312"/>
      <w:bookmarkStart w:id="379" w:name="_Toc70687175"/>
      <w:r>
        <w:rPr>
          <w:rFonts w:hint="eastAsia" w:ascii="仿宋_GB2312" w:hAnsi="仿宋_GB2312" w:eastAsia="仿宋_GB2312" w:cs="仿宋_GB2312"/>
          <w:b/>
          <w:bCs/>
          <w:sz w:val="24"/>
          <w:szCs w:val="21"/>
        </w:rPr>
        <w:t xml:space="preserve">   确定成交</w:t>
      </w:r>
      <w:bookmarkEnd w:id="372"/>
      <w:bookmarkEnd w:id="373"/>
      <w:bookmarkEnd w:id="374"/>
      <w:bookmarkEnd w:id="375"/>
      <w:bookmarkEnd w:id="376"/>
      <w:bookmarkEnd w:id="377"/>
      <w:bookmarkEnd w:id="378"/>
      <w:bookmarkEnd w:id="379"/>
      <w:r>
        <w:rPr>
          <w:rFonts w:hint="eastAsia" w:ascii="仿宋_GB2312" w:hAnsi="仿宋_GB2312" w:eastAsia="仿宋_GB2312" w:cs="仿宋_GB2312"/>
          <w:b/>
          <w:bCs/>
          <w:sz w:val="24"/>
          <w:szCs w:val="21"/>
        </w:rPr>
        <w:t>单位</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25.1   采购代理机构应在评审结束后两个工作日内，将评审报告送采购人。</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25.2   采购人在收到评审报告后五个工作日内，根据评审报告对评审过程及结果进行严格审核后确定成交供应商，复函采购代理机构。</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25.3   采购代理机构在接到采购人的成交复函后，在财政部门指定的政府采购信息发布媒体上公告，公告期限为一个工作日，并向成交供应商发出成交通知书。成交通知书是合同文件的组成部分。</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25.4   采购代理机构将评审过程及成交供应商情况书面报监督机构备案。</w:t>
      </w:r>
      <w:bookmarkStart w:id="380" w:name="_Toc389620203"/>
      <w:bookmarkStart w:id="381" w:name="_Toc385992364"/>
    </w:p>
    <w:bookmarkEnd w:id="380"/>
    <w:bookmarkEnd w:id="381"/>
    <w:p>
      <w:pPr>
        <w:pStyle w:val="5"/>
        <w:rPr>
          <w:rFonts w:ascii="仿宋_GB2312" w:hAnsi="仿宋_GB2312" w:eastAsia="仿宋_GB2312" w:cs="仿宋_GB2312"/>
          <w:b/>
          <w:bCs/>
          <w:sz w:val="24"/>
          <w:szCs w:val="21"/>
        </w:rPr>
      </w:pPr>
      <w:bookmarkStart w:id="382" w:name="_Toc389620204"/>
      <w:bookmarkStart w:id="383" w:name="_Toc385992365"/>
      <w:r>
        <w:rPr>
          <w:rFonts w:hint="eastAsia" w:ascii="仿宋_GB2312" w:hAnsi="仿宋_GB2312" w:eastAsia="仿宋_GB2312" w:cs="仿宋_GB2312"/>
          <w:b/>
          <w:bCs/>
          <w:sz w:val="24"/>
          <w:szCs w:val="21"/>
        </w:rPr>
        <w:t>26.    合同</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26.1   自成交通知书发出后三十日内，按照磋商文件和成交供应商响应文件的约定，采购人与成交供应商洽谈合同条款，并签订合同。磋商文件及成交供应商的响应文件均作为合同的组成部分。</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26.2   确定成交单位后，成交供应商因自身原因未按程序签订合同，采购人将取消其成交资格，同时报请监督机构备案。在此情况下，采购人可按评审结果顺序将合同授予下一成交候选人或重新采购。</w:t>
      </w:r>
    </w:p>
    <w:p>
      <w:pPr>
        <w:pStyle w:val="22"/>
        <w:ind w:left="840" w:leftChars="0" w:hanging="840" w:hangingChars="350"/>
        <w:rPr>
          <w:rFonts w:hint="default" w:eastAsia="仿宋_GB2312"/>
          <w:lang w:val="en-US" w:eastAsia="zh-CN"/>
        </w:rPr>
      </w:pPr>
      <w:r>
        <w:rPr>
          <w:rFonts w:hint="eastAsia" w:ascii="仿宋_GB2312" w:hAnsi="仿宋_GB2312" w:eastAsia="仿宋_GB2312" w:cs="仿宋_GB2312"/>
          <w:sz w:val="24"/>
        </w:rPr>
        <w:t xml:space="preserve">26.3   </w:t>
      </w:r>
      <w:r>
        <w:rPr>
          <w:rFonts w:hint="eastAsia" w:ascii="仿宋_GB2312" w:hAnsi="仿宋_GB2312" w:eastAsia="仿宋_GB2312" w:cs="仿宋_GB2312"/>
          <w:b w:val="0"/>
          <w:bCs w:val="0"/>
          <w:kern w:val="2"/>
          <w:sz w:val="24"/>
          <w:szCs w:val="24"/>
          <w:lang w:val="zh-CN" w:eastAsia="zh-CN" w:bidi="ar-SA"/>
        </w:rPr>
        <w:t>成交供应商需在合同签订后两个工作日内，</w:t>
      </w:r>
      <w:r>
        <w:rPr>
          <w:rFonts w:hint="eastAsia" w:ascii="仿宋_GB2312" w:hAnsi="仿宋_GB2312" w:eastAsia="仿宋_GB2312" w:cs="仿宋_GB2312"/>
          <w:sz w:val="24"/>
        </w:rPr>
        <w:t>持合同原件到采购代理机构，</w:t>
      </w:r>
      <w:r>
        <w:rPr>
          <w:rFonts w:hint="eastAsia" w:ascii="仿宋_GB2312" w:hAnsi="仿宋_GB2312" w:eastAsia="仿宋_GB2312" w:cs="仿宋_GB2312"/>
          <w:sz w:val="24"/>
          <w:lang w:val="en-US" w:eastAsia="zh-CN"/>
        </w:rPr>
        <w:t>或</w:t>
      </w:r>
      <w:r>
        <w:rPr>
          <w:rFonts w:hint="eastAsia" w:ascii="仿宋_GB2312" w:hAnsi="仿宋_GB2312" w:eastAsia="仿宋_GB2312" w:cs="仿宋_GB2312"/>
          <w:b w:val="0"/>
          <w:bCs w:val="0"/>
          <w:kern w:val="2"/>
          <w:sz w:val="24"/>
          <w:szCs w:val="24"/>
          <w:lang w:val="zh-CN" w:eastAsia="zh-CN" w:bidi="ar-SA"/>
        </w:rPr>
        <w:t>提供完整的合同扫描件发送至邮箱</w:t>
      </w:r>
      <w:r>
        <w:rPr>
          <w:rFonts w:hint="eastAsia" w:ascii="仿宋_GB2312" w:hAnsi="仿宋_GB2312" w:eastAsia="仿宋_GB2312" w:cs="仿宋_GB2312"/>
          <w:b w:val="0"/>
          <w:bCs w:val="0"/>
          <w:kern w:val="2"/>
          <w:sz w:val="24"/>
          <w:szCs w:val="24"/>
          <w:lang w:val="en-US" w:eastAsia="zh-CN" w:bidi="ar-SA"/>
        </w:rPr>
        <w:t>(zhongrun@sxzrzb.com)。</w:t>
      </w:r>
    </w:p>
    <w:p>
      <w:pPr>
        <w:pStyle w:val="5"/>
        <w:rPr>
          <w:rFonts w:ascii="仿宋_GB2312" w:hAnsi="仿宋_GB2312" w:eastAsia="仿宋_GB2312" w:cs="仿宋_GB2312"/>
          <w:b/>
          <w:bCs/>
          <w:sz w:val="24"/>
          <w:szCs w:val="21"/>
        </w:rPr>
      </w:pPr>
      <w:r>
        <w:rPr>
          <w:rFonts w:hint="eastAsia" w:ascii="仿宋_GB2312" w:hAnsi="仿宋_GB2312" w:eastAsia="仿宋_GB2312" w:cs="仿宋_GB2312"/>
          <w:b/>
          <w:bCs/>
          <w:sz w:val="24"/>
          <w:szCs w:val="21"/>
        </w:rPr>
        <w:t>27.    询问与质疑 </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27.1   供应商对政府采购活动事项有疑问的，可以向采购人提出询问。</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27.2   供应商认为采购文件、采购过程和中标、成交结果使自己的权益受到损害的，可以在知道或者应知其权益受到损害之日起七个工作日内，以书面形式向</w:t>
      </w:r>
      <w:r>
        <w:rPr>
          <w:rFonts w:hint="eastAsia" w:ascii="仿宋_GB2312" w:hAnsi="仿宋_GB2312" w:eastAsia="仿宋_GB2312" w:cs="仿宋_GB2312"/>
          <w:sz w:val="24"/>
          <w:highlight w:val="none"/>
        </w:rPr>
        <w:t>采购人</w:t>
      </w:r>
      <w:r>
        <w:rPr>
          <w:rFonts w:hint="eastAsia" w:ascii="仿宋_GB2312" w:hAnsi="仿宋_GB2312" w:eastAsia="仿宋_GB2312" w:cs="仿宋_GB2312"/>
          <w:sz w:val="24"/>
        </w:rPr>
        <w:t>提出质疑。</w:t>
      </w:r>
    </w:p>
    <w:p>
      <w:pPr>
        <w:tabs>
          <w:tab w:val="left" w:pos="588"/>
        </w:tabs>
        <w:spacing w:line="360" w:lineRule="auto"/>
        <w:ind w:left="840" w:leftChars="0" w:hanging="840" w:hangingChars="350"/>
        <w:rPr>
          <w:rFonts w:ascii="仿宋_GB2312" w:hAnsi="仿宋_GB2312" w:eastAsia="仿宋_GB2312" w:cs="仿宋_GB2312"/>
          <w:sz w:val="24"/>
        </w:rPr>
      </w:pPr>
      <w:r>
        <w:rPr>
          <w:rFonts w:hint="eastAsia" w:ascii="仿宋_GB2312" w:hAnsi="仿宋_GB2312" w:eastAsia="仿宋_GB2312" w:cs="仿宋_GB2312"/>
          <w:sz w:val="24"/>
        </w:rPr>
        <w:t>27.3   质疑供应商在法定质疑期内须一次性提出针对同一采购程序环节的质疑。</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27.4   供应商提出质疑应当提交质疑函和必要的证明材料。质疑函应当包括下列内容：</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供应商的姓名或者名称、地址、邮编、联系人及联系电话；</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质疑项目的名称、编号；</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具体、明确的质疑事项和与质疑事项相关的请求；</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事实依据；</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必要的法律依据；</w:t>
      </w:r>
    </w:p>
    <w:p>
      <w:pPr>
        <w:pStyle w:val="67"/>
        <w:numPr>
          <w:ilvl w:val="0"/>
          <w:numId w:val="9"/>
        </w:numPr>
        <w:tabs>
          <w:tab w:val="left" w:pos="588"/>
        </w:tabs>
        <w:spacing w:line="360" w:lineRule="auto"/>
        <w:ind w:left="846" w:hanging="6" w:firstLineChars="0"/>
        <w:jc w:val="left"/>
        <w:rPr>
          <w:rFonts w:ascii="仿宋_GB2312" w:hAnsi="仿宋_GB2312" w:eastAsia="仿宋_GB2312" w:cs="仿宋_GB2312"/>
          <w:sz w:val="24"/>
        </w:rPr>
      </w:pPr>
      <w:r>
        <w:rPr>
          <w:rFonts w:hint="eastAsia" w:ascii="仿宋_GB2312" w:hAnsi="仿宋_GB2312" w:eastAsia="仿宋_GB2312" w:cs="仿宋_GB2312"/>
          <w:sz w:val="24"/>
        </w:rPr>
        <w:t>提出质疑的日期。</w:t>
      </w:r>
    </w:p>
    <w:p>
      <w:pPr>
        <w:pStyle w:val="67"/>
        <w:tabs>
          <w:tab w:val="left" w:pos="588"/>
        </w:tabs>
        <w:spacing w:line="360" w:lineRule="auto"/>
        <w:ind w:left="838" w:leftChars="399" w:firstLine="0" w:firstLineChars="0"/>
        <w:rPr>
          <w:rFonts w:ascii="仿宋_GB2312" w:hAnsi="仿宋_GB2312" w:eastAsia="仿宋_GB2312" w:cs="仿宋_GB2312"/>
          <w:sz w:val="24"/>
        </w:rPr>
      </w:pPr>
      <w:r>
        <w:rPr>
          <w:rFonts w:hint="eastAsia" w:ascii="仿宋_GB2312" w:hAnsi="仿宋_GB2312" w:eastAsia="仿宋_GB2312" w:cs="仿宋_GB2312"/>
          <w:sz w:val="24"/>
        </w:rPr>
        <w:t>供应商为自然人的，应当由本人签字；供应商为法人或者其他组织的，应当由法定代表人或负责人签字或盖章，同时其授权代表签字，并加盖公章。</w:t>
      </w:r>
    </w:p>
    <w:p>
      <w:pPr>
        <w:tabs>
          <w:tab w:val="left" w:pos="588"/>
        </w:tabs>
        <w:spacing w:line="360" w:lineRule="auto"/>
        <w:ind w:left="960" w:hanging="960" w:hangingChars="400"/>
        <w:rPr>
          <w:rFonts w:ascii="仿宋_GB2312" w:hAnsi="仿宋_GB2312" w:eastAsia="仿宋_GB2312" w:cs="仿宋_GB2312"/>
          <w:sz w:val="24"/>
        </w:rPr>
      </w:pPr>
      <w:r>
        <w:rPr>
          <w:rFonts w:hint="eastAsia" w:ascii="仿宋_GB2312" w:hAnsi="仿宋_GB2312" w:eastAsia="仿宋_GB2312" w:cs="仿宋_GB2312"/>
          <w:sz w:val="24"/>
        </w:rPr>
        <w:t>27.5   符合要求的质疑，采购代理机构将予以受理并答复。</w:t>
      </w:r>
    </w:p>
    <w:p>
      <w:pPr>
        <w:tabs>
          <w:tab w:val="left" w:pos="588"/>
        </w:tabs>
        <w:spacing w:line="360" w:lineRule="auto"/>
        <w:ind w:left="840" w:leftChars="400"/>
        <w:rPr>
          <w:rFonts w:ascii="仿宋_GB2312" w:hAnsi="仿宋_GB2312" w:eastAsia="仿宋_GB2312" w:cs="仿宋_GB2312"/>
          <w:sz w:val="24"/>
        </w:rPr>
      </w:pPr>
      <w:r>
        <w:rPr>
          <w:rFonts w:hint="eastAsia" w:ascii="仿宋_GB2312" w:hAnsi="仿宋_GB2312" w:eastAsia="仿宋_GB2312" w:cs="仿宋_GB2312"/>
          <w:sz w:val="24"/>
        </w:rPr>
        <w:t>联系人：</w:t>
      </w:r>
      <w:r>
        <w:rPr>
          <w:rFonts w:hint="eastAsia" w:ascii="仿宋_GB2312" w:hAnsi="仿宋_GB2312" w:eastAsia="仿宋_GB2312" w:cs="仿宋_GB2312"/>
          <w:sz w:val="24"/>
          <w:lang w:val="en-US" w:eastAsia="zh-CN"/>
        </w:rPr>
        <w:t>郑经理</w:t>
      </w:r>
      <w:r>
        <w:rPr>
          <w:rFonts w:hint="eastAsia" w:ascii="仿宋_GB2312" w:hAnsi="仿宋_GB2312" w:eastAsia="仿宋_GB2312" w:cs="仿宋_GB2312"/>
          <w:sz w:val="24"/>
        </w:rPr>
        <w:t>，联系电话：</w:t>
      </w:r>
      <w:r>
        <w:rPr>
          <w:rFonts w:hint="eastAsia" w:ascii="仿宋_GB2312" w:hAnsi="仿宋_GB2312" w:eastAsia="仿宋_GB2312" w:cs="仿宋_GB2312"/>
          <w:sz w:val="24"/>
          <w:lang w:val="zh-CN"/>
        </w:rPr>
        <w:t>029-</w:t>
      </w:r>
      <w:r>
        <w:rPr>
          <w:rFonts w:hint="eastAsia" w:ascii="仿宋_GB2312" w:hAnsi="仿宋_GB2312" w:eastAsia="仿宋_GB2312" w:cs="仿宋_GB2312"/>
          <w:sz w:val="24"/>
          <w:lang w:val="en-US" w:eastAsia="zh-CN"/>
        </w:rPr>
        <w:t>88825655</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27.6   供应商进行虚假和恶意质疑的，采购代理机构将提供相关资料报监督机构，按其情况进行相应处理。</w:t>
      </w:r>
    </w:p>
    <w:bookmarkEnd w:id="382"/>
    <w:bookmarkEnd w:id="383"/>
    <w:p>
      <w:pPr>
        <w:pStyle w:val="5"/>
        <w:rPr>
          <w:rFonts w:ascii="仿宋_GB2312" w:hAnsi="仿宋_GB2312" w:eastAsia="仿宋_GB2312" w:cs="仿宋_GB2312"/>
          <w:b/>
          <w:bCs/>
          <w:sz w:val="24"/>
          <w:szCs w:val="21"/>
        </w:rPr>
      </w:pPr>
      <w:bookmarkStart w:id="384" w:name="_Toc25547"/>
      <w:r>
        <w:rPr>
          <w:rFonts w:hint="eastAsia" w:ascii="仿宋_GB2312" w:hAnsi="仿宋_GB2312" w:eastAsia="仿宋_GB2312" w:cs="仿宋_GB2312"/>
          <w:b/>
          <w:bCs/>
          <w:sz w:val="24"/>
          <w:szCs w:val="21"/>
        </w:rPr>
        <w:t>28.    履约保证金</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28.1   履约保证金金额见</w:t>
      </w:r>
      <w:r>
        <w:rPr>
          <w:rFonts w:hint="eastAsia" w:ascii="仿宋_GB2312" w:hAnsi="仿宋_GB2312" w:eastAsia="仿宋_GB2312" w:cs="仿宋_GB2312"/>
          <w:b/>
          <w:sz w:val="24"/>
        </w:rPr>
        <w:t>供应商须知前附表</w:t>
      </w:r>
      <w:r>
        <w:rPr>
          <w:rFonts w:hint="eastAsia" w:ascii="仿宋_GB2312" w:hAnsi="仿宋_GB2312" w:eastAsia="仿宋_GB2312" w:cs="仿宋_GB2312"/>
          <w:sz w:val="24"/>
        </w:rPr>
        <w:t>。</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28.2   履约保证金缴纳时间：合同签订前必须交纳至</w:t>
      </w:r>
      <w:r>
        <w:rPr>
          <w:rFonts w:hint="eastAsia" w:ascii="仿宋_GB2312" w:hAnsi="仿宋_GB2312" w:eastAsia="仿宋_GB2312" w:cs="仿宋_GB2312"/>
          <w:sz w:val="24"/>
          <w:u w:val="single"/>
        </w:rPr>
        <w:t>（采购人）</w:t>
      </w:r>
      <w:r>
        <w:rPr>
          <w:rFonts w:hint="eastAsia" w:ascii="仿宋_GB2312" w:hAnsi="仿宋_GB2312" w:eastAsia="仿宋_GB2312" w:cs="仿宋_GB2312"/>
          <w:sz w:val="24"/>
        </w:rPr>
        <w:t>。</w:t>
      </w:r>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28.3   履约保证金缴纳形式：成交供应商应当以支票、汇票、本票、保函（格式见附件2）等非现金形式缴纳。</w:t>
      </w:r>
    </w:p>
    <w:p>
      <w:pPr>
        <w:tabs>
          <w:tab w:val="left" w:pos="588"/>
        </w:tabs>
        <w:spacing w:line="360" w:lineRule="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28.4   履约保证金收取单位名称：</w:t>
      </w:r>
      <w:r>
        <w:rPr>
          <w:rFonts w:hint="eastAsia" w:ascii="仿宋_GB2312" w:hAnsi="仿宋_GB2312" w:eastAsia="仿宋_GB2312" w:cs="仿宋_GB2312"/>
          <w:sz w:val="24"/>
          <w:lang w:val="en-US" w:eastAsia="zh-CN"/>
        </w:rPr>
        <w:t>/</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28.5   履约保证金退还的方式、时间、条件：/</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28.6   履约保证金不予退还的情况：/</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28.7   逾期退还履约保证金的违约责任：/</w:t>
      </w:r>
    </w:p>
    <w:p>
      <w:pPr>
        <w:pStyle w:val="5"/>
        <w:rPr>
          <w:rFonts w:ascii="仿宋_GB2312" w:hAnsi="仿宋_GB2312" w:eastAsia="仿宋_GB2312" w:cs="仿宋_GB2312"/>
          <w:b/>
          <w:bCs/>
          <w:sz w:val="24"/>
          <w:szCs w:val="21"/>
        </w:rPr>
      </w:pPr>
      <w:r>
        <w:rPr>
          <w:rFonts w:hint="eastAsia" w:ascii="仿宋_GB2312" w:hAnsi="仿宋_GB2312" w:eastAsia="仿宋_GB2312" w:cs="仿宋_GB2312"/>
          <w:b/>
          <w:bCs/>
          <w:sz w:val="24"/>
          <w:szCs w:val="21"/>
        </w:rPr>
        <w:t>29.    成交服务费</w:t>
      </w:r>
      <w:bookmarkEnd w:id="384"/>
    </w:p>
    <w:p>
      <w:pPr>
        <w:tabs>
          <w:tab w:val="left" w:pos="588"/>
        </w:tabs>
        <w:spacing w:line="360" w:lineRule="auto"/>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29.1   成交供应商在领取成交通知书前，须向采购代理机构支付成交服务费，服务费由采购人与采购代理机构约定：</w:t>
      </w:r>
    </w:p>
    <w:p>
      <w:pPr>
        <w:snapToGrid w:val="0"/>
        <w:spacing w:line="360" w:lineRule="auto"/>
        <w:ind w:left="840" w:leftChars="400"/>
        <w:rPr>
          <w:rFonts w:ascii="仿宋_GB2312" w:hAnsi="仿宋_GB2312" w:eastAsia="仿宋_GB2312" w:cs="仿宋_GB2312"/>
          <w:sz w:val="24"/>
        </w:rPr>
      </w:pPr>
      <w:r>
        <w:rPr>
          <w:rFonts w:hint="eastAsia" w:ascii="仿宋_GB2312" w:hAnsi="仿宋_GB2312" w:eastAsia="仿宋_GB2312" w:cs="仿宋_GB2312"/>
          <w:sz w:val="24"/>
        </w:rPr>
        <w:t>参照原国家计委计价格【2002】1980号文和国家发改委发改办价格【2003】857号文的计算方法（按标段）标准收取。</w:t>
      </w:r>
    </w:p>
    <w:p>
      <w:pPr>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29.2   成交单位的代理服务费交纳信息</w:t>
      </w:r>
    </w:p>
    <w:p>
      <w:pPr>
        <w:snapToGrid w:val="0"/>
        <w:spacing w:line="360" w:lineRule="auto"/>
        <w:ind w:firstLine="840" w:firstLineChars="350"/>
        <w:rPr>
          <w:rFonts w:hint="eastAsia" w:ascii="仿宋_GB2312" w:hAnsi="仿宋_GB2312" w:eastAsia="仿宋_GB2312" w:cs="仿宋_GB2312"/>
          <w:sz w:val="24"/>
          <w:lang w:eastAsia="zh-CN"/>
        </w:rPr>
      </w:pPr>
      <w:r>
        <w:rPr>
          <w:rFonts w:hint="eastAsia" w:ascii="仿宋_GB2312" w:hAnsi="仿宋_GB2312" w:eastAsia="仿宋_GB2312" w:cs="仿宋_GB2312"/>
          <w:sz w:val="24"/>
        </w:rPr>
        <w:t>银行户名：</w:t>
      </w:r>
      <w:r>
        <w:rPr>
          <w:rFonts w:hint="eastAsia" w:ascii="仿宋_GB2312" w:hAnsi="仿宋_GB2312" w:eastAsia="仿宋_GB2312" w:cs="仿宋_GB2312"/>
          <w:sz w:val="24"/>
          <w:lang w:eastAsia="zh-CN"/>
        </w:rPr>
        <w:t>陕西中润国际招标有限公司</w:t>
      </w:r>
    </w:p>
    <w:p>
      <w:pPr>
        <w:snapToGrid w:val="0"/>
        <w:spacing w:line="360" w:lineRule="auto"/>
        <w:ind w:firstLine="840" w:firstLineChars="350"/>
        <w:rPr>
          <w:rFonts w:hint="eastAsia" w:ascii="仿宋_GB2312" w:hAnsi="仿宋_GB2312" w:eastAsia="仿宋_GB2312" w:cs="仿宋_GB2312"/>
          <w:sz w:val="24"/>
          <w:lang w:eastAsia="zh-CN"/>
        </w:rPr>
      </w:pPr>
      <w:r>
        <w:rPr>
          <w:rFonts w:hint="eastAsia" w:ascii="仿宋_GB2312" w:hAnsi="仿宋_GB2312" w:eastAsia="仿宋_GB2312" w:cs="仿宋_GB2312"/>
          <w:sz w:val="24"/>
        </w:rPr>
        <w:t>开户银行</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zh-CN" w:eastAsia="zh-CN"/>
        </w:rPr>
        <w:t>中信银行西安雁塔西路支行</w:t>
      </w:r>
    </w:p>
    <w:p>
      <w:pPr>
        <w:snapToGrid w:val="0"/>
        <w:spacing w:line="360" w:lineRule="auto"/>
        <w:ind w:firstLine="840" w:firstLineChars="350"/>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账    号：</w:t>
      </w:r>
      <w:r>
        <w:rPr>
          <w:rFonts w:hint="eastAsia" w:ascii="仿宋_GB2312" w:hAnsi="仿宋_GB2312" w:eastAsia="仿宋_GB2312" w:cs="仿宋_GB2312"/>
          <w:sz w:val="24"/>
          <w:lang w:val="zh-CN" w:eastAsia="zh-CN"/>
        </w:rPr>
        <w:t>7251310182600086350</w:t>
      </w:r>
    </w:p>
    <w:p>
      <w:pPr>
        <w:snapToGrid w:val="0"/>
        <w:spacing w:line="360" w:lineRule="auto"/>
        <w:ind w:firstLine="840" w:firstLineChars="350"/>
        <w:rPr>
          <w:rFonts w:ascii="仿宋_GB2312" w:hAnsi="仿宋_GB2312" w:eastAsia="仿宋_GB2312" w:cs="仿宋_GB2312"/>
          <w:sz w:val="24"/>
        </w:rPr>
      </w:pPr>
      <w:r>
        <w:rPr>
          <w:rFonts w:hint="eastAsia" w:ascii="仿宋_GB2312" w:hAnsi="仿宋_GB2312" w:eastAsia="仿宋_GB2312" w:cs="仿宋_GB2312"/>
          <w:sz w:val="24"/>
        </w:rPr>
        <w:t>联系人：</w:t>
      </w:r>
      <w:r>
        <w:rPr>
          <w:rFonts w:hint="eastAsia" w:ascii="仿宋_GB2312" w:hAnsi="仿宋_GB2312" w:eastAsia="仿宋_GB2312" w:cs="仿宋_GB2312"/>
          <w:sz w:val="24"/>
          <w:lang w:val="en-US" w:eastAsia="zh-CN"/>
        </w:rPr>
        <w:t>李帆</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联系电话：</w:t>
      </w:r>
      <w:r>
        <w:rPr>
          <w:rFonts w:hint="eastAsia" w:ascii="仿宋_GB2312" w:hAnsi="仿宋_GB2312" w:eastAsia="仿宋_GB2312" w:cs="仿宋_GB2312"/>
          <w:sz w:val="24"/>
          <w:lang w:val="zh-CN" w:eastAsia="zh-CN"/>
        </w:rPr>
        <w:t>029-87321229</w:t>
      </w:r>
    </w:p>
    <w:p>
      <w:pPr>
        <w:pStyle w:val="5"/>
        <w:numPr>
          <w:ilvl w:val="0"/>
          <w:numId w:val="10"/>
        </w:numPr>
        <w:rPr>
          <w:rFonts w:ascii="仿宋_GB2312" w:hAnsi="仿宋_GB2312" w:eastAsia="仿宋_GB2312" w:cs="仿宋_GB2312"/>
          <w:b/>
          <w:bCs/>
          <w:sz w:val="24"/>
          <w:szCs w:val="21"/>
        </w:rPr>
      </w:pPr>
      <w:bookmarkStart w:id="385" w:name="_Toc1585"/>
      <w:r>
        <w:rPr>
          <w:rFonts w:hint="eastAsia" w:ascii="仿宋_GB2312" w:hAnsi="仿宋_GB2312" w:eastAsia="仿宋_GB2312" w:cs="仿宋_GB2312"/>
          <w:b/>
          <w:bCs/>
          <w:sz w:val="24"/>
          <w:szCs w:val="21"/>
        </w:rPr>
        <w:t xml:space="preserve">  采购人追加采购数量的权力</w:t>
      </w:r>
      <w:bookmarkEnd w:id="385"/>
    </w:p>
    <w:p>
      <w:pPr>
        <w:tabs>
          <w:tab w:val="left" w:pos="588"/>
        </w:tabs>
        <w:spacing w:line="360" w:lineRule="auto"/>
        <w:ind w:left="840" w:leftChars="400"/>
        <w:rPr>
          <w:rFonts w:ascii="仿宋_GB2312" w:hAnsi="仿宋_GB2312" w:eastAsia="仿宋_GB2312" w:cs="仿宋_GB2312"/>
          <w:sz w:val="24"/>
        </w:rPr>
      </w:pPr>
      <w:bookmarkStart w:id="386" w:name="_Toc389620205"/>
      <w:bookmarkStart w:id="387" w:name="_Toc385992366"/>
      <w:r>
        <w:rPr>
          <w:rFonts w:hint="eastAsia" w:ascii="仿宋_GB2312" w:hAnsi="仿宋_GB2312" w:eastAsia="仿宋_GB2312" w:cs="仿宋_GB2312"/>
          <w:sz w:val="24"/>
        </w:rPr>
        <w:t>在合同履行中，采购人需追加与合同标的相同服务的，在不改变合同其他条款的前提下，采购人有权与成交供应商协商签订补充合同，但所有补充合同的采购金额不得超过原合同采购金额的10%。</w:t>
      </w:r>
    </w:p>
    <w:p>
      <w:pPr>
        <w:pStyle w:val="22"/>
        <w:numPr>
          <w:ilvl w:val="0"/>
          <w:numId w:val="10"/>
        </w:numPr>
        <w:rPr>
          <w:rFonts w:ascii="仿宋_GB2312" w:hAnsi="仿宋_GB2312" w:eastAsia="仿宋_GB2312" w:cs="仿宋_GB2312"/>
          <w:b/>
          <w:bCs/>
          <w:sz w:val="24"/>
          <w:szCs w:val="21"/>
        </w:rPr>
      </w:pPr>
      <w:r>
        <w:rPr>
          <w:rFonts w:hint="eastAsia" w:ascii="仿宋_GB2312" w:hAnsi="仿宋_GB2312" w:eastAsia="仿宋_GB2312" w:cs="仿宋_GB2312"/>
          <w:b/>
          <w:bCs/>
          <w:sz w:val="24"/>
          <w:szCs w:val="21"/>
        </w:rPr>
        <w:t xml:space="preserve">   其他情况</w:t>
      </w:r>
    </w:p>
    <w:p>
      <w:pPr>
        <w:pStyle w:val="22"/>
        <w:ind w:left="840" w:hanging="840" w:hangingChars="350"/>
        <w:rPr>
          <w:rFonts w:ascii="仿宋_GB2312" w:hAnsi="仿宋_GB2312" w:eastAsia="仿宋_GB2312" w:cs="仿宋_GB2312"/>
          <w:sz w:val="24"/>
        </w:rPr>
      </w:pPr>
      <w:r>
        <w:rPr>
          <w:rFonts w:hint="eastAsia" w:ascii="仿宋_GB2312" w:hAnsi="仿宋_GB2312" w:eastAsia="仿宋_GB2312" w:cs="仿宋_GB2312"/>
          <w:sz w:val="24"/>
        </w:rPr>
        <w:t>31.1   磋商截止时间结束后，递交响应文件或者经评审的实质性响应磋商文件的供应商不足三家，采购代理机构应当终止竞争性磋商活动，发布项目终止公告并说明原因，重新开展采购活动。政府购买服务项目符合（财库〔2015〕124号）的情况除外。</w:t>
      </w:r>
    </w:p>
    <w:p>
      <w:pPr>
        <w:pStyle w:val="22"/>
        <w:ind w:left="840" w:hanging="840" w:hangingChars="350"/>
        <w:rPr>
          <w:rFonts w:hint="eastAsia" w:ascii="仿宋_GB2312" w:hAnsi="仿宋_GB2312" w:eastAsia="仿宋_GB2312" w:cs="仿宋_GB2312"/>
          <w:sz w:val="24"/>
        </w:rPr>
      </w:pPr>
      <w:r>
        <w:rPr>
          <w:rFonts w:hint="eastAsia" w:ascii="仿宋_GB2312" w:hAnsi="仿宋_GB2312" w:eastAsia="仿宋_GB2312" w:cs="仿宋_GB2312"/>
          <w:sz w:val="24"/>
        </w:rPr>
        <w:t>31.2   连续两次进行竞争性磋商活动，因符合磋商要求供应商不足3家，经请示政府采购管理部门同意后，可继续进行竞争性磋商活动。</w:t>
      </w:r>
    </w:p>
    <w:p>
      <w:pPr>
        <w:pStyle w:val="22"/>
        <w:ind w:left="840" w:hanging="840" w:hangingChars="350"/>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31.3   </w:t>
      </w:r>
      <w:r>
        <w:rPr>
          <w:rFonts w:hint="eastAsia" w:ascii="仿宋_GB2312" w:hAnsi="仿宋_GB2312" w:eastAsia="仿宋_GB2312" w:cs="仿宋_GB2312"/>
          <w:b/>
          <w:bCs/>
          <w:sz w:val="24"/>
          <w:lang w:val="zh-CN"/>
        </w:rPr>
        <w:t>请潜在</w:t>
      </w:r>
      <w:r>
        <w:rPr>
          <w:rFonts w:hint="eastAsia" w:ascii="仿宋_GB2312" w:hAnsi="仿宋_GB2312" w:eastAsia="仿宋_GB2312" w:cs="仿宋_GB2312"/>
          <w:b/>
          <w:bCs/>
          <w:sz w:val="24"/>
          <w:lang w:val="en-US" w:eastAsia="zh-CN"/>
        </w:rPr>
        <w:t>供应商</w:t>
      </w:r>
      <w:r>
        <w:rPr>
          <w:rFonts w:hint="eastAsia" w:ascii="仿宋_GB2312" w:hAnsi="仿宋_GB2312" w:eastAsia="仿宋_GB2312" w:cs="仿宋_GB2312"/>
          <w:b/>
          <w:bCs/>
          <w:sz w:val="24"/>
          <w:lang w:val="zh-CN"/>
        </w:rPr>
        <w:t>务必按照《陕西省财政厅关于政府采购供应商注册登记有关事项的通知》要求，通过陕西省政府采购网（http://www.ccgp-shaanxi.gov.cn/）进行陕西政府采购统一身份认证注册登记。否则，由此产生的后果由其自行承担。</w:t>
      </w:r>
    </w:p>
    <w:bookmarkEnd w:id="386"/>
    <w:bookmarkEnd w:id="387"/>
    <w:p>
      <w:pPr>
        <w:tabs>
          <w:tab w:val="left" w:pos="588"/>
        </w:tabs>
        <w:spacing w:line="360" w:lineRule="auto"/>
        <w:rPr>
          <w:rFonts w:ascii="仿宋_GB2312" w:hAnsi="仿宋_GB2312" w:eastAsia="仿宋_GB2312" w:cs="仿宋_GB2312"/>
          <w:sz w:val="24"/>
        </w:rPr>
      </w:pPr>
      <w:bookmarkStart w:id="388" w:name="_Toc230099802"/>
      <w:bookmarkStart w:id="389" w:name="_Toc230013637"/>
      <w:bookmarkStart w:id="390" w:name="_Toc184114070"/>
      <w:bookmarkStart w:id="391" w:name="_Toc184025279"/>
      <w:r>
        <w:rPr>
          <w:rFonts w:hint="eastAsia" w:ascii="仿宋_GB2312" w:hAnsi="仿宋_GB2312" w:eastAsia="仿宋_GB2312" w:cs="仿宋_GB2312"/>
          <w:sz w:val="24"/>
        </w:rPr>
        <w:br w:type="page"/>
      </w:r>
    </w:p>
    <w:bookmarkEnd w:id="388"/>
    <w:bookmarkEnd w:id="389"/>
    <w:bookmarkEnd w:id="390"/>
    <w:bookmarkEnd w:id="391"/>
    <w:p>
      <w:pPr>
        <w:pStyle w:val="46"/>
        <w:rPr>
          <w:rFonts w:ascii="仿宋_GB2312" w:hAnsi="仿宋_GB2312" w:eastAsia="仿宋_GB2312" w:cs="仿宋_GB2312"/>
        </w:rPr>
      </w:pPr>
      <w:bookmarkStart w:id="392" w:name="_Toc62196426"/>
      <w:bookmarkStart w:id="393" w:name="_Toc17469"/>
      <w:bookmarkStart w:id="394" w:name="_Toc58504447"/>
      <w:r>
        <w:rPr>
          <w:rFonts w:hint="eastAsia" w:ascii="仿宋_GB2312" w:hAnsi="仿宋_GB2312" w:eastAsia="仿宋_GB2312" w:cs="仿宋_GB2312"/>
        </w:rPr>
        <w:t>第三章  评审办法和标准</w:t>
      </w:r>
      <w:bookmarkEnd w:id="392"/>
    </w:p>
    <w:p>
      <w:pPr>
        <w:tabs>
          <w:tab w:val="left" w:pos="360"/>
          <w:tab w:val="left" w:pos="588"/>
        </w:tabs>
        <w:spacing w:line="360" w:lineRule="auto"/>
        <w:ind w:left="840"/>
        <w:rPr>
          <w:rFonts w:ascii="仿宋_GB2312" w:hAnsi="仿宋_GB2312" w:eastAsia="仿宋_GB2312" w:cs="仿宋_GB2312"/>
          <w:color w:val="000000" w:themeColor="text1"/>
          <w:sz w:val="24"/>
        </w:rPr>
      </w:pPr>
    </w:p>
    <w:p>
      <w:pPr>
        <w:pStyle w:val="77"/>
        <w:spacing w:before="24" w:after="24"/>
        <w:rPr>
          <w:rFonts w:ascii="仿宋_GB2312" w:hAnsi="仿宋_GB2312" w:eastAsia="仿宋_GB2312" w:cs="仿宋_GB2312"/>
          <w:sz w:val="28"/>
          <w:szCs w:val="28"/>
        </w:rPr>
      </w:pPr>
      <w:bookmarkStart w:id="395" w:name="_Toc62196427"/>
      <w:bookmarkStart w:id="396" w:name="_Toc7005040"/>
      <w:r>
        <w:rPr>
          <w:rFonts w:hint="eastAsia" w:ascii="仿宋_GB2312" w:hAnsi="仿宋_GB2312" w:eastAsia="仿宋_GB2312" w:cs="仿宋_GB2312"/>
          <w:sz w:val="28"/>
          <w:szCs w:val="28"/>
        </w:rPr>
        <w:t>1.评审方法</w:t>
      </w:r>
      <w:bookmarkEnd w:id="395"/>
      <w:bookmarkEnd w:id="396"/>
    </w:p>
    <w:p>
      <w:pPr>
        <w:pStyle w:val="22"/>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本次评审采用综合评分法。磋商小组对满足磋商文件实质性要求的响应文件，按照本章第2条规定的评审标准进行打分，并按得分由高到低顺序推荐成交候选人，或根据采购人授权直接确定成交供应商。综合评分相等时，按照最后报价由低到高的顺序推荐；报价也相等的，按技术指标优劣顺序排列。</w:t>
      </w:r>
    </w:p>
    <w:p>
      <w:pPr>
        <w:pStyle w:val="77"/>
        <w:spacing w:before="24" w:after="24"/>
        <w:rPr>
          <w:rFonts w:ascii="仿宋_GB2312" w:hAnsi="仿宋_GB2312" w:eastAsia="仿宋_GB2312" w:cs="仿宋_GB2312"/>
          <w:sz w:val="28"/>
          <w:szCs w:val="28"/>
        </w:rPr>
      </w:pPr>
      <w:bookmarkStart w:id="397" w:name="_Toc62196428"/>
      <w:bookmarkStart w:id="398" w:name="_Toc7005041"/>
      <w:r>
        <w:rPr>
          <w:rFonts w:hint="eastAsia" w:ascii="仿宋_GB2312" w:hAnsi="仿宋_GB2312" w:eastAsia="仿宋_GB2312" w:cs="仿宋_GB2312"/>
          <w:sz w:val="28"/>
          <w:szCs w:val="28"/>
        </w:rPr>
        <w:t>2.评审标准</w:t>
      </w:r>
      <w:bookmarkEnd w:id="397"/>
      <w:bookmarkEnd w:id="398"/>
    </w:p>
    <w:p>
      <w:pPr>
        <w:pStyle w:val="22"/>
        <w:rPr>
          <w:rFonts w:ascii="仿宋_GB2312" w:hAnsi="仿宋_GB2312" w:eastAsia="仿宋_GB2312" w:cs="仿宋_GB2312"/>
          <w:sz w:val="24"/>
        </w:rPr>
      </w:pPr>
      <w:r>
        <w:rPr>
          <w:rFonts w:hint="eastAsia" w:ascii="仿宋_GB2312" w:hAnsi="仿宋_GB2312" w:eastAsia="仿宋_GB2312" w:cs="仿宋_GB2312"/>
          <w:sz w:val="24"/>
        </w:rPr>
        <w:t>2.1 资格审查和符合性评审标准：见附表一和附表二。</w:t>
      </w:r>
    </w:p>
    <w:p>
      <w:pPr>
        <w:pStyle w:val="22"/>
        <w:rPr>
          <w:rFonts w:ascii="仿宋_GB2312" w:hAnsi="仿宋_GB2312" w:eastAsia="仿宋_GB2312" w:cs="仿宋_GB2312"/>
          <w:sz w:val="24"/>
        </w:rPr>
      </w:pPr>
      <w:r>
        <w:rPr>
          <w:rFonts w:hint="eastAsia" w:ascii="仿宋_GB2312" w:hAnsi="仿宋_GB2312" w:eastAsia="仿宋_GB2312" w:cs="仿宋_GB2312"/>
          <w:sz w:val="24"/>
        </w:rPr>
        <w:t>2.2 分值构成：总分100分，其中</w:t>
      </w:r>
    </w:p>
    <w:p>
      <w:pPr>
        <w:pStyle w:val="22"/>
        <w:ind w:firstLine="480" w:firstLineChars="20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商务部分分值： </w:t>
      </w:r>
      <w:r>
        <w:rPr>
          <w:rFonts w:hint="eastAsia" w:ascii="仿宋_GB2312" w:hAnsi="仿宋_GB2312" w:eastAsia="仿宋_GB2312" w:cs="仿宋_GB2312"/>
          <w:sz w:val="24"/>
          <w:highlight w:val="none"/>
          <w:lang w:val="en-US" w:eastAsia="zh-CN"/>
        </w:rPr>
        <w:t>8</w:t>
      </w:r>
      <w:r>
        <w:rPr>
          <w:rFonts w:hint="eastAsia" w:ascii="仿宋_GB2312" w:hAnsi="仿宋_GB2312" w:eastAsia="仿宋_GB2312" w:cs="仿宋_GB2312"/>
          <w:sz w:val="24"/>
          <w:highlight w:val="none"/>
        </w:rPr>
        <w:t xml:space="preserve">分；  </w:t>
      </w:r>
    </w:p>
    <w:p>
      <w:pPr>
        <w:pStyle w:val="22"/>
        <w:ind w:firstLine="480" w:firstLineChars="20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技术部分分值： </w:t>
      </w:r>
      <w:r>
        <w:rPr>
          <w:rFonts w:hint="eastAsia" w:ascii="仿宋_GB2312" w:hAnsi="仿宋_GB2312" w:eastAsia="仿宋_GB2312" w:cs="仿宋_GB2312"/>
          <w:sz w:val="24"/>
          <w:highlight w:val="none"/>
          <w:lang w:val="en-US" w:eastAsia="zh-CN"/>
        </w:rPr>
        <w:t>62</w:t>
      </w:r>
      <w:r>
        <w:rPr>
          <w:rFonts w:hint="eastAsia" w:ascii="仿宋_GB2312" w:hAnsi="仿宋_GB2312" w:eastAsia="仿宋_GB2312" w:cs="仿宋_GB2312"/>
          <w:sz w:val="24"/>
          <w:highlight w:val="none"/>
        </w:rPr>
        <w:t xml:space="preserve">分；  </w:t>
      </w:r>
    </w:p>
    <w:p>
      <w:pPr>
        <w:pStyle w:val="22"/>
        <w:ind w:firstLine="480" w:firstLineChars="200"/>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报价部分分值： 30分。</w:t>
      </w:r>
    </w:p>
    <w:p>
      <w:pPr>
        <w:pStyle w:val="22"/>
        <w:rPr>
          <w:rFonts w:ascii="仿宋_GB2312" w:hAnsi="仿宋_GB2312" w:eastAsia="仿宋_GB2312" w:cs="仿宋_GB2312"/>
          <w:sz w:val="24"/>
        </w:rPr>
      </w:pPr>
      <w:bookmarkStart w:id="399" w:name="_Ref426362114"/>
      <w:r>
        <w:rPr>
          <w:rFonts w:hint="eastAsia" w:ascii="仿宋_GB2312" w:hAnsi="仿宋_GB2312" w:eastAsia="仿宋_GB2312" w:cs="仿宋_GB2312"/>
          <w:sz w:val="24"/>
        </w:rPr>
        <w:t>2.3 商务和技术评审标准</w:t>
      </w:r>
      <w:bookmarkEnd w:id="399"/>
    </w:p>
    <w:p>
      <w:pPr>
        <w:pStyle w:val="22"/>
        <w:rPr>
          <w:rFonts w:ascii="仿宋_GB2312" w:hAnsi="仿宋_GB2312" w:eastAsia="仿宋_GB2312" w:cs="仿宋_GB2312"/>
          <w:sz w:val="24"/>
        </w:rPr>
      </w:pPr>
      <w:bookmarkStart w:id="400" w:name="_Ref426362140"/>
      <w:r>
        <w:rPr>
          <w:rFonts w:hint="eastAsia" w:ascii="仿宋_GB2312" w:hAnsi="仿宋_GB2312" w:eastAsia="仿宋_GB2312" w:cs="仿宋_GB2312"/>
          <w:sz w:val="24"/>
        </w:rPr>
        <w:t>2.3.1商务部分评分标准：见附表</w:t>
      </w:r>
      <w:bookmarkEnd w:id="400"/>
      <w:r>
        <w:rPr>
          <w:rFonts w:hint="eastAsia" w:ascii="仿宋_GB2312" w:hAnsi="仿宋_GB2312" w:eastAsia="仿宋_GB2312" w:cs="仿宋_GB2312"/>
          <w:sz w:val="24"/>
        </w:rPr>
        <w:t>三</w:t>
      </w:r>
    </w:p>
    <w:p>
      <w:pPr>
        <w:pStyle w:val="22"/>
        <w:rPr>
          <w:rFonts w:ascii="仿宋_GB2312" w:hAnsi="仿宋_GB2312" w:eastAsia="仿宋_GB2312" w:cs="仿宋_GB2312"/>
          <w:sz w:val="24"/>
        </w:rPr>
      </w:pPr>
      <w:bookmarkStart w:id="401" w:name="_Ref426362158"/>
      <w:r>
        <w:rPr>
          <w:rFonts w:hint="eastAsia" w:ascii="仿宋_GB2312" w:hAnsi="仿宋_GB2312" w:eastAsia="仿宋_GB2312" w:cs="仿宋_GB2312"/>
          <w:sz w:val="24"/>
        </w:rPr>
        <w:t>2.3.2技术部分评分标准：见附表</w:t>
      </w:r>
      <w:bookmarkEnd w:id="401"/>
      <w:r>
        <w:rPr>
          <w:rFonts w:hint="eastAsia" w:ascii="仿宋_GB2312" w:hAnsi="仿宋_GB2312" w:eastAsia="仿宋_GB2312" w:cs="仿宋_GB2312"/>
          <w:sz w:val="24"/>
        </w:rPr>
        <w:t>四</w:t>
      </w:r>
    </w:p>
    <w:p>
      <w:pPr>
        <w:pStyle w:val="22"/>
        <w:rPr>
          <w:rFonts w:ascii="仿宋_GB2312" w:hAnsi="仿宋_GB2312" w:eastAsia="仿宋_GB2312" w:cs="仿宋_GB2312"/>
          <w:sz w:val="24"/>
        </w:rPr>
      </w:pPr>
      <w:bookmarkStart w:id="402" w:name="_Ref426362176"/>
      <w:r>
        <w:rPr>
          <w:rFonts w:hint="eastAsia" w:ascii="仿宋_GB2312" w:hAnsi="仿宋_GB2312" w:eastAsia="仿宋_GB2312" w:cs="仿宋_GB2312"/>
          <w:sz w:val="24"/>
        </w:rPr>
        <w:t>2.3.3报价评分标准：</w:t>
      </w:r>
      <w:bookmarkEnd w:id="402"/>
      <w:r>
        <w:rPr>
          <w:rFonts w:hint="eastAsia" w:ascii="仿宋_GB2312" w:hAnsi="仿宋_GB2312" w:eastAsia="仿宋_GB2312" w:cs="仿宋_GB2312"/>
          <w:sz w:val="24"/>
        </w:rPr>
        <w:t>见附表五</w:t>
      </w:r>
    </w:p>
    <w:p>
      <w:pPr>
        <w:pStyle w:val="22"/>
        <w:rPr>
          <w:rFonts w:ascii="仿宋_GB2312" w:hAnsi="仿宋_GB2312" w:eastAsia="仿宋_GB2312" w:cs="仿宋_GB2312"/>
          <w:sz w:val="24"/>
        </w:rPr>
      </w:pPr>
      <w:r>
        <w:rPr>
          <w:rFonts w:hint="eastAsia" w:ascii="仿宋_GB2312" w:hAnsi="仿宋_GB2312" w:eastAsia="仿宋_GB2312" w:cs="仿宋_GB2312"/>
          <w:sz w:val="24"/>
        </w:rPr>
        <w:t>（1）根据《政府采购促进中小企业发展管理办法》（财库〔2020〕46号）调整供应商参与评审的价格。对小型和微型企业产品的价格给予</w:t>
      </w:r>
      <w:r>
        <w:rPr>
          <w:rFonts w:hint="eastAsia" w:ascii="仿宋_GB2312" w:hAnsi="仿宋_GB2312" w:eastAsia="仿宋_GB2312" w:cs="仿宋_GB2312"/>
          <w:sz w:val="24"/>
          <w:highlight w:val="none"/>
        </w:rPr>
        <w:t>3%</w:t>
      </w:r>
      <w:r>
        <w:rPr>
          <w:rFonts w:hint="eastAsia" w:ascii="仿宋_GB2312" w:hAnsi="仿宋_GB2312" w:eastAsia="仿宋_GB2312" w:cs="仿宋_GB2312"/>
          <w:sz w:val="24"/>
        </w:rPr>
        <w:t>的扣除。如允许与小微企业组成联合体或向其分包的，且合同额占总金额30%以上的，给予1%的扣除。</w:t>
      </w:r>
    </w:p>
    <w:p>
      <w:pPr>
        <w:pStyle w:val="22"/>
        <w:rPr>
          <w:rFonts w:ascii="仿宋_GB2312" w:hAnsi="仿宋_GB2312" w:eastAsia="仿宋_GB2312" w:cs="仿宋_GB2312"/>
          <w:sz w:val="24"/>
        </w:rPr>
      </w:pPr>
      <w:r>
        <w:rPr>
          <w:rFonts w:hint="eastAsia" w:ascii="仿宋_GB2312" w:hAnsi="仿宋_GB2312" w:eastAsia="仿宋_GB2312" w:cs="仿宋_GB2312"/>
          <w:sz w:val="24"/>
        </w:rPr>
        <w:t>注：监狱企业、残疾人福利性单位视同小微企业；残疾人福利性单位属于小型、微型企业的，不重复享受政策。</w:t>
      </w:r>
    </w:p>
    <w:p>
      <w:pPr>
        <w:pStyle w:val="22"/>
        <w:rPr>
          <w:rFonts w:ascii="仿宋_GB2312" w:hAnsi="仿宋_GB2312" w:eastAsia="仿宋_GB2312" w:cs="仿宋_GB2312"/>
          <w:sz w:val="24"/>
        </w:rPr>
      </w:pPr>
      <w:r>
        <w:rPr>
          <w:rFonts w:hint="eastAsia" w:ascii="仿宋_GB2312" w:hAnsi="仿宋_GB2312" w:eastAsia="仿宋_GB2312" w:cs="仿宋_GB2312"/>
          <w:sz w:val="24"/>
        </w:rPr>
        <w:t>（2）评审基准价。有效响应文件中的最后报价并按本款（1）进行调整的最低报价为评审基准价。</w:t>
      </w:r>
    </w:p>
    <w:p>
      <w:pPr>
        <w:pStyle w:val="22"/>
        <w:rPr>
          <w:rFonts w:ascii="仿宋_GB2312" w:hAnsi="仿宋_GB2312" w:eastAsia="仿宋_GB2312" w:cs="仿宋_GB2312"/>
          <w:sz w:val="24"/>
        </w:rPr>
      </w:pPr>
      <w:r>
        <w:rPr>
          <w:rFonts w:hint="eastAsia" w:ascii="仿宋_GB2312" w:hAnsi="仿宋_GB2312" w:eastAsia="仿宋_GB2312" w:cs="仿宋_GB2312"/>
          <w:sz w:val="24"/>
        </w:rPr>
        <w:t>（3）供应商报价（按本款（1）进行调整后价格）得分=(评审基准价／最后报价)×30</w:t>
      </w:r>
    </w:p>
    <w:p>
      <w:pPr>
        <w:tabs>
          <w:tab w:val="left" w:pos="588"/>
        </w:tabs>
        <w:spacing w:line="360" w:lineRule="auto"/>
        <w:rPr>
          <w:rFonts w:ascii="仿宋_GB2312" w:hAnsi="仿宋_GB2312" w:eastAsia="仿宋_GB2312" w:cs="仿宋_GB2312"/>
          <w:sz w:val="24"/>
        </w:rPr>
      </w:pPr>
      <w:r>
        <w:rPr>
          <w:rFonts w:hint="eastAsia" w:ascii="仿宋_GB2312" w:hAnsi="仿宋_GB2312" w:eastAsia="仿宋_GB2312" w:cs="仿宋_GB2312"/>
          <w:sz w:val="24"/>
        </w:rPr>
        <w:t>2.3.4 响应文件出现下列情况之一者，磋商小组在评审过程中按以下原则修正：</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（1）大写金额与小写金额不一致的，以大写金额为准；</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（2）总价金额与按单价汇总金额不一致的，以单价金额计算结果为准；</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（3）单价金额小数点有明显错位的，应以总价为准，并修改单价；</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（4）对不同文字文本响应文件的解释发生异议的，以中文文本为准；</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（5）文字与图表不一致的，以文字为准；</w:t>
      </w:r>
    </w:p>
    <w:p>
      <w:pPr>
        <w:tabs>
          <w:tab w:val="left" w:pos="588"/>
        </w:tabs>
        <w:spacing w:line="360" w:lineRule="auto"/>
        <w:ind w:firstLine="120" w:firstLineChars="50"/>
        <w:rPr>
          <w:rFonts w:ascii="仿宋_GB2312" w:hAnsi="仿宋_GB2312" w:eastAsia="仿宋_GB2312" w:cs="仿宋_GB2312"/>
          <w:sz w:val="24"/>
        </w:rPr>
      </w:pPr>
      <w:r>
        <w:rPr>
          <w:rFonts w:hint="eastAsia" w:ascii="仿宋_GB2312" w:hAnsi="仿宋_GB2312" w:eastAsia="仿宋_GB2312" w:cs="仿宋_GB2312"/>
          <w:sz w:val="24"/>
        </w:rPr>
        <w:t>（6）正本与副本不一致的，以正本为准；</w:t>
      </w:r>
    </w:p>
    <w:p>
      <w:pPr>
        <w:pStyle w:val="77"/>
        <w:spacing w:before="24" w:after="24"/>
        <w:rPr>
          <w:rFonts w:ascii="仿宋_GB2312" w:hAnsi="仿宋_GB2312" w:eastAsia="仿宋_GB2312" w:cs="仿宋_GB2312"/>
          <w:sz w:val="28"/>
          <w:szCs w:val="28"/>
        </w:rPr>
      </w:pPr>
      <w:bookmarkStart w:id="403" w:name="_Toc7005042"/>
      <w:bookmarkStart w:id="404" w:name="_Toc62196429"/>
      <w:r>
        <w:rPr>
          <w:rFonts w:hint="eastAsia" w:ascii="仿宋_GB2312" w:hAnsi="仿宋_GB2312" w:eastAsia="仿宋_GB2312" w:cs="仿宋_GB2312"/>
          <w:sz w:val="28"/>
          <w:szCs w:val="28"/>
        </w:rPr>
        <w:t>3.评审程序</w:t>
      </w:r>
      <w:bookmarkEnd w:id="403"/>
      <w:bookmarkEnd w:id="404"/>
    </w:p>
    <w:p>
      <w:pPr>
        <w:pStyle w:val="22"/>
        <w:rPr>
          <w:rFonts w:ascii="仿宋_GB2312" w:hAnsi="仿宋_GB2312" w:eastAsia="仿宋_GB2312" w:cs="仿宋_GB2312"/>
          <w:b/>
          <w:sz w:val="24"/>
        </w:rPr>
      </w:pPr>
      <w:bookmarkStart w:id="405" w:name="_Toc7005043"/>
      <w:r>
        <w:rPr>
          <w:rFonts w:hint="eastAsia" w:ascii="仿宋_GB2312" w:hAnsi="仿宋_GB2312" w:eastAsia="仿宋_GB2312" w:cs="仿宋_GB2312"/>
          <w:b/>
          <w:sz w:val="24"/>
        </w:rPr>
        <w:t>3.1资格审查及符合性审查</w:t>
      </w:r>
      <w:bookmarkEnd w:id="405"/>
    </w:p>
    <w:p>
      <w:pPr>
        <w:pStyle w:val="22"/>
        <w:rPr>
          <w:rFonts w:ascii="仿宋_GB2312" w:hAnsi="仿宋_GB2312" w:eastAsia="仿宋_GB2312" w:cs="仿宋_GB2312"/>
          <w:sz w:val="24"/>
        </w:rPr>
      </w:pPr>
      <w:r>
        <w:rPr>
          <w:rFonts w:hint="eastAsia" w:ascii="仿宋_GB2312" w:hAnsi="仿宋_GB2312" w:eastAsia="仿宋_GB2312" w:cs="仿宋_GB2312"/>
          <w:sz w:val="24"/>
        </w:rPr>
        <w:t>3.1.1 采购人或采购代理机构按附表一所列审查标准，对供应商资格进行审查，以确定供应商是否具备磋商资格。</w:t>
      </w:r>
    </w:p>
    <w:p>
      <w:pPr>
        <w:pStyle w:val="22"/>
        <w:rPr>
          <w:rFonts w:ascii="仿宋_GB2312" w:hAnsi="仿宋_GB2312" w:eastAsia="仿宋_GB2312" w:cs="仿宋_GB2312"/>
          <w:sz w:val="24"/>
        </w:rPr>
      </w:pPr>
      <w:r>
        <w:rPr>
          <w:rFonts w:hint="eastAsia" w:ascii="仿宋_GB2312" w:hAnsi="仿宋_GB2312" w:eastAsia="仿宋_GB2312" w:cs="仿宋_GB2312"/>
          <w:sz w:val="24"/>
        </w:rPr>
        <w:t>3.1.2 磋商小组对符合资格要求的供应商按附表二进行符合性审查，以确定其是否满足磋商文件的实质性要求（见本章内的符合性审查表）。</w:t>
      </w:r>
    </w:p>
    <w:p>
      <w:pPr>
        <w:pStyle w:val="22"/>
        <w:rPr>
          <w:rFonts w:ascii="仿宋_GB2312" w:hAnsi="仿宋_GB2312" w:eastAsia="仿宋_GB2312" w:cs="仿宋_GB2312"/>
          <w:sz w:val="24"/>
        </w:rPr>
      </w:pPr>
      <w:r>
        <w:rPr>
          <w:rFonts w:hint="eastAsia" w:ascii="仿宋_GB2312" w:hAnsi="仿宋_GB2312" w:eastAsia="仿宋_GB2312" w:cs="仿宋_GB2312"/>
          <w:sz w:val="24"/>
        </w:rPr>
        <w:t>3.1.3 磋商小组在资格审查和符合性审查时，可以要求供应商对响应文件中含义不明确、同类问题表述不一致或者有明显文字和计算错误的内容作出必要的澄清、说明或更正。供应商的澄清、说明或更正不得超出响应文件的范围或者改变响应文件的实质性内容。</w:t>
      </w:r>
    </w:p>
    <w:p>
      <w:pPr>
        <w:pStyle w:val="22"/>
        <w:rPr>
          <w:rFonts w:ascii="仿宋_GB2312" w:hAnsi="仿宋_GB2312" w:eastAsia="仿宋_GB2312" w:cs="仿宋_GB2312"/>
          <w:sz w:val="24"/>
        </w:rPr>
      </w:pPr>
      <w:r>
        <w:rPr>
          <w:rFonts w:hint="eastAsia" w:ascii="仿宋_GB2312" w:hAnsi="仿宋_GB2312" w:eastAsia="仿宋_GB2312" w:cs="仿宋_GB2312"/>
          <w:sz w:val="24"/>
        </w:rPr>
        <w:t>磋商小组不接受供应商主动提出的澄清、说明或补正。</w:t>
      </w:r>
    </w:p>
    <w:p>
      <w:pPr>
        <w:pStyle w:val="22"/>
        <w:rPr>
          <w:rFonts w:ascii="仿宋_GB2312" w:hAnsi="仿宋_GB2312" w:eastAsia="仿宋_GB2312" w:cs="仿宋_GB2312"/>
          <w:sz w:val="24"/>
        </w:rPr>
      </w:pPr>
      <w:r>
        <w:rPr>
          <w:rFonts w:hint="eastAsia" w:ascii="仿宋_GB2312" w:hAnsi="仿宋_GB2312" w:eastAsia="仿宋_GB2312" w:cs="仿宋_GB2312"/>
          <w:sz w:val="24"/>
        </w:rPr>
        <w:t>供应商的书面澄清、说明和补正属于响应文件的组成部分。</w:t>
      </w:r>
    </w:p>
    <w:p>
      <w:pPr>
        <w:pStyle w:val="22"/>
        <w:rPr>
          <w:rFonts w:ascii="仿宋_GB2312" w:hAnsi="仿宋_GB2312" w:eastAsia="仿宋_GB2312" w:cs="仿宋_GB2312"/>
          <w:sz w:val="24"/>
        </w:rPr>
      </w:pPr>
      <w:r>
        <w:rPr>
          <w:rFonts w:hint="eastAsia" w:ascii="仿宋_GB2312" w:hAnsi="仿宋_GB2312" w:eastAsia="仿宋_GB2312" w:cs="仿宋_GB2312"/>
          <w:sz w:val="24"/>
        </w:rPr>
        <w:t>磋商小组对供应商提交的澄清、说明或补正有疑问的，可以要求供应商进一步澄清、说明或补正，直至满足评审小组的要求。</w:t>
      </w:r>
    </w:p>
    <w:p>
      <w:pPr>
        <w:pStyle w:val="22"/>
        <w:rPr>
          <w:rFonts w:ascii="仿宋_GB2312" w:hAnsi="仿宋_GB2312" w:eastAsia="仿宋_GB2312" w:cs="仿宋_GB2312"/>
          <w:sz w:val="24"/>
        </w:rPr>
      </w:pPr>
      <w:r>
        <w:rPr>
          <w:rFonts w:hint="eastAsia" w:ascii="仿宋_GB2312" w:hAnsi="仿宋_GB2312" w:eastAsia="仿宋_GB2312" w:cs="仿宋_GB2312"/>
          <w:sz w:val="24"/>
        </w:rPr>
        <w:t>3.1.4 不具备磋商文件要求的资格或未通过符合性审查的供应商，不参与磋商，由磋商小组告知该供应商。</w:t>
      </w:r>
    </w:p>
    <w:p>
      <w:pPr>
        <w:pStyle w:val="22"/>
        <w:rPr>
          <w:rFonts w:ascii="仿宋_GB2312" w:hAnsi="仿宋_GB2312" w:eastAsia="仿宋_GB2312" w:cs="仿宋_GB2312"/>
          <w:sz w:val="24"/>
        </w:rPr>
      </w:pPr>
      <w:r>
        <w:rPr>
          <w:rFonts w:hint="eastAsia" w:ascii="仿宋_GB2312" w:hAnsi="仿宋_GB2312" w:eastAsia="仿宋_GB2312" w:cs="仿宋_GB2312"/>
          <w:sz w:val="24"/>
        </w:rPr>
        <w:t>3.1.5 通过资格审查和符合性审查的合格供应商不足3家的，不再进行评审和磋商。</w:t>
      </w:r>
    </w:p>
    <w:p>
      <w:pPr>
        <w:pStyle w:val="22"/>
        <w:rPr>
          <w:rFonts w:ascii="仿宋_GB2312" w:hAnsi="仿宋_GB2312" w:eastAsia="仿宋_GB2312" w:cs="仿宋_GB2312"/>
          <w:b/>
          <w:sz w:val="24"/>
        </w:rPr>
      </w:pPr>
      <w:bookmarkStart w:id="406" w:name="_Toc7005044"/>
      <w:r>
        <w:rPr>
          <w:rFonts w:hint="eastAsia" w:ascii="仿宋_GB2312" w:hAnsi="仿宋_GB2312" w:eastAsia="仿宋_GB2312" w:cs="仿宋_GB2312"/>
          <w:b/>
          <w:sz w:val="24"/>
        </w:rPr>
        <w:t>3.2 磋商</w:t>
      </w:r>
      <w:bookmarkEnd w:id="406"/>
    </w:p>
    <w:p>
      <w:pPr>
        <w:pStyle w:val="22"/>
        <w:rPr>
          <w:rFonts w:ascii="仿宋_GB2312" w:hAnsi="仿宋_GB2312" w:eastAsia="仿宋_GB2312" w:cs="仿宋_GB2312"/>
          <w:sz w:val="24"/>
        </w:rPr>
      </w:pPr>
      <w:r>
        <w:rPr>
          <w:rFonts w:hint="eastAsia" w:ascii="仿宋_GB2312" w:hAnsi="仿宋_GB2312" w:eastAsia="仿宋_GB2312" w:cs="仿宋_GB2312"/>
          <w:sz w:val="24"/>
        </w:rPr>
        <w:t>3.2.1按“供应商须知”第五条规定，由磋商小组与供应商进行磋商。</w:t>
      </w:r>
    </w:p>
    <w:p>
      <w:pPr>
        <w:pStyle w:val="22"/>
        <w:rPr>
          <w:rFonts w:ascii="仿宋_GB2312" w:hAnsi="仿宋_GB2312" w:eastAsia="仿宋_GB2312" w:cs="仿宋_GB2312"/>
          <w:sz w:val="24"/>
        </w:rPr>
      </w:pPr>
      <w:r>
        <w:rPr>
          <w:rFonts w:hint="eastAsia" w:ascii="仿宋_GB2312" w:hAnsi="仿宋_GB2312" w:eastAsia="仿宋_GB2312" w:cs="仿宋_GB2312"/>
          <w:sz w:val="24"/>
        </w:rPr>
        <w:t>3.2.2磋商过程中，磋商小组可以根据与供应商的磋商情况，在不违反相关法律法规、强制性标准、规范情况下，并经采购人代表同意后，对磋商文件的技术标准及服务要求、拟签订合同的部分条款进行变动。变动内容是磋商文件的有效组成部分，磋商小组以书面形式通知所有参加磋商的供应商。</w:t>
      </w:r>
    </w:p>
    <w:p>
      <w:pPr>
        <w:pStyle w:val="22"/>
        <w:rPr>
          <w:rFonts w:ascii="仿宋_GB2312" w:hAnsi="仿宋_GB2312" w:eastAsia="仿宋_GB2312" w:cs="仿宋_GB2312"/>
          <w:sz w:val="24"/>
        </w:rPr>
      </w:pPr>
      <w:r>
        <w:rPr>
          <w:rFonts w:hint="eastAsia" w:ascii="仿宋_GB2312" w:hAnsi="仿宋_GB2312" w:eastAsia="仿宋_GB2312" w:cs="仿宋_GB2312"/>
          <w:sz w:val="24"/>
        </w:rPr>
        <w:t>3.2.3 磋商结束后，磋商小组可以要求所有继续参加磋商的供应商在规定时间内提交最后报价函，提交最后报价函的供应商不得少于3家。</w:t>
      </w:r>
    </w:p>
    <w:p>
      <w:pPr>
        <w:pStyle w:val="22"/>
        <w:rPr>
          <w:rFonts w:ascii="仿宋_GB2312" w:hAnsi="仿宋_GB2312" w:eastAsia="仿宋_GB2312" w:cs="仿宋_GB2312"/>
          <w:b/>
          <w:sz w:val="24"/>
        </w:rPr>
      </w:pPr>
      <w:bookmarkStart w:id="407" w:name="_Toc7005045"/>
      <w:r>
        <w:rPr>
          <w:rFonts w:hint="eastAsia" w:ascii="仿宋_GB2312" w:hAnsi="仿宋_GB2312" w:eastAsia="仿宋_GB2312" w:cs="仿宋_GB2312"/>
          <w:b/>
          <w:sz w:val="24"/>
        </w:rPr>
        <w:t>3.3评审</w:t>
      </w:r>
      <w:bookmarkEnd w:id="407"/>
    </w:p>
    <w:p>
      <w:pPr>
        <w:pStyle w:val="22"/>
        <w:rPr>
          <w:rFonts w:ascii="仿宋_GB2312" w:hAnsi="仿宋_GB2312" w:eastAsia="仿宋_GB2312" w:cs="仿宋_GB2312"/>
          <w:sz w:val="24"/>
        </w:rPr>
      </w:pPr>
      <w:r>
        <w:rPr>
          <w:rFonts w:hint="eastAsia" w:ascii="仿宋_GB2312" w:hAnsi="仿宋_GB2312" w:eastAsia="仿宋_GB2312" w:cs="仿宋_GB2312"/>
          <w:sz w:val="24"/>
        </w:rPr>
        <w:t>3.3.1 比较与评价</w:t>
      </w:r>
    </w:p>
    <w:p>
      <w:pPr>
        <w:pStyle w:val="22"/>
        <w:rPr>
          <w:rFonts w:ascii="仿宋_GB2312" w:hAnsi="仿宋_GB2312" w:eastAsia="仿宋_GB2312" w:cs="仿宋_GB2312"/>
          <w:sz w:val="24"/>
        </w:rPr>
      </w:pPr>
      <w:r>
        <w:rPr>
          <w:rFonts w:hint="eastAsia" w:ascii="仿宋_GB2312" w:hAnsi="仿宋_GB2312" w:eastAsia="仿宋_GB2312" w:cs="仿宋_GB2312"/>
          <w:sz w:val="24"/>
        </w:rPr>
        <w:t>磋商小组按本章第2.3款[商务和技术评审标准]对供应商提交的响应文件（包括最后报价函）进行商务和技术评估，综合比较与评价。</w:t>
      </w:r>
    </w:p>
    <w:p>
      <w:pPr>
        <w:pStyle w:val="22"/>
        <w:rPr>
          <w:rFonts w:ascii="仿宋_GB2312" w:hAnsi="仿宋_GB2312" w:eastAsia="仿宋_GB2312" w:cs="仿宋_GB2312"/>
          <w:sz w:val="24"/>
        </w:rPr>
      </w:pPr>
      <w:r>
        <w:rPr>
          <w:rFonts w:hint="eastAsia" w:ascii="仿宋_GB2312" w:hAnsi="仿宋_GB2312" w:eastAsia="仿宋_GB2312" w:cs="仿宋_GB2312"/>
          <w:sz w:val="24"/>
        </w:rPr>
        <w:t>磋商小组认为供应商的报价明显低于其他参与最后报价的供应商的报价或明显低于采购预算时，有可能影响产品质量或者不能诚信履约的，应当要求其在合理的时间内提供书面说明，并提交相关证明材料；供应商不能证明其报价合理性的，磋商小组应当将其作为无效处理。</w:t>
      </w:r>
    </w:p>
    <w:p>
      <w:pPr>
        <w:pStyle w:val="22"/>
        <w:rPr>
          <w:rFonts w:ascii="仿宋_GB2312" w:hAnsi="仿宋_GB2312" w:eastAsia="仿宋_GB2312" w:cs="仿宋_GB2312"/>
          <w:sz w:val="24"/>
        </w:rPr>
      </w:pPr>
      <w:r>
        <w:rPr>
          <w:rFonts w:hint="eastAsia" w:ascii="仿宋_GB2312" w:hAnsi="仿宋_GB2312" w:eastAsia="仿宋_GB2312" w:cs="仿宋_GB2312"/>
          <w:sz w:val="24"/>
        </w:rPr>
        <w:t>3.3.2 磋商小组按本章第2.3款规定的量化因素和分值进行打分，并计算出综合评估得分。</w:t>
      </w:r>
    </w:p>
    <w:p>
      <w:pPr>
        <w:pStyle w:val="22"/>
        <w:rPr>
          <w:rFonts w:ascii="仿宋_GB2312" w:hAnsi="仿宋_GB2312" w:eastAsia="仿宋_GB2312" w:cs="仿宋_GB2312"/>
          <w:sz w:val="24"/>
        </w:rPr>
      </w:pPr>
      <w:r>
        <w:rPr>
          <w:rFonts w:hint="eastAsia" w:ascii="仿宋_GB2312" w:hAnsi="仿宋_GB2312" w:eastAsia="仿宋_GB2312" w:cs="仿宋_GB2312"/>
          <w:sz w:val="24"/>
        </w:rPr>
        <w:t>（1）按本章第2.3.1项规定的评审因素和分值对商务部分计算出得分A；</w:t>
      </w:r>
    </w:p>
    <w:p>
      <w:pPr>
        <w:pStyle w:val="22"/>
        <w:rPr>
          <w:rFonts w:ascii="仿宋_GB2312" w:hAnsi="仿宋_GB2312" w:eastAsia="仿宋_GB2312" w:cs="仿宋_GB2312"/>
          <w:sz w:val="24"/>
        </w:rPr>
      </w:pPr>
      <w:r>
        <w:rPr>
          <w:rFonts w:hint="eastAsia" w:ascii="仿宋_GB2312" w:hAnsi="仿宋_GB2312" w:eastAsia="仿宋_GB2312" w:cs="仿宋_GB2312"/>
          <w:sz w:val="24"/>
        </w:rPr>
        <w:t>（2）按本章第2.3.2项规定的评审因素和分值对技术部分计算出得分B；</w:t>
      </w:r>
    </w:p>
    <w:p>
      <w:pPr>
        <w:pStyle w:val="22"/>
        <w:rPr>
          <w:rFonts w:ascii="仿宋_GB2312" w:hAnsi="仿宋_GB2312" w:eastAsia="仿宋_GB2312" w:cs="仿宋_GB2312"/>
          <w:sz w:val="24"/>
        </w:rPr>
      </w:pPr>
      <w:r>
        <w:rPr>
          <w:rFonts w:hint="eastAsia" w:ascii="仿宋_GB2312" w:hAnsi="仿宋_GB2312" w:eastAsia="仿宋_GB2312" w:cs="仿宋_GB2312"/>
          <w:sz w:val="24"/>
        </w:rPr>
        <w:t>（3）按本章第2.3.3项规定的评审因素和分值对报价部分计算出得分C。</w:t>
      </w:r>
    </w:p>
    <w:p>
      <w:pPr>
        <w:pStyle w:val="22"/>
        <w:rPr>
          <w:rFonts w:ascii="仿宋_GB2312" w:hAnsi="仿宋_GB2312" w:eastAsia="仿宋_GB2312" w:cs="仿宋_GB2312"/>
          <w:sz w:val="24"/>
        </w:rPr>
      </w:pPr>
      <w:r>
        <w:rPr>
          <w:rFonts w:hint="eastAsia" w:ascii="仿宋_GB2312" w:hAnsi="仿宋_GB2312" w:eastAsia="仿宋_GB2312" w:cs="仿宋_GB2312"/>
          <w:sz w:val="24"/>
        </w:rPr>
        <w:t>3.3.3评分分值计算保留小数点后两位，小数点后第三位“四舍五入”。</w:t>
      </w:r>
    </w:p>
    <w:p>
      <w:pPr>
        <w:pStyle w:val="22"/>
        <w:rPr>
          <w:rFonts w:ascii="仿宋_GB2312" w:hAnsi="仿宋_GB2312" w:eastAsia="仿宋_GB2312" w:cs="仿宋_GB2312"/>
          <w:sz w:val="24"/>
        </w:rPr>
      </w:pPr>
      <w:r>
        <w:rPr>
          <w:rFonts w:hint="eastAsia" w:ascii="仿宋_GB2312" w:hAnsi="仿宋_GB2312" w:eastAsia="仿宋_GB2312" w:cs="仿宋_GB2312"/>
          <w:sz w:val="24"/>
        </w:rPr>
        <w:t>3.3.4供应商得分=A＋B＋C</w:t>
      </w:r>
    </w:p>
    <w:p>
      <w:pPr>
        <w:pStyle w:val="22"/>
        <w:rPr>
          <w:rFonts w:ascii="仿宋_GB2312" w:hAnsi="仿宋_GB2312" w:eastAsia="仿宋_GB2312" w:cs="仿宋_GB2312"/>
          <w:b/>
          <w:sz w:val="24"/>
        </w:rPr>
      </w:pPr>
      <w:r>
        <w:rPr>
          <w:rFonts w:hint="eastAsia" w:ascii="仿宋_GB2312" w:hAnsi="仿宋_GB2312" w:eastAsia="仿宋_GB2312" w:cs="仿宋_GB2312"/>
          <w:b/>
          <w:sz w:val="24"/>
        </w:rPr>
        <w:t>3.4 评审结果</w:t>
      </w:r>
    </w:p>
    <w:p>
      <w:pPr>
        <w:pStyle w:val="22"/>
        <w:rPr>
          <w:rFonts w:ascii="仿宋_GB2312" w:hAnsi="仿宋_GB2312" w:eastAsia="仿宋_GB2312" w:cs="仿宋_GB2312"/>
          <w:sz w:val="24"/>
        </w:rPr>
      </w:pPr>
      <w:r>
        <w:rPr>
          <w:rFonts w:hint="eastAsia" w:ascii="仿宋_GB2312" w:hAnsi="仿宋_GB2312" w:eastAsia="仿宋_GB2312" w:cs="仿宋_GB2312"/>
          <w:sz w:val="24"/>
        </w:rPr>
        <w:t>3.4.1 除第二章“供应商须知”前附表授权直接确定成交供应商外，磋商小组按照得分由高到低的顺序推荐3名成交候选人。</w:t>
      </w:r>
    </w:p>
    <w:p>
      <w:pPr>
        <w:pStyle w:val="22"/>
        <w:rPr>
          <w:rFonts w:ascii="仿宋_GB2312" w:hAnsi="仿宋_GB2312" w:eastAsia="仿宋_GB2312" w:cs="仿宋_GB2312"/>
          <w:sz w:val="24"/>
        </w:rPr>
      </w:pPr>
      <w:r>
        <w:rPr>
          <w:rFonts w:hint="eastAsia" w:ascii="仿宋_GB2312" w:hAnsi="仿宋_GB2312" w:eastAsia="仿宋_GB2312" w:cs="仿宋_GB2312"/>
          <w:sz w:val="24"/>
        </w:rPr>
        <w:t>3.4.2 磋商小组完成评审后，应当向采购人提交书面评审报告。</w:t>
      </w:r>
    </w:p>
    <w:p>
      <w:pPr>
        <w:pStyle w:val="22"/>
        <w:rPr>
          <w:rFonts w:ascii="仿宋_GB2312" w:hAnsi="仿宋_GB2312" w:eastAsia="仿宋_GB2312" w:cs="仿宋_GB2312"/>
          <w:sz w:val="24"/>
        </w:rPr>
      </w:pPr>
      <w:r>
        <w:rPr>
          <w:rFonts w:hint="eastAsia" w:ascii="仿宋_GB2312" w:hAnsi="仿宋_GB2312" w:eastAsia="仿宋_GB2312" w:cs="仿宋_GB2312"/>
          <w:sz w:val="24"/>
        </w:rPr>
        <w:br w:type="page"/>
      </w:r>
    </w:p>
    <w:p>
      <w:pPr>
        <w:spacing w:line="360" w:lineRule="auto"/>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附表一 资格审查表</w:t>
      </w:r>
    </w:p>
    <w:tbl>
      <w:tblPr>
        <w:tblStyle w:val="50"/>
        <w:tblW w:w="91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655"/>
        <w:gridCol w:w="4677"/>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2" w:type="dxa"/>
            <w:vAlign w:val="center"/>
          </w:tcPr>
          <w:p>
            <w:pPr>
              <w:snapToGrid w:val="0"/>
              <w:jc w:val="center"/>
              <w:rPr>
                <w:rFonts w:ascii="仿宋_GB2312" w:hAnsi="仿宋_GB2312" w:eastAsia="仿宋_GB2312" w:cs="仿宋_GB2312"/>
                <w:b/>
                <w:szCs w:val="21"/>
              </w:rPr>
            </w:pPr>
            <w:r>
              <w:rPr>
                <w:rFonts w:hint="eastAsia" w:ascii="仿宋_GB2312" w:hAnsi="仿宋_GB2312" w:eastAsia="仿宋_GB2312" w:cs="仿宋_GB2312"/>
                <w:b/>
                <w:szCs w:val="21"/>
              </w:rPr>
              <w:t>序号</w:t>
            </w:r>
          </w:p>
        </w:tc>
        <w:tc>
          <w:tcPr>
            <w:tcW w:w="2655" w:type="dxa"/>
            <w:vAlign w:val="center"/>
          </w:tcPr>
          <w:p>
            <w:pPr>
              <w:snapToGrid w:val="0"/>
              <w:jc w:val="center"/>
              <w:rPr>
                <w:rFonts w:ascii="仿宋_GB2312" w:hAnsi="仿宋_GB2312" w:eastAsia="仿宋_GB2312" w:cs="仿宋_GB2312"/>
                <w:b/>
                <w:szCs w:val="21"/>
              </w:rPr>
            </w:pPr>
            <w:r>
              <w:rPr>
                <w:rFonts w:hint="eastAsia" w:ascii="仿宋_GB2312" w:hAnsi="仿宋_GB2312" w:eastAsia="仿宋_GB2312" w:cs="仿宋_GB2312"/>
                <w:b/>
                <w:szCs w:val="21"/>
              </w:rPr>
              <w:t>评审内容</w:t>
            </w:r>
          </w:p>
        </w:tc>
        <w:tc>
          <w:tcPr>
            <w:tcW w:w="4677" w:type="dxa"/>
            <w:vAlign w:val="center"/>
          </w:tcPr>
          <w:p>
            <w:pPr>
              <w:snapToGrid w:val="0"/>
              <w:jc w:val="center"/>
              <w:rPr>
                <w:rFonts w:ascii="仿宋_GB2312" w:hAnsi="仿宋_GB2312" w:eastAsia="仿宋_GB2312" w:cs="仿宋_GB2312"/>
                <w:b/>
                <w:szCs w:val="21"/>
              </w:rPr>
            </w:pPr>
            <w:r>
              <w:rPr>
                <w:rFonts w:hint="eastAsia" w:ascii="仿宋_GB2312" w:hAnsi="仿宋_GB2312" w:eastAsia="仿宋_GB2312" w:cs="仿宋_GB2312"/>
                <w:b/>
                <w:szCs w:val="21"/>
              </w:rPr>
              <w:t>评审合格标准</w:t>
            </w:r>
          </w:p>
        </w:tc>
        <w:tc>
          <w:tcPr>
            <w:tcW w:w="1178" w:type="dxa"/>
            <w:vAlign w:val="center"/>
          </w:tcPr>
          <w:p>
            <w:pPr>
              <w:snapToGrid w:val="0"/>
              <w:jc w:val="center"/>
              <w:rPr>
                <w:rFonts w:ascii="仿宋_GB2312" w:hAnsi="仿宋_GB2312" w:eastAsia="仿宋_GB2312" w:cs="仿宋_GB2312"/>
                <w:b/>
                <w:szCs w:val="21"/>
              </w:rPr>
            </w:pPr>
            <w:r>
              <w:rPr>
                <w:rFonts w:hint="eastAsia" w:ascii="仿宋_GB2312" w:hAnsi="仿宋_GB2312" w:eastAsia="仿宋_GB2312" w:cs="仿宋_GB2312"/>
                <w:b/>
                <w:szCs w:val="21"/>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b/>
                <w:szCs w:val="21"/>
              </w:rPr>
            </w:pPr>
            <w:r>
              <w:rPr>
                <w:rFonts w:hint="eastAsia" w:ascii="仿宋_GB2312" w:hAnsi="仿宋_GB2312" w:eastAsia="仿宋_GB2312" w:cs="仿宋_GB2312"/>
                <w:szCs w:val="21"/>
              </w:rPr>
              <w:t>1</w:t>
            </w:r>
          </w:p>
        </w:tc>
        <w:tc>
          <w:tcPr>
            <w:tcW w:w="2655" w:type="dxa"/>
            <w:vAlign w:val="center"/>
          </w:tcPr>
          <w:p>
            <w:pPr>
              <w:snapToGrid w:val="0"/>
              <w:jc w:val="left"/>
              <w:rPr>
                <w:rFonts w:ascii="仿宋_GB2312" w:hAnsi="仿宋_GB2312" w:eastAsia="仿宋_GB2312" w:cs="仿宋_GB2312"/>
                <w:b/>
                <w:szCs w:val="21"/>
              </w:rPr>
            </w:pPr>
            <w:r>
              <w:rPr>
                <w:rFonts w:hint="eastAsia" w:ascii="仿宋_GB2312" w:hAnsi="仿宋_GB2312" w:eastAsia="仿宋_GB2312" w:cs="仿宋_GB2312"/>
                <w:szCs w:val="21"/>
              </w:rPr>
              <w:t>供应商名称</w:t>
            </w:r>
          </w:p>
        </w:tc>
        <w:tc>
          <w:tcPr>
            <w:tcW w:w="4677" w:type="dxa"/>
            <w:vAlign w:val="center"/>
          </w:tcPr>
          <w:p>
            <w:pPr>
              <w:snapToGrid w:val="0"/>
              <w:jc w:val="left"/>
              <w:rPr>
                <w:rFonts w:hint="eastAsia" w:ascii="仿宋_GB2312" w:hAnsi="仿宋_GB2312" w:eastAsia="仿宋_GB2312" w:cs="仿宋_GB2312"/>
                <w:b/>
                <w:szCs w:val="21"/>
                <w:lang w:eastAsia="zh-CN"/>
              </w:rPr>
            </w:pPr>
            <w:r>
              <w:rPr>
                <w:rFonts w:hint="eastAsia" w:ascii="仿宋_GB2312" w:hAnsi="仿宋_GB2312" w:eastAsia="仿宋_GB2312" w:cs="仿宋_GB2312"/>
                <w:szCs w:val="21"/>
              </w:rPr>
              <w:t>与磋商登记备案、营业执照一致（符合法定工商变更程序除外）</w:t>
            </w:r>
            <w:r>
              <w:rPr>
                <w:rFonts w:hint="eastAsia" w:ascii="仿宋_GB2312" w:hAnsi="仿宋_GB2312" w:eastAsia="仿宋_GB2312" w:cs="仿宋_GB2312"/>
                <w:szCs w:val="21"/>
                <w:lang w:eastAsia="zh-CN"/>
              </w:rPr>
              <w:t>。</w:t>
            </w:r>
          </w:p>
        </w:tc>
        <w:tc>
          <w:tcPr>
            <w:tcW w:w="1178" w:type="dxa"/>
            <w:vAlign w:val="center"/>
          </w:tcPr>
          <w:p>
            <w:pPr>
              <w:snapToGrid w:val="0"/>
              <w:jc w:val="center"/>
              <w:rPr>
                <w:rFonts w:ascii="仿宋_GB2312" w:hAnsi="仿宋_GB2312" w:eastAsia="仿宋_GB2312" w:cs="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具有独立承担民事责任的能力</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提供了有效的法人或者其他组织的营业执照等证明文件，自然人的身份证明</w:t>
            </w:r>
            <w:r>
              <w:rPr>
                <w:rFonts w:hint="eastAsia" w:ascii="仿宋_GB2312" w:hAnsi="仿宋_GB2312" w:eastAsia="仿宋_GB2312" w:cs="仿宋_GB2312"/>
                <w:szCs w:val="21"/>
                <w:lang w:eastAsia="zh-CN"/>
              </w:rPr>
              <w:t>。</w:t>
            </w:r>
          </w:p>
        </w:tc>
        <w:tc>
          <w:tcPr>
            <w:tcW w:w="1178" w:type="dxa"/>
            <w:vAlign w:val="center"/>
          </w:tcPr>
          <w:p>
            <w:pPr>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3</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具有健全的财务会计制度</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提供了满足磋商文件要求的</w:t>
            </w:r>
            <w:r>
              <w:rPr>
                <w:rFonts w:hint="eastAsia" w:ascii="仿宋_GB2312" w:hAnsi="仿宋_GB2312" w:eastAsia="仿宋_GB2312" w:cs="仿宋_GB2312"/>
                <w:szCs w:val="21"/>
                <w:highlight w:val="none"/>
              </w:rPr>
              <w:t>经审计的财务报表</w:t>
            </w:r>
            <w:r>
              <w:rPr>
                <w:rFonts w:hint="eastAsia" w:ascii="仿宋_GB2312" w:hAnsi="仿宋_GB2312" w:eastAsia="仿宋_GB2312" w:cs="仿宋_GB2312"/>
                <w:szCs w:val="21"/>
              </w:rPr>
              <w:t>或本年度基本开户银行出具的资信证明</w:t>
            </w:r>
            <w:r>
              <w:rPr>
                <w:rFonts w:hint="eastAsia" w:ascii="仿宋_GB2312" w:hAnsi="仿宋_GB2312" w:eastAsia="仿宋_GB2312" w:cs="仿宋_GB2312"/>
                <w:szCs w:val="21"/>
                <w:lang w:eastAsia="zh-CN"/>
              </w:rPr>
              <w:t>。</w:t>
            </w:r>
          </w:p>
        </w:tc>
        <w:tc>
          <w:tcPr>
            <w:tcW w:w="1178" w:type="dxa"/>
            <w:vAlign w:val="center"/>
          </w:tcPr>
          <w:p>
            <w:pPr>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具有履行合同所必需的设备和专业技术能力</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提供了可充分满足履行合同所需设备和专业技术能力的证明材料或承诺</w:t>
            </w:r>
            <w:r>
              <w:rPr>
                <w:rFonts w:hint="eastAsia" w:ascii="仿宋_GB2312" w:hAnsi="仿宋_GB2312" w:eastAsia="仿宋_GB2312" w:cs="仿宋_GB2312"/>
                <w:szCs w:val="21"/>
                <w:lang w:eastAsia="zh-CN"/>
              </w:rPr>
              <w:t>。</w:t>
            </w:r>
          </w:p>
        </w:tc>
        <w:tc>
          <w:tcPr>
            <w:tcW w:w="1178" w:type="dxa"/>
            <w:vAlign w:val="center"/>
          </w:tcPr>
          <w:p>
            <w:pPr>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有依法缴纳税收和社会保障资金的良好记录</w:t>
            </w:r>
          </w:p>
        </w:tc>
        <w:tc>
          <w:tcPr>
            <w:tcW w:w="4677" w:type="dxa"/>
          </w:tcPr>
          <w:p>
            <w:pPr>
              <w:numPr>
                <w:ilvl w:val="0"/>
                <w:numId w:val="11"/>
              </w:numPr>
              <w:snapToGrid w:val="0"/>
              <w:jc w:val="left"/>
              <w:rPr>
                <w:rFonts w:hint="eastAsia" w:ascii="仿宋" w:hAnsi="仿宋" w:eastAsia="仿宋"/>
                <w:szCs w:val="21"/>
              </w:rPr>
            </w:pPr>
            <w:r>
              <w:rPr>
                <w:rFonts w:hint="eastAsia" w:ascii="仿宋" w:hAnsi="仿宋" w:eastAsia="仿宋"/>
                <w:szCs w:val="21"/>
              </w:rPr>
              <w:t>供应商提供</w:t>
            </w:r>
            <w:r>
              <w:rPr>
                <w:rFonts w:hint="eastAsia" w:ascii="仿宋" w:hAnsi="仿宋" w:eastAsia="仿宋"/>
                <w:szCs w:val="21"/>
                <w:lang w:val="en-US" w:eastAsia="zh-CN"/>
              </w:rPr>
              <w:t>2021年</w:t>
            </w:r>
            <w:r>
              <w:rPr>
                <w:rFonts w:hint="eastAsia" w:ascii="仿宋" w:hAnsi="仿宋" w:eastAsia="仿宋"/>
                <w:szCs w:val="21"/>
              </w:rPr>
              <w:t>内任意一个月的</w:t>
            </w:r>
            <w:r>
              <w:rPr>
                <w:rFonts w:hint="eastAsia" w:ascii="仿宋" w:hAnsi="仿宋" w:eastAsia="仿宋"/>
                <w:szCs w:val="21"/>
                <w:lang w:val="en-US" w:eastAsia="zh-CN"/>
              </w:rPr>
              <w:t>税收缴纳</w:t>
            </w:r>
            <w:r>
              <w:rPr>
                <w:rFonts w:hint="eastAsia" w:ascii="仿宋" w:hAnsi="仿宋" w:eastAsia="仿宋"/>
                <w:szCs w:val="21"/>
              </w:rPr>
              <w:t>的凭证（银行出具的缴税凭证或税务机关出具的证明的复印件，并加盖本单位公章）或免税证明（复印件加盖公章）</w:t>
            </w:r>
            <w:r>
              <w:rPr>
                <w:rFonts w:hint="eastAsia" w:ascii="仿宋" w:hAnsi="仿宋" w:eastAsia="仿宋"/>
                <w:szCs w:val="21"/>
                <w:lang w:eastAsia="zh-CN"/>
              </w:rPr>
              <w:t>；</w:t>
            </w:r>
          </w:p>
          <w:p>
            <w:pPr>
              <w:numPr>
                <w:ilvl w:val="0"/>
                <w:numId w:val="0"/>
              </w:numPr>
              <w:snapToGrid w:val="0"/>
              <w:jc w:val="left"/>
              <w:rPr>
                <w:rFonts w:hint="eastAsia" w:ascii="仿宋_GB2312" w:hAnsi="仿宋_GB2312" w:eastAsia="仿宋" w:cs="仿宋_GB2312"/>
                <w:szCs w:val="21"/>
                <w:lang w:eastAsia="zh-CN"/>
              </w:rPr>
            </w:pPr>
            <w:r>
              <w:rPr>
                <w:rFonts w:hint="eastAsia" w:ascii="仿宋" w:hAnsi="仿宋" w:eastAsia="仿宋"/>
                <w:szCs w:val="21"/>
              </w:rPr>
              <w:t>2. 供应商提供</w:t>
            </w:r>
            <w:r>
              <w:rPr>
                <w:rFonts w:hint="eastAsia" w:ascii="仿宋" w:hAnsi="仿宋" w:eastAsia="仿宋"/>
                <w:szCs w:val="21"/>
                <w:lang w:eastAsia="zh-CN"/>
              </w:rPr>
              <w:t>2021年</w:t>
            </w:r>
            <w:r>
              <w:rPr>
                <w:rFonts w:hint="eastAsia" w:ascii="仿宋" w:hAnsi="仿宋" w:eastAsia="仿宋"/>
                <w:szCs w:val="21"/>
              </w:rPr>
              <w:t>内任意一个月的社会保障资金缴纳记录（专用收据或社会保险缴纳清单）或免缴纳证明（复印件加盖公章）</w:t>
            </w:r>
            <w:r>
              <w:rPr>
                <w:rFonts w:hint="eastAsia" w:ascii="仿宋" w:hAnsi="仿宋" w:eastAsia="仿宋"/>
                <w:szCs w:val="21"/>
                <w:lang w:eastAsia="zh-CN"/>
              </w:rPr>
              <w:t>。</w:t>
            </w:r>
          </w:p>
        </w:tc>
        <w:tc>
          <w:tcPr>
            <w:tcW w:w="1178" w:type="dxa"/>
            <w:vAlign w:val="center"/>
          </w:tcPr>
          <w:p>
            <w:pPr>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参加政府采购活动前三年内，在经营活动中没有重大违法记录</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提供了有效的参加政府采购活动前3年内在经营活动中没有重大违法记录的书面声明</w:t>
            </w:r>
            <w:r>
              <w:rPr>
                <w:rFonts w:hint="eastAsia" w:ascii="仿宋_GB2312" w:hAnsi="仿宋_GB2312" w:eastAsia="仿宋_GB2312" w:cs="仿宋_GB2312"/>
                <w:szCs w:val="21"/>
                <w:lang w:eastAsia="zh-CN"/>
              </w:rPr>
              <w:t>。</w:t>
            </w:r>
          </w:p>
        </w:tc>
        <w:tc>
          <w:tcPr>
            <w:tcW w:w="1178" w:type="dxa"/>
            <w:vAlign w:val="center"/>
          </w:tcPr>
          <w:p>
            <w:pPr>
              <w:snapToGrid w:val="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法律、行政法规规定的其他条件</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不存在违反法律、法规的情况</w:t>
            </w:r>
            <w:r>
              <w:rPr>
                <w:rFonts w:hint="eastAsia" w:ascii="仿宋_GB2312" w:hAnsi="仿宋_GB2312" w:eastAsia="仿宋_GB2312" w:cs="仿宋_GB2312"/>
                <w:szCs w:val="21"/>
                <w:lang w:eastAsia="zh-CN"/>
              </w:rPr>
              <w:t>。</w:t>
            </w:r>
          </w:p>
        </w:tc>
        <w:tc>
          <w:tcPr>
            <w:tcW w:w="1178" w:type="dxa"/>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“信用中国”网站和中国政府采购网（www.ccgp.gov.cn）查询记录</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未被“信用中国”网站（</w:t>
            </w:r>
            <w:r>
              <w:fldChar w:fldCharType="begin"/>
            </w:r>
            <w:r>
              <w:instrText xml:space="preserve"> HYPERLINK "http://www.creditchina.gov.cn）中列入失信被执行人和/" </w:instrText>
            </w:r>
            <w:r>
              <w:fldChar w:fldCharType="separate"/>
            </w:r>
            <w:r>
              <w:rPr>
                <w:rFonts w:hint="eastAsia" w:ascii="仿宋_GB2312" w:hAnsi="仿宋_GB2312" w:eastAsia="仿宋_GB2312" w:cs="仿宋_GB2312"/>
                <w:szCs w:val="21"/>
              </w:rPr>
              <w:t>www.creditchina.gov.cn）中列入失信被执行人和/</w:t>
            </w:r>
            <w:r>
              <w:rPr>
                <w:rFonts w:hint="eastAsia" w:ascii="仿宋_GB2312" w:hAnsi="仿宋_GB2312" w:eastAsia="仿宋_GB2312" w:cs="仿宋_GB2312"/>
                <w:szCs w:val="21"/>
              </w:rPr>
              <w:fldChar w:fldCharType="end"/>
            </w:r>
            <w:r>
              <w:rPr>
                <w:rFonts w:hint="eastAsia" w:ascii="仿宋_GB2312" w:hAnsi="仿宋_GB2312" w:eastAsia="仿宋_GB2312" w:cs="仿宋_GB2312"/>
                <w:szCs w:val="21"/>
              </w:rPr>
              <w:t>或重大税收违法案件当事人名单的供应商、未被中国政府采购网（www.ccgp.gov.cn）列入政府采购严重违法失信行为记录名单中被财政部门禁止参加政府采购活动的供应商（处罚决定规定的时间和地域范围内）</w:t>
            </w:r>
            <w:r>
              <w:rPr>
                <w:rFonts w:hint="eastAsia" w:ascii="仿宋_GB2312" w:hAnsi="仿宋_GB2312" w:eastAsia="仿宋_GB2312" w:cs="仿宋_GB2312"/>
                <w:szCs w:val="21"/>
                <w:lang w:eastAsia="zh-CN"/>
              </w:rPr>
              <w:t>。</w:t>
            </w:r>
          </w:p>
        </w:tc>
        <w:tc>
          <w:tcPr>
            <w:tcW w:w="1178" w:type="dxa"/>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9</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单位负责人为同一人或者存在控股、管理关系的不同单位，不得同时参加本项目的磋商。</w:t>
            </w:r>
          </w:p>
        </w:tc>
        <w:tc>
          <w:tcPr>
            <w:tcW w:w="4677" w:type="dxa"/>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提供了法人代表、控股股东、控股企业及管理、被管理单位情况声明且各供应商之间不存在单位负责人为同一人或者存在控股、管理关系情形。</w:t>
            </w:r>
          </w:p>
        </w:tc>
        <w:tc>
          <w:tcPr>
            <w:tcW w:w="1178" w:type="dxa"/>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10</w:t>
            </w:r>
          </w:p>
        </w:tc>
        <w:tc>
          <w:tcPr>
            <w:tcW w:w="2655" w:type="dxa"/>
            <w:vAlign w:val="center"/>
          </w:tcPr>
          <w:p>
            <w:pPr>
              <w:snapToGrid w:val="0"/>
              <w:jc w:val="left"/>
              <w:rPr>
                <w:rFonts w:ascii="仿宋_GB2312" w:hAnsi="仿宋_GB2312" w:eastAsia="仿宋_GB2312" w:cs="仿宋_GB2312"/>
                <w:szCs w:val="21"/>
              </w:rPr>
            </w:pPr>
            <w:r>
              <w:rPr>
                <w:rFonts w:hint="eastAsia" w:ascii="仿宋_GB2312" w:hAnsi="仿宋_GB2312" w:eastAsia="仿宋_GB2312" w:cs="仿宋_GB2312"/>
                <w:szCs w:val="21"/>
              </w:rPr>
              <w:t>为本项目提供整体设计、规范编制或者项目管理、监理、检测等服务的供应商，不得再参加本项目磋商。</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提供了供应商未为本项目提供整体设计、规范编制或者项目管理、监理、检测等服务的声明</w:t>
            </w:r>
            <w:r>
              <w:rPr>
                <w:rFonts w:hint="eastAsia" w:ascii="仿宋_GB2312" w:hAnsi="仿宋_GB2312" w:eastAsia="仿宋_GB2312" w:cs="仿宋_GB2312"/>
                <w:szCs w:val="21"/>
                <w:lang w:eastAsia="zh-CN"/>
              </w:rPr>
              <w:t>。</w:t>
            </w:r>
          </w:p>
        </w:tc>
        <w:tc>
          <w:tcPr>
            <w:tcW w:w="1178" w:type="dxa"/>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vAlign w:val="center"/>
          </w:tcPr>
          <w:p>
            <w:pPr>
              <w:snapToGrid w:val="0"/>
              <w:jc w:val="center"/>
              <w:rPr>
                <w:rFonts w:ascii="仿宋_GB2312" w:hAnsi="仿宋_GB2312" w:eastAsia="仿宋_GB2312" w:cs="仿宋_GB2312"/>
                <w:szCs w:val="21"/>
              </w:rPr>
            </w:pPr>
            <w:r>
              <w:rPr>
                <w:rFonts w:hint="eastAsia" w:ascii="仿宋" w:hAnsi="仿宋" w:eastAsia="仿宋"/>
                <w:szCs w:val="21"/>
              </w:rPr>
              <w:t>11</w:t>
            </w:r>
          </w:p>
        </w:tc>
        <w:tc>
          <w:tcPr>
            <w:tcW w:w="2655" w:type="dxa"/>
            <w:vMerge w:val="restart"/>
            <w:vAlign w:val="center"/>
          </w:tcPr>
          <w:p>
            <w:pPr>
              <w:snapToGrid w:val="0"/>
              <w:jc w:val="left"/>
              <w:rPr>
                <w:rFonts w:ascii="仿宋_GB2312" w:hAnsi="仿宋_GB2312" w:eastAsia="仿宋_GB2312" w:cs="仿宋_GB2312"/>
                <w:szCs w:val="21"/>
              </w:rPr>
            </w:pPr>
            <w:r>
              <w:rPr>
                <w:rFonts w:hint="eastAsia" w:ascii="仿宋" w:hAnsi="仿宋" w:eastAsia="仿宋"/>
                <w:szCs w:val="21"/>
              </w:rPr>
              <w:t>特定资格要求</w:t>
            </w: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1、向采购代理机构购买了磋商文件并登记备案</w:t>
            </w:r>
            <w:r>
              <w:rPr>
                <w:rFonts w:hint="eastAsia" w:ascii="仿宋_GB2312" w:hAnsi="仿宋_GB2312" w:eastAsia="仿宋_GB2312" w:cs="仿宋_GB2312"/>
                <w:szCs w:val="21"/>
                <w:lang w:eastAsia="zh-CN"/>
              </w:rPr>
              <w:t>；</w:t>
            </w:r>
          </w:p>
        </w:tc>
        <w:tc>
          <w:tcPr>
            <w:tcW w:w="1178" w:type="dxa"/>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52" w:type="dxa"/>
            <w:vMerge w:val="continue"/>
            <w:vAlign w:val="center"/>
          </w:tcPr>
          <w:p>
            <w:pPr>
              <w:snapToGrid w:val="0"/>
              <w:jc w:val="center"/>
              <w:rPr>
                <w:rFonts w:ascii="仿宋_GB2312" w:hAnsi="仿宋_GB2312" w:eastAsia="仿宋_GB2312" w:cs="仿宋_GB2312"/>
                <w:szCs w:val="21"/>
              </w:rPr>
            </w:pPr>
          </w:p>
        </w:tc>
        <w:tc>
          <w:tcPr>
            <w:tcW w:w="2655" w:type="dxa"/>
            <w:vMerge w:val="continue"/>
            <w:vAlign w:val="center"/>
          </w:tcPr>
          <w:p>
            <w:pPr>
              <w:snapToGrid w:val="0"/>
              <w:jc w:val="left"/>
              <w:rPr>
                <w:rFonts w:ascii="仿宋_GB2312" w:hAnsi="仿宋_GB2312" w:eastAsia="仿宋_GB2312" w:cs="仿宋_GB2312"/>
                <w:szCs w:val="21"/>
              </w:rPr>
            </w:pP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2</w:t>
            </w:r>
            <w:r>
              <w:rPr>
                <w:rFonts w:hint="eastAsia" w:ascii="仿宋_GB2312" w:hAnsi="仿宋_GB2312" w:eastAsia="仿宋_GB2312" w:cs="仿宋_GB2312"/>
                <w:szCs w:val="21"/>
              </w:rPr>
              <w:t>、供应商须具有建设行政主管部门颁发的建筑工程施工总承包三级以上（含三级）资质，且具有有效的安全生产许可证；拟派项目经理具有建筑工程专业二级以上（含二级）注册建造师证书和安全生产考核合格证（B证）</w:t>
            </w:r>
            <w:r>
              <w:rPr>
                <w:rFonts w:hint="eastAsia" w:ascii="仿宋_GB2312" w:hAnsi="仿宋_GB2312" w:eastAsia="仿宋_GB2312" w:cs="仿宋_GB2312"/>
                <w:szCs w:val="21"/>
                <w:lang w:eastAsia="zh-CN"/>
              </w:rPr>
              <w:t>；</w:t>
            </w:r>
          </w:p>
        </w:tc>
        <w:tc>
          <w:tcPr>
            <w:tcW w:w="1178" w:type="dxa"/>
            <w:vMerge w:val="restart"/>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52" w:type="dxa"/>
            <w:vMerge w:val="continue"/>
            <w:vAlign w:val="center"/>
          </w:tcPr>
          <w:p>
            <w:pPr>
              <w:snapToGrid w:val="0"/>
              <w:jc w:val="center"/>
              <w:rPr>
                <w:rFonts w:ascii="仿宋_GB2312" w:hAnsi="仿宋_GB2312" w:eastAsia="仿宋_GB2312" w:cs="仿宋_GB2312"/>
                <w:szCs w:val="21"/>
              </w:rPr>
            </w:pPr>
          </w:p>
        </w:tc>
        <w:tc>
          <w:tcPr>
            <w:tcW w:w="2655" w:type="dxa"/>
            <w:vMerge w:val="continue"/>
            <w:vAlign w:val="center"/>
          </w:tcPr>
          <w:p>
            <w:pPr>
              <w:snapToGrid w:val="0"/>
              <w:jc w:val="left"/>
              <w:rPr>
                <w:rFonts w:ascii="仿宋_GB2312" w:hAnsi="仿宋_GB2312" w:eastAsia="仿宋_GB2312" w:cs="仿宋_GB2312"/>
                <w:szCs w:val="21"/>
              </w:rPr>
            </w:pPr>
          </w:p>
        </w:tc>
        <w:tc>
          <w:tcPr>
            <w:tcW w:w="4677" w:type="dxa"/>
          </w:tcPr>
          <w:p>
            <w:pPr>
              <w:snapToGrid w:val="0"/>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3</w:t>
            </w:r>
            <w:r>
              <w:rPr>
                <w:rFonts w:hint="eastAsia" w:ascii="仿宋_GB2312" w:hAnsi="仿宋_GB2312" w:eastAsia="仿宋_GB2312" w:cs="仿宋_GB2312"/>
                <w:szCs w:val="21"/>
              </w:rPr>
              <w:t>、供应商应授权合法的人员参加磋商全过程，其中法定代表人直接参加磋商的，须出具法人身份证，并与营业执照上信息一致。法定代表人授权代表参加磋商的，须出具法定代表人授权书及授权代表身份证、授权代表本单位证明（养老保险缴纳证明或劳动合同）</w:t>
            </w:r>
            <w:r>
              <w:rPr>
                <w:rFonts w:hint="eastAsia" w:ascii="仿宋_GB2312" w:hAnsi="仿宋_GB2312" w:eastAsia="仿宋_GB2312" w:cs="仿宋_GB2312"/>
                <w:szCs w:val="21"/>
                <w:lang w:eastAsia="zh-CN"/>
              </w:rPr>
              <w:t>。</w:t>
            </w:r>
          </w:p>
        </w:tc>
        <w:tc>
          <w:tcPr>
            <w:tcW w:w="1178" w:type="dxa"/>
            <w:vMerge w:val="continue"/>
            <w:vAlign w:val="center"/>
          </w:tcPr>
          <w:p>
            <w:pPr>
              <w:snapToGrid w:val="0"/>
              <w:ind w:left="425"/>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307" w:type="dxa"/>
            <w:gridSpan w:val="2"/>
            <w:vAlign w:val="center"/>
          </w:tcPr>
          <w:p>
            <w:pPr>
              <w:snapToGrid w:val="0"/>
              <w:ind w:left="425"/>
              <w:jc w:val="center"/>
              <w:rPr>
                <w:rFonts w:ascii="仿宋_GB2312" w:hAnsi="仿宋_GB2312" w:eastAsia="仿宋_GB2312" w:cs="仿宋_GB2312"/>
                <w:szCs w:val="21"/>
              </w:rPr>
            </w:pPr>
            <w:r>
              <w:rPr>
                <w:rFonts w:hint="eastAsia" w:ascii="仿宋_GB2312" w:hAnsi="仿宋_GB2312" w:eastAsia="仿宋_GB2312" w:cs="仿宋_GB2312"/>
                <w:szCs w:val="21"/>
              </w:rPr>
              <w:t>结论</w:t>
            </w:r>
          </w:p>
        </w:tc>
        <w:tc>
          <w:tcPr>
            <w:tcW w:w="5855" w:type="dxa"/>
            <w:gridSpan w:val="2"/>
          </w:tcPr>
          <w:p>
            <w:pPr>
              <w:snapToGrid w:val="0"/>
              <w:ind w:left="425"/>
              <w:jc w:val="center"/>
              <w:rPr>
                <w:rFonts w:ascii="仿宋_GB2312" w:hAnsi="仿宋_GB2312" w:eastAsia="仿宋_GB2312" w:cs="仿宋_GB2312"/>
                <w:szCs w:val="21"/>
              </w:rPr>
            </w:pPr>
          </w:p>
        </w:tc>
      </w:tr>
    </w:tbl>
    <w:p>
      <w:pPr>
        <w:spacing w:line="0" w:lineRule="atLeast"/>
        <w:ind w:left="425"/>
        <w:rPr>
          <w:rFonts w:ascii="仿宋_GB2312" w:hAnsi="仿宋_GB2312" w:eastAsia="仿宋_GB2312" w:cs="仿宋_GB2312"/>
          <w:szCs w:val="21"/>
        </w:rPr>
      </w:pPr>
      <w:r>
        <w:rPr>
          <w:rFonts w:hint="eastAsia" w:ascii="仿宋_GB2312" w:hAnsi="仿宋_GB2312" w:eastAsia="仿宋_GB2312" w:cs="仿宋_GB2312"/>
          <w:szCs w:val="21"/>
        </w:rPr>
        <w:t>注：符合要求用“</w:t>
      </w:r>
      <w:r>
        <w:rPr>
          <w:rFonts w:hint="eastAsia" w:ascii="仿宋" w:hAnsi="仿宋" w:eastAsia="仿宋"/>
          <w:szCs w:val="21"/>
        </w:rPr>
        <w:t>√</w:t>
      </w:r>
      <w:r>
        <w:rPr>
          <w:rFonts w:hint="eastAsia" w:ascii="仿宋_GB2312" w:hAnsi="仿宋_GB2312" w:eastAsia="仿宋_GB2312" w:cs="仿宋_GB2312"/>
          <w:szCs w:val="21"/>
        </w:rPr>
        <w:t>”表示，不符合用“×”表示。有一项不符合要求，结论为不合格。</w:t>
      </w:r>
    </w:p>
    <w:p>
      <w:pPr>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szCs w:val="21"/>
        </w:rPr>
        <w:br w:type="page"/>
      </w:r>
      <w:r>
        <w:rPr>
          <w:rFonts w:hint="eastAsia" w:ascii="仿宋_GB2312" w:hAnsi="仿宋_GB2312" w:eastAsia="仿宋_GB2312" w:cs="仿宋_GB2312"/>
          <w:b/>
          <w:sz w:val="30"/>
          <w:szCs w:val="30"/>
        </w:rPr>
        <w:t>附表二 符合性审查表</w:t>
      </w:r>
    </w:p>
    <w:tbl>
      <w:tblPr>
        <w:tblStyle w:val="50"/>
        <w:tblW w:w="927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97"/>
        <w:gridCol w:w="1901"/>
        <w:gridCol w:w="5167"/>
        <w:gridCol w:w="13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tabs>
                <w:tab w:val="left" w:pos="1260"/>
                <w:tab w:val="left" w:pos="1620"/>
              </w:tabs>
              <w:adjustRightInd w:val="0"/>
              <w:snapToGrid w:val="0"/>
              <w:jc w:val="center"/>
              <w:textAlignment w:val="baseline"/>
              <w:rPr>
                <w:rFonts w:ascii="仿宋_GB2312" w:hAnsi="仿宋_GB2312" w:eastAsia="仿宋_GB2312" w:cs="仿宋_GB2312"/>
                <w:b/>
                <w:caps/>
                <w:szCs w:val="21"/>
              </w:rPr>
            </w:pPr>
            <w:r>
              <w:rPr>
                <w:rFonts w:hint="eastAsia" w:ascii="仿宋_GB2312" w:hAnsi="仿宋_GB2312" w:eastAsia="仿宋_GB2312" w:cs="仿宋_GB2312"/>
                <w:b/>
                <w:caps/>
                <w:szCs w:val="21"/>
              </w:rPr>
              <w:t>序号</w:t>
            </w:r>
          </w:p>
        </w:tc>
        <w:tc>
          <w:tcPr>
            <w:tcW w:w="1901" w:type="dxa"/>
            <w:vAlign w:val="center"/>
          </w:tcPr>
          <w:p>
            <w:pPr>
              <w:tabs>
                <w:tab w:val="left" w:pos="1260"/>
                <w:tab w:val="left" w:pos="1620"/>
              </w:tabs>
              <w:adjustRightInd w:val="0"/>
              <w:snapToGrid w:val="0"/>
              <w:jc w:val="center"/>
              <w:textAlignment w:val="baseline"/>
              <w:rPr>
                <w:rFonts w:ascii="仿宋_GB2312" w:hAnsi="仿宋_GB2312" w:eastAsia="仿宋_GB2312" w:cs="仿宋_GB2312"/>
                <w:b/>
                <w:caps/>
                <w:szCs w:val="21"/>
              </w:rPr>
            </w:pPr>
            <w:r>
              <w:rPr>
                <w:rFonts w:hint="eastAsia" w:ascii="仿宋_GB2312" w:hAnsi="仿宋_GB2312" w:eastAsia="仿宋_GB2312" w:cs="仿宋_GB2312"/>
                <w:b/>
                <w:caps/>
                <w:szCs w:val="21"/>
              </w:rPr>
              <w:t>评审项目</w:t>
            </w:r>
          </w:p>
        </w:tc>
        <w:tc>
          <w:tcPr>
            <w:tcW w:w="5167" w:type="dxa"/>
            <w:vAlign w:val="center"/>
          </w:tcPr>
          <w:p>
            <w:pPr>
              <w:tabs>
                <w:tab w:val="left" w:pos="1260"/>
                <w:tab w:val="left" w:pos="1620"/>
              </w:tabs>
              <w:adjustRightInd w:val="0"/>
              <w:snapToGrid w:val="0"/>
              <w:jc w:val="center"/>
              <w:textAlignment w:val="baseline"/>
              <w:rPr>
                <w:rFonts w:ascii="仿宋_GB2312" w:hAnsi="仿宋_GB2312" w:eastAsia="仿宋_GB2312" w:cs="仿宋_GB2312"/>
                <w:b/>
                <w:caps/>
                <w:szCs w:val="21"/>
              </w:rPr>
            </w:pPr>
            <w:r>
              <w:rPr>
                <w:rFonts w:hint="eastAsia" w:ascii="仿宋_GB2312" w:hAnsi="仿宋_GB2312" w:eastAsia="仿宋_GB2312" w:cs="仿宋_GB2312"/>
                <w:b/>
                <w:caps/>
                <w:szCs w:val="21"/>
              </w:rPr>
              <w:t>评审标准</w:t>
            </w:r>
          </w:p>
        </w:tc>
        <w:tc>
          <w:tcPr>
            <w:tcW w:w="1313" w:type="dxa"/>
            <w:vAlign w:val="center"/>
          </w:tcPr>
          <w:p>
            <w:pPr>
              <w:tabs>
                <w:tab w:val="left" w:pos="1260"/>
                <w:tab w:val="left" w:pos="1620"/>
              </w:tabs>
              <w:adjustRightInd w:val="0"/>
              <w:snapToGrid w:val="0"/>
              <w:jc w:val="center"/>
              <w:textAlignment w:val="baseline"/>
              <w:rPr>
                <w:rFonts w:ascii="仿宋_GB2312" w:hAnsi="仿宋_GB2312" w:eastAsia="仿宋_GB2312" w:cs="仿宋_GB2312"/>
                <w:b/>
                <w:caps/>
                <w:szCs w:val="21"/>
              </w:rPr>
            </w:pPr>
            <w:r>
              <w:rPr>
                <w:rFonts w:hint="eastAsia" w:ascii="仿宋_GB2312" w:hAnsi="仿宋_GB2312" w:eastAsia="仿宋_GB2312" w:cs="仿宋_GB2312"/>
                <w:b/>
                <w:caps/>
                <w:szCs w:val="21"/>
              </w:rPr>
              <w:t>评审结论</w:t>
            </w:r>
          </w:p>
          <w:p>
            <w:pPr>
              <w:tabs>
                <w:tab w:val="left" w:pos="1260"/>
                <w:tab w:val="left" w:pos="1620"/>
              </w:tabs>
              <w:adjustRightInd w:val="0"/>
              <w:snapToGrid w:val="0"/>
              <w:jc w:val="center"/>
              <w:textAlignment w:val="baseline"/>
              <w:rPr>
                <w:rFonts w:ascii="仿宋_GB2312" w:hAnsi="仿宋_GB2312" w:eastAsia="仿宋_GB2312" w:cs="仿宋_GB2312"/>
                <w:b/>
                <w:caps/>
                <w:szCs w:val="21"/>
              </w:rPr>
            </w:pPr>
            <w:r>
              <w:rPr>
                <w:rFonts w:hint="eastAsia" w:ascii="仿宋_GB2312" w:hAnsi="仿宋_GB2312" w:eastAsia="仿宋_GB2312" w:cs="仿宋_GB2312"/>
                <w:b/>
                <w:caps/>
                <w:szCs w:val="21"/>
              </w:rPr>
              <w:t>（</w:t>
            </w:r>
            <w:r>
              <w:rPr>
                <w:rFonts w:hint="eastAsia" w:ascii="仿宋" w:hAnsi="仿宋" w:eastAsia="仿宋"/>
                <w:szCs w:val="21"/>
              </w:rPr>
              <w:t>√</w:t>
            </w:r>
            <w:r>
              <w:rPr>
                <w:rFonts w:hint="eastAsia" w:ascii="仿宋_GB2312" w:hAnsi="仿宋_GB2312" w:eastAsia="仿宋_GB2312" w:cs="仿宋_GB2312"/>
                <w:b/>
                <w:caps/>
                <w:szCs w:val="21"/>
              </w:rPr>
              <w:t>/</w:t>
            </w:r>
            <w:r>
              <w:rPr>
                <w:rFonts w:hint="eastAsia" w:ascii="仿宋_GB2312" w:hAnsi="仿宋_GB2312" w:eastAsia="仿宋_GB2312" w:cs="仿宋_GB2312"/>
                <w:szCs w:val="21"/>
              </w:rPr>
              <w:t>×</w:t>
            </w:r>
            <w:r>
              <w:rPr>
                <w:rFonts w:hint="eastAsia" w:ascii="仿宋_GB2312" w:hAnsi="仿宋_GB2312" w:eastAsia="仿宋_GB2312" w:cs="仿宋_GB2312"/>
                <w:b/>
                <w:caps/>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ilvl w:val="0"/>
                <w:numId w:val="12"/>
              </w:numPr>
              <w:tabs>
                <w:tab w:val="left" w:pos="1260"/>
                <w:tab w:val="left" w:pos="1620"/>
              </w:tabs>
              <w:adjustRightInd w:val="0"/>
              <w:snapToGrid w:val="0"/>
              <w:ind w:left="0" w:firstLine="210" w:firstLineChars="100"/>
              <w:jc w:val="center"/>
              <w:textAlignment w:val="baseline"/>
              <w:rPr>
                <w:rFonts w:ascii="仿宋_GB2312" w:hAnsi="仿宋_GB2312" w:eastAsia="仿宋_GB2312" w:cs="仿宋_GB2312"/>
                <w:szCs w:val="21"/>
              </w:rPr>
            </w:pP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响应文件签署盖章</w:t>
            </w:r>
          </w:p>
        </w:tc>
        <w:tc>
          <w:tcPr>
            <w:tcW w:w="5167"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按磋商文件格式要求加盖了供应商公章和有法定代表人或其授权代表签字或加盖人名章。</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ilvl w:val="0"/>
                <w:numId w:val="12"/>
              </w:numPr>
              <w:tabs>
                <w:tab w:val="left" w:pos="1260"/>
                <w:tab w:val="left" w:pos="1620"/>
              </w:tabs>
              <w:adjustRightInd w:val="0"/>
              <w:snapToGrid w:val="0"/>
              <w:ind w:left="0" w:firstLine="210" w:firstLineChars="100"/>
              <w:jc w:val="center"/>
              <w:textAlignment w:val="baseline"/>
              <w:rPr>
                <w:rFonts w:ascii="仿宋_GB2312" w:hAnsi="仿宋_GB2312" w:eastAsia="仿宋_GB2312" w:cs="仿宋_GB2312"/>
                <w:szCs w:val="21"/>
              </w:rPr>
            </w:pP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报价</w:t>
            </w:r>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供应商报价是固定价且未超过预算金额（磋商文件有最高限价的，报价未超过最高限价）</w:t>
            </w:r>
            <w:r>
              <w:rPr>
                <w:rFonts w:hint="eastAsia" w:ascii="仿宋_GB2312" w:hAnsi="仿宋_GB2312" w:eastAsia="仿宋_GB2312" w:cs="仿宋_GB2312"/>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97" w:type="dxa"/>
            <w:vAlign w:val="center"/>
          </w:tcPr>
          <w:p>
            <w:pPr>
              <w:numPr>
                <w:ilvl w:val="0"/>
                <w:numId w:val="12"/>
              </w:numPr>
              <w:tabs>
                <w:tab w:val="left" w:pos="1260"/>
                <w:tab w:val="left" w:pos="1620"/>
              </w:tabs>
              <w:adjustRightInd w:val="0"/>
              <w:snapToGrid w:val="0"/>
              <w:ind w:left="0" w:firstLine="210" w:firstLineChars="100"/>
              <w:jc w:val="center"/>
              <w:textAlignment w:val="baseline"/>
              <w:rPr>
                <w:rFonts w:ascii="仿宋_GB2312" w:hAnsi="仿宋_GB2312" w:eastAsia="仿宋_GB2312" w:cs="仿宋_GB2312"/>
                <w:szCs w:val="21"/>
              </w:rPr>
            </w:pP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附加条件</w:t>
            </w:r>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响应文件不含有采购人不能接受的附加条件</w:t>
            </w:r>
            <w:r>
              <w:rPr>
                <w:rFonts w:hint="eastAsia" w:ascii="仿宋_GB2312" w:hAnsi="仿宋_GB2312" w:eastAsia="仿宋_GB2312" w:cs="仿宋_GB2312"/>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97" w:type="dxa"/>
            <w:vAlign w:val="center"/>
          </w:tcPr>
          <w:p>
            <w:pPr>
              <w:numPr>
                <w:ilvl w:val="0"/>
                <w:numId w:val="12"/>
              </w:numPr>
              <w:tabs>
                <w:tab w:val="left" w:pos="1260"/>
                <w:tab w:val="left" w:pos="1620"/>
              </w:tabs>
              <w:adjustRightInd w:val="0"/>
              <w:snapToGrid w:val="0"/>
              <w:ind w:left="0" w:firstLine="210" w:firstLineChars="100"/>
              <w:jc w:val="center"/>
              <w:textAlignment w:val="baseline"/>
              <w:rPr>
                <w:rFonts w:ascii="仿宋_GB2312" w:hAnsi="仿宋_GB2312" w:eastAsia="仿宋_GB2312" w:cs="仿宋_GB2312"/>
                <w:szCs w:val="21"/>
              </w:rPr>
            </w:pPr>
          </w:p>
        </w:tc>
        <w:tc>
          <w:tcPr>
            <w:tcW w:w="1901"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rPr>
            </w:pPr>
            <w:r>
              <w:rPr>
                <w:rFonts w:hint="eastAsia" w:ascii="仿宋_GB2312" w:hAnsi="仿宋_GB2312" w:eastAsia="仿宋_GB2312" w:cs="仿宋_GB2312"/>
                <w:szCs w:val="21"/>
              </w:rPr>
              <w:t>其他无效情形</w:t>
            </w:r>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无法律、法规和磋商文件规定的其他无效情形</w:t>
            </w:r>
            <w:r>
              <w:rPr>
                <w:rFonts w:hint="eastAsia" w:ascii="仿宋_GB2312" w:hAnsi="仿宋_GB2312" w:eastAsia="仿宋_GB2312" w:cs="仿宋_GB2312"/>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5.1）</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响应文件有效期</w:t>
            </w:r>
          </w:p>
        </w:tc>
        <w:tc>
          <w:tcPr>
            <w:tcW w:w="5167"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有效期满足磋商文件要求的；</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2）</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响应文件格式</w:t>
            </w:r>
          </w:p>
        </w:tc>
        <w:tc>
          <w:tcPr>
            <w:tcW w:w="5167"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响应文件按规定的格式填写，内容完整且关键字迹清晰；</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64"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3）</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备选方案</w:t>
            </w:r>
          </w:p>
        </w:tc>
        <w:tc>
          <w:tcPr>
            <w:tcW w:w="5167" w:type="dxa"/>
            <w:vAlign w:val="center"/>
          </w:tcPr>
          <w:p>
            <w:pPr>
              <w:tabs>
                <w:tab w:val="left" w:pos="1260"/>
                <w:tab w:val="left" w:pos="1620"/>
              </w:tabs>
              <w:adjustRightInd w:val="0"/>
              <w:snapToGrid w:val="0"/>
              <w:textAlignment w:val="baseline"/>
              <w:rPr>
                <w:rFonts w:ascii="仿宋_GB2312" w:hAnsi="仿宋_GB2312" w:eastAsia="仿宋_GB2312" w:cs="仿宋_GB2312"/>
                <w:strike/>
                <w:szCs w:val="21"/>
              </w:rPr>
            </w:pPr>
            <w:r>
              <w:rPr>
                <w:rFonts w:hint="eastAsia" w:ascii="仿宋_GB2312" w:hAnsi="仿宋_GB2312" w:eastAsia="仿宋_GB2312" w:cs="仿宋_GB2312"/>
                <w:szCs w:val="21"/>
              </w:rPr>
              <w:t>供应商不得提交两份或者多份内容不同的响应文件，或者在同一份响应文件中对同一磋商项目有两个或者多个报价；</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4）</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响应文件内容</w:t>
            </w:r>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供应商提供的工程内容无实质性遗漏</w:t>
            </w:r>
            <w:r>
              <w:rPr>
                <w:rFonts w:hint="eastAsia" w:ascii="仿宋_GB2312" w:hAnsi="仿宋_GB2312" w:eastAsia="仿宋_GB2312" w:cs="仿宋_GB2312"/>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5）</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szCs w:val="21"/>
              </w:rPr>
              <w:t>技术响应</w:t>
            </w:r>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符合“第五章采购内容及要求”，无重大偏差</w:t>
            </w:r>
            <w:r>
              <w:rPr>
                <w:rFonts w:hint="eastAsia" w:ascii="仿宋_GB2312" w:hAnsi="仿宋_GB2312" w:eastAsia="仿宋_GB2312" w:cs="仿宋_GB2312"/>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6）</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iCs/>
                <w:szCs w:val="21"/>
              </w:rPr>
            </w:pPr>
            <w:r>
              <w:rPr>
                <w:rFonts w:hint="eastAsia" w:ascii="仿宋_GB2312" w:hAnsi="仿宋_GB2312" w:eastAsia="仿宋_GB2312" w:cs="仿宋_GB2312"/>
                <w:iCs/>
                <w:szCs w:val="21"/>
              </w:rPr>
              <w:t>工期</w:t>
            </w:r>
          </w:p>
        </w:tc>
        <w:tc>
          <w:tcPr>
            <w:tcW w:w="5167" w:type="dxa"/>
            <w:vAlign w:val="center"/>
          </w:tcPr>
          <w:p>
            <w:pPr>
              <w:tabs>
                <w:tab w:val="left" w:pos="1260"/>
                <w:tab w:val="left" w:pos="1620"/>
              </w:tabs>
              <w:adjustRightInd w:val="0"/>
              <w:snapToGrid w:val="0"/>
              <w:textAlignment w:val="baseline"/>
              <w:rPr>
                <w:rFonts w:ascii="仿宋_GB2312" w:hAnsi="仿宋_GB2312" w:eastAsia="仿宋_GB2312" w:cs="仿宋_GB2312"/>
                <w:iCs/>
                <w:szCs w:val="21"/>
              </w:rPr>
            </w:pPr>
            <w:r>
              <w:rPr>
                <w:rFonts w:hint="eastAsia" w:ascii="仿宋_GB2312" w:hAnsi="仿宋_GB2312" w:eastAsia="仿宋_GB2312" w:cs="仿宋_GB2312"/>
                <w:iCs/>
                <w:szCs w:val="21"/>
              </w:rPr>
              <w:t>满足磋商文件要求；</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97" w:type="dxa"/>
            <w:vAlign w:val="center"/>
          </w:tcPr>
          <w:p>
            <w:pPr>
              <w:numPr>
                <w:numId w:val="0"/>
              </w:numPr>
              <w:tabs>
                <w:tab w:val="left" w:pos="1260"/>
                <w:tab w:val="left" w:pos="1620"/>
              </w:tabs>
              <w:adjustRightInd w:val="0"/>
              <w:snapToGrid w:val="0"/>
              <w:ind w:leftChars="100"/>
              <w:jc w:val="center"/>
              <w:textAlignment w:val="baseline"/>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7）</w:t>
            </w:r>
          </w:p>
        </w:tc>
        <w:tc>
          <w:tcPr>
            <w:tcW w:w="1901" w:type="dxa"/>
            <w:vAlign w:val="center"/>
          </w:tcPr>
          <w:p>
            <w:pPr>
              <w:tabs>
                <w:tab w:val="left" w:pos="1260"/>
                <w:tab w:val="left" w:pos="1620"/>
              </w:tabs>
              <w:adjustRightInd w:val="0"/>
              <w:snapToGrid w:val="0"/>
              <w:textAlignment w:val="baseline"/>
              <w:rPr>
                <w:rFonts w:ascii="仿宋_GB2312" w:hAnsi="仿宋_GB2312" w:eastAsia="仿宋_GB2312" w:cs="仿宋_GB2312"/>
                <w:iCs/>
                <w:szCs w:val="21"/>
              </w:rPr>
            </w:pPr>
            <w:r>
              <w:rPr>
                <w:rFonts w:hint="eastAsia" w:ascii="仿宋_GB2312" w:hAnsi="仿宋_GB2312" w:eastAsia="仿宋_GB2312" w:cs="仿宋_GB2312"/>
                <w:iCs/>
                <w:szCs w:val="21"/>
              </w:rPr>
              <w:t>付款方式</w:t>
            </w:r>
            <w:bookmarkStart w:id="519" w:name="_GoBack"/>
            <w:bookmarkEnd w:id="519"/>
          </w:p>
        </w:tc>
        <w:tc>
          <w:tcPr>
            <w:tcW w:w="5167" w:type="dxa"/>
            <w:vAlign w:val="center"/>
          </w:tcPr>
          <w:p>
            <w:pPr>
              <w:tabs>
                <w:tab w:val="left" w:pos="1260"/>
                <w:tab w:val="left" w:pos="1620"/>
              </w:tabs>
              <w:adjustRightInd w:val="0"/>
              <w:snapToGrid w:val="0"/>
              <w:textAlignment w:val="baseline"/>
              <w:rPr>
                <w:rFonts w:hint="eastAsia" w:ascii="仿宋_GB2312" w:hAnsi="仿宋_GB2312" w:eastAsia="仿宋_GB2312" w:cs="仿宋_GB2312"/>
                <w:iCs/>
                <w:szCs w:val="21"/>
                <w:lang w:eastAsia="zh-CN"/>
              </w:rPr>
            </w:pPr>
            <w:r>
              <w:rPr>
                <w:rFonts w:hint="eastAsia" w:ascii="仿宋_GB2312" w:hAnsi="仿宋_GB2312" w:eastAsia="仿宋_GB2312" w:cs="仿宋_GB2312"/>
                <w:iCs/>
                <w:szCs w:val="21"/>
              </w:rPr>
              <w:t>磋商文件不允许偏差时，响应文件无负偏差</w:t>
            </w:r>
            <w:r>
              <w:rPr>
                <w:rFonts w:hint="eastAsia" w:ascii="仿宋_GB2312" w:hAnsi="仿宋_GB2312" w:eastAsia="仿宋_GB2312" w:cs="仿宋_GB2312"/>
                <w:iCs/>
                <w:szCs w:val="21"/>
                <w:lang w:eastAsia="zh-CN"/>
              </w:rPr>
              <w:t>。</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3" w:hRule="atLeast"/>
          <w:jc w:val="center"/>
        </w:trPr>
        <w:tc>
          <w:tcPr>
            <w:tcW w:w="7965" w:type="dxa"/>
            <w:gridSpan w:val="3"/>
            <w:vAlign w:val="center"/>
          </w:tcPr>
          <w:p>
            <w:pPr>
              <w:tabs>
                <w:tab w:val="left" w:pos="1260"/>
                <w:tab w:val="left" w:pos="1620"/>
              </w:tabs>
              <w:adjustRightInd w:val="0"/>
              <w:snapToGrid w:val="0"/>
              <w:textAlignment w:val="baseline"/>
              <w:rPr>
                <w:rFonts w:ascii="仿宋_GB2312" w:hAnsi="仿宋_GB2312" w:eastAsia="仿宋_GB2312" w:cs="仿宋_GB2312"/>
                <w:szCs w:val="21"/>
              </w:rPr>
            </w:pPr>
            <w:r>
              <w:rPr>
                <w:rFonts w:hint="eastAsia" w:ascii="仿宋_GB2312" w:hAnsi="仿宋_GB2312" w:eastAsia="仿宋_GB2312" w:cs="仿宋_GB2312"/>
                <w:b/>
                <w:szCs w:val="21"/>
              </w:rPr>
              <w:t>结论（通过或未通过）</w:t>
            </w:r>
          </w:p>
        </w:tc>
        <w:tc>
          <w:tcPr>
            <w:tcW w:w="1313" w:type="dxa"/>
            <w:vAlign w:val="center"/>
          </w:tcPr>
          <w:p>
            <w:pPr>
              <w:tabs>
                <w:tab w:val="left" w:pos="1260"/>
                <w:tab w:val="left" w:pos="1620"/>
              </w:tabs>
              <w:adjustRightInd w:val="0"/>
              <w:snapToGrid w:val="0"/>
              <w:textAlignment w:val="baseline"/>
              <w:rPr>
                <w:rFonts w:ascii="仿宋_GB2312" w:hAnsi="仿宋_GB2312" w:eastAsia="仿宋_GB2312" w:cs="仿宋_GB2312"/>
                <w:szCs w:val="21"/>
              </w:rPr>
            </w:pPr>
          </w:p>
        </w:tc>
      </w:tr>
    </w:tbl>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注：1、符合磋商文件要求用“</w:t>
      </w:r>
      <w:r>
        <w:rPr>
          <w:rFonts w:hint="eastAsia" w:ascii="仿宋" w:hAnsi="仿宋" w:eastAsia="仿宋"/>
          <w:b/>
          <w:szCs w:val="21"/>
        </w:rPr>
        <w:t>√</w:t>
      </w:r>
      <w:r>
        <w:rPr>
          <w:rFonts w:hint="eastAsia" w:ascii="仿宋_GB2312" w:hAnsi="仿宋_GB2312" w:eastAsia="仿宋_GB2312" w:cs="仿宋_GB2312"/>
          <w:b/>
          <w:szCs w:val="21"/>
        </w:rPr>
        <w:t>”表示，不符合用“×”表示。有一项不符合要求，结论为不合格。</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2、有下列情形之一的，视为供应商相互串通：</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（1）不同供应商的响应文件由同一单位或者个人编制；</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（2）不同供应商委托同一单位或者个人办理参与磋商事宜；</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（3）不同供应商的响应文件载明的项目管理成员或者联系人员为同一人；</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（4）不同供应商的响应文件异常一致或者报价呈规律性差异；</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（5）不同供应商的响应文件相互混装；</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（6）不同供应商的磋商保证金从同一单位或者个人的账户转出。</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3、有下列情形之一的，属于提供虚假材料谋取成交的行为：</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（1）使用伪造、变造的许可证件；</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（2）提供虚假的财务状况或者业绩；</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（3）提供虚假的项目负责人或者主要技术人员简历、劳动关系证明；</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（4）提供虚假的信用状况；</w:t>
      </w:r>
    </w:p>
    <w:p>
      <w:pPr>
        <w:tabs>
          <w:tab w:val="left" w:pos="1260"/>
          <w:tab w:val="left" w:pos="1620"/>
        </w:tabs>
        <w:adjustRightInd w:val="0"/>
        <w:spacing w:line="360" w:lineRule="auto"/>
        <w:jc w:val="left"/>
        <w:textAlignment w:val="baseline"/>
        <w:rPr>
          <w:rFonts w:ascii="仿宋_GB2312" w:hAnsi="仿宋_GB2312" w:eastAsia="仿宋_GB2312" w:cs="仿宋_GB2312"/>
          <w:b/>
          <w:szCs w:val="21"/>
        </w:rPr>
      </w:pPr>
      <w:r>
        <w:rPr>
          <w:rFonts w:hint="eastAsia" w:ascii="仿宋_GB2312" w:hAnsi="仿宋_GB2312" w:eastAsia="仿宋_GB2312" w:cs="仿宋_GB2312"/>
          <w:b/>
          <w:szCs w:val="21"/>
        </w:rPr>
        <w:t>（5）其他弄虚作假的行为。</w:t>
      </w:r>
      <w:r>
        <w:rPr>
          <w:rFonts w:hint="eastAsia" w:ascii="仿宋_GB2312" w:hAnsi="仿宋_GB2312" w:eastAsia="仿宋_GB2312" w:cs="仿宋_GB2312"/>
          <w:b/>
          <w:szCs w:val="21"/>
        </w:rPr>
        <w:br w:type="page"/>
      </w:r>
    </w:p>
    <w:p>
      <w:pPr>
        <w:jc w:val="center"/>
        <w:rPr>
          <w:rFonts w:ascii="仿宋_GB2312" w:hAnsi="仿宋_GB2312" w:eastAsia="仿宋_GB2312" w:cs="仿宋_GB2312"/>
          <w:b/>
          <w:sz w:val="30"/>
          <w:szCs w:val="30"/>
        </w:rPr>
      </w:pPr>
      <w:bookmarkStart w:id="408" w:name="_Toc410631198"/>
      <w:bookmarkStart w:id="409" w:name="_Toc414446034"/>
      <w:bookmarkStart w:id="410" w:name="_Toc7005048"/>
      <w:r>
        <w:rPr>
          <w:rFonts w:hint="eastAsia" w:ascii="仿宋_GB2312" w:hAnsi="仿宋_GB2312" w:eastAsia="仿宋_GB2312" w:cs="仿宋_GB2312"/>
          <w:b/>
          <w:sz w:val="30"/>
          <w:szCs w:val="30"/>
        </w:rPr>
        <w:t>附表三 商务评审因素及分值分配表</w:t>
      </w:r>
      <w:bookmarkEnd w:id="408"/>
      <w:bookmarkEnd w:id="409"/>
      <w:bookmarkEnd w:id="410"/>
    </w:p>
    <w:p>
      <w:pPr>
        <w:tabs>
          <w:tab w:val="left" w:pos="-94"/>
          <w:tab w:val="left" w:pos="1620"/>
        </w:tabs>
        <w:adjustRightInd w:val="0"/>
        <w:spacing w:line="360" w:lineRule="auto"/>
        <w:ind w:left="23" w:leftChars="11"/>
        <w:jc w:val="center"/>
        <w:textAlignment w:val="baseline"/>
        <w:rPr>
          <w:rFonts w:ascii="仿宋_GB2312" w:hAnsi="仿宋_GB2312" w:eastAsia="仿宋_GB2312" w:cs="仿宋_GB2312"/>
          <w:szCs w:val="21"/>
        </w:rPr>
      </w:pPr>
      <w:r>
        <w:rPr>
          <w:rFonts w:hint="eastAsia" w:ascii="仿宋_GB2312" w:hAnsi="仿宋_GB2312" w:eastAsia="仿宋_GB2312" w:cs="仿宋_GB2312"/>
          <w:szCs w:val="21"/>
        </w:rPr>
        <w:t>（满分</w:t>
      </w:r>
      <w:r>
        <w:rPr>
          <w:rFonts w:hint="eastAsia" w:ascii="仿宋_GB2312" w:hAnsi="仿宋_GB2312" w:eastAsia="仿宋_GB2312" w:cs="仿宋_GB2312"/>
          <w:szCs w:val="21"/>
          <w:lang w:val="en-US" w:eastAsia="zh-CN"/>
        </w:rPr>
        <w:t>8</w:t>
      </w:r>
      <w:r>
        <w:rPr>
          <w:rFonts w:hint="eastAsia" w:ascii="仿宋_GB2312" w:hAnsi="仿宋_GB2312" w:eastAsia="仿宋_GB2312" w:cs="仿宋_GB2312"/>
          <w:szCs w:val="21"/>
        </w:rPr>
        <w:t>分）</w:t>
      </w:r>
    </w:p>
    <w:p>
      <w:pPr>
        <w:tabs>
          <w:tab w:val="left" w:pos="-94"/>
          <w:tab w:val="left" w:pos="1620"/>
        </w:tabs>
        <w:adjustRightInd w:val="0"/>
        <w:spacing w:line="360" w:lineRule="auto"/>
        <w:ind w:left="23" w:leftChars="11"/>
        <w:jc w:val="center"/>
        <w:textAlignment w:val="baseline"/>
        <w:rPr>
          <w:rFonts w:ascii="仿宋_GB2312" w:hAnsi="仿宋_GB2312" w:eastAsia="仿宋_GB2312" w:cs="仿宋_GB2312"/>
          <w:b/>
          <w:szCs w:val="21"/>
        </w:rPr>
      </w:pPr>
    </w:p>
    <w:tbl>
      <w:tblPr>
        <w:tblStyle w:val="50"/>
        <w:tblW w:w="8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589"/>
        <w:gridCol w:w="5301"/>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546" w:type="dxa"/>
            <w:vAlign w:val="center"/>
          </w:tcPr>
          <w:p>
            <w:pPr>
              <w:jc w:val="center"/>
              <w:rPr>
                <w:rFonts w:ascii="仿宋_GB2312" w:hAnsi="仿宋_GB2312" w:eastAsia="仿宋_GB2312" w:cs="仿宋_GB2312"/>
              </w:rPr>
            </w:pPr>
            <w:r>
              <w:rPr>
                <w:rFonts w:hint="eastAsia" w:ascii="仿宋_GB2312" w:hAnsi="仿宋_GB2312" w:eastAsia="仿宋_GB2312" w:cs="仿宋_GB2312"/>
              </w:rPr>
              <w:t>序号</w:t>
            </w:r>
          </w:p>
        </w:tc>
        <w:tc>
          <w:tcPr>
            <w:tcW w:w="1589" w:type="dxa"/>
            <w:vAlign w:val="center"/>
          </w:tcPr>
          <w:p>
            <w:pPr>
              <w:jc w:val="center"/>
              <w:rPr>
                <w:rFonts w:ascii="仿宋_GB2312" w:hAnsi="仿宋_GB2312" w:eastAsia="仿宋_GB2312" w:cs="仿宋_GB2312"/>
              </w:rPr>
            </w:pPr>
            <w:r>
              <w:rPr>
                <w:rFonts w:hint="eastAsia" w:ascii="仿宋_GB2312" w:hAnsi="仿宋_GB2312" w:eastAsia="仿宋_GB2312" w:cs="仿宋_GB2312"/>
              </w:rPr>
              <w:t>评审内容</w:t>
            </w:r>
          </w:p>
        </w:tc>
        <w:tc>
          <w:tcPr>
            <w:tcW w:w="5301" w:type="dxa"/>
            <w:vAlign w:val="center"/>
          </w:tcPr>
          <w:p>
            <w:pPr>
              <w:jc w:val="center"/>
              <w:rPr>
                <w:rFonts w:ascii="仿宋_GB2312" w:hAnsi="仿宋_GB2312" w:eastAsia="仿宋_GB2312" w:cs="仿宋_GB2312"/>
              </w:rPr>
            </w:pPr>
            <w:r>
              <w:rPr>
                <w:rFonts w:hint="eastAsia" w:ascii="仿宋_GB2312" w:hAnsi="仿宋_GB2312" w:eastAsia="仿宋_GB2312" w:cs="仿宋_GB2312"/>
              </w:rPr>
              <w:t>评  审  标  准</w:t>
            </w:r>
          </w:p>
        </w:tc>
        <w:tc>
          <w:tcPr>
            <w:tcW w:w="1060" w:type="dxa"/>
            <w:vAlign w:val="center"/>
          </w:tcPr>
          <w:p>
            <w:pPr>
              <w:jc w:val="center"/>
              <w:rPr>
                <w:rFonts w:ascii="仿宋_GB2312" w:hAnsi="仿宋_GB2312" w:eastAsia="仿宋_GB2312" w:cs="仿宋_GB2312"/>
              </w:rPr>
            </w:pPr>
            <w:r>
              <w:rPr>
                <w:rFonts w:hint="eastAsia" w:ascii="仿宋_GB2312" w:hAnsi="仿宋_GB2312" w:eastAsia="仿宋_GB2312" w:cs="仿宋_GB2312"/>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546" w:type="dxa"/>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1</w:t>
            </w:r>
          </w:p>
        </w:tc>
        <w:tc>
          <w:tcPr>
            <w:tcW w:w="1589" w:type="dxa"/>
            <w:vAlign w:val="center"/>
          </w:tcPr>
          <w:p>
            <w:pPr>
              <w:jc w:val="center"/>
              <w:rPr>
                <w:rFonts w:ascii="仿宋_GB2312" w:hAnsi="仿宋_GB2312" w:eastAsia="仿宋_GB2312" w:cs="仿宋_GB2312"/>
                <w:bCs/>
              </w:rPr>
            </w:pPr>
            <w:r>
              <w:rPr>
                <w:rFonts w:hint="eastAsia" w:ascii="仿宋_GB2312" w:hAnsi="仿宋_GB2312" w:eastAsia="仿宋_GB2312" w:cs="仿宋_GB2312"/>
                <w:bCs/>
              </w:rPr>
              <w:t>业绩</w:t>
            </w:r>
          </w:p>
        </w:tc>
        <w:tc>
          <w:tcPr>
            <w:tcW w:w="5301" w:type="dxa"/>
            <w:vAlign w:val="center"/>
          </w:tcPr>
          <w:p>
            <w:pPr>
              <w:rPr>
                <w:rFonts w:ascii="仿宋_GB2312" w:hAnsi="仿宋_GB2312" w:eastAsia="仿宋_GB2312" w:cs="仿宋_GB2312"/>
              </w:rPr>
            </w:pPr>
            <w:r>
              <w:rPr>
                <w:rFonts w:hint="eastAsia" w:ascii="仿宋_GB2312" w:hAnsi="仿宋_GB2312" w:eastAsia="仿宋_GB2312" w:cs="仿宋_GB2312"/>
                <w:lang w:val="zh-CN" w:eastAsia="zh-CN"/>
              </w:rPr>
              <w:t>供应商</w:t>
            </w:r>
            <w:r>
              <w:rPr>
                <w:rFonts w:hint="eastAsia" w:ascii="仿宋_GB2312" w:hAnsi="仿宋_GB2312" w:eastAsia="仿宋_GB2312" w:cs="仿宋_GB2312"/>
                <w:lang w:val="zh-CN"/>
              </w:rPr>
              <w:t>应提供自201</w:t>
            </w:r>
            <w:r>
              <w:rPr>
                <w:rFonts w:hint="eastAsia" w:ascii="仿宋_GB2312" w:hAnsi="仿宋_GB2312" w:eastAsia="仿宋_GB2312" w:cs="仿宋_GB2312"/>
                <w:lang w:val="en-US" w:eastAsia="zh-CN"/>
              </w:rPr>
              <w:t>8</w:t>
            </w:r>
            <w:r>
              <w:rPr>
                <w:rFonts w:hint="eastAsia" w:ascii="仿宋_GB2312" w:hAnsi="仿宋_GB2312" w:eastAsia="仿宋_GB2312" w:cs="仿宋_GB2312"/>
                <w:lang w:val="zh-CN"/>
              </w:rPr>
              <w:t>年1月1日以来同类项目业绩合同，磋商响应文件中附有加盖</w:t>
            </w:r>
            <w:r>
              <w:rPr>
                <w:rFonts w:hint="eastAsia" w:ascii="仿宋_GB2312" w:hAnsi="仿宋_GB2312" w:eastAsia="仿宋_GB2312" w:cs="仿宋_GB2312"/>
                <w:lang w:val="zh-CN" w:eastAsia="zh-CN"/>
              </w:rPr>
              <w:t>供应商</w:t>
            </w:r>
            <w:r>
              <w:rPr>
                <w:rFonts w:hint="eastAsia" w:ascii="仿宋_GB2312" w:hAnsi="仿宋_GB2312" w:eastAsia="仿宋_GB2312" w:cs="仿宋_GB2312"/>
                <w:lang w:val="zh-CN"/>
              </w:rPr>
              <w:t>公章的合同复印件，每提供一项业绩计</w:t>
            </w:r>
            <w:r>
              <w:rPr>
                <w:rFonts w:hint="eastAsia" w:ascii="仿宋_GB2312" w:hAnsi="仿宋_GB2312" w:eastAsia="仿宋_GB2312" w:cs="仿宋_GB2312"/>
                <w:lang w:val="en-US" w:eastAsia="zh-CN"/>
              </w:rPr>
              <w:t>2</w:t>
            </w:r>
            <w:r>
              <w:rPr>
                <w:rFonts w:hint="eastAsia" w:ascii="仿宋_GB2312" w:hAnsi="仿宋_GB2312" w:eastAsia="仿宋_GB2312" w:cs="仿宋_GB2312"/>
                <w:lang w:val="zh-CN"/>
              </w:rPr>
              <w:t>分，满分</w:t>
            </w:r>
            <w:r>
              <w:rPr>
                <w:rFonts w:hint="eastAsia" w:ascii="仿宋_GB2312" w:hAnsi="仿宋_GB2312" w:eastAsia="仿宋_GB2312" w:cs="仿宋_GB2312"/>
                <w:lang w:val="en-US" w:eastAsia="zh-CN"/>
              </w:rPr>
              <w:t>8</w:t>
            </w:r>
            <w:r>
              <w:rPr>
                <w:rFonts w:hint="eastAsia" w:ascii="仿宋_GB2312" w:hAnsi="仿宋_GB2312" w:eastAsia="仿宋_GB2312" w:cs="仿宋_GB2312"/>
                <w:lang w:val="zh-CN"/>
              </w:rPr>
              <w:t>分。（合同原件备查）</w:t>
            </w:r>
          </w:p>
        </w:tc>
        <w:tc>
          <w:tcPr>
            <w:tcW w:w="1060" w:type="dxa"/>
            <w:vAlign w:val="center"/>
          </w:tcPr>
          <w:p>
            <w:pPr>
              <w:jc w:val="center"/>
              <w:rPr>
                <w:rFonts w:ascii="仿宋_GB2312" w:hAnsi="仿宋_GB2312" w:eastAsia="仿宋_GB2312" w:cs="仿宋_GB2312"/>
              </w:rPr>
            </w:pPr>
            <w:r>
              <w:rPr>
                <w:rFonts w:hint="eastAsia" w:ascii="仿宋_GB2312" w:hAnsi="仿宋_GB2312" w:eastAsia="仿宋_GB2312" w:cs="仿宋_GB2312"/>
                <w:lang w:val="en-US" w:eastAsia="zh-CN"/>
              </w:rPr>
              <w:t>8</w:t>
            </w:r>
            <w:r>
              <w:rPr>
                <w:rFonts w:hint="eastAsia" w:ascii="仿宋_GB2312" w:hAnsi="仿宋_GB2312" w:eastAsia="仿宋_GB2312" w:cs="仿宋_GB2312"/>
              </w:rPr>
              <w:t>分</w:t>
            </w:r>
          </w:p>
        </w:tc>
      </w:tr>
    </w:tbl>
    <w:p>
      <w:pPr>
        <w:jc w:val="center"/>
        <w:rPr>
          <w:rFonts w:ascii="仿宋_GB2312" w:hAnsi="仿宋_GB2312" w:eastAsia="仿宋_GB2312" w:cs="仿宋_GB2312"/>
          <w:b/>
          <w:sz w:val="30"/>
          <w:szCs w:val="30"/>
        </w:rPr>
      </w:pPr>
      <w:r>
        <w:rPr>
          <w:rFonts w:hint="eastAsia" w:ascii="仿宋_GB2312" w:hAnsi="仿宋_GB2312" w:eastAsia="仿宋_GB2312" w:cs="仿宋_GB2312"/>
          <w:szCs w:val="21"/>
        </w:rPr>
        <w:br w:type="page"/>
      </w:r>
      <w:bookmarkStart w:id="411" w:name="_Toc410631199"/>
      <w:bookmarkStart w:id="412" w:name="_Toc414446035"/>
      <w:bookmarkStart w:id="413" w:name="_Toc7005063"/>
      <w:r>
        <w:rPr>
          <w:rFonts w:hint="eastAsia" w:ascii="仿宋_GB2312" w:hAnsi="仿宋_GB2312" w:eastAsia="仿宋_GB2312" w:cs="仿宋_GB2312"/>
          <w:b/>
          <w:sz w:val="30"/>
          <w:szCs w:val="30"/>
        </w:rPr>
        <w:t>附表四 技术评审因素及分值分配</w:t>
      </w:r>
      <w:bookmarkEnd w:id="411"/>
      <w:bookmarkEnd w:id="412"/>
      <w:bookmarkEnd w:id="413"/>
    </w:p>
    <w:p>
      <w:pPr>
        <w:tabs>
          <w:tab w:val="left" w:pos="-94"/>
          <w:tab w:val="left" w:pos="1620"/>
        </w:tabs>
        <w:adjustRightInd w:val="0"/>
        <w:spacing w:line="360" w:lineRule="auto"/>
        <w:ind w:left="23" w:leftChars="11"/>
        <w:jc w:val="center"/>
        <w:textAlignment w:val="baseline"/>
        <w:rPr>
          <w:rFonts w:ascii="仿宋_GB2312" w:hAnsi="仿宋_GB2312" w:eastAsia="仿宋_GB2312" w:cs="仿宋_GB2312"/>
          <w:szCs w:val="21"/>
        </w:rPr>
      </w:pPr>
      <w:r>
        <w:rPr>
          <w:rFonts w:hint="eastAsia" w:ascii="仿宋_GB2312" w:hAnsi="仿宋_GB2312" w:eastAsia="仿宋_GB2312" w:cs="仿宋_GB2312"/>
          <w:szCs w:val="21"/>
        </w:rPr>
        <w:t>（总分</w:t>
      </w:r>
      <w:r>
        <w:rPr>
          <w:rFonts w:hint="eastAsia" w:ascii="仿宋_GB2312" w:hAnsi="仿宋_GB2312" w:eastAsia="仿宋_GB2312" w:cs="仿宋_GB2312"/>
          <w:szCs w:val="21"/>
          <w:lang w:val="en-US" w:eastAsia="zh-CN"/>
        </w:rPr>
        <w:t>62</w:t>
      </w:r>
      <w:r>
        <w:rPr>
          <w:rFonts w:hint="eastAsia" w:ascii="仿宋_GB2312" w:hAnsi="仿宋_GB2312" w:eastAsia="仿宋_GB2312" w:cs="仿宋_GB2312"/>
          <w:szCs w:val="21"/>
        </w:rPr>
        <w:t>分）</w:t>
      </w:r>
    </w:p>
    <w:tbl>
      <w:tblPr>
        <w:tblStyle w:val="50"/>
        <w:tblW w:w="8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2125"/>
        <w:gridCol w:w="4753"/>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4" w:type="dxa"/>
            <w:vAlign w:val="center"/>
          </w:tcPr>
          <w:p>
            <w:pPr>
              <w:widowControl/>
              <w:snapToGrid w:val="0"/>
              <w:spacing w:line="360" w:lineRule="auto"/>
              <w:jc w:val="center"/>
              <w:rPr>
                <w:rFonts w:ascii="仿宋_GB2312" w:hAnsi="仿宋_GB2312" w:eastAsia="仿宋_GB2312" w:cs="仿宋_GB2312"/>
                <w:b/>
                <w:kern w:val="0"/>
                <w:szCs w:val="21"/>
              </w:rPr>
            </w:pPr>
            <w:r>
              <w:rPr>
                <w:rFonts w:hint="eastAsia" w:ascii="仿宋_GB2312" w:hAnsi="仿宋_GB2312" w:eastAsia="仿宋_GB2312" w:cs="仿宋_GB2312"/>
                <w:b/>
                <w:kern w:val="0"/>
                <w:szCs w:val="21"/>
              </w:rPr>
              <w:t>序号</w:t>
            </w:r>
          </w:p>
        </w:tc>
        <w:tc>
          <w:tcPr>
            <w:tcW w:w="2125" w:type="dxa"/>
            <w:vAlign w:val="center"/>
          </w:tcPr>
          <w:p>
            <w:pPr>
              <w:widowControl/>
              <w:snapToGrid w:val="0"/>
              <w:spacing w:line="360" w:lineRule="auto"/>
              <w:jc w:val="center"/>
              <w:rPr>
                <w:rFonts w:ascii="仿宋_GB2312" w:hAnsi="仿宋_GB2312" w:eastAsia="仿宋_GB2312" w:cs="仿宋_GB2312"/>
                <w:b/>
                <w:kern w:val="0"/>
                <w:szCs w:val="21"/>
              </w:rPr>
            </w:pPr>
            <w:r>
              <w:rPr>
                <w:rFonts w:hint="eastAsia" w:ascii="仿宋_GB2312" w:hAnsi="仿宋_GB2312" w:eastAsia="仿宋_GB2312" w:cs="仿宋_GB2312"/>
                <w:b/>
                <w:kern w:val="0"/>
                <w:szCs w:val="21"/>
              </w:rPr>
              <w:t>项目</w:t>
            </w:r>
          </w:p>
        </w:tc>
        <w:tc>
          <w:tcPr>
            <w:tcW w:w="4753" w:type="dxa"/>
            <w:vAlign w:val="center"/>
          </w:tcPr>
          <w:p>
            <w:pPr>
              <w:widowControl/>
              <w:snapToGrid w:val="0"/>
              <w:spacing w:line="360" w:lineRule="auto"/>
              <w:jc w:val="center"/>
              <w:rPr>
                <w:rFonts w:ascii="仿宋_GB2312" w:hAnsi="仿宋_GB2312" w:eastAsia="仿宋_GB2312" w:cs="仿宋_GB2312"/>
                <w:b/>
                <w:kern w:val="0"/>
                <w:szCs w:val="21"/>
              </w:rPr>
            </w:pPr>
            <w:r>
              <w:rPr>
                <w:rFonts w:hint="eastAsia" w:ascii="仿宋_GB2312" w:hAnsi="仿宋_GB2312" w:eastAsia="仿宋_GB2312" w:cs="仿宋_GB2312"/>
                <w:b/>
                <w:kern w:val="0"/>
                <w:szCs w:val="21"/>
              </w:rPr>
              <w:t>评分参考标准</w:t>
            </w:r>
          </w:p>
        </w:tc>
        <w:tc>
          <w:tcPr>
            <w:tcW w:w="1434" w:type="dxa"/>
            <w:vAlign w:val="center"/>
          </w:tcPr>
          <w:p>
            <w:pPr>
              <w:widowControl/>
              <w:snapToGrid w:val="0"/>
              <w:spacing w:line="360" w:lineRule="auto"/>
              <w:jc w:val="center"/>
              <w:rPr>
                <w:rFonts w:ascii="仿宋_GB2312" w:hAnsi="仿宋_GB2312" w:eastAsia="仿宋_GB2312" w:cs="仿宋_GB2312"/>
                <w:b/>
                <w:kern w:val="0"/>
                <w:szCs w:val="21"/>
              </w:rPr>
            </w:pPr>
            <w:r>
              <w:rPr>
                <w:rFonts w:hint="eastAsia" w:ascii="仿宋_GB2312" w:hAnsi="仿宋_GB2312" w:eastAsia="仿宋_GB2312" w:cs="仿宋_GB2312"/>
                <w:b/>
                <w:kern w:val="0"/>
                <w:szCs w:val="21"/>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4" w:type="dxa"/>
            <w:vMerge w:val="restart"/>
            <w:vAlign w:val="center"/>
          </w:tcPr>
          <w:p>
            <w:pPr>
              <w:snapToGrid w:val="0"/>
              <w:spacing w:line="360" w:lineRule="auto"/>
              <w:jc w:val="center"/>
              <w:rPr>
                <w:rFonts w:hint="eastAsia"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lang w:val="en-US" w:eastAsia="zh-CN"/>
              </w:rPr>
              <w:t>1</w:t>
            </w:r>
          </w:p>
        </w:tc>
        <w:tc>
          <w:tcPr>
            <w:tcW w:w="2125" w:type="dxa"/>
            <w:vMerge w:val="restart"/>
            <w:vAlign w:val="center"/>
          </w:tcPr>
          <w:p>
            <w:pPr>
              <w:snapToGrid w:val="0"/>
              <w:spacing w:line="360" w:lineRule="auto"/>
              <w:jc w:val="center"/>
              <w:rPr>
                <w:rFonts w:hint="default" w:ascii="仿宋_GB2312" w:hAnsi="仿宋_GB2312" w:eastAsia="仿宋_GB2312" w:cs="仿宋_GB2312"/>
                <w:kern w:val="0"/>
                <w:szCs w:val="21"/>
                <w:lang w:val="en-US" w:eastAsia="zh-CN"/>
              </w:rPr>
            </w:pPr>
            <w:r>
              <w:rPr>
                <w:rFonts w:hint="eastAsia" w:ascii="仿宋_GB2312" w:hAnsi="仿宋_GB2312" w:eastAsia="仿宋_GB2312" w:cs="仿宋_GB2312"/>
                <w:kern w:val="0"/>
                <w:szCs w:val="21"/>
              </w:rPr>
              <w:t>产品指标</w:t>
            </w:r>
            <w:r>
              <w:rPr>
                <w:rFonts w:hint="eastAsia" w:ascii="仿宋_GB2312" w:hAnsi="仿宋_GB2312" w:eastAsia="仿宋_GB2312" w:cs="仿宋_GB2312"/>
                <w:kern w:val="0"/>
                <w:szCs w:val="21"/>
                <w:lang w:val="en-US" w:eastAsia="zh-CN"/>
              </w:rPr>
              <w:t>及售后服务</w:t>
            </w:r>
          </w:p>
          <w:p>
            <w:pPr>
              <w:snapToGrid w:val="0"/>
              <w:spacing w:line="360" w:lineRule="auto"/>
              <w:jc w:val="center"/>
              <w:rPr>
                <w:rFonts w:hint="eastAsia"/>
              </w:rP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22</w:t>
            </w:r>
            <w:r>
              <w:rPr>
                <w:rFonts w:hint="eastAsia" w:ascii="仿宋_GB2312" w:hAnsi="仿宋_GB2312" w:eastAsia="仿宋_GB2312" w:cs="仿宋_GB2312"/>
                <w:kern w:val="0"/>
                <w:szCs w:val="21"/>
              </w:rPr>
              <w:t>分）</w:t>
            </w:r>
          </w:p>
        </w:tc>
        <w:tc>
          <w:tcPr>
            <w:tcW w:w="4753" w:type="dxa"/>
            <w:vAlign w:val="center"/>
          </w:tcPr>
          <w:p>
            <w:pPr>
              <w:snapToGrid w:val="0"/>
              <w:spacing w:line="360" w:lineRule="auto"/>
              <w:rPr>
                <w:rFonts w:hint="eastAsia" w:ascii="仿宋_GB2312" w:hAnsi="仿宋_GB2312" w:eastAsia="仿宋_GB2312" w:cs="仿宋_GB2312"/>
                <w:b/>
                <w:kern w:val="0"/>
                <w:szCs w:val="21"/>
              </w:rPr>
            </w:pPr>
            <w:r>
              <w:rPr>
                <w:rFonts w:hint="eastAsia" w:ascii="仿宋_GB2312" w:hAnsi="仿宋_GB2312" w:eastAsia="仿宋_GB2312" w:cs="仿宋_GB2312"/>
                <w:szCs w:val="21"/>
              </w:rPr>
              <w:t>1</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响应产品内容齐全，产品选型符合磋商文件要求，数量准确，规格符合要求无缺漏项，配置完整，满足采购需求</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widowControl/>
              <w:snapToGrid w:val="0"/>
              <w:spacing w:line="360" w:lineRule="auto"/>
              <w:jc w:val="center"/>
              <w:rPr>
                <w:rFonts w:hint="eastAsia" w:ascii="仿宋_GB2312" w:hAnsi="仿宋_GB2312" w:eastAsia="仿宋_GB2312" w:cs="仿宋_GB2312"/>
                <w:b/>
                <w:kern w:val="0"/>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4" w:type="dxa"/>
            <w:vMerge w:val="continue"/>
            <w:vAlign w:val="center"/>
          </w:tcPr>
          <w:p>
            <w:pPr>
              <w:snapToGrid w:val="0"/>
              <w:spacing w:line="360" w:lineRule="auto"/>
              <w:jc w:val="center"/>
              <w:rPr>
                <w:rFonts w:hint="eastAsia" w:ascii="仿宋_GB2312" w:hAnsi="仿宋_GB2312" w:eastAsia="仿宋_GB2312" w:cs="仿宋_GB2312"/>
                <w:kern w:val="0"/>
                <w:szCs w:val="21"/>
                <w:lang w:val="en-US" w:eastAsia="zh-CN"/>
              </w:rPr>
            </w:pPr>
          </w:p>
        </w:tc>
        <w:tc>
          <w:tcPr>
            <w:tcW w:w="2125" w:type="dxa"/>
            <w:vMerge w:val="continue"/>
            <w:vAlign w:val="center"/>
          </w:tcPr>
          <w:p>
            <w:pPr>
              <w:snapToGrid w:val="0"/>
              <w:spacing w:line="360" w:lineRule="auto"/>
              <w:jc w:val="center"/>
              <w:rPr>
                <w:rFonts w:hint="eastAsia" w:ascii="仿宋_GB2312" w:hAnsi="仿宋_GB2312" w:eastAsia="仿宋_GB2312" w:cs="仿宋_GB2312"/>
                <w:kern w:val="0"/>
                <w:szCs w:val="21"/>
              </w:rPr>
            </w:pPr>
          </w:p>
        </w:tc>
        <w:tc>
          <w:tcPr>
            <w:tcW w:w="4753" w:type="dxa"/>
            <w:vAlign w:val="center"/>
          </w:tcPr>
          <w:p>
            <w:pPr>
              <w:snapToGrid w:val="0"/>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rPr>
              <w:t>2</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产品所用材质性能良好，各项指标符合国家标准，参数清楚、标识标牌颜色及数量明确，加工工艺满足采购需求，技术资料齐全。由磋商小组综合评审自主打分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widowControl/>
              <w:snapToGrid w:val="0"/>
              <w:spacing w:line="360" w:lineRule="auto"/>
              <w:jc w:val="center"/>
              <w:rPr>
                <w:rFonts w:hint="eastAsia" w:ascii="仿宋_GB2312" w:hAnsi="仿宋_GB2312" w:eastAsia="仿宋_GB2312" w:cs="仿宋_GB2312"/>
                <w:b/>
                <w:kern w:val="0"/>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4" w:type="dxa"/>
            <w:vMerge w:val="continue"/>
            <w:vAlign w:val="center"/>
          </w:tcPr>
          <w:p>
            <w:pPr>
              <w:snapToGrid w:val="0"/>
              <w:spacing w:line="360" w:lineRule="auto"/>
              <w:jc w:val="center"/>
              <w:rPr>
                <w:rFonts w:hint="eastAsia" w:ascii="仿宋_GB2312" w:hAnsi="仿宋_GB2312" w:eastAsia="仿宋_GB2312" w:cs="仿宋_GB2312"/>
                <w:kern w:val="0"/>
                <w:szCs w:val="21"/>
                <w:lang w:val="en-US" w:eastAsia="zh-CN"/>
              </w:rPr>
            </w:pPr>
          </w:p>
        </w:tc>
        <w:tc>
          <w:tcPr>
            <w:tcW w:w="2125" w:type="dxa"/>
            <w:vMerge w:val="continue"/>
            <w:vAlign w:val="center"/>
          </w:tcPr>
          <w:p>
            <w:pPr>
              <w:snapToGrid w:val="0"/>
              <w:spacing w:line="360" w:lineRule="auto"/>
              <w:jc w:val="center"/>
              <w:rPr>
                <w:rFonts w:hint="eastAsia" w:ascii="仿宋_GB2312" w:hAnsi="仿宋_GB2312" w:eastAsia="仿宋_GB2312" w:cs="仿宋_GB2312"/>
                <w:kern w:val="0"/>
                <w:szCs w:val="21"/>
              </w:rPr>
            </w:pPr>
          </w:p>
        </w:tc>
        <w:tc>
          <w:tcPr>
            <w:tcW w:w="4753" w:type="dxa"/>
            <w:vAlign w:val="center"/>
          </w:tcPr>
          <w:p>
            <w:pPr>
              <w:snapToGrid w:val="0"/>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lang w:val="en-US" w:eastAsia="zh-CN"/>
              </w:rPr>
              <w:t>3</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主要材料选用环保材料，各项指标符合国家标准，材料质量符合要求，提供材料质检报告。由磋商小组综合评审自主打分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rPr>
              <w:t>分。</w:t>
            </w:r>
          </w:p>
        </w:tc>
        <w:tc>
          <w:tcPr>
            <w:tcW w:w="1434" w:type="dxa"/>
            <w:vAlign w:val="center"/>
          </w:tcPr>
          <w:p>
            <w:pPr>
              <w:widowControl/>
              <w:snapToGrid w:val="0"/>
              <w:spacing w:line="360" w:lineRule="auto"/>
              <w:jc w:val="center"/>
              <w:rPr>
                <w:rFonts w:hint="eastAsia" w:ascii="仿宋_GB2312" w:hAnsi="仿宋_GB2312" w:eastAsia="仿宋_GB2312" w:cs="仿宋_GB2312"/>
                <w:b/>
                <w:kern w:val="0"/>
                <w:szCs w:val="21"/>
              </w:rPr>
            </w:pP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4" w:type="dxa"/>
            <w:vMerge w:val="continue"/>
            <w:vAlign w:val="center"/>
          </w:tcPr>
          <w:p>
            <w:pPr>
              <w:snapToGrid w:val="0"/>
              <w:spacing w:line="360" w:lineRule="auto"/>
              <w:jc w:val="center"/>
              <w:rPr>
                <w:rFonts w:hint="eastAsia" w:ascii="仿宋_GB2312" w:hAnsi="仿宋_GB2312" w:eastAsia="仿宋_GB2312" w:cs="仿宋_GB2312"/>
                <w:kern w:val="0"/>
                <w:szCs w:val="21"/>
                <w:lang w:val="en-US" w:eastAsia="zh-CN"/>
              </w:rPr>
            </w:pPr>
          </w:p>
        </w:tc>
        <w:tc>
          <w:tcPr>
            <w:tcW w:w="2125" w:type="dxa"/>
            <w:vMerge w:val="continue"/>
            <w:vAlign w:val="center"/>
          </w:tcPr>
          <w:p>
            <w:pPr>
              <w:snapToGrid w:val="0"/>
              <w:spacing w:line="360" w:lineRule="auto"/>
              <w:jc w:val="center"/>
              <w:rPr>
                <w:rFonts w:hint="eastAsia" w:ascii="仿宋_GB2312" w:hAnsi="仿宋_GB2312" w:eastAsia="仿宋_GB2312" w:cs="仿宋_GB2312"/>
                <w:kern w:val="0"/>
                <w:szCs w:val="21"/>
              </w:rPr>
            </w:pPr>
          </w:p>
        </w:tc>
        <w:tc>
          <w:tcPr>
            <w:tcW w:w="4753" w:type="dxa"/>
            <w:vAlign w:val="center"/>
          </w:tcPr>
          <w:p>
            <w:pPr>
              <w:snapToGrid w:val="0"/>
              <w:spacing w:line="360" w:lineRule="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4</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lang w:val="zh-CN"/>
              </w:rPr>
              <w:t>供应商针对本项目及采购人实际需求提供详细具体可行的售后服务承诺，包括响应产品的保修时间、保修期内的保修内容与范围、维修响应时间等（提供服务承诺和保障措施）。</w:t>
            </w:r>
            <w:r>
              <w:rPr>
                <w:rFonts w:hint="eastAsia" w:ascii="仿宋_GB2312" w:hAnsi="仿宋_GB2312" w:eastAsia="仿宋_GB2312" w:cs="仿宋_GB2312"/>
                <w:szCs w:val="21"/>
                <w:lang w:val="en-US" w:eastAsia="zh-CN"/>
              </w:rPr>
              <w:t>以及</w:t>
            </w:r>
            <w:r>
              <w:rPr>
                <w:rFonts w:hint="eastAsia" w:ascii="仿宋_GB2312" w:hAnsi="仿宋_GB2312" w:eastAsia="仿宋_GB2312" w:cs="仿宋_GB2312"/>
                <w:szCs w:val="21"/>
              </w:rPr>
              <w:t>应急预案的承诺情况</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合理化建议</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w:t>
            </w:r>
            <w:r>
              <w:rPr>
                <w:rFonts w:hint="eastAsia" w:ascii="仿宋_GB2312" w:hAnsi="仿宋_GB2312" w:eastAsia="仿宋_GB2312" w:cs="仿宋_GB2312"/>
                <w:szCs w:val="21"/>
                <w:lang w:val="en-US" w:eastAsia="zh-CN"/>
              </w:rPr>
              <w:t>7</w:t>
            </w:r>
            <w:r>
              <w:rPr>
                <w:rFonts w:hint="eastAsia" w:ascii="仿宋_GB2312" w:hAnsi="仿宋_GB2312" w:eastAsia="仿宋_GB2312" w:cs="仿宋_GB2312"/>
                <w:szCs w:val="21"/>
              </w:rPr>
              <w:t>分。</w:t>
            </w:r>
          </w:p>
        </w:tc>
        <w:tc>
          <w:tcPr>
            <w:tcW w:w="1434" w:type="dxa"/>
            <w:vAlign w:val="center"/>
          </w:tcPr>
          <w:p>
            <w:pPr>
              <w:widowControl/>
              <w:snapToGrid w:val="0"/>
              <w:spacing w:line="360" w:lineRule="auto"/>
              <w:jc w:val="center"/>
              <w:rPr>
                <w:rFonts w:hint="eastAsia" w:ascii="仿宋_GB2312" w:hAnsi="仿宋_GB2312" w:eastAsia="仿宋_GB2312" w:cs="仿宋_GB2312"/>
                <w:szCs w:val="21"/>
              </w:rPr>
            </w:pPr>
            <w:r>
              <w:rPr>
                <w:rFonts w:hint="eastAsia" w:ascii="仿宋_GB2312" w:hAnsi="仿宋_GB2312" w:eastAsia="仿宋_GB2312" w:cs="仿宋_GB2312"/>
                <w:szCs w:val="21"/>
                <w:lang w:val="en-US" w:eastAsia="zh-CN"/>
              </w:rPr>
              <w:t>7</w:t>
            </w:r>
            <w:r>
              <w:rPr>
                <w:rFonts w:hint="eastAsia" w:ascii="仿宋_GB2312" w:hAnsi="仿宋_GB2312" w:eastAsia="仿宋_GB2312" w:cs="仿宋_GB231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blHeader/>
          <w:jc w:val="center"/>
        </w:trPr>
        <w:tc>
          <w:tcPr>
            <w:tcW w:w="604" w:type="dxa"/>
            <w:vMerge w:val="restart"/>
            <w:vAlign w:val="center"/>
          </w:tcPr>
          <w:p>
            <w:pPr>
              <w:widowControl/>
              <w:snapToGrid w:val="0"/>
              <w:spacing w:line="360" w:lineRule="auto"/>
              <w:jc w:val="center"/>
              <w:rPr>
                <w:rFonts w:hint="eastAsia" w:ascii="仿宋_GB2312" w:hAnsi="仿宋_GB2312" w:eastAsia="仿宋_GB2312" w:cs="仿宋_GB2312"/>
                <w:kern w:val="0"/>
                <w:szCs w:val="21"/>
                <w:lang w:eastAsia="zh-CN"/>
              </w:rPr>
            </w:pPr>
            <w:r>
              <w:rPr>
                <w:rFonts w:hint="eastAsia" w:ascii="仿宋_GB2312" w:hAnsi="仿宋_GB2312" w:eastAsia="仿宋_GB2312" w:cs="仿宋_GB2312"/>
                <w:kern w:val="0"/>
                <w:szCs w:val="21"/>
                <w:lang w:val="en-US" w:eastAsia="zh-CN"/>
              </w:rPr>
              <w:t>2</w:t>
            </w:r>
          </w:p>
        </w:tc>
        <w:tc>
          <w:tcPr>
            <w:tcW w:w="2125" w:type="dxa"/>
            <w:vMerge w:val="restart"/>
            <w:vAlign w:val="center"/>
          </w:tcPr>
          <w:p>
            <w:pPr>
              <w:snapToGrid w:val="0"/>
              <w:spacing w:line="360" w:lineRule="auto"/>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施工组织设计</w:t>
            </w:r>
          </w:p>
          <w:p>
            <w:pPr>
              <w:pStyle w:val="22"/>
              <w:jc w:val="center"/>
            </w:pPr>
            <w:r>
              <w:rPr>
                <w:rFonts w:hint="eastAsia" w:ascii="仿宋_GB2312" w:hAnsi="仿宋_GB2312" w:eastAsia="仿宋_GB2312" w:cs="仿宋_GB2312"/>
                <w:kern w:val="0"/>
                <w:szCs w:val="21"/>
              </w:rPr>
              <w:t>（</w:t>
            </w:r>
            <w:r>
              <w:rPr>
                <w:rFonts w:hint="eastAsia" w:ascii="仿宋_GB2312" w:hAnsi="仿宋_GB2312" w:eastAsia="仿宋_GB2312" w:cs="仿宋_GB2312"/>
                <w:kern w:val="0"/>
                <w:szCs w:val="21"/>
                <w:lang w:val="en-US" w:eastAsia="zh-CN"/>
              </w:rPr>
              <w:t>40</w:t>
            </w:r>
            <w:r>
              <w:rPr>
                <w:rFonts w:hint="eastAsia" w:ascii="仿宋_GB2312" w:hAnsi="仿宋_GB2312" w:eastAsia="仿宋_GB2312" w:cs="仿宋_GB2312"/>
                <w:kern w:val="0"/>
                <w:szCs w:val="21"/>
              </w:rPr>
              <w:t>分）</w:t>
            </w: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1、</w:t>
            </w:r>
            <w:r>
              <w:rPr>
                <w:rFonts w:hint="eastAsia" w:ascii="仿宋_GB2312" w:hAnsi="仿宋_GB2312" w:eastAsia="仿宋_GB2312" w:cs="仿宋_GB2312"/>
                <w:szCs w:val="21"/>
                <w:lang w:val="en-US" w:eastAsia="zh-CN"/>
              </w:rPr>
              <w:t>建设提升技术</w:t>
            </w:r>
            <w:r>
              <w:rPr>
                <w:rFonts w:hint="eastAsia" w:ascii="仿宋_GB2312" w:hAnsi="仿宋_GB2312" w:eastAsia="仿宋_GB2312" w:cs="仿宋_GB2312"/>
                <w:szCs w:val="21"/>
              </w:rPr>
              <w:t>方案，由磋商小组综合评审自主打分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napToGri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2、项目经理部组成</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劳动力配备情况，由磋商小组综合评审自主打分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napToGri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3、确保工程工期的技术组织措施，由磋商小组综合评审自主打分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napToGri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4、进度计划安排，施工进度表或施工网络图，由磋商小组综合评审自主打分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napToGri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5、确保工程质量的技术组织措施，由磋商小组综合评审自主打分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napToGri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6、确保工程安全生产及文明施工技术组织措施</w:t>
            </w:r>
            <w:r>
              <w:rPr>
                <w:rFonts w:hint="eastAsia" w:ascii="仿宋_GB2312" w:hAnsi="仿宋_GB2312" w:eastAsia="仿宋_GB2312" w:cs="仿宋_GB2312"/>
                <w:szCs w:val="21"/>
                <w:lang w:val="en-US" w:eastAsia="zh-CN"/>
              </w:rPr>
              <w:t>、环境保护措施，</w:t>
            </w:r>
            <w:r>
              <w:rPr>
                <w:rFonts w:hint="eastAsia" w:ascii="仿宋_GB2312" w:hAnsi="仿宋_GB2312" w:eastAsia="仿宋_GB2312" w:cs="仿宋_GB2312"/>
                <w:szCs w:val="21"/>
              </w:rPr>
              <w:t>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pacing w:line="360" w:lineRule="auto"/>
              <w:jc w:val="center"/>
              <w:rPr>
                <w:rFonts w:ascii="仿宋_GB2312" w:hAnsi="仿宋_GB2312" w:eastAsia="仿宋_GB2312" w:cs="仿宋_GB2312"/>
              </w:rPr>
            </w:pPr>
            <w:r>
              <w:rPr>
                <w:rFonts w:hint="eastAsia" w:ascii="仿宋_GB2312" w:hAnsi="仿宋_GB2312" w:eastAsia="仿宋_GB2312" w:cs="仿宋_GB2312"/>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blHeader/>
          <w:jc w:val="center"/>
        </w:trPr>
        <w:tc>
          <w:tcPr>
            <w:tcW w:w="604"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widowControl/>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lang w:val="en-US" w:eastAsia="zh-CN"/>
              </w:rPr>
              <w:t>7</w:t>
            </w:r>
            <w:r>
              <w:rPr>
                <w:rFonts w:hint="eastAsia" w:ascii="仿宋_GB2312" w:hAnsi="仿宋_GB2312" w:eastAsia="仿宋_GB2312" w:cs="仿宋_GB2312"/>
                <w:szCs w:val="21"/>
              </w:rPr>
              <w:t>、投入本项目施工机械配备方案，由磋商小组综合评审自主打分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pacing w:line="360" w:lineRule="auto"/>
              <w:jc w:val="center"/>
              <w:rPr>
                <w:rFonts w:ascii="仿宋_GB2312" w:hAnsi="仿宋_GB2312" w:eastAsia="仿宋_GB2312" w:cs="仿宋_GB2312"/>
              </w:rPr>
            </w:pPr>
            <w:r>
              <w:rPr>
                <w:rFonts w:hint="eastAsia" w:ascii="仿宋_GB2312" w:hAnsi="仿宋_GB2312" w:eastAsia="仿宋_GB2312" w:cs="仿宋_GB2312"/>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jc w:val="center"/>
        </w:trPr>
        <w:tc>
          <w:tcPr>
            <w:tcW w:w="604" w:type="dxa"/>
            <w:vMerge w:val="continue"/>
            <w:vAlign w:val="center"/>
          </w:tcPr>
          <w:p>
            <w:pPr>
              <w:widowControl/>
              <w:snapToGrid w:val="0"/>
              <w:spacing w:line="360" w:lineRule="auto"/>
              <w:jc w:val="center"/>
              <w:rPr>
                <w:rFonts w:ascii="仿宋_GB2312" w:hAnsi="仿宋_GB2312" w:eastAsia="仿宋_GB2312" w:cs="仿宋_GB2312"/>
                <w:kern w:val="0"/>
                <w:szCs w:val="21"/>
              </w:rPr>
            </w:pPr>
          </w:p>
        </w:tc>
        <w:tc>
          <w:tcPr>
            <w:tcW w:w="2125" w:type="dxa"/>
            <w:vMerge w:val="continue"/>
            <w:vAlign w:val="center"/>
          </w:tcPr>
          <w:p>
            <w:pPr>
              <w:snapToGrid w:val="0"/>
              <w:spacing w:line="360" w:lineRule="auto"/>
              <w:jc w:val="center"/>
              <w:rPr>
                <w:rFonts w:ascii="仿宋_GB2312" w:hAnsi="仿宋_GB2312" w:eastAsia="仿宋_GB2312" w:cs="仿宋_GB2312"/>
                <w:kern w:val="0"/>
                <w:szCs w:val="21"/>
              </w:rPr>
            </w:pPr>
          </w:p>
        </w:tc>
        <w:tc>
          <w:tcPr>
            <w:tcW w:w="4753" w:type="dxa"/>
            <w:vAlign w:val="center"/>
          </w:tcPr>
          <w:p>
            <w:pPr>
              <w:snapToGri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lang w:val="en-US" w:eastAsia="zh-CN"/>
              </w:rPr>
              <w:t>8</w:t>
            </w:r>
            <w:r>
              <w:rPr>
                <w:rFonts w:hint="eastAsia" w:ascii="仿宋_GB2312" w:hAnsi="仿宋_GB2312" w:eastAsia="仿宋_GB2312" w:cs="仿宋_GB2312"/>
                <w:szCs w:val="21"/>
              </w:rPr>
              <w:t>、</w:t>
            </w:r>
            <w:r>
              <w:rPr>
                <w:rFonts w:hint="eastAsia" w:ascii="仿宋_GB2312" w:hAnsi="仿宋_GB2312" w:eastAsia="仿宋_GB2312" w:cs="仿宋_GB2312"/>
                <w:szCs w:val="21"/>
                <w:lang w:val="en-US" w:eastAsia="zh-CN"/>
              </w:rPr>
              <w:t>关键施工技术、工艺的运用</w:t>
            </w:r>
            <w:r>
              <w:rPr>
                <w:rFonts w:hint="eastAsia" w:ascii="仿宋_GB2312" w:hAnsi="仿宋_GB2312" w:eastAsia="仿宋_GB2312" w:cs="仿宋_GB2312"/>
                <w:szCs w:val="21"/>
              </w:rPr>
              <w:t>，</w:t>
            </w:r>
            <w:r>
              <w:rPr>
                <w:rFonts w:hint="eastAsia" w:ascii="仿宋_GB2312" w:hAnsi="仿宋_GB2312" w:eastAsia="仿宋_GB2312" w:cs="仿宋_GB2312"/>
                <w:szCs w:val="21"/>
                <w:lang w:val="en-US" w:eastAsia="zh-CN"/>
              </w:rPr>
              <w:t>项目重点、难点的解决方案，</w:t>
            </w:r>
            <w:r>
              <w:rPr>
                <w:rFonts w:hint="eastAsia" w:ascii="仿宋_GB2312" w:hAnsi="仿宋_GB2312" w:eastAsia="仿宋_GB2312" w:cs="仿宋_GB2312"/>
                <w:szCs w:val="21"/>
              </w:rPr>
              <w:t>由磋商小组综合评审自主打分</w:t>
            </w:r>
            <w:r>
              <w:rPr>
                <w:rFonts w:hint="eastAsia" w:ascii="仿宋_GB2312" w:hAnsi="仿宋_GB2312" w:eastAsia="仿宋_GB2312" w:cs="仿宋_GB2312"/>
                <w:szCs w:val="21"/>
                <w:lang w:val="en-US" w:eastAsia="zh-CN"/>
              </w:rPr>
              <w:t>1</w:t>
            </w:r>
            <w:r>
              <w:rPr>
                <w:rFonts w:hint="eastAsia" w:ascii="仿宋_GB2312" w:hAnsi="仿宋_GB2312" w:eastAsia="仿宋_GB2312" w:cs="仿宋_GB2312"/>
                <w:szCs w:val="21"/>
              </w:rPr>
              <w:t>-5分。</w:t>
            </w:r>
          </w:p>
        </w:tc>
        <w:tc>
          <w:tcPr>
            <w:tcW w:w="1434" w:type="dxa"/>
            <w:vAlign w:val="center"/>
          </w:tcPr>
          <w:p>
            <w:pPr>
              <w:spacing w:line="360" w:lineRule="auto"/>
              <w:jc w:val="center"/>
              <w:rPr>
                <w:rFonts w:ascii="仿宋_GB2312" w:hAnsi="仿宋_GB2312" w:eastAsia="仿宋_GB2312" w:cs="仿宋_GB2312"/>
              </w:rPr>
            </w:pPr>
            <w:r>
              <w:rPr>
                <w:rFonts w:hint="eastAsia" w:ascii="仿宋_GB2312" w:hAnsi="仿宋_GB2312" w:eastAsia="仿宋_GB2312" w:cs="仿宋_GB2312"/>
                <w:szCs w:val="21"/>
              </w:rPr>
              <w:t>5分</w:t>
            </w:r>
          </w:p>
        </w:tc>
      </w:tr>
    </w:tbl>
    <w:p>
      <w:pPr>
        <w:rPr>
          <w:rFonts w:ascii="仿宋_GB2312" w:hAnsi="仿宋_GB2312" w:eastAsia="仿宋_GB2312" w:cs="仿宋_GB2312"/>
          <w:b/>
          <w:sz w:val="30"/>
          <w:szCs w:val="30"/>
        </w:rPr>
      </w:pPr>
      <w:r>
        <w:rPr>
          <w:rFonts w:hint="eastAsia" w:ascii="仿宋_GB2312" w:hAnsi="仿宋_GB2312" w:eastAsia="仿宋_GB2312" w:cs="仿宋_GB2312"/>
          <w:b/>
          <w:sz w:val="30"/>
          <w:szCs w:val="30"/>
        </w:rPr>
        <w:br w:type="page"/>
      </w:r>
    </w:p>
    <w:p>
      <w:pPr>
        <w:jc w:val="center"/>
        <w:rPr>
          <w:rFonts w:ascii="仿宋_GB2312" w:hAnsi="仿宋_GB2312" w:eastAsia="仿宋_GB2312" w:cs="仿宋_GB2312"/>
          <w:b/>
          <w:sz w:val="30"/>
          <w:szCs w:val="30"/>
        </w:rPr>
      </w:pPr>
      <w:r>
        <w:rPr>
          <w:rFonts w:hint="eastAsia" w:ascii="仿宋_GB2312" w:hAnsi="仿宋_GB2312" w:eastAsia="仿宋_GB2312" w:cs="仿宋_GB2312"/>
          <w:b/>
          <w:sz w:val="30"/>
          <w:szCs w:val="30"/>
        </w:rPr>
        <w:t>附表五 报价评审因素及分值分配表</w:t>
      </w:r>
    </w:p>
    <w:p>
      <w:pPr>
        <w:tabs>
          <w:tab w:val="left" w:pos="-94"/>
          <w:tab w:val="left" w:pos="1620"/>
        </w:tabs>
        <w:adjustRightInd w:val="0"/>
        <w:spacing w:line="360" w:lineRule="auto"/>
        <w:ind w:left="23" w:leftChars="11"/>
        <w:jc w:val="center"/>
        <w:textAlignment w:val="baseline"/>
        <w:rPr>
          <w:rFonts w:ascii="仿宋_GB2312" w:hAnsi="仿宋_GB2312" w:eastAsia="仿宋_GB2312" w:cs="仿宋_GB2312"/>
          <w:szCs w:val="21"/>
        </w:rPr>
      </w:pPr>
      <w:r>
        <w:rPr>
          <w:rFonts w:hint="eastAsia" w:ascii="仿宋_GB2312" w:hAnsi="仿宋_GB2312" w:eastAsia="仿宋_GB2312" w:cs="仿宋_GB2312"/>
          <w:szCs w:val="21"/>
        </w:rPr>
        <w:t>（总分30分）</w:t>
      </w:r>
    </w:p>
    <w:p>
      <w:pPr>
        <w:rPr>
          <w:rFonts w:ascii="仿宋_GB2312" w:hAnsi="仿宋_GB2312" w:eastAsia="仿宋_GB2312" w:cs="仿宋_GB2312"/>
          <w:b/>
          <w:sz w:val="28"/>
          <w:szCs w:val="28"/>
        </w:rPr>
      </w:pPr>
    </w:p>
    <w:tbl>
      <w:tblPr>
        <w:tblStyle w:val="50"/>
        <w:tblpPr w:leftFromText="180" w:rightFromText="180" w:vertAnchor="text" w:horzAnchor="page" w:tblpX="1553" w:tblpY="-29"/>
        <w:tblOverlap w:val="never"/>
        <w:tblW w:w="9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998"/>
        <w:gridCol w:w="4791"/>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800" w:type="dxa"/>
            <w:vAlign w:val="center"/>
          </w:tcPr>
          <w:p>
            <w:pPr>
              <w:jc w:val="center"/>
              <w:rPr>
                <w:rFonts w:ascii="仿宋_GB2312" w:hAnsi="仿宋_GB2312" w:eastAsia="仿宋_GB2312" w:cs="仿宋_GB2312"/>
                <w:bCs/>
                <w:szCs w:val="21"/>
              </w:rPr>
            </w:pPr>
            <w:r>
              <w:rPr>
                <w:rFonts w:hint="eastAsia" w:ascii="仿宋_GB2312" w:hAnsi="仿宋_GB2312" w:eastAsia="仿宋_GB2312" w:cs="仿宋_GB2312"/>
                <w:bCs/>
                <w:szCs w:val="21"/>
              </w:rPr>
              <w:t>序号</w:t>
            </w:r>
          </w:p>
        </w:tc>
        <w:tc>
          <w:tcPr>
            <w:tcW w:w="1998" w:type="dxa"/>
            <w:vAlign w:val="center"/>
          </w:tcPr>
          <w:p>
            <w:pPr>
              <w:jc w:val="center"/>
              <w:rPr>
                <w:rFonts w:ascii="仿宋_GB2312" w:hAnsi="仿宋_GB2312" w:eastAsia="仿宋_GB2312" w:cs="仿宋_GB2312"/>
                <w:bCs/>
                <w:szCs w:val="21"/>
              </w:rPr>
            </w:pPr>
            <w:r>
              <w:rPr>
                <w:rFonts w:hint="eastAsia" w:ascii="仿宋_GB2312" w:hAnsi="仿宋_GB2312" w:eastAsia="仿宋_GB2312" w:cs="仿宋_GB2312"/>
                <w:bCs/>
                <w:szCs w:val="21"/>
              </w:rPr>
              <w:t>评审内容</w:t>
            </w:r>
          </w:p>
        </w:tc>
        <w:tc>
          <w:tcPr>
            <w:tcW w:w="4791" w:type="dxa"/>
            <w:vAlign w:val="center"/>
          </w:tcPr>
          <w:p>
            <w:pPr>
              <w:jc w:val="center"/>
              <w:rPr>
                <w:rFonts w:ascii="仿宋_GB2312" w:hAnsi="仿宋_GB2312" w:eastAsia="仿宋_GB2312" w:cs="仿宋_GB2312"/>
                <w:bCs/>
                <w:szCs w:val="21"/>
              </w:rPr>
            </w:pPr>
            <w:r>
              <w:rPr>
                <w:rFonts w:hint="eastAsia" w:ascii="仿宋_GB2312" w:hAnsi="仿宋_GB2312" w:eastAsia="仿宋_GB2312" w:cs="仿宋_GB2312"/>
                <w:bCs/>
                <w:szCs w:val="21"/>
              </w:rPr>
              <w:t>评审标准</w:t>
            </w:r>
          </w:p>
        </w:tc>
        <w:tc>
          <w:tcPr>
            <w:tcW w:w="1449" w:type="dxa"/>
            <w:vAlign w:val="center"/>
          </w:tcPr>
          <w:p>
            <w:pPr>
              <w:jc w:val="center"/>
              <w:rPr>
                <w:rFonts w:ascii="仿宋_GB2312" w:hAnsi="仿宋_GB2312" w:eastAsia="仿宋_GB2312" w:cs="仿宋_GB2312"/>
                <w:bCs/>
                <w:szCs w:val="21"/>
              </w:rPr>
            </w:pPr>
            <w:r>
              <w:rPr>
                <w:rFonts w:hint="eastAsia" w:ascii="仿宋_GB2312" w:hAnsi="仿宋_GB2312" w:eastAsia="仿宋_GB2312" w:cs="仿宋_GB2312"/>
                <w:bCs/>
                <w:szCs w:val="21"/>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800" w:type="dxa"/>
            <w:vAlign w:val="center"/>
          </w:tcPr>
          <w:p>
            <w:pPr>
              <w:jc w:val="center"/>
              <w:rPr>
                <w:rFonts w:ascii="仿宋_GB2312" w:hAnsi="仿宋_GB2312" w:eastAsia="仿宋_GB2312" w:cs="仿宋_GB2312"/>
              </w:rPr>
            </w:pPr>
            <w:r>
              <w:rPr>
                <w:rFonts w:hint="eastAsia" w:ascii="仿宋_GB2312" w:hAnsi="仿宋_GB2312" w:eastAsia="仿宋_GB2312" w:cs="仿宋_GB2312"/>
              </w:rPr>
              <w:t>1</w:t>
            </w:r>
          </w:p>
        </w:tc>
        <w:tc>
          <w:tcPr>
            <w:tcW w:w="1998" w:type="dxa"/>
            <w:vAlign w:val="center"/>
          </w:tcPr>
          <w:p>
            <w:pPr>
              <w:jc w:val="center"/>
              <w:rPr>
                <w:rFonts w:ascii="仿宋_GB2312" w:hAnsi="仿宋_GB2312" w:eastAsia="仿宋_GB2312" w:cs="仿宋_GB2312"/>
              </w:rPr>
            </w:pPr>
            <w:r>
              <w:rPr>
                <w:rFonts w:hint="eastAsia" w:ascii="仿宋_GB2312" w:hAnsi="仿宋_GB2312" w:eastAsia="仿宋_GB2312" w:cs="仿宋_GB2312"/>
              </w:rPr>
              <w:t>报价得分</w:t>
            </w:r>
          </w:p>
        </w:tc>
        <w:tc>
          <w:tcPr>
            <w:tcW w:w="4791" w:type="dxa"/>
            <w:vAlign w:val="center"/>
          </w:tcPr>
          <w:p>
            <w:pPr>
              <w:jc w:val="left"/>
              <w:rPr>
                <w:rFonts w:ascii="仿宋_GB2312" w:hAnsi="仿宋_GB2312" w:eastAsia="仿宋_GB2312" w:cs="仿宋_GB2312"/>
              </w:rPr>
            </w:pPr>
            <w:r>
              <w:rPr>
                <w:rFonts w:hint="eastAsia" w:ascii="仿宋_GB2312" w:hAnsi="仿宋_GB2312" w:eastAsia="仿宋_GB2312" w:cs="仿宋_GB2312"/>
              </w:rPr>
              <w:t>1、评审基准价有效响应文件中的最后报价并按本章2.3.3（1）进行调整的最低报价为评审基准价。</w:t>
            </w:r>
          </w:p>
          <w:p>
            <w:pPr>
              <w:jc w:val="left"/>
              <w:rPr>
                <w:rFonts w:ascii="仿宋_GB2312" w:hAnsi="仿宋_GB2312" w:eastAsia="仿宋_GB2312" w:cs="仿宋_GB2312"/>
              </w:rPr>
            </w:pPr>
            <w:r>
              <w:rPr>
                <w:rFonts w:hint="eastAsia" w:ascii="仿宋_GB2312" w:hAnsi="仿宋_GB2312" w:eastAsia="仿宋_GB2312" w:cs="仿宋_GB2312"/>
              </w:rPr>
              <w:t>2、供应商报价（按本章2.3.3（1）进行调整后价格）得分：报价得分=(评审基准价／最后报价)×30。</w:t>
            </w:r>
          </w:p>
        </w:tc>
        <w:tc>
          <w:tcPr>
            <w:tcW w:w="1449" w:type="dxa"/>
            <w:vAlign w:val="center"/>
          </w:tcPr>
          <w:p>
            <w:pPr>
              <w:jc w:val="center"/>
              <w:rPr>
                <w:rFonts w:ascii="仿宋_GB2312" w:hAnsi="仿宋_GB2312" w:eastAsia="仿宋_GB2312" w:cs="仿宋_GB2312"/>
              </w:rPr>
            </w:pPr>
            <w:r>
              <w:rPr>
                <w:rFonts w:hint="eastAsia" w:ascii="仿宋_GB2312" w:hAnsi="仿宋_GB2312" w:eastAsia="仿宋_GB2312" w:cs="仿宋_GB2312"/>
              </w:rPr>
              <w:t>30分</w:t>
            </w:r>
          </w:p>
        </w:tc>
      </w:tr>
    </w:tbl>
    <w:p>
      <w:pPr>
        <w:pStyle w:val="22"/>
        <w:rPr>
          <w:rFonts w:ascii="仿宋_GB2312" w:hAnsi="仿宋_GB2312" w:eastAsia="仿宋_GB2312" w:cs="仿宋_GB2312"/>
        </w:rPr>
      </w:pPr>
    </w:p>
    <w:p>
      <w:pPr>
        <w:pStyle w:val="22"/>
        <w:rPr>
          <w:rFonts w:ascii="仿宋_GB2312" w:hAnsi="仿宋_GB2312" w:eastAsia="仿宋_GB2312" w:cs="仿宋_GB2312"/>
        </w:rPr>
      </w:pPr>
    </w:p>
    <w:p>
      <w:pPr>
        <w:jc w:val="center"/>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br w:type="page"/>
      </w:r>
    </w:p>
    <w:p>
      <w:pPr>
        <w:pStyle w:val="46"/>
        <w:rPr>
          <w:rFonts w:ascii="仿宋_GB2312" w:hAnsi="仿宋_GB2312" w:eastAsia="仿宋_GB2312" w:cs="仿宋_GB2312"/>
        </w:rPr>
      </w:pPr>
      <w:bookmarkStart w:id="414" w:name="_Toc62196430"/>
      <w:r>
        <w:rPr>
          <w:rFonts w:hint="eastAsia" w:ascii="仿宋_GB2312" w:hAnsi="仿宋_GB2312" w:eastAsia="仿宋_GB2312" w:cs="仿宋_GB2312"/>
        </w:rPr>
        <w:t>第四章  合同草案条款</w:t>
      </w:r>
      <w:bookmarkEnd w:id="19"/>
      <w:bookmarkEnd w:id="393"/>
      <w:bookmarkEnd w:id="394"/>
      <w:bookmarkEnd w:id="414"/>
      <w:bookmarkStart w:id="415" w:name="_Toc249515369"/>
      <w:bookmarkStart w:id="416" w:name="_Toc499711928"/>
      <w:bookmarkStart w:id="417" w:name="_Toc232176282"/>
      <w:bookmarkStart w:id="418" w:name="_Toc503063458"/>
      <w:bookmarkStart w:id="419" w:name="_Toc499711087"/>
      <w:bookmarkStart w:id="420" w:name="_Toc500747233"/>
      <w:bookmarkStart w:id="421" w:name="_Toc184043058"/>
      <w:bookmarkStart w:id="422" w:name="_Toc230583552"/>
      <w:bookmarkStart w:id="423" w:name="_Toc177995483"/>
      <w:bookmarkStart w:id="424" w:name="_Toc415499897"/>
      <w:bookmarkStart w:id="425" w:name="_Toc500747106"/>
      <w:bookmarkStart w:id="426" w:name="_Toc176882552"/>
      <w:bookmarkStart w:id="427" w:name="_Toc230099803"/>
      <w:bookmarkStart w:id="428" w:name="_Toc177817344"/>
      <w:bookmarkStart w:id="429" w:name="_Toc500747010"/>
      <w:bookmarkStart w:id="430" w:name="_Toc232395222"/>
      <w:bookmarkStart w:id="431" w:name="_Toc53722865"/>
      <w:bookmarkStart w:id="432" w:name="_Toc496324623"/>
      <w:bookmarkStart w:id="433" w:name="_Toc249515482"/>
      <w:bookmarkStart w:id="434" w:name="_Toc492955459"/>
      <w:bookmarkStart w:id="435" w:name="_Toc177189245"/>
      <w:bookmarkStart w:id="436" w:name="_Toc256342152"/>
      <w:bookmarkStart w:id="437" w:name="_Toc230013638"/>
      <w:bookmarkStart w:id="438" w:name="_Toc70687202"/>
      <w:bookmarkStart w:id="439" w:name="_Toc249525250"/>
      <w:bookmarkStart w:id="440" w:name="_Toc28450"/>
    </w:p>
    <w:p>
      <w:pPr>
        <w:pStyle w:val="33"/>
        <w:jc w:val="center"/>
        <w:rPr>
          <w:rFonts w:ascii="仿宋_GB2312" w:hAnsi="仿宋_GB2312" w:eastAsia="仿宋_GB2312" w:cs="仿宋_GB2312"/>
          <w:sz w:val="24"/>
        </w:rPr>
      </w:pPr>
      <w:r>
        <w:rPr>
          <w:rFonts w:hint="eastAsia" w:ascii="仿宋_GB2312" w:hAnsi="仿宋_GB2312" w:eastAsia="仿宋_GB2312" w:cs="仿宋_GB2312"/>
          <w:b/>
          <w:bCs/>
          <w:kern w:val="2"/>
          <w:sz w:val="24"/>
          <w:szCs w:val="24"/>
          <w:lang w:val="zh-CN" w:eastAsia="zh-CN" w:bidi="ar-SA"/>
        </w:rPr>
        <w:t>（</w:t>
      </w:r>
      <w:r>
        <w:rPr>
          <w:rFonts w:hint="eastAsia" w:ascii="仿宋_GB2312" w:hAnsi="仿宋_GB2312" w:eastAsia="仿宋_GB2312" w:cs="仿宋_GB2312"/>
          <w:b/>
          <w:bCs/>
          <w:kern w:val="2"/>
          <w:sz w:val="24"/>
          <w:szCs w:val="24"/>
          <w:lang w:val="en-US" w:eastAsia="zh-CN" w:bidi="ar-SA"/>
        </w:rPr>
        <w:t>本合同仅供参考，具体以采购人要求为准</w:t>
      </w:r>
      <w:r>
        <w:rPr>
          <w:rFonts w:hint="eastAsia" w:ascii="仿宋_GB2312" w:hAnsi="仿宋_GB2312" w:eastAsia="仿宋_GB2312" w:cs="仿宋_GB2312"/>
          <w:b/>
          <w:bCs/>
          <w:kern w:val="2"/>
          <w:sz w:val="24"/>
          <w:szCs w:val="24"/>
          <w:lang w:val="zh-CN" w:eastAsia="zh-CN" w:bidi="ar-SA"/>
        </w:rPr>
        <w:t>）</w:t>
      </w:r>
    </w:p>
    <w:p>
      <w:pPr>
        <w:pStyle w:val="22"/>
        <w:jc w:val="center"/>
        <w:rPr>
          <w:rFonts w:hint="eastAsia" w:ascii="仿宋_GB2312" w:hAnsi="仿宋_GB2312" w:eastAsia="仿宋_GB2312" w:cs="仿宋_GB2312"/>
          <w:sz w:val="24"/>
          <w:lang w:val="en-US" w:eastAsia="zh-CN"/>
        </w:rPr>
      </w:pPr>
    </w:p>
    <w:p>
      <w:pPr>
        <w:pStyle w:val="22"/>
        <w:jc w:val="center"/>
        <w:rPr>
          <w:rFonts w:hint="eastAsia" w:ascii="仿宋_GB2312" w:hAnsi="仿宋_GB2312" w:eastAsia="仿宋_GB2312" w:cs="仿宋_GB2312"/>
          <w:b/>
          <w:bCs/>
          <w:sz w:val="24"/>
          <w:lang w:val="en-US" w:eastAsia="zh-CN"/>
        </w:rPr>
      </w:pPr>
      <w:r>
        <w:rPr>
          <w:rFonts w:hint="eastAsia" w:ascii="仿宋_GB2312" w:hAnsi="仿宋_GB2312" w:eastAsia="仿宋_GB2312" w:cs="仿宋_GB2312"/>
          <w:b/>
          <w:bCs/>
          <w:sz w:val="24"/>
          <w:lang w:val="en-US" w:eastAsia="zh-CN"/>
        </w:rPr>
        <w:t>合  同</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甲方： </w:t>
      </w:r>
      <w:r>
        <w:rPr>
          <w:rFonts w:hint="eastAsia" w:ascii="仿宋" w:hAnsi="仿宋" w:eastAsia="仿宋" w:cs="仿宋"/>
          <w:kern w:val="0"/>
          <w:sz w:val="21"/>
          <w:szCs w:val="21"/>
          <w:lang w:val="en-US" w:eastAsia="zh-CN"/>
        </w:rPr>
        <w:t>西安市雁塔区丈八街道办事处</w:t>
      </w:r>
      <w:r>
        <w:rPr>
          <w:rFonts w:hint="eastAsia" w:ascii="仿宋" w:hAnsi="仿宋" w:eastAsia="仿宋" w:cs="仿宋"/>
          <w:sz w:val="21"/>
          <w:szCs w:val="21"/>
          <w:lang w:val="en-US" w:eastAsia="zh-CN"/>
        </w:rPr>
        <w:t xml:space="preserve">                                     </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乙方：                                      </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根据《中华人民共和国民法典》及相关法律法规，本着相互合作、互惠互利的原则，结合本工程实际情况，为明确甲乙双方的权利、义务和经济责任，经双方充分协商，订立本合同，以兹共同遵照履行。 </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一、工程名称：</w:t>
      </w:r>
      <w:r>
        <w:rPr>
          <w:rFonts w:hint="eastAsia" w:ascii="仿宋" w:hAnsi="仿宋" w:eastAsia="仿宋" w:cs="仿宋"/>
          <w:b/>
          <w:bCs/>
          <w:sz w:val="21"/>
          <w:szCs w:val="21"/>
          <w:u w:val="none"/>
          <w:lang w:val="en-US" w:eastAsia="zh-CN"/>
        </w:rPr>
        <w:t xml:space="preserve">                         </w:t>
      </w:r>
      <w:r>
        <w:rPr>
          <w:rFonts w:hint="eastAsia" w:ascii="仿宋" w:hAnsi="仿宋" w:eastAsia="仿宋" w:cs="仿宋"/>
          <w:b/>
          <w:bCs/>
          <w:sz w:val="21"/>
          <w:szCs w:val="21"/>
          <w:u w:val="single"/>
          <w:lang w:val="en-US" w:eastAsia="zh-CN"/>
        </w:rPr>
        <w:t xml:space="preserve">                    </w:t>
      </w:r>
      <w:r>
        <w:rPr>
          <w:rFonts w:hint="eastAsia" w:ascii="仿宋" w:hAnsi="仿宋" w:eastAsia="仿宋" w:cs="仿宋"/>
          <w:b/>
          <w:bCs/>
          <w:sz w:val="21"/>
          <w:szCs w:val="21"/>
          <w:lang w:val="en-US" w:eastAsia="zh-CN"/>
        </w:rPr>
        <w:t xml:space="preserve">   </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 xml:space="preserve">二、工程地点：                                 </w:t>
      </w:r>
    </w:p>
    <w:p>
      <w:pPr>
        <w:pStyle w:val="22"/>
        <w:rPr>
          <w:rFonts w:hint="eastAsia" w:ascii="仿宋" w:hAnsi="仿宋" w:eastAsia="仿宋" w:cs="仿宋"/>
          <w:sz w:val="21"/>
          <w:szCs w:val="21"/>
          <w:lang w:val="en-US" w:eastAsia="zh-CN"/>
        </w:rPr>
      </w:pPr>
      <w:r>
        <w:rPr>
          <w:rFonts w:hint="eastAsia" w:ascii="仿宋" w:hAnsi="仿宋" w:eastAsia="仿宋" w:cs="仿宋"/>
          <w:b/>
          <w:bCs/>
          <w:sz w:val="21"/>
          <w:szCs w:val="21"/>
          <w:lang w:val="en-US" w:eastAsia="zh-CN"/>
        </w:rPr>
        <w:t xml:space="preserve">三、工作内容:     </w:t>
      </w:r>
      <w:r>
        <w:rPr>
          <w:rFonts w:hint="eastAsia" w:ascii="仿宋" w:hAnsi="仿宋" w:eastAsia="仿宋" w:cs="仿宋"/>
          <w:sz w:val="21"/>
          <w:szCs w:val="21"/>
          <w:lang w:val="en-US" w:eastAsia="zh-CN"/>
        </w:rPr>
        <w:t xml:space="preserve">                       </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四、承包方式及材料供应方式：</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（一）承包方式：包工包料。</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（二）材料供应方式：本工程所需材料全部由乙方采购供应。所有进场材料必须符合产品质量及规范要求，并按规定进行材料复验，并能满足工程项目设计要求及有关行业特殊使用要求。</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（三）所有材料，成品，半成品均应有产品合格证及检验报告，须经现场甲方代表及监理工程师检查验收，报验合格方可进场，无质量证明文件的产品不得用于本项目工程。</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五、工程价款及结算办法</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（一）合同暂定价（最后磋商报价）</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lang w:val="en-US" w:eastAsia="zh-CN"/>
        </w:rPr>
        <w:t>元（人民币）。</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（二）合同价款包括完成该工程项目</w:t>
      </w:r>
      <w:r>
        <w:rPr>
          <w:rFonts w:hint="eastAsia" w:ascii="仿宋" w:hAnsi="仿宋" w:eastAsia="仿宋" w:cs="仿宋"/>
          <w:sz w:val="21"/>
          <w:szCs w:val="21"/>
          <w:lang w:val="zh-CN" w:eastAsia="zh-CN"/>
        </w:rPr>
        <w:t>人工费、</w:t>
      </w:r>
      <w:r>
        <w:rPr>
          <w:rFonts w:hint="eastAsia" w:ascii="仿宋" w:hAnsi="仿宋" w:eastAsia="仿宋" w:cs="仿宋"/>
          <w:sz w:val="21"/>
          <w:szCs w:val="21"/>
          <w:lang w:val="en-US" w:eastAsia="zh-CN"/>
        </w:rPr>
        <w:t>材料费、</w:t>
      </w:r>
      <w:r>
        <w:rPr>
          <w:rFonts w:hint="eastAsia" w:ascii="仿宋" w:hAnsi="仿宋" w:eastAsia="仿宋" w:cs="仿宋"/>
          <w:sz w:val="21"/>
          <w:szCs w:val="21"/>
          <w:lang w:val="zh-CN" w:eastAsia="zh-CN"/>
        </w:rPr>
        <w:t>机械费、运输费、措施费、税金以及合同明示或暗示的所有风险、责任和义务等全部费用</w:t>
      </w:r>
      <w:r>
        <w:rPr>
          <w:rFonts w:hint="eastAsia" w:ascii="仿宋" w:hAnsi="仿宋" w:eastAsia="仿宋" w:cs="仿宋"/>
          <w:sz w:val="21"/>
          <w:szCs w:val="21"/>
          <w:lang w:val="en-US" w:eastAsia="zh-CN"/>
        </w:rPr>
        <w:t>。</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（二）合同价款按照成交确定的价格和合同中明确的工程范围，在工程实施过程中一次性包死。除此之外的工程范围和工程量的变动部分在征得甲方同意后实行现场签证，依照磋商报价增加或扣减。</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六、付款方式及工期：</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（一）付款方式：</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1.工程款支付：</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合同签订后支付合同总价的30%作为预付款，工程验收合格后支付至合同价款的</w:t>
      </w:r>
      <w:r>
        <w:rPr>
          <w:rFonts w:hint="eastAsia" w:ascii="仿宋" w:hAnsi="仿宋" w:eastAsia="仿宋" w:cs="仿宋"/>
          <w:sz w:val="21"/>
          <w:szCs w:val="21"/>
          <w:highlight w:val="none"/>
          <w:lang w:val="en-US" w:eastAsia="zh-CN"/>
        </w:rPr>
        <w:t>97%</w:t>
      </w:r>
      <w:r>
        <w:rPr>
          <w:rFonts w:hint="eastAsia" w:ascii="仿宋" w:hAnsi="仿宋" w:eastAsia="仿宋" w:cs="仿宋"/>
          <w:sz w:val="21"/>
          <w:szCs w:val="21"/>
          <w:lang w:val="en-US" w:eastAsia="zh-CN"/>
        </w:rPr>
        <w:t>，剩余3%的质保金，满一年后无息返还。</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2.结算方式：银行转账。</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3.付款方式：乙方在接受每次付款前，开具相应额度发票给甲方。</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（二）工期：</w:t>
      </w:r>
      <w:r>
        <w:rPr>
          <w:rFonts w:hint="eastAsia" w:ascii="仿宋" w:hAnsi="仿宋" w:eastAsia="仿宋" w:cs="仿宋"/>
          <w:sz w:val="21"/>
          <w:szCs w:val="21"/>
          <w:lang w:val="zh-CN" w:eastAsia="zh-CN"/>
        </w:rPr>
        <w:t>自合同签订之日起</w:t>
      </w:r>
      <w:r>
        <w:rPr>
          <w:rFonts w:hint="eastAsia" w:ascii="仿宋" w:hAnsi="仿宋" w:eastAsia="仿宋" w:cs="仿宋"/>
          <w:sz w:val="21"/>
          <w:szCs w:val="21"/>
          <w:lang w:val="en-US" w:eastAsia="zh-CN"/>
        </w:rPr>
        <w:t>30个日历天。</w:t>
      </w:r>
    </w:p>
    <w:p>
      <w:pPr>
        <w:pStyle w:val="22"/>
        <w:rPr>
          <w:rFonts w:hint="eastAsia" w:ascii="仿宋" w:hAnsi="仿宋" w:eastAsia="仿宋" w:cs="仿宋"/>
          <w:b/>
          <w:bCs/>
          <w:sz w:val="21"/>
          <w:szCs w:val="21"/>
          <w:lang w:val="zh-CN" w:eastAsia="zh-CN"/>
        </w:rPr>
      </w:pPr>
      <w:r>
        <w:rPr>
          <w:rFonts w:hint="eastAsia" w:ascii="仿宋" w:hAnsi="仿宋" w:eastAsia="仿宋" w:cs="仿宋"/>
          <w:b/>
          <w:bCs/>
          <w:sz w:val="21"/>
          <w:szCs w:val="21"/>
          <w:lang w:val="zh-CN" w:eastAsia="zh-CN"/>
        </w:rPr>
        <w:t>七、质量保证</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（一）</w:t>
      </w:r>
      <w:r>
        <w:rPr>
          <w:rFonts w:hint="eastAsia" w:ascii="仿宋" w:hAnsi="仿宋" w:eastAsia="仿宋" w:cs="仿宋"/>
          <w:sz w:val="21"/>
          <w:szCs w:val="21"/>
          <w:lang w:val="zh-CN" w:eastAsia="zh-CN"/>
        </w:rPr>
        <w:t>所选材料必须保证质量可靠、进货渠道正常，符合国家环保等相关标准，满足施工要求。</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（二）</w:t>
      </w:r>
      <w:r>
        <w:rPr>
          <w:rFonts w:hint="eastAsia" w:ascii="仿宋" w:hAnsi="仿宋" w:eastAsia="仿宋" w:cs="仿宋"/>
          <w:sz w:val="21"/>
          <w:szCs w:val="21"/>
          <w:lang w:val="zh-CN" w:eastAsia="zh-CN"/>
        </w:rPr>
        <w:t>工程质量符合国家有关规范，确保达到合格。</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w:t>
      </w:r>
      <w:r>
        <w:rPr>
          <w:rFonts w:hint="eastAsia" w:ascii="仿宋" w:hAnsi="仿宋" w:eastAsia="仿宋" w:cs="仿宋"/>
          <w:sz w:val="21"/>
          <w:szCs w:val="21"/>
          <w:lang w:val="en-US" w:eastAsia="zh-CN"/>
        </w:rPr>
        <w:t>三</w:t>
      </w:r>
      <w:r>
        <w:rPr>
          <w:rFonts w:hint="eastAsia" w:ascii="仿宋" w:hAnsi="仿宋" w:eastAsia="仿宋" w:cs="仿宋"/>
          <w:sz w:val="21"/>
          <w:szCs w:val="21"/>
          <w:lang w:val="zh-CN" w:eastAsia="zh-CN"/>
        </w:rPr>
        <w:t>）若乙方未按照合同规定的服务要求执行，甲方有权自行选择第三方进行维护和修理，所产生的费用将从质保金中扣除。</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八、双方责任</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（一）甲方责任：</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1.甲方负责施工场地的提供，排除施工障碍的协调。</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2.组织设计、施工单位进行图纸交底，负责设计图纸问题的处理，设计变更及现场签证，工程结算的审定等工作。</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3.对工程进度、质量进行监督检查。</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4.组织有关单位对工程进行竣工验收。</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5.按时支付工程款。</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（二）乙方责任：</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1.负责办理完成项目使用审批手续，负责工程安全文明施工、承担一切风险，满足甲方工程的需要。保证甲方正式投入使用，再无其他费用发生。</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乙方进入甲方要求场地施工，应服从当地对治安、卫生、环保、社会保险等工程建设的统一管理，并按有关规定交纳费用以及因违反相关规定而造成的罚款。乙方按照国家和当地政府有关规定应采取的任何必要安全防护措施已包含在乙方的合同价款当中，甲方不另行支付。竣工后交甲方竣工图二份及甲方委托乙方办理项目手续的相关资料等，以备留档。</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乙方提供的主要材料、设备必须有质量合格证等相关证件方可用于工程，对材料改变或代用必须经原设计单位同意，并发书面通知和甲方代表签证后，方可用于工程，任何一方认为对方提供的材料需要复检的，应允许复检。经复检符合质量要求的，方可用于工程，其复检费由要求一方承担，不符合质量要求的，应按有关规定处理，其复检费由提供材料、设备一方承担。</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4.隐蔽工程在覆盖前必须经甲方代表或现场监理代表验收签章后，方可进行下一道工序。</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5.遵守甲方施工场地的规章制度和管理，做到安全文明施工，做好成品保护，对甲方提出的问题应在 24 小时内予以解决或处理；遵守有关施工规范和安全操作规程，如发生安全事故，乙方应及时通知甲方，积极采取有效的补救措施，如因此造成甲方、乙方或第三方人身或财产损失，全部责任由乙方自行承担。</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6.采取有效的安全保障措施，确保施工安全，包括悬挂警示标牌、装设围栏、配备安全人员等，并承担事故的全部费用和责任。</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7.工程竣工后提供竣工验收技术资料及竣工图   套，办理工程竣工结算手续，参加工程竣工验收。</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8.已完工的项目，在交工前乙方应负责保管，清理现场达到建筑物无污染，现场无建筑垃圾。</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9.乙方应在设备运行过程中，对安全隐患进行全面的不定期检查与维护，并对不按安全规程操作的施工单位及时制止，并报甲方进行处理。</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10.乙方不能按合同规定的工期竣工的，应向甲方支付违约金，每逾期一日，支付合同总价款万分之二的违约金，造成甲方损失的，还应赔偿甲方损失。</w:t>
      </w:r>
    </w:p>
    <w:p>
      <w:pPr>
        <w:pStyle w:val="22"/>
        <w:rPr>
          <w:rFonts w:hint="eastAsia" w:ascii="仿宋" w:hAnsi="仿宋" w:eastAsia="仿宋" w:cs="仿宋"/>
          <w:b/>
          <w:bCs/>
          <w:sz w:val="21"/>
          <w:szCs w:val="21"/>
          <w:lang w:val="zh-CN" w:eastAsia="zh-CN"/>
        </w:rPr>
      </w:pPr>
      <w:r>
        <w:rPr>
          <w:rFonts w:hint="eastAsia" w:ascii="仿宋" w:hAnsi="仿宋" w:eastAsia="仿宋" w:cs="仿宋"/>
          <w:b/>
          <w:bCs/>
          <w:sz w:val="21"/>
          <w:szCs w:val="21"/>
          <w:lang w:val="zh-CN" w:eastAsia="zh-CN"/>
        </w:rPr>
        <w:t>九、验收</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（一）</w:t>
      </w:r>
      <w:r>
        <w:rPr>
          <w:rFonts w:hint="eastAsia" w:ascii="仿宋" w:hAnsi="仿宋" w:eastAsia="仿宋" w:cs="仿宋"/>
          <w:sz w:val="21"/>
          <w:szCs w:val="21"/>
          <w:lang w:val="zh-CN" w:eastAsia="zh-CN"/>
        </w:rPr>
        <w:t>主材到现场后，由甲方对其进行验收，确认材料的产地、规格、数量。</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（二）验收工作</w:t>
      </w:r>
      <w:r>
        <w:rPr>
          <w:rFonts w:hint="eastAsia" w:ascii="仿宋" w:hAnsi="仿宋" w:eastAsia="仿宋" w:cs="仿宋"/>
          <w:sz w:val="21"/>
          <w:szCs w:val="21"/>
          <w:lang w:val="zh-CN" w:eastAsia="zh-CN"/>
        </w:rPr>
        <w:t>包含装饰装修隐蔽工程验收、砌体工程验收、上下水隐蔽工程验收、电气隐蔽工程等。乙方工程完工后，进行自检，合格后准备验收文件，并书面通知甲方。</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（三）</w:t>
      </w:r>
      <w:r>
        <w:rPr>
          <w:rFonts w:hint="eastAsia" w:ascii="仿宋" w:hAnsi="仿宋" w:eastAsia="仿宋" w:cs="仿宋"/>
          <w:sz w:val="21"/>
          <w:szCs w:val="21"/>
          <w:lang w:val="zh-CN" w:eastAsia="zh-CN"/>
        </w:rPr>
        <w:t>甲方确认乙方的自检内容，验收合格作为工程的最终认可。</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（四）</w:t>
      </w:r>
      <w:r>
        <w:rPr>
          <w:rFonts w:hint="eastAsia" w:ascii="仿宋" w:hAnsi="仿宋" w:eastAsia="仿宋" w:cs="仿宋"/>
          <w:sz w:val="21"/>
          <w:szCs w:val="21"/>
          <w:lang w:val="zh-CN" w:eastAsia="zh-CN"/>
        </w:rPr>
        <w:t>验收依据：</w:t>
      </w:r>
    </w:p>
    <w:p>
      <w:pPr>
        <w:pStyle w:val="22"/>
        <w:ind w:firstLine="420" w:firstLineChars="200"/>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1.合同、磋商文件、磋商响应文件及承诺。</w:t>
      </w:r>
    </w:p>
    <w:p>
      <w:pPr>
        <w:pStyle w:val="22"/>
        <w:ind w:firstLine="420" w:firstLineChars="200"/>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2.国家相关</w:t>
      </w:r>
      <w:r>
        <w:rPr>
          <w:rFonts w:hint="eastAsia" w:ascii="仿宋" w:hAnsi="仿宋" w:eastAsia="仿宋" w:cs="仿宋"/>
          <w:sz w:val="21"/>
          <w:szCs w:val="21"/>
          <w:lang w:val="en-US" w:eastAsia="zh-CN"/>
        </w:rPr>
        <w:t>标准、规范及有关技术文件</w:t>
      </w:r>
      <w:r>
        <w:rPr>
          <w:rFonts w:hint="eastAsia" w:ascii="仿宋" w:hAnsi="仿宋" w:eastAsia="仿宋" w:cs="仿宋"/>
          <w:sz w:val="21"/>
          <w:szCs w:val="21"/>
          <w:lang w:val="zh-CN" w:eastAsia="zh-CN"/>
        </w:rPr>
        <w:t>。</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十、工程保修：</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本项目保修期参照国家相关规定执行。在保修期限内，对甲方提出的有关维修、维护要求，乙方应在24小时内予以解决。乙方未能按时予以维修、维护的，甲方可另行委托第三方进行，因此而产生的费用由乙方承担，甲方有权从质保金中直接扣除，不足部分由乙方支付，乙方不得提出任何异议，给甲方造成损失的，乙方须给予赔偿。</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十一、争议的解决方式</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合同执行过程中如发生争议，双方应及时协商解决，协商不成，双方均可向项目所在地人民法院起诉。</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十二、其他：</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实际签订合同时，以《建设工程施工合同（示范文本，含保修书）》（GF-1999-0201）为基础，按采购监管部门相关要求确定施工承包合同最终文本和格式；其实质条款和内容须与本项目磋商及磋商响应文件（采购）系列文件一致。</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(二)本合同未定事宜，双方可根据具体情况结合有关规定另行签订补充协议，补充协议与本合同具有同等法律效力。</w:t>
      </w:r>
    </w:p>
    <w:p>
      <w:pPr>
        <w:pStyle w:val="22"/>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十三、附则</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（一）本合同一式  份，正本  份，甲、乙方各执  份，副本  份，甲方执  份，乙方执  份。</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（二）合同经双方盖章后生效，各条款执行完毕后终止。</w:t>
      </w:r>
    </w:p>
    <w:tbl>
      <w:tblPr>
        <w:tblStyle w:val="51"/>
        <w:tblpPr w:leftFromText="180" w:rightFromText="180" w:vertAnchor="text" w:tblpX="-238" w:tblpY="455"/>
        <w:tblOverlap w:val="never"/>
        <w:tblW w:w="9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5"/>
        <w:gridCol w:w="4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695" w:type="dxa"/>
            <w:noWrap w:val="0"/>
            <w:vAlign w:val="top"/>
          </w:tcPr>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甲方（公章）：</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法定代表人：</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委托代表人：  </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经办人：</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电话：</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地址：</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银行账号：</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开户行名称</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签订时间：    年  月  日</w:t>
            </w:r>
          </w:p>
        </w:tc>
        <w:tc>
          <w:tcPr>
            <w:tcW w:w="4695" w:type="dxa"/>
            <w:noWrap w:val="0"/>
            <w:vAlign w:val="top"/>
          </w:tcPr>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乙方（公章）：</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法定代表人：</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委托代表人：</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经办人：</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电话：</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地址：</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银行账号：</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开户行名称：</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签订时间：    年  月  日</w:t>
            </w:r>
          </w:p>
        </w:tc>
      </w:tr>
    </w:tbl>
    <w:p>
      <w:pPr>
        <w:spacing w:line="360" w:lineRule="auto"/>
        <w:ind w:left="4498" w:hanging="2951" w:hangingChars="1400"/>
        <w:rPr>
          <w:rFonts w:hint="eastAsia" w:ascii="仿宋" w:hAnsi="仿宋" w:eastAsia="仿宋" w:cs="仿宋"/>
          <w:b/>
          <w:bCs/>
          <w:color w:val="000000"/>
          <w:sz w:val="21"/>
          <w:szCs w:val="21"/>
        </w:rPr>
        <w:sectPr>
          <w:footerReference r:id="rId8" w:type="default"/>
          <w:pgSz w:w="11906" w:h="16838"/>
          <w:pgMar w:top="1440" w:right="1800" w:bottom="1440" w:left="1800" w:header="851" w:footer="992" w:gutter="0"/>
          <w:pgNumType w:fmt="decimal" w:start="1"/>
          <w:cols w:space="720" w:num="1"/>
          <w:docGrid w:type="lines" w:linePitch="312" w:charSpace="0"/>
        </w:sectPr>
      </w:pPr>
    </w:p>
    <w:p>
      <w:pPr>
        <w:pStyle w:val="22"/>
        <w:jc w:val="center"/>
        <w:rPr>
          <w:rFonts w:hint="eastAsia" w:ascii="仿宋_GB2312" w:hAnsi="仿宋_GB2312" w:eastAsia="仿宋_GB2312" w:cs="仿宋_GB2312"/>
          <w:b/>
          <w:bCs/>
          <w:sz w:val="24"/>
          <w:lang w:val="en-US" w:eastAsia="zh-CN"/>
        </w:rPr>
      </w:pPr>
      <w:bookmarkStart w:id="441" w:name="_Toc58504448"/>
      <w:bookmarkStart w:id="442" w:name="_Toc62196431"/>
      <w:r>
        <w:rPr>
          <w:rFonts w:hint="eastAsia" w:ascii="仿宋_GB2312" w:hAnsi="仿宋_GB2312" w:eastAsia="仿宋_GB2312" w:cs="仿宋_GB2312"/>
          <w:b/>
          <w:bCs/>
          <w:sz w:val="24"/>
          <w:lang w:val="en-US" w:eastAsia="zh-CN"/>
        </w:rPr>
        <w:t>施工安全协议书</w:t>
      </w:r>
    </w:p>
    <w:p>
      <w:pPr>
        <w:pStyle w:val="22"/>
        <w:rPr>
          <w:rFonts w:hint="eastAsia" w:ascii="仿宋" w:hAnsi="仿宋" w:eastAsia="仿宋" w:cs="仿宋"/>
          <w:sz w:val="21"/>
          <w:szCs w:val="21"/>
          <w:lang w:val="en-US" w:eastAsia="zh-CN"/>
        </w:rPr>
      </w:pP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甲方：______________ </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乙方：______________</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为加强施工现场的标准化管理，落实安全生产工作责任制，确保安全、文明施工、环保卫生等工作达到预期目标。经甲乙双方平等协商，自愿签订本安全协议，并共同遵守。</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一、安全管理目标</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1、杜绝大小事故的发生，安全隐患整改率必须达到100%;</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2、必须达到各项安全生产检查标准;</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3、不发生重大安全伤亡事故。</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二、双方责任</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(一)甲方责任</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负责对乙方在施工过程中的安全生产、文明施工、劳务使用等进行监督、协调、检查、处罚的权利。对违反项目管理制度的行为行使经济处罚和辞退的权利。</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(二)乙方责任</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1、严格执行安全技术交底。严格执行工序质量操作程序，确保当天工完场清，责任区材料堆放整齐、环境安全整洁。</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2、严格执行项目部制定的各项安全生产、文明施工的规章制度。有权拒绝违章指挥，杜绝违章作业。不发生人身伤亡、机械、火灾事故。</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3、因工违章受伤时，立即向甲方经理和乙方项目负责人报告，并接受甲方人员调查，24小时后补报，不予受理。在工地以外，非甲方安排的作业，出现事故时，甲方不予受理。</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4、乙方违反协议造成事故时，应对人员伤亡和财产损失负全部责任。</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三、具体要求</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1、遵守工作时间，有事请假，不得擅离工作岗位。</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2、热爱本职工作，工作积极性高，奉公守法，能吃苦耐劳。</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3、努力学习安全技术知识，熟悉各种安全技术措施，精通安全技术操作要求，熟悉项目部规章制度、管理标准。</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4、坚决制止违章作业，按章办事。遇险情要停止作业，立即报告。</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5、进入施工现场必须戴好安全帽，高空作业必须系好安全带，必须熟悉本工种的安全技术操作规程。</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积极参加安全活动，认真执行安全交底。不违章作业，服从安全人员的指导。在安全生产方面做到互相帮助，互相监督。对新人要积极传授安全生产知识。维护一切安全设备和防护用具，不擅自拆改任何安全技术设施。对不安全作业要积极提出</w:t>
      </w:r>
      <w:r>
        <w:rPr>
          <w:rFonts w:hint="eastAsia" w:ascii="仿宋" w:hAnsi="仿宋" w:eastAsia="仿宋" w:cs="仿宋"/>
          <w:sz w:val="21"/>
          <w:szCs w:val="21"/>
          <w:lang w:val="en-US" w:eastAsia="zh-CN"/>
        </w:rPr>
        <w:fldChar w:fldCharType="begin"/>
      </w:r>
      <w:r>
        <w:rPr>
          <w:rFonts w:hint="eastAsia" w:ascii="仿宋" w:hAnsi="仿宋" w:eastAsia="仿宋" w:cs="仿宋"/>
          <w:sz w:val="21"/>
          <w:szCs w:val="21"/>
          <w:lang w:val="en-US" w:eastAsia="zh-CN"/>
        </w:rPr>
        <w:instrText xml:space="preserve"> HYPERLINK "http://www.xuexila.com/fanwen/yijian/" \t "_blank" </w:instrText>
      </w:r>
      <w:r>
        <w:rPr>
          <w:rFonts w:hint="eastAsia" w:ascii="仿宋" w:hAnsi="仿宋" w:eastAsia="仿宋" w:cs="仿宋"/>
          <w:sz w:val="21"/>
          <w:szCs w:val="21"/>
          <w:lang w:val="en-US" w:eastAsia="zh-CN"/>
        </w:rPr>
        <w:fldChar w:fldCharType="separate"/>
      </w:r>
      <w:r>
        <w:rPr>
          <w:rFonts w:hint="eastAsia" w:ascii="仿宋" w:hAnsi="仿宋" w:eastAsia="仿宋" w:cs="仿宋"/>
          <w:sz w:val="21"/>
          <w:szCs w:val="21"/>
          <w:lang w:val="en-US" w:eastAsia="zh-CN"/>
        </w:rPr>
        <w:t>意见</w:t>
      </w:r>
      <w:r>
        <w:rPr>
          <w:rFonts w:hint="eastAsia" w:ascii="仿宋" w:hAnsi="仿宋" w:eastAsia="仿宋" w:cs="仿宋"/>
          <w:sz w:val="21"/>
          <w:szCs w:val="21"/>
          <w:lang w:val="en-US" w:eastAsia="zh-CN"/>
        </w:rPr>
        <w:fldChar w:fldCharType="end"/>
      </w:r>
      <w:r>
        <w:rPr>
          <w:rFonts w:hint="eastAsia" w:ascii="仿宋" w:hAnsi="仿宋" w:eastAsia="仿宋" w:cs="仿宋"/>
          <w:sz w:val="21"/>
          <w:szCs w:val="21"/>
          <w:lang w:val="en-US" w:eastAsia="zh-CN"/>
        </w:rPr>
        <w:t>，并有权拒绝违章指令。发生伤亡和未遂事故要保护现场并立即上报。</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7、不擅自开动他人使用的施工机械、机电设备。</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8、认真执行成品保护措施，严禁损坏污染成品。</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9、讲究卫生，严禁在施工现场随地大小便。</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10、宿舍内要保持整洁、有序。生活区周围应保持卫生。污物和污水、生活垃圾要集中堆放及时</w:t>
      </w:r>
      <w:r>
        <w:rPr>
          <w:rFonts w:hint="eastAsia" w:ascii="仿宋" w:hAnsi="仿宋" w:eastAsia="仿宋" w:cs="仿宋"/>
          <w:sz w:val="21"/>
          <w:szCs w:val="21"/>
          <w:lang w:val="en-US" w:eastAsia="zh-CN"/>
        </w:rPr>
        <w:fldChar w:fldCharType="begin"/>
      </w:r>
      <w:r>
        <w:rPr>
          <w:rFonts w:hint="eastAsia" w:ascii="仿宋" w:hAnsi="仿宋" w:eastAsia="仿宋" w:cs="仿宋"/>
          <w:sz w:val="21"/>
          <w:szCs w:val="21"/>
          <w:lang w:val="en-US" w:eastAsia="zh-CN"/>
        </w:rPr>
        <w:instrText xml:space="preserve"> HYPERLINK "http://www.xuexila.com/shenghuo/shoujiqingli/" \t "_blank" </w:instrText>
      </w:r>
      <w:r>
        <w:rPr>
          <w:rFonts w:hint="eastAsia" w:ascii="仿宋" w:hAnsi="仿宋" w:eastAsia="仿宋" w:cs="仿宋"/>
          <w:sz w:val="21"/>
          <w:szCs w:val="21"/>
          <w:lang w:val="en-US" w:eastAsia="zh-CN"/>
        </w:rPr>
        <w:fldChar w:fldCharType="separate"/>
      </w:r>
      <w:r>
        <w:rPr>
          <w:rFonts w:hint="eastAsia" w:ascii="仿宋" w:hAnsi="仿宋" w:eastAsia="仿宋" w:cs="仿宋"/>
          <w:sz w:val="21"/>
          <w:szCs w:val="21"/>
          <w:lang w:val="en-US" w:eastAsia="zh-CN"/>
        </w:rPr>
        <w:t>清理</w:t>
      </w:r>
      <w:r>
        <w:rPr>
          <w:rFonts w:hint="eastAsia" w:ascii="仿宋" w:hAnsi="仿宋" w:eastAsia="仿宋" w:cs="仿宋"/>
          <w:sz w:val="21"/>
          <w:szCs w:val="21"/>
          <w:lang w:val="en-US" w:eastAsia="zh-CN"/>
        </w:rPr>
        <w:fldChar w:fldCharType="end"/>
      </w:r>
      <w:r>
        <w:rPr>
          <w:rFonts w:hint="eastAsia" w:ascii="仿宋" w:hAnsi="仿宋" w:eastAsia="仿宋" w:cs="仿宋"/>
          <w:sz w:val="21"/>
          <w:szCs w:val="21"/>
          <w:lang w:val="en-US" w:eastAsia="zh-CN"/>
        </w:rPr>
        <w:t>。严禁使用电炉、电饭锅及所有电力加热器。禁止私拉乱接电源线路。</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11、特种作业人员必须持证上岗，并严格遵守有关的安全技术操作规程。</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12、遵守国家的法律、法规，不发生打架斗殴、赌博、流氓行为进入施工现场作业前，必须先把身份证复印件交安全部备案，并且接受安全教育，签订安全协议书，否则不得进入现场施工。</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13、严格遵守施工定额，照合同办事，严禁在结算工资时无理取闹及乱投诉等现象。</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四、对于下列情况之一的，甲方给予罚款或者令其停止上班，情节特别恶劣的清退出施工现场。</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1、严重违反安全操作规程，事故隐患严重直接危及他人生命安全的。</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2、违章违纪较多，经教育指出后不改者，造成事故或影响安全生产评比、达标的。</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3、擅自动用他人使用的施工机械、电动设备而造成事故的。</w:t>
      </w:r>
    </w:p>
    <w:p>
      <w:pPr>
        <w:pStyle w:val="22"/>
        <w:ind w:firstLine="420" w:firstLineChars="2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4、违反劳动纪律、违章作业、野蛮施工及不遵守规章制度的。</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五、本安全生产协议一式两份，各自双方签字后生效。</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w:t>
      </w:r>
    </w:p>
    <w:p>
      <w:pPr>
        <w:pStyle w:val="22"/>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甲方（公章）：                      乙方（公章）：</w:t>
      </w:r>
    </w:p>
    <w:p>
      <w:pPr>
        <w:pStyle w:val="22"/>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签订时间：年  月  日               签订时间： 年  月  日</w:t>
      </w:r>
    </w:p>
    <w:p>
      <w:pPr>
        <w:widowControl/>
        <w:jc w:val="left"/>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rPr>
          <w:rFonts w:ascii="仿宋_GB2312" w:hAnsi="仿宋_GB2312" w:eastAsia="仿宋_GB2312" w:cs="仿宋_GB2312"/>
          <w:b/>
          <w:bCs/>
          <w:sz w:val="32"/>
          <w:szCs w:val="32"/>
        </w:rPr>
      </w:pPr>
    </w:p>
    <w:p>
      <w:pPr>
        <w:pStyle w:val="2"/>
        <w:ind w:left="0" w:leftChars="0" w:firstLine="0" w:firstLineChars="0"/>
        <w:rPr>
          <w:rFonts w:ascii="仿宋_GB2312" w:hAnsi="仿宋_GB2312" w:eastAsia="仿宋_GB2312" w:cs="仿宋_GB2312"/>
          <w:b/>
          <w:bCs/>
          <w:sz w:val="32"/>
          <w:szCs w:val="32"/>
        </w:rPr>
      </w:pPr>
    </w:p>
    <w:p>
      <w:pPr>
        <w:pStyle w:val="46"/>
        <w:rPr>
          <w:rFonts w:ascii="仿宋_GB2312" w:hAnsi="仿宋_GB2312" w:eastAsia="仿宋_GB2312" w:cs="仿宋_GB2312"/>
        </w:rPr>
      </w:pPr>
      <w:r>
        <w:rPr>
          <w:rFonts w:hint="eastAsia" w:ascii="仿宋_GB2312" w:hAnsi="仿宋_GB2312" w:eastAsia="仿宋_GB2312" w:cs="仿宋_GB2312"/>
        </w:rPr>
        <w:t>第五章  采购内容及要求</w:t>
      </w:r>
      <w:bookmarkEnd w:id="441"/>
      <w:bookmarkEnd w:id="442"/>
    </w:p>
    <w:p>
      <w:pPr>
        <w:widowControl/>
        <w:snapToGrid w:val="0"/>
        <w:spacing w:line="360" w:lineRule="auto"/>
        <w:ind w:right="-197" w:rightChars="-94" w:firstLine="480" w:firstLineChars="200"/>
        <w:jc w:val="left"/>
        <w:rPr>
          <w:rFonts w:ascii="仿宋_GB2312" w:hAnsi="仿宋_GB2312" w:eastAsia="仿宋_GB2312" w:cs="仿宋_GB2312"/>
          <w:kern w:val="0"/>
          <w:sz w:val="24"/>
        </w:rPr>
      </w:pPr>
    </w:p>
    <w:p>
      <w:pPr>
        <w:numPr>
          <w:ilvl w:val="0"/>
          <w:numId w:val="13"/>
        </w:numPr>
        <w:spacing w:line="360" w:lineRule="auto"/>
        <w:ind w:firstLine="482" w:firstLineChars="200"/>
        <w:jc w:val="left"/>
        <w:rPr>
          <w:rFonts w:hint="eastAsia" w:ascii="仿宋" w:hAnsi="仿宋" w:eastAsia="仿宋" w:cs="仿宋"/>
          <w:b/>
          <w:bCs w:val="0"/>
          <w:color w:val="000000"/>
          <w:kern w:val="0"/>
          <w:sz w:val="24"/>
          <w:szCs w:val="24"/>
          <w:lang w:val="zh-CN"/>
        </w:rPr>
      </w:pPr>
      <w:bookmarkStart w:id="443" w:name="_Toc389620241"/>
      <w:bookmarkStart w:id="444" w:name="_Toc62196432"/>
      <w:bookmarkStart w:id="445" w:name="_Toc31008"/>
      <w:bookmarkStart w:id="446" w:name="_Toc415499899"/>
      <w:bookmarkStart w:id="447" w:name="_Toc58504449"/>
      <w:bookmarkStart w:id="448" w:name="_Toc385992401"/>
      <w:r>
        <w:rPr>
          <w:rFonts w:hint="eastAsia" w:ascii="仿宋" w:hAnsi="仿宋" w:eastAsia="仿宋" w:cs="仿宋"/>
          <w:b/>
          <w:bCs w:val="0"/>
          <w:color w:val="000000"/>
          <w:kern w:val="0"/>
          <w:sz w:val="24"/>
          <w:szCs w:val="24"/>
          <w:lang w:val="zh-CN"/>
        </w:rPr>
        <w:t>工程概况</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 xml:space="preserve"> 丈八街道社区（村）级阵地提升工程（</w:t>
      </w:r>
      <w:r>
        <w:rPr>
          <w:rFonts w:hint="eastAsia" w:ascii="仿宋" w:hAnsi="仿宋" w:eastAsia="仿宋" w:cs="仿宋"/>
          <w:bCs/>
          <w:color w:val="000000"/>
          <w:kern w:val="0"/>
          <w:sz w:val="24"/>
          <w:szCs w:val="24"/>
          <w:lang w:eastAsia="zh-CN"/>
        </w:rPr>
        <w:t>二</w:t>
      </w:r>
      <w:r>
        <w:rPr>
          <w:rFonts w:hint="eastAsia" w:ascii="仿宋" w:hAnsi="仿宋" w:eastAsia="仿宋" w:cs="仿宋"/>
          <w:bCs/>
          <w:color w:val="000000"/>
          <w:kern w:val="0"/>
          <w:sz w:val="24"/>
          <w:szCs w:val="24"/>
        </w:rPr>
        <w:t>期）包含陈家庄社区、里花水社区、茶张村、东付社区、东辛庄社区、蒋家寨社区、南窑头社区、铺尚社区、西付社区、西辛庄社区、余家庄社区、袁旗寨社区、闸口社区、丈八东社区、丈八西社区、东滩社区、双水磨社区、甘家寨社区等17个社区、1个村的基层组织阵地提升,具体内容如下：</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1、</w:t>
      </w:r>
      <w:r>
        <w:rPr>
          <w:rFonts w:hint="eastAsia" w:ascii="仿宋" w:hAnsi="仿宋" w:eastAsia="仿宋" w:cs="仿宋"/>
          <w:bCs/>
          <w:color w:val="000000"/>
          <w:kern w:val="0"/>
          <w:sz w:val="24"/>
          <w:szCs w:val="24"/>
          <w:lang w:eastAsia="zh-CN"/>
        </w:rPr>
        <w:t>陈家庄社区</w:t>
      </w:r>
      <w:r>
        <w:rPr>
          <w:rFonts w:hint="eastAsia" w:ascii="仿宋" w:hAnsi="仿宋" w:eastAsia="仿宋" w:cs="仿宋"/>
          <w:bCs/>
          <w:color w:val="000000"/>
          <w:kern w:val="0"/>
          <w:sz w:val="24"/>
          <w:szCs w:val="24"/>
        </w:rPr>
        <w:t>党群服务中心。</w:t>
      </w:r>
      <w:r>
        <w:rPr>
          <w:rFonts w:hint="eastAsia" w:ascii="仿宋" w:hAnsi="仿宋" w:eastAsia="仿宋" w:cs="仿宋"/>
          <w:bCs/>
          <w:color w:val="000000"/>
          <w:kern w:val="0"/>
          <w:sz w:val="24"/>
          <w:szCs w:val="24"/>
          <w:lang w:eastAsia="zh-CN"/>
        </w:rPr>
        <w:t>位于雁塔区科技路</w:t>
      </w:r>
      <w:r>
        <w:rPr>
          <w:rFonts w:hint="eastAsia" w:ascii="仿宋" w:hAnsi="仿宋" w:eastAsia="仿宋" w:cs="仿宋"/>
          <w:bCs/>
          <w:color w:val="000000"/>
          <w:kern w:val="0"/>
          <w:sz w:val="24"/>
          <w:szCs w:val="24"/>
          <w:lang w:val="en-US" w:eastAsia="zh-CN"/>
        </w:rPr>
        <w:t>68号陈家庄小区内</w:t>
      </w:r>
      <w:r>
        <w:rPr>
          <w:rFonts w:hint="eastAsia" w:ascii="仿宋" w:hAnsi="仿宋" w:eastAsia="仿宋" w:cs="仿宋"/>
          <w:bCs/>
          <w:color w:val="000000"/>
          <w:kern w:val="0"/>
          <w:sz w:val="24"/>
          <w:szCs w:val="24"/>
        </w:rPr>
        <w:t>，该小区占地约</w:t>
      </w:r>
      <w:r>
        <w:rPr>
          <w:rFonts w:hint="eastAsia" w:ascii="仿宋" w:hAnsi="仿宋" w:eastAsia="仿宋" w:cs="仿宋"/>
          <w:bCs/>
          <w:color w:val="000000"/>
          <w:kern w:val="0"/>
          <w:sz w:val="24"/>
          <w:szCs w:val="24"/>
          <w:lang w:val="en-US" w:eastAsia="zh-CN"/>
        </w:rPr>
        <w:t>73</w:t>
      </w:r>
      <w:r>
        <w:rPr>
          <w:rFonts w:hint="eastAsia" w:ascii="仿宋" w:hAnsi="仿宋" w:eastAsia="仿宋" w:cs="仿宋"/>
          <w:bCs/>
          <w:color w:val="000000"/>
          <w:kern w:val="0"/>
          <w:sz w:val="24"/>
          <w:szCs w:val="24"/>
        </w:rPr>
        <w:t>亩，提升工程涉及小区内室外空间场地打造。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2、</w:t>
      </w:r>
      <w:r>
        <w:rPr>
          <w:rFonts w:hint="eastAsia" w:ascii="仿宋" w:hAnsi="仿宋" w:eastAsia="仿宋" w:cs="仿宋"/>
          <w:bCs/>
          <w:color w:val="000000"/>
          <w:kern w:val="0"/>
          <w:sz w:val="24"/>
          <w:szCs w:val="24"/>
          <w:lang w:eastAsia="zh-CN"/>
        </w:rPr>
        <w:t>里花水社区</w:t>
      </w:r>
      <w:r>
        <w:rPr>
          <w:rFonts w:hint="eastAsia" w:ascii="仿宋" w:hAnsi="仿宋" w:eastAsia="仿宋" w:cs="仿宋"/>
          <w:bCs/>
          <w:color w:val="000000"/>
          <w:kern w:val="0"/>
          <w:sz w:val="24"/>
          <w:szCs w:val="24"/>
        </w:rPr>
        <w:t>党群服务中心。位于</w:t>
      </w:r>
      <w:r>
        <w:rPr>
          <w:rFonts w:hint="eastAsia" w:ascii="仿宋" w:hAnsi="仿宋" w:eastAsia="仿宋" w:cs="仿宋"/>
          <w:bCs/>
          <w:color w:val="000000"/>
          <w:kern w:val="0"/>
          <w:sz w:val="24"/>
          <w:szCs w:val="24"/>
          <w:lang w:eastAsia="zh-CN"/>
        </w:rPr>
        <w:t>丈八西路以南里花水社区内</w:t>
      </w:r>
      <w:r>
        <w:rPr>
          <w:rFonts w:hint="eastAsia" w:ascii="仿宋" w:hAnsi="仿宋" w:eastAsia="仿宋" w:cs="仿宋"/>
          <w:bCs/>
          <w:color w:val="000000"/>
          <w:kern w:val="0"/>
          <w:sz w:val="24"/>
          <w:szCs w:val="24"/>
        </w:rPr>
        <w:t>，该小区占地约</w:t>
      </w:r>
      <w:r>
        <w:rPr>
          <w:rFonts w:hint="eastAsia" w:ascii="仿宋" w:hAnsi="仿宋" w:eastAsia="仿宋" w:cs="仿宋"/>
          <w:bCs/>
          <w:color w:val="000000"/>
          <w:kern w:val="0"/>
          <w:sz w:val="24"/>
          <w:szCs w:val="24"/>
          <w:lang w:val="en-US" w:eastAsia="zh-CN"/>
        </w:rPr>
        <w:t>226</w:t>
      </w:r>
      <w:r>
        <w:rPr>
          <w:rFonts w:hint="eastAsia" w:ascii="仿宋" w:hAnsi="仿宋" w:eastAsia="仿宋" w:cs="仿宋"/>
          <w:bCs/>
          <w:color w:val="000000"/>
          <w:kern w:val="0"/>
          <w:sz w:val="24"/>
          <w:szCs w:val="24"/>
        </w:rPr>
        <w:t>亩，提升工程涉及村委会办公楼（</w:t>
      </w:r>
      <w:r>
        <w:rPr>
          <w:rFonts w:hint="eastAsia" w:ascii="仿宋" w:hAnsi="仿宋" w:eastAsia="仿宋" w:cs="仿宋"/>
          <w:bCs/>
          <w:color w:val="000000"/>
          <w:kern w:val="0"/>
          <w:sz w:val="24"/>
          <w:szCs w:val="24"/>
          <w:lang w:val="en-US" w:eastAsia="zh-CN"/>
        </w:rPr>
        <w:t>1300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3、</w:t>
      </w:r>
      <w:r>
        <w:rPr>
          <w:rFonts w:hint="eastAsia" w:ascii="仿宋" w:hAnsi="仿宋" w:eastAsia="仿宋" w:cs="仿宋"/>
          <w:bCs/>
          <w:color w:val="000000"/>
          <w:kern w:val="0"/>
          <w:sz w:val="24"/>
          <w:szCs w:val="24"/>
          <w:lang w:eastAsia="zh-CN"/>
        </w:rPr>
        <w:t>茶张村</w:t>
      </w:r>
      <w:r>
        <w:rPr>
          <w:rFonts w:hint="eastAsia" w:ascii="仿宋" w:hAnsi="仿宋" w:eastAsia="仿宋" w:cs="仿宋"/>
          <w:bCs/>
          <w:color w:val="000000"/>
          <w:kern w:val="0"/>
          <w:sz w:val="24"/>
          <w:szCs w:val="24"/>
        </w:rPr>
        <w:t>党群服务中心。位于</w:t>
      </w:r>
      <w:r>
        <w:rPr>
          <w:rFonts w:hint="eastAsia" w:ascii="仿宋" w:hAnsi="仿宋" w:eastAsia="仿宋" w:cs="仿宋"/>
          <w:bCs/>
          <w:color w:val="000000"/>
          <w:kern w:val="0"/>
          <w:sz w:val="24"/>
          <w:szCs w:val="24"/>
          <w:lang w:eastAsia="zh-CN"/>
        </w:rPr>
        <w:t>科技六路茶张馨苑</w:t>
      </w:r>
      <w:r>
        <w:rPr>
          <w:rFonts w:hint="eastAsia" w:ascii="仿宋" w:hAnsi="仿宋" w:eastAsia="仿宋" w:cs="仿宋"/>
          <w:bCs/>
          <w:color w:val="000000"/>
          <w:kern w:val="0"/>
          <w:sz w:val="24"/>
          <w:szCs w:val="24"/>
        </w:rPr>
        <w:t>小区内，该小区占地约</w:t>
      </w:r>
      <w:r>
        <w:rPr>
          <w:rFonts w:hint="eastAsia" w:ascii="仿宋" w:hAnsi="仿宋" w:eastAsia="仿宋" w:cs="仿宋"/>
          <w:bCs/>
          <w:color w:val="000000"/>
          <w:kern w:val="0"/>
          <w:sz w:val="24"/>
          <w:szCs w:val="24"/>
          <w:lang w:val="en-US" w:eastAsia="zh-CN"/>
        </w:rPr>
        <w:t>162</w:t>
      </w:r>
      <w:r>
        <w:rPr>
          <w:rFonts w:hint="eastAsia" w:ascii="仿宋" w:hAnsi="仿宋" w:eastAsia="仿宋" w:cs="仿宋"/>
          <w:bCs/>
          <w:color w:val="000000"/>
          <w:kern w:val="0"/>
          <w:sz w:val="24"/>
          <w:szCs w:val="24"/>
        </w:rPr>
        <w:t>亩，提升工程涉及社区办公楼（约</w:t>
      </w:r>
      <w:r>
        <w:rPr>
          <w:rFonts w:hint="eastAsia" w:ascii="仿宋" w:hAnsi="仿宋" w:eastAsia="仿宋" w:cs="仿宋"/>
          <w:bCs/>
          <w:color w:val="000000"/>
          <w:kern w:val="0"/>
          <w:sz w:val="24"/>
          <w:szCs w:val="24"/>
          <w:lang w:val="en-US" w:eastAsia="zh-CN"/>
        </w:rPr>
        <w:t>600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4、</w:t>
      </w:r>
      <w:r>
        <w:rPr>
          <w:rFonts w:hint="eastAsia" w:ascii="仿宋" w:hAnsi="仿宋" w:eastAsia="仿宋" w:cs="仿宋"/>
          <w:bCs/>
          <w:color w:val="000000"/>
          <w:kern w:val="0"/>
          <w:sz w:val="24"/>
          <w:szCs w:val="24"/>
          <w:lang w:eastAsia="zh-CN"/>
        </w:rPr>
        <w:t>东付</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锦业二路</w:t>
      </w:r>
      <w:r>
        <w:rPr>
          <w:rFonts w:hint="eastAsia" w:ascii="仿宋" w:hAnsi="仿宋" w:eastAsia="仿宋" w:cs="仿宋"/>
          <w:bCs/>
          <w:color w:val="000000"/>
          <w:kern w:val="0"/>
          <w:sz w:val="24"/>
          <w:szCs w:val="24"/>
          <w:lang w:val="en-US" w:eastAsia="zh-CN"/>
        </w:rPr>
        <w:t>67号付村花园</w:t>
      </w:r>
      <w:r>
        <w:rPr>
          <w:rFonts w:hint="eastAsia" w:ascii="仿宋" w:hAnsi="仿宋" w:eastAsia="仿宋" w:cs="仿宋"/>
          <w:bCs/>
          <w:color w:val="000000"/>
          <w:kern w:val="0"/>
          <w:sz w:val="24"/>
          <w:szCs w:val="24"/>
          <w:lang w:eastAsia="zh-CN"/>
        </w:rPr>
        <w:t>东</w:t>
      </w:r>
      <w:r>
        <w:rPr>
          <w:rFonts w:hint="eastAsia" w:ascii="仿宋" w:hAnsi="仿宋" w:eastAsia="仿宋" w:cs="仿宋"/>
          <w:bCs/>
          <w:color w:val="000000"/>
          <w:kern w:val="0"/>
          <w:sz w:val="24"/>
          <w:szCs w:val="24"/>
        </w:rPr>
        <w:t>区内，</w:t>
      </w:r>
      <w:r>
        <w:rPr>
          <w:rFonts w:hint="eastAsia" w:ascii="仿宋" w:hAnsi="仿宋" w:eastAsia="仿宋" w:cs="仿宋"/>
          <w:bCs/>
          <w:color w:val="000000"/>
          <w:kern w:val="0"/>
          <w:sz w:val="24"/>
          <w:szCs w:val="24"/>
          <w:lang w:eastAsia="zh-CN"/>
        </w:rPr>
        <w:t>该小区</w:t>
      </w:r>
      <w:r>
        <w:rPr>
          <w:rFonts w:hint="eastAsia" w:ascii="仿宋" w:hAnsi="仿宋" w:eastAsia="仿宋" w:cs="仿宋"/>
          <w:bCs/>
          <w:color w:val="000000"/>
          <w:kern w:val="0"/>
          <w:sz w:val="24"/>
          <w:szCs w:val="24"/>
        </w:rPr>
        <w:t>占地</w:t>
      </w:r>
      <w:r>
        <w:rPr>
          <w:rFonts w:hint="eastAsia" w:ascii="仿宋" w:hAnsi="仿宋" w:eastAsia="仿宋" w:cs="仿宋"/>
          <w:bCs/>
          <w:color w:val="000000"/>
          <w:kern w:val="0"/>
          <w:sz w:val="24"/>
          <w:szCs w:val="24"/>
          <w:lang w:eastAsia="zh-CN"/>
        </w:rPr>
        <w:t>约</w:t>
      </w:r>
      <w:r>
        <w:rPr>
          <w:rFonts w:hint="eastAsia" w:ascii="仿宋" w:hAnsi="仿宋" w:eastAsia="仿宋" w:cs="仿宋"/>
          <w:bCs/>
          <w:color w:val="000000"/>
          <w:kern w:val="0"/>
          <w:sz w:val="24"/>
          <w:szCs w:val="24"/>
          <w:lang w:val="en-US" w:eastAsia="zh-CN"/>
        </w:rPr>
        <w:t>280</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2800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5、</w:t>
      </w:r>
      <w:r>
        <w:rPr>
          <w:rFonts w:hint="eastAsia" w:ascii="仿宋" w:hAnsi="仿宋" w:eastAsia="仿宋" w:cs="仿宋"/>
          <w:bCs/>
          <w:color w:val="000000"/>
          <w:kern w:val="0"/>
          <w:sz w:val="24"/>
          <w:szCs w:val="24"/>
          <w:lang w:eastAsia="zh-CN"/>
        </w:rPr>
        <w:t>东辛庄</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唐兴路</w:t>
      </w:r>
      <w:r>
        <w:rPr>
          <w:rFonts w:hint="eastAsia" w:ascii="仿宋" w:hAnsi="仿宋" w:eastAsia="仿宋" w:cs="仿宋"/>
          <w:bCs/>
          <w:color w:val="000000"/>
          <w:kern w:val="0"/>
          <w:sz w:val="24"/>
          <w:szCs w:val="24"/>
          <w:lang w:val="en-US" w:eastAsia="zh-CN"/>
        </w:rPr>
        <w:t>11号东辛庄</w:t>
      </w:r>
      <w:r>
        <w:rPr>
          <w:rFonts w:hint="eastAsia" w:ascii="仿宋" w:hAnsi="仿宋" w:eastAsia="仿宋" w:cs="仿宋"/>
          <w:bCs/>
          <w:color w:val="000000"/>
          <w:kern w:val="0"/>
          <w:sz w:val="24"/>
          <w:szCs w:val="24"/>
        </w:rPr>
        <w:t>社区内，占地</w:t>
      </w:r>
      <w:r>
        <w:rPr>
          <w:rFonts w:hint="eastAsia" w:ascii="仿宋" w:hAnsi="仿宋" w:eastAsia="仿宋" w:cs="仿宋"/>
          <w:bCs/>
          <w:color w:val="000000"/>
          <w:kern w:val="0"/>
          <w:sz w:val="24"/>
          <w:szCs w:val="24"/>
          <w:lang w:val="en-US" w:eastAsia="zh-CN"/>
        </w:rPr>
        <w:t>126</w:t>
      </w:r>
      <w:r>
        <w:rPr>
          <w:rFonts w:hint="eastAsia" w:ascii="仿宋" w:hAnsi="仿宋" w:eastAsia="仿宋" w:cs="仿宋"/>
          <w:bCs/>
          <w:color w:val="000000"/>
          <w:kern w:val="0"/>
          <w:sz w:val="24"/>
          <w:szCs w:val="24"/>
        </w:rPr>
        <w:t>亩，提升工程涉及社区办公场所（约</w:t>
      </w:r>
      <w:r>
        <w:rPr>
          <w:rFonts w:hint="eastAsia" w:ascii="仿宋" w:hAnsi="仿宋" w:eastAsia="仿宋" w:cs="仿宋"/>
          <w:bCs/>
          <w:color w:val="000000"/>
          <w:kern w:val="0"/>
          <w:sz w:val="24"/>
          <w:szCs w:val="24"/>
          <w:lang w:val="en-US" w:eastAsia="zh-CN"/>
        </w:rPr>
        <w:t>900</w:t>
      </w:r>
      <w:r>
        <w:rPr>
          <w:rFonts w:hint="eastAsia" w:ascii="仿宋" w:hAnsi="仿宋" w:eastAsia="仿宋" w:cs="仿宋"/>
          <w:bCs/>
          <w:color w:val="000000"/>
          <w:kern w:val="0"/>
          <w:sz w:val="24"/>
          <w:szCs w:val="24"/>
        </w:rPr>
        <w:t>㎡）及社区内室外空间场地打造。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6、</w:t>
      </w:r>
      <w:r>
        <w:rPr>
          <w:rFonts w:hint="eastAsia" w:ascii="仿宋" w:hAnsi="仿宋" w:eastAsia="仿宋" w:cs="仿宋"/>
          <w:bCs/>
          <w:color w:val="000000"/>
          <w:kern w:val="0"/>
          <w:sz w:val="24"/>
          <w:szCs w:val="24"/>
          <w:lang w:eastAsia="zh-CN"/>
        </w:rPr>
        <w:t>蒋家寨</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博文路</w:t>
      </w:r>
      <w:r>
        <w:rPr>
          <w:rFonts w:hint="eastAsia" w:ascii="仿宋" w:hAnsi="仿宋" w:eastAsia="仿宋" w:cs="仿宋"/>
          <w:bCs/>
          <w:color w:val="000000"/>
          <w:kern w:val="0"/>
          <w:sz w:val="24"/>
          <w:szCs w:val="24"/>
          <w:lang w:val="en-US" w:eastAsia="zh-CN"/>
        </w:rPr>
        <w:t>51号蒋家寨</w:t>
      </w:r>
      <w:r>
        <w:rPr>
          <w:rFonts w:hint="eastAsia" w:ascii="仿宋" w:hAnsi="仿宋" w:eastAsia="仿宋" w:cs="仿宋"/>
          <w:bCs/>
          <w:color w:val="000000"/>
          <w:kern w:val="0"/>
          <w:sz w:val="24"/>
          <w:szCs w:val="24"/>
        </w:rPr>
        <w:t>小区内，该小区占地</w:t>
      </w:r>
      <w:r>
        <w:rPr>
          <w:rFonts w:hint="eastAsia" w:ascii="仿宋" w:hAnsi="仿宋" w:eastAsia="仿宋" w:cs="仿宋"/>
          <w:bCs/>
          <w:color w:val="000000"/>
          <w:kern w:val="0"/>
          <w:sz w:val="24"/>
          <w:szCs w:val="24"/>
          <w:lang w:val="en-US" w:eastAsia="zh-CN"/>
        </w:rPr>
        <w:t>185</w:t>
      </w:r>
      <w:r>
        <w:rPr>
          <w:rFonts w:hint="eastAsia" w:ascii="仿宋" w:hAnsi="仿宋" w:eastAsia="仿宋" w:cs="仿宋"/>
          <w:bCs/>
          <w:color w:val="000000"/>
          <w:kern w:val="0"/>
          <w:sz w:val="24"/>
          <w:szCs w:val="24"/>
        </w:rPr>
        <w:t>亩，提升工程涉及社区办公场所（约</w:t>
      </w:r>
      <w:r>
        <w:rPr>
          <w:rFonts w:hint="eastAsia" w:ascii="仿宋" w:hAnsi="仿宋" w:eastAsia="仿宋" w:cs="仿宋"/>
          <w:bCs/>
          <w:color w:val="000000"/>
          <w:kern w:val="0"/>
          <w:sz w:val="24"/>
          <w:szCs w:val="24"/>
          <w:lang w:val="en-US" w:eastAsia="zh-CN"/>
        </w:rPr>
        <w:t>650</w:t>
      </w:r>
      <w:r>
        <w:rPr>
          <w:rFonts w:hint="eastAsia" w:ascii="仿宋" w:hAnsi="仿宋" w:eastAsia="仿宋" w:cs="仿宋"/>
          <w:bCs/>
          <w:color w:val="000000"/>
          <w:kern w:val="0"/>
          <w:sz w:val="24"/>
          <w:szCs w:val="24"/>
        </w:rPr>
        <w:t>㎡）及室外空间场地打造。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7</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南窑头</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团结南路南窑头社区西区</w:t>
      </w:r>
      <w:r>
        <w:rPr>
          <w:rFonts w:hint="eastAsia" w:ascii="仿宋" w:hAnsi="仿宋" w:eastAsia="仿宋" w:cs="仿宋"/>
          <w:bCs/>
          <w:color w:val="000000"/>
          <w:kern w:val="0"/>
          <w:sz w:val="24"/>
          <w:szCs w:val="24"/>
        </w:rPr>
        <w:t>内，</w:t>
      </w:r>
      <w:r>
        <w:rPr>
          <w:rFonts w:hint="eastAsia" w:ascii="仿宋" w:hAnsi="仿宋" w:eastAsia="仿宋" w:cs="仿宋"/>
          <w:bCs/>
          <w:color w:val="000000"/>
          <w:kern w:val="0"/>
          <w:sz w:val="24"/>
          <w:szCs w:val="24"/>
          <w:lang w:eastAsia="zh-CN"/>
        </w:rPr>
        <w:t>南窑头</w:t>
      </w:r>
      <w:r>
        <w:rPr>
          <w:rFonts w:hint="eastAsia" w:ascii="仿宋" w:hAnsi="仿宋" w:eastAsia="仿宋" w:cs="仿宋"/>
          <w:bCs/>
          <w:color w:val="000000"/>
          <w:kern w:val="0"/>
          <w:sz w:val="24"/>
          <w:szCs w:val="24"/>
        </w:rPr>
        <w:t>社区</w:t>
      </w:r>
      <w:r>
        <w:rPr>
          <w:rFonts w:hint="eastAsia" w:ascii="仿宋" w:hAnsi="仿宋" w:eastAsia="仿宋" w:cs="仿宋"/>
          <w:bCs/>
          <w:color w:val="000000"/>
          <w:kern w:val="0"/>
          <w:sz w:val="24"/>
          <w:szCs w:val="24"/>
          <w:lang w:eastAsia="zh-CN"/>
        </w:rPr>
        <w:t>西区</w:t>
      </w:r>
      <w:r>
        <w:rPr>
          <w:rFonts w:hint="eastAsia" w:ascii="仿宋" w:hAnsi="仿宋" w:eastAsia="仿宋" w:cs="仿宋"/>
          <w:bCs/>
          <w:color w:val="000000"/>
          <w:kern w:val="0"/>
          <w:sz w:val="24"/>
          <w:szCs w:val="24"/>
        </w:rPr>
        <w:t>共占</w:t>
      </w:r>
      <w:r>
        <w:rPr>
          <w:rFonts w:hint="eastAsia" w:ascii="仿宋" w:hAnsi="仿宋" w:eastAsia="仿宋" w:cs="仿宋"/>
          <w:bCs/>
          <w:color w:val="000000"/>
          <w:kern w:val="0"/>
          <w:sz w:val="24"/>
          <w:szCs w:val="24"/>
          <w:lang w:eastAsia="zh-CN"/>
        </w:rPr>
        <w:t>地约</w:t>
      </w:r>
      <w:r>
        <w:rPr>
          <w:rFonts w:hint="eastAsia" w:ascii="仿宋" w:hAnsi="仿宋" w:eastAsia="仿宋" w:cs="仿宋"/>
          <w:bCs/>
          <w:color w:val="000000"/>
          <w:kern w:val="0"/>
          <w:sz w:val="24"/>
          <w:szCs w:val="24"/>
          <w:lang w:val="en-US" w:eastAsia="zh-CN"/>
        </w:rPr>
        <w:t>336</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400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8</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铺尚</w:t>
      </w:r>
      <w:r>
        <w:rPr>
          <w:rFonts w:hint="eastAsia" w:ascii="仿宋" w:hAnsi="仿宋" w:eastAsia="仿宋" w:cs="仿宋"/>
          <w:bCs/>
          <w:color w:val="000000"/>
          <w:kern w:val="0"/>
          <w:sz w:val="24"/>
          <w:szCs w:val="24"/>
        </w:rPr>
        <w:t>社区党群服务中心。位于丈八西路</w:t>
      </w:r>
      <w:r>
        <w:rPr>
          <w:rFonts w:hint="eastAsia" w:ascii="仿宋" w:hAnsi="仿宋" w:eastAsia="仿宋" w:cs="仿宋"/>
          <w:bCs/>
          <w:color w:val="000000"/>
          <w:kern w:val="0"/>
          <w:sz w:val="24"/>
          <w:szCs w:val="24"/>
          <w:lang w:eastAsia="zh-CN"/>
        </w:rPr>
        <w:t>与丈八六路十字西北角铺尚新村花园</w:t>
      </w:r>
      <w:r>
        <w:rPr>
          <w:rFonts w:hint="eastAsia" w:ascii="仿宋" w:hAnsi="仿宋" w:eastAsia="仿宋" w:cs="仿宋"/>
          <w:bCs/>
          <w:color w:val="000000"/>
          <w:kern w:val="0"/>
          <w:sz w:val="24"/>
          <w:szCs w:val="24"/>
        </w:rPr>
        <w:t>内，丈八北社区共占地</w:t>
      </w:r>
      <w:r>
        <w:rPr>
          <w:rFonts w:hint="eastAsia" w:ascii="仿宋" w:hAnsi="仿宋" w:eastAsia="仿宋" w:cs="仿宋"/>
          <w:bCs/>
          <w:color w:val="000000"/>
          <w:kern w:val="0"/>
          <w:sz w:val="24"/>
          <w:szCs w:val="24"/>
          <w:lang w:val="en-US" w:eastAsia="zh-CN"/>
        </w:rPr>
        <w:t>600</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2800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9</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西付</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锦业二路</w:t>
      </w:r>
      <w:r>
        <w:rPr>
          <w:rFonts w:hint="eastAsia" w:ascii="仿宋" w:hAnsi="仿宋" w:eastAsia="仿宋" w:cs="仿宋"/>
          <w:bCs/>
          <w:color w:val="000000"/>
          <w:kern w:val="0"/>
          <w:sz w:val="24"/>
          <w:szCs w:val="24"/>
          <w:lang w:val="en-US" w:eastAsia="zh-CN"/>
        </w:rPr>
        <w:t>67号付村花园</w:t>
      </w:r>
      <w:r>
        <w:rPr>
          <w:rFonts w:hint="eastAsia" w:ascii="仿宋" w:hAnsi="仿宋" w:eastAsia="仿宋" w:cs="仿宋"/>
          <w:bCs/>
          <w:color w:val="000000"/>
          <w:kern w:val="0"/>
          <w:sz w:val="24"/>
          <w:szCs w:val="24"/>
          <w:lang w:eastAsia="zh-CN"/>
        </w:rPr>
        <w:t>东</w:t>
      </w:r>
      <w:r>
        <w:rPr>
          <w:rFonts w:hint="eastAsia" w:ascii="仿宋" w:hAnsi="仿宋" w:eastAsia="仿宋" w:cs="仿宋"/>
          <w:bCs/>
          <w:color w:val="000000"/>
          <w:kern w:val="0"/>
          <w:sz w:val="24"/>
          <w:szCs w:val="24"/>
        </w:rPr>
        <w:t>区内，</w:t>
      </w:r>
      <w:r>
        <w:rPr>
          <w:rFonts w:hint="eastAsia" w:ascii="仿宋" w:hAnsi="仿宋" w:eastAsia="仿宋" w:cs="仿宋"/>
          <w:bCs/>
          <w:color w:val="000000"/>
          <w:kern w:val="0"/>
          <w:sz w:val="24"/>
          <w:szCs w:val="24"/>
          <w:lang w:eastAsia="zh-CN"/>
        </w:rPr>
        <w:t>西付</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val="en-US" w:eastAsia="zh-CN"/>
        </w:rPr>
        <w:t>260</w:t>
      </w:r>
      <w:r>
        <w:rPr>
          <w:rFonts w:hint="eastAsia" w:ascii="仿宋" w:hAnsi="仿宋" w:eastAsia="仿宋" w:cs="仿宋"/>
          <w:bCs/>
          <w:color w:val="000000"/>
          <w:kern w:val="0"/>
          <w:sz w:val="24"/>
          <w:szCs w:val="24"/>
        </w:rPr>
        <w:t>亩，提升工程涉及社区办公活动场所（约450㎡）及小区内室外空间场地打造。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10</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西辛庄</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唐兴路</w:t>
      </w:r>
      <w:r>
        <w:rPr>
          <w:rFonts w:hint="eastAsia" w:ascii="仿宋" w:hAnsi="仿宋" w:eastAsia="仿宋" w:cs="仿宋"/>
          <w:bCs/>
          <w:color w:val="000000"/>
          <w:kern w:val="0"/>
          <w:sz w:val="24"/>
          <w:szCs w:val="24"/>
          <w:lang w:val="en-US" w:eastAsia="zh-CN"/>
        </w:rPr>
        <w:t>11号西辛庄</w:t>
      </w:r>
      <w:r>
        <w:rPr>
          <w:rFonts w:hint="eastAsia" w:ascii="仿宋" w:hAnsi="仿宋" w:eastAsia="仿宋" w:cs="仿宋"/>
          <w:bCs/>
          <w:color w:val="000000"/>
          <w:kern w:val="0"/>
          <w:sz w:val="24"/>
          <w:szCs w:val="24"/>
        </w:rPr>
        <w:t>小区内，</w:t>
      </w:r>
      <w:r>
        <w:rPr>
          <w:rFonts w:hint="eastAsia" w:ascii="仿宋" w:hAnsi="仿宋" w:eastAsia="仿宋" w:cs="仿宋"/>
          <w:bCs/>
          <w:color w:val="000000"/>
          <w:kern w:val="0"/>
          <w:sz w:val="24"/>
          <w:szCs w:val="24"/>
          <w:lang w:eastAsia="zh-CN"/>
        </w:rPr>
        <w:t>西辛庄</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eastAsia="zh-CN"/>
        </w:rPr>
        <w:t>约</w:t>
      </w:r>
      <w:r>
        <w:rPr>
          <w:rFonts w:hint="eastAsia" w:ascii="仿宋" w:hAnsi="仿宋" w:eastAsia="仿宋" w:cs="仿宋"/>
          <w:bCs/>
          <w:color w:val="000000"/>
          <w:kern w:val="0"/>
          <w:sz w:val="24"/>
          <w:szCs w:val="24"/>
          <w:lang w:val="en-US" w:eastAsia="zh-CN"/>
        </w:rPr>
        <w:t>165</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500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11</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余家庄</w:t>
      </w:r>
      <w:r>
        <w:rPr>
          <w:rFonts w:hint="eastAsia" w:ascii="仿宋" w:hAnsi="仿宋" w:eastAsia="仿宋" w:cs="仿宋"/>
          <w:bCs/>
          <w:color w:val="000000"/>
          <w:kern w:val="0"/>
          <w:sz w:val="24"/>
          <w:szCs w:val="24"/>
        </w:rPr>
        <w:t>社区党群服务中心。位于丈八西路北侧</w:t>
      </w:r>
      <w:r>
        <w:rPr>
          <w:rFonts w:hint="eastAsia" w:ascii="仿宋" w:hAnsi="仿宋" w:eastAsia="仿宋" w:cs="仿宋"/>
          <w:bCs/>
          <w:color w:val="000000"/>
          <w:kern w:val="0"/>
          <w:sz w:val="24"/>
          <w:szCs w:val="24"/>
          <w:lang w:val="en-US" w:eastAsia="zh-CN"/>
        </w:rPr>
        <w:t>150米</w:t>
      </w:r>
      <w:r>
        <w:rPr>
          <w:rFonts w:hint="eastAsia" w:ascii="仿宋" w:hAnsi="仿宋" w:eastAsia="仿宋" w:cs="仿宋"/>
          <w:bCs/>
          <w:color w:val="000000"/>
          <w:kern w:val="0"/>
          <w:sz w:val="24"/>
          <w:szCs w:val="24"/>
          <w:lang w:eastAsia="zh-CN"/>
        </w:rPr>
        <w:t>余家庄</w:t>
      </w:r>
      <w:r>
        <w:rPr>
          <w:rFonts w:hint="eastAsia" w:ascii="仿宋" w:hAnsi="仿宋" w:eastAsia="仿宋" w:cs="仿宋"/>
          <w:bCs/>
          <w:color w:val="000000"/>
          <w:kern w:val="0"/>
          <w:sz w:val="24"/>
          <w:szCs w:val="24"/>
        </w:rPr>
        <w:t>小区内，</w:t>
      </w:r>
      <w:r>
        <w:rPr>
          <w:rFonts w:hint="eastAsia" w:ascii="仿宋" w:hAnsi="仿宋" w:eastAsia="仿宋" w:cs="仿宋"/>
          <w:bCs/>
          <w:color w:val="000000"/>
          <w:kern w:val="0"/>
          <w:sz w:val="24"/>
          <w:szCs w:val="24"/>
          <w:lang w:eastAsia="zh-CN"/>
        </w:rPr>
        <w:t>余家庄</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eastAsia="zh-CN"/>
        </w:rPr>
        <w:t>约</w:t>
      </w:r>
      <w:r>
        <w:rPr>
          <w:rFonts w:hint="eastAsia" w:ascii="仿宋" w:hAnsi="仿宋" w:eastAsia="仿宋" w:cs="仿宋"/>
          <w:bCs/>
          <w:color w:val="000000"/>
          <w:kern w:val="0"/>
          <w:sz w:val="24"/>
          <w:szCs w:val="24"/>
          <w:lang w:val="en-US" w:eastAsia="zh-CN"/>
        </w:rPr>
        <w:t>93</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3000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12</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袁旗寨</w:t>
      </w:r>
      <w:r>
        <w:rPr>
          <w:rFonts w:hint="eastAsia" w:ascii="仿宋" w:hAnsi="仿宋" w:eastAsia="仿宋" w:cs="仿宋"/>
          <w:bCs/>
          <w:color w:val="000000"/>
          <w:kern w:val="0"/>
          <w:sz w:val="24"/>
          <w:szCs w:val="24"/>
        </w:rPr>
        <w:t>社区党群服务中心。位于丈八西路</w:t>
      </w:r>
      <w:r>
        <w:rPr>
          <w:rFonts w:hint="eastAsia" w:ascii="仿宋" w:hAnsi="仿宋" w:eastAsia="仿宋" w:cs="仿宋"/>
          <w:bCs/>
          <w:color w:val="000000"/>
          <w:kern w:val="0"/>
          <w:sz w:val="24"/>
          <w:szCs w:val="24"/>
          <w:lang w:eastAsia="zh-CN"/>
        </w:rPr>
        <w:t>与丈八六路十字口西南角袁旗寨</w:t>
      </w:r>
      <w:r>
        <w:rPr>
          <w:rFonts w:hint="eastAsia" w:ascii="仿宋" w:hAnsi="仿宋" w:eastAsia="仿宋" w:cs="仿宋"/>
          <w:bCs/>
          <w:color w:val="000000"/>
          <w:kern w:val="0"/>
          <w:sz w:val="24"/>
          <w:szCs w:val="24"/>
        </w:rPr>
        <w:t>小区内，</w:t>
      </w:r>
      <w:r>
        <w:rPr>
          <w:rFonts w:hint="eastAsia" w:ascii="仿宋" w:hAnsi="仿宋" w:eastAsia="仿宋" w:cs="仿宋"/>
          <w:bCs/>
          <w:color w:val="000000"/>
          <w:kern w:val="0"/>
          <w:sz w:val="24"/>
          <w:szCs w:val="24"/>
          <w:lang w:eastAsia="zh-CN"/>
        </w:rPr>
        <w:t>袁旗寨</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val="en-US" w:eastAsia="zh-CN"/>
        </w:rPr>
        <w:t>240</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300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13</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闸口</w:t>
      </w:r>
      <w:r>
        <w:rPr>
          <w:rFonts w:hint="eastAsia" w:ascii="仿宋" w:hAnsi="仿宋" w:eastAsia="仿宋" w:cs="仿宋"/>
          <w:bCs/>
          <w:color w:val="000000"/>
          <w:kern w:val="0"/>
          <w:sz w:val="24"/>
          <w:szCs w:val="24"/>
        </w:rPr>
        <w:t>社区党群服务中心。位于丈八</w:t>
      </w:r>
      <w:r>
        <w:rPr>
          <w:rFonts w:hint="eastAsia" w:ascii="仿宋" w:hAnsi="仿宋" w:eastAsia="仿宋" w:cs="仿宋"/>
          <w:bCs/>
          <w:color w:val="000000"/>
          <w:kern w:val="0"/>
          <w:sz w:val="24"/>
          <w:szCs w:val="24"/>
          <w:lang w:eastAsia="zh-CN"/>
        </w:rPr>
        <w:t>六</w:t>
      </w:r>
      <w:r>
        <w:rPr>
          <w:rFonts w:hint="eastAsia" w:ascii="仿宋" w:hAnsi="仿宋" w:eastAsia="仿宋" w:cs="仿宋"/>
          <w:bCs/>
          <w:color w:val="000000"/>
          <w:kern w:val="0"/>
          <w:sz w:val="24"/>
          <w:szCs w:val="24"/>
        </w:rPr>
        <w:t>路</w:t>
      </w:r>
      <w:r>
        <w:rPr>
          <w:rFonts w:hint="eastAsia" w:ascii="仿宋" w:hAnsi="仿宋" w:eastAsia="仿宋" w:cs="仿宋"/>
          <w:bCs/>
          <w:color w:val="000000"/>
          <w:kern w:val="0"/>
          <w:sz w:val="24"/>
          <w:szCs w:val="24"/>
          <w:lang w:eastAsia="zh-CN"/>
        </w:rPr>
        <w:t>西</w:t>
      </w:r>
      <w:r>
        <w:rPr>
          <w:rFonts w:hint="eastAsia" w:ascii="仿宋" w:hAnsi="仿宋" w:eastAsia="仿宋" w:cs="仿宋"/>
          <w:bCs/>
          <w:color w:val="000000"/>
          <w:kern w:val="0"/>
          <w:sz w:val="24"/>
          <w:szCs w:val="24"/>
        </w:rPr>
        <w:t>侧</w:t>
      </w:r>
      <w:r>
        <w:rPr>
          <w:rFonts w:hint="eastAsia" w:ascii="仿宋" w:hAnsi="仿宋" w:eastAsia="仿宋" w:cs="仿宋"/>
          <w:bCs/>
          <w:color w:val="000000"/>
          <w:kern w:val="0"/>
          <w:sz w:val="24"/>
          <w:szCs w:val="24"/>
          <w:lang w:eastAsia="zh-CN"/>
        </w:rPr>
        <w:t>铺尚新村花园闸口社区</w:t>
      </w:r>
      <w:r>
        <w:rPr>
          <w:rFonts w:hint="eastAsia" w:ascii="仿宋" w:hAnsi="仿宋" w:eastAsia="仿宋" w:cs="仿宋"/>
          <w:bCs/>
          <w:color w:val="000000"/>
          <w:kern w:val="0"/>
          <w:sz w:val="24"/>
          <w:szCs w:val="24"/>
        </w:rPr>
        <w:t>内，</w:t>
      </w:r>
      <w:r>
        <w:rPr>
          <w:rFonts w:hint="eastAsia" w:ascii="仿宋" w:hAnsi="仿宋" w:eastAsia="仿宋" w:cs="仿宋"/>
          <w:bCs/>
          <w:color w:val="000000"/>
          <w:kern w:val="0"/>
          <w:sz w:val="24"/>
          <w:szCs w:val="24"/>
          <w:lang w:eastAsia="zh-CN"/>
        </w:rPr>
        <w:t>闸口</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val="en-US" w:eastAsia="zh-CN"/>
        </w:rPr>
        <w:t>130</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1600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14</w:t>
      </w:r>
      <w:r>
        <w:rPr>
          <w:rFonts w:hint="eastAsia" w:ascii="仿宋" w:hAnsi="仿宋" w:eastAsia="仿宋" w:cs="仿宋"/>
          <w:bCs/>
          <w:color w:val="000000"/>
          <w:kern w:val="0"/>
          <w:sz w:val="24"/>
          <w:szCs w:val="24"/>
        </w:rPr>
        <w:t>、丈八</w:t>
      </w:r>
      <w:r>
        <w:rPr>
          <w:rFonts w:hint="eastAsia" w:ascii="仿宋" w:hAnsi="仿宋" w:eastAsia="仿宋" w:cs="仿宋"/>
          <w:bCs/>
          <w:color w:val="000000"/>
          <w:kern w:val="0"/>
          <w:sz w:val="24"/>
          <w:szCs w:val="24"/>
          <w:lang w:eastAsia="zh-CN"/>
        </w:rPr>
        <w:t>东</w:t>
      </w:r>
      <w:r>
        <w:rPr>
          <w:rFonts w:hint="eastAsia" w:ascii="仿宋" w:hAnsi="仿宋" w:eastAsia="仿宋" w:cs="仿宋"/>
          <w:bCs/>
          <w:color w:val="000000"/>
          <w:kern w:val="0"/>
          <w:sz w:val="24"/>
          <w:szCs w:val="24"/>
        </w:rPr>
        <w:t>社区党群服务中心。位于丈八</w:t>
      </w:r>
      <w:r>
        <w:rPr>
          <w:rFonts w:hint="eastAsia" w:ascii="仿宋" w:hAnsi="仿宋" w:eastAsia="仿宋" w:cs="仿宋"/>
          <w:bCs/>
          <w:color w:val="000000"/>
          <w:kern w:val="0"/>
          <w:sz w:val="24"/>
          <w:szCs w:val="24"/>
          <w:lang w:eastAsia="zh-CN"/>
        </w:rPr>
        <w:t>六</w:t>
      </w:r>
      <w:r>
        <w:rPr>
          <w:rFonts w:hint="eastAsia" w:ascii="仿宋" w:hAnsi="仿宋" w:eastAsia="仿宋" w:cs="仿宋"/>
          <w:bCs/>
          <w:color w:val="000000"/>
          <w:kern w:val="0"/>
          <w:sz w:val="24"/>
          <w:szCs w:val="24"/>
        </w:rPr>
        <w:t>路</w:t>
      </w:r>
      <w:r>
        <w:rPr>
          <w:rFonts w:hint="eastAsia" w:ascii="仿宋" w:hAnsi="仿宋" w:eastAsia="仿宋" w:cs="仿宋"/>
          <w:bCs/>
          <w:color w:val="000000"/>
          <w:kern w:val="0"/>
          <w:sz w:val="24"/>
          <w:szCs w:val="24"/>
          <w:lang w:eastAsia="zh-CN"/>
        </w:rPr>
        <w:t>西</w:t>
      </w:r>
      <w:r>
        <w:rPr>
          <w:rFonts w:hint="eastAsia" w:ascii="仿宋" w:hAnsi="仿宋" w:eastAsia="仿宋" w:cs="仿宋"/>
          <w:bCs/>
          <w:color w:val="000000"/>
          <w:kern w:val="0"/>
          <w:sz w:val="24"/>
          <w:szCs w:val="24"/>
        </w:rPr>
        <w:t>侧丈八</w:t>
      </w:r>
      <w:r>
        <w:rPr>
          <w:rFonts w:hint="eastAsia" w:ascii="仿宋" w:hAnsi="仿宋" w:eastAsia="仿宋" w:cs="仿宋"/>
          <w:bCs/>
          <w:color w:val="000000"/>
          <w:kern w:val="0"/>
          <w:sz w:val="24"/>
          <w:szCs w:val="24"/>
          <w:lang w:eastAsia="zh-CN"/>
        </w:rPr>
        <w:t>东</w:t>
      </w:r>
      <w:r>
        <w:rPr>
          <w:rFonts w:hint="eastAsia" w:ascii="仿宋" w:hAnsi="仿宋" w:eastAsia="仿宋" w:cs="仿宋"/>
          <w:bCs/>
          <w:color w:val="000000"/>
          <w:kern w:val="0"/>
          <w:sz w:val="24"/>
          <w:szCs w:val="24"/>
        </w:rPr>
        <w:t>小区内，丈八</w:t>
      </w:r>
      <w:r>
        <w:rPr>
          <w:rFonts w:hint="eastAsia" w:ascii="仿宋" w:hAnsi="仿宋" w:eastAsia="仿宋" w:cs="仿宋"/>
          <w:bCs/>
          <w:color w:val="000000"/>
          <w:kern w:val="0"/>
          <w:sz w:val="24"/>
          <w:szCs w:val="24"/>
          <w:lang w:eastAsia="zh-CN"/>
        </w:rPr>
        <w:t>东</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val="en-US" w:eastAsia="zh-CN"/>
        </w:rPr>
        <w:t>50</w:t>
      </w:r>
      <w:r>
        <w:rPr>
          <w:rFonts w:hint="eastAsia" w:ascii="仿宋" w:hAnsi="仿宋" w:eastAsia="仿宋" w:cs="仿宋"/>
          <w:bCs/>
          <w:color w:val="000000"/>
          <w:kern w:val="0"/>
          <w:sz w:val="24"/>
          <w:szCs w:val="24"/>
        </w:rPr>
        <w:t>亩，提升工程涉及社区办公活动场所（约450㎡）及小区内室外空间场地打造。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15</w:t>
      </w:r>
      <w:r>
        <w:rPr>
          <w:rFonts w:hint="eastAsia" w:ascii="仿宋" w:hAnsi="仿宋" w:eastAsia="仿宋" w:cs="仿宋"/>
          <w:bCs/>
          <w:color w:val="000000"/>
          <w:kern w:val="0"/>
          <w:sz w:val="24"/>
          <w:szCs w:val="24"/>
        </w:rPr>
        <w:t>、丈八</w:t>
      </w:r>
      <w:r>
        <w:rPr>
          <w:rFonts w:hint="eastAsia" w:ascii="仿宋" w:hAnsi="仿宋" w:eastAsia="仿宋" w:cs="仿宋"/>
          <w:bCs/>
          <w:color w:val="000000"/>
          <w:kern w:val="0"/>
          <w:sz w:val="24"/>
          <w:szCs w:val="24"/>
          <w:lang w:eastAsia="zh-CN"/>
        </w:rPr>
        <w:t>西</w:t>
      </w:r>
      <w:r>
        <w:rPr>
          <w:rFonts w:hint="eastAsia" w:ascii="仿宋" w:hAnsi="仿宋" w:eastAsia="仿宋" w:cs="仿宋"/>
          <w:bCs/>
          <w:color w:val="000000"/>
          <w:kern w:val="0"/>
          <w:sz w:val="24"/>
          <w:szCs w:val="24"/>
        </w:rPr>
        <w:t>社区党群服务中心。位于丈八</w:t>
      </w:r>
      <w:r>
        <w:rPr>
          <w:rFonts w:hint="eastAsia" w:ascii="仿宋" w:hAnsi="仿宋" w:eastAsia="仿宋" w:cs="仿宋"/>
          <w:bCs/>
          <w:color w:val="000000"/>
          <w:kern w:val="0"/>
          <w:sz w:val="24"/>
          <w:szCs w:val="24"/>
          <w:lang w:eastAsia="zh-CN"/>
        </w:rPr>
        <w:t>六辅路西</w:t>
      </w:r>
      <w:r>
        <w:rPr>
          <w:rFonts w:hint="eastAsia" w:ascii="仿宋" w:hAnsi="仿宋" w:eastAsia="仿宋" w:cs="仿宋"/>
          <w:bCs/>
          <w:color w:val="000000"/>
          <w:kern w:val="0"/>
          <w:sz w:val="24"/>
          <w:szCs w:val="24"/>
        </w:rPr>
        <w:t>侧丈八</w:t>
      </w:r>
      <w:r>
        <w:rPr>
          <w:rFonts w:hint="eastAsia" w:ascii="仿宋" w:hAnsi="仿宋" w:eastAsia="仿宋" w:cs="仿宋"/>
          <w:bCs/>
          <w:color w:val="000000"/>
          <w:kern w:val="0"/>
          <w:sz w:val="24"/>
          <w:szCs w:val="24"/>
          <w:lang w:eastAsia="zh-CN"/>
        </w:rPr>
        <w:t>西社区</w:t>
      </w:r>
      <w:r>
        <w:rPr>
          <w:rFonts w:hint="eastAsia" w:ascii="仿宋" w:hAnsi="仿宋" w:eastAsia="仿宋" w:cs="仿宋"/>
          <w:bCs/>
          <w:color w:val="000000"/>
          <w:kern w:val="0"/>
          <w:sz w:val="24"/>
          <w:szCs w:val="24"/>
        </w:rPr>
        <w:t>内，丈八</w:t>
      </w:r>
      <w:r>
        <w:rPr>
          <w:rFonts w:hint="eastAsia" w:ascii="仿宋" w:hAnsi="仿宋" w:eastAsia="仿宋" w:cs="仿宋"/>
          <w:bCs/>
          <w:color w:val="000000"/>
          <w:kern w:val="0"/>
          <w:sz w:val="24"/>
          <w:szCs w:val="24"/>
          <w:lang w:eastAsia="zh-CN"/>
        </w:rPr>
        <w:t>西</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eastAsia="zh-CN"/>
        </w:rPr>
        <w:t>约</w:t>
      </w:r>
      <w:r>
        <w:rPr>
          <w:rFonts w:hint="eastAsia" w:ascii="仿宋" w:hAnsi="仿宋" w:eastAsia="仿宋" w:cs="仿宋"/>
          <w:bCs/>
          <w:color w:val="000000"/>
          <w:kern w:val="0"/>
          <w:sz w:val="24"/>
          <w:szCs w:val="24"/>
          <w:lang w:val="en-US" w:eastAsia="zh-CN"/>
        </w:rPr>
        <w:t>292</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1400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16</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东滩</w:t>
      </w:r>
      <w:r>
        <w:rPr>
          <w:rFonts w:hint="eastAsia" w:ascii="仿宋" w:hAnsi="仿宋" w:eastAsia="仿宋" w:cs="仿宋"/>
          <w:bCs/>
          <w:color w:val="000000"/>
          <w:kern w:val="0"/>
          <w:sz w:val="24"/>
          <w:szCs w:val="24"/>
        </w:rPr>
        <w:t>社区党群服务中心。位于丈八西路北侧</w:t>
      </w:r>
      <w:r>
        <w:rPr>
          <w:rFonts w:hint="eastAsia" w:ascii="仿宋" w:hAnsi="仿宋" w:eastAsia="仿宋" w:cs="仿宋"/>
          <w:bCs/>
          <w:color w:val="000000"/>
          <w:kern w:val="0"/>
          <w:sz w:val="24"/>
          <w:szCs w:val="24"/>
          <w:lang w:val="en-US" w:eastAsia="zh-CN"/>
        </w:rPr>
        <w:t>150米东滩社区内</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东滩</w:t>
      </w:r>
      <w:r>
        <w:rPr>
          <w:rFonts w:hint="eastAsia" w:ascii="仿宋" w:hAnsi="仿宋" w:eastAsia="仿宋" w:cs="仿宋"/>
          <w:bCs/>
          <w:color w:val="000000"/>
          <w:kern w:val="0"/>
          <w:sz w:val="24"/>
          <w:szCs w:val="24"/>
        </w:rPr>
        <w:t>社区共占地</w:t>
      </w:r>
      <w:r>
        <w:rPr>
          <w:rFonts w:hint="eastAsia" w:ascii="仿宋" w:hAnsi="仿宋" w:eastAsia="仿宋" w:cs="仿宋"/>
          <w:bCs/>
          <w:color w:val="000000"/>
          <w:kern w:val="0"/>
          <w:sz w:val="24"/>
          <w:szCs w:val="24"/>
          <w:lang w:val="en-US" w:eastAsia="zh-CN"/>
        </w:rPr>
        <w:t>500</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120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17</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双水磨</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雁塔区双水磨路双水磨小区内</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双水磨小区</w:t>
      </w:r>
      <w:r>
        <w:rPr>
          <w:rFonts w:hint="eastAsia" w:ascii="仿宋" w:hAnsi="仿宋" w:eastAsia="仿宋" w:cs="仿宋"/>
          <w:bCs/>
          <w:color w:val="000000"/>
          <w:kern w:val="0"/>
          <w:sz w:val="24"/>
          <w:szCs w:val="24"/>
        </w:rPr>
        <w:t>共占地</w:t>
      </w:r>
      <w:r>
        <w:rPr>
          <w:rFonts w:hint="eastAsia" w:ascii="仿宋" w:hAnsi="仿宋" w:eastAsia="仿宋" w:cs="仿宋"/>
          <w:bCs/>
          <w:color w:val="000000"/>
          <w:kern w:val="0"/>
          <w:sz w:val="24"/>
          <w:szCs w:val="24"/>
          <w:lang w:val="en-US" w:eastAsia="zh-CN"/>
        </w:rPr>
        <w:t>87</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500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18</w:t>
      </w:r>
      <w:r>
        <w:rPr>
          <w:rFonts w:hint="eastAsia" w:ascii="仿宋" w:hAnsi="仿宋" w:eastAsia="仿宋" w:cs="仿宋"/>
          <w:bCs/>
          <w:color w:val="000000"/>
          <w:kern w:val="0"/>
          <w:sz w:val="24"/>
          <w:szCs w:val="24"/>
        </w:rPr>
        <w:t>、</w:t>
      </w:r>
      <w:r>
        <w:rPr>
          <w:rFonts w:hint="eastAsia" w:ascii="仿宋" w:hAnsi="仿宋" w:eastAsia="仿宋" w:cs="仿宋"/>
          <w:bCs/>
          <w:color w:val="000000"/>
          <w:kern w:val="0"/>
          <w:sz w:val="24"/>
          <w:szCs w:val="24"/>
          <w:lang w:eastAsia="zh-CN"/>
        </w:rPr>
        <w:t>甘家寨</w:t>
      </w:r>
      <w:r>
        <w:rPr>
          <w:rFonts w:hint="eastAsia" w:ascii="仿宋" w:hAnsi="仿宋" w:eastAsia="仿宋" w:cs="仿宋"/>
          <w:bCs/>
          <w:color w:val="000000"/>
          <w:kern w:val="0"/>
          <w:sz w:val="24"/>
          <w:szCs w:val="24"/>
        </w:rPr>
        <w:t>社区党群服务中心。位于</w:t>
      </w:r>
      <w:r>
        <w:rPr>
          <w:rFonts w:hint="eastAsia" w:ascii="仿宋" w:hAnsi="仿宋" w:eastAsia="仿宋" w:cs="仿宋"/>
          <w:bCs/>
          <w:color w:val="000000"/>
          <w:kern w:val="0"/>
          <w:sz w:val="24"/>
          <w:szCs w:val="24"/>
          <w:lang w:eastAsia="zh-CN"/>
        </w:rPr>
        <w:t>科技二路甘家寨社区东区</w:t>
      </w:r>
      <w:r>
        <w:rPr>
          <w:rFonts w:hint="eastAsia" w:ascii="仿宋" w:hAnsi="仿宋" w:eastAsia="仿宋" w:cs="仿宋"/>
          <w:bCs/>
          <w:color w:val="000000"/>
          <w:kern w:val="0"/>
          <w:sz w:val="24"/>
          <w:szCs w:val="24"/>
        </w:rPr>
        <w:t>内，</w:t>
      </w:r>
      <w:r>
        <w:rPr>
          <w:rFonts w:hint="eastAsia" w:ascii="仿宋" w:hAnsi="仿宋" w:eastAsia="仿宋" w:cs="仿宋"/>
          <w:bCs/>
          <w:color w:val="000000"/>
          <w:kern w:val="0"/>
          <w:sz w:val="24"/>
          <w:szCs w:val="24"/>
          <w:lang w:eastAsia="zh-CN"/>
        </w:rPr>
        <w:t>甘家寨社区东区</w:t>
      </w:r>
      <w:r>
        <w:rPr>
          <w:rFonts w:hint="eastAsia" w:ascii="仿宋" w:hAnsi="仿宋" w:eastAsia="仿宋" w:cs="仿宋"/>
          <w:bCs/>
          <w:color w:val="000000"/>
          <w:kern w:val="0"/>
          <w:sz w:val="24"/>
          <w:szCs w:val="24"/>
        </w:rPr>
        <w:t>共占地</w:t>
      </w:r>
      <w:r>
        <w:rPr>
          <w:rFonts w:hint="eastAsia" w:ascii="仿宋" w:hAnsi="仿宋" w:eastAsia="仿宋" w:cs="仿宋"/>
          <w:bCs/>
          <w:color w:val="000000"/>
          <w:kern w:val="0"/>
          <w:sz w:val="24"/>
          <w:szCs w:val="24"/>
          <w:lang w:eastAsia="zh-CN"/>
        </w:rPr>
        <w:t>约</w:t>
      </w:r>
      <w:r>
        <w:rPr>
          <w:rFonts w:hint="eastAsia" w:ascii="仿宋" w:hAnsi="仿宋" w:eastAsia="仿宋" w:cs="仿宋"/>
          <w:bCs/>
          <w:color w:val="000000"/>
          <w:kern w:val="0"/>
          <w:sz w:val="24"/>
          <w:szCs w:val="24"/>
          <w:lang w:val="en-US" w:eastAsia="zh-CN"/>
        </w:rPr>
        <w:t>552</w:t>
      </w:r>
      <w:r>
        <w:rPr>
          <w:rFonts w:hint="eastAsia" w:ascii="仿宋" w:hAnsi="仿宋" w:eastAsia="仿宋" w:cs="仿宋"/>
          <w:bCs/>
          <w:color w:val="000000"/>
          <w:kern w:val="0"/>
          <w:sz w:val="24"/>
          <w:szCs w:val="24"/>
        </w:rPr>
        <w:t>亩，提升工程涉及社区办公活动场所（约</w:t>
      </w:r>
      <w:r>
        <w:rPr>
          <w:rFonts w:hint="eastAsia" w:ascii="仿宋" w:hAnsi="仿宋" w:eastAsia="仿宋" w:cs="仿宋"/>
          <w:bCs/>
          <w:color w:val="000000"/>
          <w:kern w:val="0"/>
          <w:sz w:val="24"/>
          <w:szCs w:val="24"/>
          <w:lang w:val="en-US" w:eastAsia="zh-CN"/>
        </w:rPr>
        <w:t>1800</w:t>
      </w:r>
      <w:r>
        <w:rPr>
          <w:rFonts w:hint="eastAsia" w:ascii="仿宋" w:hAnsi="仿宋" w:eastAsia="仿宋" w:cs="仿宋"/>
          <w:bCs/>
          <w:color w:val="000000"/>
          <w:kern w:val="0"/>
          <w:sz w:val="24"/>
          <w:szCs w:val="24"/>
        </w:rPr>
        <w:t>㎡）及小区内室外空间场地打造。</w:t>
      </w: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提升工程涉及内容大概有：饰面板造型处理、</w:t>
      </w:r>
      <w:r>
        <w:rPr>
          <w:rFonts w:hint="eastAsia" w:ascii="仿宋" w:hAnsi="仿宋" w:eastAsia="仿宋" w:cs="仿宋"/>
          <w:bCs/>
          <w:color w:val="000000"/>
          <w:kern w:val="0"/>
          <w:sz w:val="24"/>
          <w:szCs w:val="24"/>
          <w:lang w:val="en-US" w:eastAsia="zh-CN"/>
        </w:rPr>
        <w:t>PVC</w:t>
      </w:r>
      <w:r>
        <w:rPr>
          <w:rFonts w:hint="eastAsia" w:ascii="仿宋" w:hAnsi="仿宋" w:eastAsia="仿宋" w:cs="仿宋"/>
          <w:bCs/>
          <w:color w:val="000000"/>
          <w:kern w:val="0"/>
          <w:sz w:val="24"/>
          <w:szCs w:val="24"/>
        </w:rPr>
        <w:t>饰面；智能控制、吸音处理、音响布置、镭射投影、标识、文化设计装饰及引导牌、展示牌等项目。</w:t>
      </w:r>
    </w:p>
    <w:p>
      <w:pPr>
        <w:spacing w:line="360" w:lineRule="auto"/>
        <w:ind w:firstLine="480" w:firstLineChars="200"/>
        <w:jc w:val="left"/>
        <w:rPr>
          <w:rFonts w:hint="eastAsia" w:ascii="仿宋" w:hAnsi="仿宋" w:eastAsia="仿宋" w:cs="仿宋"/>
          <w:bCs/>
          <w:color w:val="000000"/>
          <w:kern w:val="0"/>
          <w:sz w:val="24"/>
          <w:szCs w:val="24"/>
          <w:lang w:val="en-US" w:eastAsia="zh-CN"/>
        </w:rPr>
      </w:pPr>
      <w:r>
        <w:rPr>
          <w:rFonts w:hint="eastAsia" w:ascii="仿宋" w:hAnsi="仿宋" w:eastAsia="仿宋" w:cs="仿宋"/>
          <w:bCs/>
          <w:color w:val="000000"/>
          <w:kern w:val="0"/>
          <w:sz w:val="24"/>
          <w:szCs w:val="24"/>
        </w:rPr>
        <w:t>墙面批腻子、打磨、刷乳胶漆、定制异形柜、烤漆柜、铁艺柜、免漆柜；顶面造型处理、石膏板造型；安装灯具，安装灯具强弱电综合布线；地面做自流平、铺设</w:t>
      </w:r>
      <w:r>
        <w:rPr>
          <w:rFonts w:hint="eastAsia" w:ascii="仿宋" w:hAnsi="仿宋" w:eastAsia="仿宋" w:cs="仿宋"/>
          <w:bCs/>
          <w:color w:val="000000"/>
          <w:kern w:val="0"/>
          <w:sz w:val="24"/>
          <w:szCs w:val="24"/>
          <w:lang w:eastAsia="zh-CN"/>
        </w:rPr>
        <w:t>木</w:t>
      </w:r>
      <w:r>
        <w:rPr>
          <w:rFonts w:hint="eastAsia" w:ascii="仿宋" w:hAnsi="仿宋" w:eastAsia="仿宋" w:cs="仿宋"/>
          <w:bCs/>
          <w:color w:val="000000"/>
          <w:kern w:val="0"/>
          <w:sz w:val="24"/>
          <w:szCs w:val="24"/>
        </w:rPr>
        <w:t>地板</w:t>
      </w:r>
      <w:r>
        <w:rPr>
          <w:rFonts w:hint="eastAsia" w:ascii="仿宋" w:hAnsi="仿宋" w:eastAsia="仿宋" w:cs="仿宋"/>
          <w:bCs/>
          <w:color w:val="000000"/>
          <w:kern w:val="0"/>
          <w:sz w:val="24"/>
          <w:szCs w:val="24"/>
          <w:lang w:eastAsia="zh-CN"/>
        </w:rPr>
        <w:t>等项目。</w:t>
      </w:r>
    </w:p>
    <w:p>
      <w:pPr>
        <w:spacing w:line="360" w:lineRule="auto"/>
        <w:ind w:firstLine="482" w:firstLineChars="200"/>
        <w:jc w:val="left"/>
        <w:rPr>
          <w:rFonts w:hint="eastAsia" w:ascii="仿宋" w:hAnsi="仿宋" w:eastAsia="仿宋" w:cs="仿宋"/>
          <w:b/>
          <w:bCs w:val="0"/>
          <w:color w:val="000000"/>
          <w:kern w:val="0"/>
          <w:sz w:val="24"/>
          <w:szCs w:val="24"/>
          <w:lang w:val="zh-CN"/>
        </w:rPr>
      </w:pPr>
      <w:r>
        <w:rPr>
          <w:rFonts w:hint="eastAsia" w:ascii="仿宋" w:hAnsi="仿宋" w:eastAsia="仿宋" w:cs="仿宋"/>
          <w:b/>
          <w:bCs w:val="0"/>
          <w:color w:val="000000"/>
          <w:kern w:val="0"/>
          <w:sz w:val="24"/>
          <w:szCs w:val="24"/>
        </w:rPr>
        <w:t>二</w:t>
      </w:r>
      <w:r>
        <w:rPr>
          <w:rFonts w:hint="eastAsia" w:ascii="仿宋" w:hAnsi="仿宋" w:eastAsia="仿宋" w:cs="仿宋"/>
          <w:b/>
          <w:bCs w:val="0"/>
          <w:color w:val="000000"/>
          <w:kern w:val="0"/>
          <w:sz w:val="24"/>
          <w:szCs w:val="24"/>
          <w:lang w:eastAsia="zh-CN"/>
        </w:rPr>
        <w:t>、</w:t>
      </w:r>
      <w:r>
        <w:rPr>
          <w:rFonts w:hint="eastAsia" w:ascii="仿宋" w:hAnsi="仿宋" w:eastAsia="仿宋" w:cs="仿宋"/>
          <w:b/>
          <w:bCs w:val="0"/>
          <w:color w:val="000000"/>
          <w:kern w:val="0"/>
          <w:sz w:val="24"/>
          <w:szCs w:val="24"/>
          <w:lang w:val="zh-CN"/>
        </w:rPr>
        <w:t>技术要求</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（一）提升完成后的基层党建阵地必备要素</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1、外部标识--外观标识、引导标识；</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2、政治功能--基本情况展示区、党员宣誓区、党史展示区、图书阅览区、多功能活动室、谈心交流区、小会议室；</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3、文化功能区--文化展示区；</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4、便民服务区--综合服务区、自助服务区；</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5、延伸开发区--空间展示区、品牌创建区；</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6、外部空间开发区—充分利用室外空间资源，注入红色元素，打造能够为广大党员群众提供活动条件的场地和设施。</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（二）阵地建设提升原则</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rPr>
        <w:t>1、</w:t>
      </w:r>
      <w:r>
        <w:rPr>
          <w:rFonts w:hint="eastAsia" w:ascii="仿宋" w:hAnsi="仿宋" w:eastAsia="仿宋" w:cs="仿宋"/>
          <w:bCs/>
          <w:color w:val="000000"/>
          <w:kern w:val="0"/>
          <w:sz w:val="24"/>
          <w:szCs w:val="24"/>
          <w:lang w:val="zh-CN"/>
        </w:rPr>
        <w:t>突出政治功能</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要具有一定的基本情况展示、党旗誓词、理论教育、图书阅览空间和条件。</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rPr>
        <w:t>2、</w:t>
      </w:r>
      <w:r>
        <w:rPr>
          <w:rFonts w:hint="eastAsia" w:ascii="仿宋" w:hAnsi="仿宋" w:eastAsia="仿宋" w:cs="仿宋"/>
          <w:bCs/>
          <w:color w:val="000000"/>
          <w:kern w:val="0"/>
          <w:sz w:val="24"/>
          <w:szCs w:val="24"/>
          <w:lang w:val="zh-CN"/>
        </w:rPr>
        <w:t>要发挥文化功能</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党群服务（活动）中心场地向党员群众和社会组织开放，鼓励各类组织开展中华民族优秀传统文化、红色革命文化和社会主义先进文化宣传教育活动。中心设计突出社会主义核心价值观、地区发展历程和地区文化，集中展现地区自然生态、人文环境、城乡统筹发展成果、历史沿革和红色革命文化。依托书画协会等社会团体，搭建文化教育平台，讲好文化故事。</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rPr>
        <w:t>3、</w:t>
      </w:r>
      <w:r>
        <w:rPr>
          <w:rFonts w:hint="eastAsia" w:ascii="仿宋" w:hAnsi="仿宋" w:eastAsia="仿宋" w:cs="仿宋"/>
          <w:bCs/>
          <w:color w:val="000000"/>
          <w:kern w:val="0"/>
          <w:sz w:val="24"/>
          <w:szCs w:val="24"/>
          <w:lang w:val="zh-CN"/>
        </w:rPr>
        <w:t>要提升便民功能</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打造方便居民办事的综合服务平台，在空间上与教育、阅读空间紧密结合，在便民服务业务办理上形成联动，设置专门的综合服务区和便民自助服务区。</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rPr>
        <w:t>4、</w:t>
      </w:r>
      <w:r>
        <w:rPr>
          <w:rFonts w:hint="eastAsia" w:ascii="仿宋" w:hAnsi="仿宋" w:eastAsia="仿宋" w:cs="仿宋"/>
          <w:bCs/>
          <w:color w:val="000000"/>
          <w:kern w:val="0"/>
          <w:sz w:val="24"/>
          <w:szCs w:val="24"/>
          <w:lang w:val="zh-CN"/>
        </w:rPr>
        <w:t>充分利用空间延伸开发</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利用走廊、墙体等空白位置，将红色元素融入富有美感的展示设计，内容以展示工作制度、成绩和宣传社会主义核心价值观、习总书记重要讲话为主。可在室外利用空间，打造可供群众给你活动的设施和场所。</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rPr>
        <w:t>5、</w:t>
      </w:r>
      <w:r>
        <w:rPr>
          <w:rFonts w:hint="eastAsia" w:ascii="仿宋" w:hAnsi="仿宋" w:eastAsia="仿宋" w:cs="仿宋"/>
          <w:bCs/>
          <w:color w:val="000000"/>
          <w:kern w:val="0"/>
          <w:sz w:val="24"/>
          <w:szCs w:val="24"/>
          <w:lang w:val="zh-CN"/>
        </w:rPr>
        <w:t>注重品牌创建</w:t>
      </w:r>
    </w:p>
    <w:p>
      <w:pPr>
        <w:spacing w:line="360" w:lineRule="auto"/>
        <w:ind w:firstLine="480" w:firstLineChars="200"/>
        <w:jc w:val="left"/>
        <w:rPr>
          <w:rFonts w:hint="eastAsia" w:ascii="仿宋" w:hAnsi="仿宋" w:eastAsia="仿宋" w:cs="仿宋"/>
          <w:b w:val="0"/>
          <w:bCs/>
          <w:color w:val="000000"/>
          <w:kern w:val="0"/>
          <w:sz w:val="24"/>
          <w:szCs w:val="24"/>
          <w:lang w:val="zh-CN"/>
        </w:rPr>
      </w:pPr>
      <w:r>
        <w:rPr>
          <w:rFonts w:hint="eastAsia" w:ascii="仿宋" w:hAnsi="仿宋" w:eastAsia="仿宋" w:cs="仿宋"/>
          <w:bCs/>
          <w:color w:val="000000"/>
          <w:kern w:val="0"/>
          <w:sz w:val="24"/>
          <w:szCs w:val="24"/>
          <w:lang w:val="zh-CN"/>
        </w:rPr>
        <w:t>结合社区（村）历史文化、工作特点和服务群体，在必设的功能区基础上，创新形成自身党建品牌。</w:t>
      </w:r>
    </w:p>
    <w:p>
      <w:pPr>
        <w:spacing w:line="360" w:lineRule="auto"/>
        <w:ind w:firstLine="480" w:firstLineChars="200"/>
        <w:jc w:val="left"/>
        <w:rPr>
          <w:rFonts w:hint="eastAsia" w:ascii="仿宋" w:hAnsi="仿宋" w:eastAsia="仿宋" w:cs="仿宋"/>
          <w:b w:val="0"/>
          <w:bCs/>
          <w:color w:val="000000"/>
          <w:kern w:val="0"/>
          <w:sz w:val="24"/>
          <w:szCs w:val="24"/>
          <w:lang w:val="zh-CN"/>
        </w:rPr>
      </w:pPr>
      <w:r>
        <w:rPr>
          <w:rFonts w:hint="eastAsia" w:ascii="仿宋" w:hAnsi="仿宋" w:eastAsia="仿宋" w:cs="仿宋"/>
          <w:b w:val="0"/>
          <w:bCs/>
          <w:color w:val="000000"/>
          <w:kern w:val="0"/>
          <w:sz w:val="24"/>
          <w:szCs w:val="24"/>
          <w:lang w:val="zh-CN"/>
        </w:rPr>
        <w:t>（三）建设要求</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1、杜绝“低级红、高级黑”。党旗、党徽悬挂和使用必须按照相关要求进行，避免用党旗、党徽为设计模版进行变异、改造、装饰；避免用较极端的描述性词语命名功能区。</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2、高效利用空间。党群服务中心（红房子）建设应以提标、装修、改造为主，注重规划先行，充分利用室内外空间。</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3、强化服务功能。党建服务中心（红房子）应主要用于服务党员群众开展活动，办公区域一般不占用主要功能区，应开放式集中办公。</w:t>
      </w:r>
    </w:p>
    <w:p>
      <w:pPr>
        <w:spacing w:line="360" w:lineRule="auto"/>
        <w:ind w:firstLine="482" w:firstLineChars="200"/>
        <w:jc w:val="left"/>
        <w:rPr>
          <w:rFonts w:hint="eastAsia" w:ascii="仿宋" w:hAnsi="仿宋" w:eastAsia="仿宋" w:cs="仿宋"/>
          <w:b/>
          <w:bCs w:val="0"/>
          <w:color w:val="000000"/>
          <w:kern w:val="0"/>
          <w:sz w:val="24"/>
          <w:szCs w:val="24"/>
          <w:lang w:val="zh-CN"/>
        </w:rPr>
      </w:pPr>
      <w:r>
        <w:rPr>
          <w:rFonts w:hint="eastAsia" w:ascii="仿宋" w:hAnsi="仿宋" w:eastAsia="仿宋" w:cs="仿宋"/>
          <w:b/>
          <w:bCs w:val="0"/>
          <w:color w:val="000000"/>
          <w:kern w:val="0"/>
          <w:sz w:val="24"/>
          <w:szCs w:val="24"/>
          <w:lang w:val="en-US" w:eastAsia="zh-CN"/>
        </w:rPr>
        <w:t>三</w:t>
      </w:r>
      <w:r>
        <w:rPr>
          <w:rFonts w:hint="eastAsia" w:ascii="仿宋" w:hAnsi="仿宋" w:eastAsia="仿宋" w:cs="仿宋"/>
          <w:b/>
          <w:bCs w:val="0"/>
          <w:color w:val="000000"/>
          <w:kern w:val="0"/>
          <w:sz w:val="24"/>
          <w:szCs w:val="24"/>
          <w:lang w:val="zh-CN"/>
        </w:rPr>
        <w:t>、质量要求</w:t>
      </w:r>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工程质量必须达到：《建筑工程施工质量验收统一标准》（GB 50300-2001）及相关法律、法规、规程、规定要求的合格等级。无论工程材料\设备是由成交单位自行供应或是由采购人供应，均不解除成交商所负的工程质量的责任，成交单位应该对各种原材料、成品、半成品、构件和器材、设备按规范进行见证取样、送检\试验，严禁将不合格的材料\设备用于本工程，并确保验收备案。</w:t>
      </w:r>
    </w:p>
    <w:p>
      <w:pPr>
        <w:spacing w:line="360" w:lineRule="auto"/>
        <w:ind w:firstLine="482" w:firstLineChars="200"/>
        <w:jc w:val="left"/>
        <w:rPr>
          <w:rFonts w:hint="eastAsia" w:ascii="仿宋" w:hAnsi="仿宋" w:eastAsia="仿宋" w:cs="仿宋"/>
          <w:b/>
          <w:bCs w:val="0"/>
          <w:color w:val="000000"/>
          <w:kern w:val="0"/>
          <w:sz w:val="24"/>
          <w:szCs w:val="24"/>
          <w:lang w:val="zh-CN"/>
        </w:rPr>
      </w:pPr>
      <w:bookmarkStart w:id="449" w:name="_Toc155008311"/>
      <w:bookmarkStart w:id="450" w:name="_Toc175127986"/>
      <w:bookmarkStart w:id="451" w:name="_Toc228078747"/>
      <w:bookmarkStart w:id="452" w:name="_Toc337829971"/>
      <w:bookmarkStart w:id="453" w:name="_Toc172877666"/>
      <w:bookmarkStart w:id="454" w:name="_Toc155009371"/>
      <w:r>
        <w:rPr>
          <w:rFonts w:hint="eastAsia" w:ascii="仿宋" w:hAnsi="仿宋" w:eastAsia="仿宋" w:cs="仿宋"/>
          <w:b/>
          <w:bCs w:val="0"/>
          <w:color w:val="000000"/>
          <w:kern w:val="0"/>
          <w:sz w:val="24"/>
          <w:szCs w:val="24"/>
          <w:lang w:val="en-US" w:eastAsia="zh-CN"/>
        </w:rPr>
        <w:t>四</w:t>
      </w:r>
      <w:r>
        <w:rPr>
          <w:rFonts w:hint="eastAsia" w:ascii="仿宋" w:hAnsi="仿宋" w:eastAsia="仿宋" w:cs="仿宋"/>
          <w:b/>
          <w:bCs w:val="0"/>
          <w:color w:val="000000"/>
          <w:kern w:val="0"/>
          <w:sz w:val="24"/>
          <w:szCs w:val="24"/>
          <w:lang w:val="zh-CN"/>
        </w:rPr>
        <w:t>、标准和技术规范</w:t>
      </w:r>
      <w:bookmarkEnd w:id="449"/>
      <w:bookmarkEnd w:id="450"/>
      <w:bookmarkEnd w:id="451"/>
      <w:bookmarkEnd w:id="452"/>
      <w:bookmarkEnd w:id="453"/>
      <w:bookmarkEnd w:id="454"/>
    </w:p>
    <w:p>
      <w:pPr>
        <w:spacing w:line="360" w:lineRule="auto"/>
        <w:ind w:firstLine="480" w:firstLineChars="200"/>
        <w:jc w:val="left"/>
        <w:rPr>
          <w:rFonts w:hint="eastAsia" w:ascii="仿宋" w:hAnsi="仿宋" w:eastAsia="仿宋" w:cs="仿宋"/>
          <w:bCs/>
          <w:color w:val="000000"/>
          <w:kern w:val="0"/>
          <w:sz w:val="24"/>
          <w:szCs w:val="24"/>
          <w:lang w:val="zh-CN"/>
        </w:rPr>
      </w:pPr>
      <w:r>
        <w:rPr>
          <w:rFonts w:hint="eastAsia" w:ascii="仿宋" w:hAnsi="仿宋" w:eastAsia="仿宋" w:cs="仿宋"/>
          <w:bCs/>
          <w:color w:val="000000"/>
          <w:kern w:val="0"/>
          <w:sz w:val="24"/>
          <w:szCs w:val="24"/>
          <w:lang w:val="zh-CN"/>
        </w:rPr>
        <w:t>依据设计的要求，本工程项目的材料、设备、施工须达到所涉及到的现行中华人民共和国以及省、自治区、直辖市或行业的工程建设标准、规范的要求及采购人在磋商文件中的有关要求。</w:t>
      </w:r>
    </w:p>
    <w:p>
      <w:pPr>
        <w:spacing w:line="360" w:lineRule="auto"/>
        <w:ind w:firstLine="482" w:firstLineChars="200"/>
        <w:jc w:val="left"/>
        <w:rPr>
          <w:rFonts w:hint="default" w:ascii="仿宋" w:hAnsi="仿宋" w:eastAsia="仿宋" w:cs="仿宋"/>
          <w:b/>
          <w:bCs w:val="0"/>
          <w:color w:val="000000"/>
          <w:kern w:val="0"/>
          <w:sz w:val="24"/>
          <w:szCs w:val="24"/>
          <w:lang w:val="en-US" w:eastAsia="zh-CN"/>
        </w:rPr>
      </w:pPr>
      <w:r>
        <w:rPr>
          <w:rFonts w:hint="eastAsia" w:ascii="仿宋" w:hAnsi="仿宋" w:eastAsia="仿宋" w:cs="仿宋"/>
          <w:b/>
          <w:bCs w:val="0"/>
          <w:color w:val="000000"/>
          <w:kern w:val="0"/>
          <w:sz w:val="24"/>
          <w:szCs w:val="24"/>
          <w:lang w:val="en-US" w:eastAsia="zh-CN"/>
        </w:rPr>
        <w:t>五</w:t>
      </w:r>
      <w:r>
        <w:rPr>
          <w:rFonts w:hint="eastAsia" w:ascii="仿宋" w:hAnsi="仿宋" w:eastAsia="仿宋" w:cs="仿宋"/>
          <w:b/>
          <w:bCs w:val="0"/>
          <w:color w:val="000000"/>
          <w:kern w:val="0"/>
          <w:sz w:val="24"/>
          <w:szCs w:val="24"/>
          <w:lang w:val="zh-CN"/>
        </w:rPr>
        <w:t>、</w:t>
      </w:r>
      <w:r>
        <w:rPr>
          <w:rFonts w:hint="eastAsia" w:ascii="仿宋" w:hAnsi="仿宋" w:eastAsia="仿宋" w:cs="仿宋"/>
          <w:b/>
          <w:bCs w:val="0"/>
          <w:color w:val="000000"/>
          <w:kern w:val="0"/>
          <w:sz w:val="24"/>
          <w:szCs w:val="24"/>
          <w:lang w:val="en-US" w:eastAsia="zh-CN"/>
        </w:rPr>
        <w:t>工程量清单</w:t>
      </w:r>
    </w:p>
    <w:p>
      <w:pPr>
        <w:pStyle w:val="22"/>
        <w:rPr>
          <w:rFonts w:hint="default" w:eastAsia="仿宋"/>
          <w:lang w:val="en-US" w:eastAsia="zh-CN"/>
        </w:rPr>
      </w:pPr>
    </w:p>
    <w:tbl>
      <w:tblPr>
        <w:tblStyle w:val="50"/>
        <w:tblW w:w="9010" w:type="dxa"/>
        <w:tblInd w:w="98" w:type="dxa"/>
        <w:shd w:val="clear" w:color="auto" w:fill="auto"/>
        <w:tblLayout w:type="fixed"/>
        <w:tblCellMar>
          <w:top w:w="0" w:type="dxa"/>
          <w:left w:w="108" w:type="dxa"/>
          <w:bottom w:w="0" w:type="dxa"/>
          <w:right w:w="108" w:type="dxa"/>
        </w:tblCellMar>
      </w:tblPr>
      <w:tblGrid>
        <w:gridCol w:w="609"/>
        <w:gridCol w:w="2212"/>
        <w:gridCol w:w="1669"/>
        <w:gridCol w:w="1000"/>
        <w:gridCol w:w="820"/>
        <w:gridCol w:w="2700"/>
      </w:tblGrid>
      <w:tr>
        <w:tblPrEx>
          <w:tblCellMar>
            <w:top w:w="0" w:type="dxa"/>
            <w:left w:w="108" w:type="dxa"/>
            <w:bottom w:w="0" w:type="dxa"/>
            <w:right w:w="108" w:type="dxa"/>
          </w:tblCellMar>
        </w:tblPrEx>
        <w:trPr>
          <w:trHeight w:val="300" w:hRule="atLeast"/>
        </w:trPr>
        <w:tc>
          <w:tcPr>
            <w:tcW w:w="9010" w:type="dxa"/>
            <w:gridSpan w:val="6"/>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rPr>
            </w:pPr>
            <w:r>
              <w:rPr>
                <w:rFonts w:hint="eastAsia" w:ascii="仿宋" w:hAnsi="仿宋" w:eastAsia="仿宋" w:cs="仿宋"/>
                <w:b/>
                <w:bCs/>
                <w:i w:val="0"/>
                <w:iCs w:val="0"/>
                <w:color w:val="000000"/>
                <w:kern w:val="0"/>
                <w:sz w:val="18"/>
                <w:szCs w:val="18"/>
                <w:u w:val="none"/>
                <w:lang w:val="en-US" w:eastAsia="zh-CN" w:bidi="ar"/>
              </w:rPr>
              <w:t>茶张村社区党建环境建设提升</w:t>
            </w:r>
          </w:p>
        </w:tc>
      </w:tr>
      <w:tr>
        <w:tblPrEx>
          <w:tblCellMar>
            <w:top w:w="0" w:type="dxa"/>
            <w:left w:w="108" w:type="dxa"/>
            <w:bottom w:w="0" w:type="dxa"/>
            <w:right w:w="108" w:type="dxa"/>
          </w:tblCellMar>
        </w:tblPrEx>
        <w:trPr>
          <w:trHeight w:val="315" w:hRule="atLeast"/>
        </w:trPr>
        <w:tc>
          <w:tcPr>
            <w:tcW w:w="9010" w:type="dxa"/>
            <w:gridSpan w:val="6"/>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12" w:type="dxa"/>
            <w:tcBorders>
              <w:top w:val="single" w:color="auto"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69" w:type="dxa"/>
            <w:tcBorders>
              <w:top w:val="single" w:color="auto"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00" w:type="dxa"/>
            <w:tcBorders>
              <w:top w:val="single" w:color="auto"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20" w:type="dxa"/>
            <w:tcBorders>
              <w:top w:val="single" w:color="auto"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shd w:val="clear" w:color="auto" w:fill="auto"/>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0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运动精神堡垒</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5.5×2.04m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党建精神堡垒</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5×2.1m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6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运动人物</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1.34*1.2*4</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6.43</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w:t>
            </w:r>
          </w:p>
        </w:tc>
      </w:tr>
      <w:tr>
        <w:tblPrEx>
          <w:tblCellMar>
            <w:top w:w="0" w:type="dxa"/>
            <w:left w:w="108" w:type="dxa"/>
            <w:bottom w:w="0" w:type="dxa"/>
            <w:right w:w="108" w:type="dxa"/>
          </w:tblCellMar>
        </w:tblPrEx>
        <w:trPr>
          <w:trHeight w:val="465" w:hRule="atLeast"/>
        </w:trPr>
        <w:tc>
          <w:tcPr>
            <w:tcW w:w="60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01" w:type="dxa"/>
            <w:gridSpan w:val="5"/>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党简介文化墙</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2.5m*2m*2</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5.5m*1.6m</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只争朝夕不负韶华文化墙</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3.3m*1m</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五个过硬文化墙</w:t>
            </w:r>
          </w:p>
        </w:tc>
        <w:tc>
          <w:tcPr>
            <w:tcW w:w="1669"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3.7m*1m</w:t>
            </w:r>
          </w:p>
        </w:tc>
        <w:tc>
          <w:tcPr>
            <w:tcW w:w="10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w:t>
            </w:r>
          </w:p>
        </w:tc>
        <w:tc>
          <w:tcPr>
            <w:tcW w:w="27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2"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四个意识文化墙</w:t>
            </w:r>
          </w:p>
        </w:tc>
        <w:tc>
          <w:tcPr>
            <w:tcW w:w="166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3.5m*1.2m</w:t>
            </w:r>
          </w:p>
        </w:tc>
        <w:tc>
          <w:tcPr>
            <w:tcW w:w="100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270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65" w:hRule="atLeast"/>
        </w:trPr>
        <w:tc>
          <w:tcPr>
            <w:tcW w:w="60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党员之家文化墙</w:t>
            </w:r>
          </w:p>
        </w:tc>
        <w:tc>
          <w:tcPr>
            <w:tcW w:w="166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3.2m*1m</w:t>
            </w:r>
          </w:p>
        </w:tc>
        <w:tc>
          <w:tcPr>
            <w:tcW w:w="100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27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4*1.2</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会议室柱子四面</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1.6*0.5</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面</w:t>
            </w:r>
          </w:p>
        </w:tc>
        <w:tc>
          <w:tcPr>
            <w:tcW w:w="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1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69"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0.6*0.8m*10</w:t>
            </w:r>
          </w:p>
        </w:tc>
        <w:tc>
          <w:tcPr>
            <w:tcW w:w="1000"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w:t>
            </w:r>
          </w:p>
        </w:tc>
        <w:tc>
          <w:tcPr>
            <w:tcW w:w="27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冷压板覆膜，边框可开启银色型材边框。粘27个插盒</w:t>
            </w: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12"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6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w:t>
            </w:r>
          </w:p>
        </w:tc>
        <w:tc>
          <w:tcPr>
            <w:tcW w:w="100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0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冷压板覆膜，边框可开启银色型材边框。粘27个插盒</w:t>
            </w: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12"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6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1.2*2.4m*3</w:t>
            </w:r>
          </w:p>
        </w:tc>
        <w:tc>
          <w:tcPr>
            <w:tcW w:w="100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8.64</w:t>
            </w:r>
          </w:p>
        </w:tc>
        <w:tc>
          <w:tcPr>
            <w:tcW w:w="270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shd w:val="clear" w:color="auto" w:fill="auto"/>
          <w:tblCellMar>
            <w:top w:w="0" w:type="dxa"/>
            <w:left w:w="108" w:type="dxa"/>
            <w:bottom w:w="0" w:type="dxa"/>
            <w:right w:w="108" w:type="dxa"/>
          </w:tblCellMar>
        </w:tblPrEx>
        <w:trPr>
          <w:trHeight w:val="465" w:hRule="atLeast"/>
        </w:trPr>
        <w:tc>
          <w:tcPr>
            <w:tcW w:w="60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12" w:type="dxa"/>
            <w:tcBorders>
              <w:top w:val="single" w:color="auto"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6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0.8*1.2m*2</w:t>
            </w:r>
          </w:p>
        </w:tc>
        <w:tc>
          <w:tcPr>
            <w:tcW w:w="100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1.92</w:t>
            </w:r>
          </w:p>
        </w:tc>
        <w:tc>
          <w:tcPr>
            <w:tcW w:w="27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1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6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1m*2.1m</w:t>
            </w:r>
          </w:p>
        </w:tc>
        <w:tc>
          <w:tcPr>
            <w:tcW w:w="10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高精户外UV，立体字、粘50个插盒，镜钉安装</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1.44*0.96m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15mm亚克力UV雕刻</w:t>
            </w:r>
          </w:p>
        </w:tc>
      </w:tr>
      <w:tr>
        <w:tblPrEx>
          <w:tblCellMar>
            <w:top w:w="0" w:type="dxa"/>
            <w:left w:w="108" w:type="dxa"/>
            <w:bottom w:w="0" w:type="dxa"/>
            <w:right w:w="108" w:type="dxa"/>
          </w:tblCellMar>
        </w:tblPrEx>
        <w:trPr>
          <w:trHeight w:val="465" w:hRule="atLeast"/>
        </w:trPr>
        <w:tc>
          <w:tcPr>
            <w:tcW w:w="60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01" w:type="dxa"/>
            <w:gridSpan w:val="5"/>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顶部LED照明</w:t>
            </w: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600x600 LED吸顶平板灯</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墙面粉刷</w:t>
            </w: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280</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墙面暗线开槽</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开关控制线</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含电线</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地插线路铺设</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2.5平方铜芯线缆</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地插线路铺设采用2.5平方铜芯线缆，穿20PVC线管</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铜制地插</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黄铜</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空调线路</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6平方铜芯线缆</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铺设空调线路，采用6平方铜芯线缆穿25PVC线管</w:t>
            </w:r>
          </w:p>
        </w:tc>
      </w:tr>
      <w:tr>
        <w:tblPrEx>
          <w:shd w:val="clear" w:color="auto" w:fill="auto"/>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三联开关</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墙面开窗</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拆除墙体，修正洞口，安装中空玻璃塑钢窗。</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吧台</w:t>
            </w: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长度约2米，弧形吧台</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木工板柜体，铝塑板饰面，1.2厚人造石台面。</w:t>
            </w: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木质文件柜一组</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1.2*2.0*0.35m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台式电脑</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打印机</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A3，A4各一台</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碎纸机</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空调</w:t>
            </w: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5p</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1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空调</w:t>
            </w:r>
          </w:p>
        </w:tc>
        <w:tc>
          <w:tcPr>
            <w:tcW w:w="1669"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大2P</w:t>
            </w:r>
          </w:p>
        </w:tc>
        <w:tc>
          <w:tcPr>
            <w:tcW w:w="100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221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空调</w:t>
            </w:r>
          </w:p>
        </w:tc>
        <w:tc>
          <w:tcPr>
            <w:tcW w:w="166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1.5P</w:t>
            </w:r>
          </w:p>
        </w:tc>
        <w:tc>
          <w:tcPr>
            <w:tcW w:w="100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0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2212"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文体活动实木桌</w:t>
            </w:r>
          </w:p>
        </w:tc>
        <w:tc>
          <w:tcPr>
            <w:tcW w:w="166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0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一桌四椅</w:t>
            </w: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2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电控活动桌</w:t>
            </w:r>
          </w:p>
        </w:tc>
        <w:tc>
          <w:tcPr>
            <w:tcW w:w="166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0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65" w:hRule="atLeast"/>
        </w:trPr>
        <w:tc>
          <w:tcPr>
            <w:tcW w:w="60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2212"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活动室座椅</w:t>
            </w:r>
          </w:p>
        </w:tc>
        <w:tc>
          <w:tcPr>
            <w:tcW w:w="1669"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w:t>
            </w:r>
          </w:p>
        </w:tc>
        <w:tc>
          <w:tcPr>
            <w:tcW w:w="270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pStyle w:val="2"/>
        <w:rPr>
          <w:rFonts w:hint="eastAsia"/>
          <w:lang w:val="en-US" w:eastAsia="zh-CN"/>
        </w:rPr>
      </w:pPr>
    </w:p>
    <w:tbl>
      <w:tblPr>
        <w:tblStyle w:val="50"/>
        <w:tblW w:w="8990" w:type="dxa"/>
        <w:tblInd w:w="98" w:type="dxa"/>
        <w:shd w:val="clear" w:color="auto" w:fill="auto"/>
        <w:tblLayout w:type="fixed"/>
        <w:tblCellMar>
          <w:top w:w="0" w:type="dxa"/>
          <w:left w:w="108" w:type="dxa"/>
          <w:bottom w:w="0" w:type="dxa"/>
          <w:right w:w="108" w:type="dxa"/>
        </w:tblCellMar>
      </w:tblPr>
      <w:tblGrid>
        <w:gridCol w:w="608"/>
        <w:gridCol w:w="2202"/>
        <w:gridCol w:w="1683"/>
        <w:gridCol w:w="977"/>
        <w:gridCol w:w="850"/>
        <w:gridCol w:w="2670"/>
      </w:tblGrid>
      <w:tr>
        <w:tblPrEx>
          <w:shd w:val="clear" w:color="auto" w:fill="auto"/>
          <w:tblCellMar>
            <w:top w:w="0" w:type="dxa"/>
            <w:left w:w="108" w:type="dxa"/>
            <w:bottom w:w="0" w:type="dxa"/>
            <w:right w:w="108" w:type="dxa"/>
          </w:tblCellMar>
        </w:tblPrEx>
        <w:trPr>
          <w:trHeight w:val="300" w:hRule="atLeast"/>
        </w:trPr>
        <w:tc>
          <w:tcPr>
            <w:tcW w:w="899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陈家庄社区党建环境建设提升</w:t>
            </w:r>
          </w:p>
        </w:tc>
      </w:tr>
      <w:tr>
        <w:tblPrEx>
          <w:tblCellMar>
            <w:top w:w="0" w:type="dxa"/>
            <w:left w:w="108" w:type="dxa"/>
            <w:bottom w:w="0" w:type="dxa"/>
            <w:right w:w="108" w:type="dxa"/>
          </w:tblCellMar>
        </w:tblPrEx>
        <w:trPr>
          <w:trHeight w:val="300" w:hRule="atLeast"/>
        </w:trPr>
        <w:tc>
          <w:tcPr>
            <w:tcW w:w="899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08"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02"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83"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977"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670"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3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门头字</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11*0.25m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15mm雪弗板，雕刻粘贴</w:t>
            </w:r>
          </w:p>
        </w:tc>
      </w:tr>
      <w:tr>
        <w:tblPrEx>
          <w:tblCellMar>
            <w:top w:w="0" w:type="dxa"/>
            <w:left w:w="108" w:type="dxa"/>
            <w:bottom w:w="0" w:type="dxa"/>
            <w:right w:w="108" w:type="dxa"/>
          </w:tblCellMar>
        </w:tblPrEx>
        <w:trPr>
          <w:trHeight w:val="750"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shd w:val="clear" w:color="auto" w:fill="auto"/>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钛金字</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0.85*5</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1mm砂面钛金不锈钢，激光切割、氩弧焊侧面围边</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门头改造</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立柱0.7*8m四面，0.8*8m四面 横梁9.8*1.7m两面</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81.32</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不锈钢岗亭</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298"/>
                <w:rFonts w:hint="eastAsia" w:ascii="仿宋" w:hAnsi="仿宋" w:eastAsia="仿宋" w:cs="仿宋"/>
                <w:sz w:val="18"/>
                <w:szCs w:val="18"/>
                <w:lang w:val="en-US" w:eastAsia="zh-CN" w:bidi="ar"/>
              </w:rPr>
              <w:t>2*1.8m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18"/>
                <w:szCs w:val="18"/>
                <w:u w:val="none"/>
              </w:rPr>
            </w:pP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18"/>
                <w:szCs w:val="18"/>
                <w:u w:val="none"/>
              </w:rPr>
            </w:pP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KT板</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PP背胶，覆膜，裱KT板</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KT板</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0.6*0.9m*5</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0.54</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PP背胶，覆膜，裱KT板</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KT板</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1.3*1.7m</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2.21</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PP背胶，覆膜，裱KT板</w:t>
            </w:r>
          </w:p>
        </w:tc>
      </w:tr>
      <w:tr>
        <w:tblPrEx>
          <w:tblCellMar>
            <w:top w:w="0" w:type="dxa"/>
            <w:left w:w="108" w:type="dxa"/>
            <w:bottom w:w="0" w:type="dxa"/>
            <w:right w:w="108" w:type="dxa"/>
          </w:tblCellMar>
        </w:tblPrEx>
        <w:trPr>
          <w:trHeight w:val="499" w:hRule="atLeast"/>
        </w:trPr>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KT板</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1.5*0.9m*4</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室外PP背胶，覆膜，裱KT板</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10" w:type="dxa"/>
        <w:tblInd w:w="98" w:type="dxa"/>
        <w:shd w:val="clear" w:color="auto" w:fill="auto"/>
        <w:tblLayout w:type="fixed"/>
        <w:tblCellMar>
          <w:top w:w="0" w:type="dxa"/>
          <w:left w:w="108" w:type="dxa"/>
          <w:bottom w:w="0" w:type="dxa"/>
          <w:right w:w="108" w:type="dxa"/>
        </w:tblCellMar>
      </w:tblPr>
      <w:tblGrid>
        <w:gridCol w:w="580"/>
        <w:gridCol w:w="2263"/>
        <w:gridCol w:w="1627"/>
        <w:gridCol w:w="1000"/>
        <w:gridCol w:w="830"/>
        <w:gridCol w:w="2710"/>
      </w:tblGrid>
      <w:tr>
        <w:tblPrEx>
          <w:tblCellMar>
            <w:top w:w="0" w:type="dxa"/>
            <w:left w:w="108" w:type="dxa"/>
            <w:bottom w:w="0" w:type="dxa"/>
            <w:right w:w="108" w:type="dxa"/>
          </w:tblCellMar>
        </w:tblPrEx>
        <w:trPr>
          <w:trHeight w:val="300" w:hRule="atLeast"/>
        </w:trPr>
        <w:tc>
          <w:tcPr>
            <w:tcW w:w="901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东付社区党建环境建设提升</w:t>
            </w:r>
          </w:p>
        </w:tc>
      </w:tr>
      <w:tr>
        <w:tblPrEx>
          <w:tblCellMar>
            <w:top w:w="0" w:type="dxa"/>
            <w:left w:w="108" w:type="dxa"/>
            <w:bottom w:w="0" w:type="dxa"/>
            <w:right w:w="108" w:type="dxa"/>
          </w:tblCellMar>
        </w:tblPrEx>
        <w:trPr>
          <w:trHeight w:val="300" w:hRule="atLeast"/>
        </w:trPr>
        <w:tc>
          <w:tcPr>
            <w:tcW w:w="901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600" w:hRule="atLeast"/>
        </w:trPr>
        <w:tc>
          <w:tcPr>
            <w:tcW w:w="58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63"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27"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1002"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1002"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1002"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党建精神堡垒</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4×1.68m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3.6*1.2m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3.2*1.1m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红船精神文化墙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2.5*1.1m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2.75</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廉政文化墙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1.8*1.4m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3*2.1m/3*2.1m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12.6</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3*1.4m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矛调室文化墙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3.3*0.9m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2.97</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平语近人文化墙</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2.6*0.9m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2.34</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0.6*0.8*19</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9.12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冷压板覆膜，边框可开启银色型材边框，加33个盒子</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585"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吸顶LED照明</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r>
              <w:rPr>
                <w:rStyle w:val="299"/>
                <w:rFonts w:hint="eastAsia" w:ascii="仿宋" w:hAnsi="仿宋" w:eastAsia="仿宋" w:cs="仿宋"/>
                <w:sz w:val="18"/>
                <w:szCs w:val="18"/>
                <w:lang w:val="en-US" w:eastAsia="zh-CN" w:bidi="ar"/>
              </w:rPr>
              <w:t>00*600LED吸顶灯</w:t>
            </w:r>
          </w:p>
        </w:tc>
      </w:tr>
      <w:tr>
        <w:tblPrEx>
          <w:shd w:val="clear" w:color="auto" w:fill="auto"/>
          <w:tblCellMar>
            <w:top w:w="0" w:type="dxa"/>
            <w:left w:w="108" w:type="dxa"/>
            <w:bottom w:w="0" w:type="dxa"/>
            <w:right w:w="108" w:type="dxa"/>
          </w:tblCellMar>
        </w:tblPrEx>
        <w:trPr>
          <w:trHeight w:val="585"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1120</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CellMar>
            <w:top w:w="0" w:type="dxa"/>
            <w:left w:w="108" w:type="dxa"/>
            <w:bottom w:w="0" w:type="dxa"/>
            <w:right w:w="108" w:type="dxa"/>
          </w:tblCellMar>
        </w:tblPrEx>
        <w:trPr>
          <w:trHeight w:val="585"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室外粉刷</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400</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r>
        <w:tblPrEx>
          <w:tblCellMar>
            <w:top w:w="0" w:type="dxa"/>
            <w:left w:w="108" w:type="dxa"/>
            <w:bottom w:w="0" w:type="dxa"/>
            <w:right w:w="108" w:type="dxa"/>
          </w:tblCellMar>
        </w:tblPrEx>
        <w:trPr>
          <w:trHeight w:val="585"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楼侧墙裙粉刷</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办公室门</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206*97</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防盗门及包门套，含五金、锁具。</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会议室双开门</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206*146</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防盗门及包门套，含五金、锁具。</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铝塑板包楼梯斜面</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2.8米X0.6米</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1.68</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木工板基层，铝塑板饰面。</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拆除楼外护栏</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20米</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人工费及垃圾外运。</w:t>
            </w:r>
          </w:p>
        </w:tc>
      </w:tr>
      <w:tr>
        <w:tblPrEx>
          <w:shd w:val="clear" w:color="auto" w:fill="auto"/>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三楼会议室吊顶</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矿棉吸音板</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T型龙骨，12厚矿棉吸音板吊顶。</w:t>
            </w:r>
          </w:p>
        </w:tc>
      </w:tr>
      <w:tr>
        <w:tblPrEx>
          <w:tblCellMar>
            <w:top w:w="0" w:type="dxa"/>
            <w:left w:w="108" w:type="dxa"/>
            <w:bottom w:w="0" w:type="dxa"/>
            <w:right w:w="108" w:type="dxa"/>
          </w:tblCellMar>
        </w:tblPrEx>
        <w:trPr>
          <w:trHeight w:val="499"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拆除室内吊扇</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16个</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人工费及垃圾外运。</w:t>
            </w:r>
          </w:p>
        </w:tc>
      </w:tr>
      <w:tr>
        <w:tblPrEx>
          <w:shd w:val="clear" w:color="auto" w:fill="auto"/>
          <w:tblCellMar>
            <w:top w:w="0" w:type="dxa"/>
            <w:left w:w="108" w:type="dxa"/>
            <w:bottom w:w="0" w:type="dxa"/>
            <w:right w:w="108" w:type="dxa"/>
          </w:tblCellMar>
        </w:tblPrEx>
        <w:trPr>
          <w:trHeight w:val="499" w:hRule="atLeast"/>
        </w:trPr>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三楼增加卫生间</w:t>
            </w: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铲除老墙皮</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墙面砂浆找平</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二次防水</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15.5</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墙地砖铺设</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蹲便台</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铝扣板吊顶</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排气扇</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穿墙孔</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LED吸顶灯</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蹲便池及脚踩阀</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红砖砌墙体</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面</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卫生间门及门套</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sz w:val="18"/>
                <w:szCs w:val="18"/>
                <w:u w:val="none"/>
                <w:lang w:val="en-US" w:eastAsia="zh-CN"/>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安装排水管</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安装给水管</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角阀及软管</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洗漱柱盆</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20" w:type="dxa"/>
        <w:tblInd w:w="98" w:type="dxa"/>
        <w:shd w:val="clear" w:color="auto" w:fill="auto"/>
        <w:tblLayout w:type="fixed"/>
        <w:tblCellMar>
          <w:top w:w="0" w:type="dxa"/>
          <w:left w:w="108" w:type="dxa"/>
          <w:bottom w:w="0" w:type="dxa"/>
          <w:right w:w="108" w:type="dxa"/>
        </w:tblCellMar>
      </w:tblPr>
      <w:tblGrid>
        <w:gridCol w:w="609"/>
        <w:gridCol w:w="2221"/>
        <w:gridCol w:w="1620"/>
        <w:gridCol w:w="1018"/>
        <w:gridCol w:w="832"/>
        <w:gridCol w:w="2720"/>
      </w:tblGrid>
      <w:tr>
        <w:tblPrEx>
          <w:shd w:val="clear" w:color="auto" w:fill="auto"/>
          <w:tblCellMar>
            <w:top w:w="0" w:type="dxa"/>
            <w:left w:w="108" w:type="dxa"/>
            <w:bottom w:w="0" w:type="dxa"/>
            <w:right w:w="108" w:type="dxa"/>
          </w:tblCellMar>
        </w:tblPrEx>
        <w:trPr>
          <w:trHeight w:val="300" w:hRule="atLeast"/>
        </w:trPr>
        <w:tc>
          <w:tcPr>
            <w:tcW w:w="902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东滩社区党建环境建设提升</w:t>
            </w:r>
          </w:p>
        </w:tc>
      </w:tr>
      <w:tr>
        <w:tblPrEx>
          <w:tblCellMar>
            <w:top w:w="0" w:type="dxa"/>
            <w:left w:w="108" w:type="dxa"/>
            <w:bottom w:w="0" w:type="dxa"/>
            <w:right w:w="108" w:type="dxa"/>
          </w:tblCellMar>
        </w:tblPrEx>
        <w:trPr>
          <w:trHeight w:val="315" w:hRule="atLeast"/>
        </w:trPr>
        <w:tc>
          <w:tcPr>
            <w:tcW w:w="902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615" w:hRule="atLeast"/>
        </w:trPr>
        <w:tc>
          <w:tcPr>
            <w:tcW w:w="609"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21"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2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18"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32"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2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1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1.2+10*1m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shd w:val="clear" w:color="auto" w:fill="auto"/>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党建精神堡垒</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4.5m*2.1m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党建精神堡垒</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4.5m*1.9m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运动精神堡垒</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2*1.22m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555"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0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11" w:type="dxa"/>
            <w:gridSpan w:val="5"/>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1"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3.8*1.2m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2"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4.56</w:t>
            </w:r>
          </w:p>
        </w:tc>
        <w:tc>
          <w:tcPr>
            <w:tcW w:w="27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幕布</w:t>
            </w:r>
          </w:p>
        </w:tc>
        <w:tc>
          <w:tcPr>
            <w:tcW w:w="1620" w:type="dxa"/>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100寸遥控 2M*1.5M</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副</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2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投影仪</w:t>
            </w:r>
          </w:p>
        </w:tc>
        <w:tc>
          <w:tcPr>
            <w:tcW w:w="1620" w:type="dxa"/>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2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9"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21"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2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18"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2"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2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300" w:hRule="atLeast"/>
        </w:trPr>
        <w:tc>
          <w:tcPr>
            <w:tcW w:w="609" w:type="dxa"/>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11" w:type="dxa"/>
            <w:gridSpan w:val="5"/>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499"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户外地面改造</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混凝土硬化地面</w:t>
            </w: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地面开挖及回填灰土500厚，C25混凝土地面，表面收光处理。</w:t>
            </w:r>
          </w:p>
        </w:tc>
      </w:tr>
      <w:tr>
        <w:tblPrEx>
          <w:tblCellMar>
            <w:top w:w="0" w:type="dxa"/>
            <w:left w:w="108" w:type="dxa"/>
            <w:bottom w:w="0" w:type="dxa"/>
            <w:right w:w="108" w:type="dxa"/>
          </w:tblCellMar>
        </w:tblPrEx>
        <w:trPr>
          <w:trHeight w:val="499"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户外健身器材</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40" w:type="dxa"/>
        <w:tblInd w:w="98" w:type="dxa"/>
        <w:shd w:val="clear" w:color="auto" w:fill="auto"/>
        <w:tblLayout w:type="fixed"/>
        <w:tblCellMar>
          <w:top w:w="0" w:type="dxa"/>
          <w:left w:w="108" w:type="dxa"/>
          <w:bottom w:w="0" w:type="dxa"/>
          <w:right w:w="108" w:type="dxa"/>
        </w:tblCellMar>
      </w:tblPr>
      <w:tblGrid>
        <w:gridCol w:w="619"/>
        <w:gridCol w:w="2211"/>
        <w:gridCol w:w="1610"/>
        <w:gridCol w:w="1020"/>
        <w:gridCol w:w="830"/>
        <w:gridCol w:w="2750"/>
      </w:tblGrid>
      <w:tr>
        <w:tblPrEx>
          <w:shd w:val="clear" w:color="auto" w:fill="auto"/>
          <w:tblCellMar>
            <w:top w:w="0" w:type="dxa"/>
            <w:left w:w="108" w:type="dxa"/>
            <w:bottom w:w="0" w:type="dxa"/>
            <w:right w:w="108" w:type="dxa"/>
          </w:tblCellMar>
        </w:tblPrEx>
        <w:trPr>
          <w:trHeight w:val="300" w:hRule="atLeast"/>
        </w:trPr>
        <w:tc>
          <w:tcPr>
            <w:tcW w:w="904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东辛庄社区党建环境建设提升</w:t>
            </w:r>
          </w:p>
        </w:tc>
      </w:tr>
      <w:tr>
        <w:tblPrEx>
          <w:shd w:val="clear" w:color="auto" w:fill="auto"/>
          <w:tblCellMar>
            <w:top w:w="0" w:type="dxa"/>
            <w:left w:w="108" w:type="dxa"/>
            <w:bottom w:w="0" w:type="dxa"/>
            <w:right w:w="108" w:type="dxa"/>
          </w:tblCellMar>
        </w:tblPrEx>
        <w:trPr>
          <w:trHeight w:val="300" w:hRule="atLeast"/>
        </w:trPr>
        <w:tc>
          <w:tcPr>
            <w:tcW w:w="904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615" w:hRule="atLeast"/>
        </w:trPr>
        <w:tc>
          <w:tcPr>
            <w:tcW w:w="619"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11"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2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shd w:val="clear" w:color="auto" w:fill="auto"/>
          <w:tblCellMar>
            <w:top w:w="0" w:type="dxa"/>
            <w:left w:w="108" w:type="dxa"/>
            <w:bottom w:w="0" w:type="dxa"/>
            <w:right w:w="108" w:type="dxa"/>
          </w:tblCellMar>
        </w:tblPrEx>
        <w:trPr>
          <w:trHeight w:val="30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LED屏</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1.01*5.85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P10，全户外防雨LED屏，wifi控制。</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2.53*1.33m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可开启型材边框,A5亚克力贴盒</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shd w:val="clear" w:color="auto" w:fill="auto"/>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4.6*1.4m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四个意识文化墙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4.5*1.33m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5.99</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调节文化墙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4.7*1.2m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2.3*0.88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五心党员文化墙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1.2*0.54m*2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1.5*1.8m*2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党员风采文化墙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4.5*1.6m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4*1.37m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5.48</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幕布</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100寸遥控 2M*1.5M</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投影仪</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书记办公室制度牌</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1.1*0.62m*4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2.73</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w:t>
            </w:r>
          </w:p>
        </w:tc>
      </w:tr>
      <w:tr>
        <w:tblPrEx>
          <w:tblCellMar>
            <w:top w:w="0" w:type="dxa"/>
            <w:left w:w="108" w:type="dxa"/>
            <w:bottom w:w="0" w:type="dxa"/>
            <w:right w:w="108" w:type="dxa"/>
          </w:tblCellMar>
        </w:tblPrEx>
        <w:trPr>
          <w:trHeight w:val="51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0"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2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615"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墙面粉刷</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笔记本</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立式打印机</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碎纸机</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620"/>
        <w:gridCol w:w="2200"/>
        <w:gridCol w:w="1630"/>
        <w:gridCol w:w="1010"/>
        <w:gridCol w:w="820"/>
        <w:gridCol w:w="2770"/>
      </w:tblGrid>
      <w:tr>
        <w:tblPrEx>
          <w:shd w:val="clear" w:color="auto" w:fill="auto"/>
          <w:tblCellMar>
            <w:top w:w="0" w:type="dxa"/>
            <w:left w:w="108" w:type="dxa"/>
            <w:bottom w:w="0" w:type="dxa"/>
            <w:right w:w="108" w:type="dxa"/>
          </w:tblCellMar>
        </w:tblPrEx>
        <w:trPr>
          <w:trHeight w:val="300" w:hRule="atLeast"/>
        </w:trPr>
        <w:tc>
          <w:tcPr>
            <w:tcW w:w="905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甘家寨社区党建环境建设提升</w:t>
            </w:r>
          </w:p>
        </w:tc>
      </w:tr>
      <w:tr>
        <w:tblPrEx>
          <w:tblCellMar>
            <w:top w:w="0" w:type="dxa"/>
            <w:left w:w="108" w:type="dxa"/>
            <w:bottom w:w="0" w:type="dxa"/>
            <w:right w:w="108" w:type="dxa"/>
          </w:tblCellMar>
        </w:tblPrEx>
        <w:trPr>
          <w:trHeight w:val="300" w:hRule="atLeast"/>
        </w:trPr>
        <w:tc>
          <w:tcPr>
            <w:tcW w:w="905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570" w:hRule="atLeast"/>
        </w:trPr>
        <w:tc>
          <w:tcPr>
            <w:tcW w:w="62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2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7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1.1+11*1m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多功能服务大厅</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3.1*1.2*0.2</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方管骨架+龙骨+扣板，表贴20mmPVC字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300"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4.3*1.5m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6.45</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11.8*1.52m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17.94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巾帼文化墙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2.6*0.9m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儿童文化墙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2.6*1.2m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3.12</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党群活动中心文化墙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2.9*1.3m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3.77</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读书室文化墙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楼梯不忘初心文化墙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村史文化墙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会议室不忘初心文化墙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五心党员文化墙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2.4*0.9m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党务公开文化墙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2.4*1.1m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高精户外UV，异形雕刻粘贴+立体字+插盒</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3.9*2.5m/3.9*3m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高精户外UV，异形雕刻粘贴+立体字+插盒</w:t>
            </w:r>
          </w:p>
        </w:tc>
      </w:tr>
      <w:tr>
        <w:tblPrEx>
          <w:shd w:val="clear" w:color="auto" w:fill="auto"/>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0.3*2.4m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0.72</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楼梯横沿文化墙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0.39*1.8</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0.7</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中国梦文化墙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3.5</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政务服务中心形象墙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4.5*1.25m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5.625</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，雕刻粘贴立体字</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2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0.6*0.8m*8</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0.4*1</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0.8*1.2m*3</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0.3*0.9m*8</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LED单红屏</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8.06*0.41m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P10</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19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投影系统</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音响（2只）、功放（1台）、投影仪（1台、4:3）、幕布（1副、100寸遥控 2M*1.5M）、音箱线（1卷）、电脑（1台，组装机：独显，I3/4G/500G/19寸）、辅材（1批）</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0"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1002"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590</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shd w:val="clear" w:color="auto" w:fill="auto"/>
          <w:tblCellMar>
            <w:top w:w="0" w:type="dxa"/>
            <w:left w:w="108" w:type="dxa"/>
            <w:bottom w:w="0" w:type="dxa"/>
            <w:right w:w="108" w:type="dxa"/>
          </w:tblCellMar>
        </w:tblPrEx>
        <w:trPr>
          <w:trHeight w:val="499" w:hRule="atLeast"/>
        </w:trPr>
        <w:tc>
          <w:tcPr>
            <w:tcW w:w="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三楼卫生间</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更换蹲便器</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更换小便斗及增加感应器</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1002"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一楼政务大厅粉刷</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shd w:val="clear" w:color="auto" w:fill="auto"/>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银行柜台</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办公桌椅</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40" w:type="dxa"/>
        <w:tblInd w:w="98" w:type="dxa"/>
        <w:shd w:val="clear" w:color="auto" w:fill="auto"/>
        <w:tblLayout w:type="fixed"/>
        <w:tblCellMar>
          <w:top w:w="0" w:type="dxa"/>
          <w:left w:w="108" w:type="dxa"/>
          <w:bottom w:w="0" w:type="dxa"/>
          <w:right w:w="108" w:type="dxa"/>
        </w:tblCellMar>
      </w:tblPr>
      <w:tblGrid>
        <w:gridCol w:w="620"/>
        <w:gridCol w:w="2200"/>
        <w:gridCol w:w="1630"/>
        <w:gridCol w:w="1010"/>
        <w:gridCol w:w="820"/>
        <w:gridCol w:w="2760"/>
      </w:tblGrid>
      <w:tr>
        <w:tblPrEx>
          <w:tblCellMar>
            <w:top w:w="0" w:type="dxa"/>
            <w:left w:w="108" w:type="dxa"/>
            <w:bottom w:w="0" w:type="dxa"/>
            <w:right w:w="108" w:type="dxa"/>
          </w:tblCellMar>
        </w:tblPrEx>
        <w:trPr>
          <w:trHeight w:val="300" w:hRule="atLeast"/>
        </w:trPr>
        <w:tc>
          <w:tcPr>
            <w:tcW w:w="904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蒋家寨社区党建环境建设提升</w:t>
            </w:r>
          </w:p>
        </w:tc>
      </w:tr>
      <w:tr>
        <w:tblPrEx>
          <w:tblCellMar>
            <w:top w:w="0" w:type="dxa"/>
            <w:left w:w="108" w:type="dxa"/>
            <w:bottom w:w="0" w:type="dxa"/>
            <w:right w:w="108" w:type="dxa"/>
          </w:tblCellMar>
        </w:tblPrEx>
        <w:trPr>
          <w:trHeight w:val="300" w:hRule="atLeast"/>
        </w:trPr>
        <w:tc>
          <w:tcPr>
            <w:tcW w:w="904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645" w:hRule="atLeast"/>
        </w:trPr>
        <w:tc>
          <w:tcPr>
            <w:tcW w:w="62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0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3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1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2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6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0.4*0.6m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300" w:hRule="atLeast"/>
        </w:trPr>
        <w:tc>
          <w:tcPr>
            <w:tcW w:w="6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2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不忘初心文化墙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3.7*1.7m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6.29</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shd w:val="clear" w:color="auto" w:fill="auto"/>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2.7*1.3m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3.15</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五心党员文化墙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3*1.2m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书屋文化墙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3.3*1.1m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3.63</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外墙文化墙1</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1.5*1m*6</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以人民为中心</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2.4*1m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2.8*1.1m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3.08</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外墙文化墙2</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1.5*14m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20mm高密PVC高精户外UV，异形雕刻粘贴</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政务中心形象墙</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2*0.55m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15+3水晶字，异形雕刻粘贴</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6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0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0.6*0.8m*9</w:t>
            </w:r>
          </w:p>
        </w:tc>
        <w:tc>
          <w:tcPr>
            <w:tcW w:w="10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4.32</w:t>
            </w:r>
          </w:p>
        </w:tc>
        <w:tc>
          <w:tcPr>
            <w:tcW w:w="27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6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2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0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乒乓球台</w:t>
            </w:r>
          </w:p>
        </w:tc>
        <w:tc>
          <w:tcPr>
            <w:tcW w:w="163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w:t>
            </w:r>
          </w:p>
        </w:tc>
        <w:tc>
          <w:tcPr>
            <w:tcW w:w="101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2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60" w:type="dxa"/>
            <w:tcBorders>
              <w:top w:val="single" w:color="auto" w:sz="4" w:space="0"/>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0" w:hRule="atLeast"/>
        </w:trPr>
        <w:tc>
          <w:tcPr>
            <w:tcW w:w="6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2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499" w:hRule="atLeast"/>
        </w:trPr>
        <w:tc>
          <w:tcPr>
            <w:tcW w:w="62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63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495</w:t>
            </w:r>
          </w:p>
        </w:tc>
        <w:tc>
          <w:tcPr>
            <w:tcW w:w="276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文化墙粉刷</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282</w:t>
            </w:r>
          </w:p>
        </w:tc>
        <w:tc>
          <w:tcPr>
            <w:tcW w:w="27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600"/>
        <w:gridCol w:w="2220"/>
        <w:gridCol w:w="1630"/>
        <w:gridCol w:w="997"/>
        <w:gridCol w:w="843"/>
        <w:gridCol w:w="2760"/>
      </w:tblGrid>
      <w:tr>
        <w:tblPrEx>
          <w:tblCellMar>
            <w:top w:w="0" w:type="dxa"/>
            <w:left w:w="108" w:type="dxa"/>
            <w:bottom w:w="0" w:type="dxa"/>
            <w:right w:w="108" w:type="dxa"/>
          </w:tblCellMar>
        </w:tblPrEx>
        <w:trPr>
          <w:trHeight w:val="300" w:hRule="atLeast"/>
        </w:trPr>
        <w:tc>
          <w:tcPr>
            <w:tcW w:w="905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里花水社区党建环境建设提升</w:t>
            </w:r>
          </w:p>
        </w:tc>
      </w:tr>
      <w:tr>
        <w:tblPrEx>
          <w:shd w:val="clear" w:color="auto" w:fill="auto"/>
          <w:tblCellMar>
            <w:top w:w="0" w:type="dxa"/>
            <w:left w:w="108" w:type="dxa"/>
            <w:bottom w:w="0" w:type="dxa"/>
            <w:right w:w="108" w:type="dxa"/>
          </w:tblCellMar>
        </w:tblPrEx>
        <w:trPr>
          <w:trHeight w:val="300" w:hRule="atLeast"/>
        </w:trPr>
        <w:tc>
          <w:tcPr>
            <w:tcW w:w="905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675" w:hRule="atLeast"/>
        </w:trPr>
        <w:tc>
          <w:tcPr>
            <w:tcW w:w="60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2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3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997"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43"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6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50" w:type="dxa"/>
            <w:gridSpan w:val="5"/>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楼体大字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镀锌板、激光切割、焊接、打磨表面汽车漆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5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村史化墙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2.2*4.7m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10.34</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4.4*1.3m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读书文化墙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1.7*1.65m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红船精神文化墙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4*1.3m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5.2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4.2*1.9m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7.98</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核心价值观文化墙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2.8*1.5m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发光党徽</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0.8*0.8m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18mm高密PVC高精户外UV，大字水晶字，异形雕刻粘贴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矛调室形象墙</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15+3水晶字、logoUV</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亚克力双加5.8+3.4</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w:t>
            </w:r>
          </w:p>
        </w:tc>
        <w:tc>
          <w:tcPr>
            <w:tcW w:w="845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10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内墙粉刷</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850</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CellMar>
            <w:top w:w="0" w:type="dxa"/>
            <w:left w:w="108" w:type="dxa"/>
            <w:bottom w:w="0" w:type="dxa"/>
            <w:right w:w="108" w:type="dxa"/>
          </w:tblCellMar>
        </w:tblPrEx>
        <w:trPr>
          <w:trHeight w:val="10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外墙粉刷</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260</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led照明</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600*600规格，镶嵌式LED平板灯。</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吊顶</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220平方米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220</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T型龙骨，12厚矿棉吸音板吊顶。</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双人位</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吧台</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长2米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木质文件柜</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0.9宽</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台式电脑</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台式机</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打印机</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窗套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170*140*9</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55.8</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FF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更换新门</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樘</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更换新门</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双开</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樘</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拆除墙面瓷砖</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30平方米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含人工费及垃圾外运。</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600"/>
        <w:gridCol w:w="2210"/>
        <w:gridCol w:w="1630"/>
        <w:gridCol w:w="1000"/>
        <w:gridCol w:w="840"/>
        <w:gridCol w:w="2770"/>
      </w:tblGrid>
      <w:tr>
        <w:tblPrEx>
          <w:tblCellMar>
            <w:top w:w="0" w:type="dxa"/>
            <w:left w:w="108" w:type="dxa"/>
            <w:bottom w:w="0" w:type="dxa"/>
            <w:right w:w="108" w:type="dxa"/>
          </w:tblCellMar>
        </w:tblPrEx>
        <w:trPr>
          <w:trHeight w:val="300" w:hRule="atLeast"/>
        </w:trPr>
        <w:tc>
          <w:tcPr>
            <w:tcW w:w="905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南窑头社区党建环境建设提升</w:t>
            </w:r>
          </w:p>
        </w:tc>
      </w:tr>
      <w:tr>
        <w:tblPrEx>
          <w:shd w:val="clear" w:color="auto" w:fill="auto"/>
          <w:tblCellMar>
            <w:top w:w="0" w:type="dxa"/>
            <w:left w:w="108" w:type="dxa"/>
            <w:bottom w:w="0" w:type="dxa"/>
            <w:right w:w="108" w:type="dxa"/>
          </w:tblCellMar>
        </w:tblPrEx>
        <w:trPr>
          <w:trHeight w:val="300" w:hRule="atLeast"/>
        </w:trPr>
        <w:tc>
          <w:tcPr>
            <w:tcW w:w="905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750" w:hRule="atLeast"/>
        </w:trPr>
        <w:tc>
          <w:tcPr>
            <w:tcW w:w="60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1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3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0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4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70" w:type="dxa"/>
            <w:tcBorders>
              <w:top w:val="nil"/>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室外观光电梯（南窑头社区党群活动中心）</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800mm*800mm*11字*2组</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4亚克力，有机板边框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电梯厅正墙（南窑头社区党群活动中心）</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190mm*11字   400mm*1</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2.49</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3mm亚克力、双色有机板，异形雕刻粘贴</w:t>
            </w:r>
          </w:p>
        </w:tc>
      </w:tr>
      <w:tr>
        <w:tblPrEx>
          <w:tblCellMar>
            <w:top w:w="0" w:type="dxa"/>
            <w:left w:w="108" w:type="dxa"/>
            <w:bottom w:w="0" w:type="dxa"/>
            <w:right w:w="108" w:type="dxa"/>
          </w:tblCellMar>
        </w:tblPrEx>
        <w:trPr>
          <w:trHeight w:val="64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户外精神堡垒（双面文字）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r>
              <w:rPr>
                <w:rStyle w:val="300"/>
                <w:rFonts w:hint="eastAsia" w:ascii="仿宋" w:hAnsi="仿宋" w:eastAsia="仿宋" w:cs="仿宋"/>
                <w:sz w:val="18"/>
                <w:szCs w:val="18"/>
                <w:lang w:val="en-US" w:eastAsia="zh-CN" w:bidi="ar"/>
              </w:rPr>
              <w:t>*1.2米</w:t>
            </w:r>
          </w:p>
        </w:tc>
        <w:tc>
          <w:tcPr>
            <w:tcW w:w="1000"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1.2的镀锌板、激光切割围边造型、表面汽车漆、文字15mm厚的高光PVC，水泥地笼60公分预埋。</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电梯厅正墙墙面刷红色漆</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b/>
                <w:bCs/>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电梯厅左侧墙面四仪两公开基层底板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1200mm*2080mm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2.49</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电梯厅左侧墙面四仪两公开面层文化墙</w:t>
            </w:r>
          </w:p>
        </w:tc>
        <w:tc>
          <w:tcPr>
            <w:tcW w:w="16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880mm*1620mm</w:t>
            </w:r>
          </w:p>
        </w:tc>
        <w:tc>
          <w:tcPr>
            <w:tcW w:w="10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27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w:t>
            </w:r>
          </w:p>
        </w:tc>
      </w:tr>
      <w:tr>
        <w:tblPrEx>
          <w:tblCellMar>
            <w:top w:w="0" w:type="dxa"/>
            <w:left w:w="108" w:type="dxa"/>
            <w:bottom w:w="0" w:type="dxa"/>
            <w:right w:w="108" w:type="dxa"/>
          </w:tblCellMar>
        </w:tblPrEx>
        <w:trPr>
          <w:trHeight w:val="735" w:hRule="atLeast"/>
        </w:trPr>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电梯厅右侧入党誓词、权利、义务、制度展板</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800mm*1900mm*4、1200mm*1900mm</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7.16</w:t>
            </w:r>
          </w:p>
        </w:tc>
        <w:tc>
          <w:tcPr>
            <w:tcW w:w="27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 高精户外UV，异形雕刻粘贴+3mm水晶字</w:t>
            </w:r>
          </w:p>
        </w:tc>
      </w:tr>
      <w:tr>
        <w:tblPrEx>
          <w:tblCellMar>
            <w:top w:w="0" w:type="dxa"/>
            <w:left w:w="108" w:type="dxa"/>
            <w:bottom w:w="0" w:type="dxa"/>
            <w:right w:w="108" w:type="dxa"/>
          </w:tblCellMar>
        </w:tblPrEx>
        <w:trPr>
          <w:trHeight w:val="499" w:hRule="atLeast"/>
        </w:trPr>
        <w:tc>
          <w:tcPr>
            <w:tcW w:w="6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电梯厅右侧入党誓词红色装饰线</w:t>
            </w:r>
          </w:p>
        </w:tc>
        <w:tc>
          <w:tcPr>
            <w:tcW w:w="163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 高精户外UV，异形雕刻粘贴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室外宣传栏新增画面  </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1200mm*2400mm*5</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1、40mm铝型材可开启边框、户外背胶哑膜覆PVC板。</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室外宣传栏新增黄钛金立体字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黄钛金不锈钢折弯、焊接。</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1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室外宣传栏新增PVC字</w:t>
            </w:r>
          </w:p>
        </w:tc>
        <w:tc>
          <w:tcPr>
            <w:tcW w:w="1630" w:type="dxa"/>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室外宣传栏</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16.4*2.6m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1.2mm镀锌板弯折焊接</w:t>
            </w:r>
          </w:p>
        </w:tc>
      </w:tr>
      <w:tr>
        <w:tblPrEx>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50" w:type="dxa"/>
            <w:gridSpan w:val="5"/>
            <w:tcBorders>
              <w:top w:val="single" w:color="000000" w:sz="8" w:space="0"/>
              <w:left w:val="single" w:color="000000" w:sz="4" w:space="0"/>
              <w:bottom w:val="nil"/>
              <w:right w:val="single" w:color="000000" w:sz="4" w:space="0"/>
            </w:tcBorders>
            <w:shd w:val="clear" w:color="auto" w:fill="auto"/>
            <w:vAlign w:val="top"/>
          </w:tcPr>
          <w:p>
            <w:pPr>
              <w:keepNext w:val="0"/>
              <w:keepLines w:val="0"/>
              <w:widowControl/>
              <w:suppressLineNumbers w:val="0"/>
              <w:jc w:val="left"/>
              <w:textAlignment w:val="top"/>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文化长廊</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文化长廊北墙发展历程立体字</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200mm*200mm*6字</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5mm亚克力，高精uv雕刻粘贴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文化长廊北墙发展历程墙面粘贴背胶</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车贴喷绘</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文化长廊北墙发展历程文化墙 </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320mm*430mm*19</w:t>
            </w: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8mm高密pvc、3mm亚克力、uv雕刻粘贴</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文化长廊南墙玻璃粘贴背胶</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18.6</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车贴喷绘</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文化长廊南墙制度展板</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450mm*700mm*12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3.78</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10mm高密pvc，高精户外uv，高光面漆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文化长廊东墙不忘初心、牢记使命</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1900mm*1500mm、500mm*1900mm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文化长廊东墙不忘初心、牢记使命墙面红色背胶</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2.85</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车贴喷绘</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文化长廊东墙不忘初心、牢记使命、立体发光党徽</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400mm*400mm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5mm亚克力uv、水晶字雕刻</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文化长廊东墙（不忘初心、牢记使命）</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10高密PVC 高精户外UV，异形雕刻粘贴+立体字</w:t>
            </w:r>
          </w:p>
        </w:tc>
      </w:tr>
      <w:tr>
        <w:tblPrEx>
          <w:shd w:val="clear" w:color="auto" w:fill="auto"/>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5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党群活动室门牌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130mm*340mm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3mm亚克力、uv雕刻粘贴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其他办公室门牌 </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130mm*340mm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3mm亚克力、uv雕刻粘贴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民俗文化展览馆复古门牌</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  600mm*1400mm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5mm亚克力uv、水晶字雕刻</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党务公开栏文化墙基层底板、和平鸽装饰</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1200mm*2200mm</w:t>
            </w: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2.64</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10mm高密pvc，异形雕刻</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党务公开面层文化墙   </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440mm*860mm*4</w:t>
            </w: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3mm亚克力、uv雕刻粘贴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党务公开亚克力A5卡盒</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党务公开立体字、造型</w:t>
            </w:r>
          </w:p>
        </w:tc>
        <w:tc>
          <w:tcPr>
            <w:tcW w:w="1630" w:type="dxa"/>
            <w:tcBorders>
              <w:top w:val="nil"/>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5mm水晶字、双色板，雕刻粘贴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学习心得文化墙、和平鸽装饰 </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1200mm*2200mm</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2.64</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3mm亚克力、uv雕刻粘贴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学习心得亚克力A4卡盒</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1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学习心得立体字、造型</w:t>
            </w:r>
          </w:p>
        </w:tc>
        <w:tc>
          <w:tcPr>
            <w:tcW w:w="1630" w:type="dxa"/>
            <w:tcBorders>
              <w:top w:val="nil"/>
              <w:left w:val="single" w:color="000000" w:sz="4" w:space="0"/>
              <w:bottom w:val="single" w:color="auto"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10mm高密pvc，高精户外uv</w:t>
            </w:r>
          </w:p>
        </w:tc>
      </w:tr>
      <w:tr>
        <w:tblPrEx>
          <w:tblCellMar>
            <w:top w:w="0" w:type="dxa"/>
            <w:left w:w="108" w:type="dxa"/>
            <w:bottom w:w="0" w:type="dxa"/>
            <w:right w:w="108" w:type="dxa"/>
          </w:tblCellMar>
        </w:tblPrEx>
        <w:trPr>
          <w:trHeight w:val="825" w:hRule="atLeast"/>
        </w:trPr>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党员风采文化墙 </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1400mm*1500mm、</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300mm*1300mm</w:t>
            </w: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5.82</w:t>
            </w:r>
          </w:p>
        </w:tc>
        <w:tc>
          <w:tcPr>
            <w:tcW w:w="27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5mm亚克力，高精uv雕刻粘贴</w:t>
            </w:r>
          </w:p>
        </w:tc>
      </w:tr>
      <w:tr>
        <w:tblPrEx>
          <w:tblCellMar>
            <w:top w:w="0" w:type="dxa"/>
            <w:left w:w="108" w:type="dxa"/>
            <w:bottom w:w="0" w:type="dxa"/>
            <w:right w:w="108" w:type="dxa"/>
          </w:tblCellMar>
        </w:tblPrEx>
        <w:trPr>
          <w:trHeight w:val="499" w:hRule="atLeast"/>
        </w:trPr>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党员风采雕刻异形文化墙红色装饰线条</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w:t>
            </w:r>
          </w:p>
        </w:tc>
        <w:tc>
          <w:tcPr>
            <w:tcW w:w="27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3mm纯红亚克力雕刻粘贴</w:t>
            </w:r>
          </w:p>
        </w:tc>
      </w:tr>
      <w:tr>
        <w:tblPrEx>
          <w:tblCellMar>
            <w:top w:w="0" w:type="dxa"/>
            <w:left w:w="108" w:type="dxa"/>
            <w:bottom w:w="0" w:type="dxa"/>
            <w:right w:w="108" w:type="dxa"/>
          </w:tblCellMar>
        </w:tblPrEx>
        <w:trPr>
          <w:trHeight w:val="499" w:hRule="atLeast"/>
        </w:trPr>
        <w:tc>
          <w:tcPr>
            <w:tcW w:w="6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党员风采墙面粘贴背胶</w:t>
            </w:r>
          </w:p>
        </w:tc>
        <w:tc>
          <w:tcPr>
            <w:tcW w:w="163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4.81</w:t>
            </w:r>
          </w:p>
        </w:tc>
        <w:tc>
          <w:tcPr>
            <w:tcW w:w="277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车贴喷绘</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雕刻党旗亚克力卡盒  </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100mm*120mm</w:t>
            </w: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160</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2mm亚克力雕刻粘贴</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党员风采</w:t>
            </w:r>
          </w:p>
        </w:tc>
        <w:tc>
          <w:tcPr>
            <w:tcW w:w="1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200mm*200mm  25字</w:t>
            </w:r>
          </w:p>
        </w:tc>
        <w:tc>
          <w:tcPr>
            <w:tcW w:w="1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10mm高密PVC 高精户外UV，异形雕刻粘贴+立体字</w:t>
            </w:r>
          </w:p>
        </w:tc>
      </w:tr>
      <w:tr>
        <w:tblPrEx>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四</w:t>
            </w:r>
          </w:p>
        </w:tc>
        <w:tc>
          <w:tcPr>
            <w:tcW w:w="845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隔墙拆除</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石膏板隔墙</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含垃圾外运</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墙面粉刷</w:t>
            </w:r>
          </w:p>
        </w:tc>
        <w:tc>
          <w:tcPr>
            <w:tcW w:w="1630" w:type="dxa"/>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140</w:t>
            </w:r>
          </w:p>
        </w:tc>
        <w:tc>
          <w:tcPr>
            <w:tcW w:w="2770" w:type="dxa"/>
            <w:tcBorders>
              <w:top w:val="single" w:color="000000" w:sz="4" w:space="0"/>
              <w:left w:val="single" w:color="000000" w:sz="4" w:space="0"/>
              <w:bottom w:val="nil"/>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办公桌椅</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70" w:type="dxa"/>
        <w:tblInd w:w="98" w:type="dxa"/>
        <w:shd w:val="clear" w:color="auto" w:fill="auto"/>
        <w:tblLayout w:type="fixed"/>
        <w:tblCellMar>
          <w:top w:w="0" w:type="dxa"/>
          <w:left w:w="108" w:type="dxa"/>
          <w:bottom w:w="0" w:type="dxa"/>
          <w:right w:w="108" w:type="dxa"/>
        </w:tblCellMar>
      </w:tblPr>
      <w:tblGrid>
        <w:gridCol w:w="590"/>
        <w:gridCol w:w="2240"/>
        <w:gridCol w:w="1600"/>
        <w:gridCol w:w="1010"/>
        <w:gridCol w:w="850"/>
        <w:gridCol w:w="2780"/>
      </w:tblGrid>
      <w:tr>
        <w:tblPrEx>
          <w:shd w:val="clear" w:color="auto" w:fill="auto"/>
          <w:tblCellMar>
            <w:top w:w="0" w:type="dxa"/>
            <w:left w:w="108" w:type="dxa"/>
            <w:bottom w:w="0" w:type="dxa"/>
            <w:right w:w="108" w:type="dxa"/>
          </w:tblCellMar>
        </w:tblPrEx>
        <w:trPr>
          <w:trHeight w:val="300" w:hRule="atLeast"/>
        </w:trPr>
        <w:tc>
          <w:tcPr>
            <w:tcW w:w="907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铺尚社区党建环境建设提升</w:t>
            </w:r>
          </w:p>
        </w:tc>
      </w:tr>
      <w:tr>
        <w:tblPrEx>
          <w:shd w:val="clear" w:color="auto" w:fill="auto"/>
          <w:tblCellMar>
            <w:top w:w="0" w:type="dxa"/>
            <w:left w:w="108" w:type="dxa"/>
            <w:bottom w:w="0" w:type="dxa"/>
            <w:right w:w="108" w:type="dxa"/>
          </w:tblCellMar>
        </w:tblPrEx>
        <w:trPr>
          <w:trHeight w:val="315" w:hRule="atLeast"/>
        </w:trPr>
        <w:tc>
          <w:tcPr>
            <w:tcW w:w="907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585" w:hRule="atLeast"/>
        </w:trPr>
        <w:tc>
          <w:tcPr>
            <w:tcW w:w="59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6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8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shd w:val="clear" w:color="auto" w:fill="auto"/>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1+11*0.7m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300" w:hRule="atLeast"/>
        </w:trPr>
        <w:tc>
          <w:tcPr>
            <w:tcW w:w="5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8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1.1*3.5m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3.85</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永远跟党走文化墙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1.6*3.5m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劳动保护文化墙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1.05*3.1m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3.26</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3.5*1.5</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5.25</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1.06*3.5m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3.71</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矛调室文化墙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3.5*1.1m</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3.85</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楼道文化墙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1.5*0.4m*3</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大厅文化墙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5.5*2.5</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13.75</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会议室文化墙</w:t>
            </w:r>
          </w:p>
        </w:tc>
        <w:tc>
          <w:tcPr>
            <w:tcW w:w="1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1.2*0.6m*2</w:t>
            </w:r>
          </w:p>
        </w:tc>
        <w:tc>
          <w:tcPr>
            <w:tcW w:w="10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w:t>
            </w:r>
          </w:p>
        </w:tc>
        <w:tc>
          <w:tcPr>
            <w:tcW w:w="27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3.6*1.5m</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5.4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4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6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0.6*0.8m*20</w:t>
            </w:r>
          </w:p>
        </w:tc>
        <w:tc>
          <w:tcPr>
            <w:tcW w:w="10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9.6</w:t>
            </w:r>
          </w:p>
        </w:tc>
        <w:tc>
          <w:tcPr>
            <w:tcW w:w="27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6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w:t>
            </w:r>
          </w:p>
        </w:tc>
        <w:tc>
          <w:tcPr>
            <w:tcW w:w="10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8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FF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书记办公室党旗国旗</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300" w:hRule="atLeast"/>
        </w:trPr>
        <w:tc>
          <w:tcPr>
            <w:tcW w:w="5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8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2090</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室外粉刷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换门</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97*206</w:t>
            </w:r>
          </w:p>
        </w:tc>
        <w:tc>
          <w:tcPr>
            <w:tcW w:w="10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换门</w:t>
            </w:r>
          </w:p>
        </w:tc>
        <w:tc>
          <w:tcPr>
            <w:tcW w:w="16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146*206</w:t>
            </w:r>
          </w:p>
        </w:tc>
        <w:tc>
          <w:tcPr>
            <w:tcW w:w="10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室内照明更换</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LED吸顶灯安装</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590"/>
        <w:gridCol w:w="2250"/>
        <w:gridCol w:w="1570"/>
        <w:gridCol w:w="1040"/>
        <w:gridCol w:w="860"/>
        <w:gridCol w:w="2740"/>
      </w:tblGrid>
      <w:tr>
        <w:tblPrEx>
          <w:shd w:val="clear" w:color="auto" w:fill="auto"/>
          <w:tblCellMar>
            <w:top w:w="0" w:type="dxa"/>
            <w:left w:w="108" w:type="dxa"/>
            <w:bottom w:w="0" w:type="dxa"/>
            <w:right w:w="108" w:type="dxa"/>
          </w:tblCellMar>
        </w:tblPrEx>
        <w:trPr>
          <w:trHeight w:val="300" w:hRule="atLeast"/>
        </w:trPr>
        <w:tc>
          <w:tcPr>
            <w:tcW w:w="905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双水磨社区党建环境建设提升</w:t>
            </w:r>
          </w:p>
        </w:tc>
      </w:tr>
      <w:tr>
        <w:tblPrEx>
          <w:shd w:val="clear" w:color="auto" w:fill="auto"/>
          <w:tblCellMar>
            <w:top w:w="0" w:type="dxa"/>
            <w:left w:w="108" w:type="dxa"/>
            <w:bottom w:w="0" w:type="dxa"/>
            <w:right w:w="108" w:type="dxa"/>
          </w:tblCellMar>
        </w:tblPrEx>
        <w:trPr>
          <w:trHeight w:val="315" w:hRule="atLeast"/>
        </w:trPr>
        <w:tc>
          <w:tcPr>
            <w:tcW w:w="905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705" w:hRule="atLeast"/>
        </w:trPr>
        <w:tc>
          <w:tcPr>
            <w:tcW w:w="59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7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6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4.9×2.7m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5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6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新时代文化墙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2.9*1m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4.5*1.3m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5.85</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核心价值观文化墙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调解室文化墙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3*0.7m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五个过硬文化墙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3.2*1.2m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孝道文化墙</w:t>
            </w:r>
          </w:p>
        </w:tc>
        <w:tc>
          <w:tcPr>
            <w:tcW w:w="157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2.9*1.1m</w:t>
            </w:r>
          </w:p>
        </w:tc>
        <w:tc>
          <w:tcPr>
            <w:tcW w:w="10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3.19</w:t>
            </w:r>
          </w:p>
        </w:tc>
        <w:tc>
          <w:tcPr>
            <w:tcW w:w="27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中国梦文化墙</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5*1.6m</w:t>
            </w:r>
          </w:p>
        </w:tc>
        <w:tc>
          <w:tcPr>
            <w:tcW w:w="10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图书室文化墙</w:t>
            </w:r>
          </w:p>
        </w:tc>
        <w:tc>
          <w:tcPr>
            <w:tcW w:w="157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4*1.5m</w:t>
            </w:r>
          </w:p>
        </w:tc>
        <w:tc>
          <w:tcPr>
            <w:tcW w:w="10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3.3*1m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五心党员文化墙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4.7*1.4m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6.58</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7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5.3*1.5m</w:t>
            </w:r>
          </w:p>
        </w:tc>
        <w:tc>
          <w:tcPr>
            <w:tcW w:w="10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7.95</w:t>
            </w:r>
          </w:p>
        </w:tc>
        <w:tc>
          <w:tcPr>
            <w:tcW w:w="2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指引牌</w:t>
            </w:r>
          </w:p>
        </w:tc>
        <w:tc>
          <w:tcPr>
            <w:tcW w:w="157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0.95*1.2m</w:t>
            </w:r>
          </w:p>
        </w:tc>
        <w:tc>
          <w:tcPr>
            <w:tcW w:w="10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1.14</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18mm高密PVC高精户外UV，大字PVC字，异形雕刻粘贴</w:t>
            </w:r>
          </w:p>
        </w:tc>
      </w:tr>
      <w:tr>
        <w:tblPrEx>
          <w:tblCellMar>
            <w:top w:w="0" w:type="dxa"/>
            <w:left w:w="108" w:type="dxa"/>
            <w:bottom w:w="0" w:type="dxa"/>
            <w:right w:w="108" w:type="dxa"/>
          </w:tblCellMar>
        </w:tblPrEx>
        <w:trPr>
          <w:trHeight w:val="499" w:hRule="atLeast"/>
        </w:trPr>
        <w:tc>
          <w:tcPr>
            <w:tcW w:w="5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5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7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0.6*0.8*14</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6.72</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22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冷压板覆膜，边框可开启银色型材边框，加33个盒子</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22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门头字</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0.3m*8+0.13m*19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15+3水晶字</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2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单红LED屏</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3.93*1.71m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6.72</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P10</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书记办公室党旗+水晶字</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不忘初心、牢记使命</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0.25m*8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15+3水晶字</w:t>
            </w:r>
          </w:p>
        </w:tc>
      </w:tr>
      <w:tr>
        <w:tblPrEx>
          <w:tblCellMar>
            <w:top w:w="0" w:type="dxa"/>
            <w:left w:w="108" w:type="dxa"/>
            <w:bottom w:w="0" w:type="dxa"/>
            <w:right w:w="108" w:type="dxa"/>
          </w:tblCellMar>
        </w:tblPrEx>
        <w:trPr>
          <w:trHeight w:val="300" w:hRule="atLeast"/>
        </w:trPr>
        <w:tc>
          <w:tcPr>
            <w:tcW w:w="5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6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办公用品</w:t>
            </w:r>
          </w:p>
        </w:tc>
      </w:tr>
      <w:tr>
        <w:tblPrEx>
          <w:shd w:val="clear" w:color="auto" w:fill="auto"/>
          <w:tblCellMar>
            <w:top w:w="0" w:type="dxa"/>
            <w:left w:w="108" w:type="dxa"/>
            <w:bottom w:w="0" w:type="dxa"/>
            <w:right w:w="108" w:type="dxa"/>
          </w:tblCellMar>
        </w:tblPrEx>
        <w:trPr>
          <w:trHeight w:val="499"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办公座椅</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厂家定制</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台式机</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笔记本</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打印机</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档案柜</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钢制</w:t>
            </w:r>
          </w:p>
        </w:tc>
      </w:tr>
      <w:tr>
        <w:tblPrEx>
          <w:tblCellMar>
            <w:top w:w="0" w:type="dxa"/>
            <w:left w:w="108" w:type="dxa"/>
            <w:bottom w:w="0" w:type="dxa"/>
            <w:right w:w="108" w:type="dxa"/>
          </w:tblCellMar>
        </w:tblPrEx>
        <w:trPr>
          <w:trHeight w:val="499" w:hRule="atLeast"/>
        </w:trPr>
        <w:tc>
          <w:tcPr>
            <w:tcW w:w="5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会议桌 </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双人位</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1200*400*750</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40" w:type="dxa"/>
        <w:tblInd w:w="98" w:type="dxa"/>
        <w:shd w:val="clear" w:color="auto" w:fill="auto"/>
        <w:tblLayout w:type="fixed"/>
        <w:tblCellMar>
          <w:top w:w="0" w:type="dxa"/>
          <w:left w:w="108" w:type="dxa"/>
          <w:bottom w:w="0" w:type="dxa"/>
          <w:right w:w="108" w:type="dxa"/>
        </w:tblCellMar>
      </w:tblPr>
      <w:tblGrid>
        <w:gridCol w:w="610"/>
        <w:gridCol w:w="2230"/>
        <w:gridCol w:w="1570"/>
        <w:gridCol w:w="1040"/>
        <w:gridCol w:w="840"/>
        <w:gridCol w:w="2750"/>
      </w:tblGrid>
      <w:tr>
        <w:tblPrEx>
          <w:tblCellMar>
            <w:top w:w="0" w:type="dxa"/>
            <w:left w:w="108" w:type="dxa"/>
            <w:bottom w:w="0" w:type="dxa"/>
            <w:right w:w="108" w:type="dxa"/>
          </w:tblCellMar>
        </w:tblPrEx>
        <w:trPr>
          <w:trHeight w:val="300" w:hRule="atLeast"/>
        </w:trPr>
        <w:tc>
          <w:tcPr>
            <w:tcW w:w="904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西付社区党建环境建设提升</w:t>
            </w:r>
          </w:p>
        </w:tc>
      </w:tr>
      <w:tr>
        <w:tblPrEx>
          <w:tblCellMar>
            <w:top w:w="0" w:type="dxa"/>
            <w:left w:w="108" w:type="dxa"/>
            <w:bottom w:w="0" w:type="dxa"/>
            <w:right w:w="108" w:type="dxa"/>
          </w:tblCellMar>
        </w:tblPrEx>
        <w:trPr>
          <w:trHeight w:val="315" w:hRule="atLeast"/>
        </w:trPr>
        <w:tc>
          <w:tcPr>
            <w:tcW w:w="904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555" w:hRule="atLeast"/>
        </w:trPr>
        <w:tc>
          <w:tcPr>
            <w:tcW w:w="6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7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61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1+10*0.9m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61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61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61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不锈钢牌子</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0.4*0.6m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shd w:val="clear" w:color="auto" w:fill="auto"/>
          <w:tblCellMar>
            <w:top w:w="0" w:type="dxa"/>
            <w:left w:w="108" w:type="dxa"/>
            <w:bottom w:w="0" w:type="dxa"/>
            <w:right w:w="108" w:type="dxa"/>
          </w:tblCellMar>
        </w:tblPrEx>
        <w:trPr>
          <w:trHeight w:val="615"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5*1.3m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6.5</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通道文化墙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0.4*1m*5</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红船精神文化墙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1.9*0.8m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1.8*1.4m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活动板房文化墙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4*1.4</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3.2*2/3.9*2m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四个自信文化墙</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4*1.8m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调解室文化墙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3.3*1.2m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指引牌</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3.3*0.4m*2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0.6*0.8m*13</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6.24</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冷压板覆膜，边框可开启银色型材边框。面板有机板</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展板(室外)</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1.2*2.4m*14</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40.32</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1.2*1.5m</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冷压板覆膜，边框可开启银色型材边框。加15个插盒</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7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0.8*1.2m*2</w:t>
            </w:r>
          </w:p>
        </w:tc>
        <w:tc>
          <w:tcPr>
            <w:tcW w:w="10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1.92</w:t>
            </w:r>
          </w:p>
        </w:tc>
        <w:tc>
          <w:tcPr>
            <w:tcW w:w="275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30" w:type="dxa"/>
            <w:gridSpan w:val="5"/>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1002"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栏杆封包</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40*40*3mm方钢骨架，水泥压力板封面，防水腻子2道，外墙乳胶漆2遍。</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混凝土地面维修</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拆除200厚混凝土基层，C25混凝土恢复，垃圾外运。</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活动板房外墙粉刷</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清除底层，腻子2遍，面漆2遍。</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安装栏杆雨棚</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53</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40*40*1.2mm不锈钢骨架，12厚阳光板封顶。</w:t>
            </w:r>
          </w:p>
        </w:tc>
      </w:tr>
      <w:tr>
        <w:tblPrEx>
          <w:shd w:val="clear" w:color="auto" w:fill="auto"/>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会议桌</w:t>
            </w:r>
          </w:p>
        </w:tc>
        <w:tc>
          <w:tcPr>
            <w:tcW w:w="15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双人位</w:t>
            </w:r>
          </w:p>
        </w:tc>
        <w:tc>
          <w:tcPr>
            <w:tcW w:w="10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7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1200*400*750</w:t>
            </w:r>
          </w:p>
        </w:tc>
      </w:tr>
      <w:tr>
        <w:tblPrEx>
          <w:tblCellMar>
            <w:top w:w="0" w:type="dxa"/>
            <w:left w:w="108" w:type="dxa"/>
            <w:bottom w:w="0" w:type="dxa"/>
            <w:right w:w="108" w:type="dxa"/>
          </w:tblCellMar>
        </w:tblPrEx>
        <w:trPr>
          <w:trHeight w:val="499" w:hRule="atLeast"/>
        </w:trPr>
        <w:tc>
          <w:tcPr>
            <w:tcW w:w="61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570"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170</w:t>
            </w:r>
          </w:p>
        </w:tc>
        <w:tc>
          <w:tcPr>
            <w:tcW w:w="2750" w:type="dxa"/>
            <w:tcBorders>
              <w:top w:val="single" w:color="auto" w:sz="4" w:space="0"/>
              <w:left w:val="single" w:color="000000" w:sz="4" w:space="0"/>
              <w:bottom w:val="single" w:color="auto" w:sz="4" w:space="0"/>
              <w:right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pStyle w:val="22"/>
        <w:rPr>
          <w:rFonts w:hint="eastAsia"/>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610"/>
        <w:gridCol w:w="2230"/>
        <w:gridCol w:w="1503"/>
        <w:gridCol w:w="1087"/>
        <w:gridCol w:w="880"/>
        <w:gridCol w:w="2740"/>
      </w:tblGrid>
      <w:tr>
        <w:tblPrEx>
          <w:tblCellMar>
            <w:top w:w="0" w:type="dxa"/>
            <w:left w:w="108" w:type="dxa"/>
            <w:bottom w:w="0" w:type="dxa"/>
            <w:right w:w="108" w:type="dxa"/>
          </w:tblCellMar>
        </w:tblPrEx>
        <w:trPr>
          <w:trHeight w:val="240" w:hRule="atLeast"/>
        </w:trPr>
        <w:tc>
          <w:tcPr>
            <w:tcW w:w="905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西辛庄社区党建环境建设提升</w:t>
            </w:r>
          </w:p>
        </w:tc>
      </w:tr>
      <w:tr>
        <w:tblPrEx>
          <w:tblCellMar>
            <w:top w:w="0" w:type="dxa"/>
            <w:left w:w="108" w:type="dxa"/>
            <w:bottom w:w="0" w:type="dxa"/>
            <w:right w:w="108" w:type="dxa"/>
          </w:tblCellMar>
        </w:tblPrEx>
        <w:trPr>
          <w:trHeight w:val="315" w:hRule="atLeast"/>
        </w:trPr>
        <w:tc>
          <w:tcPr>
            <w:tcW w:w="905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720" w:hRule="atLeast"/>
        </w:trPr>
        <w:tc>
          <w:tcPr>
            <w:tcW w:w="6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03"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87"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8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shd w:val="clear" w:color="auto" w:fill="auto"/>
          <w:tblCellMar>
            <w:top w:w="0" w:type="dxa"/>
            <w:left w:w="108" w:type="dxa"/>
            <w:bottom w:w="0" w:type="dxa"/>
            <w:right w:w="108" w:type="dxa"/>
          </w:tblCellMar>
        </w:tblPrEx>
        <w:trPr>
          <w:trHeight w:val="30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720"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服务中心门头</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1.9*1*0.2m</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钢架+龙骨+扣板+20mmPVC字</w:t>
            </w:r>
          </w:p>
        </w:tc>
      </w:tr>
      <w:tr>
        <w:tblPrEx>
          <w:tblCellMar>
            <w:top w:w="0" w:type="dxa"/>
            <w:left w:w="108" w:type="dxa"/>
            <w:bottom w:w="0" w:type="dxa"/>
            <w:right w:w="108" w:type="dxa"/>
          </w:tblCellMar>
        </w:tblPrEx>
        <w:trPr>
          <w:trHeight w:val="300" w:hRule="atLeast"/>
        </w:trPr>
        <w:tc>
          <w:tcPr>
            <w:tcW w:w="6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4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2*0.9m</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永远跟党走文化墙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1.5*0.8m</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2.6*0.9m</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2.34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巾帼心向党文化墙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2.8*0.9</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3.5*2.15</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7.52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权利义务文化墙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0.6*0.9*4</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2.16</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阅读室文化墙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2*0.6m</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四个意识文化墙</w:t>
            </w:r>
          </w:p>
        </w:tc>
        <w:tc>
          <w:tcPr>
            <w:tcW w:w="150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2.1*0.9</w:t>
            </w:r>
          </w:p>
        </w:tc>
        <w:tc>
          <w:tcPr>
            <w:tcW w:w="108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1.89</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6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0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w:t>
            </w:r>
          </w:p>
        </w:tc>
        <w:tc>
          <w:tcPr>
            <w:tcW w:w="108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0.48</w:t>
            </w:r>
          </w:p>
        </w:tc>
        <w:tc>
          <w:tcPr>
            <w:tcW w:w="2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1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0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8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3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03"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0.49*1.5m*4</w:t>
            </w:r>
          </w:p>
        </w:tc>
        <w:tc>
          <w:tcPr>
            <w:tcW w:w="108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2.94</w:t>
            </w:r>
          </w:p>
        </w:tc>
        <w:tc>
          <w:tcPr>
            <w:tcW w:w="274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499" w:hRule="atLeast"/>
        </w:trPr>
        <w:tc>
          <w:tcPr>
            <w:tcW w:w="6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10" w:type="dxa"/>
            <w:tcBorders>
              <w:top w:val="single" w:color="000000" w:sz="8"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40" w:type="dxa"/>
            <w:gridSpan w:val="5"/>
            <w:tcBorders>
              <w:top w:val="single" w:color="000000" w:sz="8"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810" w:hRule="atLeast"/>
        </w:trPr>
        <w:tc>
          <w:tcPr>
            <w:tcW w:w="61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3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503"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8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8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492</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50" w:type="dxa"/>
        <w:tblInd w:w="98" w:type="dxa"/>
        <w:shd w:val="clear" w:color="auto" w:fill="auto"/>
        <w:tblLayout w:type="fixed"/>
        <w:tblCellMar>
          <w:top w:w="0" w:type="dxa"/>
          <w:left w:w="108" w:type="dxa"/>
          <w:bottom w:w="0" w:type="dxa"/>
          <w:right w:w="108" w:type="dxa"/>
        </w:tblCellMar>
      </w:tblPr>
      <w:tblGrid>
        <w:gridCol w:w="600"/>
        <w:gridCol w:w="2250"/>
        <w:gridCol w:w="1500"/>
        <w:gridCol w:w="1100"/>
        <w:gridCol w:w="860"/>
        <w:gridCol w:w="2740"/>
      </w:tblGrid>
      <w:tr>
        <w:tblPrEx>
          <w:tblCellMar>
            <w:top w:w="0" w:type="dxa"/>
            <w:left w:w="108" w:type="dxa"/>
            <w:bottom w:w="0" w:type="dxa"/>
            <w:right w:w="108" w:type="dxa"/>
          </w:tblCellMar>
        </w:tblPrEx>
        <w:trPr>
          <w:trHeight w:val="300" w:hRule="atLeast"/>
        </w:trPr>
        <w:tc>
          <w:tcPr>
            <w:tcW w:w="905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余家庄社区党建环境建设提升</w:t>
            </w:r>
          </w:p>
        </w:tc>
      </w:tr>
      <w:tr>
        <w:tblPrEx>
          <w:shd w:val="clear" w:color="auto" w:fill="auto"/>
          <w:tblCellMar>
            <w:top w:w="0" w:type="dxa"/>
            <w:left w:w="108" w:type="dxa"/>
            <w:bottom w:w="0" w:type="dxa"/>
            <w:right w:w="108" w:type="dxa"/>
          </w:tblCellMar>
        </w:tblPrEx>
        <w:trPr>
          <w:trHeight w:val="315" w:hRule="atLeast"/>
        </w:trPr>
        <w:tc>
          <w:tcPr>
            <w:tcW w:w="905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5" w:hRule="atLeast"/>
        </w:trPr>
        <w:tc>
          <w:tcPr>
            <w:tcW w:w="6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1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6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shd w:val="clear" w:color="auto" w:fill="auto"/>
          <w:tblCellMar>
            <w:top w:w="0" w:type="dxa"/>
            <w:left w:w="108" w:type="dxa"/>
            <w:bottom w:w="0" w:type="dxa"/>
            <w:right w:w="108" w:type="dxa"/>
          </w:tblCellMar>
        </w:tblPrEx>
        <w:trPr>
          <w:trHeight w:val="3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楼体字</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镀锌板、激光切割、焊接、打磨表面汽车漆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LED单红屏</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0.41*2.04m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0.84</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P10</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22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c>
          <w:tcPr>
            <w:tcW w:w="6200" w:type="dxa"/>
            <w:gridSpan w:val="4"/>
            <w:tcBorders>
              <w:top w:val="single" w:color="000000" w:sz="8"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b/>
                <w:bCs/>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不忘初心文化墙</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3.4*1.6m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5.44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高精户外UV，异形雕刻粘贴+立体字(一楼入门）</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3.8*1.1m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4.18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业务大厅文化墙</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1.5*5.5m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8.25</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二楼会议室党旗</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1.44*0.96m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15mmPVC+3mm亚克力UV雕刻</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二楼礼堂会议旗</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2#红旗</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2个底座，单个2米长、10面2#红旗、10个大穗子、10个枪头</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二楼不忘初心水晶字</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0.22m*8个</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15mm亚克力水晶字+3mm的金色双色板雕刻、粘贴</w:t>
            </w:r>
          </w:p>
        </w:tc>
      </w:tr>
      <w:tr>
        <w:tblPrEx>
          <w:shd w:val="clear" w:color="auto" w:fill="auto"/>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三楼不忘初心水晶字</w:t>
            </w:r>
          </w:p>
        </w:tc>
        <w:tc>
          <w:tcPr>
            <w:tcW w:w="15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0.27m*8个</w:t>
            </w:r>
          </w:p>
        </w:tc>
        <w:tc>
          <w:tcPr>
            <w:tcW w:w="11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15mm亚克力水晶字+3mm的金色双色板雕刻、粘贴</w:t>
            </w:r>
          </w:p>
        </w:tc>
      </w:tr>
      <w:tr>
        <w:tblPrEx>
          <w:tblCellMar>
            <w:top w:w="0" w:type="dxa"/>
            <w:left w:w="108" w:type="dxa"/>
            <w:bottom w:w="0" w:type="dxa"/>
            <w:right w:w="108" w:type="dxa"/>
          </w:tblCellMar>
        </w:tblPrEx>
        <w:trPr>
          <w:trHeight w:val="499" w:hRule="atLeast"/>
        </w:trPr>
        <w:tc>
          <w:tcPr>
            <w:tcW w:w="60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三楼会议室党旗</w:t>
            </w:r>
          </w:p>
        </w:tc>
        <w:tc>
          <w:tcPr>
            <w:tcW w:w="15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1.2*1.8m</w:t>
            </w:r>
          </w:p>
        </w:tc>
        <w:tc>
          <w:tcPr>
            <w:tcW w:w="11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2.16</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15mmPVC+3mm亚克力UV雕刻</w:t>
            </w:r>
          </w:p>
        </w:tc>
      </w:tr>
      <w:tr>
        <w:tblPrEx>
          <w:tblCellMar>
            <w:top w:w="0" w:type="dxa"/>
            <w:left w:w="108" w:type="dxa"/>
            <w:bottom w:w="0" w:type="dxa"/>
            <w:right w:w="108" w:type="dxa"/>
          </w:tblCellMar>
        </w:tblPrEx>
        <w:trPr>
          <w:trHeight w:val="499" w:hRule="atLeast"/>
        </w:trPr>
        <w:tc>
          <w:tcPr>
            <w:tcW w:w="6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三楼礼堂会议旗</w:t>
            </w:r>
          </w:p>
        </w:tc>
        <w:tc>
          <w:tcPr>
            <w:tcW w:w="15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2#红旗</w:t>
            </w:r>
          </w:p>
        </w:tc>
        <w:tc>
          <w:tcPr>
            <w:tcW w:w="11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2个底座，单个2米长、10面2#红旗、10个大穗子、10个枪头</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艺术灯</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1.2*1.2m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亚克力面板，内装高亮LED，红色型材围边</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党旗吸顶艺术灯</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1.6*2.4m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6公分的型材边条，软膜UV画面，带内置静音电源，高亮LED光源</w:t>
            </w: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投影幕布</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100寸遥控2*1.5m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副</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投影仪</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75寸液晶电视</w:t>
            </w:r>
          </w:p>
        </w:tc>
        <w:tc>
          <w:tcPr>
            <w:tcW w:w="15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75寸</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50" w:type="dxa"/>
            <w:gridSpan w:val="5"/>
            <w:tcBorders>
              <w:top w:val="single" w:color="000000" w:sz="8"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82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三楼小会议室</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封窗户1.6*1.75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双面封包，40*40*3mm方管框架，内填充隔热棉，封包采用防水水泥压力板，表面乳胶漆处理。</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卫生间</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3.9*3.3米</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更换4蹲位、一套小便斗及感应器、增加洗手池一套、拖布池一套</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卫生间格挡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一楼瓷砖</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含垃圾外运</w:t>
            </w:r>
          </w:p>
        </w:tc>
      </w:tr>
      <w:tr>
        <w:tblPrEx>
          <w:tblCellMar>
            <w:top w:w="0" w:type="dxa"/>
            <w:left w:w="108" w:type="dxa"/>
            <w:bottom w:w="0" w:type="dxa"/>
            <w:right w:w="108" w:type="dxa"/>
          </w:tblCellMar>
        </w:tblPrEx>
        <w:trPr>
          <w:trHeight w:val="3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百叶窗</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175*160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厂家定制</w:t>
            </w:r>
          </w:p>
        </w:tc>
      </w:tr>
      <w:tr>
        <w:tblPrEx>
          <w:shd w:val="clear" w:color="auto" w:fill="auto"/>
          <w:tblCellMar>
            <w:top w:w="0" w:type="dxa"/>
            <w:left w:w="108" w:type="dxa"/>
            <w:bottom w:w="0" w:type="dxa"/>
            <w:right w:w="108" w:type="dxa"/>
          </w:tblCellMar>
        </w:tblPrEx>
        <w:trPr>
          <w:trHeight w:val="10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装饰墙板</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木工板基层，木饰面板饰面</w:t>
            </w:r>
          </w:p>
        </w:tc>
      </w:tr>
      <w:tr>
        <w:tblPrEx>
          <w:tblCellMar>
            <w:top w:w="0" w:type="dxa"/>
            <w:left w:w="108" w:type="dxa"/>
            <w:bottom w:w="0" w:type="dxa"/>
            <w:right w:w="108" w:type="dxa"/>
          </w:tblCellMar>
        </w:tblPrEx>
        <w:trPr>
          <w:trHeight w:val="100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电视墙</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1.6*2.5米*2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轻钢龙骨框架，双面木工板基层，正面木饰板。背面石膏板封面，两遍腻子找平，之后乳胶漆刷白。射灯，增加led光源5个，布线20米</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一楼入口挑檐防水</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清理基层，重新制作防水</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单开门</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97*206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拆除旧门，安装防盗门及套，含五金、锁具。(黑胡桃色）</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双开门</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146*206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拆除旧门，安装防盗门及套，含五金、锁具。（黑胡桃色）</w:t>
            </w: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异型吊顶</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93</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一楼23平米+二楼28平米+三楼42平米</w:t>
            </w: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更换LED照明</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499" w:hRule="atLeast"/>
        </w:trPr>
        <w:tc>
          <w:tcPr>
            <w:tcW w:w="60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2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笔记本电脑</w:t>
            </w:r>
          </w:p>
        </w:tc>
        <w:tc>
          <w:tcPr>
            <w:tcW w:w="150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40"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2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打印机</w:t>
            </w:r>
          </w:p>
        </w:tc>
        <w:tc>
          <w:tcPr>
            <w:tcW w:w="15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彩色</w:t>
            </w:r>
          </w:p>
        </w:tc>
        <w:tc>
          <w:tcPr>
            <w:tcW w:w="11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6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499" w:hRule="atLeast"/>
        </w:trPr>
        <w:tc>
          <w:tcPr>
            <w:tcW w:w="600"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225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综合业务办公台</w:t>
            </w:r>
          </w:p>
        </w:tc>
        <w:tc>
          <w:tcPr>
            <w:tcW w:w="1500"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6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740" w:type="dxa"/>
            <w:tcBorders>
              <w:top w:val="single" w:color="auto" w:sz="4" w:space="0"/>
              <w:left w:val="single" w:color="000000" w:sz="4" w:space="0"/>
              <w:bottom w:val="single" w:color="auto" w:sz="4" w:space="0"/>
              <w:right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40" w:type="dxa"/>
        <w:tblInd w:w="98" w:type="dxa"/>
        <w:shd w:val="clear" w:color="auto" w:fill="auto"/>
        <w:tblLayout w:type="fixed"/>
        <w:tblCellMar>
          <w:top w:w="0" w:type="dxa"/>
          <w:left w:w="108" w:type="dxa"/>
          <w:bottom w:w="0" w:type="dxa"/>
          <w:right w:w="108" w:type="dxa"/>
        </w:tblCellMar>
      </w:tblPr>
      <w:tblGrid>
        <w:gridCol w:w="640"/>
        <w:gridCol w:w="2210"/>
        <w:gridCol w:w="1510"/>
        <w:gridCol w:w="1100"/>
        <w:gridCol w:w="830"/>
        <w:gridCol w:w="2750"/>
      </w:tblGrid>
      <w:tr>
        <w:tblPrEx>
          <w:shd w:val="clear" w:color="auto" w:fill="auto"/>
          <w:tblCellMar>
            <w:top w:w="0" w:type="dxa"/>
            <w:left w:w="108" w:type="dxa"/>
            <w:bottom w:w="0" w:type="dxa"/>
            <w:right w:w="108" w:type="dxa"/>
          </w:tblCellMar>
        </w:tblPrEx>
        <w:trPr>
          <w:trHeight w:val="300" w:hRule="atLeast"/>
        </w:trPr>
        <w:tc>
          <w:tcPr>
            <w:tcW w:w="904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袁旗寨社区党建环境建设提升</w:t>
            </w:r>
          </w:p>
        </w:tc>
      </w:tr>
      <w:tr>
        <w:tblPrEx>
          <w:shd w:val="clear" w:color="auto" w:fill="auto"/>
          <w:tblCellMar>
            <w:top w:w="0" w:type="dxa"/>
            <w:left w:w="108" w:type="dxa"/>
            <w:bottom w:w="0" w:type="dxa"/>
            <w:right w:w="108" w:type="dxa"/>
          </w:tblCellMar>
        </w:tblPrEx>
        <w:trPr>
          <w:trHeight w:val="315" w:hRule="atLeast"/>
        </w:trPr>
        <w:tc>
          <w:tcPr>
            <w:tcW w:w="904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585" w:hRule="atLeast"/>
        </w:trPr>
        <w:tc>
          <w:tcPr>
            <w:tcW w:w="6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1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1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30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shd w:val="clear" w:color="auto" w:fill="auto"/>
        </w:tblPrEx>
        <w:trPr>
          <w:trHeight w:val="495"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CellMar>
            <w:top w:w="0" w:type="dxa"/>
            <w:left w:w="108" w:type="dxa"/>
            <w:bottom w:w="0" w:type="dxa"/>
            <w:right w:w="108" w:type="dxa"/>
          </w:tblCellMar>
        </w:tblPrEx>
        <w:trPr>
          <w:trHeight w:val="495"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0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shd w:val="clear" w:color="auto" w:fill="auto"/>
        </w:tblPrEx>
        <w:trPr>
          <w:trHeight w:val="499"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4*1.5m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rPr>
          <w:trHeight w:val="499"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5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3.2*1.7m/2.3*2</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四有文化墙</w:t>
            </w:r>
          </w:p>
        </w:tc>
        <w:tc>
          <w:tcPr>
            <w:tcW w:w="15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3.4*1m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PrEx>
        <w:trPr>
          <w:trHeight w:val="1002" w:hRule="atLeast"/>
        </w:trPr>
        <w:tc>
          <w:tcPr>
            <w:tcW w:w="6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一楼全彩LED+音响系统</w:t>
            </w:r>
          </w:p>
        </w:tc>
        <w:tc>
          <w:tcPr>
            <w:tcW w:w="151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1.53*2.65m</w:t>
            </w:r>
          </w:p>
        </w:tc>
        <w:tc>
          <w:tcPr>
            <w:tcW w:w="11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P2.0全彩屏、电脑一台、功放一台、音响两个、配电箱一套</w:t>
            </w:r>
          </w:p>
        </w:tc>
      </w:tr>
      <w:tr>
        <w:trPr>
          <w:trHeight w:val="1890"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二楼投影设备</w:t>
            </w:r>
          </w:p>
        </w:tc>
        <w:tc>
          <w:tcPr>
            <w:tcW w:w="15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音响（2只）、功放（1台）、投影仪（1台）、幕布（1副、120寸遥控 2.4M*1.8）、调音台（一台）、无线话筒（1套、无线一拖二手持）音箱线（1卷）、电脑（1台，组装机：独显，I3/4G/1T/19寸）、辅材（1批）</w:t>
            </w:r>
          </w:p>
        </w:tc>
      </w:tr>
      <w:tr>
        <w:tblPrEx>
          <w:tblCellMar>
            <w:top w:w="0" w:type="dxa"/>
            <w:left w:w="108" w:type="dxa"/>
            <w:bottom w:w="0" w:type="dxa"/>
            <w:right w:w="108" w:type="dxa"/>
          </w:tblCellMar>
        </w:tblPrEx>
        <w:trPr>
          <w:trHeight w:val="360" w:hRule="atLeast"/>
        </w:trPr>
        <w:tc>
          <w:tcPr>
            <w:tcW w:w="6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1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1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10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rPr>
          <w:trHeight w:val="360"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1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1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CellMar>
            <w:top w:w="0" w:type="dxa"/>
            <w:left w:w="108" w:type="dxa"/>
            <w:bottom w:w="0" w:type="dxa"/>
            <w:right w:w="108" w:type="dxa"/>
          </w:tblCellMar>
        </w:tblPrEx>
        <w:trPr>
          <w:trHeight w:val="360"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21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1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0.6*0.8m*6</w:t>
            </w:r>
          </w:p>
        </w:tc>
        <w:tc>
          <w:tcPr>
            <w:tcW w:w="11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3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5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rPr>
          <w:trHeight w:val="360" w:hRule="atLeast"/>
        </w:trPr>
        <w:tc>
          <w:tcPr>
            <w:tcW w:w="6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w:t>
            </w:r>
          </w:p>
        </w:tc>
        <w:tc>
          <w:tcPr>
            <w:tcW w:w="84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301"/>
                <w:rFonts w:hint="eastAsia" w:ascii="仿宋" w:hAnsi="仿宋" w:eastAsia="仿宋" w:cs="仿宋"/>
                <w:sz w:val="18"/>
                <w:szCs w:val="18"/>
                <w:lang w:val="en-US" w:eastAsia="zh-CN" w:bidi="ar"/>
              </w:rPr>
              <w:t>木质文件柜</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Style w:val="301"/>
                <w:rFonts w:hint="eastAsia" w:ascii="仿宋" w:hAnsi="仿宋" w:eastAsia="仿宋" w:cs="仿宋"/>
                <w:sz w:val="18"/>
                <w:szCs w:val="18"/>
                <w:lang w:val="en-US" w:eastAsia="zh-CN" w:bidi="ar"/>
              </w:rPr>
              <w:t>1.2*2*0.35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办公桌椅</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新式格挡</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吧台</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shd w:val="clear" w:color="auto" w:fill="auto"/>
        </w:tblPrEx>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rPr>
          <w:trHeight w:val="360" w:hRule="atLeast"/>
        </w:trPr>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会议桌</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双人位</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1200*400*750</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60" w:type="dxa"/>
        <w:tblInd w:w="98" w:type="dxa"/>
        <w:shd w:val="clear" w:color="auto" w:fill="auto"/>
        <w:tblLayout w:type="fixed"/>
        <w:tblCellMar>
          <w:top w:w="0" w:type="dxa"/>
          <w:left w:w="108" w:type="dxa"/>
          <w:bottom w:w="0" w:type="dxa"/>
          <w:right w:w="108" w:type="dxa"/>
        </w:tblCellMar>
      </w:tblPr>
      <w:tblGrid>
        <w:gridCol w:w="630"/>
        <w:gridCol w:w="2200"/>
        <w:gridCol w:w="1530"/>
        <w:gridCol w:w="1090"/>
        <w:gridCol w:w="860"/>
        <w:gridCol w:w="2750"/>
      </w:tblGrid>
      <w:tr>
        <w:tblPrEx>
          <w:tblCellMar>
            <w:top w:w="0" w:type="dxa"/>
            <w:left w:w="108" w:type="dxa"/>
            <w:bottom w:w="0" w:type="dxa"/>
            <w:right w:w="108" w:type="dxa"/>
          </w:tblCellMar>
        </w:tblPrEx>
        <w:trPr>
          <w:trHeight w:val="300" w:hRule="atLeast"/>
        </w:trPr>
        <w:tc>
          <w:tcPr>
            <w:tcW w:w="9060" w:type="dxa"/>
            <w:gridSpan w:val="6"/>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闸口社区党建环境建设提升</w:t>
            </w:r>
          </w:p>
        </w:tc>
      </w:tr>
      <w:tr>
        <w:tblPrEx>
          <w:tblCellMar>
            <w:top w:w="0" w:type="dxa"/>
            <w:left w:w="108" w:type="dxa"/>
            <w:bottom w:w="0" w:type="dxa"/>
            <w:right w:w="108" w:type="dxa"/>
          </w:tblCellMar>
        </w:tblPrEx>
        <w:trPr>
          <w:trHeight w:val="315" w:hRule="atLeast"/>
        </w:trPr>
        <w:tc>
          <w:tcPr>
            <w:tcW w:w="9060" w:type="dxa"/>
            <w:gridSpan w:val="6"/>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540" w:hRule="atLeast"/>
        </w:trPr>
        <w:tc>
          <w:tcPr>
            <w:tcW w:w="6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20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3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9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6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CellMar>
            <w:top w:w="0" w:type="dxa"/>
            <w:left w:w="108" w:type="dxa"/>
            <w:bottom w:w="0" w:type="dxa"/>
            <w:right w:w="108" w:type="dxa"/>
          </w:tblCellMar>
        </w:tblPrEx>
        <w:trPr>
          <w:trHeight w:val="5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CellMar>
            <w:top w:w="0" w:type="dxa"/>
            <w:left w:w="108" w:type="dxa"/>
            <w:bottom w:w="0" w:type="dxa"/>
            <w:right w:w="108" w:type="dxa"/>
          </w:tblCellMar>
        </w:tblPrEx>
        <w:trPr>
          <w:trHeight w:val="49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shd w:val="clear" w:color="auto" w:fill="auto"/>
          <w:tblCellMar>
            <w:top w:w="0" w:type="dxa"/>
            <w:left w:w="108" w:type="dxa"/>
            <w:bottom w:w="0" w:type="dxa"/>
            <w:right w:w="108" w:type="dxa"/>
          </w:tblCellMar>
        </w:tblPrEx>
        <w:trPr>
          <w:trHeight w:val="49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CellMar>
            <w:top w:w="0" w:type="dxa"/>
            <w:left w:w="108" w:type="dxa"/>
            <w:bottom w:w="0" w:type="dxa"/>
            <w:right w:w="108" w:type="dxa"/>
          </w:tblCellMar>
        </w:tblPrEx>
        <w:trPr>
          <w:trHeight w:val="300" w:hRule="atLeast"/>
        </w:trPr>
        <w:tc>
          <w:tcPr>
            <w:tcW w:w="6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shd w:val="clear" w:color="auto" w:fill="auto"/>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5.4*2.3m</w:t>
            </w:r>
          </w:p>
        </w:tc>
        <w:tc>
          <w:tcPr>
            <w:tcW w:w="10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12.42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7.3*1.5m</w:t>
            </w:r>
          </w:p>
        </w:tc>
        <w:tc>
          <w:tcPr>
            <w:tcW w:w="10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10.95</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shd w:val="clear" w:color="auto" w:fill="auto"/>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五心党员文化墙</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3.5*1.2m</w:t>
            </w:r>
          </w:p>
        </w:tc>
        <w:tc>
          <w:tcPr>
            <w:tcW w:w="10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4.56</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2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0.6*0.8*12</w:t>
            </w:r>
          </w:p>
        </w:tc>
        <w:tc>
          <w:tcPr>
            <w:tcW w:w="10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5.76</w:t>
            </w:r>
          </w:p>
        </w:tc>
        <w:tc>
          <w:tcPr>
            <w:tcW w:w="275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冷压板覆膜，边框可开启银色型材边框。面板有机板</w:t>
            </w:r>
          </w:p>
        </w:tc>
      </w:tr>
      <w:tr>
        <w:tblPrEx>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2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3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1.2*2.4m</w:t>
            </w:r>
          </w:p>
        </w:tc>
        <w:tc>
          <w:tcPr>
            <w:tcW w:w="10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2.88</w:t>
            </w:r>
          </w:p>
        </w:tc>
        <w:tc>
          <w:tcPr>
            <w:tcW w:w="2750"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冷压板覆膜，边框可开启银色型材边框。加17个插盒</w:t>
            </w:r>
          </w:p>
        </w:tc>
      </w:tr>
      <w:tr>
        <w:tblPrEx>
          <w:tblCellMar>
            <w:top w:w="0" w:type="dxa"/>
            <w:left w:w="108" w:type="dxa"/>
            <w:bottom w:w="0" w:type="dxa"/>
            <w:right w:w="108" w:type="dxa"/>
          </w:tblCellMar>
        </w:tblPrEx>
        <w:trPr>
          <w:trHeight w:val="499"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CellMar>
            <w:top w:w="0" w:type="dxa"/>
            <w:left w:w="108" w:type="dxa"/>
            <w:bottom w:w="0" w:type="dxa"/>
            <w:right w:w="108" w:type="dxa"/>
          </w:tblCellMar>
        </w:tblPrEx>
        <w:trPr>
          <w:trHeight w:val="300" w:hRule="atLeast"/>
        </w:trPr>
        <w:tc>
          <w:tcPr>
            <w:tcW w:w="6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三</w:t>
            </w:r>
          </w:p>
        </w:tc>
        <w:tc>
          <w:tcPr>
            <w:tcW w:w="8430" w:type="dxa"/>
            <w:gridSpan w:val="5"/>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CellMar>
            <w:top w:w="0" w:type="dxa"/>
            <w:left w:w="108" w:type="dxa"/>
            <w:bottom w:w="0" w:type="dxa"/>
            <w:right w:w="108" w:type="dxa"/>
          </w:tblCellMar>
        </w:tblPrEx>
        <w:trPr>
          <w:trHeight w:val="100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室内粉刷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CellMar>
            <w:top w:w="0" w:type="dxa"/>
            <w:left w:w="108" w:type="dxa"/>
            <w:bottom w:w="0" w:type="dxa"/>
            <w:right w:w="108" w:type="dxa"/>
          </w:tblCellMar>
        </w:tblPrEx>
        <w:trPr>
          <w:trHeight w:val="1002"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室外粉刷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450</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bl>
    <w:p>
      <w:pPr>
        <w:jc w:val="left"/>
        <w:rPr>
          <w:rFonts w:hint="eastAsia" w:ascii="仿宋" w:hAnsi="仿宋" w:eastAsia="仿宋" w:cs="仿宋"/>
          <w:b/>
          <w:bCs/>
          <w:sz w:val="18"/>
          <w:szCs w:val="18"/>
          <w:lang w:val="en-US" w:eastAsia="zh-CN"/>
        </w:rPr>
      </w:pPr>
    </w:p>
    <w:p>
      <w:pPr>
        <w:jc w:val="left"/>
        <w:rPr>
          <w:rFonts w:hint="eastAsia" w:ascii="仿宋" w:hAnsi="仿宋" w:eastAsia="仿宋" w:cs="仿宋"/>
          <w:b/>
          <w:bCs/>
          <w:sz w:val="18"/>
          <w:szCs w:val="18"/>
          <w:lang w:val="en-US" w:eastAsia="zh-CN"/>
        </w:rPr>
      </w:pPr>
    </w:p>
    <w:tbl>
      <w:tblPr>
        <w:tblStyle w:val="50"/>
        <w:tblW w:w="9070" w:type="dxa"/>
        <w:tblInd w:w="98"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108" w:type="dxa"/>
          <w:bottom w:w="0" w:type="dxa"/>
          <w:right w:w="108" w:type="dxa"/>
        </w:tblCellMar>
      </w:tblPr>
      <w:tblGrid>
        <w:gridCol w:w="640"/>
        <w:gridCol w:w="2190"/>
        <w:gridCol w:w="1540"/>
        <w:gridCol w:w="1080"/>
        <w:gridCol w:w="870"/>
        <w:gridCol w:w="275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60" w:hRule="atLeast"/>
        </w:trPr>
        <w:tc>
          <w:tcPr>
            <w:tcW w:w="9070" w:type="dxa"/>
            <w:gridSpan w:val="6"/>
            <w:vMerge w:val="restart"/>
            <w:tcBorders>
              <w:bottom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丈八东社区党建环境建设提升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5" w:hRule="atLeast"/>
        </w:trPr>
        <w:tc>
          <w:tcPr>
            <w:tcW w:w="9070" w:type="dxa"/>
            <w:gridSpan w:val="6"/>
            <w:vMerge w:val="continue"/>
            <w:tcBorders>
              <w:top w:val="nil"/>
              <w:bottom w:val="nil"/>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85" w:hRule="atLeast"/>
        </w:trPr>
        <w:tc>
          <w:tcPr>
            <w:tcW w:w="640" w:type="dxa"/>
            <w:tcBorders>
              <w:top w:val="single" w:color="000000" w:sz="8" w:space="0"/>
              <w:bottom w:val="nil"/>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190" w:type="dxa"/>
            <w:tcBorders>
              <w:top w:val="single" w:color="000000" w:sz="8" w:space="0"/>
              <w:left w:val="single" w:color="000000" w:sz="4" w:space="0"/>
              <w:bottom w:val="nil"/>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40" w:type="dxa"/>
            <w:tcBorders>
              <w:top w:val="single" w:color="000000" w:sz="8" w:space="0"/>
              <w:left w:val="single" w:color="000000" w:sz="4" w:space="0"/>
              <w:bottom w:val="nil"/>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80" w:type="dxa"/>
            <w:tcBorders>
              <w:top w:val="single" w:color="000000" w:sz="8" w:space="0"/>
              <w:left w:val="single" w:color="000000" w:sz="4" w:space="0"/>
              <w:bottom w:val="nil"/>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70" w:type="dxa"/>
            <w:tcBorders>
              <w:top w:val="single" w:color="000000" w:sz="8" w:space="0"/>
              <w:left w:val="single" w:color="000000" w:sz="4" w:space="0"/>
              <w:bottom w:val="nil"/>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000000" w:sz="8" w:space="0"/>
              <w:left w:val="single" w:color="000000" w:sz="4" w:space="0"/>
              <w:bottom w:val="nil"/>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1+11*1m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1.2的镀锌板、激光切割围边造型、表面汽车漆、文字15mm厚的高光PVC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8"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4*1.7m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6.8</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不忘初心文化墙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1*1.3m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2.7*1.3m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谈话室文化墙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3.9*1.8m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读书室文化墙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3.9*1.8m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党员示范文化墙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3.4*1.2m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lang w:val="en-US"/>
              </w:rPr>
            </w:pPr>
            <w:r>
              <w:rPr>
                <w:rFonts w:hint="eastAsia" w:ascii="仿宋" w:hAnsi="仿宋" w:eastAsia="仿宋" w:cs="仿宋"/>
                <w:i w:val="0"/>
                <w:iCs w:val="0"/>
                <w:color w:val="000000"/>
                <w:kern w:val="0"/>
                <w:sz w:val="18"/>
                <w:szCs w:val="18"/>
                <w:u w:val="none"/>
                <w:lang w:val="en-US" w:eastAsia="zh-CN" w:bidi="ar"/>
              </w:rPr>
              <w:t>4.08</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3.9*2m*2</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7.8</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 高精户外UV，异形雕刻粘贴+立体字</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1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0.6*0.8m*4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1.92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80"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幕布</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100寸遥控 2M*1.5M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60"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投影仪</w:t>
            </w:r>
          </w:p>
        </w:tc>
        <w:tc>
          <w:tcPr>
            <w:tcW w:w="1540"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nil"/>
              <w:left w:val="single" w:color="000000" w:sz="4" w:space="0"/>
              <w:bottom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60"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1.44*0.96m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15mm亚克力UV</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四</w:t>
            </w:r>
          </w:p>
        </w:tc>
        <w:tc>
          <w:tcPr>
            <w:tcW w:w="8430" w:type="dxa"/>
            <w:gridSpan w:val="5"/>
            <w:tcBorders>
              <w:top w:val="single" w:color="000000" w:sz="8"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60"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内墙粉刷</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1790</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5"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外墙粉刷</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582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铲除原有老墙皮，基层界面剂封底处理后，2遍外墙腻子找平、打磨后2遍乳胶漆。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75" w:hRule="atLeast"/>
        </w:trPr>
        <w:tc>
          <w:tcPr>
            <w:tcW w:w="640" w:type="dxa"/>
            <w:tcBorders>
              <w:top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会议室条桌</w:t>
            </w:r>
          </w:p>
        </w:tc>
        <w:tc>
          <w:tcPr>
            <w:tcW w:w="15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双人位</w:t>
            </w: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750" w:type="dxa"/>
            <w:tcBorders>
              <w:top w:val="single" w:color="000000" w:sz="4" w:space="0"/>
              <w:left w:val="single" w:color="000000" w:sz="4" w:space="0"/>
              <w:bottom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1200*400*750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75" w:hRule="atLeast"/>
        </w:trPr>
        <w:tc>
          <w:tcPr>
            <w:tcW w:w="6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电脑</w:t>
            </w:r>
          </w:p>
        </w:tc>
        <w:tc>
          <w:tcPr>
            <w:tcW w:w="15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笔记本</w:t>
            </w:r>
          </w:p>
        </w:tc>
        <w:tc>
          <w:tcPr>
            <w:tcW w:w="108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台</w:t>
            </w:r>
          </w:p>
        </w:tc>
        <w:tc>
          <w:tcPr>
            <w:tcW w:w="87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50" w:type="dxa"/>
            <w:tcBorders>
              <w:top w:val="single" w:color="auto" w:sz="4" w:space="0"/>
              <w:left w:val="single" w:color="000000" w:sz="4" w:space="0"/>
              <w:bottom w:val="single" w:color="auto"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9070" w:type="dxa"/>
            <w:gridSpan w:val="6"/>
            <w:tcBorders>
              <w:top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丈八西社区党建环境建设提升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5" w:hRule="atLeast"/>
        </w:trPr>
        <w:tc>
          <w:tcPr>
            <w:tcW w:w="9070" w:type="dxa"/>
            <w:gridSpan w:val="6"/>
            <w:tcBorders>
              <w:top w:val="single" w:color="auto"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40" w:hRule="atLeast"/>
        </w:trPr>
        <w:tc>
          <w:tcPr>
            <w:tcW w:w="640" w:type="dxa"/>
            <w:tcBorders>
              <w:top w:val="single" w:color="auto"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219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项  目</w:t>
            </w:r>
          </w:p>
        </w:tc>
        <w:tc>
          <w:tcPr>
            <w:tcW w:w="154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规格\材质</w:t>
            </w:r>
          </w:p>
        </w:tc>
        <w:tc>
          <w:tcPr>
            <w:tcW w:w="108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单位</w:t>
            </w:r>
          </w:p>
        </w:tc>
        <w:tc>
          <w:tcPr>
            <w:tcW w:w="870" w:type="dxa"/>
            <w:tcBorders>
              <w:top w:val="single" w:color="auto" w:sz="4" w:space="0"/>
              <w:left w:val="single" w:color="000000" w:sz="4" w:space="0"/>
              <w:bottom w:val="single" w:color="000000" w:sz="4" w:space="0"/>
              <w:right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数量</w:t>
            </w:r>
          </w:p>
        </w:tc>
        <w:tc>
          <w:tcPr>
            <w:tcW w:w="2750" w:type="dxa"/>
            <w:tcBorders>
              <w:top w:val="single" w:color="auto" w:sz="4" w:space="0"/>
              <w:left w:val="single" w:color="000000" w:sz="4" w:space="0"/>
              <w:bottom w:val="single" w:color="000000" w:sz="4" w:space="0"/>
            </w:tcBorders>
            <w:shd w:val="clear" w:color="auto" w:fill="C0C0C0"/>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工艺材料</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一</w:t>
            </w:r>
          </w:p>
        </w:tc>
        <w:tc>
          <w:tcPr>
            <w:tcW w:w="8430" w:type="dxa"/>
            <w:gridSpan w:val="5"/>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户外部分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615"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楼体发光字</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1+11*0.9m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亚克力面板、型材围边、内装防雨高亮灯带。</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15"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党群中心距离指示牌</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0.8*2.5m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15"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户外宣传栏</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2.53*3.1m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15"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党建精神堡垒</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4×1.68m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1.2的镀锌板、激光切割围边造型、表面汽车漆、文字10mm厚的高光PVC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615" w:hRule="atLeast"/>
        </w:trPr>
        <w:tc>
          <w:tcPr>
            <w:tcW w:w="640"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党支部铭牌（竖）</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2.4×0.35m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不锈钢材质，喷砂工艺</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二</w:t>
            </w:r>
          </w:p>
        </w:tc>
        <w:tc>
          <w:tcPr>
            <w:tcW w:w="8430" w:type="dxa"/>
            <w:gridSpan w:val="5"/>
            <w:tcBorders>
              <w:top w:val="single" w:color="000000" w:sz="8"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办公楼内</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档案室文化墙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3.5*1.05m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3.68</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党史文化墙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3.5*1.1m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3.85</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妇幼文化墙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3*1.8m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5.4</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红船精神文化墙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3.5*1.4m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4.9</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楼梯文化墙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1.8*3m/3*2.3m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以人民为中心文化墙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3.4*1.1m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3.74</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阅读室文化墙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3.6*1m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3.6</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入党誓词文化墙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3.8*1m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社保文化墙</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3.3*1.2m</w:t>
            </w:r>
          </w:p>
        </w:tc>
        <w:tc>
          <w:tcPr>
            <w:tcW w:w="108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3.96</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20mm高密PVC，大字PVC高精户外UV，异形雕刻粘贴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21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门牌</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0.3*0.14m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2750" w:type="dxa"/>
            <w:tcBorders>
              <w:top w:val="nil"/>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10mmPVC+3mm亚克力UV</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19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4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0.6*0.9*13</w:t>
            </w:r>
          </w:p>
        </w:tc>
        <w:tc>
          <w:tcPr>
            <w:tcW w:w="1080"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7.02</w:t>
            </w:r>
          </w:p>
        </w:tc>
        <w:tc>
          <w:tcPr>
            <w:tcW w:w="2750" w:type="dxa"/>
            <w:tcBorders>
              <w:top w:val="nil"/>
              <w:left w:val="single" w:color="000000" w:sz="4" w:space="0"/>
              <w:bottom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冷压板覆膜，边框可开启银色型材边框。面板有机板</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219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4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0.8*1.2m</w:t>
            </w:r>
          </w:p>
        </w:tc>
        <w:tc>
          <w:tcPr>
            <w:tcW w:w="108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0.96</w:t>
            </w:r>
          </w:p>
        </w:tc>
        <w:tc>
          <w:tcPr>
            <w:tcW w:w="2750" w:type="dxa"/>
            <w:tcBorders>
              <w:top w:val="single" w:color="auto" w:sz="4" w:space="0"/>
              <w:left w:val="single" w:color="000000" w:sz="4" w:space="0"/>
              <w:bottom w:val="single" w:color="auto"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冷压板覆膜，边框可开启银色型材边框。面板有机板</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219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展板</w:t>
            </w:r>
          </w:p>
        </w:tc>
        <w:tc>
          <w:tcPr>
            <w:tcW w:w="154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1.8*0.9m</w:t>
            </w:r>
          </w:p>
        </w:tc>
        <w:tc>
          <w:tcPr>
            <w:tcW w:w="108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1.62</w:t>
            </w:r>
          </w:p>
        </w:tc>
        <w:tc>
          <w:tcPr>
            <w:tcW w:w="2750" w:type="dxa"/>
            <w:tcBorders>
              <w:top w:val="single" w:color="auto" w:sz="4" w:space="0"/>
              <w:left w:val="single" w:color="000000" w:sz="4" w:space="0"/>
              <w:bottom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冷压板覆膜，边框可开启银色型材边框，加33个盒子</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书记办公室党旗</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750" w:type="dxa"/>
            <w:tcBorders>
              <w:top w:val="single" w:color="000000" w:sz="4" w:space="0"/>
              <w:left w:val="single" w:color="000000" w:sz="4" w:space="0"/>
              <w:bottom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00" w:hRule="atLeast"/>
        </w:trPr>
        <w:tc>
          <w:tcPr>
            <w:tcW w:w="640" w:type="dxa"/>
            <w:tcBorders>
              <w:top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四</w:t>
            </w:r>
          </w:p>
        </w:tc>
        <w:tc>
          <w:tcPr>
            <w:tcW w:w="8430" w:type="dxa"/>
            <w:gridSpan w:val="5"/>
            <w:tcBorders>
              <w:top w:val="single" w:color="000000" w:sz="8"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工程改造</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002"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墙面粉刷</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1200</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铲除原有老墙皮，基层封闭底漆处理后，2遍腻子找平、打磨后2遍乳胶漆。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002"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外墙粉刷</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262</w:t>
            </w:r>
          </w:p>
        </w:tc>
        <w:tc>
          <w:tcPr>
            <w:tcW w:w="2750" w:type="dxa"/>
            <w:tcBorders>
              <w:top w:val="single" w:color="000000" w:sz="4" w:space="0"/>
              <w:left w:val="single" w:color="000000" w:sz="4" w:space="0"/>
              <w:bottom w:val="single" w:color="000000" w:sz="4" w:space="0"/>
            </w:tcBorders>
            <w:shd w:val="clear" w:color="auto" w:fill="auto"/>
            <w:vAlign w:val="center"/>
          </w:tcPr>
          <w:p>
            <w:pPr>
              <w:jc w:val="left"/>
              <w:rPr>
                <w:rFonts w:hint="eastAsia" w:ascii="仿宋" w:hAnsi="仿宋" w:eastAsia="仿宋" w:cs="仿宋"/>
                <w:i w:val="0"/>
                <w:iCs w:val="0"/>
                <w:color w:val="000000"/>
                <w:sz w:val="18"/>
                <w:szCs w:val="18"/>
                <w:u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栏杆扶手</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PVC高分子</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三楼地面铺木地板</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约120平方米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平米</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1.2厚耐磨木地板，含安装费及运费。</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换门</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97*206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21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换门</w:t>
            </w:r>
          </w:p>
        </w:tc>
        <w:tc>
          <w:tcPr>
            <w:tcW w:w="1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r>
              <w:rPr>
                <w:rStyle w:val="302"/>
                <w:rFonts w:hint="eastAsia" w:ascii="仿宋" w:hAnsi="仿宋" w:eastAsia="仿宋" w:cs="仿宋"/>
                <w:sz w:val="18"/>
                <w:szCs w:val="18"/>
                <w:lang w:val="en-US" w:eastAsia="zh-CN" w:bidi="ar"/>
              </w:rPr>
              <w:t>46*206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275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99" w:hRule="atLeast"/>
        </w:trPr>
        <w:tc>
          <w:tcPr>
            <w:tcW w:w="640" w:type="dxa"/>
            <w:tcBorders>
              <w:top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2190" w:type="dxa"/>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室外双开防盗门</w:t>
            </w:r>
          </w:p>
        </w:tc>
        <w:tc>
          <w:tcPr>
            <w:tcW w:w="1540" w:type="dxa"/>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r>
              <w:rPr>
                <w:rStyle w:val="302"/>
                <w:rFonts w:hint="eastAsia" w:ascii="仿宋" w:hAnsi="仿宋" w:eastAsia="仿宋" w:cs="仿宋"/>
                <w:sz w:val="18"/>
                <w:szCs w:val="18"/>
                <w:lang w:val="en-US" w:eastAsia="zh-CN" w:bidi="ar"/>
              </w:rPr>
              <w:t>05*210</w:t>
            </w:r>
          </w:p>
        </w:tc>
        <w:tc>
          <w:tcPr>
            <w:tcW w:w="1080" w:type="dxa"/>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87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2750" w:type="dxa"/>
            <w:tcBorders>
              <w:top w:val="single" w:color="000000" w:sz="4" w:space="0"/>
              <w:lef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拆除旧门，安装防盗门及套，含五金、锁具。</w:t>
            </w:r>
          </w:p>
        </w:tc>
      </w:tr>
    </w:tbl>
    <w:p>
      <w:pPr>
        <w:jc w:val="left"/>
        <w:rPr>
          <w:rFonts w:hint="default"/>
          <w:b/>
          <w:bCs/>
          <w:sz w:val="36"/>
          <w:szCs w:val="36"/>
          <w:lang w:val="en-US" w:eastAsia="zh-CN"/>
        </w:rPr>
      </w:pPr>
    </w:p>
    <w:p>
      <w:pPr>
        <w:jc w:val="left"/>
        <w:rPr>
          <w:rFonts w:hint="default"/>
          <w:b/>
          <w:bCs/>
          <w:sz w:val="36"/>
          <w:szCs w:val="36"/>
          <w:lang w:val="en-US" w:eastAsia="zh-CN"/>
        </w:rPr>
      </w:pPr>
    </w:p>
    <w:p>
      <w:pPr>
        <w:spacing w:line="360" w:lineRule="auto"/>
        <w:ind w:firstLine="480" w:firstLineChars="200"/>
        <w:jc w:val="left"/>
        <w:rPr>
          <w:rFonts w:hint="eastAsia" w:ascii="仿宋" w:hAnsi="仿宋" w:eastAsia="仿宋" w:cs="仿宋"/>
          <w:bCs/>
          <w:color w:val="000000"/>
          <w:kern w:val="0"/>
          <w:sz w:val="24"/>
          <w:szCs w:val="24"/>
          <w:lang w:val="zh-CN"/>
        </w:rPr>
      </w:pPr>
    </w:p>
    <w:p>
      <w:pPr>
        <w:spacing w:line="360" w:lineRule="auto"/>
        <w:ind w:firstLine="480" w:firstLineChars="200"/>
        <w:jc w:val="left"/>
        <w:rPr>
          <w:rFonts w:hint="eastAsia" w:ascii="仿宋" w:hAnsi="仿宋" w:eastAsia="仿宋" w:cs="仿宋"/>
          <w:bCs/>
          <w:color w:val="000000"/>
          <w:kern w:val="0"/>
          <w:sz w:val="24"/>
          <w:szCs w:val="24"/>
          <w:lang w:val="zh-CN"/>
        </w:rPr>
      </w:pPr>
    </w:p>
    <w:p>
      <w:pPr>
        <w:spacing w:line="360" w:lineRule="auto"/>
        <w:ind w:firstLine="480" w:firstLineChars="200"/>
        <w:jc w:val="left"/>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 xml:space="preserve">                            </w:t>
      </w:r>
    </w:p>
    <w:p>
      <w:pPr>
        <w:widowControl/>
        <w:snapToGrid w:val="0"/>
        <w:spacing w:line="360" w:lineRule="auto"/>
        <w:ind w:right="-197" w:rightChars="-94"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br w:type="page"/>
      </w:r>
    </w:p>
    <w:p>
      <w:pPr>
        <w:pStyle w:val="46"/>
        <w:rPr>
          <w:rFonts w:ascii="仿宋_GB2312" w:hAnsi="仿宋_GB2312" w:eastAsia="仿宋_GB2312" w:cs="仿宋_GB2312"/>
        </w:rPr>
      </w:pPr>
      <w:r>
        <w:rPr>
          <w:rFonts w:hint="eastAsia" w:ascii="仿宋_GB2312" w:hAnsi="仿宋_GB2312" w:eastAsia="仿宋_GB2312" w:cs="仿宋_GB2312"/>
        </w:rPr>
        <w:t>第六章  磋商响应文件格式</w:t>
      </w:r>
      <w:bookmarkEnd w:id="443"/>
      <w:bookmarkEnd w:id="444"/>
      <w:bookmarkEnd w:id="445"/>
      <w:bookmarkEnd w:id="446"/>
      <w:bookmarkEnd w:id="447"/>
      <w:bookmarkEnd w:id="448"/>
      <w:r>
        <w:rPr>
          <w:rFonts w:hint="eastAsia" w:ascii="仿宋_GB2312" w:hAnsi="仿宋_GB2312" w:eastAsia="仿宋_GB2312" w:cs="仿宋_GB2312"/>
        </w:rPr>
        <w:t xml:space="preserve">                    </w:t>
      </w:r>
    </w:p>
    <w:p>
      <w:pPr>
        <w:widowControl/>
        <w:jc w:val="left"/>
        <w:rPr>
          <w:rFonts w:hint="eastAsia" w:ascii="仿宋_GB2312" w:hAnsi="仿宋_GB2312" w:eastAsia="仿宋_GB2312" w:cs="仿宋_GB2312"/>
          <w:lang w:val="zh-CN"/>
        </w:rPr>
      </w:pPr>
      <w:bookmarkStart w:id="455" w:name="_Toc62196433"/>
    </w:p>
    <w:p>
      <w:pPr>
        <w:widowControl/>
        <w:jc w:val="left"/>
        <w:rPr>
          <w:rFonts w:hint="eastAsia" w:ascii="仿宋_GB2312" w:hAnsi="仿宋_GB2312" w:eastAsia="仿宋_GB2312" w:cs="仿宋_GB2312"/>
          <w:lang w:val="zh-CN"/>
        </w:rPr>
      </w:pPr>
    </w:p>
    <w:bookmarkEnd w:id="455"/>
    <w:p>
      <w:pPr>
        <w:pStyle w:val="158"/>
        <w:ind w:firstLine="6586" w:firstLineChars="2050"/>
        <w:rPr>
          <w:rFonts w:hint="eastAsia"/>
          <w:lang w:val="zh-CN"/>
        </w:rPr>
      </w:pPr>
    </w:p>
    <w:p>
      <w:pPr>
        <w:pStyle w:val="158"/>
        <w:ind w:firstLine="6586" w:firstLineChars="2050"/>
        <w:rPr>
          <w:bCs/>
          <w:lang w:val="zh-CN"/>
        </w:rPr>
      </w:pPr>
      <w:r>
        <w:rPr>
          <w:rFonts w:hint="eastAsia"/>
          <w:lang w:val="zh-CN"/>
        </w:rPr>
        <w:t>正本/副本</w:t>
      </w:r>
    </w:p>
    <w:p>
      <w:pPr>
        <w:autoSpaceDE w:val="0"/>
        <w:autoSpaceDN w:val="0"/>
        <w:adjustRightInd w:val="0"/>
        <w:snapToGrid w:val="0"/>
        <w:spacing w:line="360" w:lineRule="auto"/>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政府采购项目</w:t>
      </w:r>
    </w:p>
    <w:p>
      <w:pPr>
        <w:autoSpaceDE w:val="0"/>
        <w:autoSpaceDN w:val="0"/>
        <w:adjustRightInd w:val="0"/>
        <w:snapToGrid w:val="0"/>
        <w:spacing w:line="360" w:lineRule="auto"/>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采购项目编号：</w:t>
      </w:r>
    </w:p>
    <w:p>
      <w:pPr>
        <w:autoSpaceDE w:val="0"/>
        <w:autoSpaceDN w:val="0"/>
        <w:adjustRightInd w:val="0"/>
        <w:snapToGrid w:val="0"/>
        <w:spacing w:line="360" w:lineRule="auto"/>
        <w:jc w:val="left"/>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en-US" w:eastAsia="zh-CN"/>
        </w:rPr>
        <w:t>高新政采编号：</w:t>
      </w:r>
    </w:p>
    <w:p>
      <w:pPr>
        <w:tabs>
          <w:tab w:val="left" w:pos="5670"/>
        </w:tabs>
        <w:autoSpaceDE w:val="0"/>
        <w:autoSpaceDN w:val="0"/>
        <w:adjustRightInd w:val="0"/>
        <w:snapToGrid w:val="0"/>
        <w:spacing w:line="360" w:lineRule="auto"/>
        <w:jc w:val="center"/>
        <w:rPr>
          <w:rFonts w:ascii="仿宋_GB2312" w:hAnsi="仿宋_GB2312" w:eastAsia="仿宋_GB2312" w:cs="仿宋_GB2312"/>
          <w:sz w:val="19"/>
          <w:szCs w:val="19"/>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19"/>
          <w:szCs w:val="19"/>
        </w:rPr>
      </w:pPr>
    </w:p>
    <w:p>
      <w:pPr>
        <w:autoSpaceDE w:val="0"/>
        <w:autoSpaceDN w:val="0"/>
        <w:adjustRightInd w:val="0"/>
        <w:snapToGrid w:val="0"/>
        <w:spacing w:line="360" w:lineRule="auto"/>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丈八街道社区（村）级阵地提升工程（二期）</w:t>
      </w: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6"/>
          <w:szCs w:val="36"/>
          <w:lang w:val="zh-CN"/>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52"/>
          <w:szCs w:val="52"/>
          <w:lang w:val="zh-CN"/>
        </w:rPr>
      </w:pPr>
      <w:r>
        <w:rPr>
          <w:rFonts w:hint="eastAsia" w:ascii="仿宋_GB2312" w:hAnsi="仿宋_GB2312" w:eastAsia="仿宋_GB2312" w:cs="仿宋_GB2312"/>
          <w:b/>
          <w:bCs/>
          <w:sz w:val="52"/>
          <w:szCs w:val="52"/>
          <w:lang w:val="zh-CN"/>
        </w:rPr>
        <w:t>磋商响应文件</w:t>
      </w:r>
    </w:p>
    <w:p>
      <w:pPr>
        <w:autoSpaceDE w:val="0"/>
        <w:autoSpaceDN w:val="0"/>
        <w:adjustRightInd w:val="0"/>
        <w:snapToGrid w:val="0"/>
        <w:spacing w:line="360" w:lineRule="auto"/>
        <w:jc w:val="center"/>
        <w:rPr>
          <w:rFonts w:hint="eastAsia" w:ascii="仿宋_GB2312" w:hAnsi="仿宋_GB2312" w:eastAsia="仿宋_GB2312" w:cs="仿宋_GB2312"/>
          <w:b/>
          <w:bCs/>
          <w:sz w:val="30"/>
          <w:szCs w:val="30"/>
          <w:lang w:val="zh-CN" w:eastAsia="zh-CN"/>
        </w:rPr>
      </w:pPr>
      <w:r>
        <w:rPr>
          <w:rFonts w:hint="eastAsia" w:ascii="仿宋_GB2312" w:hAnsi="仿宋_GB2312" w:eastAsia="仿宋_GB2312" w:cs="仿宋_GB2312"/>
          <w:b/>
          <w:bCs/>
          <w:sz w:val="30"/>
          <w:szCs w:val="30"/>
          <w:lang w:eastAsia="zh-CN"/>
        </w:rPr>
        <w:t>（资格证明文件）</w:t>
      </w: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sz w:val="30"/>
          <w:szCs w:val="30"/>
        </w:rPr>
      </w:pPr>
    </w:p>
    <w:p>
      <w:pPr>
        <w:autoSpaceDE w:val="0"/>
        <w:autoSpaceDN w:val="0"/>
        <w:adjustRightInd w:val="0"/>
        <w:snapToGrid w:val="0"/>
        <w:spacing w:line="360" w:lineRule="auto"/>
        <w:rPr>
          <w:rFonts w:ascii="仿宋_GB2312" w:hAnsi="仿宋_GB2312" w:eastAsia="仿宋_GB2312" w:cs="仿宋_GB2312"/>
          <w:b/>
          <w:bCs/>
          <w:sz w:val="32"/>
          <w:szCs w:val="32"/>
          <w:u w:val="single"/>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bCs/>
          <w:sz w:val="32"/>
          <w:szCs w:val="32"/>
          <w:lang w:val="zh-CN"/>
        </w:rPr>
        <w:t>供应商：</w:t>
      </w:r>
      <w:r>
        <w:rPr>
          <w:rFonts w:hint="eastAsia" w:ascii="仿宋_GB2312" w:hAnsi="仿宋_GB2312" w:eastAsia="仿宋_GB2312" w:cs="仿宋_GB2312"/>
          <w:b/>
          <w:bCs/>
          <w:sz w:val="32"/>
          <w:szCs w:val="32"/>
          <w:u w:val="single"/>
        </w:rPr>
        <w:t xml:space="preserve">                   </w:t>
      </w:r>
    </w:p>
    <w:p>
      <w:pPr>
        <w:autoSpaceDE w:val="0"/>
        <w:autoSpaceDN w:val="0"/>
        <w:adjustRightInd w:val="0"/>
        <w:snapToGrid w:val="0"/>
        <w:spacing w:line="360" w:lineRule="auto"/>
        <w:rPr>
          <w:rFonts w:ascii="仿宋_GB2312" w:hAnsi="仿宋_GB2312" w:eastAsia="仿宋_GB2312" w:cs="仿宋_GB2312"/>
          <w:b/>
          <w:bCs/>
          <w:sz w:val="32"/>
          <w:szCs w:val="32"/>
        </w:rPr>
      </w:pPr>
    </w:p>
    <w:p>
      <w:pPr>
        <w:autoSpaceDE w:val="0"/>
        <w:autoSpaceDN w:val="0"/>
        <w:adjustRightInd w:val="0"/>
        <w:snapToGrid w:val="0"/>
        <w:spacing w:line="360" w:lineRule="auto"/>
        <w:ind w:firstLine="964" w:firstLineChars="300"/>
        <w:rPr>
          <w:rFonts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lang w:val="zh-CN"/>
        </w:rPr>
        <w:t>时</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间：</w:t>
      </w:r>
      <w:r>
        <w:rPr>
          <w:rFonts w:hint="eastAsia" w:ascii="仿宋_GB2312" w:hAnsi="仿宋_GB2312" w:eastAsia="仿宋_GB2312" w:cs="仿宋_GB2312"/>
          <w:b/>
          <w:bCs/>
          <w:sz w:val="32"/>
          <w:szCs w:val="32"/>
          <w:u w:val="single"/>
        </w:rPr>
        <w:t xml:space="preserve">                   </w:t>
      </w:r>
    </w:p>
    <w:p>
      <w:pPr>
        <w:widowControl/>
        <w:jc w:val="left"/>
        <w:rPr>
          <w:rFonts w:ascii="仿宋_GB2312" w:hAnsi="仿宋_GB2312" w:eastAsia="仿宋_GB2312" w:cs="仿宋_GB2312"/>
        </w:rPr>
      </w:pPr>
      <w:r>
        <w:rPr>
          <w:rFonts w:ascii="仿宋_GB2312" w:hAnsi="仿宋_GB2312" w:eastAsia="仿宋_GB2312" w:cs="仿宋_GB2312"/>
        </w:rPr>
        <w:br w:type="page"/>
      </w:r>
    </w:p>
    <w:p>
      <w:pPr>
        <w:pStyle w:val="77"/>
        <w:spacing w:before="24" w:after="24"/>
        <w:jc w:val="center"/>
        <w:rPr>
          <w:rFonts w:ascii="仿宋_GB2312" w:hAnsi="仿宋_GB2312" w:eastAsia="仿宋_GB2312" w:cs="仿宋_GB2312"/>
        </w:rPr>
      </w:pPr>
      <w:bookmarkStart w:id="456" w:name="_Toc62196438"/>
      <w:r>
        <w:rPr>
          <w:rFonts w:hint="eastAsia" w:ascii="仿宋_GB2312" w:hAnsi="仿宋_GB2312" w:eastAsia="仿宋_GB2312" w:cs="仿宋_GB2312"/>
        </w:rPr>
        <w:t>第一部分  身份证明文件</w:t>
      </w:r>
      <w:bookmarkEnd w:id="456"/>
    </w:p>
    <w:p>
      <w:pPr>
        <w:spacing w:after="120"/>
        <w:rPr>
          <w:rFonts w:ascii="仿宋_GB2312" w:hAnsi="仿宋_GB2312" w:eastAsia="仿宋_GB2312" w:cs="仿宋_GB2312"/>
        </w:rPr>
      </w:pPr>
    </w:p>
    <w:p>
      <w:pPr>
        <w:widowControl/>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zh-CN"/>
        </w:rPr>
        <w:t>1、法定代表人（或单位负责人）授权书</w:t>
      </w:r>
    </w:p>
    <w:p>
      <w:pPr>
        <w:autoSpaceDE w:val="0"/>
        <w:autoSpaceDN w:val="0"/>
        <w:adjustRightInd w:val="0"/>
        <w:spacing w:line="348" w:lineRule="auto"/>
        <w:ind w:firstLine="400"/>
        <w:rPr>
          <w:rFonts w:ascii="仿宋_GB2312" w:hAnsi="仿宋_GB2312" w:eastAsia="仿宋_GB2312" w:cs="仿宋_GB2312"/>
          <w:b/>
          <w:bCs/>
          <w:sz w:val="20"/>
        </w:rPr>
      </w:pPr>
    </w:p>
    <w:p>
      <w:pPr>
        <w:autoSpaceDE w:val="0"/>
        <w:autoSpaceDN w:val="0"/>
        <w:adjustRightInd w:val="0"/>
        <w:spacing w:line="348" w:lineRule="auto"/>
        <w:rPr>
          <w:rFonts w:ascii="仿宋_GB2312" w:hAnsi="仿宋_GB2312" w:eastAsia="仿宋_GB2312" w:cs="仿宋_GB2312"/>
          <w:sz w:val="24"/>
        </w:rPr>
      </w:pPr>
      <w:r>
        <w:rPr>
          <w:rFonts w:hint="eastAsia" w:ascii="仿宋_GB2312" w:hAnsi="仿宋_GB2312" w:eastAsia="仿宋_GB2312" w:cs="仿宋_GB2312"/>
          <w:sz w:val="24"/>
          <w:lang w:val="zh-CN"/>
        </w:rPr>
        <w:t>陕西中润国际招标有限公司：</w:t>
      </w:r>
    </w:p>
    <w:p>
      <w:pPr>
        <w:autoSpaceDE w:val="0"/>
        <w:autoSpaceDN w:val="0"/>
        <w:adjustRightInd w:val="0"/>
        <w:spacing w:line="348" w:lineRule="auto"/>
        <w:ind w:firstLine="640"/>
        <w:rPr>
          <w:rFonts w:ascii="仿宋_GB2312" w:hAnsi="仿宋_GB2312" w:eastAsia="仿宋_GB2312" w:cs="仿宋_GB2312"/>
          <w:sz w:val="24"/>
        </w:rPr>
      </w:pPr>
      <w:r>
        <w:rPr>
          <w:rFonts w:hint="eastAsia" w:ascii="仿宋_GB2312" w:hAnsi="仿宋_GB2312" w:eastAsia="仿宋_GB2312" w:cs="仿宋_GB2312"/>
          <w:sz w:val="24"/>
          <w:lang w:val="zh-CN"/>
        </w:rPr>
        <w:t>注册于</w:t>
      </w:r>
      <w:r>
        <w:rPr>
          <w:rFonts w:hint="eastAsia" w:ascii="仿宋_GB2312" w:hAnsi="仿宋_GB2312" w:eastAsia="仿宋_GB2312" w:cs="仿宋_GB2312"/>
          <w:sz w:val="24"/>
          <w:u w:val="single"/>
          <w:lang w:val="zh-CN"/>
        </w:rPr>
        <w:t>（工商行政管理局名称）</w:t>
      </w:r>
      <w:r>
        <w:rPr>
          <w:rFonts w:hint="eastAsia" w:ascii="仿宋_GB2312" w:hAnsi="仿宋_GB2312" w:eastAsia="仿宋_GB2312" w:cs="仿宋_GB2312"/>
          <w:sz w:val="24"/>
          <w:lang w:val="zh-CN"/>
        </w:rPr>
        <w:t>之</w:t>
      </w:r>
      <w:r>
        <w:rPr>
          <w:rFonts w:hint="eastAsia" w:ascii="仿宋_GB2312" w:hAnsi="仿宋_GB2312" w:eastAsia="仿宋_GB2312" w:cs="仿宋_GB2312"/>
          <w:sz w:val="24"/>
          <w:u w:val="single"/>
          <w:lang w:val="zh-CN"/>
        </w:rPr>
        <w:t>（供应商全称）</w:t>
      </w:r>
      <w:r>
        <w:rPr>
          <w:rFonts w:hint="eastAsia" w:ascii="仿宋_GB2312" w:hAnsi="仿宋_GB2312" w:eastAsia="仿宋_GB2312" w:cs="仿宋_GB2312"/>
          <w:sz w:val="24"/>
          <w:lang w:val="zh-CN"/>
        </w:rPr>
        <w:t>法人代表</w:t>
      </w:r>
      <w:r>
        <w:rPr>
          <w:rFonts w:hint="eastAsia" w:ascii="仿宋_GB2312" w:hAnsi="仿宋_GB2312" w:eastAsia="仿宋_GB2312" w:cs="仿宋_GB2312"/>
          <w:sz w:val="24"/>
          <w:u w:val="single"/>
          <w:lang w:val="zh-CN"/>
        </w:rPr>
        <w:t>（姓名、职务）</w:t>
      </w:r>
      <w:r>
        <w:rPr>
          <w:rFonts w:hint="eastAsia" w:ascii="仿宋_GB2312" w:hAnsi="仿宋_GB2312" w:eastAsia="仿宋_GB2312" w:cs="仿宋_GB2312"/>
          <w:sz w:val="24"/>
          <w:lang w:val="zh-CN"/>
        </w:rPr>
        <w:t>授权</w:t>
      </w:r>
      <w:r>
        <w:rPr>
          <w:rFonts w:hint="eastAsia" w:ascii="仿宋_GB2312" w:hAnsi="仿宋_GB2312" w:eastAsia="仿宋_GB2312" w:cs="仿宋_GB2312"/>
          <w:sz w:val="24"/>
          <w:u w:val="single"/>
          <w:lang w:val="zh-CN"/>
        </w:rPr>
        <w:t>（被授权人姓名、职务）</w:t>
      </w:r>
      <w:r>
        <w:rPr>
          <w:rFonts w:hint="eastAsia" w:ascii="仿宋_GB2312" w:hAnsi="仿宋_GB2312" w:eastAsia="仿宋_GB2312" w:cs="仿宋_GB2312"/>
          <w:sz w:val="24"/>
          <w:lang w:val="zh-CN"/>
        </w:rPr>
        <w:t>为本公司的合法代理人，就</w:t>
      </w:r>
      <w:r>
        <w:rPr>
          <w:rFonts w:hint="eastAsia" w:ascii="仿宋_GB2312" w:hAnsi="仿宋_GB2312" w:eastAsia="仿宋_GB2312" w:cs="仿宋_GB2312"/>
          <w:sz w:val="24"/>
          <w:u w:val="single"/>
          <w:lang w:val="zh-CN"/>
        </w:rPr>
        <w:t>（项目名称）</w:t>
      </w:r>
      <w:r>
        <w:rPr>
          <w:rFonts w:hint="eastAsia" w:ascii="仿宋_GB2312" w:hAnsi="仿宋_GB2312" w:eastAsia="仿宋_GB2312" w:cs="仿宋_GB2312"/>
          <w:sz w:val="24"/>
          <w:lang w:val="zh-CN"/>
        </w:rPr>
        <w:t>的磋商及合同的执行和完成，以本公司的名义处理一切与之有关的事宜。</w:t>
      </w:r>
    </w:p>
    <w:p>
      <w:pPr>
        <w:snapToGrid w:val="0"/>
        <w:spacing w:line="360" w:lineRule="auto"/>
        <w:ind w:firstLine="480" w:firstLineChars="200"/>
        <w:rPr>
          <w:rFonts w:ascii="仿宋_GB2312" w:hAnsi="仿宋_GB2312" w:eastAsia="仿宋_GB2312" w:cs="仿宋_GB2312"/>
          <w:b/>
          <w:bCs/>
          <w:sz w:val="24"/>
          <w:lang w:val="zh-CN"/>
        </w:rPr>
      </w:pPr>
      <w:r>
        <w:rPr>
          <w:rFonts w:hint="eastAsia" w:ascii="仿宋_GB2312" w:hAnsi="仿宋_GB2312" w:eastAsia="仿宋_GB2312" w:cs="仿宋_GB2312"/>
          <w:sz w:val="24"/>
          <w:lang w:val="zh-CN"/>
        </w:rPr>
        <w:t>本授权自    年   月  日起生效。（</w:t>
      </w:r>
      <w:r>
        <w:rPr>
          <w:rFonts w:hint="eastAsia" w:ascii="仿宋_GB2312" w:hAnsi="仿宋_GB2312" w:eastAsia="仿宋_GB2312" w:cs="仿宋_GB2312"/>
          <w:b/>
          <w:sz w:val="24"/>
          <w:lang w:val="zh-CN"/>
        </w:rPr>
        <w:t>提示：此日期不应晚于磋商响应函签署日期</w:t>
      </w:r>
      <w:r>
        <w:rPr>
          <w:rFonts w:hint="eastAsia" w:ascii="仿宋_GB2312" w:hAnsi="仿宋_GB2312" w:eastAsia="仿宋_GB2312" w:cs="仿宋_GB2312"/>
          <w:sz w:val="24"/>
          <w:lang w:val="zh-CN"/>
        </w:rPr>
        <w:t>）</w:t>
      </w:r>
    </w:p>
    <w:p>
      <w:pPr>
        <w:autoSpaceDE w:val="0"/>
        <w:autoSpaceDN w:val="0"/>
        <w:adjustRightInd w:val="0"/>
        <w:spacing w:line="348" w:lineRule="auto"/>
        <w:rPr>
          <w:rFonts w:ascii="仿宋_GB2312" w:hAnsi="仿宋_GB2312" w:eastAsia="仿宋_GB2312" w:cs="仿宋_GB2312"/>
          <w:sz w:val="24"/>
        </w:rPr>
      </w:pPr>
    </w:p>
    <w:p>
      <w:pPr>
        <w:autoSpaceDE w:val="0"/>
        <w:autoSpaceDN w:val="0"/>
        <w:adjustRightInd w:val="0"/>
        <w:spacing w:line="348" w:lineRule="auto"/>
        <w:rPr>
          <w:rFonts w:ascii="仿宋_GB2312" w:hAnsi="仿宋_GB2312" w:eastAsia="仿宋_GB2312" w:cs="仿宋_GB2312"/>
          <w:sz w:val="24"/>
          <w:u w:val="single"/>
        </w:rPr>
      </w:pPr>
      <w:r>
        <w:rPr>
          <w:rFonts w:hint="eastAsia" w:ascii="仿宋_GB2312" w:hAnsi="仿宋_GB2312" w:eastAsia="仿宋_GB2312" w:cs="仿宋_GB2312"/>
          <w:sz w:val="24"/>
          <w:lang w:val="zh-CN"/>
        </w:rPr>
        <w:t>附：被授权人姓名：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val="zh-CN"/>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val="zh-CN"/>
        </w:rPr>
        <w:t>年龄</w:t>
      </w:r>
      <w:r>
        <w:rPr>
          <w:rFonts w:hint="eastAsia" w:ascii="仿宋_GB2312" w:hAnsi="仿宋_GB2312" w:eastAsia="仿宋_GB2312" w:cs="仿宋_GB2312"/>
          <w:sz w:val="24"/>
          <w:u w:val="none"/>
          <w:lang w:val="zh-CN"/>
        </w:rPr>
        <w:t>：</w:t>
      </w:r>
      <w:r>
        <w:rPr>
          <w:rFonts w:hint="eastAsia" w:ascii="仿宋_GB2312" w:hAnsi="仿宋_GB2312" w:eastAsia="仿宋_GB2312" w:cs="仿宋_GB2312"/>
          <w:sz w:val="24"/>
          <w:u w:val="none"/>
          <w:lang w:val="en-US" w:eastAsia="zh-CN"/>
        </w:rPr>
        <w:t xml:space="preserve">     </w:t>
      </w:r>
      <w:r>
        <w:rPr>
          <w:rFonts w:hint="eastAsia" w:ascii="仿宋_GB2312" w:hAnsi="仿宋_GB2312" w:eastAsia="仿宋_GB2312" w:cs="仿宋_GB2312"/>
          <w:sz w:val="24"/>
          <w:u w:val="none"/>
        </w:rPr>
        <w:t xml:space="preserve">         </w:t>
      </w:r>
      <w:r>
        <w:rPr>
          <w:rFonts w:hint="eastAsia" w:ascii="仿宋_GB2312" w:hAnsi="仿宋_GB2312" w:eastAsia="仿宋_GB2312" w:cs="仿宋_GB2312"/>
          <w:sz w:val="24"/>
          <w:u w:val="single"/>
        </w:rPr>
        <w:t xml:space="preserve">      </w:t>
      </w:r>
    </w:p>
    <w:p>
      <w:pPr>
        <w:autoSpaceDE w:val="0"/>
        <w:autoSpaceDN w:val="0"/>
        <w:adjustRightInd w:val="0"/>
        <w:spacing w:line="348" w:lineRule="auto"/>
        <w:ind w:firstLine="630"/>
        <w:rPr>
          <w:rFonts w:ascii="仿宋_GB2312" w:hAnsi="仿宋_GB2312" w:eastAsia="仿宋_GB2312" w:cs="仿宋_GB2312"/>
          <w:sz w:val="24"/>
        </w:rPr>
      </w:pPr>
      <w:r>
        <w:rPr>
          <w:rFonts w:hint="eastAsia" w:ascii="仿宋_GB2312" w:hAnsi="仿宋_GB2312" w:eastAsia="仿宋_GB2312" w:cs="仿宋_GB2312"/>
          <w:sz w:val="24"/>
          <w:lang w:val="zh-CN"/>
        </w:rPr>
        <w:t>职</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val="zh-CN"/>
        </w:rPr>
        <w:t>身份证号码：</w:t>
      </w:r>
      <w:r>
        <w:rPr>
          <w:rFonts w:hint="eastAsia" w:ascii="仿宋_GB2312" w:hAnsi="仿宋_GB2312" w:eastAsia="仿宋_GB2312" w:cs="仿宋_GB2312"/>
          <w:sz w:val="24"/>
          <w:u w:val="single"/>
        </w:rPr>
        <w:t xml:space="preserve">             </w:t>
      </w:r>
    </w:p>
    <w:p>
      <w:pPr>
        <w:autoSpaceDE w:val="0"/>
        <w:autoSpaceDN w:val="0"/>
        <w:adjustRightInd w:val="0"/>
        <w:spacing w:line="348" w:lineRule="auto"/>
        <w:ind w:firstLine="630"/>
        <w:rPr>
          <w:rFonts w:ascii="仿宋_GB2312" w:hAnsi="仿宋_GB2312" w:eastAsia="仿宋_GB2312" w:cs="仿宋_GB2312"/>
          <w:sz w:val="24"/>
          <w:u w:val="single"/>
        </w:rPr>
      </w:pPr>
      <w:r>
        <w:rPr>
          <w:rFonts w:hint="eastAsia" w:ascii="仿宋_GB2312" w:hAnsi="仿宋_GB2312" w:eastAsia="仿宋_GB2312" w:cs="仿宋_GB2312"/>
          <w:sz w:val="24"/>
          <w:lang w:val="zh-CN"/>
        </w:rPr>
        <w:t>通讯地址：</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none"/>
        </w:rPr>
        <w:t xml:space="preserve">                          </w:t>
      </w:r>
      <w:r>
        <w:rPr>
          <w:rFonts w:hint="eastAsia" w:ascii="仿宋_GB2312" w:hAnsi="仿宋_GB2312" w:eastAsia="仿宋_GB2312" w:cs="仿宋_GB2312"/>
          <w:sz w:val="24"/>
          <w:u w:val="single"/>
        </w:rPr>
        <w:t xml:space="preserve">       </w:t>
      </w:r>
    </w:p>
    <w:p>
      <w:pPr>
        <w:autoSpaceDE w:val="0"/>
        <w:autoSpaceDN w:val="0"/>
        <w:adjustRightInd w:val="0"/>
        <w:spacing w:line="348" w:lineRule="auto"/>
        <w:ind w:firstLine="630"/>
        <w:rPr>
          <w:rFonts w:ascii="仿宋_GB2312" w:hAnsi="仿宋_GB2312" w:eastAsia="仿宋_GB2312" w:cs="仿宋_GB2312"/>
          <w:sz w:val="24"/>
          <w:u w:val="single"/>
        </w:rPr>
      </w:pPr>
      <w:r>
        <w:rPr>
          <w:rFonts w:hint="eastAsia" w:ascii="仿宋_GB2312" w:hAnsi="仿宋_GB2312" w:eastAsia="仿宋_GB2312" w:cs="仿宋_GB2312"/>
          <w:sz w:val="24"/>
          <w:lang w:val="zh-CN"/>
        </w:rPr>
        <w:t>邮政编码：</w:t>
      </w:r>
      <w:r>
        <w:rPr>
          <w:rFonts w:hint="eastAsia" w:ascii="仿宋_GB2312" w:hAnsi="仿宋_GB2312" w:eastAsia="仿宋_GB2312" w:cs="仿宋_GB2312"/>
          <w:sz w:val="24"/>
          <w:u w:val="single"/>
        </w:rPr>
        <w:t xml:space="preserve">                                      </w:t>
      </w:r>
    </w:p>
    <w:p>
      <w:pPr>
        <w:autoSpaceDE w:val="0"/>
        <w:autoSpaceDN w:val="0"/>
        <w:adjustRightInd w:val="0"/>
        <w:spacing w:line="348" w:lineRule="auto"/>
        <w:ind w:firstLine="630"/>
        <w:rPr>
          <w:rFonts w:ascii="仿宋_GB2312" w:hAnsi="仿宋_GB2312" w:eastAsia="仿宋_GB2312" w:cs="仿宋_GB2312"/>
          <w:sz w:val="24"/>
          <w:u w:val="single"/>
        </w:rPr>
      </w:pPr>
      <w:r>
        <w:rPr>
          <w:rFonts w:hint="eastAsia" w:ascii="仿宋_GB2312" w:hAnsi="仿宋_GB2312" w:eastAsia="仿宋_GB2312" w:cs="仿宋_GB2312"/>
          <w:sz w:val="24"/>
          <w:lang w:val="zh-CN"/>
        </w:rPr>
        <w:t>电</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val="zh-CN"/>
        </w:rPr>
        <w:t>传真：</w:t>
      </w:r>
      <w:r>
        <w:rPr>
          <w:rFonts w:hint="eastAsia" w:ascii="仿宋_GB2312" w:hAnsi="仿宋_GB2312" w:eastAsia="仿宋_GB2312" w:cs="仿宋_GB2312"/>
          <w:sz w:val="24"/>
          <w:u w:val="single"/>
        </w:rPr>
        <w:t xml:space="preserve">           </w:t>
      </w:r>
    </w:p>
    <w:p>
      <w:pPr>
        <w:autoSpaceDE w:val="0"/>
        <w:autoSpaceDN w:val="0"/>
        <w:adjustRightInd w:val="0"/>
        <w:spacing w:line="348" w:lineRule="auto"/>
        <w:rPr>
          <w:rFonts w:ascii="仿宋_GB2312" w:hAnsi="仿宋_GB2312" w:eastAsia="仿宋_GB2312" w:cs="仿宋_GB2312"/>
          <w:sz w:val="24"/>
        </w:rPr>
      </w:pPr>
    </w:p>
    <w:p>
      <w:pPr>
        <w:autoSpaceDE w:val="0"/>
        <w:autoSpaceDN w:val="0"/>
        <w:adjustRightInd w:val="0"/>
        <w:spacing w:line="348"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lang w:val="zh-CN"/>
        </w:rPr>
        <w:t>法定代表人</w:t>
      </w:r>
      <w:r>
        <w:rPr>
          <w:rFonts w:hint="eastAsia" w:ascii="仿宋_GB2312" w:hAnsi="仿宋_GB2312" w:eastAsia="仿宋_GB2312" w:cs="仿宋_GB2312"/>
          <w:sz w:val="24"/>
        </w:rPr>
        <w:t>及</w:t>
      </w:r>
      <w:r>
        <w:rPr>
          <w:rFonts w:hint="eastAsia" w:ascii="仿宋_GB2312" w:hAnsi="仿宋_GB2312" w:eastAsia="仿宋_GB2312" w:cs="仿宋_GB2312"/>
          <w:sz w:val="24"/>
          <w:lang w:val="zh-CN"/>
        </w:rPr>
        <w:t>授权代表身份证复印件</w:t>
      </w:r>
    </w:p>
    <w:tbl>
      <w:tblPr>
        <w:tblStyle w:val="50"/>
        <w:tblW w:w="7934" w:type="dxa"/>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100" w:hRule="atLeast"/>
        </w:trPr>
        <w:tc>
          <w:tcPr>
            <w:tcW w:w="40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ascii="仿宋_GB2312" w:hAnsi="仿宋_GB2312" w:eastAsia="仿宋_GB2312" w:cs="仿宋_GB2312"/>
                <w:sz w:val="24"/>
                <w:lang w:val="zh-CN"/>
              </w:rPr>
            </w:pPr>
            <w:r>
              <w:rPr>
                <w:rFonts w:hint="eastAsia" w:ascii="仿宋_GB2312" w:hAnsi="仿宋_GB2312" w:eastAsia="仿宋_GB2312" w:cs="仿宋_GB2312"/>
                <w:sz w:val="24"/>
                <w:lang w:val="zh-CN"/>
              </w:rPr>
              <w:t>法定代表人身份证复印件</w:t>
            </w:r>
          </w:p>
          <w:p>
            <w:pPr>
              <w:autoSpaceDE w:val="0"/>
              <w:autoSpaceDN w:val="0"/>
              <w:adjustRightInd w:val="0"/>
              <w:spacing w:line="348" w:lineRule="auto"/>
              <w:jc w:val="center"/>
              <w:rPr>
                <w:rFonts w:ascii="仿宋_GB2312" w:hAnsi="仿宋_GB2312" w:eastAsia="仿宋_GB2312" w:cs="仿宋_GB2312"/>
                <w:sz w:val="24"/>
                <w:u w:val="single"/>
              </w:rPr>
            </w:pPr>
            <w:r>
              <w:rPr>
                <w:rFonts w:hint="eastAsia" w:ascii="仿宋_GB2312" w:hAnsi="仿宋_GB2312" w:eastAsia="仿宋_GB2312" w:cs="仿宋_GB2312"/>
                <w:sz w:val="24"/>
                <w:lang w:val="zh-CN"/>
              </w:rPr>
              <w:t>（正反面）</w:t>
            </w:r>
          </w:p>
        </w:tc>
        <w:tc>
          <w:tcPr>
            <w:tcW w:w="38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ascii="仿宋_GB2312" w:hAnsi="仿宋_GB2312" w:eastAsia="仿宋_GB2312" w:cs="仿宋_GB2312"/>
                <w:sz w:val="24"/>
                <w:lang w:val="zh-CN"/>
              </w:rPr>
            </w:pPr>
            <w:r>
              <w:rPr>
                <w:rFonts w:hint="eastAsia" w:ascii="仿宋_GB2312" w:hAnsi="仿宋_GB2312" w:eastAsia="仿宋_GB2312" w:cs="仿宋_GB2312"/>
                <w:sz w:val="24"/>
                <w:lang w:val="zh-CN"/>
              </w:rPr>
              <w:t>授权代表身份证复印件</w:t>
            </w:r>
          </w:p>
          <w:p>
            <w:pPr>
              <w:autoSpaceDE w:val="0"/>
              <w:autoSpaceDN w:val="0"/>
              <w:adjustRightInd w:val="0"/>
              <w:spacing w:line="348" w:lineRule="auto"/>
              <w:jc w:val="center"/>
              <w:rPr>
                <w:rFonts w:ascii="仿宋_GB2312" w:hAnsi="仿宋_GB2312" w:eastAsia="仿宋_GB2312" w:cs="仿宋_GB2312"/>
                <w:sz w:val="24"/>
                <w:u w:val="single"/>
              </w:rPr>
            </w:pPr>
            <w:r>
              <w:rPr>
                <w:rFonts w:hint="eastAsia" w:ascii="仿宋_GB2312" w:hAnsi="仿宋_GB2312" w:eastAsia="仿宋_GB2312" w:cs="仿宋_GB2312"/>
                <w:sz w:val="24"/>
                <w:lang w:val="zh-CN"/>
              </w:rPr>
              <w:t>（正反面）</w:t>
            </w:r>
          </w:p>
        </w:tc>
      </w:tr>
    </w:tbl>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供应商                         法定代表人</w:t>
      </w:r>
      <w:r>
        <w:rPr>
          <w:rFonts w:hint="eastAsia" w:ascii="仿宋_GB2312" w:hAnsi="仿宋_GB2312" w:eastAsia="仿宋_GB2312" w:cs="仿宋_GB2312"/>
          <w:sz w:val="24"/>
          <w:lang w:val="zh-CN"/>
        </w:rPr>
        <w:t>/单位负责人</w:t>
      </w:r>
    </w:p>
    <w:p>
      <w:pPr>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（公章）：                       （签字或盖章）：</w:t>
      </w:r>
    </w:p>
    <w:p>
      <w:pPr>
        <w:spacing w:after="120"/>
        <w:rPr>
          <w:rFonts w:hint="eastAsia" w:ascii="仿宋_GB2312" w:hAnsi="仿宋_GB2312" w:eastAsia="仿宋_GB2312" w:cs="仿宋_GB2312"/>
        </w:rPr>
      </w:pPr>
    </w:p>
    <w:p>
      <w:pPr>
        <w:adjustRightInd w:val="0"/>
        <w:snapToGrid w:val="0"/>
        <w:spacing w:line="360" w:lineRule="auto"/>
        <w:rPr>
          <w:rFonts w:hint="eastAsia" w:ascii="仿宋_GB2312" w:hAnsi="仿宋_GB2312" w:eastAsia="仿宋_GB2312" w:cs="仿宋_GB2312"/>
          <w:sz w:val="24"/>
          <w:lang w:val="en-US" w:eastAsia="zh-CN"/>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sz w:val="24"/>
          <w:lang w:val="en-US" w:eastAsia="zh-CN"/>
        </w:rPr>
        <w:t xml:space="preserve">  授权代表</w:t>
      </w:r>
    </w:p>
    <w:p>
      <w:pPr>
        <w:adjustRightInd w:val="0"/>
        <w:snapToGrid w:val="0"/>
        <w:spacing w:line="360" w:lineRule="auto"/>
        <w:rPr>
          <w:rFonts w:ascii="仿宋_GB2312" w:hAnsi="仿宋_GB2312" w:eastAsia="仿宋_GB2312" w:cs="仿宋_GB2312"/>
        </w:rPr>
      </w:pPr>
      <w:r>
        <w:rPr>
          <w:rFonts w:hint="eastAsia" w:ascii="仿宋_GB2312" w:hAnsi="仿宋_GB2312" w:eastAsia="仿宋_GB2312" w:cs="仿宋_GB2312"/>
          <w:sz w:val="24"/>
          <w:lang w:val="en-US" w:eastAsia="zh-CN"/>
        </w:rPr>
        <w:t xml:space="preserve">     （签字）：</w:t>
      </w:r>
      <w:r>
        <w:rPr>
          <w:rFonts w:hint="eastAsia" w:ascii="仿宋_GB2312" w:hAnsi="仿宋_GB2312" w:eastAsia="仿宋_GB2312" w:cs="仿宋_GB2312"/>
        </w:rPr>
        <w:br w:type="page"/>
      </w:r>
    </w:p>
    <w:p>
      <w:pPr>
        <w:autoSpaceDE w:val="0"/>
        <w:autoSpaceDN w:val="0"/>
        <w:adjustRightInd w:val="0"/>
        <w:jc w:val="center"/>
        <w:rPr>
          <w:rFonts w:ascii="仿宋_GB2312" w:hAnsi="仿宋_GB2312" w:eastAsia="仿宋_GB2312" w:cs="仿宋_GB2312"/>
          <w:b/>
          <w:kern w:val="0"/>
          <w:sz w:val="28"/>
          <w:szCs w:val="28"/>
        </w:rPr>
      </w:pPr>
    </w:p>
    <w:p>
      <w:pPr>
        <w:autoSpaceDE w:val="0"/>
        <w:autoSpaceDN w:val="0"/>
        <w:adjustRightInd w:val="0"/>
        <w:jc w:val="center"/>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2、法定代表人</w:t>
      </w:r>
      <w:r>
        <w:rPr>
          <w:rFonts w:hint="eastAsia" w:ascii="仿宋_GB2312" w:hAnsi="仿宋_GB2312" w:eastAsia="仿宋_GB2312" w:cs="仿宋_GB2312"/>
          <w:b/>
          <w:bCs/>
          <w:sz w:val="32"/>
          <w:szCs w:val="32"/>
          <w:lang w:val="zh-CN"/>
        </w:rPr>
        <w:t>（单位负责人）</w:t>
      </w:r>
      <w:r>
        <w:rPr>
          <w:rFonts w:hint="eastAsia" w:ascii="仿宋_GB2312" w:hAnsi="仿宋_GB2312" w:eastAsia="仿宋_GB2312" w:cs="仿宋_GB2312"/>
          <w:b/>
          <w:kern w:val="0"/>
          <w:sz w:val="28"/>
          <w:szCs w:val="28"/>
        </w:rPr>
        <w:t>身份证明</w:t>
      </w: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供应商名称：</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 xml:space="preserve"> </w:t>
      </w: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单位性质： </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 xml:space="preserve"> </w:t>
      </w: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地    址： </w:t>
      </w:r>
      <w:r>
        <w:rPr>
          <w:rFonts w:hint="eastAsia" w:ascii="仿宋_GB2312" w:hAnsi="仿宋_GB2312" w:eastAsia="仿宋_GB2312" w:cs="仿宋_GB2312"/>
          <w:kern w:val="0"/>
          <w:sz w:val="24"/>
          <w:u w:val="single"/>
        </w:rPr>
        <w:t xml:space="preserve">                       </w:t>
      </w: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成立时间：</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 xml:space="preserve"> 年</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月</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日</w:t>
      </w: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经营期限：</w:t>
      </w: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性别：</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年龄：</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 xml:space="preserve"> 职务：</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系</w:t>
      </w:r>
      <w:r>
        <w:rPr>
          <w:rFonts w:hint="eastAsia" w:ascii="仿宋_GB2312" w:hAnsi="仿宋_GB2312" w:eastAsia="仿宋_GB2312" w:cs="仿宋_GB2312"/>
          <w:kern w:val="0"/>
          <w:sz w:val="24"/>
          <w:u w:val="single"/>
        </w:rPr>
        <w:t xml:space="preserve">             </w:t>
      </w:r>
      <w:r>
        <w:rPr>
          <w:rFonts w:hint="eastAsia" w:ascii="仿宋_GB2312" w:hAnsi="仿宋_GB2312" w:eastAsia="仿宋_GB2312" w:cs="仿宋_GB2312"/>
          <w:kern w:val="0"/>
          <w:sz w:val="24"/>
        </w:rPr>
        <w:t>（供应商名称）的法定代表人。</w:t>
      </w:r>
    </w:p>
    <w:p>
      <w:pPr>
        <w:autoSpaceDE w:val="0"/>
        <w:autoSpaceDN w:val="0"/>
        <w:adjustRightInd w:val="0"/>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特此证明。</w:t>
      </w: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jc w:val="left"/>
        <w:rPr>
          <w:rFonts w:ascii="仿宋_GB2312" w:hAnsi="仿宋_GB2312" w:eastAsia="仿宋_GB2312" w:cs="仿宋_GB2312"/>
          <w:kern w:val="0"/>
          <w:sz w:val="24"/>
        </w:rPr>
      </w:pPr>
    </w:p>
    <w:p>
      <w:pPr>
        <w:autoSpaceDE w:val="0"/>
        <w:autoSpaceDN w:val="0"/>
        <w:adjustRightInd w:val="0"/>
        <w:spacing w:line="360" w:lineRule="auto"/>
        <w:ind w:left="5399" w:leftChars="2571"/>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供应商：           （公章）</w:t>
      </w:r>
    </w:p>
    <w:p>
      <w:pPr>
        <w:autoSpaceDE w:val="0"/>
        <w:autoSpaceDN w:val="0"/>
        <w:adjustRightInd w:val="0"/>
        <w:spacing w:line="360" w:lineRule="auto"/>
        <w:ind w:left="5399" w:leftChars="2571"/>
        <w:jc w:val="left"/>
        <w:rPr>
          <w:rFonts w:ascii="仿宋_GB2312" w:hAnsi="仿宋_GB2312" w:eastAsia="仿宋_GB2312" w:cs="仿宋_GB2312"/>
          <w:kern w:val="0"/>
          <w:sz w:val="24"/>
        </w:rPr>
      </w:pPr>
    </w:p>
    <w:p>
      <w:pPr>
        <w:autoSpaceDE w:val="0"/>
        <w:autoSpaceDN w:val="0"/>
        <w:adjustRightInd w:val="0"/>
        <w:spacing w:line="360" w:lineRule="auto"/>
        <w:ind w:left="6659" w:leftChars="3171"/>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年  月  日</w:t>
      </w:r>
    </w:p>
    <w:p>
      <w:pPr>
        <w:spacing w:after="120"/>
        <w:rPr>
          <w:rFonts w:ascii="仿宋_GB2312" w:hAnsi="仿宋_GB2312" w:eastAsia="仿宋_GB2312" w:cs="仿宋_GB2312"/>
        </w:rPr>
      </w:pPr>
      <w:r>
        <w:rPr>
          <w:rFonts w:hint="eastAsia" w:ascii="仿宋_GB2312" w:hAnsi="仿宋_GB2312" w:eastAsia="仿宋_GB2312" w:cs="仿宋_GB2312"/>
        </w:rPr>
        <w:br w:type="page"/>
      </w:r>
    </w:p>
    <w:p>
      <w:pPr>
        <w:widowControl/>
        <w:ind w:firstLine="161" w:firstLineChars="50"/>
        <w:jc w:val="left"/>
        <w:rPr>
          <w:rFonts w:ascii="仿宋_GB2312" w:hAnsi="仿宋_GB2312" w:eastAsia="仿宋_GB2312" w:cs="仿宋_GB2312"/>
          <w:sz w:val="28"/>
          <w:szCs w:val="28"/>
        </w:rPr>
      </w:pPr>
      <w:r>
        <w:rPr>
          <w:rFonts w:hint="eastAsia" w:ascii="仿宋_GB2312" w:hAnsi="仿宋_GB2312" w:eastAsia="仿宋_GB2312" w:cs="仿宋_GB2312"/>
          <w:b/>
          <w:bCs/>
          <w:sz w:val="32"/>
          <w:szCs w:val="32"/>
          <w:lang w:val="zh-CN"/>
        </w:rPr>
        <w:t xml:space="preserve"> </w:t>
      </w:r>
    </w:p>
    <w:p>
      <w:pPr>
        <w:spacing w:after="120"/>
        <w:rPr>
          <w:rFonts w:ascii="仿宋_GB2312" w:hAnsi="仿宋_GB2312" w:eastAsia="仿宋_GB2312" w:cs="仿宋_GB2312"/>
        </w:rPr>
      </w:pPr>
    </w:p>
    <w:p>
      <w:pPr>
        <w:autoSpaceDE w:val="0"/>
        <w:autoSpaceDN w:val="0"/>
        <w:adjustRightInd w:val="0"/>
        <w:jc w:val="center"/>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3、授权代表本单位证明</w:t>
      </w:r>
    </w:p>
    <w:p>
      <w:pPr>
        <w:spacing w:after="120"/>
        <w:rPr>
          <w:rFonts w:ascii="仿宋_GB2312" w:hAnsi="仿宋_GB2312" w:eastAsia="仿宋_GB2312" w:cs="仿宋_GB2312"/>
        </w:rPr>
      </w:pPr>
    </w:p>
    <w:p>
      <w:pPr>
        <w:autoSpaceDE w:val="0"/>
        <w:autoSpaceDN w:val="0"/>
        <w:adjustRightInd w:val="0"/>
        <w:spacing w:line="348" w:lineRule="auto"/>
        <w:jc w:val="center"/>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养老保险缴纳证明或劳动合同复印件</w:t>
      </w:r>
      <w:r>
        <w:rPr>
          <w:rFonts w:hint="eastAsia" w:ascii="仿宋_GB2312" w:hAnsi="仿宋_GB2312" w:eastAsia="仿宋_GB2312" w:cs="仿宋_GB2312"/>
          <w:sz w:val="28"/>
          <w:szCs w:val="28"/>
          <w:lang w:val="zh-CN"/>
        </w:rPr>
        <w:t>）</w:t>
      </w:r>
    </w:p>
    <w:p>
      <w:pPr>
        <w:spacing w:after="120"/>
        <w:rPr>
          <w:rFonts w:ascii="仿宋_GB2312" w:hAnsi="仿宋_GB2312" w:eastAsia="仿宋_GB2312" w:cs="仿宋_GB2312"/>
          <w:color w:val="FF0000"/>
          <w:lang w:val="zh-CN"/>
        </w:rPr>
      </w:pPr>
      <w:r>
        <w:rPr>
          <w:rFonts w:hint="eastAsia" w:ascii="仿宋_GB2312" w:hAnsi="仿宋_GB2312" w:eastAsia="仿宋_GB2312" w:cs="仿宋_GB2312"/>
          <w:color w:val="FF0000"/>
          <w:lang w:val="zh-CN"/>
        </w:rPr>
        <w:br w:type="page"/>
      </w:r>
    </w:p>
    <w:p>
      <w:pPr>
        <w:spacing w:after="120"/>
        <w:rPr>
          <w:rFonts w:ascii="仿宋_GB2312" w:hAnsi="仿宋_GB2312" w:eastAsia="仿宋_GB2312" w:cs="仿宋_GB2312"/>
        </w:rPr>
      </w:pPr>
    </w:p>
    <w:p>
      <w:pPr>
        <w:pStyle w:val="77"/>
        <w:spacing w:before="24" w:after="24"/>
        <w:jc w:val="center"/>
        <w:rPr>
          <w:rFonts w:ascii="仿宋_GB2312" w:hAnsi="仿宋_GB2312" w:eastAsia="仿宋_GB2312" w:cs="仿宋_GB2312"/>
        </w:rPr>
      </w:pPr>
      <w:bookmarkStart w:id="457" w:name="_Toc62196439"/>
      <w:r>
        <w:rPr>
          <w:rFonts w:hint="eastAsia" w:ascii="仿宋_GB2312" w:hAnsi="仿宋_GB2312" w:eastAsia="仿宋_GB2312" w:cs="仿宋_GB2312"/>
        </w:rPr>
        <w:t>第二部分  资格证明文件</w:t>
      </w:r>
      <w:bookmarkEnd w:id="457"/>
    </w:p>
    <w:p>
      <w:pPr>
        <w:spacing w:after="120"/>
        <w:rPr>
          <w:rFonts w:ascii="仿宋_GB2312" w:hAnsi="仿宋_GB2312" w:eastAsia="仿宋_GB2312" w:cs="仿宋_GB2312"/>
        </w:rPr>
      </w:pPr>
    </w:p>
    <w:p>
      <w:pPr>
        <w:numPr>
          <w:ilvl w:val="1"/>
          <w:numId w:val="14"/>
        </w:numPr>
        <w:tabs>
          <w:tab w:val="left" w:pos="993"/>
          <w:tab w:val="left" w:pos="1030"/>
          <w:tab w:val="left" w:pos="8364"/>
        </w:tabs>
        <w:snapToGrid w:val="0"/>
        <w:spacing w:after="120" w:afterLines="50" w:line="360" w:lineRule="auto"/>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供应商的企业法人营业执照复印件（格式要求见附件6-1）；</w:t>
      </w:r>
    </w:p>
    <w:p>
      <w:pPr>
        <w:numPr>
          <w:ilvl w:val="1"/>
          <w:numId w:val="14"/>
        </w:numPr>
        <w:tabs>
          <w:tab w:val="left" w:pos="993"/>
          <w:tab w:val="left" w:pos="1030"/>
          <w:tab w:val="left" w:pos="8364"/>
        </w:tabs>
        <w:snapToGrid w:val="0"/>
        <w:spacing w:after="120" w:afterLines="50" w:line="360" w:lineRule="auto"/>
        <w:ind w:left="833" w:leftChars="0" w:right="-57" w:rightChars="-27" w:hanging="413"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供应商20</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年度经审计的财务报表复印件（包括资产负债表、现金流量表、利润表），或本年度基本开户银行出具的资信证明（格式要求见附件6-2）；</w:t>
      </w:r>
    </w:p>
    <w:p>
      <w:pPr>
        <w:numPr>
          <w:ilvl w:val="0"/>
          <w:numId w:val="0"/>
        </w:numPr>
        <w:tabs>
          <w:tab w:val="left" w:pos="993"/>
          <w:tab w:val="left" w:pos="1030"/>
          <w:tab w:val="left" w:pos="8364"/>
        </w:tabs>
        <w:snapToGrid w:val="0"/>
        <w:spacing w:after="120" w:afterLines="50" w:line="360" w:lineRule="auto"/>
        <w:ind w:left="420" w:leftChars="0" w:right="-57" w:rightChars="-27" w:firstLine="420" w:firstLineChars="175"/>
        <w:jc w:val="left"/>
        <w:rPr>
          <w:rFonts w:hint="eastAsia" w:ascii="仿宋_GB2312" w:hAnsi="仿宋_GB2312" w:eastAsia="仿宋_GB2312" w:cs="仿宋_GB2312"/>
          <w:sz w:val="24"/>
        </w:rPr>
      </w:pPr>
      <w:r>
        <w:rPr>
          <w:rFonts w:hint="eastAsia" w:ascii="仿宋_GB2312" w:hAnsi="仿宋_GB2312" w:eastAsia="仿宋_GB2312" w:cs="仿宋_GB2312"/>
          <w:sz w:val="24"/>
        </w:rPr>
        <w:t>依法缴纳税收和社会保障资金的证明材料复印件（格式见附件6-3、6-4）</w:t>
      </w:r>
    </w:p>
    <w:p>
      <w:pPr>
        <w:numPr>
          <w:ilvl w:val="1"/>
          <w:numId w:val="14"/>
        </w:numPr>
        <w:tabs>
          <w:tab w:val="left" w:pos="993"/>
          <w:tab w:val="left" w:pos="1030"/>
          <w:tab w:val="left" w:pos="8364"/>
        </w:tabs>
        <w:snapToGrid w:val="0"/>
        <w:spacing w:after="120" w:afterLines="50" w:line="360" w:lineRule="auto"/>
        <w:ind w:left="993" w:right="-57" w:rightChars="-27" w:hanging="573"/>
        <w:jc w:val="left"/>
        <w:rPr>
          <w:rFonts w:ascii="仿宋_GB2312" w:hAnsi="仿宋_GB2312" w:eastAsia="仿宋_GB2312" w:cs="仿宋_GB2312"/>
          <w:sz w:val="24"/>
        </w:rPr>
      </w:pPr>
      <w:r>
        <w:rPr>
          <w:rFonts w:hint="eastAsia" w:ascii="仿宋_GB2312" w:hAnsi="仿宋_GB2312" w:eastAsia="仿宋_GB2312" w:cs="仿宋_GB2312"/>
          <w:sz w:val="24"/>
        </w:rPr>
        <w:t>具备履行合同所必需的设备和专业技术能力的承诺原件（格式见附件6-5）；</w:t>
      </w:r>
    </w:p>
    <w:p>
      <w:pPr>
        <w:numPr>
          <w:ilvl w:val="1"/>
          <w:numId w:val="14"/>
        </w:numPr>
        <w:tabs>
          <w:tab w:val="left" w:pos="8364"/>
        </w:tabs>
        <w:snapToGrid w:val="0"/>
        <w:spacing w:after="120" w:afterLines="50" w:line="360" w:lineRule="auto"/>
        <w:ind w:left="833" w:leftChars="0" w:right="-57" w:rightChars="-27" w:hanging="413" w:firstLineChars="0"/>
        <w:jc w:val="left"/>
        <w:rPr>
          <w:rFonts w:ascii="仿宋_GB2312" w:hAnsi="仿宋_GB2312" w:eastAsia="仿宋_GB2312" w:cs="仿宋_GB2312"/>
          <w:sz w:val="24"/>
        </w:rPr>
      </w:pPr>
      <w:r>
        <w:rPr>
          <w:rFonts w:hint="eastAsia" w:ascii="仿宋_GB2312" w:hAnsi="仿宋_GB2312" w:eastAsia="仿宋_GB2312" w:cs="仿宋_GB2312"/>
          <w:sz w:val="24"/>
        </w:rPr>
        <w:t>供应商参加政府采购活动前3年内在经营活动中没有重大违法记录的书面声明原件</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不存在违反法律、法规的情况。</w:t>
      </w:r>
      <w:r>
        <w:rPr>
          <w:rFonts w:hint="eastAsia" w:ascii="仿宋_GB2312" w:hAnsi="仿宋_GB2312" w:eastAsia="仿宋_GB2312" w:cs="仿宋_GB2312"/>
          <w:sz w:val="24"/>
        </w:rPr>
        <w:t>（格式见附件6-6）</w:t>
      </w:r>
      <w:r>
        <w:rPr>
          <w:rFonts w:hint="eastAsia" w:ascii="仿宋_GB2312" w:hAnsi="仿宋_GB2312" w:eastAsia="仿宋_GB2312" w:cs="仿宋_GB2312"/>
          <w:sz w:val="24"/>
          <w:lang w:eastAsia="zh-CN"/>
        </w:rPr>
        <w:t>；</w:t>
      </w:r>
    </w:p>
    <w:p>
      <w:pPr>
        <w:numPr>
          <w:ilvl w:val="1"/>
          <w:numId w:val="14"/>
        </w:numPr>
        <w:tabs>
          <w:tab w:val="left" w:pos="993"/>
          <w:tab w:val="left" w:pos="1030"/>
          <w:tab w:val="left" w:pos="8364"/>
        </w:tabs>
        <w:snapToGrid w:val="0"/>
        <w:spacing w:after="120" w:afterLines="50" w:line="360" w:lineRule="auto"/>
        <w:ind w:left="853" w:leftChars="0" w:right="-57" w:rightChars="-27" w:hanging="433" w:firstLineChars="0"/>
        <w:jc w:val="left"/>
        <w:rPr>
          <w:rFonts w:ascii="仿宋_GB2312" w:hAnsi="仿宋_GB2312" w:eastAsia="仿宋_GB2312" w:cs="仿宋_GB2312"/>
          <w:sz w:val="24"/>
        </w:rPr>
      </w:pPr>
      <w:r>
        <w:rPr>
          <w:rFonts w:hint="eastAsia" w:ascii="仿宋_GB2312" w:hAnsi="仿宋_GB2312" w:eastAsia="仿宋_GB2312" w:cs="仿宋_GB2312"/>
          <w:sz w:val="24"/>
        </w:rPr>
        <w:t>供应商控股股东名称、控股公司的名称和存在管理、被管理关系的单位名称说明（格式见附件6-7)</w:t>
      </w:r>
      <w:r>
        <w:rPr>
          <w:rFonts w:hint="eastAsia" w:ascii="仿宋_GB2312" w:hAnsi="仿宋_GB2312" w:eastAsia="仿宋_GB2312" w:cs="仿宋_GB2312"/>
          <w:sz w:val="24"/>
          <w:lang w:eastAsia="zh-CN"/>
        </w:rPr>
        <w:t>；</w:t>
      </w:r>
    </w:p>
    <w:p>
      <w:pPr>
        <w:numPr>
          <w:ilvl w:val="1"/>
          <w:numId w:val="14"/>
        </w:numPr>
        <w:tabs>
          <w:tab w:val="left" w:pos="1030"/>
          <w:tab w:val="left" w:pos="8364"/>
        </w:tabs>
        <w:snapToGrid w:val="0"/>
        <w:spacing w:after="120" w:afterLines="50" w:line="360" w:lineRule="auto"/>
        <w:ind w:left="853" w:leftChars="0" w:right="-57" w:rightChars="-27" w:hanging="433" w:firstLineChars="0"/>
        <w:jc w:val="left"/>
        <w:rPr>
          <w:rFonts w:ascii="仿宋_GB2312" w:hAnsi="仿宋_GB2312" w:eastAsia="仿宋_GB2312" w:cs="仿宋_GB2312"/>
          <w:sz w:val="24"/>
        </w:rPr>
      </w:pPr>
      <w:r>
        <w:rPr>
          <w:rFonts w:hint="eastAsia" w:ascii="仿宋_GB2312" w:hAnsi="仿宋_GB2312" w:eastAsia="仿宋_GB2312" w:cs="仿宋_GB2312"/>
          <w:sz w:val="24"/>
        </w:rPr>
        <w:t>供应商是否属于为本项目提供整体设计、规范编制或者项目管理、监理、检测等服务的供应商声明原件（格式见附件6-8)</w:t>
      </w:r>
      <w:r>
        <w:rPr>
          <w:rFonts w:hint="eastAsia" w:ascii="仿宋_GB2312" w:hAnsi="仿宋_GB2312" w:eastAsia="仿宋_GB2312" w:cs="仿宋_GB2312"/>
          <w:sz w:val="24"/>
          <w:lang w:eastAsia="zh-CN"/>
        </w:rPr>
        <w:t>；</w:t>
      </w:r>
    </w:p>
    <w:p>
      <w:pPr>
        <w:numPr>
          <w:ilvl w:val="1"/>
          <w:numId w:val="14"/>
        </w:numPr>
        <w:tabs>
          <w:tab w:val="left" w:pos="993"/>
          <w:tab w:val="left" w:pos="1030"/>
          <w:tab w:val="left" w:pos="8364"/>
        </w:tabs>
        <w:snapToGrid w:val="0"/>
        <w:spacing w:after="120" w:afterLines="50" w:line="360" w:lineRule="auto"/>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证明供应商符合特定资格条件的证明材料，包括：建设行政主管部门颁发的建筑工程施工总承包三级以上（含三级）资质，有效的安全生产许可证；拟派项目经理建筑工程专业二级以上（含二级）注册建造师证书和安全生产考核合格证（B证）</w:t>
      </w:r>
      <w:r>
        <w:rPr>
          <w:rFonts w:hint="eastAsia" w:ascii="仿宋_GB2312" w:hAnsi="仿宋_GB2312" w:eastAsia="仿宋_GB2312" w:cs="仿宋_GB2312"/>
          <w:color w:val="auto"/>
          <w:sz w:val="24"/>
        </w:rPr>
        <w:t>（格式见附件6-9)</w:t>
      </w:r>
      <w:r>
        <w:rPr>
          <w:rFonts w:hint="eastAsia" w:ascii="仿宋_GB2312" w:hAnsi="仿宋_GB2312" w:eastAsia="仿宋_GB2312" w:cs="仿宋_GB2312"/>
          <w:sz w:val="24"/>
        </w:rPr>
        <w:t>。</w:t>
      </w:r>
    </w:p>
    <w:p>
      <w:pPr>
        <w:pStyle w:val="22"/>
        <w:ind w:left="780"/>
        <w:rPr>
          <w:rFonts w:ascii="仿宋_GB2312" w:hAnsi="仿宋_GB2312" w:eastAsia="仿宋_GB2312" w:cs="仿宋_GB2312"/>
        </w:rPr>
      </w:pPr>
    </w:p>
    <w:p>
      <w:pPr>
        <w:adjustRightInd w:val="0"/>
        <w:spacing w:line="360" w:lineRule="auto"/>
        <w:ind w:firstLine="480" w:firstLineChars="200"/>
        <w:jc w:val="left"/>
        <w:textAlignment w:val="baseline"/>
        <w:rPr>
          <w:rFonts w:ascii="仿宋_GB2312" w:hAnsi="仿宋_GB2312" w:eastAsia="仿宋_GB2312" w:cs="仿宋_GB2312"/>
          <w:sz w:val="24"/>
        </w:rPr>
      </w:pPr>
      <w:r>
        <w:rPr>
          <w:rFonts w:hint="eastAsia" w:ascii="仿宋_GB2312" w:hAnsi="仿宋_GB2312" w:eastAsia="仿宋_GB2312" w:cs="仿宋_GB2312"/>
          <w:sz w:val="24"/>
        </w:rPr>
        <w:t>以上提供的扫描件、复印件必须加盖供应商公章。</w:t>
      </w:r>
    </w:p>
    <w:p>
      <w:pPr>
        <w:spacing w:after="120"/>
        <w:rPr>
          <w:rFonts w:ascii="仿宋_GB2312" w:hAnsi="仿宋_GB2312" w:eastAsia="仿宋_GB2312" w:cs="仿宋_GB2312"/>
        </w:rPr>
      </w:pPr>
      <w:r>
        <w:rPr>
          <w:rFonts w:hint="eastAsia" w:ascii="仿宋_GB2312" w:hAnsi="仿宋_GB2312" w:eastAsia="仿宋_GB2312" w:cs="仿宋_GB2312"/>
        </w:rPr>
        <w:br w:type="page"/>
      </w:r>
    </w:p>
    <w:p>
      <w:pPr>
        <w:adjustRightInd w:val="0"/>
        <w:spacing w:line="360" w:lineRule="auto"/>
        <w:ind w:firstLine="480" w:firstLineChars="200"/>
        <w:jc w:val="left"/>
        <w:textAlignment w:val="baseline"/>
        <w:rPr>
          <w:rFonts w:ascii="仿宋_GB2312" w:hAnsi="仿宋_GB2312" w:eastAsia="仿宋_GB2312" w:cs="仿宋_GB2312"/>
          <w:sz w:val="24"/>
        </w:rPr>
      </w:pPr>
    </w:p>
    <w:p>
      <w:pPr>
        <w:jc w:val="left"/>
        <w:outlineLvl w:val="2"/>
        <w:rPr>
          <w:rFonts w:ascii="仿宋_GB2312" w:hAnsi="仿宋_GB2312" w:eastAsia="仿宋_GB2312" w:cs="仿宋_GB2312"/>
          <w:b/>
          <w:sz w:val="24"/>
        </w:rPr>
      </w:pPr>
      <w:bookmarkStart w:id="458" w:name="_Toc7005120"/>
      <w:r>
        <w:rPr>
          <w:rFonts w:hint="eastAsia" w:ascii="仿宋_GB2312" w:hAnsi="仿宋_GB2312" w:eastAsia="仿宋_GB2312" w:cs="仿宋_GB2312"/>
          <w:b/>
          <w:sz w:val="24"/>
        </w:rPr>
        <w:t>6-1  供应商的企业法人营业执照副本复印件（加盖公章）</w:t>
      </w:r>
      <w:bookmarkEnd w:id="458"/>
    </w:p>
    <w:p>
      <w:pPr>
        <w:jc w:val="left"/>
        <w:rPr>
          <w:rFonts w:ascii="仿宋_GB2312" w:hAnsi="仿宋_GB2312" w:eastAsia="仿宋_GB2312" w:cs="仿宋_GB2312"/>
          <w:sz w:val="24"/>
        </w:rPr>
      </w:pPr>
    </w:p>
    <w:p>
      <w:pPr>
        <w:tabs>
          <w:tab w:val="left" w:pos="993"/>
          <w:tab w:val="left" w:pos="1030"/>
          <w:tab w:val="left" w:pos="8364"/>
        </w:tabs>
        <w:snapToGrid w:val="0"/>
        <w:spacing w:after="120" w:afterLines="50"/>
        <w:ind w:right="-57" w:rightChars="-27"/>
        <w:rPr>
          <w:rFonts w:ascii="仿宋_GB2312" w:hAnsi="仿宋_GB2312" w:eastAsia="仿宋_GB2312" w:cs="仿宋_GB2312"/>
          <w:sz w:val="24"/>
        </w:rPr>
      </w:pPr>
      <w:r>
        <w:rPr>
          <w:rFonts w:hint="eastAsia" w:ascii="仿宋_GB2312" w:hAnsi="仿宋_GB2312" w:eastAsia="仿宋_GB2312" w:cs="仿宋_GB2312"/>
          <w:sz w:val="24"/>
        </w:rPr>
        <w:t>（注：根据项目实际情况，本项内容可能要求提供“事业单位法人证书”、执业许可证、自然人身份证明等证明材料）</w:t>
      </w:r>
    </w:p>
    <w:p>
      <w:pPr>
        <w:adjustRightInd w:val="0"/>
        <w:spacing w:line="360" w:lineRule="atLeast"/>
        <w:jc w:val="left"/>
        <w:textAlignment w:val="baseline"/>
        <w:rPr>
          <w:rFonts w:ascii="仿宋_GB2312" w:hAnsi="仿宋_GB2312" w:eastAsia="仿宋_GB2312" w:cs="仿宋_GB2312"/>
          <w:b/>
          <w:sz w:val="28"/>
        </w:rPr>
      </w:pPr>
    </w:p>
    <w:p>
      <w:pPr>
        <w:adjustRightInd w:val="0"/>
        <w:spacing w:line="360" w:lineRule="atLeast"/>
        <w:jc w:val="left"/>
        <w:textAlignment w:val="baseline"/>
        <w:rPr>
          <w:rFonts w:ascii="仿宋_GB2312" w:hAnsi="仿宋_GB2312" w:eastAsia="仿宋_GB2312" w:cs="仿宋_GB2312"/>
          <w:b/>
          <w:sz w:val="28"/>
        </w:rPr>
      </w:pPr>
      <w:r>
        <w:rPr>
          <w:rFonts w:hint="eastAsia" w:ascii="仿宋_GB2312" w:hAnsi="仿宋_GB2312" w:eastAsia="仿宋_GB2312" w:cs="仿宋_GB2312"/>
          <w:b/>
          <w:sz w:val="28"/>
        </w:rPr>
        <w:t xml:space="preserve"> </w:t>
      </w:r>
    </w:p>
    <w:p>
      <w:pPr>
        <w:jc w:val="left"/>
        <w:outlineLvl w:val="2"/>
        <w:rPr>
          <w:rFonts w:ascii="仿宋_GB2312" w:hAnsi="仿宋_GB2312" w:eastAsia="仿宋_GB2312" w:cs="仿宋_GB2312"/>
          <w:b/>
          <w:sz w:val="24"/>
        </w:rPr>
      </w:pPr>
      <w:bookmarkStart w:id="459" w:name="_Ref527015333"/>
      <w:bookmarkStart w:id="460" w:name="_Toc7005121"/>
      <w:r>
        <w:rPr>
          <w:rFonts w:hint="eastAsia" w:ascii="仿宋_GB2312" w:hAnsi="仿宋_GB2312" w:eastAsia="仿宋_GB2312" w:cs="仿宋_GB2312"/>
          <w:b/>
          <w:sz w:val="24"/>
        </w:rPr>
        <w:t>6-2  20</w:t>
      </w:r>
      <w:r>
        <w:rPr>
          <w:rFonts w:hint="eastAsia" w:ascii="仿宋_GB2312" w:hAnsi="仿宋_GB2312" w:eastAsia="仿宋_GB2312" w:cs="仿宋_GB2312"/>
          <w:b/>
          <w:sz w:val="24"/>
          <w:lang w:val="en-US" w:eastAsia="zh-CN"/>
        </w:rPr>
        <w:t>20</w:t>
      </w:r>
      <w:r>
        <w:rPr>
          <w:rFonts w:hint="eastAsia" w:ascii="仿宋_GB2312" w:hAnsi="仿宋_GB2312" w:eastAsia="仿宋_GB2312" w:cs="仿宋_GB2312"/>
          <w:b/>
          <w:sz w:val="24"/>
        </w:rPr>
        <w:t>年度经审计的财务报表</w:t>
      </w:r>
      <w:bookmarkEnd w:id="459"/>
      <w:bookmarkEnd w:id="460"/>
    </w:p>
    <w:p>
      <w:pPr>
        <w:spacing w:line="360" w:lineRule="auto"/>
        <w:rPr>
          <w:rFonts w:ascii="仿宋_GB2312" w:hAnsi="仿宋_GB2312" w:eastAsia="仿宋_GB2312" w:cs="仿宋_GB2312"/>
          <w:szCs w:val="21"/>
        </w:rPr>
      </w:pPr>
    </w:p>
    <w:p>
      <w:pPr>
        <w:tabs>
          <w:tab w:val="left" w:pos="993"/>
          <w:tab w:val="left" w:pos="1030"/>
          <w:tab w:val="left" w:pos="8364"/>
        </w:tabs>
        <w:snapToGrid w:val="0"/>
        <w:spacing w:after="120" w:afterLines="50"/>
        <w:ind w:right="-57" w:rightChars="-27"/>
        <w:rPr>
          <w:rFonts w:ascii="仿宋_GB2312" w:hAnsi="仿宋_GB2312" w:eastAsia="仿宋_GB2312" w:cs="仿宋_GB2312"/>
          <w:sz w:val="24"/>
        </w:rPr>
      </w:pPr>
      <w:r>
        <w:rPr>
          <w:rFonts w:hint="eastAsia" w:ascii="仿宋_GB2312" w:hAnsi="仿宋_GB2312" w:eastAsia="仿宋_GB2312" w:cs="仿宋_GB2312"/>
          <w:sz w:val="24"/>
        </w:rPr>
        <w:t>提供供应商20</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年度经审计的财务报表（包括资产负债表、现金流量表、利润表）复印件或扫描件、所有复印件或扫描件需加盖单位公章。</w:t>
      </w:r>
    </w:p>
    <w:p>
      <w:pPr>
        <w:spacing w:line="360" w:lineRule="auto"/>
        <w:rPr>
          <w:rFonts w:ascii="仿宋_GB2312" w:hAnsi="仿宋_GB2312" w:eastAsia="仿宋_GB2312" w:cs="仿宋_GB2312"/>
          <w:szCs w:val="21"/>
        </w:rPr>
      </w:pPr>
    </w:p>
    <w:p>
      <w:pPr>
        <w:tabs>
          <w:tab w:val="left" w:pos="993"/>
          <w:tab w:val="left" w:pos="1030"/>
          <w:tab w:val="left" w:pos="8364"/>
        </w:tabs>
        <w:snapToGrid w:val="0"/>
        <w:spacing w:after="120" w:afterLines="50"/>
        <w:ind w:left="420" w:right="-57" w:rightChars="-27"/>
        <w:jc w:val="left"/>
        <w:rPr>
          <w:rFonts w:ascii="仿宋_GB2312" w:hAnsi="仿宋_GB2312" w:eastAsia="仿宋_GB2312" w:cs="仿宋_GB2312"/>
          <w:b/>
          <w:spacing w:val="20"/>
          <w:sz w:val="24"/>
        </w:rPr>
      </w:pPr>
    </w:p>
    <w:p>
      <w:pPr>
        <w:jc w:val="left"/>
        <w:outlineLvl w:val="2"/>
        <w:rPr>
          <w:rFonts w:ascii="仿宋_GB2312" w:hAnsi="仿宋_GB2312" w:eastAsia="仿宋_GB2312" w:cs="仿宋_GB2312"/>
          <w:b/>
          <w:sz w:val="24"/>
        </w:rPr>
      </w:pPr>
      <w:bookmarkStart w:id="461" w:name="_Toc7005122"/>
      <w:r>
        <w:rPr>
          <w:rFonts w:hint="eastAsia" w:ascii="仿宋_GB2312" w:hAnsi="仿宋_GB2312" w:eastAsia="仿宋_GB2312" w:cs="仿宋_GB2312"/>
          <w:b/>
          <w:sz w:val="24"/>
        </w:rPr>
        <w:t>或  6-2  本年度基本开户银行出具的资信证明</w:t>
      </w:r>
      <w:bookmarkEnd w:id="461"/>
    </w:p>
    <w:p>
      <w:pPr>
        <w:spacing w:line="360" w:lineRule="auto"/>
        <w:rPr>
          <w:rFonts w:ascii="仿宋_GB2312" w:hAnsi="仿宋_GB2312" w:eastAsia="仿宋_GB2312" w:cs="仿宋_GB2312"/>
          <w:szCs w:val="21"/>
        </w:rPr>
      </w:pPr>
    </w:p>
    <w:p>
      <w:pPr>
        <w:widowControl/>
        <w:jc w:val="left"/>
        <w:rPr>
          <w:rFonts w:ascii="仿宋_GB2312" w:hAnsi="仿宋_GB2312" w:eastAsia="仿宋_GB2312" w:cs="仿宋_GB2312"/>
          <w:b/>
          <w:spacing w:val="20"/>
          <w:sz w:val="24"/>
        </w:rPr>
      </w:pPr>
    </w:p>
    <w:p>
      <w:pPr>
        <w:tabs>
          <w:tab w:val="left" w:pos="5580"/>
        </w:tabs>
        <w:spacing w:before="120" w:line="360" w:lineRule="auto"/>
        <w:ind w:firstLine="480" w:firstLineChars="200"/>
        <w:rPr>
          <w:rFonts w:ascii="仿宋_GB2312" w:hAnsi="仿宋_GB2312" w:eastAsia="仿宋_GB2312" w:cs="仿宋_GB2312"/>
          <w:sz w:val="24"/>
        </w:rPr>
      </w:pPr>
    </w:p>
    <w:p>
      <w:pPr>
        <w:jc w:val="left"/>
        <w:outlineLvl w:val="2"/>
        <w:rPr>
          <w:rFonts w:ascii="仿宋_GB2312" w:hAnsi="仿宋_GB2312" w:eastAsia="仿宋_GB2312" w:cs="仿宋_GB2312"/>
          <w:b/>
          <w:sz w:val="24"/>
        </w:rPr>
      </w:pPr>
      <w:bookmarkStart w:id="462" w:name="_Toc7005123"/>
      <w:r>
        <w:rPr>
          <w:rFonts w:hint="eastAsia" w:ascii="仿宋_GB2312" w:hAnsi="仿宋_GB2312" w:eastAsia="仿宋_GB2312" w:cs="仿宋_GB2312"/>
          <w:b/>
          <w:sz w:val="24"/>
        </w:rPr>
        <w:t>6-3 依法缴纳税收的证明</w:t>
      </w:r>
      <w:bookmarkEnd w:id="462"/>
    </w:p>
    <w:p>
      <w:pPr>
        <w:tabs>
          <w:tab w:val="left" w:pos="993"/>
          <w:tab w:val="left" w:pos="1030"/>
          <w:tab w:val="left" w:pos="8364"/>
        </w:tabs>
        <w:snapToGrid w:val="0"/>
        <w:spacing w:after="120" w:afterLines="50"/>
        <w:ind w:left="420" w:right="-57" w:rightChars="-27" w:firstLine="480" w:firstLineChars="200"/>
        <w:jc w:val="left"/>
        <w:rPr>
          <w:rFonts w:ascii="仿宋_GB2312" w:hAnsi="仿宋_GB2312" w:eastAsia="仿宋_GB2312" w:cs="仿宋_GB2312"/>
          <w:sz w:val="24"/>
        </w:rPr>
      </w:pPr>
    </w:p>
    <w:p>
      <w:p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说明：</w:t>
      </w:r>
    </w:p>
    <w:p>
      <w:p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1、供应商应提供</w:t>
      </w:r>
      <w:r>
        <w:rPr>
          <w:rFonts w:hint="eastAsia" w:ascii="仿宋_GB2312" w:hAnsi="仿宋_GB2312" w:eastAsia="仿宋_GB2312" w:cs="仿宋_GB2312"/>
          <w:sz w:val="24"/>
          <w:lang w:eastAsia="zh-CN"/>
        </w:rPr>
        <w:t>2021年</w:t>
      </w:r>
      <w:r>
        <w:rPr>
          <w:rFonts w:hint="eastAsia" w:ascii="仿宋_GB2312" w:hAnsi="仿宋_GB2312" w:eastAsia="仿宋_GB2312" w:cs="仿宋_GB2312"/>
          <w:sz w:val="24"/>
        </w:rPr>
        <w:t>中任何一个月缴纳</w:t>
      </w:r>
      <w:r>
        <w:rPr>
          <w:rFonts w:hint="eastAsia" w:ascii="仿宋_GB2312" w:hAnsi="仿宋_GB2312" w:eastAsia="仿宋_GB2312" w:cs="仿宋_GB2312"/>
          <w:sz w:val="24"/>
          <w:lang w:val="en-US" w:eastAsia="zh-CN"/>
        </w:rPr>
        <w:t>税收</w:t>
      </w:r>
      <w:r>
        <w:rPr>
          <w:rFonts w:hint="eastAsia" w:ascii="仿宋_GB2312" w:hAnsi="仿宋_GB2312" w:eastAsia="仿宋_GB2312" w:cs="仿宋_GB2312"/>
          <w:sz w:val="24"/>
        </w:rPr>
        <w:t>的凭证（银行出具的缴税凭证或税务机关出具的证明的复印件，并加盖本单位公章）。</w:t>
      </w:r>
    </w:p>
    <w:p>
      <w:p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2、依法免税的供应商，应提供相应文件证明其依法免税。</w:t>
      </w:r>
    </w:p>
    <w:p>
      <w:pPr>
        <w:tabs>
          <w:tab w:val="left" w:pos="993"/>
          <w:tab w:val="left" w:pos="1030"/>
          <w:tab w:val="left" w:pos="8364"/>
        </w:tabs>
        <w:snapToGrid w:val="0"/>
        <w:spacing w:after="120" w:afterLines="50"/>
        <w:ind w:left="420" w:right="-57" w:rightChars="-27" w:firstLine="480" w:firstLineChars="200"/>
        <w:jc w:val="left"/>
        <w:rPr>
          <w:rFonts w:ascii="仿宋_GB2312" w:hAnsi="仿宋_GB2312" w:eastAsia="仿宋_GB2312" w:cs="仿宋_GB2312"/>
          <w:sz w:val="24"/>
        </w:rPr>
      </w:pPr>
    </w:p>
    <w:p>
      <w:pPr>
        <w:pStyle w:val="22"/>
        <w:rPr>
          <w:rFonts w:ascii="仿宋_GB2312" w:hAnsi="仿宋_GB2312" w:eastAsia="仿宋_GB2312" w:cs="仿宋_GB2312"/>
        </w:rPr>
      </w:pPr>
    </w:p>
    <w:p>
      <w:pPr>
        <w:tabs>
          <w:tab w:val="left" w:pos="993"/>
          <w:tab w:val="left" w:pos="1030"/>
          <w:tab w:val="left" w:pos="8364"/>
        </w:tabs>
        <w:snapToGrid w:val="0"/>
        <w:spacing w:after="120" w:afterLines="50"/>
        <w:ind w:left="420" w:right="-57" w:rightChars="-27" w:firstLine="480" w:firstLineChars="200"/>
        <w:jc w:val="left"/>
        <w:rPr>
          <w:rFonts w:ascii="仿宋_GB2312" w:hAnsi="仿宋_GB2312" w:eastAsia="仿宋_GB2312" w:cs="仿宋_GB2312"/>
          <w:sz w:val="24"/>
        </w:rPr>
      </w:pPr>
    </w:p>
    <w:p>
      <w:pPr>
        <w:jc w:val="left"/>
        <w:outlineLvl w:val="2"/>
        <w:rPr>
          <w:rFonts w:ascii="仿宋_GB2312" w:hAnsi="仿宋_GB2312" w:eastAsia="仿宋_GB2312" w:cs="仿宋_GB2312"/>
          <w:b/>
          <w:sz w:val="24"/>
        </w:rPr>
      </w:pPr>
      <w:bookmarkStart w:id="463" w:name="_Toc7005124"/>
      <w:r>
        <w:rPr>
          <w:rFonts w:hint="eastAsia" w:ascii="仿宋_GB2312" w:hAnsi="仿宋_GB2312" w:eastAsia="仿宋_GB2312" w:cs="仿宋_GB2312"/>
          <w:b/>
          <w:sz w:val="24"/>
        </w:rPr>
        <w:t>6-4社会保障资金缴纳记录</w:t>
      </w:r>
      <w:bookmarkEnd w:id="463"/>
    </w:p>
    <w:p>
      <w:pPr>
        <w:tabs>
          <w:tab w:val="left" w:pos="993"/>
          <w:tab w:val="left" w:pos="1030"/>
          <w:tab w:val="left" w:pos="8364"/>
        </w:tabs>
        <w:snapToGrid w:val="0"/>
        <w:spacing w:after="120" w:afterLines="50"/>
        <w:ind w:left="420" w:leftChars="200" w:right="-57" w:rightChars="-27"/>
        <w:jc w:val="left"/>
        <w:rPr>
          <w:rFonts w:ascii="仿宋_GB2312" w:hAnsi="仿宋_GB2312" w:eastAsia="仿宋_GB2312" w:cs="仿宋_GB2312"/>
          <w:sz w:val="24"/>
        </w:rPr>
      </w:pPr>
      <w:r>
        <w:rPr>
          <w:rFonts w:hint="eastAsia" w:ascii="仿宋_GB2312" w:hAnsi="仿宋_GB2312" w:eastAsia="仿宋_GB2312" w:cs="仿宋_GB2312"/>
          <w:sz w:val="24"/>
        </w:rPr>
        <w:cr/>
      </w:r>
    </w:p>
    <w:p>
      <w:p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rPr>
        <w:t>说明：</w:t>
      </w:r>
    </w:p>
    <w:p>
      <w:pPr>
        <w:numPr>
          <w:ilvl w:val="0"/>
          <w:numId w:val="0"/>
        </w:num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供应商应提供</w:t>
      </w:r>
      <w:r>
        <w:rPr>
          <w:rFonts w:hint="eastAsia" w:ascii="仿宋_GB2312" w:hAnsi="仿宋_GB2312" w:eastAsia="仿宋_GB2312" w:cs="仿宋_GB2312"/>
          <w:sz w:val="24"/>
          <w:lang w:eastAsia="zh-CN"/>
        </w:rPr>
        <w:t>2021年</w:t>
      </w:r>
      <w:r>
        <w:rPr>
          <w:rFonts w:hint="eastAsia" w:ascii="仿宋_GB2312" w:hAnsi="仿宋_GB2312" w:eastAsia="仿宋_GB2312" w:cs="仿宋_GB2312"/>
          <w:sz w:val="24"/>
        </w:rPr>
        <w:t>中至少一个月的社会缴纳社会保险的凭据（专用收据或社会保险缴纳清单），并加盖本单位公章。</w:t>
      </w:r>
    </w:p>
    <w:p>
      <w:pPr>
        <w:numPr>
          <w:ilvl w:val="0"/>
          <w:numId w:val="0"/>
        </w:numPr>
        <w:tabs>
          <w:tab w:val="left" w:pos="993"/>
          <w:tab w:val="left" w:pos="1030"/>
          <w:tab w:val="left" w:pos="8364"/>
        </w:tabs>
        <w:snapToGrid w:val="0"/>
        <w:spacing w:after="120" w:afterLines="50"/>
        <w:ind w:right="-57" w:rightChars="-27"/>
        <w:jc w:val="left"/>
        <w:rPr>
          <w:rFonts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不需要缴纳社会保障资金的供应商，应提供相应文件证明其不需要缴纳社会保障资金。</w:t>
      </w:r>
    </w:p>
    <w:p>
      <w:pPr>
        <w:tabs>
          <w:tab w:val="left" w:pos="5580"/>
        </w:tabs>
        <w:spacing w:before="120" w:line="360" w:lineRule="auto"/>
        <w:ind w:firstLine="480" w:firstLineChars="200"/>
        <w:rPr>
          <w:rFonts w:ascii="仿宋_GB2312" w:hAnsi="仿宋_GB2312" w:eastAsia="仿宋_GB2312" w:cs="仿宋_GB2312"/>
          <w:sz w:val="24"/>
        </w:rPr>
      </w:pPr>
    </w:p>
    <w:p>
      <w:pPr>
        <w:tabs>
          <w:tab w:val="left" w:pos="5580"/>
        </w:tabs>
        <w:spacing w:before="120" w:line="360" w:lineRule="auto"/>
        <w:ind w:firstLine="480" w:firstLineChars="200"/>
        <w:rPr>
          <w:rFonts w:ascii="仿宋_GB2312" w:hAnsi="仿宋_GB2312" w:eastAsia="仿宋_GB2312" w:cs="仿宋_GB2312"/>
          <w:sz w:val="24"/>
        </w:rPr>
      </w:pPr>
    </w:p>
    <w:p>
      <w:pPr>
        <w:jc w:val="left"/>
        <w:outlineLvl w:val="2"/>
        <w:rPr>
          <w:rFonts w:ascii="仿宋_GB2312" w:hAnsi="仿宋_GB2312" w:eastAsia="仿宋_GB2312" w:cs="仿宋_GB2312"/>
          <w:b/>
          <w:sz w:val="24"/>
        </w:rPr>
      </w:pPr>
      <w:bookmarkStart w:id="464" w:name="_Toc7005125"/>
      <w:r>
        <w:rPr>
          <w:rFonts w:hint="eastAsia" w:ascii="仿宋_GB2312" w:hAnsi="仿宋_GB2312" w:eastAsia="仿宋_GB2312" w:cs="仿宋_GB2312"/>
          <w:b/>
          <w:sz w:val="24"/>
        </w:rPr>
        <w:t>6-5 具备履行合同所必需的设备和专业技术能力承诺书</w:t>
      </w:r>
      <w:bookmarkEnd w:id="464"/>
      <w:r>
        <w:rPr>
          <w:rFonts w:hint="eastAsia" w:ascii="仿宋_GB2312" w:hAnsi="仿宋_GB2312" w:eastAsia="仿宋_GB2312" w:cs="仿宋_GB2312"/>
          <w:b/>
          <w:sz w:val="24"/>
        </w:rPr>
        <w:t xml:space="preserve">                                                                                                                                                                                                                                                                                                                                                                                                                                                                                                                                                                                                                                                                                                      </w:t>
      </w:r>
    </w:p>
    <w:p>
      <w:pPr>
        <w:ind w:firstLine="480"/>
        <w:rPr>
          <w:rFonts w:ascii="仿宋_GB2312" w:hAnsi="仿宋_GB2312" w:eastAsia="仿宋_GB2312" w:cs="仿宋_GB2312"/>
          <w:kern w:val="0"/>
          <w:sz w:val="24"/>
        </w:rPr>
      </w:pPr>
    </w:p>
    <w:p>
      <w:pPr>
        <w:ind w:firstLine="480"/>
        <w:rPr>
          <w:rFonts w:ascii="仿宋_GB2312" w:hAnsi="仿宋_GB2312" w:eastAsia="仿宋_GB2312" w:cs="仿宋_GB2312"/>
          <w:kern w:val="0"/>
          <w:sz w:val="24"/>
        </w:rPr>
      </w:pPr>
    </w:p>
    <w:p>
      <w:pPr>
        <w:rPr>
          <w:rFonts w:ascii="仿宋_GB2312" w:hAnsi="仿宋_GB2312" w:eastAsia="仿宋_GB2312" w:cs="仿宋_GB2312"/>
          <w:kern w:val="0"/>
          <w:sz w:val="24"/>
          <w:u w:val="single"/>
        </w:rPr>
      </w:pPr>
      <w:r>
        <w:rPr>
          <w:rFonts w:hint="eastAsia" w:ascii="仿宋_GB2312" w:hAnsi="仿宋_GB2312" w:eastAsia="仿宋_GB2312" w:cs="仿宋_GB2312"/>
          <w:kern w:val="0"/>
          <w:sz w:val="24"/>
          <w:u w:val="single"/>
          <w:lang w:eastAsia="zh-CN"/>
        </w:rPr>
        <w:t>陕西中润国际招标有限公司</w:t>
      </w:r>
      <w:r>
        <w:rPr>
          <w:rFonts w:hint="eastAsia" w:ascii="仿宋_GB2312" w:hAnsi="仿宋_GB2312" w:eastAsia="仿宋_GB2312" w:cs="仿宋_GB2312"/>
          <w:kern w:val="0"/>
          <w:sz w:val="24"/>
          <w:u w:val="single"/>
        </w:rPr>
        <w:t xml:space="preserve">：   </w:t>
      </w:r>
    </w:p>
    <w:p>
      <w:pPr>
        <w:ind w:firstLine="480"/>
        <w:rPr>
          <w:rFonts w:ascii="仿宋_GB2312" w:hAnsi="仿宋_GB2312" w:eastAsia="仿宋_GB2312" w:cs="仿宋_GB2312"/>
          <w:kern w:val="0"/>
          <w:sz w:val="24"/>
        </w:rPr>
      </w:pPr>
    </w:p>
    <w:p>
      <w:pPr>
        <w:ind w:firstLine="480"/>
        <w:rPr>
          <w:rFonts w:ascii="仿宋_GB2312" w:hAnsi="仿宋_GB2312" w:eastAsia="仿宋_GB2312" w:cs="仿宋_GB2312"/>
          <w:kern w:val="0"/>
          <w:sz w:val="24"/>
        </w:rPr>
      </w:pPr>
      <w:r>
        <w:rPr>
          <w:rFonts w:hint="eastAsia" w:ascii="仿宋_GB2312" w:hAnsi="仿宋_GB2312" w:eastAsia="仿宋_GB2312" w:cs="仿宋_GB2312"/>
          <w:kern w:val="0"/>
          <w:sz w:val="24"/>
        </w:rPr>
        <w:t>我公司承诺</w:t>
      </w:r>
      <w:r>
        <w:rPr>
          <w:rFonts w:hint="eastAsia" w:ascii="仿宋_GB2312" w:hAnsi="仿宋_GB2312" w:eastAsia="仿宋_GB2312" w:cs="仿宋_GB2312"/>
          <w:sz w:val="24"/>
        </w:rPr>
        <w:t>具备履行合同所必需的设备和专业技术能力</w:t>
      </w:r>
      <w:r>
        <w:rPr>
          <w:rFonts w:hint="eastAsia" w:ascii="仿宋_GB2312" w:hAnsi="仿宋_GB2312" w:eastAsia="仿宋_GB2312" w:cs="仿宋_GB2312"/>
          <w:kern w:val="0"/>
          <w:sz w:val="24"/>
        </w:rPr>
        <w:t>。</w:t>
      </w:r>
    </w:p>
    <w:p>
      <w:pPr>
        <w:ind w:firstLine="480"/>
        <w:rPr>
          <w:rFonts w:ascii="仿宋_GB2312" w:hAnsi="仿宋_GB2312" w:eastAsia="仿宋_GB2312" w:cs="仿宋_GB2312"/>
          <w:b/>
          <w:sz w:val="24"/>
        </w:rPr>
      </w:pPr>
    </w:p>
    <w:p>
      <w:pPr>
        <w:ind w:firstLine="480"/>
        <w:rPr>
          <w:rFonts w:ascii="仿宋_GB2312" w:hAnsi="仿宋_GB2312" w:eastAsia="仿宋_GB2312" w:cs="仿宋_GB2312"/>
          <w:b/>
          <w:sz w:val="24"/>
        </w:rPr>
      </w:pPr>
    </w:p>
    <w:p>
      <w:pPr>
        <w:ind w:firstLine="480"/>
        <w:rPr>
          <w:rFonts w:ascii="仿宋_GB2312" w:hAnsi="仿宋_GB2312" w:eastAsia="仿宋_GB2312" w:cs="仿宋_GB2312"/>
          <w:b/>
          <w:sz w:val="24"/>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供应商名称（公章）： </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法定代表人/单位负责人或其授权代表（签字或加盖人名章）：</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ind w:right="280"/>
        <w:rPr>
          <w:rFonts w:ascii="仿宋_GB2312" w:hAnsi="仿宋_GB2312" w:eastAsia="仿宋_GB2312" w:cs="仿宋_GB2312"/>
          <w:sz w:val="24"/>
        </w:rPr>
      </w:pPr>
    </w:p>
    <w:p>
      <w:pPr>
        <w:tabs>
          <w:tab w:val="left" w:pos="5580"/>
        </w:tabs>
        <w:spacing w:before="120" w:line="360" w:lineRule="auto"/>
        <w:ind w:firstLine="480" w:firstLineChars="200"/>
        <w:rPr>
          <w:rFonts w:ascii="仿宋_GB2312" w:hAnsi="仿宋_GB2312" w:eastAsia="仿宋_GB2312" w:cs="仿宋_GB2312"/>
          <w:sz w:val="24"/>
        </w:rPr>
      </w:pPr>
    </w:p>
    <w:p>
      <w:pPr>
        <w:widowControl/>
        <w:jc w:val="left"/>
        <w:rPr>
          <w:rFonts w:ascii="仿宋_GB2312" w:hAnsi="仿宋_GB2312" w:eastAsia="仿宋_GB2312" w:cs="仿宋_GB2312"/>
          <w:b/>
          <w:sz w:val="24"/>
        </w:rPr>
      </w:pPr>
    </w:p>
    <w:p>
      <w:pPr>
        <w:numPr>
          <w:ilvl w:val="1"/>
          <w:numId w:val="15"/>
        </w:numPr>
        <w:jc w:val="left"/>
        <w:outlineLvl w:val="2"/>
        <w:rPr>
          <w:rFonts w:ascii="仿宋_GB2312" w:hAnsi="仿宋_GB2312" w:eastAsia="仿宋_GB2312" w:cs="仿宋_GB2312"/>
          <w:b/>
          <w:sz w:val="24"/>
          <w:szCs w:val="22"/>
        </w:rPr>
      </w:pPr>
      <w:bookmarkStart w:id="465" w:name="_Toc7005126"/>
      <w:r>
        <w:rPr>
          <w:rFonts w:hint="eastAsia" w:ascii="仿宋_GB2312" w:hAnsi="仿宋_GB2312" w:eastAsia="仿宋_GB2312" w:cs="仿宋_GB2312"/>
          <w:b/>
          <w:sz w:val="24"/>
          <w:szCs w:val="22"/>
        </w:rPr>
        <w:t xml:space="preserve">  供应商参加政府采购活动前3年内在经营活动中没有重大违法记录的书面声明</w:t>
      </w:r>
      <w:r>
        <w:rPr>
          <w:rFonts w:hint="eastAsia" w:ascii="仿宋_GB2312" w:hAnsi="仿宋_GB2312" w:eastAsia="仿宋_GB2312" w:cs="仿宋_GB2312"/>
          <w:b/>
          <w:sz w:val="24"/>
          <w:szCs w:val="22"/>
          <w:lang w:eastAsia="zh-CN"/>
        </w:rPr>
        <w:t>，</w:t>
      </w:r>
      <w:r>
        <w:rPr>
          <w:rFonts w:hint="eastAsia" w:ascii="仿宋_GB2312" w:hAnsi="仿宋_GB2312" w:eastAsia="仿宋_GB2312" w:cs="仿宋_GB2312"/>
          <w:b/>
          <w:sz w:val="24"/>
          <w:szCs w:val="22"/>
          <w:lang w:val="en-US" w:eastAsia="zh-CN"/>
        </w:rPr>
        <w:t>不存在违反法律、法规的情况。</w:t>
      </w:r>
      <w:r>
        <w:rPr>
          <w:rFonts w:hint="eastAsia" w:ascii="仿宋_GB2312" w:hAnsi="仿宋_GB2312" w:eastAsia="仿宋_GB2312" w:cs="仿宋_GB2312"/>
          <w:b/>
          <w:sz w:val="24"/>
          <w:szCs w:val="22"/>
        </w:rPr>
        <w:t>（格式）</w:t>
      </w:r>
      <w:bookmarkEnd w:id="465"/>
    </w:p>
    <w:p>
      <w:pPr>
        <w:jc w:val="center"/>
        <w:rPr>
          <w:rFonts w:ascii="仿宋_GB2312" w:hAnsi="仿宋_GB2312" w:eastAsia="仿宋_GB2312" w:cs="仿宋_GB2312"/>
          <w:sz w:val="24"/>
        </w:rPr>
      </w:pPr>
    </w:p>
    <w:p>
      <w:pPr>
        <w:jc w:val="center"/>
        <w:rPr>
          <w:rFonts w:ascii="仿宋_GB2312" w:hAnsi="仿宋_GB2312" w:eastAsia="仿宋_GB2312" w:cs="仿宋_GB2312"/>
          <w:b/>
          <w:sz w:val="24"/>
        </w:rPr>
      </w:pPr>
      <w:r>
        <w:rPr>
          <w:rFonts w:hint="eastAsia" w:ascii="仿宋_GB2312" w:hAnsi="仿宋_GB2312" w:eastAsia="仿宋_GB2312" w:cs="仿宋_GB2312"/>
          <w:b/>
          <w:sz w:val="24"/>
        </w:rPr>
        <w:t>声明函</w:t>
      </w:r>
    </w:p>
    <w:p>
      <w:pPr>
        <w:jc w:val="center"/>
        <w:rPr>
          <w:rFonts w:ascii="仿宋_GB2312" w:hAnsi="仿宋_GB2312" w:eastAsia="仿宋_GB2312" w:cs="仿宋_GB2312"/>
          <w:sz w:val="24"/>
        </w:rPr>
      </w:pPr>
    </w:p>
    <w:p>
      <w:pPr>
        <w:tabs>
          <w:tab w:val="left" w:pos="5580"/>
        </w:tabs>
        <w:spacing w:before="120" w:line="360" w:lineRule="auto"/>
        <w:rPr>
          <w:rFonts w:ascii="仿宋_GB2312" w:hAnsi="仿宋_GB2312" w:eastAsia="仿宋_GB2312" w:cs="仿宋_GB2312"/>
          <w:sz w:val="24"/>
        </w:rPr>
      </w:pPr>
      <w:r>
        <w:rPr>
          <w:rFonts w:hint="eastAsia" w:ascii="仿宋_GB2312" w:hAnsi="仿宋_GB2312" w:eastAsia="仿宋_GB2312" w:cs="仿宋_GB2312"/>
          <w:sz w:val="24"/>
        </w:rPr>
        <w:t>至：</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陕西中润国际招标有限公司</w:t>
      </w:r>
      <w:r>
        <w:rPr>
          <w:rFonts w:hint="eastAsia" w:ascii="仿宋_GB2312" w:hAnsi="仿宋_GB2312" w:eastAsia="仿宋_GB2312" w:cs="仿宋_GB2312"/>
          <w:sz w:val="24"/>
          <w:u w:val="single"/>
        </w:rPr>
        <w:t xml:space="preserve"> </w:t>
      </w:r>
    </w:p>
    <w:p>
      <w:pPr>
        <w:tabs>
          <w:tab w:val="left" w:pos="5580"/>
        </w:tabs>
        <w:spacing w:before="120" w:line="360" w:lineRule="auto"/>
        <w:ind w:firstLine="480" w:firstLineChars="200"/>
        <w:rPr>
          <w:rFonts w:ascii="仿宋_GB2312" w:hAnsi="仿宋_GB2312" w:eastAsia="仿宋_GB2312" w:cs="仿宋_GB2312"/>
          <w:sz w:val="24"/>
        </w:rPr>
      </w:pPr>
    </w:p>
    <w:p>
      <w:pPr>
        <w:tabs>
          <w:tab w:val="left" w:pos="5580"/>
        </w:tabs>
        <w:spacing w:before="120" w:line="360" w:lineRule="auto"/>
        <w:ind w:firstLine="480" w:firstLineChars="200"/>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我公司郑重承诺在参加本项目政府采购活动前三年内，在经营活动中无重大违法记录。公司未受到行政处罚或责令停业、吊销许可证（或执照）；未处于财产被接管、冻结、破产状况。</w:t>
      </w:r>
      <w:r>
        <w:rPr>
          <w:rFonts w:hint="eastAsia" w:ascii="仿宋_GB2312" w:hAnsi="仿宋_GB2312" w:eastAsia="仿宋_GB2312" w:cs="仿宋_GB2312"/>
          <w:sz w:val="24"/>
          <w:lang w:val="en-US" w:eastAsia="zh-CN"/>
        </w:rPr>
        <w:t>不存在违反法律、法规的情况。</w:t>
      </w:r>
    </w:p>
    <w:p>
      <w:pPr>
        <w:tabs>
          <w:tab w:val="left" w:pos="5580"/>
        </w:tabs>
        <w:spacing w:before="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特此声明。</w:t>
      </w:r>
    </w:p>
    <w:p>
      <w:pPr>
        <w:tabs>
          <w:tab w:val="left" w:pos="5580"/>
        </w:tabs>
        <w:spacing w:before="120" w:line="360" w:lineRule="auto"/>
        <w:ind w:firstLine="480" w:firstLineChars="200"/>
        <w:rPr>
          <w:rFonts w:ascii="仿宋_GB2312" w:hAnsi="仿宋_GB2312" w:eastAsia="仿宋_GB2312" w:cs="仿宋_GB2312"/>
          <w:sz w:val="24"/>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供应商名称（公章）： </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法定代表人/单位负责人或其授权代表（签字或加盖人名章）：</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line="360" w:lineRule="auto"/>
        <w:rPr>
          <w:rFonts w:ascii="仿宋_GB2312" w:hAnsi="仿宋_GB2312" w:eastAsia="仿宋_GB2312" w:cs="仿宋_GB2312"/>
          <w:sz w:val="24"/>
          <w:szCs w:val="21"/>
          <w:u w:val="single"/>
        </w:rPr>
      </w:pPr>
    </w:p>
    <w:p>
      <w:pPr>
        <w:numPr>
          <w:ilvl w:val="1"/>
          <w:numId w:val="16"/>
        </w:numPr>
        <w:jc w:val="left"/>
        <w:outlineLvl w:val="2"/>
        <w:rPr>
          <w:rFonts w:ascii="仿宋_GB2312" w:hAnsi="仿宋_GB2312" w:eastAsia="仿宋_GB2312" w:cs="仿宋_GB2312"/>
          <w:b/>
          <w:sz w:val="24"/>
          <w:szCs w:val="22"/>
        </w:rPr>
      </w:pPr>
      <w:bookmarkStart w:id="466" w:name="_Toc7005127"/>
      <w:r>
        <w:rPr>
          <w:rFonts w:hint="eastAsia" w:ascii="仿宋_GB2312" w:hAnsi="仿宋_GB2312" w:eastAsia="仿宋_GB2312" w:cs="仿宋_GB2312"/>
          <w:b/>
          <w:sz w:val="24"/>
          <w:szCs w:val="22"/>
        </w:rPr>
        <w:t xml:space="preserve"> 供应商控股股东名称、控股公司的名称和存在管理、被管理关系的单位名称说明</w:t>
      </w:r>
      <w:bookmarkEnd w:id="466"/>
    </w:p>
    <w:p>
      <w:pPr>
        <w:ind w:firstLine="420"/>
        <w:rPr>
          <w:rFonts w:ascii="仿宋_GB2312" w:hAnsi="仿宋_GB2312" w:eastAsia="仿宋_GB2312" w:cs="仿宋_GB2312"/>
          <w:szCs w:val="21"/>
        </w:rPr>
      </w:pPr>
    </w:p>
    <w:p>
      <w:pPr>
        <w:rPr>
          <w:rFonts w:hint="eastAsia" w:ascii="仿宋_GB2312" w:hAnsi="仿宋_GB2312" w:eastAsia="仿宋_GB2312" w:cs="仿宋_GB2312"/>
          <w:sz w:val="24"/>
          <w:lang w:eastAsia="zh-CN"/>
        </w:rPr>
      </w:pPr>
      <w:r>
        <w:rPr>
          <w:rFonts w:hint="eastAsia" w:ascii="仿宋_GB2312" w:hAnsi="仿宋_GB2312" w:eastAsia="仿宋_GB2312" w:cs="仿宋_GB2312"/>
          <w:sz w:val="24"/>
        </w:rPr>
        <w:t>致：</w:t>
      </w:r>
      <w:r>
        <w:rPr>
          <w:rFonts w:hint="eastAsia" w:ascii="仿宋_GB2312" w:hAnsi="仿宋_GB2312" w:eastAsia="仿宋_GB2312" w:cs="仿宋_GB2312"/>
          <w:sz w:val="24"/>
          <w:lang w:eastAsia="zh-CN"/>
        </w:rPr>
        <w:t>陕西中润国际招标有限公司</w:t>
      </w:r>
    </w:p>
    <w:p>
      <w:pPr>
        <w:spacing w:after="120"/>
        <w:rPr>
          <w:rFonts w:ascii="仿宋_GB2312" w:hAnsi="仿宋_GB2312" w:eastAsia="仿宋_GB2312" w:cs="仿宋_GB2312"/>
        </w:rPr>
      </w:pPr>
    </w:p>
    <w:p>
      <w:pPr>
        <w:ind w:firstLine="426"/>
        <w:rPr>
          <w:rFonts w:ascii="仿宋_GB2312" w:hAnsi="仿宋_GB2312" w:eastAsia="仿宋_GB2312" w:cs="仿宋_GB2312"/>
          <w:sz w:val="24"/>
        </w:rPr>
      </w:pPr>
      <w:r>
        <w:rPr>
          <w:rFonts w:hint="eastAsia" w:ascii="仿宋_GB2312" w:hAnsi="仿宋_GB2312" w:eastAsia="仿宋_GB2312" w:cs="仿宋_GB2312"/>
          <w:sz w:val="24"/>
        </w:rPr>
        <w:t>与我方的法定代表人（单位负责人）为同一人的企业如下：</w:t>
      </w:r>
    </w:p>
    <w:p>
      <w:pPr>
        <w:ind w:firstLine="426"/>
        <w:rPr>
          <w:rFonts w:ascii="仿宋_GB2312" w:hAnsi="仿宋_GB2312" w:eastAsia="仿宋_GB2312" w:cs="仿宋_GB2312"/>
          <w:sz w:val="24"/>
        </w:rPr>
      </w:pPr>
    </w:p>
    <w:p>
      <w:pPr>
        <w:ind w:firstLine="426"/>
        <w:rPr>
          <w:rFonts w:ascii="仿宋_GB2312" w:hAnsi="仿宋_GB2312" w:eastAsia="仿宋_GB2312" w:cs="仿宋_GB2312"/>
          <w:sz w:val="24"/>
        </w:rPr>
      </w:pPr>
      <w:r>
        <w:rPr>
          <w:rFonts w:hint="eastAsia" w:ascii="仿宋_GB2312" w:hAnsi="仿宋_GB2312" w:eastAsia="仿宋_GB2312" w:cs="仿宋_GB2312"/>
          <w:sz w:val="24"/>
        </w:rPr>
        <w:t>我方的控股股东如下：</w:t>
      </w:r>
    </w:p>
    <w:p>
      <w:pPr>
        <w:ind w:firstLine="426"/>
        <w:rPr>
          <w:rFonts w:ascii="仿宋_GB2312" w:hAnsi="仿宋_GB2312" w:eastAsia="仿宋_GB2312" w:cs="仿宋_GB2312"/>
          <w:sz w:val="24"/>
        </w:rPr>
      </w:pPr>
    </w:p>
    <w:p>
      <w:pPr>
        <w:ind w:firstLine="426"/>
        <w:rPr>
          <w:rFonts w:ascii="仿宋_GB2312" w:hAnsi="仿宋_GB2312" w:eastAsia="仿宋_GB2312" w:cs="仿宋_GB2312"/>
          <w:sz w:val="24"/>
        </w:rPr>
      </w:pPr>
      <w:r>
        <w:rPr>
          <w:rFonts w:hint="eastAsia" w:ascii="仿宋_GB2312" w:hAnsi="仿宋_GB2312" w:eastAsia="仿宋_GB2312" w:cs="仿宋_GB2312"/>
          <w:sz w:val="24"/>
        </w:rPr>
        <w:t>我方直接控股的企业如下：</w:t>
      </w:r>
    </w:p>
    <w:p>
      <w:pPr>
        <w:ind w:firstLine="426"/>
        <w:rPr>
          <w:rFonts w:ascii="仿宋_GB2312" w:hAnsi="仿宋_GB2312" w:eastAsia="仿宋_GB2312" w:cs="仿宋_GB2312"/>
          <w:sz w:val="24"/>
        </w:rPr>
      </w:pPr>
    </w:p>
    <w:p>
      <w:pPr>
        <w:ind w:firstLine="426"/>
        <w:rPr>
          <w:rFonts w:ascii="仿宋_GB2312" w:hAnsi="仿宋_GB2312" w:eastAsia="仿宋_GB2312" w:cs="仿宋_GB2312"/>
          <w:sz w:val="24"/>
        </w:rPr>
      </w:pPr>
      <w:r>
        <w:rPr>
          <w:rFonts w:hint="eastAsia" w:ascii="仿宋_GB2312" w:hAnsi="仿宋_GB2312" w:eastAsia="仿宋_GB2312" w:cs="仿宋_GB2312"/>
          <w:sz w:val="24"/>
        </w:rPr>
        <w:t>与我方存在管理、被管理关系的单位名称如下：</w:t>
      </w:r>
    </w:p>
    <w:p>
      <w:pPr>
        <w:ind w:firstLine="426"/>
        <w:rPr>
          <w:rFonts w:ascii="仿宋_GB2312" w:hAnsi="仿宋_GB2312" w:eastAsia="仿宋_GB2312" w:cs="仿宋_GB2312"/>
          <w:sz w:val="24"/>
        </w:rPr>
      </w:pPr>
    </w:p>
    <w:p>
      <w:pPr>
        <w:ind w:firstLine="426"/>
        <w:rPr>
          <w:rFonts w:ascii="仿宋_GB2312" w:hAnsi="仿宋_GB2312" w:eastAsia="仿宋_GB2312" w:cs="仿宋_GB2312"/>
          <w:szCs w:val="21"/>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供应商名称（公章）： </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法定代表人/单位负责人或其授权代表（签字或加盖人名章）：</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ind w:firstLine="420" w:firstLineChars="200"/>
        <w:rPr>
          <w:rFonts w:ascii="仿宋_GB2312" w:hAnsi="仿宋_GB2312" w:eastAsia="仿宋_GB2312" w:cs="仿宋_GB2312"/>
          <w:szCs w:val="21"/>
        </w:rPr>
      </w:pPr>
    </w:p>
    <w:p>
      <w:pPr>
        <w:ind w:firstLine="420" w:firstLineChars="200"/>
        <w:rPr>
          <w:rFonts w:ascii="仿宋_GB2312" w:hAnsi="仿宋_GB2312" w:eastAsia="仿宋_GB2312" w:cs="仿宋_GB2312"/>
          <w:szCs w:val="21"/>
        </w:rPr>
      </w:pPr>
    </w:p>
    <w:p>
      <w:pPr>
        <w:ind w:firstLine="420" w:firstLineChars="200"/>
        <w:rPr>
          <w:rFonts w:ascii="仿宋_GB2312" w:hAnsi="仿宋_GB2312" w:eastAsia="仿宋_GB2312" w:cs="仿宋_GB2312"/>
          <w:szCs w:val="21"/>
        </w:rPr>
      </w:pPr>
    </w:p>
    <w:p>
      <w:pPr>
        <w:ind w:firstLine="420" w:firstLineChars="200"/>
        <w:rPr>
          <w:rFonts w:ascii="仿宋_GB2312" w:hAnsi="仿宋_GB2312" w:eastAsia="仿宋_GB2312" w:cs="仿宋_GB2312"/>
          <w:szCs w:val="21"/>
        </w:rPr>
      </w:pPr>
    </w:p>
    <w:p>
      <w:pPr>
        <w:numPr>
          <w:ilvl w:val="1"/>
          <w:numId w:val="16"/>
        </w:numPr>
        <w:ind w:left="640" w:leftChars="0" w:hanging="640" w:firstLineChars="0"/>
        <w:jc w:val="left"/>
        <w:outlineLvl w:val="2"/>
        <w:rPr>
          <w:rFonts w:ascii="仿宋_GB2312" w:hAnsi="仿宋_GB2312" w:eastAsia="仿宋_GB2312" w:cs="仿宋_GB2312"/>
          <w:b/>
          <w:sz w:val="24"/>
          <w:szCs w:val="22"/>
        </w:rPr>
      </w:pPr>
      <w:bookmarkStart w:id="467" w:name="_Toc7005128"/>
      <w:r>
        <w:rPr>
          <w:rFonts w:hint="eastAsia" w:ascii="仿宋_GB2312" w:hAnsi="仿宋_GB2312" w:eastAsia="仿宋_GB2312" w:cs="仿宋_GB2312"/>
          <w:b/>
          <w:sz w:val="24"/>
          <w:szCs w:val="22"/>
        </w:rPr>
        <w:t xml:space="preserve"> 供应商是否属于为本项目提供整体设计、规范编制或者项目管理、监理、检测等服务的供应商声明</w:t>
      </w:r>
      <w:bookmarkEnd w:id="467"/>
    </w:p>
    <w:p>
      <w:pPr>
        <w:ind w:firstLine="420"/>
        <w:rPr>
          <w:rFonts w:ascii="仿宋_GB2312" w:hAnsi="仿宋_GB2312" w:eastAsia="仿宋_GB2312" w:cs="仿宋_GB2312"/>
          <w:szCs w:val="21"/>
        </w:rPr>
      </w:pPr>
    </w:p>
    <w:p>
      <w:pPr>
        <w:spacing w:line="360" w:lineRule="auto"/>
        <w:rPr>
          <w:rFonts w:ascii="仿宋_GB2312" w:hAnsi="仿宋_GB2312" w:eastAsia="仿宋_GB2312" w:cs="仿宋_GB2312"/>
          <w:szCs w:val="21"/>
        </w:rPr>
      </w:pPr>
    </w:p>
    <w:p>
      <w:pP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致：陕西中润国际招标有限公司</w:t>
      </w:r>
    </w:p>
    <w:p>
      <w:pPr>
        <w:pStyle w:val="22"/>
        <w:rPr>
          <w:rFonts w:hint="eastAsia"/>
          <w:lang w:eastAsia="zh-CN"/>
        </w:rPr>
      </w:pPr>
    </w:p>
    <w:p>
      <w:pPr>
        <w:ind w:firstLine="426"/>
        <w:rPr>
          <w:rFonts w:hint="eastAsia" w:ascii="仿宋_GB2312" w:hAnsi="仿宋_GB2312" w:eastAsia="仿宋_GB2312" w:cs="仿宋_GB2312"/>
          <w:sz w:val="24"/>
        </w:rPr>
      </w:pPr>
      <w:r>
        <w:rPr>
          <w:rFonts w:hint="eastAsia" w:ascii="仿宋_GB2312" w:hAnsi="仿宋_GB2312" w:eastAsia="仿宋_GB2312" w:cs="仿宋_GB2312"/>
          <w:sz w:val="24"/>
        </w:rPr>
        <w:t>我方</w:t>
      </w:r>
      <w:r>
        <w:rPr>
          <w:rFonts w:hint="eastAsia" w:ascii="仿宋_GB2312" w:hAnsi="仿宋_GB2312" w:eastAsia="仿宋_GB2312" w:cs="仿宋_GB2312"/>
          <w:sz w:val="24"/>
          <w:u w:val="single"/>
        </w:rPr>
        <w:t>不属于</w:t>
      </w:r>
      <w:r>
        <w:rPr>
          <w:rFonts w:hint="eastAsia" w:ascii="仿宋_GB2312" w:hAnsi="仿宋_GB2312" w:eastAsia="仿宋_GB2312" w:cs="仿宋_GB2312"/>
          <w:sz w:val="24"/>
        </w:rPr>
        <w:t>为本项目提供整体设计、规范编制或者项目管理、监理、检测等服务的供应商。</w:t>
      </w:r>
    </w:p>
    <w:p>
      <w:pPr>
        <w:ind w:firstLine="426"/>
        <w:rPr>
          <w:rFonts w:ascii="仿宋_GB2312" w:hAnsi="仿宋_GB2312" w:eastAsia="仿宋_GB2312" w:cs="仿宋_GB2312"/>
          <w:sz w:val="24"/>
        </w:rPr>
      </w:pPr>
    </w:p>
    <w:p>
      <w:pPr>
        <w:ind w:firstLine="426"/>
        <w:rPr>
          <w:rFonts w:ascii="仿宋_GB2312" w:hAnsi="仿宋_GB2312" w:eastAsia="仿宋_GB2312" w:cs="仿宋_GB2312"/>
          <w:szCs w:val="21"/>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供应商名称（公章）： </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法定代表人/单位负责人或其授权代表（签字或加盖人名章）：</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bookmarkStart w:id="468" w:name="_Toc7005129"/>
      <w:r>
        <w:rPr>
          <w:rFonts w:hint="eastAsia" w:ascii="仿宋_GB2312" w:hAnsi="仿宋_GB2312" w:eastAsia="仿宋_GB2312" w:cs="仿宋_GB2312"/>
          <w:b/>
          <w:sz w:val="24"/>
        </w:rPr>
        <w:t>6-9</w:t>
      </w:r>
      <w:r>
        <w:rPr>
          <w:rFonts w:hint="eastAsia" w:ascii="仿宋_GB2312" w:hAnsi="仿宋_GB2312" w:eastAsia="仿宋_GB2312" w:cs="仿宋_GB2312"/>
          <w:b/>
          <w:sz w:val="24"/>
          <w:lang w:val="en-US" w:eastAsia="zh-CN"/>
        </w:rPr>
        <w:t xml:space="preserve"> </w:t>
      </w:r>
      <w:r>
        <w:rPr>
          <w:rFonts w:hint="eastAsia" w:ascii="仿宋_GB2312" w:hAnsi="仿宋_GB2312" w:eastAsia="仿宋_GB2312" w:cs="仿宋_GB2312"/>
          <w:b/>
          <w:sz w:val="24"/>
        </w:rPr>
        <w:t>证明供应商符合特定资格条件的证明材料</w:t>
      </w:r>
      <w:bookmarkEnd w:id="468"/>
      <w:r>
        <w:rPr>
          <w:rFonts w:hint="eastAsia" w:ascii="仿宋_GB2312" w:hAnsi="仿宋_GB2312" w:eastAsia="仿宋_GB2312" w:cs="仿宋_GB2312"/>
          <w:b/>
          <w:sz w:val="24"/>
        </w:rPr>
        <w:t>：</w:t>
      </w:r>
    </w:p>
    <w:p>
      <w:pPr>
        <w:widowControl/>
        <w:wordWrap w:val="0"/>
        <w:topLinePunct/>
        <w:snapToGrid w:val="0"/>
        <w:spacing w:line="360" w:lineRule="auto"/>
        <w:ind w:right="-197" w:rightChars="-94" w:firstLine="480" w:firstLineChars="200"/>
        <w:jc w:val="left"/>
        <w:rPr>
          <w:rFonts w:ascii="仿宋_GB2312" w:hAnsi="仿宋_GB2312" w:eastAsia="仿宋_GB2312" w:cs="仿宋_GB2312"/>
          <w:kern w:val="0"/>
          <w:sz w:val="24"/>
        </w:rPr>
      </w:pPr>
      <w:r>
        <w:rPr>
          <w:rFonts w:hint="eastAsia" w:ascii="仿宋_GB2312" w:hAnsi="仿宋_GB2312" w:eastAsia="仿宋_GB2312" w:cs="仿宋_GB2312"/>
          <w:sz w:val="24"/>
        </w:rPr>
        <w:t>建设行政主管部门颁发的建筑工程施工总承包三级以上（含三级）资质，有效的安全生产许可证；拟派项目经理建筑工程专业二级以上（含二级）注册建造师证书和安全生产考核合格证（B证）。</w:t>
      </w:r>
    </w:p>
    <w:p>
      <w:pPr>
        <w:pStyle w:val="46"/>
        <w:ind w:right="480"/>
        <w:jc w:val="right"/>
        <w:rPr>
          <w:rFonts w:ascii="仿宋_GB2312" w:hAnsi="仿宋_GB2312" w:eastAsia="仿宋_GB2312" w:cs="仿宋_GB2312"/>
          <w:b w:val="0"/>
          <w:bCs w:val="0"/>
          <w:lang w:val="zh-CN"/>
        </w:rPr>
      </w:pPr>
      <w:r>
        <w:rPr>
          <w:rFonts w:ascii="仿宋_GB2312" w:hAnsi="仿宋_GB2312" w:eastAsia="仿宋_GB2312" w:cs="仿宋_GB2312"/>
          <w:b w:val="0"/>
          <w:bCs w:val="0"/>
        </w:rPr>
        <w:br w:type="page"/>
      </w:r>
      <w:r>
        <w:rPr>
          <w:rFonts w:hint="eastAsia" w:ascii="仿宋_GB2312" w:hAnsi="仿宋_GB2312" w:eastAsia="仿宋_GB2312" w:cs="仿宋_GB2312"/>
          <w:lang w:val="zh-CN"/>
        </w:rPr>
        <w:t>正本/副本</w:t>
      </w:r>
    </w:p>
    <w:p>
      <w:pPr>
        <w:autoSpaceDE w:val="0"/>
        <w:autoSpaceDN w:val="0"/>
        <w:adjustRightInd w:val="0"/>
        <w:snapToGrid w:val="0"/>
        <w:spacing w:line="360" w:lineRule="auto"/>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政府采购项目</w:t>
      </w:r>
    </w:p>
    <w:p>
      <w:pPr>
        <w:autoSpaceDE w:val="0"/>
        <w:autoSpaceDN w:val="0"/>
        <w:adjustRightInd w:val="0"/>
        <w:snapToGrid w:val="0"/>
        <w:spacing w:line="360" w:lineRule="auto"/>
        <w:jc w:val="left"/>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采购项目编号：</w:t>
      </w:r>
    </w:p>
    <w:p>
      <w:pPr>
        <w:autoSpaceDE w:val="0"/>
        <w:autoSpaceDN w:val="0"/>
        <w:adjustRightInd w:val="0"/>
        <w:snapToGrid w:val="0"/>
        <w:spacing w:line="360" w:lineRule="auto"/>
        <w:jc w:val="left"/>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en-US" w:eastAsia="zh-CN"/>
        </w:rPr>
        <w:t>高新政采编号：</w:t>
      </w:r>
    </w:p>
    <w:p>
      <w:pPr>
        <w:tabs>
          <w:tab w:val="left" w:pos="5670"/>
        </w:tabs>
        <w:autoSpaceDE w:val="0"/>
        <w:autoSpaceDN w:val="0"/>
        <w:adjustRightInd w:val="0"/>
        <w:snapToGrid w:val="0"/>
        <w:spacing w:line="360" w:lineRule="auto"/>
        <w:jc w:val="center"/>
        <w:rPr>
          <w:rFonts w:ascii="仿宋_GB2312" w:hAnsi="仿宋_GB2312" w:eastAsia="仿宋_GB2312" w:cs="仿宋_GB2312"/>
          <w:sz w:val="19"/>
          <w:szCs w:val="19"/>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19"/>
          <w:szCs w:val="19"/>
        </w:rPr>
      </w:pPr>
    </w:p>
    <w:p>
      <w:pPr>
        <w:tabs>
          <w:tab w:val="left" w:pos="5670"/>
        </w:tabs>
        <w:autoSpaceDE w:val="0"/>
        <w:autoSpaceDN w:val="0"/>
        <w:adjustRightInd w:val="0"/>
        <w:snapToGrid w:val="0"/>
        <w:spacing w:line="360" w:lineRule="auto"/>
        <w:jc w:val="center"/>
        <w:rPr>
          <w:rFonts w:ascii="仿宋_GB2312" w:hAnsi="仿宋_GB2312" w:eastAsia="仿宋_GB2312" w:cs="仿宋_GB2312"/>
          <w:sz w:val="19"/>
          <w:szCs w:val="19"/>
        </w:rPr>
      </w:pPr>
    </w:p>
    <w:p>
      <w:pPr>
        <w:autoSpaceDE w:val="0"/>
        <w:autoSpaceDN w:val="0"/>
        <w:adjustRightInd w:val="0"/>
        <w:snapToGrid w:val="0"/>
        <w:spacing w:line="360" w:lineRule="auto"/>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丈八街道社区（村）级阵地提升工程（二期）</w:t>
      </w: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36"/>
          <w:szCs w:val="36"/>
          <w:lang w:val="zh-CN"/>
        </w:rPr>
      </w:pPr>
    </w:p>
    <w:p>
      <w:pPr>
        <w:tabs>
          <w:tab w:val="left" w:pos="5670"/>
        </w:tabs>
        <w:autoSpaceDE w:val="0"/>
        <w:autoSpaceDN w:val="0"/>
        <w:adjustRightInd w:val="0"/>
        <w:snapToGrid w:val="0"/>
        <w:spacing w:line="360" w:lineRule="auto"/>
        <w:jc w:val="center"/>
        <w:rPr>
          <w:rFonts w:ascii="仿宋_GB2312" w:hAnsi="仿宋_GB2312" w:eastAsia="仿宋_GB2312" w:cs="仿宋_GB2312"/>
          <w:b/>
          <w:bCs/>
          <w:sz w:val="52"/>
          <w:szCs w:val="52"/>
          <w:lang w:val="zh-CN"/>
        </w:rPr>
      </w:pPr>
      <w:r>
        <w:rPr>
          <w:rFonts w:hint="eastAsia" w:ascii="仿宋_GB2312" w:hAnsi="仿宋_GB2312" w:eastAsia="仿宋_GB2312" w:cs="仿宋_GB2312"/>
          <w:b/>
          <w:bCs/>
          <w:sz w:val="52"/>
          <w:szCs w:val="52"/>
          <w:lang w:val="zh-CN"/>
        </w:rPr>
        <w:t>磋商响应文件</w:t>
      </w:r>
    </w:p>
    <w:p>
      <w:pPr>
        <w:autoSpaceDE w:val="0"/>
        <w:autoSpaceDN w:val="0"/>
        <w:adjustRightInd w:val="0"/>
        <w:snapToGrid w:val="0"/>
        <w:spacing w:line="360" w:lineRule="auto"/>
        <w:jc w:val="center"/>
        <w:rPr>
          <w:rFonts w:hint="eastAsia" w:ascii="仿宋_GB2312" w:hAnsi="仿宋_GB2312" w:eastAsia="仿宋_GB2312" w:cs="仿宋_GB2312"/>
          <w:b/>
          <w:bCs/>
          <w:sz w:val="30"/>
          <w:szCs w:val="30"/>
          <w:lang w:val="zh-CN" w:eastAsia="zh-CN"/>
        </w:rPr>
      </w:pPr>
      <w:r>
        <w:rPr>
          <w:rFonts w:hint="eastAsia" w:ascii="仿宋_GB2312" w:hAnsi="仿宋_GB2312" w:eastAsia="仿宋_GB2312" w:cs="仿宋_GB2312"/>
          <w:b/>
          <w:bCs/>
          <w:sz w:val="30"/>
          <w:szCs w:val="30"/>
          <w:lang w:eastAsia="zh-CN"/>
        </w:rPr>
        <w:t>（商务及技术文件）</w:t>
      </w: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b/>
          <w:bCs/>
          <w:sz w:val="32"/>
          <w:szCs w:val="32"/>
          <w:lang w:val="zh-CN"/>
        </w:rPr>
      </w:pPr>
    </w:p>
    <w:p>
      <w:pPr>
        <w:autoSpaceDE w:val="0"/>
        <w:autoSpaceDN w:val="0"/>
        <w:adjustRightInd w:val="0"/>
        <w:snapToGrid w:val="0"/>
        <w:spacing w:line="360" w:lineRule="auto"/>
        <w:rPr>
          <w:rFonts w:ascii="仿宋_GB2312" w:hAnsi="仿宋_GB2312" w:eastAsia="仿宋_GB2312" w:cs="仿宋_GB2312"/>
          <w:sz w:val="30"/>
          <w:szCs w:val="30"/>
        </w:rPr>
      </w:pPr>
    </w:p>
    <w:p>
      <w:pPr>
        <w:autoSpaceDE w:val="0"/>
        <w:autoSpaceDN w:val="0"/>
        <w:adjustRightInd w:val="0"/>
        <w:snapToGrid w:val="0"/>
        <w:spacing w:line="360" w:lineRule="auto"/>
        <w:rPr>
          <w:rFonts w:ascii="仿宋_GB2312" w:hAnsi="仿宋_GB2312" w:eastAsia="仿宋_GB2312" w:cs="仿宋_GB2312"/>
          <w:b/>
          <w:bCs/>
          <w:sz w:val="32"/>
          <w:szCs w:val="32"/>
          <w:u w:val="single"/>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bCs/>
          <w:sz w:val="32"/>
          <w:szCs w:val="32"/>
          <w:lang w:val="zh-CN"/>
        </w:rPr>
        <w:t>供应商：</w:t>
      </w:r>
      <w:r>
        <w:rPr>
          <w:rFonts w:hint="eastAsia" w:ascii="仿宋_GB2312" w:hAnsi="仿宋_GB2312" w:eastAsia="仿宋_GB2312" w:cs="仿宋_GB2312"/>
          <w:b/>
          <w:bCs/>
          <w:sz w:val="32"/>
          <w:szCs w:val="32"/>
          <w:u w:val="single"/>
        </w:rPr>
        <w:t xml:space="preserve">                   </w:t>
      </w:r>
    </w:p>
    <w:p>
      <w:pPr>
        <w:autoSpaceDE w:val="0"/>
        <w:autoSpaceDN w:val="0"/>
        <w:adjustRightInd w:val="0"/>
        <w:snapToGrid w:val="0"/>
        <w:spacing w:line="360" w:lineRule="auto"/>
        <w:rPr>
          <w:rFonts w:ascii="仿宋_GB2312" w:hAnsi="仿宋_GB2312" w:eastAsia="仿宋_GB2312" w:cs="仿宋_GB2312"/>
          <w:b/>
          <w:bCs/>
          <w:sz w:val="32"/>
          <w:szCs w:val="32"/>
        </w:rPr>
      </w:pPr>
    </w:p>
    <w:p>
      <w:pPr>
        <w:autoSpaceDE w:val="0"/>
        <w:autoSpaceDN w:val="0"/>
        <w:adjustRightInd w:val="0"/>
        <w:snapToGrid w:val="0"/>
        <w:spacing w:line="360" w:lineRule="auto"/>
        <w:ind w:firstLine="964" w:firstLineChars="300"/>
        <w:rPr>
          <w:rFonts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lang w:val="zh-CN"/>
        </w:rPr>
        <w:t>时</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zh-CN"/>
        </w:rPr>
        <w:t>间：</w:t>
      </w:r>
      <w:r>
        <w:rPr>
          <w:rFonts w:hint="eastAsia" w:ascii="仿宋_GB2312" w:hAnsi="仿宋_GB2312" w:eastAsia="仿宋_GB2312" w:cs="仿宋_GB2312"/>
          <w:b/>
          <w:bCs/>
          <w:sz w:val="32"/>
          <w:szCs w:val="32"/>
          <w:u w:val="single"/>
        </w:rPr>
        <w:t xml:space="preserve">                   </w:t>
      </w:r>
    </w:p>
    <w:p>
      <w:pPr>
        <w:widowControl/>
        <w:jc w:val="left"/>
        <w:rPr>
          <w:rFonts w:ascii="仿宋_GB2312" w:hAnsi="仿宋_GB2312" w:eastAsia="仿宋_GB2312" w:cs="仿宋_GB2312"/>
          <w:b/>
          <w:bCs/>
          <w:sz w:val="32"/>
          <w:szCs w:val="32"/>
        </w:rPr>
      </w:pPr>
    </w:p>
    <w:p>
      <w:pPr>
        <w:widowControl/>
        <w:jc w:val="left"/>
        <w:rPr>
          <w:rFonts w:ascii="仿宋_GB2312" w:hAnsi="仿宋_GB2312" w:eastAsia="仿宋_GB2312" w:cs="仿宋_GB2312"/>
          <w:b/>
          <w:bCs/>
          <w:sz w:val="32"/>
          <w:szCs w:val="32"/>
        </w:rPr>
      </w:pPr>
      <w:r>
        <w:rPr>
          <w:rFonts w:ascii="仿宋_GB2312" w:hAnsi="仿宋_GB2312" w:eastAsia="仿宋_GB2312" w:cs="仿宋_GB2312"/>
          <w:b/>
          <w:bCs/>
          <w:sz w:val="32"/>
          <w:szCs w:val="32"/>
        </w:rPr>
        <w:br w:type="page"/>
      </w:r>
    </w:p>
    <w:p>
      <w:pPr>
        <w:autoSpaceDE w:val="0"/>
        <w:autoSpaceDN w:val="0"/>
        <w:adjustRightInd w:val="0"/>
        <w:snapToGrid w:val="0"/>
        <w:spacing w:line="360" w:lineRule="auto"/>
        <w:ind w:firstLine="3534" w:firstLineChars="11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目  录</w:t>
      </w:r>
    </w:p>
    <w:p>
      <w:pPr>
        <w:spacing w:after="120"/>
        <w:ind w:firstLine="315" w:firstLineChars="150"/>
        <w:rPr>
          <w:rFonts w:ascii="仿宋_GB2312" w:hAnsi="仿宋_GB2312" w:eastAsia="仿宋_GB2312" w:cs="仿宋_GB2312"/>
        </w:rPr>
      </w:pPr>
    </w:p>
    <w:p>
      <w:pPr>
        <w:spacing w:after="120"/>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第一部分  磋商响应函</w:t>
      </w:r>
    </w:p>
    <w:p>
      <w:pPr>
        <w:spacing w:after="120"/>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 xml:space="preserve">第二部分  磋商响应报价表 </w:t>
      </w:r>
    </w:p>
    <w:p>
      <w:pPr>
        <w:spacing w:after="120"/>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第三部分  偏离表</w:t>
      </w:r>
    </w:p>
    <w:p>
      <w:pPr>
        <w:spacing w:after="120"/>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第四部分  技术方案说明</w:t>
      </w:r>
    </w:p>
    <w:p>
      <w:pPr>
        <w:spacing w:after="120"/>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第五部分 小微企业、监狱企业、残疾人福利单位声明函或证明</w:t>
      </w:r>
    </w:p>
    <w:p>
      <w:pPr>
        <w:pStyle w:val="22"/>
        <w:rPr>
          <w:rFonts w:ascii="仿宋_GB2312" w:hAnsi="仿宋_GB2312" w:eastAsia="仿宋_GB2312" w:cs="仿宋_GB2312"/>
        </w:rPr>
      </w:pPr>
    </w:p>
    <w:p>
      <w:pPr>
        <w:pStyle w:val="22"/>
        <w:rPr>
          <w:rFonts w:ascii="仿宋_GB2312" w:hAnsi="仿宋_GB2312" w:eastAsia="仿宋_GB2312" w:cs="仿宋_GB2312"/>
        </w:rPr>
      </w:pPr>
    </w:p>
    <w:p>
      <w:pPr>
        <w:widowControl/>
        <w:jc w:val="left"/>
        <w:rPr>
          <w:rFonts w:ascii="仿宋_GB2312" w:hAnsi="仿宋_GB2312" w:eastAsia="仿宋_GB2312" w:cs="仿宋_GB2312"/>
        </w:rPr>
      </w:pPr>
      <w:r>
        <w:rPr>
          <w:rFonts w:hint="eastAsia" w:ascii="仿宋_GB2312" w:hAnsi="仿宋_GB2312" w:eastAsia="仿宋_GB2312" w:cs="仿宋_GB2312"/>
        </w:rPr>
        <w:br w:type="page"/>
      </w:r>
    </w:p>
    <w:p>
      <w:pPr>
        <w:pStyle w:val="77"/>
        <w:spacing w:before="24" w:after="24"/>
        <w:jc w:val="center"/>
        <w:rPr>
          <w:rFonts w:ascii="仿宋_GB2312" w:hAnsi="仿宋_GB2312" w:eastAsia="仿宋_GB2312" w:cs="仿宋_GB2312"/>
          <w:sz w:val="28"/>
          <w:szCs w:val="22"/>
        </w:rPr>
      </w:pPr>
      <w:bookmarkStart w:id="469" w:name="_Toc62196434"/>
      <w:r>
        <w:rPr>
          <w:rFonts w:hint="eastAsia" w:ascii="仿宋_GB2312" w:hAnsi="仿宋_GB2312" w:eastAsia="仿宋_GB2312" w:cs="仿宋_GB2312"/>
          <w:sz w:val="28"/>
          <w:szCs w:val="22"/>
          <w:lang w:val="zh-CN"/>
        </w:rPr>
        <w:t>第一部分</w:t>
      </w:r>
      <w:r>
        <w:rPr>
          <w:rFonts w:hint="eastAsia" w:ascii="仿宋_GB2312" w:hAnsi="仿宋_GB2312" w:eastAsia="仿宋_GB2312" w:cs="仿宋_GB2312"/>
          <w:sz w:val="28"/>
          <w:szCs w:val="22"/>
        </w:rPr>
        <w:t xml:space="preserve">  </w:t>
      </w:r>
      <w:r>
        <w:rPr>
          <w:rFonts w:hint="eastAsia" w:ascii="仿宋_GB2312" w:hAnsi="仿宋_GB2312" w:eastAsia="仿宋_GB2312" w:cs="仿宋_GB2312"/>
          <w:sz w:val="28"/>
          <w:szCs w:val="22"/>
          <w:lang w:val="zh-CN"/>
        </w:rPr>
        <w:t>磋商响应函</w:t>
      </w:r>
      <w:bookmarkEnd w:id="469"/>
    </w:p>
    <w:p>
      <w:pPr>
        <w:autoSpaceDE w:val="0"/>
        <w:autoSpaceDN w:val="0"/>
        <w:adjustRightInd w:val="0"/>
        <w:snapToGrid w:val="0"/>
        <w:spacing w:line="312" w:lineRule="auto"/>
        <w:rPr>
          <w:rFonts w:ascii="仿宋_GB2312" w:hAnsi="仿宋_GB2312" w:eastAsia="仿宋_GB2312" w:cs="仿宋_GB2312"/>
          <w:b/>
          <w:bCs/>
          <w:sz w:val="24"/>
          <w:lang w:val="zh-CN"/>
        </w:rPr>
      </w:pPr>
    </w:p>
    <w:p>
      <w:pPr>
        <w:autoSpaceDE w:val="0"/>
        <w:autoSpaceDN w:val="0"/>
        <w:adjustRightInd w:val="0"/>
        <w:snapToGrid w:val="0"/>
        <w:spacing w:line="312" w:lineRule="auto"/>
        <w:rPr>
          <w:rFonts w:ascii="仿宋_GB2312" w:hAnsi="仿宋_GB2312" w:eastAsia="仿宋_GB2312" w:cs="仿宋_GB2312"/>
          <w:b/>
          <w:bCs/>
          <w:sz w:val="24"/>
        </w:rPr>
      </w:pPr>
      <w:r>
        <w:rPr>
          <w:rFonts w:hint="eastAsia" w:ascii="仿宋_GB2312" w:hAnsi="仿宋_GB2312" w:eastAsia="仿宋_GB2312" w:cs="仿宋_GB2312"/>
          <w:b/>
          <w:bCs/>
          <w:sz w:val="24"/>
          <w:lang w:val="zh-CN"/>
        </w:rPr>
        <w:t>陕西中润国际招标有限公司：</w:t>
      </w:r>
    </w:p>
    <w:p>
      <w:pPr>
        <w:autoSpaceDE w:val="0"/>
        <w:autoSpaceDN w:val="0"/>
        <w:adjustRightInd w:val="0"/>
        <w:snapToGrid w:val="0"/>
        <w:spacing w:line="312"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lang w:val="zh-CN"/>
        </w:rPr>
        <w:t>我单位收到贵公司</w:t>
      </w:r>
      <w:r>
        <w:rPr>
          <w:rFonts w:hint="eastAsia" w:ascii="仿宋_GB2312" w:hAnsi="仿宋_GB2312" w:eastAsia="仿宋_GB2312" w:cs="仿宋_GB2312"/>
          <w:sz w:val="24"/>
          <w:u w:val="single"/>
          <w:lang w:val="zh-CN"/>
        </w:rPr>
        <w:t>（项目名称    ）</w:t>
      </w:r>
      <w:r>
        <w:rPr>
          <w:rFonts w:hint="eastAsia" w:ascii="仿宋_GB2312" w:hAnsi="仿宋_GB2312" w:eastAsia="仿宋_GB2312" w:cs="仿宋_GB2312"/>
          <w:sz w:val="24"/>
          <w:lang w:val="zh-CN"/>
        </w:rPr>
        <w:t>竞争性磋商文件，经详细研究，我们决定参加本次磋商活动。为此，我方郑重声明以下诸点，并负法律责任：</w:t>
      </w:r>
    </w:p>
    <w:p>
      <w:pPr>
        <w:autoSpaceDE w:val="0"/>
        <w:autoSpaceDN w:val="0"/>
        <w:adjustRightInd w:val="0"/>
        <w:snapToGrid w:val="0"/>
        <w:spacing w:line="312"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一</w:t>
      </w:r>
      <w:r>
        <w:rPr>
          <w:rFonts w:hint="eastAsia" w:ascii="仿宋_GB2312" w:hAnsi="仿宋_GB2312" w:eastAsia="仿宋_GB2312" w:cs="仿宋_GB2312"/>
          <w:sz w:val="24"/>
          <w:lang w:val="zh-CN"/>
        </w:rPr>
        <w:t>、愿意按照竞争性磋商文件中的要求，提供采购技术内容，完成合同的责任和义务。</w:t>
      </w:r>
    </w:p>
    <w:p>
      <w:pPr>
        <w:autoSpaceDE w:val="0"/>
        <w:autoSpaceDN w:val="0"/>
        <w:adjustRightInd w:val="0"/>
        <w:snapToGrid w:val="0"/>
        <w:spacing w:line="312"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二</w:t>
      </w:r>
      <w:r>
        <w:rPr>
          <w:rFonts w:hint="eastAsia" w:ascii="仿宋_GB2312" w:hAnsi="仿宋_GB2312" w:eastAsia="仿宋_GB2312" w:cs="仿宋_GB2312"/>
          <w:sz w:val="24"/>
          <w:lang w:val="zh-CN"/>
        </w:rPr>
        <w:t>、按竞争性磋商文件的规定，我公司的首次磋商响应报价为人民币（大写）：</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元），并对其后的磋商报价负法律责任。</w:t>
      </w:r>
    </w:p>
    <w:p>
      <w:pPr>
        <w:autoSpaceDE w:val="0"/>
        <w:autoSpaceDN w:val="0"/>
        <w:adjustRightInd w:val="0"/>
        <w:snapToGrid w:val="0"/>
        <w:spacing w:line="312"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三</w:t>
      </w:r>
      <w:r>
        <w:rPr>
          <w:rFonts w:hint="eastAsia" w:ascii="仿宋_GB2312" w:hAnsi="仿宋_GB2312" w:eastAsia="仿宋_GB2312" w:cs="仿宋_GB2312"/>
          <w:sz w:val="24"/>
          <w:lang w:val="zh-CN"/>
        </w:rPr>
        <w:t>、我方提交的响应文件正本</w:t>
      </w:r>
      <w:r>
        <w:rPr>
          <w:rFonts w:hint="eastAsia" w:ascii="仿宋_GB2312" w:hAnsi="仿宋_GB2312" w:eastAsia="仿宋_GB2312" w:cs="仿宋_GB2312"/>
          <w:sz w:val="24"/>
          <w:u w:val="single"/>
          <w:lang w:val="zh-CN"/>
        </w:rPr>
        <w:t>一</w:t>
      </w:r>
      <w:r>
        <w:rPr>
          <w:rFonts w:hint="eastAsia" w:ascii="仿宋_GB2312" w:hAnsi="仿宋_GB2312" w:eastAsia="仿宋_GB2312" w:cs="仿宋_GB2312"/>
          <w:sz w:val="24"/>
          <w:lang w:val="zh-CN"/>
        </w:rPr>
        <w:t>份、副本</w:t>
      </w:r>
      <w:r>
        <w:rPr>
          <w:rFonts w:hint="eastAsia" w:ascii="仿宋_GB2312" w:hAnsi="仿宋_GB2312" w:eastAsia="仿宋_GB2312" w:cs="仿宋_GB2312"/>
          <w:sz w:val="24"/>
          <w:u w:val="single"/>
          <w:lang w:val="zh-CN"/>
        </w:rPr>
        <w:t xml:space="preserve"> 两 </w:t>
      </w:r>
      <w:r>
        <w:rPr>
          <w:rFonts w:hint="eastAsia" w:ascii="仿宋_GB2312" w:hAnsi="仿宋_GB2312" w:eastAsia="仿宋_GB2312" w:cs="仿宋_GB2312"/>
          <w:sz w:val="24"/>
          <w:lang w:val="zh-CN"/>
        </w:rPr>
        <w:t>份、</w:t>
      </w:r>
      <w:r>
        <w:rPr>
          <w:rFonts w:hint="eastAsia" w:ascii="仿宋_GB2312" w:hAnsi="仿宋_GB2312" w:eastAsia="仿宋_GB2312" w:cs="仿宋_GB2312"/>
          <w:sz w:val="24"/>
          <w:lang w:val="en-US" w:eastAsia="zh-CN"/>
        </w:rPr>
        <w:t>电子版</w:t>
      </w:r>
      <w:r>
        <w:rPr>
          <w:rFonts w:hint="eastAsia" w:ascii="仿宋_GB2312" w:hAnsi="仿宋_GB2312" w:eastAsia="仿宋_GB2312" w:cs="仿宋_GB2312"/>
          <w:sz w:val="24"/>
          <w:u w:val="single"/>
          <w:lang w:val="en-US" w:eastAsia="zh-CN"/>
        </w:rPr>
        <w:t>一</w:t>
      </w:r>
      <w:r>
        <w:rPr>
          <w:rFonts w:hint="eastAsia" w:ascii="仿宋_GB2312" w:hAnsi="仿宋_GB2312" w:eastAsia="仿宋_GB2312" w:cs="仿宋_GB2312"/>
          <w:sz w:val="24"/>
          <w:lang w:val="en-US" w:eastAsia="zh-CN"/>
        </w:rPr>
        <w:t>份</w:t>
      </w:r>
      <w:r>
        <w:rPr>
          <w:rFonts w:hint="eastAsia" w:ascii="仿宋_GB2312" w:hAnsi="仿宋_GB2312" w:eastAsia="仿宋_GB2312" w:cs="仿宋_GB2312"/>
          <w:sz w:val="24"/>
          <w:lang w:val="zh-CN"/>
        </w:rPr>
        <w:t>。</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rPr>
        <w:t>四</w:t>
      </w:r>
      <w:r>
        <w:rPr>
          <w:rFonts w:hint="eastAsia" w:ascii="仿宋_GB2312" w:hAnsi="仿宋_GB2312" w:eastAsia="仿宋_GB2312" w:cs="仿宋_GB2312"/>
          <w:sz w:val="24"/>
          <w:lang w:val="zh-CN"/>
        </w:rPr>
        <w:t>、我方已详细阅读了竞争性磋商文件，完全理解并放弃提出含糊不清或易形成歧义的表述和资料。</w:t>
      </w:r>
    </w:p>
    <w:p>
      <w:pPr>
        <w:autoSpaceDE w:val="0"/>
        <w:autoSpaceDN w:val="0"/>
        <w:adjustRightInd w:val="0"/>
        <w:snapToGrid w:val="0"/>
        <w:spacing w:line="312" w:lineRule="auto"/>
        <w:ind w:firstLine="480" w:firstLineChars="200"/>
        <w:rPr>
          <w:rFonts w:ascii="仿宋_GB2312" w:hAnsi="仿宋_GB2312" w:eastAsia="仿宋_GB2312" w:cs="仿宋_GB2312"/>
          <w:color w:val="FF0000"/>
          <w:sz w:val="24"/>
        </w:rPr>
      </w:pPr>
      <w:r>
        <w:rPr>
          <w:rFonts w:hint="eastAsia" w:ascii="仿宋_GB2312" w:hAnsi="仿宋_GB2312" w:eastAsia="仿宋_GB2312" w:cs="仿宋_GB2312"/>
          <w:color w:val="000000" w:themeColor="text1"/>
          <w:sz w:val="24"/>
          <w:lang w:val="zh-CN"/>
        </w:rPr>
        <w:t>五、</w:t>
      </w:r>
      <w:r>
        <w:rPr>
          <w:rFonts w:hint="eastAsia" w:ascii="仿宋_GB2312" w:hAnsi="仿宋_GB2312" w:eastAsia="仿宋_GB2312" w:cs="仿宋_GB2312"/>
          <w:sz w:val="24"/>
          <w:lang w:val="zh-CN"/>
        </w:rPr>
        <w:t>我方在磋商有效期内不撤销响应文件。</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rPr>
        <w:t>六</w:t>
      </w:r>
      <w:r>
        <w:rPr>
          <w:rFonts w:hint="eastAsia" w:ascii="仿宋_GB2312" w:hAnsi="仿宋_GB2312" w:eastAsia="仿宋_GB2312" w:cs="仿宋_GB2312"/>
          <w:sz w:val="24"/>
          <w:lang w:val="zh-CN"/>
        </w:rPr>
        <w:t>、同意向贵方提供可能要求的与本次磋商有关的任何证据或资料，且尊重磋商小组的评审结论和结果。</w:t>
      </w:r>
    </w:p>
    <w:p>
      <w:pPr>
        <w:autoSpaceDE w:val="0"/>
        <w:autoSpaceDN w:val="0"/>
        <w:adjustRightInd w:val="0"/>
        <w:snapToGrid w:val="0"/>
        <w:spacing w:line="312"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lang w:val="zh-CN"/>
        </w:rPr>
        <w:t>七、我方的响应文件有效期为自磋商之日起</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u w:val="single"/>
          <w:lang w:val="en-US" w:eastAsia="zh-CN"/>
        </w:rPr>
        <w:t>9</w:t>
      </w:r>
      <w:r>
        <w:rPr>
          <w:rFonts w:hint="eastAsia" w:ascii="仿宋_GB2312" w:hAnsi="仿宋_GB2312" w:eastAsia="仿宋_GB2312" w:cs="仿宋_GB2312"/>
          <w:sz w:val="24"/>
          <w:u w:val="single"/>
        </w:rPr>
        <w:t xml:space="preserve">0 </w:t>
      </w:r>
      <w:r>
        <w:rPr>
          <w:rFonts w:hint="eastAsia" w:ascii="仿宋_GB2312" w:hAnsi="仿宋_GB2312" w:eastAsia="仿宋_GB2312" w:cs="仿宋_GB2312"/>
          <w:sz w:val="24"/>
          <w:lang w:val="zh-CN"/>
        </w:rPr>
        <w:t>个日历天。若我方成交，响应文件有效期延长至合同执行完毕。</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rPr>
        <w:t>八</w:t>
      </w:r>
      <w:r>
        <w:rPr>
          <w:rFonts w:hint="eastAsia" w:ascii="仿宋_GB2312" w:hAnsi="仿宋_GB2312" w:eastAsia="仿宋_GB2312" w:cs="仿宋_GB2312"/>
          <w:sz w:val="24"/>
          <w:lang w:val="zh-CN"/>
        </w:rPr>
        <w:t>、如我方成交：</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（1）我方承诺在收到成交通知书后，在磋商文件规定的期限内与采购人签订合同。</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（2）我方承诺按照磋商文件规定向你方递交履约保证金。作为履行合同的担保。</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（3）我方承诺按合同约定的工期和地点，提供符合磋商文件要求的全部的施工和服务。</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（4）我方保证在领取成交通知书前按要求支付成交服务费。</w:t>
      </w:r>
    </w:p>
    <w:p>
      <w:pPr>
        <w:autoSpaceDE w:val="0"/>
        <w:autoSpaceDN w:val="0"/>
        <w:adjustRightInd w:val="0"/>
        <w:snapToGrid w:val="0"/>
        <w:spacing w:line="312" w:lineRule="auto"/>
        <w:ind w:firstLine="480" w:firstLineChars="200"/>
        <w:rPr>
          <w:rFonts w:ascii="仿宋_GB2312" w:hAnsi="仿宋_GB2312" w:eastAsia="仿宋_GB2312" w:cs="仿宋_GB2312"/>
          <w:sz w:val="24"/>
          <w:lang w:val="zh-CN"/>
        </w:rPr>
      </w:pPr>
      <w:r>
        <w:rPr>
          <w:rFonts w:hint="eastAsia" w:ascii="仿宋_GB2312" w:hAnsi="仿宋_GB2312" w:eastAsia="仿宋_GB2312" w:cs="仿宋_GB2312"/>
          <w:sz w:val="24"/>
          <w:lang w:val="zh-CN"/>
        </w:rPr>
        <w:t>九、有关于本响应文件的函电，请按下列地址联系。</w:t>
      </w: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地</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址：</w:t>
      </w:r>
      <w:r>
        <w:rPr>
          <w:rFonts w:hint="eastAsia" w:ascii="仿宋_GB2312" w:hAnsi="仿宋_GB2312" w:eastAsia="仿宋_GB2312" w:cs="仿宋_GB2312"/>
          <w:sz w:val="24"/>
        </w:rPr>
        <w:t>__________________________________________</w:t>
      </w: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开户银行：</w:t>
      </w:r>
      <w:r>
        <w:rPr>
          <w:rFonts w:hint="eastAsia" w:ascii="仿宋_GB2312" w:hAnsi="仿宋_GB2312" w:eastAsia="仿宋_GB2312" w:cs="仿宋_GB2312"/>
          <w:sz w:val="24"/>
        </w:rPr>
        <w:t>__________________________________________</w:t>
      </w: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帐</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号：</w:t>
      </w:r>
      <w:r>
        <w:rPr>
          <w:rFonts w:hint="eastAsia" w:ascii="仿宋_GB2312" w:hAnsi="仿宋_GB2312" w:eastAsia="仿宋_GB2312" w:cs="仿宋_GB2312"/>
          <w:sz w:val="24"/>
        </w:rPr>
        <w:t>__________________________________________</w:t>
      </w: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电</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话：</w:t>
      </w:r>
      <w:r>
        <w:rPr>
          <w:rFonts w:hint="eastAsia" w:ascii="仿宋_GB2312" w:hAnsi="仿宋_GB2312" w:eastAsia="仿宋_GB2312" w:cs="仿宋_GB2312"/>
          <w:sz w:val="24"/>
        </w:rPr>
        <w:t>_____________________</w:t>
      </w: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传</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真：</w:t>
      </w:r>
      <w:r>
        <w:rPr>
          <w:rFonts w:hint="eastAsia" w:ascii="仿宋_GB2312" w:hAnsi="仿宋_GB2312" w:eastAsia="仿宋_GB2312" w:cs="仿宋_GB2312"/>
          <w:sz w:val="24"/>
        </w:rPr>
        <w:t>________________</w:t>
      </w:r>
    </w:p>
    <w:p>
      <w:pPr>
        <w:autoSpaceDE w:val="0"/>
        <w:autoSpaceDN w:val="0"/>
        <w:adjustRightInd w:val="0"/>
        <w:snapToGrid w:val="0"/>
        <w:spacing w:line="312" w:lineRule="auto"/>
        <w:rPr>
          <w:rFonts w:ascii="仿宋_GB2312" w:hAnsi="仿宋_GB2312" w:eastAsia="仿宋_GB2312" w:cs="仿宋_GB2312"/>
          <w:sz w:val="24"/>
          <w:lang w:val="zh-CN"/>
        </w:rPr>
      </w:pPr>
      <w:r>
        <w:rPr>
          <w:rFonts w:hint="eastAsia" w:ascii="仿宋_GB2312" w:hAnsi="仿宋_GB2312" w:eastAsia="仿宋_GB2312" w:cs="仿宋_GB2312"/>
          <w:sz w:val="24"/>
          <w:lang w:val="zh-CN"/>
        </w:rPr>
        <w:t>供应商全称（公章）：</w:t>
      </w:r>
    </w:p>
    <w:p>
      <w:pPr>
        <w:pStyle w:val="22"/>
        <w:rPr>
          <w:rFonts w:ascii="仿宋_GB2312" w:hAnsi="仿宋_GB2312" w:eastAsia="仿宋_GB2312" w:cs="仿宋_GB2312"/>
          <w:lang w:val="zh-CN"/>
        </w:rPr>
      </w:pPr>
    </w:p>
    <w:p>
      <w:pPr>
        <w:autoSpaceDE w:val="0"/>
        <w:autoSpaceDN w:val="0"/>
        <w:adjustRightInd w:val="0"/>
        <w:snapToGrid w:val="0"/>
        <w:spacing w:line="312" w:lineRule="auto"/>
        <w:rPr>
          <w:rFonts w:ascii="仿宋_GB2312" w:hAnsi="仿宋_GB2312" w:eastAsia="仿宋_GB2312" w:cs="仿宋_GB2312"/>
          <w:sz w:val="24"/>
        </w:rPr>
      </w:pPr>
      <w:r>
        <w:rPr>
          <w:rFonts w:hint="eastAsia" w:ascii="仿宋_GB2312" w:hAnsi="仿宋_GB2312" w:eastAsia="仿宋_GB2312" w:cs="仿宋_GB2312"/>
          <w:sz w:val="24"/>
          <w:lang w:val="zh-CN"/>
        </w:rPr>
        <w:t>法定代表人/单位负责人或授权代表（签字或盖章）：</w:t>
      </w:r>
      <w:r>
        <w:rPr>
          <w:rFonts w:hint="eastAsia" w:ascii="仿宋_GB2312" w:hAnsi="仿宋_GB2312" w:eastAsia="仿宋_GB2312" w:cs="仿宋_GB2312"/>
          <w:sz w:val="24"/>
        </w:rPr>
        <w:t>__________________________</w:t>
      </w:r>
    </w:p>
    <w:p>
      <w:pPr>
        <w:pStyle w:val="22"/>
        <w:rPr>
          <w:rFonts w:ascii="仿宋_GB2312" w:hAnsi="仿宋_GB2312" w:eastAsia="仿宋_GB2312" w:cs="仿宋_GB2312"/>
          <w:sz w:val="24"/>
        </w:rPr>
      </w:pPr>
      <w:r>
        <w:rPr>
          <w:rFonts w:hint="eastAsia" w:ascii="仿宋_GB2312" w:hAnsi="仿宋_GB2312" w:eastAsia="仿宋_GB2312" w:cs="仿宋_GB2312"/>
          <w:sz w:val="24"/>
        </w:rPr>
        <w:t xml:space="preserve">                 _____</w:t>
      </w:r>
      <w:r>
        <w:rPr>
          <w:rFonts w:hint="eastAsia" w:ascii="仿宋_GB2312" w:hAnsi="仿宋_GB2312" w:eastAsia="仿宋_GB2312" w:cs="仿宋_GB2312"/>
          <w:sz w:val="24"/>
          <w:lang w:val="zh-CN"/>
        </w:rPr>
        <w:t>年</w:t>
      </w:r>
      <w:r>
        <w:rPr>
          <w:rFonts w:hint="eastAsia" w:ascii="仿宋_GB2312" w:hAnsi="仿宋_GB2312" w:eastAsia="仿宋_GB2312" w:cs="仿宋_GB2312"/>
          <w:sz w:val="24"/>
        </w:rPr>
        <w:t>_____</w:t>
      </w:r>
      <w:r>
        <w:rPr>
          <w:rFonts w:hint="eastAsia" w:ascii="仿宋_GB2312" w:hAnsi="仿宋_GB2312" w:eastAsia="仿宋_GB2312" w:cs="仿宋_GB2312"/>
          <w:sz w:val="24"/>
          <w:lang w:val="zh-CN"/>
        </w:rPr>
        <w:t>月</w:t>
      </w:r>
      <w:r>
        <w:rPr>
          <w:rFonts w:hint="eastAsia" w:ascii="仿宋_GB2312" w:hAnsi="仿宋_GB2312" w:eastAsia="仿宋_GB2312" w:cs="仿宋_GB2312"/>
          <w:sz w:val="24"/>
        </w:rPr>
        <w:t>_____</w:t>
      </w:r>
      <w:r>
        <w:rPr>
          <w:rFonts w:hint="eastAsia" w:ascii="仿宋_GB2312" w:hAnsi="仿宋_GB2312" w:eastAsia="仿宋_GB2312" w:cs="仿宋_GB2312"/>
          <w:sz w:val="24"/>
          <w:lang w:val="zh-CN"/>
        </w:rPr>
        <w:t>日</w:t>
      </w:r>
    </w:p>
    <w:p>
      <w:pPr>
        <w:pStyle w:val="22"/>
        <w:rPr>
          <w:rFonts w:ascii="仿宋_GB2312" w:hAnsi="仿宋_GB2312" w:eastAsia="仿宋_GB2312" w:cs="仿宋_GB2312"/>
        </w:rPr>
      </w:pPr>
    </w:p>
    <w:p>
      <w:pPr>
        <w:pStyle w:val="77"/>
        <w:spacing w:before="24" w:after="24"/>
        <w:ind w:firstLine="2409" w:firstLineChars="1000"/>
        <w:rPr>
          <w:rFonts w:ascii="仿宋_GB2312" w:hAnsi="仿宋_GB2312" w:eastAsia="仿宋_GB2312" w:cs="仿宋_GB2312"/>
          <w:b w:val="0"/>
          <w:bCs w:val="0"/>
          <w:szCs w:val="32"/>
        </w:rPr>
      </w:pPr>
      <w:bookmarkStart w:id="470" w:name="_Hlt520356241"/>
      <w:bookmarkEnd w:id="470"/>
      <w:r>
        <w:rPr>
          <w:rFonts w:hint="eastAsia" w:ascii="仿宋_GB2312" w:hAnsi="仿宋_GB2312" w:eastAsia="仿宋_GB2312" w:cs="仿宋_GB2312"/>
          <w:sz w:val="24"/>
        </w:rPr>
        <w:br w:type="page"/>
      </w:r>
      <w:bookmarkStart w:id="471" w:name="_Toc62196435"/>
      <w:bookmarkStart w:id="472" w:name="_Toc230099805"/>
      <w:bookmarkStart w:id="473" w:name="_Toc232176284"/>
      <w:bookmarkStart w:id="474" w:name="_Toc232395224"/>
      <w:bookmarkStart w:id="475" w:name="_Toc249515371"/>
      <w:bookmarkStart w:id="476" w:name="_Toc230013640"/>
      <w:bookmarkStart w:id="477" w:name="_Toc230583554"/>
      <w:bookmarkStart w:id="478" w:name="_Toc256342154"/>
      <w:bookmarkStart w:id="479" w:name="_Toc249525252"/>
      <w:bookmarkStart w:id="480" w:name="_Toc8496"/>
      <w:bookmarkStart w:id="481" w:name="_Toc415499901"/>
      <w:r>
        <w:rPr>
          <w:rFonts w:hint="eastAsia" w:ascii="仿宋_GB2312" w:hAnsi="仿宋_GB2312" w:eastAsia="仿宋_GB2312" w:cs="仿宋_GB2312"/>
          <w:sz w:val="28"/>
          <w:szCs w:val="22"/>
          <w:lang w:val="zh-CN"/>
        </w:rPr>
        <w:t>第二部分 磋商响应报价表</w:t>
      </w:r>
      <w:bookmarkEnd w:id="471"/>
    </w:p>
    <w:p>
      <w:pPr>
        <w:autoSpaceDE w:val="0"/>
        <w:autoSpaceDN w:val="0"/>
        <w:adjustRightInd w:val="0"/>
        <w:snapToGrid w:val="0"/>
        <w:spacing w:line="360" w:lineRule="auto"/>
        <w:jc w:val="center"/>
        <w:rPr>
          <w:rFonts w:ascii="仿宋_GB2312" w:hAnsi="仿宋_GB2312" w:eastAsia="仿宋_GB2312" w:cs="仿宋_GB2312"/>
          <w:b/>
          <w:bCs/>
          <w:sz w:val="32"/>
          <w:szCs w:val="32"/>
        </w:rPr>
      </w:pPr>
    </w:p>
    <w:p>
      <w:pPr>
        <w:autoSpaceDE w:val="0"/>
        <w:autoSpaceDN w:val="0"/>
        <w:adjustRightInd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b/>
          <w:bCs/>
          <w:sz w:val="28"/>
          <w:szCs w:val="28"/>
        </w:rPr>
        <w:t>首次响应</w:t>
      </w:r>
      <w:r>
        <w:rPr>
          <w:rFonts w:hint="eastAsia" w:ascii="仿宋_GB2312" w:hAnsi="仿宋_GB2312" w:eastAsia="仿宋_GB2312" w:cs="仿宋_GB2312"/>
          <w:b/>
          <w:bCs/>
          <w:sz w:val="28"/>
          <w:szCs w:val="28"/>
          <w:lang w:val="zh-CN"/>
        </w:rPr>
        <w:t>报价一览表</w:t>
      </w:r>
    </w:p>
    <w:p>
      <w:pPr>
        <w:autoSpaceDE w:val="0"/>
        <w:autoSpaceDN w:val="0"/>
        <w:adjustRightInd w:val="0"/>
        <w:snapToGrid w:val="0"/>
        <w:spacing w:line="360" w:lineRule="auto"/>
        <w:jc w:val="right"/>
        <w:rPr>
          <w:rFonts w:ascii="仿宋_GB2312" w:hAnsi="仿宋_GB2312" w:eastAsia="仿宋_GB2312" w:cs="仿宋_GB2312"/>
          <w:sz w:val="24"/>
          <w:lang w:val="zh-CN"/>
        </w:rPr>
      </w:pPr>
      <w:r>
        <w:rPr>
          <w:rFonts w:hint="eastAsia" w:ascii="仿宋_GB2312" w:hAnsi="仿宋_GB2312" w:eastAsia="仿宋_GB2312" w:cs="仿宋_GB2312"/>
          <w:sz w:val="32"/>
          <w:szCs w:val="32"/>
        </w:rPr>
        <w:t xml:space="preserve">    </w:t>
      </w:r>
    </w:p>
    <w:tbl>
      <w:tblPr>
        <w:tblStyle w:val="50"/>
        <w:tblW w:w="8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98"/>
        <w:gridCol w:w="6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6"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sz w:val="24"/>
                <w:lang w:val="zh-CN"/>
              </w:rPr>
              <w:br w:type="page"/>
            </w:r>
            <w:r>
              <w:rPr>
                <w:rFonts w:hint="eastAsia" w:ascii="仿宋_GB2312" w:hAnsi="仿宋_GB2312" w:eastAsia="仿宋_GB2312" w:cs="仿宋_GB2312"/>
                <w:b/>
                <w:sz w:val="24"/>
              </w:rPr>
              <w:t>项目编号及项目名称</w:t>
            </w:r>
          </w:p>
        </w:tc>
        <w:tc>
          <w:tcPr>
            <w:tcW w:w="6981" w:type="dxa"/>
            <w:vAlign w:val="center"/>
          </w:tcPr>
          <w:p>
            <w:pPr>
              <w:pStyle w:val="22"/>
              <w:rPr>
                <w:rFonts w:ascii="仿宋_GB2312" w:hAnsi="仿宋_GB2312" w:eastAsia="仿宋_GB2312" w:cs="仿宋_GB2312"/>
                <w:sz w:val="24"/>
                <w:u w:val="single"/>
              </w:rPr>
            </w:pPr>
            <w:r>
              <w:rPr>
                <w:rFonts w:hint="eastAsia" w:ascii="仿宋_GB2312" w:hAnsi="仿宋_GB2312" w:eastAsia="仿宋_GB2312" w:cs="仿宋_GB2312"/>
                <w:sz w:val="24"/>
              </w:rPr>
              <w:t>项目编号：</w:t>
            </w:r>
            <w:r>
              <w:rPr>
                <w:rFonts w:hint="eastAsia" w:ascii="仿宋_GB2312" w:hAnsi="仿宋_GB2312" w:eastAsia="仿宋_GB2312" w:cs="仿宋_GB2312"/>
                <w:sz w:val="24"/>
                <w:u w:val="single"/>
              </w:rPr>
              <w:t xml:space="preserve">              </w:t>
            </w:r>
          </w:p>
          <w:p>
            <w:pPr>
              <w:pStyle w:val="22"/>
              <w:rPr>
                <w:rFonts w:ascii="仿宋_GB2312" w:hAnsi="仿宋_GB2312" w:eastAsia="仿宋_GB2312" w:cs="仿宋_GB2312"/>
                <w:sz w:val="24"/>
                <w:u w:val="single"/>
              </w:rPr>
            </w:pPr>
            <w:r>
              <w:rPr>
                <w:rFonts w:hint="eastAsia" w:ascii="仿宋_GB2312" w:hAnsi="仿宋_GB2312" w:eastAsia="仿宋_GB2312" w:cs="仿宋_GB2312"/>
                <w:sz w:val="24"/>
              </w:rPr>
              <w:t>项目名称：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7"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响应总价</w:t>
            </w:r>
          </w:p>
        </w:tc>
        <w:tc>
          <w:tcPr>
            <w:tcW w:w="6981" w:type="dxa"/>
            <w:vAlign w:val="center"/>
          </w:tcPr>
          <w:p>
            <w:pPr>
              <w:pStyle w:val="22"/>
              <w:rPr>
                <w:rFonts w:ascii="仿宋_GB2312" w:hAnsi="仿宋_GB2312" w:eastAsia="仿宋_GB2312" w:cs="仿宋_GB2312"/>
                <w:i/>
                <w:sz w:val="24"/>
              </w:rPr>
            </w:pPr>
            <w:r>
              <w:rPr>
                <w:rFonts w:hint="eastAsia" w:ascii="仿宋_GB2312" w:hAnsi="仿宋_GB2312" w:eastAsia="仿宋_GB2312" w:cs="仿宋_GB2312"/>
                <w:sz w:val="24"/>
              </w:rPr>
              <w:t>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小写：</w:t>
            </w:r>
            <w:r>
              <w:rPr>
                <w:rFonts w:hint="eastAsia" w:ascii="宋体" w:hAnsi="宋体" w:eastAsia="宋体" w:cs="宋体"/>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项目经理</w:t>
            </w:r>
          </w:p>
        </w:tc>
        <w:tc>
          <w:tcPr>
            <w:tcW w:w="6981" w:type="dxa"/>
            <w:vAlign w:val="center"/>
          </w:tcPr>
          <w:p>
            <w:pPr>
              <w:pStyle w:val="22"/>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工期</w:t>
            </w:r>
          </w:p>
        </w:tc>
        <w:tc>
          <w:tcPr>
            <w:tcW w:w="6981" w:type="dxa"/>
            <w:vAlign w:val="center"/>
          </w:tcPr>
          <w:p>
            <w:pPr>
              <w:pStyle w:val="22"/>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其他声明</w:t>
            </w:r>
          </w:p>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（如有）</w:t>
            </w:r>
          </w:p>
        </w:tc>
        <w:tc>
          <w:tcPr>
            <w:tcW w:w="6981" w:type="dxa"/>
            <w:vAlign w:val="center"/>
          </w:tcPr>
          <w:p>
            <w:pPr>
              <w:pStyle w:val="22"/>
              <w:rPr>
                <w:rFonts w:ascii="仿宋_GB2312" w:hAnsi="仿宋_GB2312" w:eastAsia="仿宋_GB2312" w:cs="仿宋_GB2312"/>
                <w:sz w:val="24"/>
              </w:rPr>
            </w:pPr>
          </w:p>
        </w:tc>
      </w:tr>
    </w:tbl>
    <w:p>
      <w:pPr>
        <w:pStyle w:val="22"/>
        <w:rPr>
          <w:rFonts w:ascii="仿宋_GB2312" w:hAnsi="仿宋_GB2312" w:eastAsia="仿宋_GB2312" w:cs="仿宋_GB2312"/>
          <w:lang w:val="zh-CN"/>
        </w:rPr>
      </w:pPr>
    </w:p>
    <w:p>
      <w:pPr>
        <w:autoSpaceDE w:val="0"/>
        <w:autoSpaceDN w:val="0"/>
        <w:adjustRightInd w:val="0"/>
        <w:snapToGrid w:val="0"/>
        <w:spacing w:line="360" w:lineRule="auto"/>
        <w:ind w:firstLine="1080" w:firstLineChars="450"/>
        <w:rPr>
          <w:rFonts w:ascii="仿宋_GB2312" w:hAnsi="仿宋_GB2312" w:eastAsia="仿宋_GB2312" w:cs="仿宋_GB2312"/>
          <w:sz w:val="24"/>
          <w:lang w:val="zh-CN"/>
        </w:rPr>
      </w:pPr>
      <w:r>
        <w:rPr>
          <w:rFonts w:hint="eastAsia" w:ascii="仿宋_GB2312" w:hAnsi="仿宋_GB2312" w:eastAsia="仿宋_GB2312" w:cs="仿宋_GB2312"/>
          <w:sz w:val="24"/>
          <w:lang w:val="zh-CN"/>
        </w:rPr>
        <w:t>供应商</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法定代表人/单位负责人</w:t>
      </w:r>
      <w:r>
        <w:rPr>
          <w:rFonts w:hint="eastAsia" w:ascii="仿宋_GB2312" w:hAnsi="仿宋_GB2312" w:eastAsia="仿宋_GB2312" w:cs="仿宋_GB2312"/>
          <w:sz w:val="24"/>
        </w:rPr>
        <w:t>或</w:t>
      </w:r>
      <w:r>
        <w:rPr>
          <w:rFonts w:hint="eastAsia" w:ascii="仿宋_GB2312" w:hAnsi="仿宋_GB2312" w:eastAsia="仿宋_GB2312" w:cs="仿宋_GB2312"/>
          <w:sz w:val="24"/>
          <w:lang w:val="zh-CN"/>
        </w:rPr>
        <w:t>授权代表</w:t>
      </w:r>
    </w:p>
    <w:p>
      <w:pPr>
        <w:autoSpaceDE w:val="0"/>
        <w:autoSpaceDN w:val="0"/>
        <w:adjustRightInd w:val="0"/>
        <w:snapToGrid w:val="0"/>
        <w:spacing w:line="360" w:lineRule="auto"/>
        <w:ind w:firstLine="960" w:firstLineChars="400"/>
        <w:rPr>
          <w:rFonts w:ascii="仿宋_GB2312" w:hAnsi="仿宋_GB2312" w:eastAsia="仿宋_GB2312" w:cs="仿宋_GB2312"/>
          <w:sz w:val="24"/>
          <w:lang w:val="zh-CN"/>
        </w:rPr>
      </w:pPr>
      <w:r>
        <w:rPr>
          <w:rFonts w:hint="eastAsia" w:ascii="仿宋_GB2312" w:hAnsi="仿宋_GB2312" w:eastAsia="仿宋_GB2312" w:cs="仿宋_GB2312"/>
          <w:sz w:val="24"/>
          <w:lang w:val="zh-CN"/>
        </w:rPr>
        <w:t>（公章）：                            （签字或盖章）：</w:t>
      </w:r>
    </w:p>
    <w:p>
      <w:pPr>
        <w:autoSpaceDE w:val="0"/>
        <w:autoSpaceDN w:val="0"/>
        <w:adjustRightInd w:val="0"/>
        <w:snapToGrid w:val="0"/>
        <w:spacing w:line="360" w:lineRule="auto"/>
        <w:rPr>
          <w:rFonts w:ascii="仿宋_GB2312" w:hAnsi="仿宋_GB2312" w:eastAsia="仿宋_GB2312" w:cs="仿宋_GB2312"/>
          <w:sz w:val="24"/>
          <w:lang w:val="zh-CN"/>
        </w:rPr>
      </w:pPr>
    </w:p>
    <w:p>
      <w:pPr>
        <w:autoSpaceDE w:val="0"/>
        <w:autoSpaceDN w:val="0"/>
        <w:adjustRightInd w:val="0"/>
        <w:snapToGrid w:val="0"/>
        <w:spacing w:line="360" w:lineRule="auto"/>
        <w:ind w:firstLine="240" w:firstLineChars="100"/>
        <w:rPr>
          <w:rFonts w:ascii="仿宋_GB2312" w:hAnsi="仿宋_GB2312" w:eastAsia="仿宋_GB2312" w:cs="仿宋_GB2312"/>
          <w:sz w:val="24"/>
          <w:lang w:val="zh-CN"/>
        </w:rPr>
      </w:pPr>
      <w:r>
        <w:rPr>
          <w:rFonts w:hint="eastAsia" w:ascii="仿宋_GB2312" w:hAnsi="仿宋_GB2312" w:eastAsia="仿宋_GB2312" w:cs="仿宋_GB2312"/>
          <w:sz w:val="24"/>
          <w:lang w:val="zh-CN"/>
        </w:rPr>
        <w:t xml:space="preserve">                                              </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 xml:space="preserve">年 </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月</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日</w:t>
      </w:r>
    </w:p>
    <w:p>
      <w:pPr>
        <w:adjustRightInd w:val="0"/>
        <w:snapToGrid w:val="0"/>
        <w:spacing w:line="360" w:lineRule="auto"/>
        <w:jc w:val="center"/>
        <w:rPr>
          <w:rFonts w:ascii="仿宋_GB2312" w:hAnsi="仿宋_GB2312" w:eastAsia="仿宋_GB2312" w:cs="仿宋_GB2312"/>
          <w:b/>
          <w:sz w:val="42"/>
        </w:rPr>
      </w:pPr>
    </w:p>
    <w:p>
      <w:pPr>
        <w:adjustRightInd w:val="0"/>
        <w:snapToGrid w:val="0"/>
        <w:spacing w:line="360" w:lineRule="auto"/>
        <w:jc w:val="center"/>
        <w:rPr>
          <w:rFonts w:ascii="仿宋_GB2312" w:hAnsi="仿宋_GB2312" w:eastAsia="仿宋_GB2312" w:cs="仿宋_GB2312"/>
          <w:b/>
          <w:sz w:val="42"/>
        </w:rPr>
      </w:pPr>
    </w:p>
    <w:p>
      <w:pPr>
        <w:adjustRightInd w:val="0"/>
        <w:snapToGrid w:val="0"/>
        <w:spacing w:line="360" w:lineRule="auto"/>
        <w:jc w:val="center"/>
        <w:rPr>
          <w:rFonts w:ascii="仿宋_GB2312" w:hAnsi="仿宋_GB2312" w:eastAsia="仿宋_GB2312" w:cs="仿宋_GB2312"/>
          <w:b/>
          <w:sz w:val="42"/>
        </w:rPr>
        <w:sectPr>
          <w:footerReference r:id="rId9" w:type="default"/>
          <w:pgSz w:w="11906" w:h="16838"/>
          <w:pgMar w:top="1418" w:right="1418" w:bottom="1418" w:left="1418" w:header="851" w:footer="992" w:gutter="0"/>
          <w:pgNumType w:fmt="decimal"/>
          <w:cols w:space="720" w:num="1"/>
          <w:docGrid w:linePitch="312" w:charSpace="0"/>
        </w:sectPr>
      </w:pPr>
    </w:p>
    <w:p>
      <w:pPr>
        <w:adjustRightInd w:val="0"/>
        <w:snapToGrid w:val="0"/>
        <w:spacing w:line="360" w:lineRule="auto"/>
        <w:jc w:val="center"/>
        <w:rPr>
          <w:rFonts w:ascii="仿宋_GB2312" w:hAnsi="仿宋_GB2312" w:eastAsia="仿宋_GB2312" w:cs="仿宋_GB2312"/>
          <w:b/>
          <w:sz w:val="42"/>
        </w:rPr>
      </w:pPr>
    </w:p>
    <w:p>
      <w:pPr>
        <w:autoSpaceDE w:val="0"/>
        <w:autoSpaceDN w:val="0"/>
        <w:adjustRightInd w:val="0"/>
        <w:snapToGrid w:val="0"/>
        <w:spacing w:line="360" w:lineRule="auto"/>
        <w:jc w:val="center"/>
        <w:rPr>
          <w:rFonts w:hint="eastAsia" w:ascii="仿宋_GB2312" w:hAnsi="仿宋_GB2312" w:eastAsia="仿宋_GB2312" w:cs="仿宋_GB2312"/>
          <w:b/>
          <w:bCs/>
          <w:sz w:val="28"/>
          <w:szCs w:val="28"/>
          <w:highlight w:val="none"/>
          <w:lang w:eastAsia="zh-CN"/>
        </w:rPr>
      </w:pPr>
      <w:r>
        <w:rPr>
          <w:rFonts w:hint="eastAsia" w:ascii="仿宋_GB2312" w:hAnsi="仿宋_GB2312" w:eastAsia="仿宋_GB2312" w:cs="仿宋_GB2312"/>
          <w:b/>
          <w:bCs/>
          <w:sz w:val="28"/>
          <w:szCs w:val="28"/>
          <w:highlight w:val="none"/>
        </w:rPr>
        <w:t>（首次）分项报价表</w:t>
      </w:r>
      <w:r>
        <w:rPr>
          <w:rFonts w:hint="eastAsia" w:ascii="仿宋_GB2312" w:hAnsi="仿宋_GB2312" w:eastAsia="仿宋_GB2312" w:cs="仿宋_GB2312"/>
          <w:b/>
          <w:bCs/>
          <w:sz w:val="28"/>
          <w:szCs w:val="28"/>
          <w:highlight w:val="none"/>
          <w:lang w:eastAsia="zh-CN"/>
        </w:rPr>
        <w:t>（</w:t>
      </w:r>
      <w:r>
        <w:rPr>
          <w:rFonts w:hint="eastAsia" w:ascii="仿宋_GB2312" w:hAnsi="仿宋_GB2312" w:eastAsia="仿宋_GB2312" w:cs="仿宋_GB2312"/>
          <w:b/>
          <w:bCs/>
          <w:sz w:val="28"/>
          <w:szCs w:val="28"/>
          <w:highlight w:val="none"/>
          <w:lang w:val="en-US" w:eastAsia="zh-CN"/>
        </w:rPr>
        <w:t>已标价的工程量清单</w:t>
      </w:r>
      <w:r>
        <w:rPr>
          <w:rFonts w:hint="eastAsia" w:ascii="仿宋_GB2312" w:hAnsi="仿宋_GB2312" w:eastAsia="仿宋_GB2312" w:cs="仿宋_GB2312"/>
          <w:b/>
          <w:bCs/>
          <w:sz w:val="28"/>
          <w:szCs w:val="28"/>
          <w:highlight w:val="none"/>
          <w:lang w:eastAsia="zh-CN"/>
        </w:rPr>
        <w:t>）</w:t>
      </w:r>
    </w:p>
    <w:p>
      <w:pPr>
        <w:pStyle w:val="33"/>
        <w:spacing w:line="360" w:lineRule="auto"/>
        <w:ind w:firstLine="48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2"/>
          <w:sz w:val="24"/>
          <w:szCs w:val="24"/>
          <w:lang w:val="zh-CN" w:eastAsia="zh-CN" w:bidi="ar-SA"/>
        </w:rPr>
        <w:t>注：各供应商必须根据本项目提供中的工程量清单自主报价，不可缺漏项，已标价的工程量清单必须加盖清单编制相关专业中级造价员或注册造价工程师的资格印章。</w:t>
      </w:r>
    </w:p>
    <w:p>
      <w:pPr>
        <w:pStyle w:val="22"/>
      </w:pPr>
    </w:p>
    <w:p>
      <w:pPr>
        <w:adjustRightInd w:val="0"/>
        <w:snapToGrid w:val="0"/>
        <w:spacing w:line="360" w:lineRule="auto"/>
        <w:rPr>
          <w:rFonts w:ascii="仿宋_GB2312" w:hAnsi="仿宋_GB2312" w:eastAsia="仿宋_GB2312" w:cs="仿宋_GB2312"/>
          <w:sz w:val="24"/>
        </w:rPr>
      </w:pPr>
    </w:p>
    <w:p>
      <w:pPr>
        <w:spacing w:after="120"/>
        <w:rPr>
          <w:rFonts w:ascii="仿宋_GB2312" w:hAnsi="仿宋_GB2312" w:eastAsia="仿宋_GB2312" w:cs="仿宋_GB2312"/>
        </w:rPr>
      </w:pPr>
    </w:p>
    <w:p>
      <w:pPr>
        <w:adjustRightInd w:val="0"/>
        <w:snapToGrid w:val="0"/>
        <w:spacing w:line="360" w:lineRule="auto"/>
        <w:ind w:firstLine="1080" w:firstLineChars="450"/>
        <w:rPr>
          <w:rFonts w:ascii="仿宋_GB2312" w:hAnsi="仿宋_GB2312" w:eastAsia="仿宋_GB2312" w:cs="仿宋_GB2312"/>
          <w:sz w:val="24"/>
        </w:rPr>
      </w:pPr>
      <w:r>
        <w:rPr>
          <w:rFonts w:hint="eastAsia" w:ascii="仿宋_GB2312" w:hAnsi="仿宋_GB2312" w:eastAsia="仿宋_GB2312" w:cs="仿宋_GB2312"/>
          <w:sz w:val="24"/>
        </w:rPr>
        <w:t>供应商                             法定代表人</w:t>
      </w:r>
      <w:r>
        <w:rPr>
          <w:rFonts w:hint="eastAsia" w:ascii="仿宋_GB2312" w:hAnsi="仿宋_GB2312" w:eastAsia="仿宋_GB2312" w:cs="仿宋_GB2312"/>
          <w:sz w:val="24"/>
          <w:lang w:val="zh-CN"/>
        </w:rPr>
        <w:t>/单位负责人</w:t>
      </w:r>
      <w:r>
        <w:rPr>
          <w:rFonts w:hint="eastAsia" w:ascii="仿宋_GB2312" w:hAnsi="仿宋_GB2312" w:eastAsia="仿宋_GB2312" w:cs="仿宋_GB2312"/>
          <w:sz w:val="24"/>
        </w:rPr>
        <w:t>或授权代表</w:t>
      </w:r>
    </w:p>
    <w:p>
      <w:pPr>
        <w:adjustRightInd w:val="0"/>
        <w:snapToGrid w:val="0"/>
        <w:spacing w:line="360" w:lineRule="auto"/>
        <w:ind w:left="-525" w:leftChars="-250" w:firstLine="1440" w:firstLineChars="600"/>
        <w:rPr>
          <w:rFonts w:ascii="仿宋_GB2312" w:hAnsi="仿宋_GB2312" w:eastAsia="仿宋_GB2312" w:cs="仿宋_GB2312"/>
          <w:sz w:val="24"/>
        </w:rPr>
      </w:pPr>
      <w:r>
        <w:rPr>
          <w:rFonts w:hint="eastAsia" w:ascii="仿宋_GB2312" w:hAnsi="仿宋_GB2312" w:eastAsia="仿宋_GB2312" w:cs="仿宋_GB2312"/>
          <w:sz w:val="24"/>
        </w:rPr>
        <w:t>（公章）：                                       （签字或盖章）：</w:t>
      </w:r>
    </w:p>
    <w:p>
      <w:pPr>
        <w:adjustRightInd w:val="0"/>
        <w:snapToGrid w:val="0"/>
        <w:spacing w:line="360" w:lineRule="auto"/>
        <w:ind w:left="-525" w:leftChars="-250" w:firstLine="1440" w:firstLineChars="600"/>
        <w:rPr>
          <w:rFonts w:ascii="仿宋_GB2312" w:hAnsi="仿宋_GB2312" w:eastAsia="仿宋_GB2312" w:cs="仿宋_GB2312"/>
          <w:sz w:val="24"/>
        </w:rPr>
      </w:pPr>
    </w:p>
    <w:p>
      <w:pPr>
        <w:adjustRightInd w:val="0"/>
        <w:snapToGrid w:val="0"/>
        <w:spacing w:line="360" w:lineRule="auto"/>
        <w:ind w:left="-525" w:leftChars="-250"/>
        <w:jc w:val="right"/>
        <w:rPr>
          <w:rFonts w:ascii="仿宋_GB2312" w:hAnsi="仿宋_GB2312" w:eastAsia="仿宋_GB2312" w:cs="仿宋_GB2312"/>
          <w:szCs w:val="21"/>
        </w:rPr>
      </w:pPr>
      <w:r>
        <w:rPr>
          <w:rFonts w:hint="eastAsia" w:ascii="仿宋_GB2312" w:hAnsi="仿宋_GB2312" w:eastAsia="仿宋_GB2312" w:cs="仿宋_GB2312"/>
          <w:szCs w:val="21"/>
        </w:rPr>
        <w:t>日    期：</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年</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月</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日</w:t>
      </w:r>
    </w:p>
    <w:p>
      <w:pPr>
        <w:pStyle w:val="22"/>
        <w:rPr>
          <w:rFonts w:ascii="仿宋_GB2312" w:hAnsi="仿宋_GB2312" w:eastAsia="仿宋_GB2312" w:cs="仿宋_GB2312"/>
        </w:rPr>
      </w:pPr>
      <w:r>
        <w:rPr>
          <w:rFonts w:hint="eastAsia" w:ascii="仿宋_GB2312" w:hAnsi="仿宋_GB2312" w:eastAsia="仿宋_GB2312" w:cs="仿宋_GB2312"/>
        </w:rPr>
        <w:br w:type="page"/>
      </w:r>
    </w:p>
    <w:p>
      <w:pPr>
        <w:widowControl/>
        <w:jc w:val="left"/>
        <w:rPr>
          <w:rFonts w:ascii="仿宋_GB2312" w:hAnsi="仿宋_GB2312" w:eastAsia="仿宋_GB2312" w:cs="仿宋_GB2312"/>
          <w:b/>
          <w:bCs/>
          <w:sz w:val="30"/>
          <w:szCs w:val="30"/>
        </w:rPr>
        <w:sectPr>
          <w:pgSz w:w="11906" w:h="16838"/>
          <w:pgMar w:top="1418" w:right="1418" w:bottom="1418" w:left="1418" w:header="851" w:footer="992" w:gutter="0"/>
          <w:pgNumType w:fmt="decimal"/>
          <w:cols w:space="720" w:num="1"/>
          <w:docGrid w:linePitch="312" w:charSpace="0"/>
        </w:sectPr>
      </w:pPr>
    </w:p>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72"/>
    <w:bookmarkEnd w:id="473"/>
    <w:bookmarkEnd w:id="474"/>
    <w:bookmarkEnd w:id="475"/>
    <w:bookmarkEnd w:id="476"/>
    <w:bookmarkEnd w:id="477"/>
    <w:bookmarkEnd w:id="478"/>
    <w:bookmarkEnd w:id="479"/>
    <w:bookmarkEnd w:id="480"/>
    <w:bookmarkEnd w:id="481"/>
    <w:p>
      <w:pPr>
        <w:pStyle w:val="77"/>
        <w:spacing w:before="24" w:after="24"/>
        <w:jc w:val="center"/>
        <w:rPr>
          <w:rFonts w:ascii="仿宋_GB2312" w:hAnsi="仿宋_GB2312" w:eastAsia="仿宋_GB2312" w:cs="仿宋_GB2312"/>
        </w:rPr>
      </w:pPr>
      <w:bookmarkStart w:id="482" w:name="_Toc62196436"/>
      <w:bookmarkStart w:id="483" w:name="_Toc232395225"/>
      <w:bookmarkStart w:id="484" w:name="_Toc500747011"/>
      <w:bookmarkStart w:id="485" w:name="_Toc177995484"/>
      <w:bookmarkStart w:id="486" w:name="_Toc225933091"/>
      <w:bookmarkStart w:id="487" w:name="_Toc389620242"/>
      <w:bookmarkStart w:id="488" w:name="_Toc184043059"/>
      <w:bookmarkStart w:id="489" w:name="_Toc500747234"/>
      <w:bookmarkStart w:id="490" w:name="_Toc256342155"/>
      <w:bookmarkStart w:id="491" w:name="_Toc83547687"/>
      <w:bookmarkStart w:id="492" w:name="_Toc230099806"/>
      <w:bookmarkStart w:id="493" w:name="_Toc492955460"/>
      <w:bookmarkStart w:id="494" w:name="_Toc230013641"/>
      <w:bookmarkStart w:id="495" w:name="_Toc415499902"/>
      <w:bookmarkStart w:id="496" w:name="_Toc385992402"/>
      <w:bookmarkStart w:id="497" w:name="_Toc249515372"/>
      <w:bookmarkStart w:id="498" w:name="_Toc500747107"/>
      <w:bookmarkStart w:id="499" w:name="_Toc499711088"/>
      <w:bookmarkStart w:id="500" w:name="_Toc177817345"/>
      <w:bookmarkStart w:id="501" w:name="_Toc499711929"/>
      <w:bookmarkStart w:id="502" w:name="_Toc53722866"/>
      <w:bookmarkStart w:id="503" w:name="_Toc503063459"/>
      <w:bookmarkStart w:id="504" w:name="_Toc177189246"/>
      <w:bookmarkStart w:id="505" w:name="_Toc249525253"/>
      <w:bookmarkStart w:id="506" w:name="_Toc70687203"/>
      <w:bookmarkStart w:id="507" w:name="_Toc232176285"/>
      <w:bookmarkStart w:id="508" w:name="_Toc176882553"/>
      <w:bookmarkStart w:id="509" w:name="_Toc496324624"/>
      <w:bookmarkStart w:id="510" w:name="_Toc230583555"/>
      <w:r>
        <w:rPr>
          <w:rFonts w:hint="eastAsia" w:ascii="仿宋_GB2312" w:hAnsi="仿宋_GB2312" w:eastAsia="仿宋_GB2312" w:cs="仿宋_GB2312"/>
        </w:rPr>
        <w:t>第三部分  偏离表</w:t>
      </w:r>
      <w:bookmarkEnd w:id="482"/>
    </w:p>
    <w:p>
      <w:pPr>
        <w:rPr>
          <w:rFonts w:ascii="仿宋_GB2312" w:hAnsi="仿宋_GB2312" w:eastAsia="仿宋_GB2312" w:cs="仿宋_GB2312"/>
        </w:rPr>
      </w:pPr>
    </w:p>
    <w:p>
      <w:pPr>
        <w:autoSpaceDE w:val="0"/>
        <w:autoSpaceDN w:val="0"/>
        <w:adjustRightInd w:val="0"/>
        <w:snapToGrid w:val="0"/>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一、商务、合同条款偏离表</w:t>
      </w:r>
    </w:p>
    <w:p>
      <w:pPr>
        <w:pStyle w:val="28"/>
        <w:ind w:right="560"/>
        <w:rPr>
          <w:rFonts w:ascii="仿宋_GB2312" w:hAnsi="仿宋_GB2312" w:eastAsia="仿宋_GB2312" w:cs="仿宋_GB2312"/>
          <w:sz w:val="24"/>
          <w:szCs w:val="24"/>
        </w:rPr>
      </w:pPr>
      <w:r>
        <w:rPr>
          <w:rFonts w:hint="eastAsia" w:ascii="仿宋_GB2312" w:hAnsi="仿宋_GB2312" w:eastAsia="仿宋_GB2312" w:cs="仿宋_GB2312"/>
          <w:sz w:val="24"/>
          <w:szCs w:val="24"/>
        </w:rPr>
        <w:t>项目编号:</w:t>
      </w:r>
    </w:p>
    <w:tbl>
      <w:tblPr>
        <w:tblStyle w:val="50"/>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2753"/>
        <w:gridCol w:w="2696"/>
        <w:gridCol w:w="2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序号</w:t>
            </w:r>
          </w:p>
        </w:tc>
        <w:tc>
          <w:tcPr>
            <w:tcW w:w="2753"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磋商文件</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要求数据</w:t>
            </w:r>
          </w:p>
        </w:tc>
        <w:tc>
          <w:tcPr>
            <w:tcW w:w="2696"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响应文件</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实际数据</w:t>
            </w:r>
          </w:p>
        </w:tc>
        <w:tc>
          <w:tcPr>
            <w:tcW w:w="2228"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响应</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0" w:type="dxa"/>
          </w:tcPr>
          <w:p>
            <w:pPr>
              <w:adjustRightInd w:val="0"/>
              <w:snapToGrid w:val="0"/>
              <w:spacing w:line="360" w:lineRule="auto"/>
              <w:rPr>
                <w:rFonts w:ascii="仿宋_GB2312" w:hAnsi="仿宋_GB2312" w:eastAsia="仿宋_GB2312" w:cs="仿宋_GB2312"/>
                <w:sz w:val="32"/>
              </w:rPr>
            </w:pPr>
          </w:p>
        </w:tc>
        <w:tc>
          <w:tcPr>
            <w:tcW w:w="2753" w:type="dxa"/>
          </w:tcPr>
          <w:p>
            <w:pPr>
              <w:adjustRightInd w:val="0"/>
              <w:snapToGrid w:val="0"/>
              <w:spacing w:line="360" w:lineRule="auto"/>
              <w:rPr>
                <w:rFonts w:ascii="仿宋_GB2312" w:hAnsi="仿宋_GB2312" w:eastAsia="仿宋_GB2312" w:cs="仿宋_GB2312"/>
                <w:sz w:val="32"/>
              </w:rPr>
            </w:pPr>
          </w:p>
        </w:tc>
        <w:tc>
          <w:tcPr>
            <w:tcW w:w="2696" w:type="dxa"/>
          </w:tcPr>
          <w:p>
            <w:pPr>
              <w:adjustRightInd w:val="0"/>
              <w:snapToGrid w:val="0"/>
              <w:spacing w:line="360" w:lineRule="auto"/>
              <w:rPr>
                <w:rFonts w:ascii="仿宋_GB2312" w:hAnsi="仿宋_GB2312" w:eastAsia="仿宋_GB2312" w:cs="仿宋_GB2312"/>
                <w:sz w:val="32"/>
              </w:rPr>
            </w:pPr>
          </w:p>
        </w:tc>
        <w:tc>
          <w:tcPr>
            <w:tcW w:w="2228" w:type="dxa"/>
          </w:tcPr>
          <w:p>
            <w:pPr>
              <w:adjustRightInd w:val="0"/>
              <w:snapToGrid w:val="0"/>
              <w:spacing w:line="360" w:lineRule="auto"/>
              <w:rPr>
                <w:rFonts w:ascii="仿宋_GB2312" w:hAnsi="仿宋_GB2312" w:eastAsia="仿宋_GB2312" w:cs="仿宋_GB2312"/>
                <w:sz w:val="32"/>
              </w:rPr>
            </w:pPr>
          </w:p>
        </w:tc>
      </w:tr>
    </w:tbl>
    <w:p>
      <w:pPr>
        <w:autoSpaceDE w:val="0"/>
        <w:autoSpaceDN w:val="0"/>
        <w:adjustRightInd w:val="0"/>
        <w:snapToGrid w:val="0"/>
        <w:spacing w:line="360" w:lineRule="auto"/>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说明：响应说明填写：优于、相同、低于</w:t>
      </w:r>
    </w:p>
    <w:p>
      <w:pPr>
        <w:pStyle w:val="28"/>
        <w:ind w:left="645" w:leftChars="307" w:right="560" w:firstLine="120" w:firstLineChars="50"/>
        <w:rPr>
          <w:rFonts w:ascii="仿宋_GB2312" w:hAnsi="仿宋_GB2312" w:eastAsia="仿宋_GB2312" w:cs="仿宋_GB2312"/>
          <w:sz w:val="24"/>
          <w:szCs w:val="24"/>
        </w:rPr>
      </w:pPr>
    </w:p>
    <w:p>
      <w:pPr>
        <w:pStyle w:val="28"/>
        <w:ind w:left="1080" w:leftChars="257" w:hanging="540"/>
        <w:rPr>
          <w:rFonts w:ascii="仿宋_GB2312" w:hAnsi="仿宋_GB2312" w:eastAsia="仿宋_GB2312" w:cs="仿宋_GB2312"/>
          <w:sz w:val="24"/>
          <w:szCs w:val="24"/>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供应商（公章）：           法定代表人</w:t>
      </w:r>
      <w:r>
        <w:rPr>
          <w:rFonts w:hint="eastAsia" w:ascii="仿宋_GB2312" w:hAnsi="仿宋_GB2312" w:eastAsia="仿宋_GB2312" w:cs="仿宋_GB2312"/>
          <w:sz w:val="24"/>
          <w:lang w:val="zh-CN"/>
        </w:rPr>
        <w:t>/单位负责人</w:t>
      </w:r>
      <w:r>
        <w:rPr>
          <w:rFonts w:hint="eastAsia" w:ascii="仿宋_GB2312" w:hAnsi="仿宋_GB2312" w:eastAsia="仿宋_GB2312" w:cs="仿宋_GB2312"/>
          <w:sz w:val="24"/>
        </w:rPr>
        <w:t>或其授权代表（签字或盖章）：</w:t>
      </w:r>
      <w:r>
        <w:rPr>
          <w:rFonts w:hint="eastAsia" w:ascii="仿宋_GB2312" w:hAnsi="仿宋_GB2312" w:eastAsia="仿宋_GB2312" w:cs="仿宋_GB2312"/>
          <w:sz w:val="24"/>
          <w:u w:val="single"/>
        </w:rPr>
        <w:t xml:space="preserve">                  </w:t>
      </w:r>
    </w:p>
    <w:p>
      <w:pPr>
        <w:spacing w:before="120" w:after="120" w:line="360" w:lineRule="auto"/>
        <w:ind w:firstLine="4320" w:firstLineChars="18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rPr>
          <w:rFonts w:ascii="仿宋_GB2312" w:hAnsi="仿宋_GB2312" w:eastAsia="仿宋_GB2312" w:cs="仿宋_GB2312"/>
          <w:b/>
          <w:sz w:val="28"/>
          <w:szCs w:val="28"/>
        </w:rPr>
      </w:pPr>
      <w:bookmarkStart w:id="511" w:name="_Toc416103825"/>
      <w:bookmarkStart w:id="512" w:name="_Toc7005136"/>
      <w:bookmarkStart w:id="513" w:name="_Toc414445775"/>
      <w:bookmarkStart w:id="514" w:name="_Toc410631184"/>
    </w:p>
    <w:p>
      <w:pPr>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二、技术偏离表</w:t>
      </w:r>
      <w:bookmarkEnd w:id="511"/>
      <w:bookmarkEnd w:id="512"/>
      <w:bookmarkEnd w:id="513"/>
      <w:bookmarkEnd w:id="514"/>
    </w:p>
    <w:p>
      <w:pPr>
        <w:spacing w:after="240"/>
        <w:rPr>
          <w:rFonts w:hint="eastAsia" w:ascii="仿宋_GB2312" w:hAnsi="仿宋_GB2312" w:eastAsia="仿宋_GB2312" w:cs="仿宋_GB2312"/>
          <w:sz w:val="24"/>
        </w:rPr>
      </w:pPr>
    </w:p>
    <w:p>
      <w:pPr>
        <w:spacing w:after="240"/>
        <w:rPr>
          <w:rFonts w:ascii="仿宋_GB2312" w:hAnsi="仿宋_GB2312" w:eastAsia="仿宋_GB2312" w:cs="仿宋_GB2312"/>
          <w:sz w:val="24"/>
        </w:rPr>
      </w:pPr>
      <w:r>
        <w:rPr>
          <w:rFonts w:hint="eastAsia" w:ascii="仿宋_GB2312" w:hAnsi="仿宋_GB2312" w:eastAsia="仿宋_GB2312" w:cs="仿宋_GB2312"/>
          <w:sz w:val="24"/>
        </w:rPr>
        <w:t>项目编号:</w:t>
      </w:r>
    </w:p>
    <w:tbl>
      <w:tblPr>
        <w:tblStyle w:val="50"/>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3663"/>
        <w:gridCol w:w="3400"/>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序号</w:t>
            </w:r>
          </w:p>
        </w:tc>
        <w:tc>
          <w:tcPr>
            <w:tcW w:w="3663"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磋商文件</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要求数据</w:t>
            </w:r>
          </w:p>
        </w:tc>
        <w:tc>
          <w:tcPr>
            <w:tcW w:w="3400"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响应文件</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实际数据</w:t>
            </w:r>
          </w:p>
        </w:tc>
        <w:tc>
          <w:tcPr>
            <w:tcW w:w="1264" w:type="dxa"/>
            <w:vAlign w:val="center"/>
          </w:tcPr>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响应</w:t>
            </w:r>
          </w:p>
          <w:p>
            <w:pPr>
              <w:autoSpaceDE w:val="0"/>
              <w:autoSpaceDN w:val="0"/>
              <w:adjustRightInd w:val="0"/>
              <w:snapToGrid w:val="0"/>
              <w:spacing w:line="360" w:lineRule="auto"/>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仿宋_GB2312" w:hAnsi="仿宋_GB2312" w:eastAsia="仿宋_GB2312" w:cs="仿宋_GB2312"/>
                <w:sz w:val="32"/>
              </w:rPr>
            </w:pPr>
          </w:p>
        </w:tc>
        <w:tc>
          <w:tcPr>
            <w:tcW w:w="3663" w:type="dxa"/>
          </w:tcPr>
          <w:p>
            <w:pPr>
              <w:adjustRightInd w:val="0"/>
              <w:snapToGrid w:val="0"/>
              <w:spacing w:line="360" w:lineRule="auto"/>
              <w:rPr>
                <w:rFonts w:ascii="仿宋_GB2312" w:hAnsi="仿宋_GB2312" w:eastAsia="仿宋_GB2312" w:cs="仿宋_GB2312"/>
                <w:sz w:val="32"/>
              </w:rPr>
            </w:pPr>
          </w:p>
        </w:tc>
        <w:tc>
          <w:tcPr>
            <w:tcW w:w="3400" w:type="dxa"/>
          </w:tcPr>
          <w:p>
            <w:pPr>
              <w:adjustRightInd w:val="0"/>
              <w:snapToGrid w:val="0"/>
              <w:spacing w:line="360" w:lineRule="auto"/>
              <w:rPr>
                <w:rFonts w:ascii="仿宋_GB2312" w:hAnsi="仿宋_GB2312" w:eastAsia="仿宋_GB2312" w:cs="仿宋_GB2312"/>
                <w:sz w:val="32"/>
              </w:rPr>
            </w:pPr>
          </w:p>
        </w:tc>
        <w:tc>
          <w:tcPr>
            <w:tcW w:w="1264" w:type="dxa"/>
          </w:tcPr>
          <w:p>
            <w:pPr>
              <w:adjustRightInd w:val="0"/>
              <w:snapToGrid w:val="0"/>
              <w:spacing w:line="360" w:lineRule="auto"/>
              <w:rPr>
                <w:rFonts w:ascii="仿宋_GB2312" w:hAnsi="仿宋_GB2312" w:eastAsia="仿宋_GB2312" w:cs="仿宋_GB2312"/>
                <w:sz w:val="32"/>
              </w:rPr>
            </w:pPr>
          </w:p>
        </w:tc>
      </w:tr>
    </w:tbl>
    <w:p>
      <w:pPr>
        <w:autoSpaceDE w:val="0"/>
        <w:autoSpaceDN w:val="0"/>
        <w:adjustRightInd w:val="0"/>
        <w:snapToGrid w:val="0"/>
        <w:spacing w:line="360" w:lineRule="auto"/>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响应说明填写：优于、相同、低于</w:t>
      </w:r>
    </w:p>
    <w:p>
      <w:pPr>
        <w:pStyle w:val="22"/>
        <w:rPr>
          <w:rFonts w:hint="eastAsia"/>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供应商（公章）：           法定代表人</w:t>
      </w:r>
      <w:r>
        <w:rPr>
          <w:rFonts w:hint="eastAsia" w:ascii="仿宋_GB2312" w:hAnsi="仿宋_GB2312" w:eastAsia="仿宋_GB2312" w:cs="仿宋_GB2312"/>
          <w:sz w:val="24"/>
          <w:lang w:val="zh-CN"/>
        </w:rPr>
        <w:t>/单位负责人</w:t>
      </w:r>
      <w:r>
        <w:rPr>
          <w:rFonts w:hint="eastAsia" w:ascii="仿宋_GB2312" w:hAnsi="仿宋_GB2312" w:eastAsia="仿宋_GB2312" w:cs="仿宋_GB2312"/>
          <w:sz w:val="24"/>
        </w:rPr>
        <w:t>或其授权代表（签字或盖章）：</w:t>
      </w:r>
      <w:r>
        <w:rPr>
          <w:rFonts w:hint="eastAsia" w:ascii="仿宋_GB2312" w:hAnsi="仿宋_GB2312" w:eastAsia="仿宋_GB2312" w:cs="仿宋_GB2312"/>
          <w:sz w:val="24"/>
          <w:u w:val="single"/>
        </w:rPr>
        <w:t xml:space="preserve">                  </w:t>
      </w:r>
    </w:p>
    <w:p>
      <w:pPr>
        <w:spacing w:before="120" w:after="120" w:line="360" w:lineRule="auto"/>
        <w:ind w:firstLine="4320" w:firstLineChars="18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autoSpaceDE w:val="0"/>
        <w:autoSpaceDN w:val="0"/>
        <w:adjustRightInd w:val="0"/>
        <w:snapToGrid w:val="0"/>
        <w:spacing w:line="360" w:lineRule="auto"/>
        <w:jc w:val="center"/>
        <w:rPr>
          <w:rFonts w:ascii="仿宋_GB2312" w:hAnsi="仿宋_GB2312" w:eastAsia="仿宋_GB2312" w:cs="仿宋_GB2312"/>
          <w:b/>
          <w:bCs/>
          <w:sz w:val="24"/>
        </w:rPr>
      </w:pPr>
      <w:r>
        <w:rPr>
          <w:rFonts w:hint="eastAsia" w:ascii="仿宋_GB2312" w:hAnsi="仿宋_GB2312" w:eastAsia="仿宋_GB2312" w:cs="仿宋_GB2312"/>
        </w:rPr>
        <w:br w:type="page"/>
      </w:r>
    </w:p>
    <w:p>
      <w:pPr>
        <w:pStyle w:val="77"/>
        <w:spacing w:before="24" w:after="24"/>
        <w:jc w:val="center"/>
        <w:rPr>
          <w:rFonts w:ascii="仿宋_GB2312" w:hAnsi="仿宋_GB2312" w:eastAsia="仿宋_GB2312" w:cs="仿宋_GB2312"/>
        </w:rPr>
      </w:pPr>
      <w:bookmarkStart w:id="515" w:name="_Toc62196437"/>
      <w:r>
        <w:rPr>
          <w:rFonts w:hint="eastAsia" w:ascii="仿宋_GB2312" w:hAnsi="仿宋_GB2312" w:eastAsia="仿宋_GB2312" w:cs="仿宋_GB2312"/>
        </w:rPr>
        <w:t>第四部分  技术方案说明</w:t>
      </w:r>
      <w:bookmarkEnd w:id="515"/>
    </w:p>
    <w:p>
      <w:pPr>
        <w:pStyle w:val="22"/>
        <w:rPr>
          <w:rFonts w:ascii="仿宋_GB2312" w:hAnsi="仿宋_GB2312" w:eastAsia="仿宋_GB2312" w:cs="仿宋_GB2312"/>
          <w:lang w:val="zh-CN"/>
        </w:rPr>
      </w:pPr>
    </w:p>
    <w:p>
      <w:pPr>
        <w:autoSpaceDE w:val="0"/>
        <w:autoSpaceDN w:val="0"/>
        <w:adjustRightInd w:val="0"/>
        <w:spacing w:line="360" w:lineRule="auto"/>
        <w:jc w:val="center"/>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（格式自拟，内容需符合评审办法中要求的内容要求）</w:t>
      </w:r>
    </w:p>
    <w:p>
      <w:pPr>
        <w:pStyle w:val="22"/>
        <w:rPr>
          <w:rFonts w:ascii="仿宋_GB2312" w:hAnsi="仿宋_GB2312" w:eastAsia="仿宋_GB2312" w:cs="仿宋_GB2312"/>
          <w:lang w:val="zh-CN"/>
        </w:rPr>
      </w:pPr>
      <w:r>
        <w:rPr>
          <w:rFonts w:hint="eastAsia" w:ascii="仿宋_GB2312" w:hAnsi="仿宋_GB2312" w:eastAsia="仿宋_GB2312" w:cs="仿宋_GB2312"/>
          <w:lang w:val="zh-CN"/>
        </w:rPr>
        <w:br w:type="page"/>
      </w:r>
    </w:p>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Pr>
        <w:pStyle w:val="77"/>
        <w:spacing w:before="24" w:after="24"/>
        <w:rPr>
          <w:rFonts w:ascii="仿宋_GB2312" w:hAnsi="仿宋_GB2312" w:eastAsia="仿宋_GB2312" w:cs="仿宋_GB2312"/>
        </w:rPr>
      </w:pPr>
      <w:bookmarkStart w:id="516" w:name="_Toc62196440"/>
      <w:r>
        <w:rPr>
          <w:rFonts w:hint="eastAsia" w:ascii="仿宋_GB2312" w:hAnsi="仿宋_GB2312" w:eastAsia="仿宋_GB2312" w:cs="仿宋_GB2312"/>
        </w:rPr>
        <w:t>第五部分 小微企业、监狱企业、残疾人福利单位声明函或证明</w:t>
      </w:r>
      <w:bookmarkEnd w:id="516"/>
    </w:p>
    <w:p>
      <w:pPr>
        <w:ind w:left="315" w:leftChars="150" w:firstLine="270" w:firstLineChars="150"/>
        <w:rPr>
          <w:rFonts w:ascii="仿宋_GB2312" w:hAnsi="仿宋_GB2312" w:eastAsia="仿宋_GB2312" w:cs="仿宋_GB2312"/>
          <w:color w:val="333333"/>
          <w:kern w:val="0"/>
          <w:sz w:val="18"/>
          <w:szCs w:val="18"/>
        </w:rPr>
      </w:pPr>
      <w:bookmarkStart w:id="517" w:name="_Toc7005133"/>
    </w:p>
    <w:p>
      <w:pPr>
        <w:jc w:val="center"/>
        <w:rPr>
          <w:rFonts w:ascii="仿宋_GB2312" w:hAnsi="仿宋_GB2312" w:eastAsia="仿宋_GB2312" w:cs="仿宋_GB2312"/>
          <w:b/>
          <w:color w:val="333333"/>
          <w:kern w:val="0"/>
          <w:sz w:val="28"/>
          <w:szCs w:val="28"/>
        </w:rPr>
      </w:pPr>
      <w:r>
        <w:rPr>
          <w:rFonts w:hint="eastAsia" w:ascii="仿宋_GB2312" w:hAnsi="仿宋_GB2312" w:eastAsia="仿宋_GB2312" w:cs="仿宋_GB2312"/>
          <w:b/>
          <w:color w:val="333333"/>
          <w:kern w:val="0"/>
          <w:sz w:val="28"/>
          <w:szCs w:val="28"/>
          <w:lang w:val="en-US" w:eastAsia="zh-CN"/>
        </w:rPr>
        <w:t>一、</w:t>
      </w:r>
      <w:r>
        <w:rPr>
          <w:rFonts w:hint="eastAsia" w:ascii="仿宋_GB2312" w:hAnsi="仿宋_GB2312" w:eastAsia="仿宋_GB2312" w:cs="仿宋_GB2312"/>
          <w:b/>
          <w:color w:val="333333"/>
          <w:kern w:val="0"/>
          <w:sz w:val="28"/>
          <w:szCs w:val="28"/>
        </w:rPr>
        <w:t>中小企业声明函(工程、服务)</w:t>
      </w:r>
    </w:p>
    <w:p>
      <w:pPr>
        <w:rPr>
          <w:rFonts w:ascii="仿宋_GB2312" w:hAnsi="仿宋_GB2312" w:eastAsia="仿宋_GB2312" w:cs="仿宋_GB2312"/>
          <w:color w:val="333333"/>
          <w:kern w:val="0"/>
          <w:sz w:val="30"/>
          <w:szCs w:val="30"/>
        </w:rPr>
      </w:pPr>
    </w:p>
    <w:p>
      <w:pPr>
        <w:spacing w:line="560" w:lineRule="exact"/>
        <w:ind w:firstLine="480" w:firstLineChars="2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本公司(联合体)郑重声明，根据《政府采购促进中小企业发展管理办法》(财库(2020)46号)的规定，本公司(联合体)参加</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i/>
          <w:color w:val="333333"/>
          <w:kern w:val="0"/>
          <w:sz w:val="24"/>
          <w:u w:val="single"/>
        </w:rPr>
        <w:t>(单位名称)</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color w:val="333333"/>
          <w:kern w:val="0"/>
          <w:sz w:val="24"/>
        </w:rPr>
        <w:t xml:space="preserve"> 的</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i/>
          <w:color w:val="333333"/>
          <w:kern w:val="0"/>
          <w:sz w:val="24"/>
          <w:u w:val="single"/>
        </w:rPr>
        <w:t>(项目名称)</w:t>
      </w:r>
      <w:r>
        <w:rPr>
          <w:rFonts w:hint="eastAsia" w:ascii="仿宋_GB2312" w:hAnsi="仿宋_GB2312" w:eastAsia="仿宋_GB2312" w:cs="仿宋_GB2312"/>
          <w:color w:val="333333"/>
          <w:kern w:val="0"/>
          <w:sz w:val="24"/>
          <w:u w:val="single"/>
        </w:rPr>
        <w:t xml:space="preserve"> 采购</w:t>
      </w:r>
      <w:r>
        <w:rPr>
          <w:rFonts w:hint="eastAsia" w:ascii="仿宋_GB2312" w:hAnsi="仿宋_GB2312" w:eastAsia="仿宋_GB2312" w:cs="仿宋_GB2312"/>
          <w:color w:val="333333"/>
          <w:kern w:val="0"/>
          <w:sz w:val="24"/>
        </w:rPr>
        <w:t>活动，工程的施工单位全部为符合政策要求的中小企业(或者:服务全部由符合政策要求的中小企业承接)。相关企业(含联合体中的中小企业、签订分包意向协议的中小企业)的具体情况如下：</w:t>
      </w:r>
    </w:p>
    <w:p>
      <w:pPr>
        <w:pStyle w:val="67"/>
        <w:numPr>
          <w:ilvl w:val="0"/>
          <w:numId w:val="0"/>
        </w:numPr>
        <w:spacing w:line="560" w:lineRule="exact"/>
        <w:ind w:left="0" w:leftChars="0" w:firstLine="638" w:firstLineChars="266"/>
        <w:rPr>
          <w:rFonts w:ascii="仿宋_GB2312" w:hAnsi="仿宋_GB2312" w:eastAsia="仿宋_GB2312" w:cs="仿宋_GB2312"/>
          <w:color w:val="333333"/>
          <w:kern w:val="0"/>
          <w:sz w:val="24"/>
          <w:szCs w:val="24"/>
        </w:rPr>
      </w:pPr>
      <w:r>
        <w:rPr>
          <w:rFonts w:hint="eastAsia" w:ascii="仿宋_GB2312" w:hAnsi="仿宋_GB2312" w:eastAsia="仿宋_GB2312" w:cs="仿宋_GB2312"/>
          <w:color w:val="333333"/>
          <w:kern w:val="0"/>
          <w:sz w:val="24"/>
          <w:szCs w:val="24"/>
          <w:u w:val="none"/>
          <w:lang w:val="en-US" w:eastAsia="zh-CN"/>
        </w:rPr>
        <w:t>1.</w:t>
      </w:r>
      <w:r>
        <w:rPr>
          <w:rFonts w:hint="eastAsia" w:ascii="仿宋_GB2312" w:hAnsi="仿宋_GB2312" w:eastAsia="仿宋_GB2312" w:cs="仿宋_GB2312"/>
          <w:color w:val="333333"/>
          <w:kern w:val="0"/>
          <w:sz w:val="24"/>
          <w:szCs w:val="24"/>
          <w:u w:val="single"/>
        </w:rPr>
        <w:t xml:space="preserve"> (标的名称) </w:t>
      </w:r>
      <w:r>
        <w:rPr>
          <w:rFonts w:hint="eastAsia" w:ascii="仿宋_GB2312" w:hAnsi="仿宋_GB2312" w:eastAsia="仿宋_GB2312" w:cs="仿宋_GB2312"/>
          <w:color w:val="333333"/>
          <w:kern w:val="0"/>
          <w:sz w:val="24"/>
          <w:szCs w:val="24"/>
        </w:rPr>
        <w:t>，属于</w:t>
      </w:r>
      <w:r>
        <w:rPr>
          <w:rFonts w:hint="eastAsia" w:ascii="仿宋_GB2312" w:hAnsi="仿宋_GB2312" w:eastAsia="仿宋_GB2312" w:cs="仿宋_GB2312"/>
          <w:color w:val="333333"/>
          <w:kern w:val="0"/>
          <w:sz w:val="24"/>
          <w:szCs w:val="24"/>
          <w:u w:val="single"/>
        </w:rPr>
        <w:t xml:space="preserve"> (采购文件中明</w:t>
      </w:r>
      <w:r>
        <w:rPr>
          <w:rFonts w:hint="eastAsia" w:ascii="仿宋_GB2312" w:hAnsi="仿宋_GB2312" w:eastAsia="仿宋_GB2312" w:cs="仿宋_GB2312"/>
          <w:color w:val="333333"/>
          <w:kern w:val="0"/>
          <w:sz w:val="24"/>
          <w:szCs w:val="24"/>
          <w:u w:val="single"/>
          <w:lang w:val="en-US" w:eastAsia="zh-CN"/>
        </w:rPr>
        <w:t>确</w:t>
      </w:r>
      <w:r>
        <w:rPr>
          <w:rFonts w:hint="eastAsia" w:ascii="仿宋_GB2312" w:hAnsi="仿宋_GB2312" w:eastAsia="仿宋_GB2312" w:cs="仿宋_GB2312"/>
          <w:color w:val="333333"/>
          <w:kern w:val="0"/>
          <w:sz w:val="24"/>
          <w:szCs w:val="24"/>
          <w:u w:val="single"/>
        </w:rPr>
        <w:t xml:space="preserve">的所属行业) </w:t>
      </w:r>
      <w:r>
        <w:rPr>
          <w:rFonts w:hint="eastAsia" w:ascii="仿宋_GB2312" w:hAnsi="仿宋_GB2312" w:eastAsia="仿宋_GB2312" w:cs="仿宋_GB2312"/>
          <w:color w:val="333333"/>
          <w:kern w:val="0"/>
          <w:sz w:val="24"/>
          <w:szCs w:val="24"/>
        </w:rPr>
        <w:t>；承建(承接)企业为</w:t>
      </w:r>
      <w:r>
        <w:rPr>
          <w:rFonts w:hint="eastAsia" w:ascii="仿宋_GB2312" w:hAnsi="仿宋_GB2312" w:eastAsia="仿宋_GB2312" w:cs="仿宋_GB2312"/>
          <w:color w:val="333333"/>
          <w:kern w:val="0"/>
          <w:sz w:val="24"/>
          <w:szCs w:val="24"/>
          <w:u w:val="single"/>
        </w:rPr>
        <w:t xml:space="preserve"> (企业名称) </w:t>
      </w:r>
      <w:r>
        <w:rPr>
          <w:rFonts w:hint="eastAsia" w:ascii="仿宋_GB2312" w:hAnsi="仿宋_GB2312" w:eastAsia="仿宋_GB2312" w:cs="仿宋_GB2312"/>
          <w:color w:val="333333"/>
          <w:kern w:val="0"/>
          <w:sz w:val="24"/>
          <w:szCs w:val="24"/>
        </w:rPr>
        <w:t>，从业人员</w:t>
      </w:r>
      <w:r>
        <w:rPr>
          <w:rFonts w:hint="eastAsia" w:ascii="仿宋_GB2312" w:hAnsi="仿宋_GB2312" w:eastAsia="仿宋_GB2312" w:cs="仿宋_GB2312"/>
          <w:color w:val="333333"/>
          <w:kern w:val="0"/>
          <w:sz w:val="24"/>
          <w:szCs w:val="24"/>
          <w:u w:val="single"/>
        </w:rPr>
        <w:t xml:space="preserve">   </w:t>
      </w:r>
      <w:r>
        <w:rPr>
          <w:rFonts w:hint="eastAsia" w:ascii="仿宋_GB2312" w:hAnsi="仿宋_GB2312" w:eastAsia="仿宋_GB2312" w:cs="仿宋_GB2312"/>
          <w:color w:val="333333"/>
          <w:kern w:val="0"/>
          <w:sz w:val="24"/>
          <w:szCs w:val="24"/>
        </w:rPr>
        <w:t>人，营业收入为</w:t>
      </w:r>
      <w:r>
        <w:rPr>
          <w:rFonts w:hint="eastAsia" w:ascii="仿宋_GB2312" w:hAnsi="仿宋_GB2312" w:eastAsia="仿宋_GB2312" w:cs="仿宋_GB2312"/>
          <w:color w:val="333333"/>
          <w:kern w:val="0"/>
          <w:sz w:val="24"/>
          <w:szCs w:val="24"/>
          <w:u w:val="single"/>
        </w:rPr>
        <w:t xml:space="preserve">   </w:t>
      </w:r>
      <w:r>
        <w:rPr>
          <w:rFonts w:hint="eastAsia" w:ascii="仿宋_GB2312" w:hAnsi="仿宋_GB2312" w:eastAsia="仿宋_GB2312" w:cs="仿宋_GB2312"/>
          <w:color w:val="333333"/>
          <w:kern w:val="0"/>
          <w:sz w:val="24"/>
          <w:szCs w:val="24"/>
        </w:rPr>
        <w:t>万元，资产总额为</w:t>
      </w:r>
      <w:r>
        <w:rPr>
          <w:rFonts w:hint="eastAsia" w:ascii="仿宋_GB2312" w:hAnsi="仿宋_GB2312" w:eastAsia="仿宋_GB2312" w:cs="仿宋_GB2312"/>
          <w:color w:val="333333"/>
          <w:kern w:val="0"/>
          <w:sz w:val="24"/>
          <w:szCs w:val="24"/>
          <w:u w:val="single"/>
        </w:rPr>
        <w:t xml:space="preserve">    </w:t>
      </w:r>
      <w:r>
        <w:rPr>
          <w:rFonts w:hint="eastAsia" w:ascii="仿宋_GB2312" w:hAnsi="仿宋_GB2312" w:eastAsia="仿宋_GB2312" w:cs="仿宋_GB2312"/>
          <w:color w:val="333333"/>
          <w:kern w:val="0"/>
          <w:sz w:val="24"/>
          <w:szCs w:val="24"/>
        </w:rPr>
        <w:t>万元，属于</w:t>
      </w:r>
      <w:r>
        <w:rPr>
          <w:rFonts w:hint="eastAsia" w:ascii="仿宋_GB2312" w:hAnsi="仿宋_GB2312" w:eastAsia="仿宋_GB2312" w:cs="仿宋_GB2312"/>
          <w:color w:val="333333"/>
          <w:kern w:val="0"/>
          <w:sz w:val="24"/>
          <w:szCs w:val="24"/>
          <w:u w:val="single"/>
        </w:rPr>
        <w:t xml:space="preserve"> (中型企必、小型企业、微型企业) </w:t>
      </w:r>
      <w:r>
        <w:rPr>
          <w:rFonts w:hint="eastAsia" w:ascii="仿宋_GB2312" w:hAnsi="仿宋_GB2312" w:eastAsia="仿宋_GB2312" w:cs="仿宋_GB2312"/>
          <w:color w:val="333333"/>
          <w:kern w:val="0"/>
          <w:sz w:val="24"/>
          <w:szCs w:val="24"/>
        </w:rPr>
        <w:t>；</w:t>
      </w:r>
    </w:p>
    <w:p>
      <w:pPr>
        <w:spacing w:line="560" w:lineRule="exact"/>
        <w:ind w:firstLine="600" w:firstLineChars="25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 xml:space="preserve">2. </w:t>
      </w:r>
      <w:r>
        <w:rPr>
          <w:rFonts w:hint="eastAsia" w:ascii="仿宋_GB2312" w:hAnsi="仿宋_GB2312" w:eastAsia="仿宋_GB2312" w:cs="仿宋_GB2312"/>
          <w:color w:val="333333"/>
          <w:kern w:val="0"/>
          <w:sz w:val="24"/>
          <w:u w:val="single"/>
        </w:rPr>
        <w:t xml:space="preserve"> (标的名称) </w:t>
      </w:r>
      <w:r>
        <w:rPr>
          <w:rFonts w:hint="eastAsia" w:ascii="仿宋_GB2312" w:hAnsi="仿宋_GB2312" w:eastAsia="仿宋_GB2312" w:cs="仿宋_GB2312"/>
          <w:color w:val="333333"/>
          <w:kern w:val="0"/>
          <w:sz w:val="24"/>
        </w:rPr>
        <w:t>，属于</w:t>
      </w:r>
      <w:r>
        <w:rPr>
          <w:rFonts w:hint="eastAsia" w:ascii="仿宋_GB2312" w:hAnsi="仿宋_GB2312" w:eastAsia="仿宋_GB2312" w:cs="仿宋_GB2312"/>
          <w:color w:val="333333"/>
          <w:kern w:val="0"/>
          <w:sz w:val="24"/>
          <w:u w:val="single"/>
        </w:rPr>
        <w:t xml:space="preserve"> (采购文件中明</w:t>
      </w:r>
      <w:r>
        <w:rPr>
          <w:rFonts w:hint="eastAsia" w:ascii="仿宋_GB2312" w:hAnsi="仿宋_GB2312" w:eastAsia="仿宋_GB2312" w:cs="仿宋_GB2312"/>
          <w:color w:val="333333"/>
          <w:kern w:val="0"/>
          <w:sz w:val="24"/>
          <w:szCs w:val="24"/>
          <w:u w:val="single"/>
          <w:lang w:val="en-US" w:eastAsia="zh-CN"/>
        </w:rPr>
        <w:t>确</w:t>
      </w:r>
      <w:r>
        <w:rPr>
          <w:rFonts w:hint="eastAsia" w:ascii="仿宋_GB2312" w:hAnsi="仿宋_GB2312" w:eastAsia="仿宋_GB2312" w:cs="仿宋_GB2312"/>
          <w:color w:val="333333"/>
          <w:kern w:val="0"/>
          <w:sz w:val="24"/>
          <w:u w:val="single"/>
        </w:rPr>
        <w:t xml:space="preserve">的所属行业) </w:t>
      </w:r>
      <w:r>
        <w:rPr>
          <w:rFonts w:hint="eastAsia" w:ascii="仿宋_GB2312" w:hAnsi="仿宋_GB2312" w:eastAsia="仿宋_GB2312" w:cs="仿宋_GB2312"/>
          <w:color w:val="333333"/>
          <w:kern w:val="0"/>
          <w:sz w:val="24"/>
        </w:rPr>
        <w:t>；承建(承接)企业为</w:t>
      </w:r>
      <w:r>
        <w:rPr>
          <w:rFonts w:hint="eastAsia" w:ascii="仿宋_GB2312" w:hAnsi="仿宋_GB2312" w:eastAsia="仿宋_GB2312" w:cs="仿宋_GB2312"/>
          <w:color w:val="333333"/>
          <w:kern w:val="0"/>
          <w:sz w:val="24"/>
          <w:u w:val="single"/>
        </w:rPr>
        <w:t xml:space="preserve"> (企业名称) </w:t>
      </w:r>
      <w:r>
        <w:rPr>
          <w:rFonts w:hint="eastAsia" w:ascii="仿宋_GB2312" w:hAnsi="仿宋_GB2312" w:eastAsia="仿宋_GB2312" w:cs="仿宋_GB2312"/>
          <w:color w:val="333333"/>
          <w:kern w:val="0"/>
          <w:sz w:val="24"/>
        </w:rPr>
        <w:t>，从业人员</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color w:val="333333"/>
          <w:kern w:val="0"/>
          <w:sz w:val="24"/>
        </w:rPr>
        <w:t>人，营业收入为</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color w:val="333333"/>
          <w:kern w:val="0"/>
          <w:sz w:val="24"/>
        </w:rPr>
        <w:t>万元，资产总额为</w:t>
      </w:r>
      <w:r>
        <w:rPr>
          <w:rFonts w:hint="eastAsia" w:ascii="仿宋_GB2312" w:hAnsi="仿宋_GB2312" w:eastAsia="仿宋_GB2312" w:cs="仿宋_GB2312"/>
          <w:color w:val="333333"/>
          <w:kern w:val="0"/>
          <w:sz w:val="24"/>
          <w:u w:val="single"/>
        </w:rPr>
        <w:t xml:space="preserve">    </w:t>
      </w:r>
      <w:r>
        <w:rPr>
          <w:rFonts w:hint="eastAsia" w:ascii="仿宋_GB2312" w:hAnsi="仿宋_GB2312" w:eastAsia="仿宋_GB2312" w:cs="仿宋_GB2312"/>
          <w:color w:val="333333"/>
          <w:kern w:val="0"/>
          <w:sz w:val="24"/>
        </w:rPr>
        <w:t>万元，属于</w:t>
      </w:r>
      <w:r>
        <w:rPr>
          <w:rFonts w:hint="eastAsia" w:ascii="仿宋_GB2312" w:hAnsi="仿宋_GB2312" w:eastAsia="仿宋_GB2312" w:cs="仿宋_GB2312"/>
          <w:color w:val="333333"/>
          <w:kern w:val="0"/>
          <w:sz w:val="24"/>
          <w:u w:val="single"/>
        </w:rPr>
        <w:t xml:space="preserve"> (中型企必、小型企业、微型企业) </w:t>
      </w:r>
      <w:r>
        <w:rPr>
          <w:rFonts w:hint="eastAsia" w:ascii="仿宋_GB2312" w:hAnsi="仿宋_GB2312" w:eastAsia="仿宋_GB2312" w:cs="仿宋_GB2312"/>
          <w:color w:val="333333"/>
          <w:kern w:val="0"/>
          <w:sz w:val="24"/>
        </w:rPr>
        <w:t>；</w:t>
      </w:r>
    </w:p>
    <w:p>
      <w:pPr>
        <w:spacing w:line="560" w:lineRule="exact"/>
        <w:ind w:firstLine="480" w:firstLineChars="2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w:t>
      </w:r>
    </w:p>
    <w:p>
      <w:pPr>
        <w:spacing w:line="560" w:lineRule="exact"/>
        <w:ind w:firstLine="480" w:firstLineChars="2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以上企业，不属于大企业的分支机构，不存在控股股东为大企业的情形，也不存在与大企业的负责人为同一人的情形。</w:t>
      </w:r>
    </w:p>
    <w:p>
      <w:pPr>
        <w:spacing w:line="560" w:lineRule="exact"/>
        <w:ind w:firstLine="480" w:firstLineChars="2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本企业对上述声明内容的真实性负责。如有虚假，将依法承担相应责任。</w:t>
      </w:r>
    </w:p>
    <w:p>
      <w:pPr>
        <w:spacing w:line="560" w:lineRule="exact"/>
        <w:rPr>
          <w:rFonts w:hint="eastAsia"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 xml:space="preserve">                                  </w:t>
      </w:r>
    </w:p>
    <w:p>
      <w:pPr>
        <w:spacing w:line="560" w:lineRule="exact"/>
        <w:ind w:firstLine="4080" w:firstLineChars="17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企业名称(盖章):</w:t>
      </w:r>
    </w:p>
    <w:p>
      <w:pPr>
        <w:spacing w:line="560" w:lineRule="exact"/>
        <w:ind w:firstLine="4080" w:firstLineChars="1700"/>
        <w:rPr>
          <w:rFonts w:ascii="仿宋_GB2312" w:hAnsi="仿宋_GB2312" w:eastAsia="仿宋_GB2312" w:cs="仿宋_GB2312"/>
          <w:color w:val="333333"/>
          <w:kern w:val="0"/>
          <w:sz w:val="24"/>
        </w:rPr>
      </w:pPr>
      <w:r>
        <w:rPr>
          <w:rFonts w:hint="eastAsia" w:ascii="仿宋_GB2312" w:hAnsi="仿宋_GB2312" w:eastAsia="仿宋_GB2312" w:cs="仿宋_GB2312"/>
          <w:color w:val="333333"/>
          <w:kern w:val="0"/>
          <w:sz w:val="24"/>
        </w:rPr>
        <w:t>日期：</w:t>
      </w:r>
    </w:p>
    <w:p>
      <w:pPr>
        <w:spacing w:line="560" w:lineRule="exact"/>
        <w:ind w:firstLine="5400" w:firstLineChars="1800"/>
        <w:rPr>
          <w:rFonts w:ascii="仿宋_GB2312" w:hAnsi="仿宋_GB2312" w:eastAsia="仿宋_GB2312" w:cs="仿宋_GB2312"/>
          <w:color w:val="333333"/>
          <w:kern w:val="0"/>
          <w:sz w:val="30"/>
          <w:szCs w:val="30"/>
        </w:rPr>
      </w:pPr>
    </w:p>
    <w:p>
      <w:pPr>
        <w:rPr>
          <w:rFonts w:ascii="仿宋_GB2312" w:hAnsi="仿宋_GB2312" w:eastAsia="仿宋_GB2312" w:cs="仿宋_GB2312"/>
          <w:color w:val="333333"/>
          <w:kern w:val="0"/>
          <w:sz w:val="30"/>
          <w:szCs w:val="30"/>
          <w:u w:val="single"/>
        </w:rPr>
      </w:pPr>
      <w:r>
        <w:rPr>
          <w:rFonts w:hint="eastAsia" w:ascii="仿宋_GB2312" w:hAnsi="仿宋_GB2312" w:eastAsia="仿宋_GB2312" w:cs="仿宋_GB2312"/>
          <w:color w:val="333333"/>
          <w:kern w:val="0"/>
          <w:sz w:val="30"/>
          <w:szCs w:val="30"/>
        </w:rPr>
        <w:t xml:space="preserve"> </w:t>
      </w:r>
      <w:r>
        <w:rPr>
          <w:rFonts w:hint="eastAsia" w:ascii="仿宋_GB2312" w:hAnsi="仿宋_GB2312" w:eastAsia="仿宋_GB2312" w:cs="仿宋_GB2312"/>
          <w:color w:val="333333"/>
          <w:kern w:val="0"/>
          <w:sz w:val="30"/>
          <w:szCs w:val="30"/>
          <w:u w:val="single"/>
        </w:rPr>
        <w:t xml:space="preserve">                                                   </w:t>
      </w:r>
    </w:p>
    <w:p>
      <w:pPr>
        <w:ind w:firstLine="105" w:firstLineChars="50"/>
        <w:rPr>
          <w:rFonts w:ascii="仿宋_GB2312" w:hAnsi="仿宋_GB2312" w:eastAsia="仿宋_GB2312" w:cs="仿宋_GB2312"/>
          <w:color w:val="333333"/>
          <w:kern w:val="0"/>
          <w:szCs w:val="21"/>
        </w:rPr>
      </w:pPr>
      <w:r>
        <w:rPr>
          <w:rFonts w:hint="eastAsia" w:ascii="仿宋_GB2312" w:hAnsi="仿宋_GB2312" w:eastAsia="仿宋_GB2312" w:cs="仿宋_GB2312"/>
          <w:color w:val="333333"/>
          <w:kern w:val="0"/>
          <w:szCs w:val="21"/>
        </w:rPr>
        <w:t>（从业人员、营业收入、资产总额填报上一年度数据，无上一年度数据的新成立企业可不填报）</w:t>
      </w:r>
    </w:p>
    <w:p>
      <w:pPr>
        <w:rPr>
          <w:rFonts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jc w:val="center"/>
        <w:outlineLvl w:val="2"/>
        <w:rPr>
          <w:rFonts w:ascii="仿宋_GB2312" w:hAnsi="仿宋_GB2312" w:eastAsia="仿宋_GB2312" w:cs="仿宋_GB2312"/>
          <w:b/>
          <w:sz w:val="28"/>
          <w:szCs w:val="28"/>
        </w:rPr>
      </w:pPr>
      <w:r>
        <w:rPr>
          <w:rFonts w:hint="eastAsia" w:ascii="仿宋_GB2312" w:hAnsi="仿宋_GB2312" w:eastAsia="仿宋_GB2312" w:cs="仿宋_GB2312"/>
          <w:b/>
          <w:sz w:val="28"/>
          <w:szCs w:val="28"/>
        </w:rPr>
        <w:t>二、监狱企业证明</w:t>
      </w:r>
      <w:bookmarkEnd w:id="517"/>
    </w:p>
    <w:p>
      <w:pPr>
        <w:spacing w:after="120"/>
        <w:rPr>
          <w:rFonts w:ascii="仿宋_GB2312" w:hAnsi="仿宋_GB2312" w:eastAsia="仿宋_GB2312" w:cs="仿宋_GB2312"/>
        </w:rPr>
      </w:pPr>
    </w:p>
    <w:p>
      <w:pPr>
        <w:jc w:val="center"/>
        <w:rPr>
          <w:rFonts w:ascii="仿宋_GB2312" w:hAnsi="仿宋_GB2312" w:eastAsia="仿宋_GB2312" w:cs="仿宋_GB2312"/>
          <w:sz w:val="24"/>
        </w:rPr>
      </w:pPr>
      <w:r>
        <w:rPr>
          <w:rFonts w:hint="eastAsia" w:ascii="仿宋_GB2312" w:hAnsi="仿宋_GB2312" w:eastAsia="仿宋_GB2312" w:cs="仿宋_GB2312"/>
          <w:sz w:val="24"/>
        </w:rPr>
        <w:t>（注：符合条件的监狱企业请提供本函，不符合的不提供本函）</w:t>
      </w:r>
    </w:p>
    <w:p>
      <w:pPr>
        <w:snapToGrid w:val="0"/>
        <w:spacing w:before="120" w:beforeLines="50"/>
        <w:rPr>
          <w:rFonts w:ascii="仿宋_GB2312" w:hAnsi="仿宋_GB2312" w:eastAsia="仿宋_GB2312" w:cs="仿宋_GB2312"/>
          <w:sz w:val="24"/>
        </w:rPr>
      </w:pPr>
    </w:p>
    <w:p>
      <w:pPr>
        <w:snapToGrid w:val="0"/>
        <w:spacing w:before="120" w:beforeLines="50"/>
        <w:rPr>
          <w:rFonts w:ascii="仿宋_GB2312" w:hAnsi="仿宋_GB2312" w:eastAsia="仿宋_GB2312" w:cs="仿宋_GB2312"/>
          <w:sz w:val="24"/>
        </w:rPr>
      </w:pPr>
      <w:r>
        <w:rPr>
          <w:rFonts w:hint="eastAsia" w:ascii="仿宋_GB2312" w:hAnsi="仿宋_GB2312" w:eastAsia="仿宋_GB2312" w:cs="仿宋_GB2312"/>
          <w:sz w:val="24"/>
        </w:rPr>
        <w:t>省级以上监狱管理局、戒毒管理局（含新疆生产建设兵团）出具的属于监狱企业的证明文件。</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jc w:val="center"/>
        <w:outlineLvl w:val="2"/>
        <w:rPr>
          <w:rFonts w:ascii="仿宋_GB2312" w:hAnsi="仿宋_GB2312" w:eastAsia="仿宋_GB2312" w:cs="仿宋_GB2312"/>
          <w:b/>
          <w:sz w:val="32"/>
          <w:szCs w:val="32"/>
        </w:rPr>
      </w:pPr>
      <w:bookmarkStart w:id="518" w:name="_Toc7005134"/>
      <w:r>
        <w:rPr>
          <w:rFonts w:hint="eastAsia" w:ascii="仿宋_GB2312" w:hAnsi="仿宋_GB2312" w:eastAsia="仿宋_GB2312" w:cs="仿宋_GB2312"/>
          <w:sz w:val="32"/>
          <w:szCs w:val="32"/>
        </w:rPr>
        <w:br w:type="page"/>
      </w:r>
      <w:r>
        <w:rPr>
          <w:rFonts w:hint="eastAsia" w:ascii="仿宋_GB2312" w:hAnsi="仿宋_GB2312" w:eastAsia="仿宋_GB2312" w:cs="仿宋_GB2312"/>
          <w:b/>
          <w:sz w:val="28"/>
          <w:szCs w:val="28"/>
        </w:rPr>
        <w:t>三、残疾人福利性单位声明函</w:t>
      </w:r>
      <w:bookmarkEnd w:id="518"/>
    </w:p>
    <w:p>
      <w:pPr>
        <w:spacing w:after="120"/>
        <w:rPr>
          <w:rFonts w:ascii="仿宋_GB2312" w:hAnsi="仿宋_GB2312" w:eastAsia="仿宋_GB2312" w:cs="仿宋_GB2312"/>
        </w:rPr>
      </w:pPr>
    </w:p>
    <w:p>
      <w:pPr>
        <w:jc w:val="center"/>
        <w:rPr>
          <w:rFonts w:ascii="仿宋_GB2312" w:hAnsi="仿宋_GB2312" w:eastAsia="仿宋_GB2312" w:cs="仿宋_GB2312"/>
          <w:sz w:val="24"/>
        </w:rPr>
      </w:pPr>
      <w:r>
        <w:rPr>
          <w:rFonts w:hint="eastAsia" w:ascii="仿宋_GB2312" w:hAnsi="仿宋_GB2312" w:eastAsia="仿宋_GB2312" w:cs="仿宋_GB2312"/>
          <w:sz w:val="24"/>
        </w:rPr>
        <w:t>（注：符合条件的残疾人福利性单位请提供本函，不符合的不提供本函）</w:t>
      </w:r>
    </w:p>
    <w:p>
      <w:pPr>
        <w:rPr>
          <w:rFonts w:ascii="仿宋_GB2312" w:hAnsi="仿宋_GB2312" w:eastAsia="仿宋_GB2312" w:cs="仿宋_GB2312"/>
          <w:sz w:val="24"/>
        </w:rPr>
      </w:pPr>
    </w:p>
    <w:p>
      <w:pPr>
        <w:spacing w:line="360" w:lineRule="auto"/>
        <w:rPr>
          <w:rFonts w:ascii="仿宋_GB2312" w:hAnsi="仿宋_GB2312" w:eastAsia="仿宋_GB2312" w:cs="仿宋_GB2312"/>
          <w:sz w:val="24"/>
        </w:rPr>
      </w:pP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360" w:firstLineChars="150"/>
        <w:rPr>
          <w:rFonts w:ascii="仿宋_GB2312" w:hAnsi="仿宋_GB2312" w:eastAsia="仿宋_GB2312" w:cs="仿宋_GB2312"/>
          <w:sz w:val="24"/>
        </w:rPr>
      </w:pPr>
      <w:r>
        <w:rPr>
          <w:rFonts w:hint="eastAsia" w:ascii="仿宋_GB2312" w:hAnsi="仿宋_GB2312" w:eastAsia="仿宋_GB2312" w:cs="仿宋_GB2312"/>
          <w:sz w:val="24"/>
        </w:rPr>
        <w:t>本单位对上述声明的真实性负责。如有虚假，将依法承担相应责任。</w:t>
      </w:r>
    </w:p>
    <w:p>
      <w:pPr>
        <w:spacing w:line="360" w:lineRule="auto"/>
        <w:rPr>
          <w:rFonts w:ascii="仿宋_GB2312" w:hAnsi="仿宋_GB2312" w:eastAsia="仿宋_GB2312" w:cs="仿宋_GB2312"/>
          <w:sz w:val="24"/>
        </w:rPr>
      </w:pPr>
    </w:p>
    <w:p>
      <w:pPr>
        <w:rPr>
          <w:rFonts w:ascii="仿宋_GB2312" w:hAnsi="仿宋_GB2312" w:eastAsia="仿宋_GB2312" w:cs="仿宋_GB2312"/>
          <w:sz w:val="24"/>
        </w:rPr>
      </w:pPr>
      <w:r>
        <w:rPr>
          <w:rFonts w:hint="eastAsia" w:ascii="仿宋_GB2312" w:hAnsi="仿宋_GB2312" w:eastAsia="仿宋_GB2312" w:cs="仿宋_GB2312"/>
          <w:sz w:val="24"/>
        </w:rPr>
        <w:t xml:space="preserve"> </w:t>
      </w:r>
    </w:p>
    <w:p>
      <w:pPr>
        <w:rPr>
          <w:rFonts w:ascii="仿宋_GB2312" w:hAnsi="仿宋_GB2312" w:eastAsia="仿宋_GB2312" w:cs="仿宋_GB2312"/>
          <w:sz w:val="24"/>
        </w:rPr>
      </w:pPr>
    </w:p>
    <w:p>
      <w:pPr>
        <w:rPr>
          <w:rFonts w:ascii="仿宋_GB2312" w:hAnsi="仿宋_GB2312" w:eastAsia="仿宋_GB2312" w:cs="仿宋_GB2312"/>
          <w:sz w:val="24"/>
        </w:rPr>
      </w:pPr>
      <w:r>
        <w:rPr>
          <w:rFonts w:hint="eastAsia" w:ascii="仿宋_GB2312" w:hAnsi="仿宋_GB2312" w:eastAsia="仿宋_GB2312" w:cs="仿宋_GB2312"/>
          <w:sz w:val="24"/>
        </w:rPr>
        <w:t xml:space="preserve"> </w:t>
      </w:r>
    </w:p>
    <w:p>
      <w:pPr>
        <w:rPr>
          <w:rFonts w:ascii="仿宋_GB2312" w:hAnsi="仿宋_GB2312" w:eastAsia="仿宋_GB2312" w:cs="仿宋_GB2312"/>
          <w:sz w:val="24"/>
        </w:rPr>
      </w:pPr>
    </w:p>
    <w:p>
      <w:pPr>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单位名称（公章）：</w:t>
      </w:r>
    </w:p>
    <w:p>
      <w:pPr>
        <w:rPr>
          <w:rFonts w:ascii="仿宋_GB2312" w:hAnsi="仿宋_GB2312" w:eastAsia="仿宋_GB2312" w:cs="仿宋_GB2312"/>
          <w:sz w:val="24"/>
        </w:rPr>
      </w:pPr>
    </w:p>
    <w:p>
      <w:pPr>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日  期：</w:t>
      </w:r>
    </w:p>
    <w:p>
      <w:pPr>
        <w:rPr>
          <w:rFonts w:ascii="仿宋_GB2312" w:hAnsi="仿宋_GB2312" w:eastAsia="仿宋_GB2312" w:cs="仿宋_GB2312"/>
          <w:sz w:val="24"/>
        </w:rPr>
      </w:pPr>
    </w:p>
    <w:p>
      <w:pPr>
        <w:snapToGrid w:val="0"/>
        <w:spacing w:before="120" w:beforeLines="50"/>
        <w:jc w:val="center"/>
        <w:rPr>
          <w:rFonts w:ascii="仿宋_GB2312" w:hAnsi="仿宋_GB2312" w:eastAsia="仿宋_GB2312" w:cs="仿宋_GB2312"/>
          <w:b/>
          <w:sz w:val="24"/>
          <w:szCs w:val="21"/>
        </w:rPr>
      </w:pPr>
    </w:p>
    <w:p>
      <w:pPr>
        <w:widowControl/>
        <w:jc w:val="left"/>
        <w:rPr>
          <w:rFonts w:ascii="仿宋_GB2312" w:hAnsi="仿宋_GB2312" w:eastAsia="仿宋_GB2312" w:cs="仿宋_GB2312"/>
          <w:sz w:val="24"/>
        </w:rPr>
      </w:pPr>
      <w:r>
        <w:rPr>
          <w:rFonts w:hint="eastAsia" w:ascii="仿宋_GB2312" w:hAnsi="仿宋_GB2312" w:eastAsia="仿宋_GB2312" w:cs="仿宋_GB2312"/>
          <w:sz w:val="24"/>
        </w:rPr>
        <w:br w:type="page"/>
      </w:r>
    </w:p>
    <w:p>
      <w:pPr>
        <w:jc w:val="center"/>
        <w:outlineLvl w:val="2"/>
        <w:rPr>
          <w:rFonts w:ascii="仿宋_GB2312" w:hAnsi="仿宋_GB2312" w:eastAsia="仿宋_GB2312" w:cs="仿宋_GB2312"/>
          <w:b/>
          <w:sz w:val="28"/>
          <w:szCs w:val="28"/>
        </w:rPr>
      </w:pPr>
      <w:r>
        <w:rPr>
          <w:rFonts w:hint="eastAsia" w:ascii="仿宋_GB2312" w:hAnsi="仿宋_GB2312" w:eastAsia="仿宋_GB2312" w:cs="仿宋_GB2312"/>
          <w:b/>
          <w:sz w:val="28"/>
          <w:szCs w:val="28"/>
        </w:rPr>
        <w:t>四、响应承诺书</w:t>
      </w:r>
    </w:p>
    <w:p>
      <w:pPr>
        <w:spacing w:line="360" w:lineRule="auto"/>
        <w:rPr>
          <w:rFonts w:ascii="仿宋_GB2312" w:hAnsi="仿宋_GB2312" w:eastAsia="仿宋_GB2312" w:cs="仿宋_GB2312"/>
          <w:sz w:val="24"/>
        </w:rPr>
      </w:pPr>
    </w:p>
    <w:p>
      <w:pPr>
        <w:spacing w:line="360" w:lineRule="auto"/>
        <w:rPr>
          <w:rFonts w:hint="eastAsia" w:ascii="仿宋_GB2312" w:hAnsi="仿宋_GB2312" w:eastAsia="仿宋_GB2312" w:cs="仿宋_GB2312"/>
          <w:sz w:val="24"/>
          <w:lang w:eastAsia="zh-CN"/>
        </w:rPr>
      </w:pPr>
      <w:r>
        <w:rPr>
          <w:rFonts w:hint="eastAsia" w:ascii="仿宋_GB2312" w:hAnsi="仿宋_GB2312" w:eastAsia="仿宋_GB2312" w:cs="仿宋_GB2312"/>
          <w:sz w:val="24"/>
        </w:rPr>
        <w:t>致：</w:t>
      </w:r>
      <w:r>
        <w:rPr>
          <w:rFonts w:hint="eastAsia" w:ascii="仿宋_GB2312" w:hAnsi="仿宋_GB2312" w:eastAsia="仿宋_GB2312" w:cs="仿宋_GB2312"/>
          <w:sz w:val="24"/>
          <w:lang w:eastAsia="zh-CN"/>
        </w:rPr>
        <w:t>陕西中润国际招标有限公司</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我方在此声明，我方以下事项进行承诺：</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 在本次磋商中我公司无与其他供应商相互串通，或与采购人串通的行为；</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 在本次磋商中我公司无向采购人或磋商小组成员行贿的手段谋取成交的行为；</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（3） 在本次磋商中我公司无出借或借用资质行为、在响应文件中所附资料（业绩、项目负责人资料等）无弄虚作假；</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（4） 我公司没有处于被责令停产、停业、投标资格被取消状态；</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（5）我公司不采用非法手段获取证据进行质疑、投诉，在质疑、投诉过程中不提供虚假情况或进行恶意质疑、投诉。</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上述承诺内容如有不实，我公司愿意承担由此造成的一切法律责任，并承诺赔偿给采购人造成的损失。</w:t>
      </w:r>
    </w:p>
    <w:p>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特此承诺。</w:t>
      </w:r>
    </w:p>
    <w:p>
      <w:pPr>
        <w:spacing w:line="360" w:lineRule="auto"/>
        <w:ind w:firstLine="480" w:firstLineChars="200"/>
        <w:rPr>
          <w:rFonts w:ascii="仿宋_GB2312" w:hAnsi="仿宋_GB2312" w:eastAsia="仿宋_GB2312" w:cs="仿宋_GB2312"/>
          <w:sz w:val="24"/>
        </w:rPr>
      </w:pP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供应商名称（公章）： </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法定代表人/单位负责人或其授权代表（签字或加盖人名章）：</w:t>
      </w:r>
      <w:r>
        <w:rPr>
          <w:rFonts w:hint="eastAsia" w:ascii="仿宋_GB2312" w:hAnsi="仿宋_GB2312" w:eastAsia="仿宋_GB2312" w:cs="仿宋_GB2312"/>
          <w:sz w:val="24"/>
          <w:u w:val="single"/>
        </w:rPr>
        <w:t xml:space="preserve">                  </w:t>
      </w:r>
    </w:p>
    <w:p>
      <w:pPr>
        <w:spacing w:before="120" w:after="120"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jc w:val="left"/>
        <w:rPr>
          <w:rFonts w:ascii="仿宋_GB2312" w:hAnsi="仿宋_GB2312" w:eastAsia="仿宋_GB2312" w:cs="仿宋_GB2312"/>
          <w:sz w:val="24"/>
        </w:rPr>
      </w:pPr>
    </w:p>
    <w:p>
      <w:pPr>
        <w:rPr>
          <w:rFonts w:ascii="仿宋_GB2312" w:hAnsi="仿宋_GB2312" w:eastAsia="仿宋_GB2312" w:cs="仿宋_GB2312"/>
          <w:sz w:val="24"/>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spacing w:after="120"/>
        <w:rPr>
          <w:rFonts w:ascii="仿宋_GB2312" w:hAnsi="仿宋_GB2312" w:eastAsia="仿宋_GB2312" w:cs="仿宋_GB2312"/>
        </w:rPr>
      </w:pPr>
    </w:p>
    <w:p>
      <w:pPr>
        <w:autoSpaceDE w:val="0"/>
        <w:autoSpaceDN w:val="0"/>
        <w:adjustRightInd w:val="0"/>
        <w:spacing w:line="360" w:lineRule="auto"/>
        <w:jc w:val="center"/>
        <w:rPr>
          <w:rFonts w:ascii="仿宋_GB2312" w:hAnsi="仿宋_GB2312" w:eastAsia="仿宋_GB2312" w:cs="仿宋_GB2312"/>
          <w:b/>
          <w:bCs/>
          <w:sz w:val="44"/>
          <w:szCs w:val="44"/>
          <w:lang w:val="zh-CN"/>
        </w:rPr>
      </w:pPr>
    </w:p>
    <w:p>
      <w:pPr>
        <w:autoSpaceDE w:val="0"/>
        <w:autoSpaceDN w:val="0"/>
        <w:adjustRightInd w:val="0"/>
        <w:snapToGrid w:val="0"/>
        <w:spacing w:line="288" w:lineRule="auto"/>
        <w:jc w:val="left"/>
        <w:rPr>
          <w:rFonts w:ascii="仿宋_GB2312" w:hAnsi="仿宋_GB2312" w:eastAsia="仿宋_GB2312" w:cs="仿宋_GB2312"/>
          <w:bCs/>
          <w:sz w:val="44"/>
          <w:szCs w:val="44"/>
        </w:rPr>
        <w:sectPr>
          <w:pgSz w:w="11906" w:h="16838"/>
          <w:pgMar w:top="1418" w:right="1418" w:bottom="1418" w:left="1418" w:header="851" w:footer="992" w:gutter="0"/>
          <w:pgNumType w:fmt="decimal"/>
          <w:cols w:space="720" w:num="1"/>
          <w:docGrid w:linePitch="312" w:charSpace="0"/>
        </w:sectPr>
      </w:pPr>
    </w:p>
    <w:p>
      <w:pPr>
        <w:autoSpaceDE w:val="0"/>
        <w:autoSpaceDN w:val="0"/>
        <w:adjustRightInd w:val="0"/>
        <w:snapToGrid w:val="0"/>
        <w:spacing w:line="360" w:lineRule="auto"/>
        <w:rPr>
          <w:rFonts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附件1</w:t>
      </w:r>
    </w:p>
    <w:p>
      <w:pPr>
        <w:autoSpaceDE w:val="0"/>
        <w:autoSpaceDN w:val="0"/>
        <w:adjustRightInd w:val="0"/>
        <w:snapToGrid w:val="0"/>
        <w:spacing w:line="360" w:lineRule="auto"/>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 （最后）磋商响应报价表</w:t>
      </w:r>
    </w:p>
    <w:p>
      <w:pPr>
        <w:spacing w:after="120"/>
        <w:rPr>
          <w:rFonts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lang w:val="zh-CN"/>
        </w:rPr>
        <w:t>（随身携带，单独提供，无需装订在响应文件中）</w:t>
      </w:r>
    </w:p>
    <w:tbl>
      <w:tblPr>
        <w:tblStyle w:val="50"/>
        <w:tblW w:w="8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98"/>
        <w:gridCol w:w="6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6" w:hRule="atLeast"/>
          <w:jc w:val="center"/>
        </w:trPr>
        <w:tc>
          <w:tcPr>
            <w:tcW w:w="1598" w:type="dxa"/>
            <w:vAlign w:val="center"/>
          </w:tcPr>
          <w:p>
            <w:pPr>
              <w:ind w:left="141" w:leftChars="67" w:right="103" w:rightChars="49"/>
              <w:jc w:val="center"/>
              <w:rPr>
                <w:rFonts w:ascii="仿宋_GB2312" w:hAnsi="仿宋_GB2312" w:eastAsia="仿宋_GB2312" w:cs="仿宋_GB2312"/>
                <w:b/>
                <w:sz w:val="24"/>
              </w:rPr>
            </w:pPr>
            <w:r>
              <w:rPr>
                <w:rFonts w:hint="eastAsia" w:ascii="仿宋_GB2312" w:hAnsi="仿宋_GB2312" w:eastAsia="仿宋_GB2312" w:cs="仿宋_GB2312"/>
                <w:b/>
                <w:sz w:val="24"/>
              </w:rPr>
              <w:t>项目编号及项目名称</w:t>
            </w:r>
          </w:p>
        </w:tc>
        <w:tc>
          <w:tcPr>
            <w:tcW w:w="6981" w:type="dxa"/>
            <w:vAlign w:val="center"/>
          </w:tcPr>
          <w:p>
            <w:pPr>
              <w:ind w:left="189" w:leftChars="90" w:firstLine="1"/>
              <w:rPr>
                <w:rFonts w:ascii="仿宋_GB2312" w:hAnsi="仿宋_GB2312" w:eastAsia="仿宋_GB2312" w:cs="仿宋_GB2312"/>
                <w:sz w:val="24"/>
                <w:u w:val="single"/>
              </w:rPr>
            </w:pPr>
            <w:r>
              <w:rPr>
                <w:rFonts w:hint="eastAsia" w:ascii="仿宋_GB2312" w:hAnsi="仿宋_GB2312" w:eastAsia="仿宋_GB2312" w:cs="仿宋_GB2312"/>
                <w:sz w:val="24"/>
              </w:rPr>
              <w:t>项目编号：</w:t>
            </w:r>
            <w:r>
              <w:rPr>
                <w:rFonts w:hint="eastAsia" w:ascii="仿宋_GB2312" w:hAnsi="仿宋_GB2312" w:eastAsia="仿宋_GB2312" w:cs="仿宋_GB2312"/>
                <w:sz w:val="24"/>
                <w:u w:val="single"/>
              </w:rPr>
              <w:t xml:space="preserve">              </w:t>
            </w:r>
          </w:p>
          <w:p>
            <w:pPr>
              <w:ind w:left="189" w:leftChars="90" w:firstLine="1"/>
              <w:rPr>
                <w:rFonts w:ascii="仿宋_GB2312" w:hAnsi="仿宋_GB2312" w:eastAsia="仿宋_GB2312" w:cs="仿宋_GB2312"/>
                <w:sz w:val="24"/>
                <w:u w:val="single"/>
              </w:rPr>
            </w:pPr>
            <w:r>
              <w:rPr>
                <w:rFonts w:hint="eastAsia" w:ascii="仿宋_GB2312" w:hAnsi="仿宋_GB2312" w:eastAsia="仿宋_GB2312" w:cs="仿宋_GB2312"/>
                <w:sz w:val="24"/>
              </w:rPr>
              <w:t>项目名称：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响应总价</w:t>
            </w:r>
          </w:p>
        </w:tc>
        <w:tc>
          <w:tcPr>
            <w:tcW w:w="6981" w:type="dxa"/>
            <w:vAlign w:val="center"/>
          </w:tcPr>
          <w:p>
            <w:pPr>
              <w:pStyle w:val="22"/>
              <w:rPr>
                <w:rFonts w:ascii="仿宋_GB2312" w:hAnsi="仿宋_GB2312" w:eastAsia="仿宋_GB2312" w:cs="仿宋_GB2312"/>
                <w:i/>
                <w:sz w:val="24"/>
              </w:rPr>
            </w:pPr>
            <w:r>
              <w:rPr>
                <w:rFonts w:hint="eastAsia" w:ascii="仿宋_GB2312" w:hAnsi="仿宋_GB2312" w:eastAsia="仿宋_GB2312" w:cs="仿宋_GB2312"/>
                <w:sz w:val="24"/>
              </w:rPr>
              <w:t>人民币（大写）：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小写：</w:t>
            </w:r>
            <w:r>
              <w:rPr>
                <w:rFonts w:hint="eastAsia" w:ascii="宋体" w:hAnsi="宋体" w:eastAsia="宋体" w:cs="宋体"/>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项目经理</w:t>
            </w:r>
          </w:p>
        </w:tc>
        <w:tc>
          <w:tcPr>
            <w:tcW w:w="6981" w:type="dxa"/>
            <w:vAlign w:val="center"/>
          </w:tcPr>
          <w:p>
            <w:pPr>
              <w:pStyle w:val="22"/>
              <w:rPr>
                <w:rFonts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工期</w:t>
            </w:r>
          </w:p>
        </w:tc>
        <w:tc>
          <w:tcPr>
            <w:tcW w:w="6981" w:type="dxa"/>
            <w:vAlign w:val="center"/>
          </w:tcPr>
          <w:p>
            <w:pPr>
              <w:pStyle w:val="22"/>
              <w:rPr>
                <w:rFonts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598" w:type="dxa"/>
            <w:vAlign w:val="center"/>
          </w:tcPr>
          <w:p>
            <w:pPr>
              <w:pStyle w:val="22"/>
              <w:jc w:val="center"/>
              <w:rPr>
                <w:rFonts w:ascii="仿宋_GB2312" w:hAnsi="仿宋_GB2312" w:eastAsia="仿宋_GB2312" w:cs="仿宋_GB2312"/>
                <w:b/>
                <w:sz w:val="24"/>
              </w:rPr>
            </w:pPr>
            <w:r>
              <w:rPr>
                <w:rFonts w:hint="eastAsia" w:ascii="仿宋_GB2312" w:hAnsi="仿宋_GB2312" w:eastAsia="仿宋_GB2312" w:cs="仿宋_GB2312"/>
                <w:b/>
                <w:sz w:val="24"/>
              </w:rPr>
              <w:t>其他声明</w:t>
            </w:r>
          </w:p>
          <w:p>
            <w:pPr>
              <w:ind w:left="-13" w:leftChars="-6"/>
              <w:jc w:val="center"/>
              <w:rPr>
                <w:rFonts w:ascii="仿宋_GB2312" w:hAnsi="仿宋_GB2312" w:eastAsia="仿宋_GB2312" w:cs="仿宋_GB2312"/>
                <w:b/>
                <w:sz w:val="24"/>
              </w:rPr>
            </w:pPr>
            <w:r>
              <w:rPr>
                <w:rFonts w:hint="eastAsia" w:ascii="仿宋_GB2312" w:hAnsi="仿宋_GB2312" w:eastAsia="仿宋_GB2312" w:cs="仿宋_GB2312"/>
                <w:b/>
                <w:sz w:val="24"/>
              </w:rPr>
              <w:t>（如有）</w:t>
            </w:r>
          </w:p>
        </w:tc>
        <w:tc>
          <w:tcPr>
            <w:tcW w:w="6981" w:type="dxa"/>
            <w:vAlign w:val="center"/>
          </w:tcPr>
          <w:p>
            <w:pPr>
              <w:rPr>
                <w:rFonts w:ascii="仿宋_GB2312" w:hAnsi="仿宋_GB2312" w:eastAsia="仿宋_GB2312" w:cs="仿宋_GB2312"/>
                <w:sz w:val="24"/>
              </w:rPr>
            </w:pPr>
          </w:p>
        </w:tc>
      </w:tr>
    </w:tbl>
    <w:p>
      <w:pPr>
        <w:autoSpaceDE w:val="0"/>
        <w:autoSpaceDN w:val="0"/>
        <w:adjustRightInd w:val="0"/>
        <w:snapToGrid w:val="0"/>
        <w:spacing w:line="360" w:lineRule="auto"/>
        <w:jc w:val="right"/>
        <w:rPr>
          <w:rFonts w:ascii="仿宋_GB2312" w:hAnsi="仿宋_GB2312" w:eastAsia="仿宋_GB2312" w:cs="仿宋_GB2312"/>
          <w:sz w:val="24"/>
        </w:rPr>
      </w:pPr>
    </w:p>
    <w:p>
      <w:pPr>
        <w:autoSpaceDE w:val="0"/>
        <w:autoSpaceDN w:val="0"/>
        <w:adjustRightInd w:val="0"/>
        <w:snapToGrid w:val="0"/>
        <w:spacing w:line="360" w:lineRule="auto"/>
        <w:rPr>
          <w:rFonts w:ascii="仿宋_GB2312" w:hAnsi="仿宋_GB2312" w:eastAsia="仿宋_GB2312" w:cs="仿宋_GB2312"/>
          <w:b/>
          <w:bCs/>
          <w:sz w:val="24"/>
        </w:rPr>
      </w:pPr>
    </w:p>
    <w:p>
      <w:pPr>
        <w:autoSpaceDE w:val="0"/>
        <w:autoSpaceDN w:val="0"/>
        <w:adjustRightInd w:val="0"/>
        <w:snapToGrid w:val="0"/>
        <w:spacing w:line="360" w:lineRule="auto"/>
        <w:rPr>
          <w:rFonts w:ascii="仿宋_GB2312" w:hAnsi="仿宋_GB2312" w:eastAsia="仿宋_GB2312" w:cs="仿宋_GB2312"/>
          <w:sz w:val="24"/>
        </w:rPr>
      </w:pPr>
      <w:r>
        <w:rPr>
          <w:rFonts w:hint="eastAsia" w:ascii="仿宋_GB2312" w:hAnsi="仿宋_GB2312" w:eastAsia="仿宋_GB2312" w:cs="仿宋_GB2312"/>
          <w:b/>
          <w:bCs/>
          <w:sz w:val="24"/>
        </w:rPr>
        <w:t xml:space="preserve">                                                                                     </w:t>
      </w:r>
    </w:p>
    <w:p>
      <w:pPr>
        <w:autoSpaceDE w:val="0"/>
        <w:autoSpaceDN w:val="0"/>
        <w:adjustRightInd w:val="0"/>
        <w:snapToGrid w:val="0"/>
        <w:spacing w:line="360" w:lineRule="auto"/>
        <w:ind w:firstLine="1080" w:firstLineChars="450"/>
        <w:rPr>
          <w:rFonts w:ascii="仿宋_GB2312" w:hAnsi="仿宋_GB2312" w:eastAsia="仿宋_GB2312" w:cs="仿宋_GB2312"/>
          <w:sz w:val="24"/>
          <w:lang w:val="zh-CN"/>
        </w:rPr>
      </w:pPr>
      <w:r>
        <w:rPr>
          <w:rFonts w:hint="eastAsia" w:ascii="仿宋_GB2312" w:hAnsi="仿宋_GB2312" w:eastAsia="仿宋_GB2312" w:cs="仿宋_GB2312"/>
          <w:sz w:val="24"/>
          <w:lang w:val="zh-CN"/>
        </w:rPr>
        <w:t>供应商</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zh-CN"/>
        </w:rPr>
        <w:t>法定代表人</w:t>
      </w:r>
      <w:r>
        <w:rPr>
          <w:rFonts w:hint="eastAsia" w:ascii="仿宋_GB2312" w:hAnsi="仿宋_GB2312" w:eastAsia="仿宋_GB2312" w:cs="仿宋_GB2312"/>
          <w:sz w:val="24"/>
        </w:rPr>
        <w:t>/单位负责人或</w:t>
      </w:r>
      <w:r>
        <w:rPr>
          <w:rFonts w:hint="eastAsia" w:ascii="仿宋_GB2312" w:hAnsi="仿宋_GB2312" w:eastAsia="仿宋_GB2312" w:cs="仿宋_GB2312"/>
          <w:sz w:val="24"/>
          <w:lang w:val="zh-CN"/>
        </w:rPr>
        <w:t>授权代表</w:t>
      </w:r>
    </w:p>
    <w:p>
      <w:pPr>
        <w:autoSpaceDE w:val="0"/>
        <w:autoSpaceDN w:val="0"/>
        <w:adjustRightInd w:val="0"/>
        <w:snapToGrid w:val="0"/>
        <w:spacing w:line="360" w:lineRule="auto"/>
        <w:ind w:firstLine="960" w:firstLineChars="400"/>
        <w:rPr>
          <w:rFonts w:ascii="仿宋_GB2312" w:hAnsi="仿宋_GB2312" w:eastAsia="仿宋_GB2312" w:cs="仿宋_GB2312"/>
          <w:sz w:val="24"/>
          <w:lang w:val="zh-CN"/>
        </w:rPr>
      </w:pPr>
      <w:r>
        <w:rPr>
          <w:rFonts w:hint="eastAsia" w:ascii="仿宋_GB2312" w:hAnsi="仿宋_GB2312" w:eastAsia="仿宋_GB2312" w:cs="仿宋_GB2312"/>
          <w:sz w:val="24"/>
          <w:lang w:val="zh-CN"/>
        </w:rPr>
        <w:t>（公章）：                            （签字或盖章）：</w:t>
      </w:r>
    </w:p>
    <w:p>
      <w:pPr>
        <w:autoSpaceDE w:val="0"/>
        <w:autoSpaceDN w:val="0"/>
        <w:adjustRightInd w:val="0"/>
        <w:snapToGrid w:val="0"/>
        <w:spacing w:line="360" w:lineRule="auto"/>
        <w:rPr>
          <w:rFonts w:ascii="仿宋_GB2312" w:hAnsi="仿宋_GB2312" w:eastAsia="仿宋_GB2312" w:cs="仿宋_GB2312"/>
          <w:sz w:val="24"/>
          <w:lang w:val="zh-CN"/>
        </w:rPr>
      </w:pPr>
    </w:p>
    <w:p>
      <w:pPr>
        <w:autoSpaceDE w:val="0"/>
        <w:autoSpaceDN w:val="0"/>
        <w:adjustRightInd w:val="0"/>
        <w:snapToGrid w:val="0"/>
        <w:spacing w:line="360" w:lineRule="auto"/>
        <w:rPr>
          <w:rFonts w:ascii="仿宋_GB2312" w:hAnsi="仿宋_GB2312" w:eastAsia="仿宋_GB2312" w:cs="仿宋_GB2312"/>
          <w:sz w:val="24"/>
          <w:lang w:val="zh-CN"/>
        </w:rPr>
      </w:pPr>
    </w:p>
    <w:p>
      <w:pPr>
        <w:autoSpaceDE w:val="0"/>
        <w:autoSpaceDN w:val="0"/>
        <w:adjustRightInd w:val="0"/>
        <w:snapToGrid w:val="0"/>
        <w:spacing w:line="360" w:lineRule="auto"/>
        <w:ind w:firstLine="240" w:firstLineChars="100"/>
        <w:rPr>
          <w:rFonts w:ascii="仿宋_GB2312" w:hAnsi="仿宋_GB2312" w:eastAsia="仿宋_GB2312" w:cs="仿宋_GB2312"/>
          <w:szCs w:val="21"/>
        </w:rPr>
      </w:pPr>
      <w:r>
        <w:rPr>
          <w:rFonts w:hint="eastAsia" w:ascii="仿宋_GB2312" w:hAnsi="仿宋_GB2312" w:eastAsia="仿宋_GB2312" w:cs="仿宋_GB2312"/>
          <w:sz w:val="24"/>
          <w:lang w:val="zh-CN"/>
        </w:rPr>
        <w:t xml:space="preserve">                                              </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 xml:space="preserve">年 </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月</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日</w:t>
      </w:r>
    </w:p>
    <w:sectPr>
      <w:footerReference r:id="rId12" w:type="first"/>
      <w:headerReference r:id="rId10" w:type="default"/>
      <w:footerReference r:id="rId11" w:type="default"/>
      <w:pgSz w:w="11906" w:h="16838"/>
      <w:pgMar w:top="1418" w:right="1418"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swiss"/>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1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MS Sans Serif">
    <w:altName w:val="Arial"/>
    <w:panose1 w:val="00000000000000000000"/>
    <w:charset w:val="00"/>
    <w:family w:val="swiss"/>
    <w:pitch w:val="default"/>
    <w:sig w:usb0="00000000" w:usb1="00000000" w:usb2="00000000" w:usb3="00000000" w:csb0="00000001" w:csb1="00000000"/>
  </w:font>
  <w:font w:name="长城仿宋">
    <w:altName w:val="宋体"/>
    <w:panose1 w:val="00000000000000000000"/>
    <w:charset w:val="86"/>
    <w:family w:val="moder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separate"/>
    </w:r>
    <w:r>
      <w:rPr>
        <w:rStyle w:val="54"/>
      </w:rPr>
      <w:t>48</w:t>
    </w:r>
    <w:r>
      <w:fldChar w:fldCharType="end"/>
    </w: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hint="default"/>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hint="default"/>
        <w:lang w:val="en-US" w:eastAsia="zh-CN"/>
      </w:rPr>
    </w:pPr>
    <w:r>
      <w:rPr>
        <w:sz w:val="18"/>
      </w:rPr>
      <w:pict>
        <v:shape id="_x0000_s3086" o:spid="_x0000_s308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3"/>
                </w:pPr>
                <w:r>
                  <w:fldChar w:fldCharType="begin"/>
                </w:r>
                <w:r>
                  <w:instrText xml:space="preserve"> PAGE  \* MERGEFORMAT </w:instrText>
                </w:r>
                <w:r>
                  <w:fldChar w:fldCharType="separate"/>
                </w:r>
                <w:r>
                  <w:t>1</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sz w:val="18"/>
      </w:rPr>
      <w:pict>
        <v:shape id="_x0000_s3087" o:spid="_x0000_s308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33"/>
                </w:pPr>
                <w:r>
                  <w:fldChar w:fldCharType="begin"/>
                </w:r>
                <w:r>
                  <w:instrText xml:space="preserve"> PAGE  \* MERGEFORMAT </w:instrText>
                </w:r>
                <w:r>
                  <w:fldChar w:fldCharType="separate"/>
                </w:r>
                <w:r>
                  <w:t>32</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rPr>
        <w:sz w:val="18"/>
      </w:rPr>
      <w:pict>
        <v:shape id="_x0000_s3088" o:spid="_x0000_s308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33"/>
                </w:pPr>
                <w:r>
                  <w:fldChar w:fldCharType="begin"/>
                </w:r>
                <w:r>
                  <w:instrText xml:space="preserve"> PAGE  \* MERGEFORMAT </w:instrText>
                </w:r>
                <w:r>
                  <w:fldChar w:fldCharType="separate"/>
                </w:r>
                <w:r>
                  <w:t>90</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pict>
        <v:shape id="文本框 15" o:spid="_x0000_s3076"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OP/kHEfAgAAHgQAAA4AAAAAAAAAAAAAAAAALgIAAGRycy9lMm9Eb2MueG1sUEsBAi0AFAAG&#10;AAgAAAAhAHGq0bnXAAAABQEAAA8AAAAAAAAAAAAAAAAAeQQAAGRycy9kb3ducmV2LnhtbFBLBQYA&#10;AAAABAAEAPMAAAB9BQAAAAA=&#10;">
          <v:path/>
          <v:fill on="f" focussize="0,0"/>
          <v:stroke on="f" weight="0.5pt" joinstyle="miter"/>
          <v:imagedata o:title=""/>
          <o:lock v:ext="edit"/>
          <v:textbox inset="0mm,0mm,0mm,0mm" style="mso-fit-shape-to-text:t;">
            <w:txbxContent>
              <w:p>
                <w:pPr>
                  <w:pStyle w:val="33"/>
                </w:pPr>
                <w:r>
                  <w:rPr>
                    <w:rFonts w:hint="eastAsia"/>
                  </w:rPr>
                  <w:fldChar w:fldCharType="begin"/>
                </w:r>
                <w:r>
                  <w:instrText xml:space="preserve"> PAGE  \* MERGEFORMAT </w:instrText>
                </w:r>
                <w:r>
                  <w:rPr>
                    <w:rFonts w:hint="eastAsia"/>
                  </w:rPr>
                  <w:fldChar w:fldCharType="separate"/>
                </w:r>
                <w:r>
                  <w:rPr>
                    <w:rFonts w:hint="eastAsia"/>
                  </w:rP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tabs>
        <w:tab w:val="left" w:pos="4944"/>
        <w:tab w:val="clear" w:pos="4153"/>
        <w:tab w:val="clear" w:pos="8306"/>
      </w:tabs>
      <w:jc w:val="right"/>
      <w:rPr>
        <w:rFonts w:hint="eastAsia" w:ascii="仿宋" w:hAnsi="仿宋" w:eastAsia="仿宋" w:cs="仿宋"/>
        <w:lang w:eastAsia="zh-CN"/>
      </w:rPr>
    </w:pPr>
    <w:r>
      <w:rPr>
        <w:rFonts w:hint="eastAsia" w:ascii="仿宋" w:hAnsi="仿宋" w:eastAsia="仿宋" w:cs="仿宋"/>
        <w:b/>
        <w:bCs/>
        <w:i/>
        <w:iCs/>
        <w:lang w:val="en-US" w:eastAsia="zh-CN"/>
      </w:rPr>
      <w:t>丈八街道社区（村）级阵地提升工程（二期）</w:t>
    </w:r>
    <w:r>
      <w:rPr>
        <w:rFonts w:hint="eastAsia" w:ascii="仿宋" w:hAnsi="仿宋" w:eastAsia="仿宋" w:cs="仿宋"/>
        <w:b/>
        <w:bCs/>
        <w:i/>
        <w:iCs/>
      </w:rPr>
      <w:t>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right="90"/>
      <w:jc w:val="right"/>
      <w:rPr>
        <w:rFonts w:hint="eastAsia" w:ascii="仿宋" w:hAnsi="仿宋" w:eastAsia="仿宋" w:cs="仿宋"/>
        <w:b/>
        <w:bCs/>
        <w:i/>
        <w:iCs/>
      </w:rPr>
    </w:pPr>
    <w:r>
      <w:rPr>
        <w:rFonts w:hint="eastAsia" w:ascii="仿宋" w:hAnsi="仿宋" w:eastAsia="仿宋" w:cs="仿宋"/>
        <w:b/>
        <w:bCs/>
        <w:i/>
        <w:iCs/>
        <w:lang w:val="en-US" w:eastAsia="zh-CN"/>
      </w:rPr>
      <w:t>丈八街道社区（村）级阵地提升工程（二期）</w:t>
    </w:r>
    <w:r>
      <w:rPr>
        <w:rFonts w:hint="eastAsia" w:ascii="仿宋" w:hAnsi="仿宋" w:eastAsia="仿宋" w:cs="仿宋"/>
        <w:b/>
        <w:bCs/>
        <w:i/>
        <w:iCs/>
      </w:rPr>
      <w:t>竞争性磋商文件</w:t>
    </w:r>
  </w:p>
  <w:p>
    <w:pPr>
      <w:pStyle w:val="3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34"/>
      <w:pBdr>
        <w:bottom w:val="none" w:color="auto" w:sz="0" w:space="0"/>
      </w:pBdr>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abstractNum w:abstractNumId="0">
    <w:nsid w:val="F48B9372"/>
    <w:multiLevelType w:val="singleLevel"/>
    <w:tmpl w:val="F48B9372"/>
    <w:lvl w:ilvl="0" w:tentative="0">
      <w:start w:val="6"/>
      <w:numFmt w:val="chineseCounting"/>
      <w:suff w:val="nothing"/>
      <w:lvlText w:val="%1、"/>
      <w:lvlJc w:val="left"/>
      <w:rPr>
        <w:rFonts w:hint="eastAsia"/>
      </w:rPr>
    </w:lvl>
  </w:abstractNum>
  <w:abstractNum w:abstractNumId="1">
    <w:nsid w:val="FA2D3D5B"/>
    <w:multiLevelType w:val="singleLevel"/>
    <w:tmpl w:val="FA2D3D5B"/>
    <w:lvl w:ilvl="0" w:tentative="0">
      <w:start w:val="30"/>
      <w:numFmt w:val="decimal"/>
      <w:suff w:val="space"/>
      <w:lvlText w:val="%1."/>
      <w:lvlJc w:val="left"/>
    </w:lvl>
  </w:abstractNum>
  <w:abstractNum w:abstractNumId="2">
    <w:nsid w:val="0000000E"/>
    <w:multiLevelType w:val="multilevel"/>
    <w:tmpl w:val="0000000E"/>
    <w:lvl w:ilvl="0" w:tentative="0">
      <w:start w:val="1"/>
      <w:numFmt w:val="decimal"/>
      <w:pStyle w:val="91"/>
      <w:lvlText w:val="%1）"/>
      <w:lvlJc w:val="left"/>
      <w:pPr>
        <w:ind w:left="1560" w:hanging="720"/>
      </w:pPr>
      <w:rPr>
        <w:rFonts w:hint="eastAsia"/>
        <w:snapToGrid w:val="0"/>
        <w:kern w:val="0"/>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3">
    <w:nsid w:val="0000000F"/>
    <w:multiLevelType w:val="multilevel"/>
    <w:tmpl w:val="0000000F"/>
    <w:lvl w:ilvl="0" w:tentative="0">
      <w:start w:val="1"/>
      <w:numFmt w:val="bullet"/>
      <w:lvlText w:val=""/>
      <w:lvlPicBulletId w:val="0"/>
      <w:lvlJc w:val="left"/>
      <w:pPr>
        <w:tabs>
          <w:tab w:val="left" w:pos="840"/>
        </w:tabs>
        <w:ind w:left="840" w:hanging="420"/>
      </w:pPr>
      <w:rPr>
        <w:rFonts w:hint="default" w:ascii="Wingdings" w:hAnsi="Wingdings"/>
      </w:rPr>
    </w:lvl>
    <w:lvl w:ilvl="1" w:tentative="0">
      <w:start w:val="1"/>
      <w:numFmt w:val="bullet"/>
      <w:pStyle w:val="25"/>
      <w:lvlText w:val=""/>
      <w:lvlPicBulletId w:val="1"/>
      <w:lvlJc w:val="left"/>
      <w:pPr>
        <w:tabs>
          <w:tab w:val="left" w:pos="840"/>
        </w:tabs>
        <w:ind w:left="840" w:hanging="420"/>
      </w:pPr>
      <w:rPr>
        <w:rFonts w:hint="default" w:ascii="Symbol" w:hAnsi="Symbol"/>
        <w:color w:val="auto"/>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000001D"/>
    <w:multiLevelType w:val="multilevel"/>
    <w:tmpl w:val="0000001D"/>
    <w:lvl w:ilvl="0" w:tentative="0">
      <w:start w:val="1"/>
      <w:numFmt w:val="decimal"/>
      <w:lvlText w:val="附件%1"/>
      <w:lvlJc w:val="left"/>
      <w:pPr>
        <w:tabs>
          <w:tab w:val="left" w:pos="1134"/>
        </w:tabs>
        <w:ind w:left="1134" w:hanging="1134"/>
      </w:pPr>
      <w:rPr>
        <w:rFonts w:hint="eastAsia" w:eastAsia="宋体"/>
        <w:b/>
        <w:i w:val="0"/>
        <w:sz w:val="24"/>
        <w:szCs w:val="28"/>
      </w:rPr>
    </w:lvl>
    <w:lvl w:ilvl="1" w:tentative="0">
      <w:start w:val="1"/>
      <w:numFmt w:val="decimal"/>
      <w:lvlText w:val="%2、"/>
      <w:lvlJc w:val="left"/>
      <w:pPr>
        <w:tabs>
          <w:tab w:val="left" w:pos="780"/>
        </w:tabs>
        <w:ind w:left="780" w:hanging="360"/>
      </w:pPr>
      <w:rPr>
        <w:rFonts w:hint="default" w:hAnsi="宋体"/>
        <w:color w:val="000000"/>
      </w:rPr>
    </w:lvl>
    <w:lvl w:ilvl="2" w:tentative="0">
      <w:start w:val="1"/>
      <w:numFmt w:val="decimal"/>
      <w:lvlText w:val="%3."/>
      <w:lvlJc w:val="left"/>
      <w:pPr>
        <w:tabs>
          <w:tab w:val="left" w:pos="1260"/>
        </w:tabs>
        <w:ind w:left="1260" w:hanging="420"/>
      </w:pPr>
      <w:rPr>
        <w:rFonts w:hint="eastAsia"/>
        <w:b/>
        <w:i w:val="0"/>
        <w:sz w:val="24"/>
        <w:szCs w:val="28"/>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9343BCE"/>
    <w:multiLevelType w:val="multilevel"/>
    <w:tmpl w:val="09343BCE"/>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
    <w:nsid w:val="1035497F"/>
    <w:multiLevelType w:val="singleLevel"/>
    <w:tmpl w:val="1035497F"/>
    <w:lvl w:ilvl="0" w:tentative="0">
      <w:start w:val="5"/>
      <w:numFmt w:val="decimal"/>
      <w:suff w:val="space"/>
      <w:lvlText w:val="%1."/>
      <w:lvlJc w:val="left"/>
    </w:lvl>
  </w:abstractNum>
  <w:abstractNum w:abstractNumId="7">
    <w:nsid w:val="1703C646"/>
    <w:multiLevelType w:val="singleLevel"/>
    <w:tmpl w:val="1703C646"/>
    <w:lvl w:ilvl="0" w:tentative="0">
      <w:start w:val="1"/>
      <w:numFmt w:val="chineseCounting"/>
      <w:suff w:val="nothing"/>
      <w:lvlText w:val="%1、"/>
      <w:lvlJc w:val="left"/>
      <w:rPr>
        <w:rFonts w:hint="eastAsia" w:cs="Times New Roman"/>
      </w:rPr>
    </w:lvl>
  </w:abstractNum>
  <w:abstractNum w:abstractNumId="8">
    <w:nsid w:val="1F5942C8"/>
    <w:multiLevelType w:val="multilevel"/>
    <w:tmpl w:val="1F5942C8"/>
    <w:lvl w:ilvl="0" w:tentative="0">
      <w:start w:val="6"/>
      <w:numFmt w:val="decimal"/>
      <w:lvlText w:val="%1"/>
      <w:lvlJc w:val="left"/>
      <w:pPr>
        <w:ind w:left="405" w:hanging="405"/>
      </w:pPr>
      <w:rPr>
        <w:rFonts w:hint="default"/>
      </w:rPr>
    </w:lvl>
    <w:lvl w:ilvl="1" w:tentative="0">
      <w:start w:val="6"/>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160" w:hanging="2160"/>
      </w:pPr>
      <w:rPr>
        <w:rFonts w:hint="default"/>
      </w:rPr>
    </w:lvl>
  </w:abstractNum>
  <w:abstractNum w:abstractNumId="9">
    <w:nsid w:val="236CED28"/>
    <w:multiLevelType w:val="singleLevel"/>
    <w:tmpl w:val="236CED28"/>
    <w:lvl w:ilvl="0" w:tentative="0">
      <w:start w:val="1"/>
      <w:numFmt w:val="decimal"/>
      <w:suff w:val="space"/>
      <w:lvlText w:val="%1."/>
      <w:lvlJc w:val="left"/>
    </w:lvl>
  </w:abstractNum>
  <w:abstractNum w:abstractNumId="10">
    <w:nsid w:val="537AA372"/>
    <w:multiLevelType w:val="singleLevel"/>
    <w:tmpl w:val="537AA372"/>
    <w:lvl w:ilvl="0" w:tentative="0">
      <w:start w:val="21"/>
      <w:numFmt w:val="decimal"/>
      <w:suff w:val="space"/>
      <w:lvlText w:val="%1."/>
      <w:lvlJc w:val="left"/>
    </w:lvl>
  </w:abstractNum>
  <w:abstractNum w:abstractNumId="11">
    <w:nsid w:val="5AAB3475"/>
    <w:multiLevelType w:val="singleLevel"/>
    <w:tmpl w:val="5AAB3475"/>
    <w:lvl w:ilvl="0" w:tentative="0">
      <w:start w:val="1"/>
      <w:numFmt w:val="decimal"/>
      <w:lvlText w:val="%1."/>
      <w:lvlJc w:val="left"/>
      <w:pPr>
        <w:ind w:left="425" w:hanging="425"/>
      </w:pPr>
      <w:rPr>
        <w:rFonts w:hint="default"/>
      </w:rPr>
    </w:lvl>
  </w:abstractNum>
  <w:abstractNum w:abstractNumId="12">
    <w:nsid w:val="624D1350"/>
    <w:multiLevelType w:val="singleLevel"/>
    <w:tmpl w:val="624D1350"/>
    <w:lvl w:ilvl="0" w:tentative="0">
      <w:start w:val="25"/>
      <w:numFmt w:val="decimal"/>
      <w:suff w:val="space"/>
      <w:lvlText w:val="%1."/>
      <w:lvlJc w:val="left"/>
    </w:lvl>
  </w:abstractNum>
  <w:abstractNum w:abstractNumId="13">
    <w:nsid w:val="6CEA2025"/>
    <w:multiLevelType w:val="multilevel"/>
    <w:tmpl w:val="6CEA2025"/>
    <w:lvl w:ilvl="0" w:tentative="0">
      <w:start w:val="1"/>
      <w:numFmt w:val="none"/>
      <w:pStyle w:val="239"/>
      <w:suff w:val="nothing"/>
      <w:lvlText w:val="%1"/>
      <w:lvlJc w:val="left"/>
      <w:pPr>
        <w:ind w:left="0" w:firstLine="0"/>
      </w:pPr>
      <w:rPr>
        <w:rFonts w:hint="default" w:ascii="Times New Roman" w:hAnsi="Times New Roman"/>
        <w:b/>
        <w:i w:val="0"/>
        <w:sz w:val="21"/>
      </w:rPr>
    </w:lvl>
    <w:lvl w:ilvl="1" w:tentative="0">
      <w:start w:val="1"/>
      <w:numFmt w:val="decimal"/>
      <w:pStyle w:val="240"/>
      <w:suff w:val="nothing"/>
      <w:lvlText w:val="%1%2　"/>
      <w:lvlJc w:val="left"/>
      <w:pPr>
        <w:ind w:left="315" w:firstLine="0"/>
      </w:pPr>
      <w:rPr>
        <w:rFonts w:hint="eastAsia" w:ascii="黑体" w:hAnsi="Times New Roman" w:eastAsia="黑体"/>
        <w:b w:val="0"/>
        <w:i w:val="0"/>
        <w:sz w:val="21"/>
      </w:rPr>
    </w:lvl>
    <w:lvl w:ilvl="2" w:tentative="0">
      <w:start w:val="1"/>
      <w:numFmt w:val="decimal"/>
      <w:pStyle w:val="241"/>
      <w:suff w:val="nothing"/>
      <w:lvlText w:val="%1%2.%3　"/>
      <w:lvlJc w:val="left"/>
      <w:pPr>
        <w:ind w:left="630" w:firstLine="0"/>
      </w:pPr>
      <w:rPr>
        <w:rFonts w:hint="eastAsia" w:ascii="黑体" w:hAnsi="Times New Roman" w:eastAsia="黑体"/>
        <w:b w:val="0"/>
        <w:i w:val="0"/>
        <w:sz w:val="21"/>
      </w:rPr>
    </w:lvl>
    <w:lvl w:ilvl="3" w:tentative="0">
      <w:start w:val="1"/>
      <w:numFmt w:val="decimal"/>
      <w:pStyle w:val="242"/>
      <w:suff w:val="nothing"/>
      <w:lvlText w:val="%1%2.%3.%4　"/>
      <w:lvlJc w:val="left"/>
      <w:pPr>
        <w:ind w:left="567" w:firstLine="0"/>
      </w:pPr>
      <w:rPr>
        <w:rFonts w:hint="eastAsia" w:ascii="黑体" w:hAnsi="Times New Roman" w:eastAsia="黑体"/>
        <w:b w:val="0"/>
        <w:i w:val="0"/>
        <w:sz w:val="21"/>
      </w:rPr>
    </w:lvl>
    <w:lvl w:ilvl="4" w:tentative="0">
      <w:start w:val="1"/>
      <w:numFmt w:val="decimal"/>
      <w:pStyle w:val="244"/>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pStyle w:val="245"/>
      <w:suff w:val="nothing"/>
      <w:lvlText w:val="%1%2.%3.%4.%5.%6　"/>
      <w:lvlJc w:val="left"/>
      <w:pPr>
        <w:ind w:left="0" w:firstLine="0"/>
      </w:pPr>
      <w:rPr>
        <w:rFonts w:hint="eastAsia" w:ascii="黑体" w:hAnsi="Times New Roman" w:eastAsia="黑体"/>
        <w:b w:val="0"/>
        <w:i w:val="0"/>
        <w:sz w:val="21"/>
      </w:rPr>
    </w:lvl>
    <w:lvl w:ilvl="6" w:tentative="0">
      <w:start w:val="1"/>
      <w:numFmt w:val="decimal"/>
      <w:pStyle w:val="24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4">
    <w:nsid w:val="6D0941F5"/>
    <w:multiLevelType w:val="multilevel"/>
    <w:tmpl w:val="6D0941F5"/>
    <w:lvl w:ilvl="0" w:tentative="0">
      <w:start w:val="6"/>
      <w:numFmt w:val="decimal"/>
      <w:lvlText w:val="%1"/>
      <w:lvlJc w:val="left"/>
      <w:pPr>
        <w:ind w:left="360" w:hanging="360"/>
      </w:pPr>
      <w:rPr>
        <w:rFonts w:hint="default"/>
      </w:rPr>
    </w:lvl>
    <w:lvl w:ilvl="1" w:tentative="0">
      <w:start w:val="7"/>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160" w:hanging="2160"/>
      </w:pPr>
      <w:rPr>
        <w:rFonts w:hint="default"/>
      </w:rPr>
    </w:lvl>
  </w:abstractNum>
  <w:abstractNum w:abstractNumId="15">
    <w:nsid w:val="76933334"/>
    <w:multiLevelType w:val="multilevel"/>
    <w:tmpl w:val="76933334"/>
    <w:lvl w:ilvl="0" w:tentative="0">
      <w:start w:val="1"/>
      <w:numFmt w:val="none"/>
      <w:pStyle w:val="243"/>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2"/>
  </w:num>
  <w:num w:numId="3">
    <w:abstractNumId w:val="13"/>
  </w:num>
  <w:num w:numId="4">
    <w:abstractNumId w:val="15"/>
  </w:num>
  <w:num w:numId="5">
    <w:abstractNumId w:val="0"/>
  </w:num>
  <w:num w:numId="6">
    <w:abstractNumId w:val="6"/>
  </w:num>
  <w:num w:numId="7">
    <w:abstractNumId w:val="10"/>
  </w:num>
  <w:num w:numId="8">
    <w:abstractNumId w:val="12"/>
  </w:num>
  <w:num w:numId="9">
    <w:abstractNumId w:val="5"/>
  </w:num>
  <w:num w:numId="10">
    <w:abstractNumId w:val="1"/>
  </w:num>
  <w:num w:numId="11">
    <w:abstractNumId w:val="9"/>
  </w:num>
  <w:num w:numId="12">
    <w:abstractNumId w:val="11"/>
  </w:num>
  <w:num w:numId="13">
    <w:abstractNumId w:val="7"/>
  </w:num>
  <w:num w:numId="14">
    <w:abstractNumId w:val="4"/>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5313"/>
    <w:rsid w:val="000076EB"/>
    <w:rsid w:val="00010824"/>
    <w:rsid w:val="00011C69"/>
    <w:rsid w:val="00017F4A"/>
    <w:rsid w:val="00022114"/>
    <w:rsid w:val="00022AFC"/>
    <w:rsid w:val="0003167F"/>
    <w:rsid w:val="00035C01"/>
    <w:rsid w:val="000360A4"/>
    <w:rsid w:val="000432ED"/>
    <w:rsid w:val="00043EA6"/>
    <w:rsid w:val="000449A9"/>
    <w:rsid w:val="00047D64"/>
    <w:rsid w:val="00051DDB"/>
    <w:rsid w:val="000524DF"/>
    <w:rsid w:val="00060BDF"/>
    <w:rsid w:val="00064D37"/>
    <w:rsid w:val="00065875"/>
    <w:rsid w:val="000723F6"/>
    <w:rsid w:val="000739EC"/>
    <w:rsid w:val="0007499D"/>
    <w:rsid w:val="000864F6"/>
    <w:rsid w:val="000873CF"/>
    <w:rsid w:val="00090E0B"/>
    <w:rsid w:val="00091EC9"/>
    <w:rsid w:val="0009361A"/>
    <w:rsid w:val="00093935"/>
    <w:rsid w:val="00095020"/>
    <w:rsid w:val="0009799D"/>
    <w:rsid w:val="00097E15"/>
    <w:rsid w:val="000A15A6"/>
    <w:rsid w:val="000A2956"/>
    <w:rsid w:val="000A2D28"/>
    <w:rsid w:val="000A4FE6"/>
    <w:rsid w:val="000A64CD"/>
    <w:rsid w:val="000B5CCC"/>
    <w:rsid w:val="000C05EE"/>
    <w:rsid w:val="000C12F3"/>
    <w:rsid w:val="000C135C"/>
    <w:rsid w:val="000C3906"/>
    <w:rsid w:val="000C5BB6"/>
    <w:rsid w:val="000D1368"/>
    <w:rsid w:val="000D231B"/>
    <w:rsid w:val="000D4A95"/>
    <w:rsid w:val="000D6BDC"/>
    <w:rsid w:val="000E1212"/>
    <w:rsid w:val="000E2D1B"/>
    <w:rsid w:val="000E5101"/>
    <w:rsid w:val="000E638B"/>
    <w:rsid w:val="000E6558"/>
    <w:rsid w:val="000F2388"/>
    <w:rsid w:val="000F3A5B"/>
    <w:rsid w:val="001019AA"/>
    <w:rsid w:val="001027AD"/>
    <w:rsid w:val="00103E4A"/>
    <w:rsid w:val="00103F18"/>
    <w:rsid w:val="001047F5"/>
    <w:rsid w:val="00106BC6"/>
    <w:rsid w:val="00112F6D"/>
    <w:rsid w:val="0011313B"/>
    <w:rsid w:val="00116BF3"/>
    <w:rsid w:val="00122E56"/>
    <w:rsid w:val="0012603F"/>
    <w:rsid w:val="00130EAA"/>
    <w:rsid w:val="001310E8"/>
    <w:rsid w:val="00132BEE"/>
    <w:rsid w:val="00134EE0"/>
    <w:rsid w:val="00136E83"/>
    <w:rsid w:val="00141C85"/>
    <w:rsid w:val="00145357"/>
    <w:rsid w:val="00145E81"/>
    <w:rsid w:val="001500A1"/>
    <w:rsid w:val="0015108F"/>
    <w:rsid w:val="001531E1"/>
    <w:rsid w:val="0015361A"/>
    <w:rsid w:val="00153A21"/>
    <w:rsid w:val="00153D2A"/>
    <w:rsid w:val="001618BA"/>
    <w:rsid w:val="00162B16"/>
    <w:rsid w:val="001633CE"/>
    <w:rsid w:val="00167244"/>
    <w:rsid w:val="00170E92"/>
    <w:rsid w:val="00172A27"/>
    <w:rsid w:val="00173993"/>
    <w:rsid w:val="00173C23"/>
    <w:rsid w:val="00174884"/>
    <w:rsid w:val="00175AAF"/>
    <w:rsid w:val="00183796"/>
    <w:rsid w:val="00185079"/>
    <w:rsid w:val="00187220"/>
    <w:rsid w:val="001944DA"/>
    <w:rsid w:val="00194AEF"/>
    <w:rsid w:val="001A1B1D"/>
    <w:rsid w:val="001A25B6"/>
    <w:rsid w:val="001A29FD"/>
    <w:rsid w:val="001A31AB"/>
    <w:rsid w:val="001A368A"/>
    <w:rsid w:val="001B1FDC"/>
    <w:rsid w:val="001B2823"/>
    <w:rsid w:val="001B354A"/>
    <w:rsid w:val="001B3620"/>
    <w:rsid w:val="001B388E"/>
    <w:rsid w:val="001B3B0E"/>
    <w:rsid w:val="001B7144"/>
    <w:rsid w:val="001C1032"/>
    <w:rsid w:val="001C180D"/>
    <w:rsid w:val="001C1C16"/>
    <w:rsid w:val="001C3B26"/>
    <w:rsid w:val="001C3E38"/>
    <w:rsid w:val="001D0DA4"/>
    <w:rsid w:val="001D13BE"/>
    <w:rsid w:val="001D3446"/>
    <w:rsid w:val="001D4132"/>
    <w:rsid w:val="001D5293"/>
    <w:rsid w:val="001D5FDA"/>
    <w:rsid w:val="001D6460"/>
    <w:rsid w:val="001D7F5A"/>
    <w:rsid w:val="001E0BCB"/>
    <w:rsid w:val="001E13CC"/>
    <w:rsid w:val="001E5993"/>
    <w:rsid w:val="001E5ACA"/>
    <w:rsid w:val="001E7056"/>
    <w:rsid w:val="001F0175"/>
    <w:rsid w:val="001F2DA3"/>
    <w:rsid w:val="001F642F"/>
    <w:rsid w:val="00200AA2"/>
    <w:rsid w:val="00210A41"/>
    <w:rsid w:val="0021263B"/>
    <w:rsid w:val="0021351E"/>
    <w:rsid w:val="00214B12"/>
    <w:rsid w:val="002156D3"/>
    <w:rsid w:val="00220DD5"/>
    <w:rsid w:val="00222276"/>
    <w:rsid w:val="0022779B"/>
    <w:rsid w:val="00227E80"/>
    <w:rsid w:val="00230E80"/>
    <w:rsid w:val="00237812"/>
    <w:rsid w:val="00242140"/>
    <w:rsid w:val="00246479"/>
    <w:rsid w:val="00247D31"/>
    <w:rsid w:val="002527EC"/>
    <w:rsid w:val="0026051F"/>
    <w:rsid w:val="00262E9E"/>
    <w:rsid w:val="0026552B"/>
    <w:rsid w:val="002713C4"/>
    <w:rsid w:val="0027169F"/>
    <w:rsid w:val="0027295D"/>
    <w:rsid w:val="0027314A"/>
    <w:rsid w:val="00276156"/>
    <w:rsid w:val="0028153C"/>
    <w:rsid w:val="0028435C"/>
    <w:rsid w:val="00290692"/>
    <w:rsid w:val="00290B93"/>
    <w:rsid w:val="00293DE8"/>
    <w:rsid w:val="0029438A"/>
    <w:rsid w:val="002944E6"/>
    <w:rsid w:val="00294F2B"/>
    <w:rsid w:val="002957B2"/>
    <w:rsid w:val="002A5A2C"/>
    <w:rsid w:val="002B1655"/>
    <w:rsid w:val="002B1779"/>
    <w:rsid w:val="002B1CDB"/>
    <w:rsid w:val="002B28F2"/>
    <w:rsid w:val="002B3142"/>
    <w:rsid w:val="002B4680"/>
    <w:rsid w:val="002B46E7"/>
    <w:rsid w:val="002B5FA1"/>
    <w:rsid w:val="002B646E"/>
    <w:rsid w:val="002B68F2"/>
    <w:rsid w:val="002B7042"/>
    <w:rsid w:val="002C20D3"/>
    <w:rsid w:val="002C4263"/>
    <w:rsid w:val="002D1DB2"/>
    <w:rsid w:val="002D224B"/>
    <w:rsid w:val="002D225D"/>
    <w:rsid w:val="002E321E"/>
    <w:rsid w:val="002E32E8"/>
    <w:rsid w:val="002E5A17"/>
    <w:rsid w:val="002E601A"/>
    <w:rsid w:val="002E6E93"/>
    <w:rsid w:val="002F1770"/>
    <w:rsid w:val="002F1A13"/>
    <w:rsid w:val="002F2F49"/>
    <w:rsid w:val="002F2FB6"/>
    <w:rsid w:val="002F3E1F"/>
    <w:rsid w:val="002F5F72"/>
    <w:rsid w:val="002F6981"/>
    <w:rsid w:val="00304929"/>
    <w:rsid w:val="00310A20"/>
    <w:rsid w:val="00312EF3"/>
    <w:rsid w:val="00316E01"/>
    <w:rsid w:val="00324D1C"/>
    <w:rsid w:val="00326D08"/>
    <w:rsid w:val="00334EF7"/>
    <w:rsid w:val="0035038F"/>
    <w:rsid w:val="00355C44"/>
    <w:rsid w:val="00355DDE"/>
    <w:rsid w:val="00366B32"/>
    <w:rsid w:val="00367444"/>
    <w:rsid w:val="003703B4"/>
    <w:rsid w:val="0037250B"/>
    <w:rsid w:val="0037362E"/>
    <w:rsid w:val="00373E63"/>
    <w:rsid w:val="0037458F"/>
    <w:rsid w:val="00375203"/>
    <w:rsid w:val="00375333"/>
    <w:rsid w:val="003778AA"/>
    <w:rsid w:val="003803CD"/>
    <w:rsid w:val="003816EF"/>
    <w:rsid w:val="00382FAC"/>
    <w:rsid w:val="00383DEC"/>
    <w:rsid w:val="00384998"/>
    <w:rsid w:val="00387748"/>
    <w:rsid w:val="0039011E"/>
    <w:rsid w:val="003915F7"/>
    <w:rsid w:val="00394350"/>
    <w:rsid w:val="003A02D7"/>
    <w:rsid w:val="003A0A59"/>
    <w:rsid w:val="003A5015"/>
    <w:rsid w:val="003A7AF2"/>
    <w:rsid w:val="003A7E8F"/>
    <w:rsid w:val="003B5E1A"/>
    <w:rsid w:val="003C1B37"/>
    <w:rsid w:val="003C5F20"/>
    <w:rsid w:val="003C72CC"/>
    <w:rsid w:val="003D08D2"/>
    <w:rsid w:val="003D1432"/>
    <w:rsid w:val="003D375C"/>
    <w:rsid w:val="003D378B"/>
    <w:rsid w:val="003D5811"/>
    <w:rsid w:val="003D6267"/>
    <w:rsid w:val="003D6CC0"/>
    <w:rsid w:val="003D6F83"/>
    <w:rsid w:val="003E0455"/>
    <w:rsid w:val="003E6091"/>
    <w:rsid w:val="003E6268"/>
    <w:rsid w:val="003F04A2"/>
    <w:rsid w:val="003F1C98"/>
    <w:rsid w:val="00400609"/>
    <w:rsid w:val="00402745"/>
    <w:rsid w:val="0040289E"/>
    <w:rsid w:val="004035B3"/>
    <w:rsid w:val="00406AE0"/>
    <w:rsid w:val="00410849"/>
    <w:rsid w:val="00413817"/>
    <w:rsid w:val="0042112A"/>
    <w:rsid w:val="00421C0B"/>
    <w:rsid w:val="004247BB"/>
    <w:rsid w:val="00424FDA"/>
    <w:rsid w:val="00424FED"/>
    <w:rsid w:val="00425851"/>
    <w:rsid w:val="00425E9F"/>
    <w:rsid w:val="00427494"/>
    <w:rsid w:val="0043286E"/>
    <w:rsid w:val="00437241"/>
    <w:rsid w:val="00441E37"/>
    <w:rsid w:val="00442A84"/>
    <w:rsid w:val="00443C15"/>
    <w:rsid w:val="004449CD"/>
    <w:rsid w:val="00450CA1"/>
    <w:rsid w:val="004515E4"/>
    <w:rsid w:val="00465B46"/>
    <w:rsid w:val="00467514"/>
    <w:rsid w:val="00467B48"/>
    <w:rsid w:val="00471512"/>
    <w:rsid w:val="00471851"/>
    <w:rsid w:val="004778A2"/>
    <w:rsid w:val="00492146"/>
    <w:rsid w:val="00494A82"/>
    <w:rsid w:val="004A0A68"/>
    <w:rsid w:val="004A0EFB"/>
    <w:rsid w:val="004A4BC1"/>
    <w:rsid w:val="004A6CB2"/>
    <w:rsid w:val="004B012C"/>
    <w:rsid w:val="004B4658"/>
    <w:rsid w:val="004B498E"/>
    <w:rsid w:val="004B58B3"/>
    <w:rsid w:val="004B631E"/>
    <w:rsid w:val="004C2993"/>
    <w:rsid w:val="004C384D"/>
    <w:rsid w:val="004C773D"/>
    <w:rsid w:val="004D3A80"/>
    <w:rsid w:val="004D5228"/>
    <w:rsid w:val="004E0461"/>
    <w:rsid w:val="004E069A"/>
    <w:rsid w:val="004E71F5"/>
    <w:rsid w:val="004F1DB9"/>
    <w:rsid w:val="004F3C1B"/>
    <w:rsid w:val="004F4B90"/>
    <w:rsid w:val="00500014"/>
    <w:rsid w:val="0050046A"/>
    <w:rsid w:val="00503A8F"/>
    <w:rsid w:val="00504579"/>
    <w:rsid w:val="00504DD9"/>
    <w:rsid w:val="00505D0E"/>
    <w:rsid w:val="00507600"/>
    <w:rsid w:val="005118AC"/>
    <w:rsid w:val="005120B4"/>
    <w:rsid w:val="005124AE"/>
    <w:rsid w:val="00520A9F"/>
    <w:rsid w:val="00521994"/>
    <w:rsid w:val="00521C02"/>
    <w:rsid w:val="00525EA2"/>
    <w:rsid w:val="00531619"/>
    <w:rsid w:val="00533DBA"/>
    <w:rsid w:val="005349DD"/>
    <w:rsid w:val="005423D7"/>
    <w:rsid w:val="00543323"/>
    <w:rsid w:val="00553423"/>
    <w:rsid w:val="00561506"/>
    <w:rsid w:val="00562743"/>
    <w:rsid w:val="00562C82"/>
    <w:rsid w:val="0057296E"/>
    <w:rsid w:val="00572DA7"/>
    <w:rsid w:val="00573153"/>
    <w:rsid w:val="00573C62"/>
    <w:rsid w:val="0057449F"/>
    <w:rsid w:val="00574517"/>
    <w:rsid w:val="00580C0A"/>
    <w:rsid w:val="00594BFB"/>
    <w:rsid w:val="005964F4"/>
    <w:rsid w:val="005A3176"/>
    <w:rsid w:val="005A3911"/>
    <w:rsid w:val="005A7379"/>
    <w:rsid w:val="005A7719"/>
    <w:rsid w:val="005B0EE1"/>
    <w:rsid w:val="005B4961"/>
    <w:rsid w:val="005B7E00"/>
    <w:rsid w:val="005C04B7"/>
    <w:rsid w:val="005C1347"/>
    <w:rsid w:val="005C1969"/>
    <w:rsid w:val="005C2FC9"/>
    <w:rsid w:val="005C32D0"/>
    <w:rsid w:val="005C75CD"/>
    <w:rsid w:val="005D0DAD"/>
    <w:rsid w:val="005D2389"/>
    <w:rsid w:val="005D3236"/>
    <w:rsid w:val="005D391F"/>
    <w:rsid w:val="005D626C"/>
    <w:rsid w:val="005D6C7E"/>
    <w:rsid w:val="005E0E0F"/>
    <w:rsid w:val="005E1948"/>
    <w:rsid w:val="005E226F"/>
    <w:rsid w:val="005E62A2"/>
    <w:rsid w:val="005E725B"/>
    <w:rsid w:val="005E7C32"/>
    <w:rsid w:val="005F2153"/>
    <w:rsid w:val="005F4A63"/>
    <w:rsid w:val="005F5F4A"/>
    <w:rsid w:val="005F64E2"/>
    <w:rsid w:val="005F65DF"/>
    <w:rsid w:val="005F7683"/>
    <w:rsid w:val="0060212B"/>
    <w:rsid w:val="00610176"/>
    <w:rsid w:val="0062765A"/>
    <w:rsid w:val="0063060A"/>
    <w:rsid w:val="00630C07"/>
    <w:rsid w:val="00630C0C"/>
    <w:rsid w:val="00640B34"/>
    <w:rsid w:val="0064266B"/>
    <w:rsid w:val="00643C14"/>
    <w:rsid w:val="00644651"/>
    <w:rsid w:val="0065177E"/>
    <w:rsid w:val="00651B51"/>
    <w:rsid w:val="0065448D"/>
    <w:rsid w:val="006561CA"/>
    <w:rsid w:val="0065724B"/>
    <w:rsid w:val="006574D6"/>
    <w:rsid w:val="00660AD9"/>
    <w:rsid w:val="00661C43"/>
    <w:rsid w:val="00661CA4"/>
    <w:rsid w:val="00663E1D"/>
    <w:rsid w:val="0066575C"/>
    <w:rsid w:val="00665F18"/>
    <w:rsid w:val="006661B1"/>
    <w:rsid w:val="00670409"/>
    <w:rsid w:val="0067400C"/>
    <w:rsid w:val="0067503A"/>
    <w:rsid w:val="00675BB2"/>
    <w:rsid w:val="00677E4C"/>
    <w:rsid w:val="00682569"/>
    <w:rsid w:val="006837BF"/>
    <w:rsid w:val="00684CC0"/>
    <w:rsid w:val="00685847"/>
    <w:rsid w:val="006859E8"/>
    <w:rsid w:val="00691990"/>
    <w:rsid w:val="00693E8B"/>
    <w:rsid w:val="00694AD5"/>
    <w:rsid w:val="00694D14"/>
    <w:rsid w:val="00694E50"/>
    <w:rsid w:val="006973D5"/>
    <w:rsid w:val="006A414E"/>
    <w:rsid w:val="006A5F7C"/>
    <w:rsid w:val="006A6858"/>
    <w:rsid w:val="006A7003"/>
    <w:rsid w:val="006B00F6"/>
    <w:rsid w:val="006B2103"/>
    <w:rsid w:val="006B6417"/>
    <w:rsid w:val="006C0DD3"/>
    <w:rsid w:val="006C20DF"/>
    <w:rsid w:val="006C38BA"/>
    <w:rsid w:val="006C3F78"/>
    <w:rsid w:val="006C6120"/>
    <w:rsid w:val="006C6797"/>
    <w:rsid w:val="006C6C6C"/>
    <w:rsid w:val="006C7DB2"/>
    <w:rsid w:val="006D02B6"/>
    <w:rsid w:val="006D2517"/>
    <w:rsid w:val="006D28C8"/>
    <w:rsid w:val="006D5FD5"/>
    <w:rsid w:val="006D61FF"/>
    <w:rsid w:val="006D6999"/>
    <w:rsid w:val="006E165D"/>
    <w:rsid w:val="006E389D"/>
    <w:rsid w:val="006E4B98"/>
    <w:rsid w:val="006E4E35"/>
    <w:rsid w:val="006E6E80"/>
    <w:rsid w:val="006E7635"/>
    <w:rsid w:val="006F1B11"/>
    <w:rsid w:val="006F1E2E"/>
    <w:rsid w:val="006F1F50"/>
    <w:rsid w:val="006F29B6"/>
    <w:rsid w:val="006F70E2"/>
    <w:rsid w:val="006F72F9"/>
    <w:rsid w:val="006F7DCD"/>
    <w:rsid w:val="0070043D"/>
    <w:rsid w:val="00705212"/>
    <w:rsid w:val="00706237"/>
    <w:rsid w:val="007079A5"/>
    <w:rsid w:val="00710300"/>
    <w:rsid w:val="007108A1"/>
    <w:rsid w:val="00711EA4"/>
    <w:rsid w:val="00716957"/>
    <w:rsid w:val="00720269"/>
    <w:rsid w:val="007219AF"/>
    <w:rsid w:val="00722034"/>
    <w:rsid w:val="007247E7"/>
    <w:rsid w:val="007249D9"/>
    <w:rsid w:val="00724A04"/>
    <w:rsid w:val="00735AA2"/>
    <w:rsid w:val="00735EA4"/>
    <w:rsid w:val="00740059"/>
    <w:rsid w:val="00740FB3"/>
    <w:rsid w:val="00744A89"/>
    <w:rsid w:val="00745612"/>
    <w:rsid w:val="00745687"/>
    <w:rsid w:val="00747962"/>
    <w:rsid w:val="0075070D"/>
    <w:rsid w:val="00751324"/>
    <w:rsid w:val="00752C78"/>
    <w:rsid w:val="00757649"/>
    <w:rsid w:val="007603C6"/>
    <w:rsid w:val="00762641"/>
    <w:rsid w:val="00764E81"/>
    <w:rsid w:val="00767EB5"/>
    <w:rsid w:val="0077123A"/>
    <w:rsid w:val="0077391F"/>
    <w:rsid w:val="00777AD6"/>
    <w:rsid w:val="007820A4"/>
    <w:rsid w:val="0078451B"/>
    <w:rsid w:val="007847E9"/>
    <w:rsid w:val="00787F49"/>
    <w:rsid w:val="00790A08"/>
    <w:rsid w:val="007911FD"/>
    <w:rsid w:val="00792C51"/>
    <w:rsid w:val="00797C0F"/>
    <w:rsid w:val="007A5B87"/>
    <w:rsid w:val="007B24E1"/>
    <w:rsid w:val="007B3285"/>
    <w:rsid w:val="007B5519"/>
    <w:rsid w:val="007B6B20"/>
    <w:rsid w:val="007C2263"/>
    <w:rsid w:val="007C4C08"/>
    <w:rsid w:val="007C6A3F"/>
    <w:rsid w:val="007D2F26"/>
    <w:rsid w:val="007E1E5B"/>
    <w:rsid w:val="007E2C84"/>
    <w:rsid w:val="007E34FE"/>
    <w:rsid w:val="007E5F14"/>
    <w:rsid w:val="007E71F5"/>
    <w:rsid w:val="007E73B0"/>
    <w:rsid w:val="007F4D32"/>
    <w:rsid w:val="00801DEF"/>
    <w:rsid w:val="0080217E"/>
    <w:rsid w:val="00802FC9"/>
    <w:rsid w:val="008031F1"/>
    <w:rsid w:val="00803DE9"/>
    <w:rsid w:val="00804A4E"/>
    <w:rsid w:val="00806484"/>
    <w:rsid w:val="00807872"/>
    <w:rsid w:val="00817CCC"/>
    <w:rsid w:val="00826B74"/>
    <w:rsid w:val="00831006"/>
    <w:rsid w:val="008325FD"/>
    <w:rsid w:val="00832DA0"/>
    <w:rsid w:val="008357E9"/>
    <w:rsid w:val="008368A8"/>
    <w:rsid w:val="008401B0"/>
    <w:rsid w:val="00845769"/>
    <w:rsid w:val="0084595F"/>
    <w:rsid w:val="00855B04"/>
    <w:rsid w:val="00865539"/>
    <w:rsid w:val="00866E1A"/>
    <w:rsid w:val="00867C65"/>
    <w:rsid w:val="00872B82"/>
    <w:rsid w:val="00874426"/>
    <w:rsid w:val="008761AB"/>
    <w:rsid w:val="00880274"/>
    <w:rsid w:val="008803B4"/>
    <w:rsid w:val="00881621"/>
    <w:rsid w:val="008855E4"/>
    <w:rsid w:val="008861AE"/>
    <w:rsid w:val="008939E1"/>
    <w:rsid w:val="008A594E"/>
    <w:rsid w:val="008B0AAB"/>
    <w:rsid w:val="008B4671"/>
    <w:rsid w:val="008B5C32"/>
    <w:rsid w:val="008B7216"/>
    <w:rsid w:val="008C000B"/>
    <w:rsid w:val="008C3554"/>
    <w:rsid w:val="008C4E5C"/>
    <w:rsid w:val="008C590E"/>
    <w:rsid w:val="008C633E"/>
    <w:rsid w:val="008D3A4A"/>
    <w:rsid w:val="008D47E6"/>
    <w:rsid w:val="008D6B63"/>
    <w:rsid w:val="008E1587"/>
    <w:rsid w:val="008E1D8E"/>
    <w:rsid w:val="008E64B8"/>
    <w:rsid w:val="008F2A45"/>
    <w:rsid w:val="008F42F1"/>
    <w:rsid w:val="008F5042"/>
    <w:rsid w:val="00902DE7"/>
    <w:rsid w:val="00903C22"/>
    <w:rsid w:val="00904AE8"/>
    <w:rsid w:val="009056C3"/>
    <w:rsid w:val="0091049B"/>
    <w:rsid w:val="00912229"/>
    <w:rsid w:val="00915E8C"/>
    <w:rsid w:val="00921008"/>
    <w:rsid w:val="009217CD"/>
    <w:rsid w:val="00921EB2"/>
    <w:rsid w:val="009238F5"/>
    <w:rsid w:val="00925DD6"/>
    <w:rsid w:val="0093690A"/>
    <w:rsid w:val="0094157C"/>
    <w:rsid w:val="00941807"/>
    <w:rsid w:val="00945555"/>
    <w:rsid w:val="009511B4"/>
    <w:rsid w:val="0095414E"/>
    <w:rsid w:val="00954420"/>
    <w:rsid w:val="00957118"/>
    <w:rsid w:val="00957AE6"/>
    <w:rsid w:val="00961697"/>
    <w:rsid w:val="00962260"/>
    <w:rsid w:val="00962C42"/>
    <w:rsid w:val="009633A0"/>
    <w:rsid w:val="00972AD9"/>
    <w:rsid w:val="00972D74"/>
    <w:rsid w:val="0097637B"/>
    <w:rsid w:val="00976425"/>
    <w:rsid w:val="00977813"/>
    <w:rsid w:val="009808B4"/>
    <w:rsid w:val="009864F9"/>
    <w:rsid w:val="00990355"/>
    <w:rsid w:val="0099054D"/>
    <w:rsid w:val="00992349"/>
    <w:rsid w:val="00994A20"/>
    <w:rsid w:val="009950F7"/>
    <w:rsid w:val="009954FA"/>
    <w:rsid w:val="009A00B0"/>
    <w:rsid w:val="009A249B"/>
    <w:rsid w:val="009A64A6"/>
    <w:rsid w:val="009B1342"/>
    <w:rsid w:val="009B42B8"/>
    <w:rsid w:val="009B5AAB"/>
    <w:rsid w:val="009B5D0A"/>
    <w:rsid w:val="009B5E2B"/>
    <w:rsid w:val="009C08A6"/>
    <w:rsid w:val="009C0994"/>
    <w:rsid w:val="009C339F"/>
    <w:rsid w:val="009C401D"/>
    <w:rsid w:val="009C7C3E"/>
    <w:rsid w:val="009D1A82"/>
    <w:rsid w:val="009D1BC2"/>
    <w:rsid w:val="009D26AF"/>
    <w:rsid w:val="009D3AC1"/>
    <w:rsid w:val="009D4E57"/>
    <w:rsid w:val="009E5A1F"/>
    <w:rsid w:val="009E6071"/>
    <w:rsid w:val="009E695E"/>
    <w:rsid w:val="009E7DF2"/>
    <w:rsid w:val="009F19A2"/>
    <w:rsid w:val="009F5126"/>
    <w:rsid w:val="009F56F2"/>
    <w:rsid w:val="00A1373A"/>
    <w:rsid w:val="00A13B44"/>
    <w:rsid w:val="00A14F27"/>
    <w:rsid w:val="00A22882"/>
    <w:rsid w:val="00A22E4D"/>
    <w:rsid w:val="00A23115"/>
    <w:rsid w:val="00A23C28"/>
    <w:rsid w:val="00A26715"/>
    <w:rsid w:val="00A2769A"/>
    <w:rsid w:val="00A30D88"/>
    <w:rsid w:val="00A31402"/>
    <w:rsid w:val="00A32E49"/>
    <w:rsid w:val="00A32FE3"/>
    <w:rsid w:val="00A34F06"/>
    <w:rsid w:val="00A36093"/>
    <w:rsid w:val="00A36F6B"/>
    <w:rsid w:val="00A37966"/>
    <w:rsid w:val="00A4310B"/>
    <w:rsid w:val="00A45ECA"/>
    <w:rsid w:val="00A52C70"/>
    <w:rsid w:val="00A556AC"/>
    <w:rsid w:val="00A60B1F"/>
    <w:rsid w:val="00A62048"/>
    <w:rsid w:val="00A627F3"/>
    <w:rsid w:val="00A77387"/>
    <w:rsid w:val="00A80309"/>
    <w:rsid w:val="00A80EE8"/>
    <w:rsid w:val="00A85050"/>
    <w:rsid w:val="00A85AED"/>
    <w:rsid w:val="00A91861"/>
    <w:rsid w:val="00AA22AB"/>
    <w:rsid w:val="00AA24F4"/>
    <w:rsid w:val="00AB0C96"/>
    <w:rsid w:val="00AB3A97"/>
    <w:rsid w:val="00AB5D9E"/>
    <w:rsid w:val="00AB63E7"/>
    <w:rsid w:val="00AB762D"/>
    <w:rsid w:val="00AB7CB0"/>
    <w:rsid w:val="00AC3C7D"/>
    <w:rsid w:val="00AC5E2A"/>
    <w:rsid w:val="00AD2213"/>
    <w:rsid w:val="00AD252E"/>
    <w:rsid w:val="00AD6F0A"/>
    <w:rsid w:val="00AE3B70"/>
    <w:rsid w:val="00AE6C2C"/>
    <w:rsid w:val="00AF0FAA"/>
    <w:rsid w:val="00AF1C97"/>
    <w:rsid w:val="00AF28CD"/>
    <w:rsid w:val="00AF4468"/>
    <w:rsid w:val="00AF7370"/>
    <w:rsid w:val="00B02899"/>
    <w:rsid w:val="00B02F52"/>
    <w:rsid w:val="00B056B5"/>
    <w:rsid w:val="00B15DFE"/>
    <w:rsid w:val="00B168B4"/>
    <w:rsid w:val="00B20110"/>
    <w:rsid w:val="00B20F6D"/>
    <w:rsid w:val="00B21407"/>
    <w:rsid w:val="00B30E9F"/>
    <w:rsid w:val="00B310FE"/>
    <w:rsid w:val="00B31F50"/>
    <w:rsid w:val="00B32028"/>
    <w:rsid w:val="00B335B1"/>
    <w:rsid w:val="00B35514"/>
    <w:rsid w:val="00B36EA2"/>
    <w:rsid w:val="00B3729D"/>
    <w:rsid w:val="00B40123"/>
    <w:rsid w:val="00B46D0B"/>
    <w:rsid w:val="00B51A2F"/>
    <w:rsid w:val="00B5212F"/>
    <w:rsid w:val="00B52AF4"/>
    <w:rsid w:val="00B537AA"/>
    <w:rsid w:val="00B53845"/>
    <w:rsid w:val="00B53E14"/>
    <w:rsid w:val="00B55F2D"/>
    <w:rsid w:val="00B56FF2"/>
    <w:rsid w:val="00B8179D"/>
    <w:rsid w:val="00B84903"/>
    <w:rsid w:val="00B84E10"/>
    <w:rsid w:val="00B85962"/>
    <w:rsid w:val="00B92025"/>
    <w:rsid w:val="00B93742"/>
    <w:rsid w:val="00B958EB"/>
    <w:rsid w:val="00B959C6"/>
    <w:rsid w:val="00B967ED"/>
    <w:rsid w:val="00BA17CC"/>
    <w:rsid w:val="00BA44C7"/>
    <w:rsid w:val="00BA6742"/>
    <w:rsid w:val="00BA7DCB"/>
    <w:rsid w:val="00BC231E"/>
    <w:rsid w:val="00BC4FE1"/>
    <w:rsid w:val="00BC5F50"/>
    <w:rsid w:val="00BD2861"/>
    <w:rsid w:val="00BD2C47"/>
    <w:rsid w:val="00BD3FB4"/>
    <w:rsid w:val="00BD4D76"/>
    <w:rsid w:val="00BD4E36"/>
    <w:rsid w:val="00BD763B"/>
    <w:rsid w:val="00BE0BD0"/>
    <w:rsid w:val="00BE0C40"/>
    <w:rsid w:val="00BE1C78"/>
    <w:rsid w:val="00BE33F0"/>
    <w:rsid w:val="00BE4C8A"/>
    <w:rsid w:val="00BF219F"/>
    <w:rsid w:val="00BF233E"/>
    <w:rsid w:val="00BF3315"/>
    <w:rsid w:val="00BF3F74"/>
    <w:rsid w:val="00BF63A3"/>
    <w:rsid w:val="00BF6944"/>
    <w:rsid w:val="00C00D16"/>
    <w:rsid w:val="00C053B5"/>
    <w:rsid w:val="00C05BD3"/>
    <w:rsid w:val="00C06780"/>
    <w:rsid w:val="00C06B71"/>
    <w:rsid w:val="00C14A20"/>
    <w:rsid w:val="00C17134"/>
    <w:rsid w:val="00C20ACB"/>
    <w:rsid w:val="00C22317"/>
    <w:rsid w:val="00C224CF"/>
    <w:rsid w:val="00C32316"/>
    <w:rsid w:val="00C34B36"/>
    <w:rsid w:val="00C362FD"/>
    <w:rsid w:val="00C40C55"/>
    <w:rsid w:val="00C47022"/>
    <w:rsid w:val="00C5008F"/>
    <w:rsid w:val="00C50820"/>
    <w:rsid w:val="00C5104C"/>
    <w:rsid w:val="00C53775"/>
    <w:rsid w:val="00C57033"/>
    <w:rsid w:val="00C6149A"/>
    <w:rsid w:val="00C61A4D"/>
    <w:rsid w:val="00C63ECC"/>
    <w:rsid w:val="00C63FF4"/>
    <w:rsid w:val="00C650C0"/>
    <w:rsid w:val="00C72612"/>
    <w:rsid w:val="00C76B1D"/>
    <w:rsid w:val="00C86DFC"/>
    <w:rsid w:val="00C94EED"/>
    <w:rsid w:val="00C9738A"/>
    <w:rsid w:val="00CA5206"/>
    <w:rsid w:val="00CA6B7F"/>
    <w:rsid w:val="00CB450A"/>
    <w:rsid w:val="00CB5439"/>
    <w:rsid w:val="00CB689E"/>
    <w:rsid w:val="00CB694A"/>
    <w:rsid w:val="00CC0844"/>
    <w:rsid w:val="00CC0E95"/>
    <w:rsid w:val="00CC13A1"/>
    <w:rsid w:val="00CC25FA"/>
    <w:rsid w:val="00CC2D24"/>
    <w:rsid w:val="00CC3041"/>
    <w:rsid w:val="00CD26A8"/>
    <w:rsid w:val="00CD3EB4"/>
    <w:rsid w:val="00CD68B8"/>
    <w:rsid w:val="00CE1EC9"/>
    <w:rsid w:val="00CE2FF2"/>
    <w:rsid w:val="00CE68B4"/>
    <w:rsid w:val="00CE768C"/>
    <w:rsid w:val="00CF4C83"/>
    <w:rsid w:val="00D01379"/>
    <w:rsid w:val="00D0569E"/>
    <w:rsid w:val="00D164B8"/>
    <w:rsid w:val="00D23560"/>
    <w:rsid w:val="00D27402"/>
    <w:rsid w:val="00D277E6"/>
    <w:rsid w:val="00D30536"/>
    <w:rsid w:val="00D31E4B"/>
    <w:rsid w:val="00D325EA"/>
    <w:rsid w:val="00D3373C"/>
    <w:rsid w:val="00D3565A"/>
    <w:rsid w:val="00D411BC"/>
    <w:rsid w:val="00D41306"/>
    <w:rsid w:val="00D4138C"/>
    <w:rsid w:val="00D4422E"/>
    <w:rsid w:val="00D45F64"/>
    <w:rsid w:val="00D506F5"/>
    <w:rsid w:val="00D51A3F"/>
    <w:rsid w:val="00D54273"/>
    <w:rsid w:val="00D55ADC"/>
    <w:rsid w:val="00D62DF1"/>
    <w:rsid w:val="00D667BC"/>
    <w:rsid w:val="00D67830"/>
    <w:rsid w:val="00D71514"/>
    <w:rsid w:val="00D72228"/>
    <w:rsid w:val="00D72BB3"/>
    <w:rsid w:val="00D75CAE"/>
    <w:rsid w:val="00D761EE"/>
    <w:rsid w:val="00D829AD"/>
    <w:rsid w:val="00D82A30"/>
    <w:rsid w:val="00D83EE7"/>
    <w:rsid w:val="00D852B7"/>
    <w:rsid w:val="00D860F4"/>
    <w:rsid w:val="00D86C54"/>
    <w:rsid w:val="00D8765D"/>
    <w:rsid w:val="00D91269"/>
    <w:rsid w:val="00D92486"/>
    <w:rsid w:val="00D96F9A"/>
    <w:rsid w:val="00DA178E"/>
    <w:rsid w:val="00DA1939"/>
    <w:rsid w:val="00DA199A"/>
    <w:rsid w:val="00DA5767"/>
    <w:rsid w:val="00DA6A22"/>
    <w:rsid w:val="00DB7DBD"/>
    <w:rsid w:val="00DC0934"/>
    <w:rsid w:val="00DD10CD"/>
    <w:rsid w:val="00DD4BB5"/>
    <w:rsid w:val="00DE051B"/>
    <w:rsid w:val="00DE4818"/>
    <w:rsid w:val="00DE641F"/>
    <w:rsid w:val="00DF1267"/>
    <w:rsid w:val="00DF2F86"/>
    <w:rsid w:val="00DF4D97"/>
    <w:rsid w:val="00DF780E"/>
    <w:rsid w:val="00E0137B"/>
    <w:rsid w:val="00E04115"/>
    <w:rsid w:val="00E05A25"/>
    <w:rsid w:val="00E06BE5"/>
    <w:rsid w:val="00E114E0"/>
    <w:rsid w:val="00E127EE"/>
    <w:rsid w:val="00E1663B"/>
    <w:rsid w:val="00E23FAC"/>
    <w:rsid w:val="00E26CB6"/>
    <w:rsid w:val="00E27983"/>
    <w:rsid w:val="00E32C0B"/>
    <w:rsid w:val="00E33989"/>
    <w:rsid w:val="00E403F2"/>
    <w:rsid w:val="00E41A7C"/>
    <w:rsid w:val="00E42196"/>
    <w:rsid w:val="00E43AA8"/>
    <w:rsid w:val="00E44511"/>
    <w:rsid w:val="00E547C7"/>
    <w:rsid w:val="00E5729A"/>
    <w:rsid w:val="00E6011D"/>
    <w:rsid w:val="00E66313"/>
    <w:rsid w:val="00E66897"/>
    <w:rsid w:val="00E675AC"/>
    <w:rsid w:val="00E67BCB"/>
    <w:rsid w:val="00E71EEB"/>
    <w:rsid w:val="00E77DA4"/>
    <w:rsid w:val="00E80D1E"/>
    <w:rsid w:val="00E81B72"/>
    <w:rsid w:val="00E840A1"/>
    <w:rsid w:val="00E90FA3"/>
    <w:rsid w:val="00E950EE"/>
    <w:rsid w:val="00E972E9"/>
    <w:rsid w:val="00EA4AF9"/>
    <w:rsid w:val="00EA5E22"/>
    <w:rsid w:val="00EA7BFB"/>
    <w:rsid w:val="00EB17A4"/>
    <w:rsid w:val="00EB3115"/>
    <w:rsid w:val="00EB330A"/>
    <w:rsid w:val="00EB556C"/>
    <w:rsid w:val="00EB5B56"/>
    <w:rsid w:val="00EB75AB"/>
    <w:rsid w:val="00EC4AB3"/>
    <w:rsid w:val="00EC603D"/>
    <w:rsid w:val="00EC618E"/>
    <w:rsid w:val="00ED12D4"/>
    <w:rsid w:val="00ED17BC"/>
    <w:rsid w:val="00ED4E89"/>
    <w:rsid w:val="00EE20B7"/>
    <w:rsid w:val="00EE37C9"/>
    <w:rsid w:val="00F00998"/>
    <w:rsid w:val="00F06D26"/>
    <w:rsid w:val="00F0784F"/>
    <w:rsid w:val="00F16338"/>
    <w:rsid w:val="00F204B5"/>
    <w:rsid w:val="00F2464A"/>
    <w:rsid w:val="00F25E73"/>
    <w:rsid w:val="00F27074"/>
    <w:rsid w:val="00F41DAF"/>
    <w:rsid w:val="00F45A6B"/>
    <w:rsid w:val="00F52B8C"/>
    <w:rsid w:val="00F602DF"/>
    <w:rsid w:val="00F67C33"/>
    <w:rsid w:val="00F7008C"/>
    <w:rsid w:val="00F707F2"/>
    <w:rsid w:val="00F74506"/>
    <w:rsid w:val="00F77351"/>
    <w:rsid w:val="00F81A9D"/>
    <w:rsid w:val="00F82E5A"/>
    <w:rsid w:val="00F83C5D"/>
    <w:rsid w:val="00F83DAA"/>
    <w:rsid w:val="00F854CB"/>
    <w:rsid w:val="00F91A97"/>
    <w:rsid w:val="00F91D5C"/>
    <w:rsid w:val="00F92E18"/>
    <w:rsid w:val="00F946E0"/>
    <w:rsid w:val="00F95CCB"/>
    <w:rsid w:val="00FA1D2C"/>
    <w:rsid w:val="00FA1F1A"/>
    <w:rsid w:val="00FA2237"/>
    <w:rsid w:val="00FA2C5D"/>
    <w:rsid w:val="00FA3DCE"/>
    <w:rsid w:val="00FA5FF9"/>
    <w:rsid w:val="00FB18C5"/>
    <w:rsid w:val="00FB49E3"/>
    <w:rsid w:val="00FB64AE"/>
    <w:rsid w:val="00FB7DA7"/>
    <w:rsid w:val="00FC2897"/>
    <w:rsid w:val="00FD0944"/>
    <w:rsid w:val="00FD265E"/>
    <w:rsid w:val="00FD2A56"/>
    <w:rsid w:val="00FD2F77"/>
    <w:rsid w:val="00FD2F93"/>
    <w:rsid w:val="00FD71F3"/>
    <w:rsid w:val="00FE7373"/>
    <w:rsid w:val="00FF1ECD"/>
    <w:rsid w:val="00FF6AE6"/>
    <w:rsid w:val="01276CE6"/>
    <w:rsid w:val="01391AF7"/>
    <w:rsid w:val="014A4606"/>
    <w:rsid w:val="01A56820"/>
    <w:rsid w:val="01B73196"/>
    <w:rsid w:val="01DB0F21"/>
    <w:rsid w:val="01F85948"/>
    <w:rsid w:val="02244DCB"/>
    <w:rsid w:val="027D1EDC"/>
    <w:rsid w:val="02A41FC5"/>
    <w:rsid w:val="02AA6F17"/>
    <w:rsid w:val="02B97A9D"/>
    <w:rsid w:val="02E6429D"/>
    <w:rsid w:val="02EC7ACC"/>
    <w:rsid w:val="032E5AB3"/>
    <w:rsid w:val="037D31C7"/>
    <w:rsid w:val="0380752A"/>
    <w:rsid w:val="03CA4F2A"/>
    <w:rsid w:val="03D819C0"/>
    <w:rsid w:val="044A1FDA"/>
    <w:rsid w:val="04874841"/>
    <w:rsid w:val="04AF0DC0"/>
    <w:rsid w:val="04B9431A"/>
    <w:rsid w:val="04E35F2C"/>
    <w:rsid w:val="04E8019F"/>
    <w:rsid w:val="05087670"/>
    <w:rsid w:val="05280277"/>
    <w:rsid w:val="05530278"/>
    <w:rsid w:val="0598310D"/>
    <w:rsid w:val="05CA3B1B"/>
    <w:rsid w:val="05D129B0"/>
    <w:rsid w:val="05D134F3"/>
    <w:rsid w:val="05D40F8A"/>
    <w:rsid w:val="05E97CB2"/>
    <w:rsid w:val="05F11DA4"/>
    <w:rsid w:val="060D6A3B"/>
    <w:rsid w:val="06193B1E"/>
    <w:rsid w:val="06383C8B"/>
    <w:rsid w:val="066D30E5"/>
    <w:rsid w:val="0693569C"/>
    <w:rsid w:val="06B16239"/>
    <w:rsid w:val="06C6067E"/>
    <w:rsid w:val="06DF18E2"/>
    <w:rsid w:val="06EF2494"/>
    <w:rsid w:val="0707497A"/>
    <w:rsid w:val="073101DC"/>
    <w:rsid w:val="07394A3D"/>
    <w:rsid w:val="07416329"/>
    <w:rsid w:val="07501B9E"/>
    <w:rsid w:val="079E117F"/>
    <w:rsid w:val="07EE6DAD"/>
    <w:rsid w:val="0838785B"/>
    <w:rsid w:val="087D0B78"/>
    <w:rsid w:val="08AF0E84"/>
    <w:rsid w:val="0920129B"/>
    <w:rsid w:val="092D24C5"/>
    <w:rsid w:val="09416B77"/>
    <w:rsid w:val="09823E4D"/>
    <w:rsid w:val="098852A8"/>
    <w:rsid w:val="0A0B3F33"/>
    <w:rsid w:val="0A4B18CE"/>
    <w:rsid w:val="0A8A4B12"/>
    <w:rsid w:val="0A8B5977"/>
    <w:rsid w:val="0AC800D5"/>
    <w:rsid w:val="0AD967CA"/>
    <w:rsid w:val="0AFA19A7"/>
    <w:rsid w:val="0B181252"/>
    <w:rsid w:val="0B1E5196"/>
    <w:rsid w:val="0B2543AA"/>
    <w:rsid w:val="0B651CEF"/>
    <w:rsid w:val="0B906BA6"/>
    <w:rsid w:val="0B97790C"/>
    <w:rsid w:val="0BBA4C92"/>
    <w:rsid w:val="0BD90025"/>
    <w:rsid w:val="0C252802"/>
    <w:rsid w:val="0C275A89"/>
    <w:rsid w:val="0C571FFF"/>
    <w:rsid w:val="0C5A4B45"/>
    <w:rsid w:val="0C80374E"/>
    <w:rsid w:val="0CBB5882"/>
    <w:rsid w:val="0CBE17EB"/>
    <w:rsid w:val="0D531CDF"/>
    <w:rsid w:val="0D9B042E"/>
    <w:rsid w:val="0DCA3125"/>
    <w:rsid w:val="0E052762"/>
    <w:rsid w:val="0E212724"/>
    <w:rsid w:val="0E270F0A"/>
    <w:rsid w:val="0E416A77"/>
    <w:rsid w:val="0E5C2657"/>
    <w:rsid w:val="0E6264D2"/>
    <w:rsid w:val="0EA34036"/>
    <w:rsid w:val="0EB049DF"/>
    <w:rsid w:val="0EB63F9D"/>
    <w:rsid w:val="0EE53A92"/>
    <w:rsid w:val="0EEE0660"/>
    <w:rsid w:val="0F245037"/>
    <w:rsid w:val="0F54794B"/>
    <w:rsid w:val="0F6A354E"/>
    <w:rsid w:val="0F71694D"/>
    <w:rsid w:val="0F88478D"/>
    <w:rsid w:val="0FB73DA5"/>
    <w:rsid w:val="0FD40E41"/>
    <w:rsid w:val="0FDE2587"/>
    <w:rsid w:val="0FE778C6"/>
    <w:rsid w:val="0FEA4D96"/>
    <w:rsid w:val="103649EC"/>
    <w:rsid w:val="10507757"/>
    <w:rsid w:val="105C5A0E"/>
    <w:rsid w:val="107A1082"/>
    <w:rsid w:val="10847DFE"/>
    <w:rsid w:val="109E7189"/>
    <w:rsid w:val="10C72BB3"/>
    <w:rsid w:val="10D73AD7"/>
    <w:rsid w:val="115206FB"/>
    <w:rsid w:val="117E0896"/>
    <w:rsid w:val="118E15E3"/>
    <w:rsid w:val="11B40613"/>
    <w:rsid w:val="11BE2022"/>
    <w:rsid w:val="11D83EA2"/>
    <w:rsid w:val="11EC25F2"/>
    <w:rsid w:val="1223645A"/>
    <w:rsid w:val="122510EE"/>
    <w:rsid w:val="123A3B46"/>
    <w:rsid w:val="12405481"/>
    <w:rsid w:val="126B313D"/>
    <w:rsid w:val="128D1331"/>
    <w:rsid w:val="12C1355D"/>
    <w:rsid w:val="12DF7A77"/>
    <w:rsid w:val="12E43B6E"/>
    <w:rsid w:val="12EA1EE6"/>
    <w:rsid w:val="12EF7289"/>
    <w:rsid w:val="13136195"/>
    <w:rsid w:val="133D7CD4"/>
    <w:rsid w:val="134D5A81"/>
    <w:rsid w:val="13A26660"/>
    <w:rsid w:val="13BF6991"/>
    <w:rsid w:val="13CF2A8E"/>
    <w:rsid w:val="13F03DED"/>
    <w:rsid w:val="13F67950"/>
    <w:rsid w:val="13F95DC4"/>
    <w:rsid w:val="14161095"/>
    <w:rsid w:val="142A3E2D"/>
    <w:rsid w:val="143667B8"/>
    <w:rsid w:val="14455A44"/>
    <w:rsid w:val="144A7973"/>
    <w:rsid w:val="14AD41A5"/>
    <w:rsid w:val="14FB7DA2"/>
    <w:rsid w:val="152D1306"/>
    <w:rsid w:val="15452630"/>
    <w:rsid w:val="155347FF"/>
    <w:rsid w:val="155657B3"/>
    <w:rsid w:val="158710F3"/>
    <w:rsid w:val="15C772F3"/>
    <w:rsid w:val="15CE4C34"/>
    <w:rsid w:val="15E02650"/>
    <w:rsid w:val="15F0775C"/>
    <w:rsid w:val="15F27640"/>
    <w:rsid w:val="160A0AD0"/>
    <w:rsid w:val="16401732"/>
    <w:rsid w:val="165B6F79"/>
    <w:rsid w:val="166E5EB0"/>
    <w:rsid w:val="16A55CD5"/>
    <w:rsid w:val="16CC4745"/>
    <w:rsid w:val="16F50974"/>
    <w:rsid w:val="16FC07E1"/>
    <w:rsid w:val="177A195D"/>
    <w:rsid w:val="17BB146A"/>
    <w:rsid w:val="17EA62AE"/>
    <w:rsid w:val="1803108F"/>
    <w:rsid w:val="1820060E"/>
    <w:rsid w:val="18205BA9"/>
    <w:rsid w:val="18370FAA"/>
    <w:rsid w:val="183E4D60"/>
    <w:rsid w:val="185415C5"/>
    <w:rsid w:val="188D7D42"/>
    <w:rsid w:val="18C45643"/>
    <w:rsid w:val="190D15A0"/>
    <w:rsid w:val="1932733B"/>
    <w:rsid w:val="19575882"/>
    <w:rsid w:val="195E155B"/>
    <w:rsid w:val="19BD547A"/>
    <w:rsid w:val="19BF783E"/>
    <w:rsid w:val="1A0C41D1"/>
    <w:rsid w:val="1A336BE7"/>
    <w:rsid w:val="1A612D7C"/>
    <w:rsid w:val="1A807E72"/>
    <w:rsid w:val="1A8A2A47"/>
    <w:rsid w:val="1AA259E1"/>
    <w:rsid w:val="1AB821BB"/>
    <w:rsid w:val="1ACC627D"/>
    <w:rsid w:val="1ADF1A96"/>
    <w:rsid w:val="1B0F5577"/>
    <w:rsid w:val="1B16166A"/>
    <w:rsid w:val="1B2C3320"/>
    <w:rsid w:val="1BB93E83"/>
    <w:rsid w:val="1BC644B6"/>
    <w:rsid w:val="1C613AB1"/>
    <w:rsid w:val="1C8C0466"/>
    <w:rsid w:val="1C9D5192"/>
    <w:rsid w:val="1CB62265"/>
    <w:rsid w:val="1CC854C2"/>
    <w:rsid w:val="1D0121D0"/>
    <w:rsid w:val="1D1D18D2"/>
    <w:rsid w:val="1D1D4180"/>
    <w:rsid w:val="1D492E7E"/>
    <w:rsid w:val="1D516019"/>
    <w:rsid w:val="1D5B524F"/>
    <w:rsid w:val="1D6D3522"/>
    <w:rsid w:val="1D9B013D"/>
    <w:rsid w:val="1DAB5588"/>
    <w:rsid w:val="1DD0251C"/>
    <w:rsid w:val="1DD72694"/>
    <w:rsid w:val="1DDE1DE9"/>
    <w:rsid w:val="1DE77A08"/>
    <w:rsid w:val="1DFA7416"/>
    <w:rsid w:val="1E1D2F86"/>
    <w:rsid w:val="1E2A4912"/>
    <w:rsid w:val="1E566DBF"/>
    <w:rsid w:val="1F2D39A5"/>
    <w:rsid w:val="1F474868"/>
    <w:rsid w:val="1F482F82"/>
    <w:rsid w:val="1F661775"/>
    <w:rsid w:val="1F6A7324"/>
    <w:rsid w:val="1F783AEB"/>
    <w:rsid w:val="1F883C9F"/>
    <w:rsid w:val="1F971592"/>
    <w:rsid w:val="1FAF5132"/>
    <w:rsid w:val="1FB94E27"/>
    <w:rsid w:val="1FF41576"/>
    <w:rsid w:val="201F2862"/>
    <w:rsid w:val="20207F71"/>
    <w:rsid w:val="209C571E"/>
    <w:rsid w:val="20AF20C5"/>
    <w:rsid w:val="20ED7306"/>
    <w:rsid w:val="20F96916"/>
    <w:rsid w:val="20FB0AF5"/>
    <w:rsid w:val="211106C5"/>
    <w:rsid w:val="21431785"/>
    <w:rsid w:val="21685607"/>
    <w:rsid w:val="219E251A"/>
    <w:rsid w:val="21C24F4B"/>
    <w:rsid w:val="21D62165"/>
    <w:rsid w:val="21E43F2A"/>
    <w:rsid w:val="22071464"/>
    <w:rsid w:val="2232235C"/>
    <w:rsid w:val="22521235"/>
    <w:rsid w:val="22E8534E"/>
    <w:rsid w:val="23142612"/>
    <w:rsid w:val="23291785"/>
    <w:rsid w:val="23710488"/>
    <w:rsid w:val="23716923"/>
    <w:rsid w:val="2381304A"/>
    <w:rsid w:val="23BB002C"/>
    <w:rsid w:val="23C33515"/>
    <w:rsid w:val="23E8157F"/>
    <w:rsid w:val="23F1680C"/>
    <w:rsid w:val="24082311"/>
    <w:rsid w:val="24144243"/>
    <w:rsid w:val="243E0BB5"/>
    <w:rsid w:val="243E15D5"/>
    <w:rsid w:val="24551238"/>
    <w:rsid w:val="24625FE4"/>
    <w:rsid w:val="246F4E97"/>
    <w:rsid w:val="248E2DBA"/>
    <w:rsid w:val="24C7526D"/>
    <w:rsid w:val="24ED0168"/>
    <w:rsid w:val="24F33D6D"/>
    <w:rsid w:val="25115466"/>
    <w:rsid w:val="25224672"/>
    <w:rsid w:val="25250089"/>
    <w:rsid w:val="25252A8D"/>
    <w:rsid w:val="255A00C9"/>
    <w:rsid w:val="25700723"/>
    <w:rsid w:val="25723F15"/>
    <w:rsid w:val="258C48F3"/>
    <w:rsid w:val="258E317D"/>
    <w:rsid w:val="25973A76"/>
    <w:rsid w:val="25A32525"/>
    <w:rsid w:val="25A67057"/>
    <w:rsid w:val="25B860ED"/>
    <w:rsid w:val="25D54115"/>
    <w:rsid w:val="25F72F27"/>
    <w:rsid w:val="25FB6FC6"/>
    <w:rsid w:val="260F4C55"/>
    <w:rsid w:val="261B00C0"/>
    <w:rsid w:val="26291B1A"/>
    <w:rsid w:val="265071A0"/>
    <w:rsid w:val="265F36D6"/>
    <w:rsid w:val="26763E6F"/>
    <w:rsid w:val="267C3983"/>
    <w:rsid w:val="26BE2DBE"/>
    <w:rsid w:val="26D82BDE"/>
    <w:rsid w:val="26DF31AA"/>
    <w:rsid w:val="26E109F1"/>
    <w:rsid w:val="26EB0757"/>
    <w:rsid w:val="270101AC"/>
    <w:rsid w:val="274D71B2"/>
    <w:rsid w:val="2751147F"/>
    <w:rsid w:val="27805260"/>
    <w:rsid w:val="279C6957"/>
    <w:rsid w:val="27D32B77"/>
    <w:rsid w:val="27DE5929"/>
    <w:rsid w:val="27E14C4C"/>
    <w:rsid w:val="286C62A1"/>
    <w:rsid w:val="288D1C6A"/>
    <w:rsid w:val="28A069B8"/>
    <w:rsid w:val="28AA3EF5"/>
    <w:rsid w:val="28F72971"/>
    <w:rsid w:val="28FD2C18"/>
    <w:rsid w:val="295855C7"/>
    <w:rsid w:val="29B86677"/>
    <w:rsid w:val="29DF19DC"/>
    <w:rsid w:val="2A3073E0"/>
    <w:rsid w:val="2A5B3F28"/>
    <w:rsid w:val="2AE35535"/>
    <w:rsid w:val="2AE878F1"/>
    <w:rsid w:val="2AFC7EF2"/>
    <w:rsid w:val="2B496FA3"/>
    <w:rsid w:val="2B517ACE"/>
    <w:rsid w:val="2B532BFE"/>
    <w:rsid w:val="2BB024B4"/>
    <w:rsid w:val="2BC60F98"/>
    <w:rsid w:val="2BCB45F0"/>
    <w:rsid w:val="2BEB5D43"/>
    <w:rsid w:val="2C066A1A"/>
    <w:rsid w:val="2C0B4AE6"/>
    <w:rsid w:val="2C724CBA"/>
    <w:rsid w:val="2C8165FA"/>
    <w:rsid w:val="2C894476"/>
    <w:rsid w:val="2CAC7CBD"/>
    <w:rsid w:val="2CB4385F"/>
    <w:rsid w:val="2CCC08A3"/>
    <w:rsid w:val="2D0A514C"/>
    <w:rsid w:val="2D0F07BE"/>
    <w:rsid w:val="2D145560"/>
    <w:rsid w:val="2D437049"/>
    <w:rsid w:val="2D811448"/>
    <w:rsid w:val="2D9C1EF6"/>
    <w:rsid w:val="2DB235BF"/>
    <w:rsid w:val="2DC033E2"/>
    <w:rsid w:val="2DC710FC"/>
    <w:rsid w:val="2E0861D7"/>
    <w:rsid w:val="2E1A1FA9"/>
    <w:rsid w:val="2E37522C"/>
    <w:rsid w:val="2E577392"/>
    <w:rsid w:val="2E8B1B62"/>
    <w:rsid w:val="2E970AE4"/>
    <w:rsid w:val="2E9B3F85"/>
    <w:rsid w:val="2EB227A5"/>
    <w:rsid w:val="2EEA74CD"/>
    <w:rsid w:val="2F5B2FFA"/>
    <w:rsid w:val="2F822BAC"/>
    <w:rsid w:val="2FFB3E3A"/>
    <w:rsid w:val="301D3259"/>
    <w:rsid w:val="301F6139"/>
    <w:rsid w:val="30641E74"/>
    <w:rsid w:val="30810E1D"/>
    <w:rsid w:val="30F97581"/>
    <w:rsid w:val="310C4AB6"/>
    <w:rsid w:val="314256C4"/>
    <w:rsid w:val="316A5ADC"/>
    <w:rsid w:val="318E4F6B"/>
    <w:rsid w:val="31947CF5"/>
    <w:rsid w:val="31F356BD"/>
    <w:rsid w:val="32077AD2"/>
    <w:rsid w:val="3215094A"/>
    <w:rsid w:val="32161EC8"/>
    <w:rsid w:val="32572A59"/>
    <w:rsid w:val="326E6271"/>
    <w:rsid w:val="329F04E5"/>
    <w:rsid w:val="32D81B31"/>
    <w:rsid w:val="32F9755F"/>
    <w:rsid w:val="331B2806"/>
    <w:rsid w:val="333214D1"/>
    <w:rsid w:val="3370495E"/>
    <w:rsid w:val="3394255E"/>
    <w:rsid w:val="33A47DE6"/>
    <w:rsid w:val="33CC0FC6"/>
    <w:rsid w:val="33CC1671"/>
    <w:rsid w:val="33DD0EAC"/>
    <w:rsid w:val="34143D51"/>
    <w:rsid w:val="34302898"/>
    <w:rsid w:val="345B460B"/>
    <w:rsid w:val="348E2B4F"/>
    <w:rsid w:val="34BB4966"/>
    <w:rsid w:val="35593356"/>
    <w:rsid w:val="35C97D56"/>
    <w:rsid w:val="35DE5FA3"/>
    <w:rsid w:val="35EE5D6B"/>
    <w:rsid w:val="3637765B"/>
    <w:rsid w:val="363A3F05"/>
    <w:rsid w:val="365311E6"/>
    <w:rsid w:val="367112A8"/>
    <w:rsid w:val="37380BCD"/>
    <w:rsid w:val="375445E4"/>
    <w:rsid w:val="376964D6"/>
    <w:rsid w:val="379C3619"/>
    <w:rsid w:val="37B318DC"/>
    <w:rsid w:val="37D96EA4"/>
    <w:rsid w:val="384A2F51"/>
    <w:rsid w:val="385F3059"/>
    <w:rsid w:val="38620E8B"/>
    <w:rsid w:val="38803334"/>
    <w:rsid w:val="388D1A63"/>
    <w:rsid w:val="38CC73F3"/>
    <w:rsid w:val="38D611BC"/>
    <w:rsid w:val="391175A1"/>
    <w:rsid w:val="395B66C1"/>
    <w:rsid w:val="395E3B0F"/>
    <w:rsid w:val="39786CE5"/>
    <w:rsid w:val="39A80EF7"/>
    <w:rsid w:val="39AE15AC"/>
    <w:rsid w:val="39E83FB4"/>
    <w:rsid w:val="3A153790"/>
    <w:rsid w:val="3A1B5632"/>
    <w:rsid w:val="3A1F11A7"/>
    <w:rsid w:val="3A6C6270"/>
    <w:rsid w:val="3A86575A"/>
    <w:rsid w:val="3A8C78DE"/>
    <w:rsid w:val="3AB152B1"/>
    <w:rsid w:val="3ACC0243"/>
    <w:rsid w:val="3ADA5FE4"/>
    <w:rsid w:val="3B115AB0"/>
    <w:rsid w:val="3B1F150C"/>
    <w:rsid w:val="3B341FC1"/>
    <w:rsid w:val="3B344E45"/>
    <w:rsid w:val="3B3B0B96"/>
    <w:rsid w:val="3B6F11E8"/>
    <w:rsid w:val="3B732683"/>
    <w:rsid w:val="3B851216"/>
    <w:rsid w:val="3B8E2123"/>
    <w:rsid w:val="3C4E6BEE"/>
    <w:rsid w:val="3C706D47"/>
    <w:rsid w:val="3CC40485"/>
    <w:rsid w:val="3CED6ED8"/>
    <w:rsid w:val="3CFF3CE3"/>
    <w:rsid w:val="3D0B4A9A"/>
    <w:rsid w:val="3D3D6014"/>
    <w:rsid w:val="3D517AA3"/>
    <w:rsid w:val="3DA349DC"/>
    <w:rsid w:val="3E3457B0"/>
    <w:rsid w:val="3E352187"/>
    <w:rsid w:val="3E9753EA"/>
    <w:rsid w:val="3E9948D1"/>
    <w:rsid w:val="3EC20DB8"/>
    <w:rsid w:val="3EE41CB3"/>
    <w:rsid w:val="3F2F5E50"/>
    <w:rsid w:val="3F43088C"/>
    <w:rsid w:val="3F5E3AB3"/>
    <w:rsid w:val="3F5E71A0"/>
    <w:rsid w:val="3F6D27F9"/>
    <w:rsid w:val="3F7D0FF3"/>
    <w:rsid w:val="3F7F3F6B"/>
    <w:rsid w:val="3FAA346A"/>
    <w:rsid w:val="3FAB317E"/>
    <w:rsid w:val="3FFF7485"/>
    <w:rsid w:val="401A0D8E"/>
    <w:rsid w:val="40602185"/>
    <w:rsid w:val="406D3C7A"/>
    <w:rsid w:val="4070620F"/>
    <w:rsid w:val="408D0A8F"/>
    <w:rsid w:val="40AF6D99"/>
    <w:rsid w:val="40DD4529"/>
    <w:rsid w:val="40FE3855"/>
    <w:rsid w:val="41076849"/>
    <w:rsid w:val="414920DE"/>
    <w:rsid w:val="41550B18"/>
    <w:rsid w:val="41B2034C"/>
    <w:rsid w:val="41E371A6"/>
    <w:rsid w:val="41EC2C14"/>
    <w:rsid w:val="41EF3FAC"/>
    <w:rsid w:val="42000607"/>
    <w:rsid w:val="4206324A"/>
    <w:rsid w:val="422241A5"/>
    <w:rsid w:val="422E76A8"/>
    <w:rsid w:val="42AE3F54"/>
    <w:rsid w:val="42B01A80"/>
    <w:rsid w:val="42B540C6"/>
    <w:rsid w:val="42EE1CB1"/>
    <w:rsid w:val="42F470D3"/>
    <w:rsid w:val="42FF2708"/>
    <w:rsid w:val="43124DBF"/>
    <w:rsid w:val="43267EE9"/>
    <w:rsid w:val="433C096F"/>
    <w:rsid w:val="43411BCB"/>
    <w:rsid w:val="434D5E1F"/>
    <w:rsid w:val="435C4BA0"/>
    <w:rsid w:val="436A4B02"/>
    <w:rsid w:val="4373005F"/>
    <w:rsid w:val="43AE502A"/>
    <w:rsid w:val="43BE13CF"/>
    <w:rsid w:val="446D50B9"/>
    <w:rsid w:val="44781DAA"/>
    <w:rsid w:val="447B0A3A"/>
    <w:rsid w:val="44CA357E"/>
    <w:rsid w:val="4524029D"/>
    <w:rsid w:val="45471D19"/>
    <w:rsid w:val="4561362B"/>
    <w:rsid w:val="45C347A1"/>
    <w:rsid w:val="45CF460B"/>
    <w:rsid w:val="45E27E1E"/>
    <w:rsid w:val="46294181"/>
    <w:rsid w:val="463164EF"/>
    <w:rsid w:val="46601146"/>
    <w:rsid w:val="46ED6BF8"/>
    <w:rsid w:val="470316C4"/>
    <w:rsid w:val="47052A36"/>
    <w:rsid w:val="470E368E"/>
    <w:rsid w:val="472A4DC1"/>
    <w:rsid w:val="47433C32"/>
    <w:rsid w:val="475A2BBC"/>
    <w:rsid w:val="478244F3"/>
    <w:rsid w:val="47AC7367"/>
    <w:rsid w:val="47BA5BC1"/>
    <w:rsid w:val="47C7285C"/>
    <w:rsid w:val="47E042B0"/>
    <w:rsid w:val="47F46214"/>
    <w:rsid w:val="480C69CA"/>
    <w:rsid w:val="48344BB9"/>
    <w:rsid w:val="48624136"/>
    <w:rsid w:val="487519F9"/>
    <w:rsid w:val="48854893"/>
    <w:rsid w:val="489079A4"/>
    <w:rsid w:val="48A40205"/>
    <w:rsid w:val="497F756E"/>
    <w:rsid w:val="49856137"/>
    <w:rsid w:val="4A0A5885"/>
    <w:rsid w:val="4A344972"/>
    <w:rsid w:val="4A7A3DF9"/>
    <w:rsid w:val="4B073A5C"/>
    <w:rsid w:val="4B1A687D"/>
    <w:rsid w:val="4B2A2127"/>
    <w:rsid w:val="4B44760D"/>
    <w:rsid w:val="4B492CAF"/>
    <w:rsid w:val="4B5C5D27"/>
    <w:rsid w:val="4B5E326D"/>
    <w:rsid w:val="4B840ACD"/>
    <w:rsid w:val="4B8C42AD"/>
    <w:rsid w:val="4BBC59FC"/>
    <w:rsid w:val="4BF72474"/>
    <w:rsid w:val="4C2E5AE5"/>
    <w:rsid w:val="4C4F0B45"/>
    <w:rsid w:val="4C6121AD"/>
    <w:rsid w:val="4C69763C"/>
    <w:rsid w:val="4CB46698"/>
    <w:rsid w:val="4CDE2885"/>
    <w:rsid w:val="4D6B6668"/>
    <w:rsid w:val="4DA969FC"/>
    <w:rsid w:val="4DB73FDD"/>
    <w:rsid w:val="4DEA2D41"/>
    <w:rsid w:val="4E4410D0"/>
    <w:rsid w:val="4E8651D5"/>
    <w:rsid w:val="4E977E71"/>
    <w:rsid w:val="4F066320"/>
    <w:rsid w:val="4F0C4606"/>
    <w:rsid w:val="4F4E6EBF"/>
    <w:rsid w:val="4F6809F1"/>
    <w:rsid w:val="4F6856BC"/>
    <w:rsid w:val="4F7D4C71"/>
    <w:rsid w:val="4F8C392E"/>
    <w:rsid w:val="4FBF4AA5"/>
    <w:rsid w:val="4FCA7073"/>
    <w:rsid w:val="4FE259E9"/>
    <w:rsid w:val="4FE70E94"/>
    <w:rsid w:val="501D7C2E"/>
    <w:rsid w:val="507F193B"/>
    <w:rsid w:val="50963550"/>
    <w:rsid w:val="50A3284C"/>
    <w:rsid w:val="512C7508"/>
    <w:rsid w:val="5193709C"/>
    <w:rsid w:val="51D373A4"/>
    <w:rsid w:val="52321D93"/>
    <w:rsid w:val="52420452"/>
    <w:rsid w:val="52533FC1"/>
    <w:rsid w:val="525821A2"/>
    <w:rsid w:val="527D385C"/>
    <w:rsid w:val="52B8501A"/>
    <w:rsid w:val="53374225"/>
    <w:rsid w:val="53B57F5D"/>
    <w:rsid w:val="53BB70AD"/>
    <w:rsid w:val="53DA43C4"/>
    <w:rsid w:val="53E267AB"/>
    <w:rsid w:val="53E910A9"/>
    <w:rsid w:val="544D2AA5"/>
    <w:rsid w:val="54873DD5"/>
    <w:rsid w:val="54C86632"/>
    <w:rsid w:val="54D02C4B"/>
    <w:rsid w:val="55106E07"/>
    <w:rsid w:val="55112B45"/>
    <w:rsid w:val="55351206"/>
    <w:rsid w:val="55574AEB"/>
    <w:rsid w:val="55653C63"/>
    <w:rsid w:val="558F79BB"/>
    <w:rsid w:val="55A649AE"/>
    <w:rsid w:val="55D93627"/>
    <w:rsid w:val="56602AF8"/>
    <w:rsid w:val="569D1848"/>
    <w:rsid w:val="569F040B"/>
    <w:rsid w:val="56B13A64"/>
    <w:rsid w:val="56BA3AA0"/>
    <w:rsid w:val="56CF6D97"/>
    <w:rsid w:val="56D66689"/>
    <w:rsid w:val="56DD6327"/>
    <w:rsid w:val="56FB610B"/>
    <w:rsid w:val="570E46A2"/>
    <w:rsid w:val="574A67BB"/>
    <w:rsid w:val="57847C36"/>
    <w:rsid w:val="57EE768E"/>
    <w:rsid w:val="57FD4611"/>
    <w:rsid w:val="586A742C"/>
    <w:rsid w:val="587048FA"/>
    <w:rsid w:val="5881039C"/>
    <w:rsid w:val="58956A6F"/>
    <w:rsid w:val="58C134D7"/>
    <w:rsid w:val="58C94C3F"/>
    <w:rsid w:val="58FD7C55"/>
    <w:rsid w:val="591E42EB"/>
    <w:rsid w:val="5920637C"/>
    <w:rsid w:val="592A1676"/>
    <w:rsid w:val="592C439F"/>
    <w:rsid w:val="59382C8C"/>
    <w:rsid w:val="594975BF"/>
    <w:rsid w:val="59913B9C"/>
    <w:rsid w:val="59B0342B"/>
    <w:rsid w:val="59BD685A"/>
    <w:rsid w:val="59E71587"/>
    <w:rsid w:val="59E71DDE"/>
    <w:rsid w:val="5A064D2E"/>
    <w:rsid w:val="5A1C05EC"/>
    <w:rsid w:val="5A53496E"/>
    <w:rsid w:val="5A681CF0"/>
    <w:rsid w:val="5A7756D8"/>
    <w:rsid w:val="5A96078C"/>
    <w:rsid w:val="5ABB0552"/>
    <w:rsid w:val="5AC87CD6"/>
    <w:rsid w:val="5AE85A5C"/>
    <w:rsid w:val="5B18744E"/>
    <w:rsid w:val="5C4A2BD7"/>
    <w:rsid w:val="5C502FDB"/>
    <w:rsid w:val="5CA52B69"/>
    <w:rsid w:val="5CAF68F6"/>
    <w:rsid w:val="5CD97570"/>
    <w:rsid w:val="5CEE293F"/>
    <w:rsid w:val="5CF84E92"/>
    <w:rsid w:val="5D1B5033"/>
    <w:rsid w:val="5D213D72"/>
    <w:rsid w:val="5D3D1F41"/>
    <w:rsid w:val="5D63632E"/>
    <w:rsid w:val="5DF5709B"/>
    <w:rsid w:val="5E2775BD"/>
    <w:rsid w:val="5E28726D"/>
    <w:rsid w:val="5E3127AA"/>
    <w:rsid w:val="5E326512"/>
    <w:rsid w:val="5E504C73"/>
    <w:rsid w:val="5E985E8A"/>
    <w:rsid w:val="5EE54D87"/>
    <w:rsid w:val="5EF120C7"/>
    <w:rsid w:val="5EFB6A5E"/>
    <w:rsid w:val="5F753418"/>
    <w:rsid w:val="5F772D41"/>
    <w:rsid w:val="5F89736C"/>
    <w:rsid w:val="5FB455AB"/>
    <w:rsid w:val="5FD8479E"/>
    <w:rsid w:val="5FEF4FD0"/>
    <w:rsid w:val="5FF11588"/>
    <w:rsid w:val="5FF7262C"/>
    <w:rsid w:val="600B08C8"/>
    <w:rsid w:val="603241EF"/>
    <w:rsid w:val="604325C3"/>
    <w:rsid w:val="60585DBB"/>
    <w:rsid w:val="607E2EA5"/>
    <w:rsid w:val="60A17904"/>
    <w:rsid w:val="610F2F97"/>
    <w:rsid w:val="612516D1"/>
    <w:rsid w:val="612B5758"/>
    <w:rsid w:val="61374D7D"/>
    <w:rsid w:val="61394E2C"/>
    <w:rsid w:val="621C7A8F"/>
    <w:rsid w:val="62285BD6"/>
    <w:rsid w:val="622D18BB"/>
    <w:rsid w:val="6275619C"/>
    <w:rsid w:val="62CD2B41"/>
    <w:rsid w:val="62F475B6"/>
    <w:rsid w:val="630C6A64"/>
    <w:rsid w:val="631F7E44"/>
    <w:rsid w:val="63376FCF"/>
    <w:rsid w:val="6367291E"/>
    <w:rsid w:val="637C04DD"/>
    <w:rsid w:val="63964CCA"/>
    <w:rsid w:val="63B3451B"/>
    <w:rsid w:val="63D20290"/>
    <w:rsid w:val="63EB1DCE"/>
    <w:rsid w:val="64293F5B"/>
    <w:rsid w:val="642F75B0"/>
    <w:rsid w:val="644A4D41"/>
    <w:rsid w:val="64DD7B1A"/>
    <w:rsid w:val="65021A2A"/>
    <w:rsid w:val="652A2E44"/>
    <w:rsid w:val="654E4849"/>
    <w:rsid w:val="65686657"/>
    <w:rsid w:val="65BD69EB"/>
    <w:rsid w:val="65D379E9"/>
    <w:rsid w:val="65E05974"/>
    <w:rsid w:val="664977CF"/>
    <w:rsid w:val="6661477B"/>
    <w:rsid w:val="6681387A"/>
    <w:rsid w:val="66BC6870"/>
    <w:rsid w:val="66E8073A"/>
    <w:rsid w:val="66EC4975"/>
    <w:rsid w:val="67016B09"/>
    <w:rsid w:val="67311660"/>
    <w:rsid w:val="67343FAE"/>
    <w:rsid w:val="674A560B"/>
    <w:rsid w:val="6754457B"/>
    <w:rsid w:val="67CA2693"/>
    <w:rsid w:val="68110FEB"/>
    <w:rsid w:val="681B27B3"/>
    <w:rsid w:val="683116BC"/>
    <w:rsid w:val="685550B4"/>
    <w:rsid w:val="687D72F9"/>
    <w:rsid w:val="688F3871"/>
    <w:rsid w:val="68942A05"/>
    <w:rsid w:val="689D7402"/>
    <w:rsid w:val="68BF7A35"/>
    <w:rsid w:val="68DC76F5"/>
    <w:rsid w:val="68E74072"/>
    <w:rsid w:val="68F0061B"/>
    <w:rsid w:val="69173BDC"/>
    <w:rsid w:val="698247DD"/>
    <w:rsid w:val="69BD4674"/>
    <w:rsid w:val="69D01D01"/>
    <w:rsid w:val="6A036769"/>
    <w:rsid w:val="6A0D61F8"/>
    <w:rsid w:val="6A325674"/>
    <w:rsid w:val="6A52291B"/>
    <w:rsid w:val="6A7B10E5"/>
    <w:rsid w:val="6A817F02"/>
    <w:rsid w:val="6ADF7915"/>
    <w:rsid w:val="6B351E6F"/>
    <w:rsid w:val="6B5D63CD"/>
    <w:rsid w:val="6B7A4051"/>
    <w:rsid w:val="6BB97EFC"/>
    <w:rsid w:val="6BDC281C"/>
    <w:rsid w:val="6BE14999"/>
    <w:rsid w:val="6BE26B42"/>
    <w:rsid w:val="6BFB5FD1"/>
    <w:rsid w:val="6C0A3E00"/>
    <w:rsid w:val="6C604544"/>
    <w:rsid w:val="6C6A01E8"/>
    <w:rsid w:val="6C6F0FB3"/>
    <w:rsid w:val="6CEF41A9"/>
    <w:rsid w:val="6D0B156D"/>
    <w:rsid w:val="6D0E3EE0"/>
    <w:rsid w:val="6D12175F"/>
    <w:rsid w:val="6D1F5AF0"/>
    <w:rsid w:val="6D2F647E"/>
    <w:rsid w:val="6DA86B8A"/>
    <w:rsid w:val="6DDF46E7"/>
    <w:rsid w:val="6E1D76E4"/>
    <w:rsid w:val="6E67178A"/>
    <w:rsid w:val="6E7F36DA"/>
    <w:rsid w:val="6EAA1166"/>
    <w:rsid w:val="6ECE4691"/>
    <w:rsid w:val="6ED54165"/>
    <w:rsid w:val="6EE37AF9"/>
    <w:rsid w:val="6EF77725"/>
    <w:rsid w:val="6F3657AD"/>
    <w:rsid w:val="6F974373"/>
    <w:rsid w:val="6FC74058"/>
    <w:rsid w:val="6FC9174B"/>
    <w:rsid w:val="70040E87"/>
    <w:rsid w:val="704871A4"/>
    <w:rsid w:val="70592DFA"/>
    <w:rsid w:val="70694F36"/>
    <w:rsid w:val="70880C5C"/>
    <w:rsid w:val="70B43AE3"/>
    <w:rsid w:val="70B523D0"/>
    <w:rsid w:val="70B864EA"/>
    <w:rsid w:val="70BC0E4E"/>
    <w:rsid w:val="70DD3906"/>
    <w:rsid w:val="7109479F"/>
    <w:rsid w:val="71274B33"/>
    <w:rsid w:val="714539A3"/>
    <w:rsid w:val="71926D1E"/>
    <w:rsid w:val="719B076B"/>
    <w:rsid w:val="71BA033B"/>
    <w:rsid w:val="71DC2403"/>
    <w:rsid w:val="721D7117"/>
    <w:rsid w:val="7260078B"/>
    <w:rsid w:val="726A569E"/>
    <w:rsid w:val="728129E5"/>
    <w:rsid w:val="73393BC2"/>
    <w:rsid w:val="737B44DB"/>
    <w:rsid w:val="74145D81"/>
    <w:rsid w:val="74262B1B"/>
    <w:rsid w:val="74707B2C"/>
    <w:rsid w:val="747C5424"/>
    <w:rsid w:val="749464CC"/>
    <w:rsid w:val="74A6094A"/>
    <w:rsid w:val="74BE7D2A"/>
    <w:rsid w:val="74CC21DF"/>
    <w:rsid w:val="74E16F35"/>
    <w:rsid w:val="74FE7651"/>
    <w:rsid w:val="75357A31"/>
    <w:rsid w:val="75532D3D"/>
    <w:rsid w:val="758805C2"/>
    <w:rsid w:val="75EC69A4"/>
    <w:rsid w:val="7619049A"/>
    <w:rsid w:val="761F2330"/>
    <w:rsid w:val="763F26D5"/>
    <w:rsid w:val="76472260"/>
    <w:rsid w:val="764D0528"/>
    <w:rsid w:val="766821F0"/>
    <w:rsid w:val="766F0854"/>
    <w:rsid w:val="76A23C1E"/>
    <w:rsid w:val="76C82F19"/>
    <w:rsid w:val="77045A49"/>
    <w:rsid w:val="771B7204"/>
    <w:rsid w:val="77266E5A"/>
    <w:rsid w:val="77291B31"/>
    <w:rsid w:val="775C7088"/>
    <w:rsid w:val="77701354"/>
    <w:rsid w:val="77750DFA"/>
    <w:rsid w:val="77902D8C"/>
    <w:rsid w:val="779A189F"/>
    <w:rsid w:val="77A34CF2"/>
    <w:rsid w:val="77BD5632"/>
    <w:rsid w:val="78047417"/>
    <w:rsid w:val="781F51BA"/>
    <w:rsid w:val="783E1923"/>
    <w:rsid w:val="78494544"/>
    <w:rsid w:val="788B7EEC"/>
    <w:rsid w:val="78CE11C3"/>
    <w:rsid w:val="78E431C4"/>
    <w:rsid w:val="78EB4A40"/>
    <w:rsid w:val="78ED5D7E"/>
    <w:rsid w:val="79886365"/>
    <w:rsid w:val="79F93A63"/>
    <w:rsid w:val="79F944AF"/>
    <w:rsid w:val="79FB19DD"/>
    <w:rsid w:val="7A2F69EB"/>
    <w:rsid w:val="7A4413F9"/>
    <w:rsid w:val="7A5711E4"/>
    <w:rsid w:val="7AEA0E27"/>
    <w:rsid w:val="7B142F4F"/>
    <w:rsid w:val="7B2C753A"/>
    <w:rsid w:val="7B496C26"/>
    <w:rsid w:val="7B96275E"/>
    <w:rsid w:val="7BAF6112"/>
    <w:rsid w:val="7BEB58FC"/>
    <w:rsid w:val="7C191D89"/>
    <w:rsid w:val="7C420A4C"/>
    <w:rsid w:val="7C52528A"/>
    <w:rsid w:val="7C735E4E"/>
    <w:rsid w:val="7C886183"/>
    <w:rsid w:val="7C9964B4"/>
    <w:rsid w:val="7CB837FF"/>
    <w:rsid w:val="7CCD6FB7"/>
    <w:rsid w:val="7D071AF5"/>
    <w:rsid w:val="7D7E7646"/>
    <w:rsid w:val="7D910CCE"/>
    <w:rsid w:val="7DC26738"/>
    <w:rsid w:val="7DEF31F5"/>
    <w:rsid w:val="7E243CB8"/>
    <w:rsid w:val="7E972C19"/>
    <w:rsid w:val="7EA92626"/>
    <w:rsid w:val="7EBB2BFC"/>
    <w:rsid w:val="7F112120"/>
    <w:rsid w:val="7F215BE4"/>
    <w:rsid w:val="7F6E4E40"/>
    <w:rsid w:val="7F7E2419"/>
    <w:rsid w:val="7F856BE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0" w:name="index 2"/>
    <w:lsdException w:uiPriority="0" w:name="index 3"/>
    <w:lsdException w:uiPriority="0" w:name="index 4"/>
    <w:lsdException w:qFormat="1" w:unhideWhenUsed="0" w:uiPriority="99" w:semiHidden="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qFormat="1" w:uiPriority="99" w:semiHidden="0" w:name="toa heading"/>
    <w:lsdException w:qFormat="1" w:unhideWhenUsed="0" w:uiPriority="99"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qFormat="1" w:unhideWhenUsed="0" w:uiPriority="0" w:semiHidden="0" w:name="HTML Preformatted"/>
    <w:lsdException w:uiPriority="0" w:name="HTML Sample"/>
    <w:lsdException w:uiPriority="0" w:name="HTML Typewriter"/>
    <w:lsdException w:qFormat="1"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Arial Unicode MS" w:cs="Times New Roman"/>
      <w:kern w:val="2"/>
      <w:sz w:val="21"/>
      <w:szCs w:val="24"/>
      <w:lang w:val="en-US" w:eastAsia="zh-CN" w:bidi="ar-SA"/>
    </w:rPr>
  </w:style>
  <w:style w:type="paragraph" w:styleId="3">
    <w:name w:val="heading 1"/>
    <w:basedOn w:val="1"/>
    <w:next w:val="1"/>
    <w:link w:val="120"/>
    <w:qFormat/>
    <w:uiPriority w:val="99"/>
    <w:pPr>
      <w:keepNext/>
      <w:keepLines/>
      <w:adjustRightInd w:val="0"/>
      <w:spacing w:before="240" w:after="240" w:line="578" w:lineRule="atLeast"/>
      <w:textAlignment w:val="baseline"/>
      <w:outlineLvl w:val="0"/>
    </w:pPr>
    <w:rPr>
      <w:rFonts w:ascii="Tahoma" w:hAnsi="Tahoma"/>
      <w:b/>
      <w:bCs/>
      <w:kern w:val="44"/>
      <w:sz w:val="24"/>
      <w:szCs w:val="44"/>
    </w:rPr>
  </w:style>
  <w:style w:type="paragraph" w:styleId="4">
    <w:name w:val="heading 2"/>
    <w:basedOn w:val="1"/>
    <w:next w:val="1"/>
    <w:link w:val="102"/>
    <w:qFormat/>
    <w:uiPriority w:val="99"/>
    <w:pPr>
      <w:spacing w:before="260" w:after="260" w:line="416" w:lineRule="atLeast"/>
      <w:outlineLvl w:val="1"/>
    </w:pPr>
    <w:rPr>
      <w:rFonts w:ascii="Cambria" w:hAnsi="Cambria"/>
      <w:sz w:val="32"/>
      <w:szCs w:val="32"/>
    </w:rPr>
  </w:style>
  <w:style w:type="paragraph" w:styleId="5">
    <w:name w:val="heading 3"/>
    <w:basedOn w:val="1"/>
    <w:next w:val="1"/>
    <w:link w:val="112"/>
    <w:qFormat/>
    <w:uiPriority w:val="99"/>
    <w:pPr>
      <w:tabs>
        <w:tab w:val="left" w:pos="588"/>
      </w:tabs>
      <w:spacing w:line="360" w:lineRule="auto"/>
      <w:outlineLvl w:val="2"/>
    </w:pPr>
    <w:rPr>
      <w:rFonts w:ascii="Tahoma" w:hAnsi="Tahoma"/>
    </w:rPr>
  </w:style>
  <w:style w:type="paragraph" w:styleId="6">
    <w:name w:val="heading 4"/>
    <w:basedOn w:val="1"/>
    <w:next w:val="1"/>
    <w:link w:val="139"/>
    <w:qFormat/>
    <w:uiPriority w:val="99"/>
    <w:pPr>
      <w:keepNext/>
      <w:keepLines/>
      <w:adjustRightInd w:val="0"/>
      <w:snapToGrid w:val="0"/>
      <w:spacing w:beforeAutospacing="1" w:afterAutospacing="1" w:line="300" w:lineRule="auto"/>
      <w:textAlignment w:val="baseline"/>
      <w:outlineLvl w:val="3"/>
    </w:pPr>
    <w:rPr>
      <w:b/>
      <w:kern w:val="0"/>
      <w:sz w:val="24"/>
    </w:rPr>
  </w:style>
  <w:style w:type="paragraph" w:styleId="7">
    <w:name w:val="heading 5"/>
    <w:basedOn w:val="1"/>
    <w:next w:val="1"/>
    <w:link w:val="101"/>
    <w:qFormat/>
    <w:uiPriority w:val="99"/>
    <w:pPr>
      <w:keepNext/>
      <w:keepLines/>
      <w:spacing w:before="280" w:after="290" w:line="376" w:lineRule="auto"/>
      <w:ind w:left="1008" w:hanging="1008"/>
      <w:outlineLvl w:val="4"/>
    </w:pPr>
    <w:rPr>
      <w:b/>
      <w:bCs/>
      <w:sz w:val="24"/>
      <w:szCs w:val="28"/>
    </w:rPr>
  </w:style>
  <w:style w:type="paragraph" w:styleId="8">
    <w:name w:val="heading 6"/>
    <w:basedOn w:val="1"/>
    <w:next w:val="1"/>
    <w:link w:val="132"/>
    <w:qFormat/>
    <w:uiPriority w:val="99"/>
    <w:pPr>
      <w:keepNext/>
      <w:keepLines/>
      <w:spacing w:before="240" w:after="64" w:line="320" w:lineRule="auto"/>
      <w:ind w:left="1152" w:hanging="1152"/>
      <w:outlineLvl w:val="5"/>
    </w:pPr>
    <w:rPr>
      <w:rFonts w:ascii="Arial" w:hAnsi="Arial" w:eastAsia="黑体"/>
      <w:b/>
      <w:bCs/>
      <w:sz w:val="24"/>
      <w:szCs w:val="28"/>
    </w:rPr>
  </w:style>
  <w:style w:type="paragraph" w:styleId="9">
    <w:name w:val="heading 7"/>
    <w:basedOn w:val="1"/>
    <w:next w:val="1"/>
    <w:link w:val="122"/>
    <w:qFormat/>
    <w:uiPriority w:val="99"/>
    <w:pPr>
      <w:keepNext/>
      <w:keepLines/>
      <w:spacing w:before="240" w:after="64" w:line="320" w:lineRule="auto"/>
      <w:ind w:left="1296" w:hanging="1296"/>
      <w:outlineLvl w:val="6"/>
    </w:pPr>
    <w:rPr>
      <w:b/>
      <w:bCs/>
      <w:sz w:val="24"/>
      <w:szCs w:val="28"/>
    </w:rPr>
  </w:style>
  <w:style w:type="paragraph" w:styleId="10">
    <w:name w:val="heading 8"/>
    <w:basedOn w:val="1"/>
    <w:next w:val="1"/>
    <w:link w:val="107"/>
    <w:qFormat/>
    <w:uiPriority w:val="99"/>
    <w:pPr>
      <w:keepNext/>
      <w:keepLines/>
      <w:spacing w:before="240" w:after="64" w:line="320" w:lineRule="auto"/>
      <w:ind w:left="1440" w:hanging="1440"/>
      <w:outlineLvl w:val="7"/>
    </w:pPr>
    <w:rPr>
      <w:rFonts w:ascii="Arial" w:hAnsi="Arial" w:eastAsia="黑体"/>
      <w:sz w:val="24"/>
      <w:szCs w:val="28"/>
    </w:rPr>
  </w:style>
  <w:style w:type="paragraph" w:styleId="11">
    <w:name w:val="heading 9"/>
    <w:basedOn w:val="1"/>
    <w:next w:val="1"/>
    <w:link w:val="124"/>
    <w:qFormat/>
    <w:uiPriority w:val="99"/>
    <w:pPr>
      <w:keepNext/>
      <w:keepLines/>
      <w:spacing w:before="240" w:after="64" w:line="320" w:lineRule="auto"/>
      <w:ind w:left="1584" w:hanging="1584"/>
      <w:outlineLvl w:val="8"/>
    </w:pPr>
    <w:rPr>
      <w:rFonts w:ascii="Arial" w:hAnsi="Arial" w:eastAsia="黑体"/>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35"/>
    <w:qFormat/>
    <w:uiPriority w:val="0"/>
    <w:pPr>
      <w:spacing w:line="360" w:lineRule="auto"/>
      <w:ind w:firstLine="200" w:firstLineChars="200"/>
    </w:pPr>
    <w:rPr>
      <w:sz w:val="24"/>
      <w:szCs w:val="20"/>
    </w:rPr>
  </w:style>
  <w:style w:type="paragraph" w:styleId="12">
    <w:name w:val="toc 7"/>
    <w:basedOn w:val="1"/>
    <w:next w:val="1"/>
    <w:qFormat/>
    <w:uiPriority w:val="39"/>
    <w:pPr>
      <w:spacing w:line="440" w:lineRule="exact"/>
      <w:ind w:left="1680"/>
      <w:jc w:val="left"/>
    </w:pPr>
    <w:rPr>
      <w:rFonts w:ascii="Calibri" w:hAnsi="Calibri"/>
      <w:sz w:val="18"/>
      <w:szCs w:val="18"/>
    </w:rPr>
  </w:style>
  <w:style w:type="paragraph" w:styleId="13">
    <w:name w:val="Note Heading"/>
    <w:basedOn w:val="14"/>
    <w:next w:val="14"/>
    <w:link w:val="199"/>
    <w:qFormat/>
    <w:uiPriority w:val="0"/>
    <w:rPr>
      <w:rFonts w:ascii="..ì." w:eastAsia="..ì." w:cs="Times New Roman"/>
      <w:color w:val="auto"/>
      <w:szCs w:val="20"/>
    </w:rPr>
  </w:style>
  <w:style w:type="paragraph" w:customStyle="1" w:styleId="14">
    <w:name w:val="Default"/>
    <w:qFormat/>
    <w:uiPriority w:val="0"/>
    <w:pPr>
      <w:widowControl w:val="0"/>
      <w:autoSpaceDE w:val="0"/>
      <w:autoSpaceDN w:val="0"/>
      <w:adjustRightInd w:val="0"/>
    </w:pPr>
    <w:rPr>
      <w:rFonts w:ascii="宋体" w:hAnsi="Times New Roman" w:eastAsia="Arial Unicode MS" w:cs="宋体"/>
      <w:color w:val="000000"/>
      <w:sz w:val="24"/>
      <w:szCs w:val="24"/>
      <w:lang w:val="en-US" w:eastAsia="zh-CN" w:bidi="ar-SA"/>
    </w:rPr>
  </w:style>
  <w:style w:type="paragraph" w:styleId="15">
    <w:name w:val="caption"/>
    <w:basedOn w:val="1"/>
    <w:next w:val="1"/>
    <w:link w:val="93"/>
    <w:qFormat/>
    <w:uiPriority w:val="0"/>
    <w:pPr>
      <w:spacing w:line="480" w:lineRule="auto"/>
    </w:pPr>
    <w:rPr>
      <w:rFonts w:ascii="华文中宋" w:eastAsia="华文中宋"/>
      <w:sz w:val="36"/>
      <w:szCs w:val="20"/>
    </w:rPr>
  </w:style>
  <w:style w:type="paragraph" w:styleId="16">
    <w:name w:val="index 5"/>
    <w:basedOn w:val="1"/>
    <w:next w:val="1"/>
    <w:qFormat/>
    <w:uiPriority w:val="99"/>
    <w:pPr>
      <w:ind w:left="800" w:leftChars="800"/>
    </w:pPr>
    <w:rPr>
      <w:rFonts w:eastAsia="宋体"/>
    </w:rPr>
  </w:style>
  <w:style w:type="paragraph" w:styleId="17">
    <w:name w:val="Document Map"/>
    <w:basedOn w:val="1"/>
    <w:link w:val="129"/>
    <w:qFormat/>
    <w:uiPriority w:val="99"/>
    <w:pPr>
      <w:spacing w:line="440" w:lineRule="exact"/>
    </w:pPr>
    <w:rPr>
      <w:rFonts w:ascii="宋体"/>
      <w:sz w:val="18"/>
      <w:szCs w:val="18"/>
    </w:rPr>
  </w:style>
  <w:style w:type="paragraph" w:styleId="18">
    <w:name w:val="toa heading"/>
    <w:basedOn w:val="1"/>
    <w:next w:val="1"/>
    <w:unhideWhenUsed/>
    <w:qFormat/>
    <w:uiPriority w:val="99"/>
    <w:pPr>
      <w:spacing w:before="120"/>
    </w:pPr>
    <w:rPr>
      <w:rFonts w:ascii="Cambria" w:hAnsi="Cambria" w:eastAsia="宋体"/>
      <w:sz w:val="24"/>
    </w:rPr>
  </w:style>
  <w:style w:type="paragraph" w:styleId="19">
    <w:name w:val="annotation text"/>
    <w:basedOn w:val="1"/>
    <w:link w:val="99"/>
    <w:qFormat/>
    <w:uiPriority w:val="0"/>
    <w:pPr>
      <w:jc w:val="left"/>
    </w:pPr>
    <w:rPr>
      <w:rFonts w:ascii="Tahoma" w:hAnsi="Tahoma"/>
    </w:rPr>
  </w:style>
  <w:style w:type="paragraph" w:styleId="20">
    <w:name w:val="Salutation"/>
    <w:basedOn w:val="14"/>
    <w:next w:val="14"/>
    <w:link w:val="198"/>
    <w:qFormat/>
    <w:uiPriority w:val="0"/>
    <w:rPr>
      <w:rFonts w:ascii="..ì." w:eastAsia="..ì." w:cs="Times New Roman"/>
      <w:color w:val="auto"/>
      <w:szCs w:val="20"/>
    </w:rPr>
  </w:style>
  <w:style w:type="paragraph" w:styleId="21">
    <w:name w:val="Body Text 3"/>
    <w:basedOn w:val="1"/>
    <w:link w:val="206"/>
    <w:qFormat/>
    <w:uiPriority w:val="99"/>
    <w:pPr>
      <w:spacing w:after="120"/>
    </w:pPr>
    <w:rPr>
      <w:rFonts w:eastAsia="宋体"/>
      <w:sz w:val="16"/>
      <w:szCs w:val="16"/>
    </w:rPr>
  </w:style>
  <w:style w:type="paragraph" w:styleId="22">
    <w:name w:val="Body Text"/>
    <w:basedOn w:val="1"/>
    <w:next w:val="1"/>
    <w:link w:val="133"/>
    <w:qFormat/>
    <w:uiPriority w:val="99"/>
    <w:pPr>
      <w:spacing w:line="360" w:lineRule="auto"/>
    </w:pPr>
    <w:rPr>
      <w:rFonts w:ascii="Tahoma" w:hAnsi="Tahoma"/>
    </w:rPr>
  </w:style>
  <w:style w:type="paragraph" w:styleId="23">
    <w:name w:val="Body Text Indent"/>
    <w:basedOn w:val="1"/>
    <w:link w:val="165"/>
    <w:qFormat/>
    <w:uiPriority w:val="99"/>
    <w:pPr>
      <w:widowControl/>
      <w:spacing w:line="360" w:lineRule="auto"/>
      <w:ind w:firstLine="709"/>
      <w:jc w:val="left"/>
    </w:pPr>
    <w:rPr>
      <w:rFonts w:ascii="Tahoma" w:hAnsi="Tahoma"/>
    </w:rPr>
  </w:style>
  <w:style w:type="paragraph" w:styleId="24">
    <w:name w:val="Block Text"/>
    <w:basedOn w:val="1"/>
    <w:qFormat/>
    <w:uiPriority w:val="0"/>
    <w:pPr>
      <w:spacing w:line="360" w:lineRule="auto"/>
      <w:ind w:left="357" w:leftChars="170" w:right="25" w:rightChars="12" w:firstLine="1"/>
    </w:pPr>
    <w:rPr>
      <w:rFonts w:ascii="宋体" w:hAnsi="宋体" w:eastAsia="宋体" w:cs="Arial"/>
      <w:sz w:val="24"/>
      <w:szCs w:val="20"/>
    </w:rPr>
  </w:style>
  <w:style w:type="paragraph" w:styleId="25">
    <w:name w:val="List Bullet 2"/>
    <w:basedOn w:val="1"/>
    <w:qFormat/>
    <w:uiPriority w:val="0"/>
    <w:pPr>
      <w:numPr>
        <w:ilvl w:val="1"/>
        <w:numId w:val="1"/>
      </w:numPr>
      <w:spacing w:line="360" w:lineRule="auto"/>
    </w:pPr>
    <w:rPr>
      <w:sz w:val="24"/>
      <w:szCs w:val="28"/>
    </w:rPr>
  </w:style>
  <w:style w:type="paragraph" w:styleId="26">
    <w:name w:val="toc 5"/>
    <w:basedOn w:val="1"/>
    <w:next w:val="1"/>
    <w:qFormat/>
    <w:uiPriority w:val="39"/>
    <w:pPr>
      <w:spacing w:line="440" w:lineRule="exact"/>
      <w:ind w:left="1120"/>
      <w:jc w:val="left"/>
    </w:pPr>
    <w:rPr>
      <w:rFonts w:ascii="Calibri" w:hAnsi="Calibri"/>
      <w:sz w:val="18"/>
      <w:szCs w:val="18"/>
    </w:rPr>
  </w:style>
  <w:style w:type="paragraph" w:styleId="27">
    <w:name w:val="toc 3"/>
    <w:basedOn w:val="1"/>
    <w:next w:val="1"/>
    <w:qFormat/>
    <w:uiPriority w:val="39"/>
    <w:pPr>
      <w:tabs>
        <w:tab w:val="right" w:leader="dot" w:pos="8302"/>
      </w:tabs>
      <w:ind w:left="561"/>
      <w:jc w:val="left"/>
    </w:pPr>
    <w:rPr>
      <w:rFonts w:ascii="Calibri" w:hAnsi="Calibri"/>
      <w:iCs/>
      <w:sz w:val="20"/>
      <w:szCs w:val="20"/>
    </w:rPr>
  </w:style>
  <w:style w:type="paragraph" w:styleId="28">
    <w:name w:val="Plain Text"/>
    <w:basedOn w:val="1"/>
    <w:link w:val="220"/>
    <w:qFormat/>
    <w:uiPriority w:val="0"/>
    <w:pPr>
      <w:spacing w:line="360" w:lineRule="auto"/>
    </w:pPr>
    <w:rPr>
      <w:rFonts w:ascii="宋体" w:hAnsi="Courier New"/>
      <w:szCs w:val="21"/>
    </w:rPr>
  </w:style>
  <w:style w:type="paragraph" w:styleId="29">
    <w:name w:val="toc 8"/>
    <w:basedOn w:val="1"/>
    <w:next w:val="1"/>
    <w:qFormat/>
    <w:uiPriority w:val="39"/>
    <w:pPr>
      <w:spacing w:line="440" w:lineRule="exact"/>
      <w:ind w:left="1960"/>
      <w:jc w:val="left"/>
    </w:pPr>
    <w:rPr>
      <w:rFonts w:ascii="Calibri" w:hAnsi="Calibri"/>
      <w:sz w:val="18"/>
      <w:szCs w:val="18"/>
    </w:rPr>
  </w:style>
  <w:style w:type="paragraph" w:styleId="30">
    <w:name w:val="Date"/>
    <w:basedOn w:val="1"/>
    <w:next w:val="1"/>
    <w:link w:val="196"/>
    <w:qFormat/>
    <w:uiPriority w:val="99"/>
    <w:pPr>
      <w:spacing w:line="360" w:lineRule="auto"/>
      <w:ind w:left="2500" w:leftChars="2500"/>
    </w:pPr>
    <w:rPr>
      <w:rFonts w:ascii="Tahoma" w:hAnsi="Tahoma"/>
    </w:rPr>
  </w:style>
  <w:style w:type="paragraph" w:styleId="31">
    <w:name w:val="Body Text Indent 2"/>
    <w:basedOn w:val="1"/>
    <w:link w:val="161"/>
    <w:qFormat/>
    <w:uiPriority w:val="99"/>
    <w:pPr>
      <w:adjustRightInd w:val="0"/>
      <w:snapToGrid w:val="0"/>
      <w:spacing w:afterLines="25" w:line="420" w:lineRule="exact"/>
      <w:ind w:left="778" w:leftChars="378"/>
    </w:pPr>
    <w:rPr>
      <w:rFonts w:eastAsia="宋体"/>
      <w:sz w:val="24"/>
      <w:szCs w:val="30"/>
    </w:rPr>
  </w:style>
  <w:style w:type="paragraph" w:styleId="32">
    <w:name w:val="Balloon Text"/>
    <w:basedOn w:val="1"/>
    <w:link w:val="95"/>
    <w:qFormat/>
    <w:uiPriority w:val="0"/>
    <w:rPr>
      <w:sz w:val="18"/>
      <w:szCs w:val="18"/>
    </w:rPr>
  </w:style>
  <w:style w:type="paragraph" w:styleId="33">
    <w:name w:val="footer"/>
    <w:basedOn w:val="1"/>
    <w:link w:val="136"/>
    <w:qFormat/>
    <w:uiPriority w:val="99"/>
    <w:pPr>
      <w:tabs>
        <w:tab w:val="center" w:pos="4153"/>
        <w:tab w:val="right" w:pos="8306"/>
      </w:tabs>
      <w:adjustRightInd w:val="0"/>
      <w:spacing w:line="240" w:lineRule="atLeast"/>
      <w:jc w:val="left"/>
      <w:textAlignment w:val="baseline"/>
    </w:pPr>
    <w:rPr>
      <w:rFonts w:ascii="Tahoma" w:hAnsi="Tahoma"/>
      <w:sz w:val="18"/>
      <w:szCs w:val="18"/>
    </w:rPr>
  </w:style>
  <w:style w:type="paragraph" w:styleId="34">
    <w:name w:val="header"/>
    <w:basedOn w:val="1"/>
    <w:link w:val="121"/>
    <w:qFormat/>
    <w:uiPriority w:val="99"/>
    <w:pPr>
      <w:pBdr>
        <w:bottom w:val="single" w:color="auto" w:sz="6" w:space="1"/>
      </w:pBdr>
      <w:tabs>
        <w:tab w:val="center" w:pos="4153"/>
        <w:tab w:val="right" w:pos="8306"/>
      </w:tabs>
      <w:adjustRightInd w:val="0"/>
      <w:spacing w:line="240" w:lineRule="atLeast"/>
      <w:jc w:val="center"/>
      <w:textAlignment w:val="baseline"/>
    </w:pPr>
    <w:rPr>
      <w:rFonts w:ascii="Tahoma" w:hAnsi="Tahoma"/>
      <w:sz w:val="18"/>
      <w:szCs w:val="18"/>
    </w:rPr>
  </w:style>
  <w:style w:type="paragraph" w:styleId="35">
    <w:name w:val="toc 1"/>
    <w:basedOn w:val="1"/>
    <w:next w:val="1"/>
    <w:qFormat/>
    <w:uiPriority w:val="39"/>
    <w:pPr>
      <w:tabs>
        <w:tab w:val="right" w:leader="dot" w:pos="9344"/>
      </w:tabs>
      <w:spacing w:before="120" w:after="120" w:line="360" w:lineRule="auto"/>
      <w:jc w:val="left"/>
    </w:pPr>
    <w:rPr>
      <w:rFonts w:ascii="宋体"/>
      <w:b/>
      <w:bCs/>
      <w:caps/>
      <w:sz w:val="24"/>
      <w:szCs w:val="20"/>
    </w:rPr>
  </w:style>
  <w:style w:type="paragraph" w:styleId="36">
    <w:name w:val="toc 4"/>
    <w:basedOn w:val="1"/>
    <w:next w:val="1"/>
    <w:qFormat/>
    <w:uiPriority w:val="39"/>
    <w:pPr>
      <w:spacing w:line="440" w:lineRule="exact"/>
      <w:ind w:left="840"/>
      <w:jc w:val="left"/>
    </w:pPr>
    <w:rPr>
      <w:rFonts w:ascii="Calibri" w:hAnsi="Calibri"/>
      <w:sz w:val="18"/>
      <w:szCs w:val="18"/>
    </w:rPr>
  </w:style>
  <w:style w:type="paragraph" w:styleId="37">
    <w:name w:val="List"/>
    <w:basedOn w:val="1"/>
    <w:qFormat/>
    <w:uiPriority w:val="99"/>
    <w:pPr>
      <w:adjustRightInd w:val="0"/>
      <w:spacing w:line="360" w:lineRule="atLeast"/>
      <w:ind w:left="420" w:hanging="420"/>
      <w:jc w:val="left"/>
    </w:pPr>
    <w:rPr>
      <w:rFonts w:hint="eastAsia" w:ascii="宋体" w:eastAsia="宋体"/>
      <w:kern w:val="0"/>
      <w:sz w:val="24"/>
      <w:szCs w:val="20"/>
    </w:rPr>
  </w:style>
  <w:style w:type="paragraph" w:styleId="38">
    <w:name w:val="toc 6"/>
    <w:basedOn w:val="1"/>
    <w:next w:val="1"/>
    <w:qFormat/>
    <w:uiPriority w:val="39"/>
    <w:pPr>
      <w:spacing w:line="440" w:lineRule="exact"/>
      <w:ind w:left="1400"/>
      <w:jc w:val="left"/>
    </w:pPr>
    <w:rPr>
      <w:rFonts w:ascii="Calibri" w:hAnsi="Calibri"/>
      <w:sz w:val="18"/>
      <w:szCs w:val="18"/>
    </w:rPr>
  </w:style>
  <w:style w:type="paragraph" w:styleId="39">
    <w:name w:val="Body Text Indent 3"/>
    <w:basedOn w:val="1"/>
    <w:link w:val="209"/>
    <w:qFormat/>
    <w:uiPriority w:val="99"/>
    <w:pPr>
      <w:spacing w:after="120"/>
      <w:ind w:left="420" w:leftChars="200"/>
    </w:pPr>
    <w:rPr>
      <w:sz w:val="16"/>
      <w:szCs w:val="16"/>
    </w:rPr>
  </w:style>
  <w:style w:type="paragraph" w:styleId="40">
    <w:name w:val="toc 2"/>
    <w:basedOn w:val="1"/>
    <w:next w:val="1"/>
    <w:qFormat/>
    <w:uiPriority w:val="39"/>
    <w:pPr>
      <w:widowControl/>
      <w:adjustRightInd w:val="0"/>
      <w:spacing w:line="300" w:lineRule="auto"/>
      <w:jc w:val="center"/>
    </w:pPr>
    <w:rPr>
      <w:rFonts w:eastAsia="黑体"/>
      <w:smallCaps/>
      <w:kern w:val="0"/>
      <w:sz w:val="24"/>
    </w:rPr>
  </w:style>
  <w:style w:type="paragraph" w:styleId="41">
    <w:name w:val="toc 9"/>
    <w:basedOn w:val="1"/>
    <w:next w:val="1"/>
    <w:qFormat/>
    <w:uiPriority w:val="39"/>
    <w:pPr>
      <w:spacing w:line="440" w:lineRule="exact"/>
      <w:ind w:left="2240"/>
      <w:jc w:val="left"/>
    </w:pPr>
    <w:rPr>
      <w:rFonts w:ascii="Calibri" w:hAnsi="Calibri"/>
      <w:sz w:val="18"/>
      <w:szCs w:val="18"/>
    </w:rPr>
  </w:style>
  <w:style w:type="paragraph" w:styleId="42">
    <w:name w:val="Body Text 2"/>
    <w:basedOn w:val="1"/>
    <w:link w:val="167"/>
    <w:qFormat/>
    <w:uiPriority w:val="99"/>
    <w:pPr>
      <w:spacing w:line="360" w:lineRule="auto"/>
      <w:ind w:right="26"/>
    </w:pPr>
    <w:rPr>
      <w:rFonts w:ascii="宋体" w:eastAsia="宋体"/>
      <w:szCs w:val="20"/>
    </w:rPr>
  </w:style>
  <w:style w:type="paragraph" w:styleId="43">
    <w:name w:val="HTML Preformatted"/>
    <w:basedOn w:val="1"/>
    <w:link w:val="29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4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45">
    <w:name w:val="index 1"/>
    <w:basedOn w:val="1"/>
    <w:next w:val="1"/>
    <w:qFormat/>
    <w:uiPriority w:val="99"/>
    <w:pPr>
      <w:spacing w:line="220" w:lineRule="exact"/>
      <w:jc w:val="center"/>
    </w:pPr>
    <w:rPr>
      <w:rFonts w:ascii="仿宋_GB2312" w:eastAsia="仿宋_GB2312"/>
      <w:szCs w:val="21"/>
    </w:rPr>
  </w:style>
  <w:style w:type="paragraph" w:styleId="46">
    <w:name w:val="Title"/>
    <w:basedOn w:val="1"/>
    <w:next w:val="1"/>
    <w:link w:val="123"/>
    <w:qFormat/>
    <w:uiPriority w:val="0"/>
    <w:pPr>
      <w:spacing w:before="240" w:after="60" w:line="440" w:lineRule="exact"/>
      <w:jc w:val="center"/>
      <w:outlineLvl w:val="0"/>
    </w:pPr>
    <w:rPr>
      <w:rFonts w:ascii="Cambria" w:hAnsi="Cambria"/>
      <w:b/>
      <w:bCs/>
      <w:sz w:val="32"/>
      <w:szCs w:val="32"/>
    </w:rPr>
  </w:style>
  <w:style w:type="paragraph" w:styleId="47">
    <w:name w:val="annotation subject"/>
    <w:basedOn w:val="19"/>
    <w:next w:val="19"/>
    <w:link w:val="127"/>
    <w:unhideWhenUsed/>
    <w:qFormat/>
    <w:uiPriority w:val="99"/>
    <w:pPr>
      <w:spacing w:line="440" w:lineRule="exact"/>
    </w:pPr>
    <w:rPr>
      <w:b/>
      <w:bCs/>
      <w:sz w:val="24"/>
      <w:szCs w:val="28"/>
    </w:rPr>
  </w:style>
  <w:style w:type="paragraph" w:styleId="48">
    <w:name w:val="Body Text First Indent"/>
    <w:basedOn w:val="22"/>
    <w:link w:val="130"/>
    <w:qFormat/>
    <w:uiPriority w:val="0"/>
    <w:pPr>
      <w:spacing w:after="120" w:line="240" w:lineRule="auto"/>
      <w:ind w:firstLine="100" w:firstLineChars="100"/>
    </w:pPr>
  </w:style>
  <w:style w:type="paragraph" w:styleId="49">
    <w:name w:val="Body Text First Indent 2"/>
    <w:basedOn w:val="23"/>
    <w:link w:val="166"/>
    <w:qFormat/>
    <w:uiPriority w:val="0"/>
    <w:pPr>
      <w:widowControl w:val="0"/>
      <w:spacing w:after="120" w:line="240" w:lineRule="auto"/>
      <w:ind w:left="420" w:leftChars="200" w:firstLine="420" w:firstLineChars="200"/>
      <w:jc w:val="both"/>
    </w:pPr>
    <w:rPr>
      <w:rFonts w:ascii="Times New Roman" w:hAnsi="Times New Roman" w:eastAsia="宋体"/>
    </w:rPr>
  </w:style>
  <w:style w:type="table" w:styleId="51">
    <w:name w:val="Table Grid"/>
    <w:basedOn w:val="5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0"/>
  </w:style>
  <w:style w:type="character" w:styleId="54">
    <w:name w:val="page number"/>
    <w:basedOn w:val="52"/>
    <w:qFormat/>
    <w:uiPriority w:val="99"/>
  </w:style>
  <w:style w:type="character" w:styleId="55">
    <w:name w:val="FollowedHyperlink"/>
    <w:unhideWhenUsed/>
    <w:qFormat/>
    <w:uiPriority w:val="99"/>
    <w:rPr>
      <w:color w:val="954F72"/>
      <w:u w:val="single"/>
    </w:rPr>
  </w:style>
  <w:style w:type="character" w:styleId="56">
    <w:name w:val="Emphasis"/>
    <w:qFormat/>
    <w:uiPriority w:val="0"/>
    <w:rPr>
      <w:i/>
      <w:iCs/>
    </w:rPr>
  </w:style>
  <w:style w:type="character" w:styleId="57">
    <w:name w:val="HTML Definition"/>
    <w:unhideWhenUsed/>
    <w:qFormat/>
    <w:uiPriority w:val="0"/>
  </w:style>
  <w:style w:type="character" w:styleId="58">
    <w:name w:val="HTML Variable"/>
    <w:unhideWhenUsed/>
    <w:qFormat/>
    <w:uiPriority w:val="0"/>
  </w:style>
  <w:style w:type="character" w:styleId="59">
    <w:name w:val="Hyperlink"/>
    <w:qFormat/>
    <w:uiPriority w:val="99"/>
    <w:rPr>
      <w:rFonts w:hint="eastAsia" w:ascii="宋体" w:hAnsi="宋体" w:eastAsia="宋体" w:cs="宋体"/>
      <w:color w:val="004A85"/>
      <w:sz w:val="12"/>
      <w:szCs w:val="12"/>
      <w:u w:val="single"/>
    </w:rPr>
  </w:style>
  <w:style w:type="character" w:styleId="60">
    <w:name w:val="HTML Code"/>
    <w:unhideWhenUsed/>
    <w:qFormat/>
    <w:uiPriority w:val="0"/>
    <w:rPr>
      <w:rFonts w:ascii="Courier New" w:hAnsi="Courier New"/>
      <w:sz w:val="20"/>
    </w:rPr>
  </w:style>
  <w:style w:type="character" w:styleId="61">
    <w:name w:val="annotation reference"/>
    <w:qFormat/>
    <w:uiPriority w:val="99"/>
    <w:rPr>
      <w:sz w:val="21"/>
      <w:szCs w:val="21"/>
    </w:rPr>
  </w:style>
  <w:style w:type="character" w:styleId="62">
    <w:name w:val="HTML Cite"/>
    <w:unhideWhenUsed/>
    <w:qFormat/>
    <w:uiPriority w:val="0"/>
  </w:style>
  <w:style w:type="paragraph" w:customStyle="1" w:styleId="63">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64">
    <w:name w:val="列出段落2"/>
    <w:basedOn w:val="1"/>
    <w:unhideWhenUsed/>
    <w:qFormat/>
    <w:uiPriority w:val="0"/>
    <w:pPr>
      <w:ind w:firstLine="420" w:firstLineChars="200"/>
    </w:pPr>
  </w:style>
  <w:style w:type="paragraph" w:customStyle="1" w:styleId="65">
    <w:name w:val="题头内容"/>
    <w:basedOn w:val="1"/>
    <w:qFormat/>
    <w:uiPriority w:val="0"/>
    <w:pPr>
      <w:adjustRightInd w:val="0"/>
      <w:spacing w:before="120" w:after="120" w:line="312" w:lineRule="atLeast"/>
      <w:ind w:right="879" w:firstLine="839" w:firstLineChars="200"/>
      <w:jc w:val="center"/>
      <w:textAlignment w:val="baseline"/>
    </w:pPr>
    <w:rPr>
      <w:rFonts w:hint="eastAsia" w:ascii="黑体" w:eastAsia="黑体"/>
      <w:kern w:val="0"/>
      <w:sz w:val="32"/>
      <w:szCs w:val="32"/>
    </w:rPr>
  </w:style>
  <w:style w:type="paragraph" w:customStyle="1" w:styleId="66">
    <w:name w:val="_Style 67"/>
    <w:basedOn w:val="1"/>
    <w:next w:val="67"/>
    <w:qFormat/>
    <w:uiPriority w:val="99"/>
    <w:pPr>
      <w:ind w:firstLine="420" w:firstLineChars="200"/>
    </w:pPr>
    <w:rPr>
      <w:rFonts w:ascii="Calibri" w:hAnsi="Calibri"/>
      <w:szCs w:val="22"/>
    </w:rPr>
  </w:style>
  <w:style w:type="paragraph" w:styleId="67">
    <w:name w:val="List Paragraph"/>
    <w:basedOn w:val="1"/>
    <w:qFormat/>
    <w:uiPriority w:val="34"/>
    <w:pPr>
      <w:ind w:firstLine="420" w:firstLineChars="200"/>
    </w:pPr>
    <w:rPr>
      <w:rFonts w:ascii="Calibri" w:hAnsi="Calibri" w:eastAsia="宋体"/>
      <w:szCs w:val="22"/>
    </w:rPr>
  </w:style>
  <w:style w:type="paragraph" w:customStyle="1" w:styleId="68">
    <w:name w:val="_Style 2"/>
    <w:basedOn w:val="1"/>
    <w:qFormat/>
    <w:uiPriority w:val="34"/>
    <w:pPr>
      <w:ind w:firstLine="420" w:firstLineChars="200"/>
    </w:pPr>
    <w:rPr>
      <w:rFonts w:ascii="Calibri" w:hAnsi="Calibri"/>
      <w:szCs w:val="22"/>
    </w:rPr>
  </w:style>
  <w:style w:type="paragraph" w:customStyle="1" w:styleId="69">
    <w:name w:val="列出段落1"/>
    <w:basedOn w:val="1"/>
    <w:qFormat/>
    <w:uiPriority w:val="0"/>
    <w:pPr>
      <w:adjustRightInd w:val="0"/>
      <w:spacing w:line="300" w:lineRule="auto"/>
      <w:ind w:firstLine="420" w:firstLineChars="200"/>
      <w:textAlignment w:val="baseline"/>
    </w:pPr>
    <w:rPr>
      <w:kern w:val="0"/>
      <w:sz w:val="24"/>
    </w:rPr>
  </w:style>
  <w:style w:type="paragraph" w:customStyle="1" w:styleId="70">
    <w:name w:val="TOC 标题1"/>
    <w:basedOn w:val="3"/>
    <w:next w:val="1"/>
    <w:qFormat/>
    <w:uiPriority w:val="0"/>
    <w:pPr>
      <w:widowControl/>
      <w:adjustRightInd/>
      <w:spacing w:beforeLines="10" w:afterLines="10" w:line="276" w:lineRule="auto"/>
      <w:jc w:val="left"/>
      <w:textAlignment w:val="auto"/>
      <w:outlineLvl w:val="9"/>
    </w:pPr>
    <w:rPr>
      <w:rFonts w:ascii="Cambria" w:hAnsi="Cambria"/>
      <w:b w:val="0"/>
      <w:color w:val="365F91"/>
      <w:kern w:val="0"/>
      <w:sz w:val="28"/>
      <w:szCs w:val="28"/>
    </w:rPr>
  </w:style>
  <w:style w:type="paragraph" w:customStyle="1" w:styleId="71">
    <w:name w:val="封面落款"/>
    <w:basedOn w:val="1"/>
    <w:qFormat/>
    <w:uiPriority w:val="0"/>
    <w:pPr>
      <w:spacing w:line="360" w:lineRule="auto"/>
      <w:jc w:val="center"/>
    </w:pPr>
    <w:rPr>
      <w:rFonts w:ascii="Arial" w:hAnsi="Arial" w:eastAsia="黑体"/>
      <w:sz w:val="32"/>
      <w:szCs w:val="28"/>
    </w:rPr>
  </w:style>
  <w:style w:type="paragraph" w:customStyle="1" w:styleId="72">
    <w:name w:val="目录"/>
    <w:link w:val="104"/>
    <w:qFormat/>
    <w:uiPriority w:val="0"/>
    <w:pPr>
      <w:spacing w:before="156" w:after="156"/>
    </w:pPr>
    <w:rPr>
      <w:rFonts w:ascii="仿宋_GB2312" w:hAnsi="宋体" w:eastAsia="仿宋_GB2312" w:cs="Times New Roman"/>
      <w:sz w:val="28"/>
      <w:szCs w:val="28"/>
      <w:lang w:val="en-US" w:eastAsia="zh-CN" w:bidi="ar-SA"/>
    </w:rPr>
  </w:style>
  <w:style w:type="paragraph" w:customStyle="1" w:styleId="73">
    <w:name w:val="表格字体小四"/>
    <w:link w:val="103"/>
    <w:qFormat/>
    <w:uiPriority w:val="0"/>
    <w:pPr>
      <w:widowControl w:val="0"/>
      <w:jc w:val="center"/>
    </w:pPr>
    <w:rPr>
      <w:rFonts w:ascii="Times New Roman" w:hAnsi="Times New Roman" w:eastAsia="Arial Unicode MS" w:cs="Times New Roman"/>
      <w:kern w:val="2"/>
      <w:sz w:val="24"/>
      <w:szCs w:val="24"/>
      <w:lang w:val="en-US" w:eastAsia="zh-CN" w:bidi="ar-SA"/>
    </w:rPr>
  </w:style>
  <w:style w:type="paragraph" w:customStyle="1" w:styleId="74">
    <w:name w:val="样式 标题 5 + 小四"/>
    <w:basedOn w:val="7"/>
    <w:qFormat/>
    <w:uiPriority w:val="0"/>
    <w:pPr>
      <w:tabs>
        <w:tab w:val="left" w:pos="567"/>
      </w:tabs>
      <w:wordWrap w:val="0"/>
      <w:spacing w:line="377" w:lineRule="auto"/>
      <w:ind w:left="567" w:hanging="567"/>
      <w:jc w:val="left"/>
    </w:pPr>
  </w:style>
  <w:style w:type="paragraph" w:customStyle="1" w:styleId="75">
    <w:name w:val="表格格式"/>
    <w:basedOn w:val="1"/>
    <w:qFormat/>
    <w:uiPriority w:val="0"/>
    <w:pPr>
      <w:adjustRightInd w:val="0"/>
      <w:snapToGrid w:val="0"/>
      <w:jc w:val="left"/>
      <w:textAlignment w:val="baseline"/>
    </w:pPr>
    <w:rPr>
      <w:rFonts w:ascii="宋体"/>
      <w:kern w:val="0"/>
      <w:szCs w:val="20"/>
    </w:rPr>
  </w:style>
  <w:style w:type="paragraph" w:customStyle="1" w:styleId="76">
    <w:name w:val="样式5"/>
    <w:basedOn w:val="2"/>
    <w:qFormat/>
    <w:uiPriority w:val="0"/>
    <w:pPr>
      <w:ind w:firstLine="420"/>
    </w:pPr>
    <w:rPr>
      <w:sz w:val="21"/>
      <w:szCs w:val="21"/>
    </w:rPr>
  </w:style>
  <w:style w:type="paragraph" w:customStyle="1" w:styleId="77">
    <w:name w:val="标题2"/>
    <w:basedOn w:val="4"/>
    <w:next w:val="1"/>
    <w:link w:val="94"/>
    <w:qFormat/>
    <w:uiPriority w:val="0"/>
    <w:pPr>
      <w:widowControl/>
      <w:spacing w:beforeLines="10" w:afterLines="10" w:line="240" w:lineRule="auto"/>
      <w:jc w:val="left"/>
    </w:pPr>
    <w:rPr>
      <w:rFonts w:ascii="Times New Roman" w:hAnsi="Times New Roman" w:eastAsia="黑体"/>
      <w:b/>
      <w:bCs/>
      <w:szCs w:val="24"/>
    </w:rPr>
  </w:style>
  <w:style w:type="paragraph" w:customStyle="1" w:styleId="78">
    <w:name w:val="三级"/>
    <w:basedOn w:val="4"/>
    <w:link w:val="105"/>
    <w:qFormat/>
    <w:uiPriority w:val="0"/>
    <w:pPr>
      <w:widowControl/>
      <w:spacing w:beforeLines="10" w:afterLines="10" w:line="240" w:lineRule="auto"/>
      <w:ind w:left="720" w:hanging="720"/>
      <w:jc w:val="left"/>
    </w:pPr>
    <w:rPr>
      <w:rFonts w:ascii="Times New Roman" w:hAnsi="Times New Roman" w:eastAsia="黑体"/>
      <w:b/>
      <w:sz w:val="30"/>
      <w:szCs w:val="24"/>
    </w:rPr>
  </w:style>
  <w:style w:type="paragraph" w:customStyle="1" w:styleId="79">
    <w:name w:val="样式2"/>
    <w:basedOn w:val="1"/>
    <w:link w:val="117"/>
    <w:qFormat/>
    <w:uiPriority w:val="0"/>
    <w:pPr>
      <w:spacing w:line="300" w:lineRule="auto"/>
      <w:jc w:val="center"/>
      <w:outlineLvl w:val="0"/>
    </w:pPr>
    <w:rPr>
      <w:b/>
      <w:sz w:val="24"/>
    </w:rPr>
  </w:style>
  <w:style w:type="paragraph" w:customStyle="1" w:styleId="80">
    <w:name w:val="Char1"/>
    <w:basedOn w:val="1"/>
    <w:qFormat/>
    <w:uiPriority w:val="0"/>
    <w:pPr>
      <w:adjustRightInd w:val="0"/>
      <w:spacing w:line="360" w:lineRule="auto"/>
    </w:pPr>
    <w:rPr>
      <w:kern w:val="0"/>
      <w:sz w:val="24"/>
      <w:szCs w:val="20"/>
    </w:rPr>
  </w:style>
  <w:style w:type="paragraph" w:customStyle="1" w:styleId="81">
    <w:name w:val="表格标题(居中)"/>
    <w:basedOn w:val="1"/>
    <w:qFormat/>
    <w:uiPriority w:val="0"/>
    <w:pPr>
      <w:adjustRightInd w:val="0"/>
      <w:snapToGrid w:val="0"/>
      <w:spacing w:line="300" w:lineRule="auto"/>
      <w:ind w:firstLine="480" w:firstLineChars="200"/>
      <w:jc w:val="center"/>
      <w:textAlignment w:val="baseline"/>
    </w:pPr>
    <w:rPr>
      <w:rFonts w:eastAsia="黑体"/>
      <w:kern w:val="0"/>
      <w:sz w:val="24"/>
    </w:rPr>
  </w:style>
  <w:style w:type="paragraph" w:customStyle="1" w:styleId="82">
    <w:name w:val="标题3"/>
    <w:basedOn w:val="5"/>
    <w:next w:val="1"/>
    <w:link w:val="138"/>
    <w:qFormat/>
    <w:uiPriority w:val="0"/>
    <w:pPr>
      <w:tabs>
        <w:tab w:val="clear" w:pos="588"/>
      </w:tabs>
      <w:spacing w:beforeLines="10" w:afterLines="10" w:line="440" w:lineRule="exact"/>
      <w:ind w:left="720" w:hanging="720"/>
      <w:jc w:val="left"/>
    </w:pPr>
    <w:rPr>
      <w:rFonts w:ascii="Times New Roman" w:hAnsi="Times New Roman" w:eastAsia="黑体"/>
      <w:b/>
      <w:bCs/>
      <w:sz w:val="28"/>
    </w:rPr>
  </w:style>
  <w:style w:type="paragraph" w:customStyle="1" w:styleId="83">
    <w:name w:val="图表正文"/>
    <w:basedOn w:val="1"/>
    <w:qFormat/>
    <w:uiPriority w:val="0"/>
    <w:pPr>
      <w:tabs>
        <w:tab w:val="left" w:pos="2117"/>
      </w:tabs>
      <w:spacing w:beforeLines="50" w:afterLines="50" w:line="276" w:lineRule="auto"/>
      <w:jc w:val="center"/>
    </w:pPr>
    <w:rPr>
      <w:rFonts w:ascii="宋体" w:hAnsi="宋体"/>
      <w:color w:val="000000"/>
      <w:szCs w:val="21"/>
    </w:rPr>
  </w:style>
  <w:style w:type="paragraph" w:customStyle="1" w:styleId="84">
    <w:name w:val="表格标题"/>
    <w:basedOn w:val="15"/>
    <w:link w:val="131"/>
    <w:qFormat/>
    <w:uiPriority w:val="0"/>
    <w:pPr>
      <w:spacing w:before="152" w:after="160" w:line="420" w:lineRule="exact"/>
      <w:ind w:firstLine="480" w:firstLineChars="200"/>
      <w:jc w:val="center"/>
    </w:pPr>
    <w:rPr>
      <w:rFonts w:ascii="Arial" w:hAnsi="Arial" w:eastAsia="宋体"/>
      <w:sz w:val="24"/>
      <w:szCs w:val="24"/>
    </w:rPr>
  </w:style>
  <w:style w:type="paragraph" w:customStyle="1" w:styleId="85">
    <w:name w:val="正文小4号字缩进2字符"/>
    <w:qFormat/>
    <w:uiPriority w:val="0"/>
    <w:pPr>
      <w:widowControl w:val="0"/>
      <w:tabs>
        <w:tab w:val="left" w:pos="2205"/>
      </w:tabs>
      <w:spacing w:line="400" w:lineRule="exact"/>
      <w:ind w:right="240" w:rightChars="100" w:firstLine="240" w:firstLineChars="100"/>
      <w:jc w:val="center"/>
    </w:pPr>
    <w:rPr>
      <w:rFonts w:ascii="宋体" w:hAnsi="宋体" w:eastAsia="Arial Unicode MS" w:cs="Times New Roman"/>
      <w:color w:val="000000"/>
      <w:kern w:val="2"/>
      <w:sz w:val="24"/>
      <w:szCs w:val="24"/>
      <w:lang w:val="en-US" w:eastAsia="zh-CN" w:bidi="ar-SA"/>
    </w:rPr>
  </w:style>
  <w:style w:type="paragraph" w:customStyle="1" w:styleId="86">
    <w:name w:val="图片"/>
    <w:basedOn w:val="1"/>
    <w:link w:val="119"/>
    <w:qFormat/>
    <w:uiPriority w:val="0"/>
    <w:pPr>
      <w:jc w:val="center"/>
    </w:pPr>
    <w:rPr>
      <w:sz w:val="28"/>
      <w:szCs w:val="28"/>
    </w:rPr>
  </w:style>
  <w:style w:type="paragraph" w:customStyle="1" w:styleId="87">
    <w:name w:val="正文首行缩进1"/>
    <w:basedOn w:val="22"/>
    <w:qFormat/>
    <w:uiPriority w:val="0"/>
    <w:pPr>
      <w:suppressAutoHyphens/>
      <w:spacing w:line="300" w:lineRule="auto"/>
      <w:ind w:left="426"/>
    </w:pPr>
    <w:rPr>
      <w:rFonts w:ascii="宋体" w:hAnsi="宋体"/>
      <w:szCs w:val="20"/>
    </w:rPr>
  </w:style>
  <w:style w:type="paragraph" w:customStyle="1" w:styleId="88">
    <w:name w:val="纯文本1"/>
    <w:basedOn w:val="1"/>
    <w:qFormat/>
    <w:uiPriority w:val="0"/>
    <w:rPr>
      <w:rFonts w:ascii="宋体" w:hAnsi="Courier New"/>
    </w:rPr>
  </w:style>
  <w:style w:type="paragraph" w:customStyle="1" w:styleId="89">
    <w:name w:val="样式 首行不缩进"/>
    <w:basedOn w:val="1"/>
    <w:qFormat/>
    <w:uiPriority w:val="0"/>
    <w:pPr>
      <w:spacing w:before="120" w:after="120" w:line="360" w:lineRule="auto"/>
      <w:jc w:val="center"/>
    </w:pPr>
    <w:rPr>
      <w:rFonts w:cs="宋体"/>
      <w:sz w:val="24"/>
      <w:szCs w:val="20"/>
    </w:rPr>
  </w:style>
  <w:style w:type="paragraph" w:customStyle="1" w:styleId="90">
    <w:name w:val="图题"/>
    <w:link w:val="113"/>
    <w:qFormat/>
    <w:uiPriority w:val="0"/>
    <w:pPr>
      <w:jc w:val="center"/>
    </w:pPr>
    <w:rPr>
      <w:rFonts w:ascii="Times New Roman" w:hAnsi="Times New Roman" w:eastAsia="Arial Unicode MS" w:cs="Times New Roman"/>
      <w:kern w:val="2"/>
      <w:sz w:val="24"/>
      <w:szCs w:val="24"/>
      <w:lang w:val="en-US" w:eastAsia="zh-CN" w:bidi="ar-SA"/>
    </w:rPr>
  </w:style>
  <w:style w:type="paragraph" w:customStyle="1" w:styleId="91">
    <w:name w:val="小列表"/>
    <w:basedOn w:val="1"/>
    <w:link w:val="97"/>
    <w:qFormat/>
    <w:uiPriority w:val="0"/>
    <w:pPr>
      <w:numPr>
        <w:ilvl w:val="0"/>
        <w:numId w:val="2"/>
      </w:numPr>
      <w:autoSpaceDE w:val="0"/>
      <w:autoSpaceDN w:val="0"/>
      <w:spacing w:line="440" w:lineRule="exact"/>
      <w:ind w:firstLine="0"/>
    </w:pPr>
    <w:rPr>
      <w:sz w:val="24"/>
      <w:szCs w:val="28"/>
    </w:rPr>
  </w:style>
  <w:style w:type="paragraph" w:customStyle="1" w:styleId="92">
    <w:name w:val="表格正文"/>
    <w:basedOn w:val="1"/>
    <w:qFormat/>
    <w:uiPriority w:val="0"/>
    <w:pPr>
      <w:widowControl/>
      <w:snapToGrid w:val="0"/>
      <w:spacing w:before="60" w:after="60"/>
      <w:ind w:left="11"/>
      <w:jc w:val="center"/>
    </w:pPr>
    <w:rPr>
      <w:kern w:val="0"/>
      <w:szCs w:val="21"/>
    </w:rPr>
  </w:style>
  <w:style w:type="character" w:customStyle="1" w:styleId="93">
    <w:name w:val="题注 Char"/>
    <w:link w:val="15"/>
    <w:qFormat/>
    <w:uiPriority w:val="0"/>
    <w:rPr>
      <w:rFonts w:ascii="华文中宋" w:eastAsia="华文中宋"/>
      <w:kern w:val="2"/>
      <w:sz w:val="36"/>
    </w:rPr>
  </w:style>
  <w:style w:type="character" w:customStyle="1" w:styleId="94">
    <w:name w:val="标题2 Char Char"/>
    <w:link w:val="77"/>
    <w:qFormat/>
    <w:uiPriority w:val="0"/>
    <w:rPr>
      <w:rFonts w:eastAsia="黑体"/>
      <w:kern w:val="2"/>
      <w:sz w:val="32"/>
      <w:szCs w:val="24"/>
    </w:rPr>
  </w:style>
  <w:style w:type="character" w:customStyle="1" w:styleId="95">
    <w:name w:val="批注框文本 Char"/>
    <w:link w:val="32"/>
    <w:qFormat/>
    <w:uiPriority w:val="0"/>
    <w:rPr>
      <w:kern w:val="2"/>
      <w:sz w:val="18"/>
      <w:szCs w:val="18"/>
    </w:rPr>
  </w:style>
  <w:style w:type="character" w:customStyle="1" w:styleId="96">
    <w:name w:val="refresh"/>
    <w:basedOn w:val="52"/>
    <w:qFormat/>
    <w:uiPriority w:val="0"/>
  </w:style>
  <w:style w:type="character" w:customStyle="1" w:styleId="97">
    <w:name w:val="小列表 Char Char"/>
    <w:link w:val="91"/>
    <w:qFormat/>
    <w:uiPriority w:val="0"/>
    <w:rPr>
      <w:rFonts w:eastAsia="Arial Unicode MS"/>
      <w:kern w:val="2"/>
      <w:sz w:val="24"/>
      <w:szCs w:val="28"/>
    </w:rPr>
  </w:style>
  <w:style w:type="character" w:customStyle="1" w:styleId="98">
    <w:name w:val="del"/>
    <w:basedOn w:val="52"/>
    <w:qFormat/>
    <w:uiPriority w:val="0"/>
  </w:style>
  <w:style w:type="character" w:customStyle="1" w:styleId="99">
    <w:name w:val="批注文字 Char1"/>
    <w:link w:val="19"/>
    <w:qFormat/>
    <w:uiPriority w:val="0"/>
    <w:rPr>
      <w:rFonts w:ascii="Tahoma" w:hAnsi="Tahoma"/>
      <w:kern w:val="2"/>
      <w:sz w:val="21"/>
      <w:szCs w:val="24"/>
    </w:rPr>
  </w:style>
  <w:style w:type="character" w:customStyle="1" w:styleId="100">
    <w:name w:val="正文缩进 Char1"/>
    <w:qFormat/>
    <w:uiPriority w:val="0"/>
    <w:rPr>
      <w:rFonts w:eastAsia="宋体"/>
      <w:kern w:val="2"/>
      <w:sz w:val="21"/>
      <w:szCs w:val="24"/>
      <w:lang w:val="en-US" w:eastAsia="zh-CN" w:bidi="ar-SA"/>
    </w:rPr>
  </w:style>
  <w:style w:type="character" w:customStyle="1" w:styleId="101">
    <w:name w:val="标题 5 Char"/>
    <w:link w:val="7"/>
    <w:qFormat/>
    <w:uiPriority w:val="99"/>
    <w:rPr>
      <w:b/>
      <w:bCs/>
      <w:kern w:val="2"/>
      <w:sz w:val="24"/>
      <w:szCs w:val="28"/>
    </w:rPr>
  </w:style>
  <w:style w:type="character" w:customStyle="1" w:styleId="102">
    <w:name w:val="标题 2 Char"/>
    <w:link w:val="4"/>
    <w:qFormat/>
    <w:uiPriority w:val="99"/>
    <w:rPr>
      <w:rFonts w:ascii="Cambria" w:hAnsi="Cambria"/>
      <w:b/>
      <w:bCs/>
      <w:kern w:val="2"/>
      <w:sz w:val="32"/>
      <w:szCs w:val="32"/>
    </w:rPr>
  </w:style>
  <w:style w:type="character" w:customStyle="1" w:styleId="103">
    <w:name w:val="表格字体小四 Char Char"/>
    <w:link w:val="73"/>
    <w:qFormat/>
    <w:uiPriority w:val="0"/>
    <w:rPr>
      <w:kern w:val="2"/>
      <w:sz w:val="24"/>
      <w:szCs w:val="24"/>
      <w:lang w:val="en-US" w:eastAsia="zh-CN" w:bidi="ar-SA"/>
    </w:rPr>
  </w:style>
  <w:style w:type="character" w:customStyle="1" w:styleId="104">
    <w:name w:val="目录 Char Char"/>
    <w:link w:val="72"/>
    <w:qFormat/>
    <w:uiPriority w:val="0"/>
    <w:rPr>
      <w:rFonts w:ascii="仿宋_GB2312" w:hAnsi="宋体" w:eastAsia="仿宋_GB2312"/>
      <w:sz w:val="28"/>
      <w:szCs w:val="28"/>
      <w:lang w:val="en-US" w:eastAsia="zh-CN" w:bidi="ar-SA"/>
    </w:rPr>
  </w:style>
  <w:style w:type="character" w:customStyle="1" w:styleId="105">
    <w:name w:val="三级 Char Char"/>
    <w:link w:val="78"/>
    <w:qFormat/>
    <w:uiPriority w:val="0"/>
    <w:rPr>
      <w:rFonts w:eastAsia="黑体"/>
      <w:bCs/>
      <w:kern w:val="2"/>
      <w:sz w:val="30"/>
      <w:szCs w:val="24"/>
    </w:rPr>
  </w:style>
  <w:style w:type="character" w:customStyle="1" w:styleId="106">
    <w:name w:val="label"/>
    <w:basedOn w:val="52"/>
    <w:qFormat/>
    <w:uiPriority w:val="0"/>
  </w:style>
  <w:style w:type="character" w:customStyle="1" w:styleId="107">
    <w:name w:val="标题 8 Char"/>
    <w:link w:val="10"/>
    <w:qFormat/>
    <w:uiPriority w:val="99"/>
    <w:rPr>
      <w:rFonts w:ascii="Arial" w:hAnsi="Arial" w:eastAsia="黑体"/>
      <w:kern w:val="2"/>
      <w:sz w:val="24"/>
      <w:szCs w:val="28"/>
    </w:rPr>
  </w:style>
  <w:style w:type="character" w:customStyle="1" w:styleId="108">
    <w:name w:val="open2"/>
    <w:basedOn w:val="52"/>
    <w:qFormat/>
    <w:uiPriority w:val="0"/>
  </w:style>
  <w:style w:type="character" w:customStyle="1" w:styleId="109">
    <w:name w:val="15"/>
    <w:qFormat/>
    <w:uiPriority w:val="0"/>
    <w:rPr>
      <w:rFonts w:hint="default" w:ascii="Calibri" w:hAnsi="Calibri" w:cs="Calibri"/>
      <w:color w:val="0000FF"/>
      <w:u w:val="single"/>
    </w:rPr>
  </w:style>
  <w:style w:type="character" w:customStyle="1" w:styleId="110">
    <w:name w:val="trans"/>
    <w:basedOn w:val="52"/>
    <w:qFormat/>
    <w:uiPriority w:val="0"/>
  </w:style>
  <w:style w:type="character" w:customStyle="1" w:styleId="111">
    <w:name w:val="del2"/>
    <w:basedOn w:val="52"/>
    <w:qFormat/>
    <w:uiPriority w:val="0"/>
  </w:style>
  <w:style w:type="character" w:customStyle="1" w:styleId="112">
    <w:name w:val="标题 3 Char"/>
    <w:link w:val="5"/>
    <w:qFormat/>
    <w:uiPriority w:val="99"/>
    <w:rPr>
      <w:rFonts w:ascii="Tahoma" w:hAnsi="Tahoma"/>
      <w:b/>
      <w:bCs/>
      <w:kern w:val="2"/>
      <w:sz w:val="32"/>
      <w:szCs w:val="32"/>
    </w:rPr>
  </w:style>
  <w:style w:type="character" w:customStyle="1" w:styleId="113">
    <w:name w:val="图题 Char Char"/>
    <w:link w:val="90"/>
    <w:qFormat/>
    <w:uiPriority w:val="0"/>
    <w:rPr>
      <w:kern w:val="2"/>
      <w:sz w:val="24"/>
      <w:szCs w:val="24"/>
      <w:lang w:val="en-US" w:eastAsia="zh-CN" w:bidi="ar-SA"/>
    </w:rPr>
  </w:style>
  <w:style w:type="character" w:customStyle="1" w:styleId="114">
    <w:name w:val="pagelinks"/>
    <w:basedOn w:val="52"/>
    <w:qFormat/>
    <w:uiPriority w:val="0"/>
  </w:style>
  <w:style w:type="character" w:customStyle="1" w:styleId="115">
    <w:name w:val="morewin"/>
    <w:basedOn w:val="52"/>
    <w:qFormat/>
    <w:uiPriority w:val="0"/>
  </w:style>
  <w:style w:type="character" w:customStyle="1" w:styleId="116">
    <w:name w:val="open"/>
    <w:basedOn w:val="52"/>
    <w:qFormat/>
    <w:uiPriority w:val="0"/>
  </w:style>
  <w:style w:type="character" w:customStyle="1" w:styleId="117">
    <w:name w:val="样式2 Char Char"/>
    <w:link w:val="79"/>
    <w:qFormat/>
    <w:uiPriority w:val="0"/>
    <w:rPr>
      <w:b/>
      <w:kern w:val="2"/>
      <w:sz w:val="24"/>
      <w:szCs w:val="24"/>
    </w:rPr>
  </w:style>
  <w:style w:type="character" w:customStyle="1" w:styleId="118">
    <w:name w:val="批注文字 Char"/>
    <w:qFormat/>
    <w:uiPriority w:val="99"/>
    <w:rPr>
      <w:kern w:val="2"/>
      <w:sz w:val="24"/>
      <w:szCs w:val="28"/>
    </w:rPr>
  </w:style>
  <w:style w:type="character" w:customStyle="1" w:styleId="119">
    <w:name w:val="图片 Char Char"/>
    <w:link w:val="86"/>
    <w:qFormat/>
    <w:uiPriority w:val="0"/>
    <w:rPr>
      <w:kern w:val="2"/>
      <w:sz w:val="28"/>
      <w:szCs w:val="28"/>
    </w:rPr>
  </w:style>
  <w:style w:type="character" w:customStyle="1" w:styleId="120">
    <w:name w:val="标题 1 Char"/>
    <w:link w:val="3"/>
    <w:qFormat/>
    <w:uiPriority w:val="99"/>
    <w:rPr>
      <w:rFonts w:ascii="Tahoma" w:hAnsi="Tahoma"/>
      <w:b/>
      <w:bCs/>
      <w:kern w:val="44"/>
      <w:sz w:val="24"/>
      <w:szCs w:val="44"/>
    </w:rPr>
  </w:style>
  <w:style w:type="character" w:customStyle="1" w:styleId="121">
    <w:name w:val="页眉 Char"/>
    <w:link w:val="34"/>
    <w:qFormat/>
    <w:uiPriority w:val="99"/>
    <w:rPr>
      <w:rFonts w:ascii="Tahoma" w:hAnsi="Tahoma"/>
      <w:kern w:val="2"/>
      <w:sz w:val="18"/>
      <w:szCs w:val="18"/>
    </w:rPr>
  </w:style>
  <w:style w:type="character" w:customStyle="1" w:styleId="122">
    <w:name w:val="标题 7 Char"/>
    <w:link w:val="9"/>
    <w:qFormat/>
    <w:uiPriority w:val="99"/>
    <w:rPr>
      <w:b/>
      <w:bCs/>
      <w:kern w:val="2"/>
      <w:sz w:val="24"/>
      <w:szCs w:val="28"/>
    </w:rPr>
  </w:style>
  <w:style w:type="character" w:customStyle="1" w:styleId="123">
    <w:name w:val="标题 Char"/>
    <w:link w:val="46"/>
    <w:qFormat/>
    <w:uiPriority w:val="0"/>
    <w:rPr>
      <w:rFonts w:ascii="Cambria" w:hAnsi="Cambria"/>
      <w:b/>
      <w:bCs/>
      <w:kern w:val="2"/>
      <w:sz w:val="32"/>
      <w:szCs w:val="32"/>
    </w:rPr>
  </w:style>
  <w:style w:type="character" w:customStyle="1" w:styleId="124">
    <w:name w:val="标题 9 Char"/>
    <w:link w:val="11"/>
    <w:qFormat/>
    <w:uiPriority w:val="99"/>
    <w:rPr>
      <w:rFonts w:ascii="Arial" w:hAnsi="Arial" w:eastAsia="黑体"/>
      <w:kern w:val="2"/>
      <w:sz w:val="24"/>
      <w:szCs w:val="21"/>
    </w:rPr>
  </w:style>
  <w:style w:type="character" w:customStyle="1" w:styleId="125">
    <w:name w:val="error"/>
    <w:qFormat/>
    <w:uiPriority w:val="0"/>
    <w:rPr>
      <w:color w:val="CC0000"/>
    </w:rPr>
  </w:style>
  <w:style w:type="character" w:customStyle="1" w:styleId="126">
    <w:name w:val="add"/>
    <w:basedOn w:val="52"/>
    <w:qFormat/>
    <w:uiPriority w:val="0"/>
  </w:style>
  <w:style w:type="character" w:customStyle="1" w:styleId="127">
    <w:name w:val="批注主题 Char"/>
    <w:link w:val="47"/>
    <w:qFormat/>
    <w:uiPriority w:val="99"/>
    <w:rPr>
      <w:rFonts w:ascii="Tahoma" w:hAnsi="Tahoma"/>
      <w:b/>
      <w:bCs/>
      <w:kern w:val="2"/>
      <w:sz w:val="24"/>
      <w:szCs w:val="28"/>
    </w:rPr>
  </w:style>
  <w:style w:type="character" w:customStyle="1" w:styleId="128">
    <w:name w:val="pagebanner"/>
    <w:basedOn w:val="52"/>
    <w:qFormat/>
    <w:uiPriority w:val="0"/>
  </w:style>
  <w:style w:type="character" w:customStyle="1" w:styleId="129">
    <w:name w:val="文档结构图 Char"/>
    <w:link w:val="17"/>
    <w:qFormat/>
    <w:uiPriority w:val="99"/>
    <w:rPr>
      <w:rFonts w:ascii="宋体"/>
      <w:kern w:val="2"/>
      <w:sz w:val="18"/>
      <w:szCs w:val="18"/>
    </w:rPr>
  </w:style>
  <w:style w:type="character" w:customStyle="1" w:styleId="130">
    <w:name w:val="正文首行缩进 Char"/>
    <w:link w:val="48"/>
    <w:qFormat/>
    <w:uiPriority w:val="0"/>
    <w:rPr>
      <w:rFonts w:ascii="Tahoma" w:hAnsi="Tahoma"/>
      <w:kern w:val="2"/>
      <w:sz w:val="21"/>
      <w:szCs w:val="24"/>
    </w:rPr>
  </w:style>
  <w:style w:type="character" w:customStyle="1" w:styleId="131">
    <w:name w:val="表格标题 Char Char"/>
    <w:link w:val="84"/>
    <w:qFormat/>
    <w:uiPriority w:val="0"/>
    <w:rPr>
      <w:rFonts w:ascii="Arial" w:hAnsi="Arial" w:cs="Arial"/>
      <w:kern w:val="2"/>
      <w:sz w:val="24"/>
      <w:szCs w:val="24"/>
    </w:rPr>
  </w:style>
  <w:style w:type="character" w:customStyle="1" w:styleId="132">
    <w:name w:val="标题 6 Char"/>
    <w:link w:val="8"/>
    <w:qFormat/>
    <w:uiPriority w:val="99"/>
    <w:rPr>
      <w:rFonts w:ascii="Arial" w:hAnsi="Arial" w:eastAsia="黑体"/>
      <w:b/>
      <w:bCs/>
      <w:kern w:val="2"/>
      <w:sz w:val="24"/>
      <w:szCs w:val="28"/>
    </w:rPr>
  </w:style>
  <w:style w:type="character" w:customStyle="1" w:styleId="133">
    <w:name w:val="正文文本 Char"/>
    <w:link w:val="22"/>
    <w:qFormat/>
    <w:uiPriority w:val="99"/>
    <w:rPr>
      <w:rFonts w:ascii="Tahoma" w:hAnsi="Tahoma"/>
      <w:kern w:val="2"/>
      <w:sz w:val="21"/>
      <w:szCs w:val="24"/>
    </w:rPr>
  </w:style>
  <w:style w:type="character" w:customStyle="1" w:styleId="134">
    <w:name w:val="10"/>
    <w:qFormat/>
    <w:uiPriority w:val="0"/>
    <w:rPr>
      <w:rFonts w:hint="default" w:ascii="Calibri" w:hAnsi="Calibri" w:cs="Calibri"/>
    </w:rPr>
  </w:style>
  <w:style w:type="character" w:customStyle="1" w:styleId="135">
    <w:name w:val="正文缩进 Char"/>
    <w:link w:val="2"/>
    <w:qFormat/>
    <w:uiPriority w:val="0"/>
    <w:rPr>
      <w:kern w:val="2"/>
      <w:sz w:val="24"/>
    </w:rPr>
  </w:style>
  <w:style w:type="character" w:customStyle="1" w:styleId="136">
    <w:name w:val="页脚 Char"/>
    <w:link w:val="33"/>
    <w:qFormat/>
    <w:uiPriority w:val="99"/>
    <w:rPr>
      <w:rFonts w:ascii="Tahoma" w:hAnsi="Tahoma"/>
      <w:kern w:val="2"/>
      <w:sz w:val="18"/>
      <w:szCs w:val="18"/>
    </w:rPr>
  </w:style>
  <w:style w:type="character" w:customStyle="1" w:styleId="137">
    <w:name w:val="mod"/>
    <w:basedOn w:val="52"/>
    <w:qFormat/>
    <w:uiPriority w:val="0"/>
  </w:style>
  <w:style w:type="character" w:customStyle="1" w:styleId="138">
    <w:name w:val="标题3 Char Char"/>
    <w:link w:val="82"/>
    <w:qFormat/>
    <w:uiPriority w:val="0"/>
    <w:rPr>
      <w:rFonts w:eastAsia="黑体"/>
      <w:kern w:val="2"/>
      <w:sz w:val="28"/>
      <w:szCs w:val="32"/>
    </w:rPr>
  </w:style>
  <w:style w:type="character" w:customStyle="1" w:styleId="139">
    <w:name w:val="标题 4 Char"/>
    <w:link w:val="6"/>
    <w:qFormat/>
    <w:uiPriority w:val="99"/>
    <w:rPr>
      <w:b/>
      <w:sz w:val="24"/>
      <w:szCs w:val="24"/>
    </w:rPr>
  </w:style>
  <w:style w:type="paragraph" w:customStyle="1" w:styleId="140">
    <w:name w:val="默认"/>
    <w:qFormat/>
    <w:uiPriority w:val="0"/>
    <w:pPr>
      <w:framePr w:wrap="around" w:vAnchor="margin" w:hAnchor="text" w:y="1"/>
      <w:spacing w:before="160"/>
    </w:pPr>
    <w:rPr>
      <w:rFonts w:ascii="Helvetica Neue" w:hAnsi="Helvetica Neue" w:eastAsia="Helvetica Neue" w:cs="Helvetica Neue"/>
      <w:color w:val="000000"/>
      <w:sz w:val="24"/>
      <w:szCs w:val="24"/>
      <w:lang w:val="en-US" w:eastAsia="zh-CN" w:bidi="ar-SA"/>
    </w:rPr>
  </w:style>
  <w:style w:type="character" w:customStyle="1" w:styleId="141">
    <w:name w:val="redfilefwwh"/>
    <w:basedOn w:val="52"/>
    <w:qFormat/>
    <w:uiPriority w:val="0"/>
    <w:rPr>
      <w:color w:val="BA2636"/>
      <w:sz w:val="12"/>
      <w:szCs w:val="12"/>
    </w:rPr>
  </w:style>
  <w:style w:type="character" w:customStyle="1" w:styleId="142">
    <w:name w:val="gjfg"/>
    <w:basedOn w:val="52"/>
    <w:qFormat/>
    <w:uiPriority w:val="0"/>
  </w:style>
  <w:style w:type="character" w:customStyle="1" w:styleId="143">
    <w:name w:val="redfilenumber"/>
    <w:basedOn w:val="52"/>
    <w:qFormat/>
    <w:uiPriority w:val="0"/>
    <w:rPr>
      <w:color w:val="BA2636"/>
      <w:sz w:val="12"/>
      <w:szCs w:val="12"/>
    </w:rPr>
  </w:style>
  <w:style w:type="character" w:customStyle="1" w:styleId="144">
    <w:name w:val="qxdate"/>
    <w:basedOn w:val="52"/>
    <w:qFormat/>
    <w:uiPriority w:val="0"/>
    <w:rPr>
      <w:color w:val="333333"/>
      <w:sz w:val="12"/>
      <w:szCs w:val="12"/>
    </w:rPr>
  </w:style>
  <w:style w:type="character" w:customStyle="1" w:styleId="145">
    <w:name w:val="prev"/>
    <w:basedOn w:val="52"/>
    <w:qFormat/>
    <w:uiPriority w:val="0"/>
    <w:rPr>
      <w:rFonts w:ascii="微软雅黑" w:hAnsi="微软雅黑" w:eastAsia="微软雅黑" w:cs="微软雅黑"/>
      <w:sz w:val="14"/>
      <w:szCs w:val="14"/>
    </w:rPr>
  </w:style>
  <w:style w:type="character" w:customStyle="1" w:styleId="146">
    <w:name w:val="cfdate"/>
    <w:basedOn w:val="52"/>
    <w:qFormat/>
    <w:uiPriority w:val="0"/>
    <w:rPr>
      <w:color w:val="333333"/>
      <w:sz w:val="12"/>
      <w:szCs w:val="12"/>
    </w:rPr>
  </w:style>
  <w:style w:type="character" w:customStyle="1" w:styleId="147">
    <w:name w:val="displayarti"/>
    <w:basedOn w:val="52"/>
    <w:qFormat/>
    <w:uiPriority w:val="0"/>
    <w:rPr>
      <w:color w:val="FFFFFF"/>
      <w:shd w:val="clear" w:color="auto" w:fill="A00000"/>
    </w:rPr>
  </w:style>
  <w:style w:type="character" w:customStyle="1" w:styleId="148">
    <w:name w:val="next2"/>
    <w:basedOn w:val="52"/>
    <w:qFormat/>
    <w:uiPriority w:val="0"/>
    <w:rPr>
      <w:rFonts w:hint="eastAsia" w:ascii="微软雅黑" w:hAnsi="微软雅黑" w:eastAsia="微软雅黑" w:cs="微软雅黑"/>
      <w:sz w:val="14"/>
      <w:szCs w:val="14"/>
    </w:rPr>
  </w:style>
  <w:style w:type="character" w:customStyle="1" w:styleId="149">
    <w:name w:val="next3"/>
    <w:basedOn w:val="52"/>
    <w:qFormat/>
    <w:uiPriority w:val="0"/>
    <w:rPr>
      <w:color w:val="888888"/>
    </w:rPr>
  </w:style>
  <w:style w:type="character" w:customStyle="1" w:styleId="150">
    <w:name w:val="next"/>
    <w:basedOn w:val="52"/>
    <w:qFormat/>
    <w:uiPriority w:val="0"/>
    <w:rPr>
      <w:rFonts w:ascii="微软雅黑" w:hAnsi="微软雅黑" w:eastAsia="微软雅黑" w:cs="微软雅黑"/>
      <w:sz w:val="14"/>
      <w:szCs w:val="14"/>
    </w:rPr>
  </w:style>
  <w:style w:type="character" w:customStyle="1" w:styleId="151">
    <w:name w:val="prev1"/>
    <w:basedOn w:val="52"/>
    <w:qFormat/>
    <w:uiPriority w:val="0"/>
    <w:rPr>
      <w:color w:val="888888"/>
    </w:rPr>
  </w:style>
  <w:style w:type="paragraph" w:customStyle="1" w:styleId="152">
    <w:name w:val="Body text|21"/>
    <w:basedOn w:val="1"/>
    <w:link w:val="154"/>
    <w:qFormat/>
    <w:uiPriority w:val="0"/>
    <w:pPr>
      <w:shd w:val="clear" w:color="auto" w:fill="FFFFFF"/>
      <w:spacing w:before="4340" w:after="840" w:line="240" w:lineRule="exact"/>
      <w:jc w:val="center"/>
    </w:pPr>
    <w:rPr>
      <w:rFonts w:ascii="PMingLiU" w:hAnsi="PMingLiU" w:eastAsia="PMingLiU" w:cs="PMingLiU"/>
      <w:spacing w:val="30"/>
    </w:rPr>
  </w:style>
  <w:style w:type="character" w:customStyle="1" w:styleId="153">
    <w:name w:val="Body text|2 + Spacing 0 pt"/>
    <w:basedOn w:val="154"/>
    <w:qFormat/>
    <w:uiPriority w:val="0"/>
    <w:rPr>
      <w:rFonts w:ascii="PMingLiU" w:hAnsi="PMingLiU" w:eastAsia="PMingLiU" w:cs="PMingLiU"/>
      <w:color w:val="000000"/>
      <w:spacing w:val="0"/>
      <w:w w:val="100"/>
      <w:position w:val="0"/>
      <w:sz w:val="24"/>
      <w:szCs w:val="24"/>
      <w:u w:val="none"/>
      <w:lang w:val="zh-CN" w:eastAsia="zh-CN" w:bidi="zh-CN"/>
    </w:rPr>
  </w:style>
  <w:style w:type="character" w:customStyle="1" w:styleId="154">
    <w:name w:val="Body text|2_"/>
    <w:basedOn w:val="52"/>
    <w:link w:val="152"/>
    <w:qFormat/>
    <w:uiPriority w:val="0"/>
    <w:rPr>
      <w:rFonts w:ascii="PMingLiU" w:hAnsi="PMingLiU" w:eastAsia="PMingLiU" w:cs="PMingLiU"/>
      <w:spacing w:val="30"/>
    </w:rPr>
  </w:style>
  <w:style w:type="character" w:customStyle="1" w:styleId="155">
    <w:name w:val="Body text|2 + Spacing 3 pt"/>
    <w:basedOn w:val="154"/>
    <w:qFormat/>
    <w:uiPriority w:val="0"/>
    <w:rPr>
      <w:rFonts w:ascii="PMingLiU" w:hAnsi="PMingLiU" w:eastAsia="PMingLiU" w:cs="PMingLiU"/>
      <w:color w:val="000000"/>
      <w:spacing w:val="60"/>
      <w:w w:val="100"/>
      <w:position w:val="0"/>
      <w:sz w:val="24"/>
      <w:szCs w:val="24"/>
      <w:u w:val="none"/>
      <w:lang w:val="zh-CN" w:eastAsia="zh-CN" w:bidi="zh-CN"/>
    </w:rPr>
  </w:style>
  <w:style w:type="paragraph" w:customStyle="1" w:styleId="156">
    <w:name w:val="图文"/>
    <w:basedOn w:val="1"/>
    <w:qFormat/>
    <w:uiPriority w:val="0"/>
    <w:pPr>
      <w:adjustRightInd w:val="0"/>
      <w:snapToGrid w:val="0"/>
      <w:spacing w:after="50" w:line="360" w:lineRule="auto"/>
    </w:pPr>
    <w:rPr>
      <w:sz w:val="24"/>
    </w:rPr>
  </w:style>
  <w:style w:type="paragraph" w:customStyle="1" w:styleId="157">
    <w:name w:val="页眉与页脚"/>
    <w:qFormat/>
    <w:uiPriority w:val="0"/>
    <w:pPr>
      <w:framePr w:wrap="around" w:vAnchor="margin" w:hAnchor="text" w:y="1"/>
      <w:tabs>
        <w:tab w:val="right" w:pos="9020"/>
      </w:tabs>
    </w:pPr>
    <w:rPr>
      <w:rFonts w:ascii="Helvetica Neue" w:hAnsi="Helvetica Neue" w:eastAsia="Helvetica Neue" w:cs="Helvetica Neue"/>
      <w:color w:val="000000"/>
      <w:sz w:val="24"/>
      <w:szCs w:val="24"/>
      <w:lang w:val="en-US" w:eastAsia="zh-CN" w:bidi="ar-SA"/>
    </w:rPr>
  </w:style>
  <w:style w:type="paragraph" w:customStyle="1" w:styleId="158">
    <w:name w:val="Char"/>
    <w:basedOn w:val="1"/>
    <w:qFormat/>
    <w:uiPriority w:val="0"/>
    <w:rPr>
      <w:rFonts w:ascii="仿宋_GB2312" w:eastAsia="仿宋_GB2312"/>
      <w:b/>
      <w:sz w:val="32"/>
      <w:szCs w:val="32"/>
    </w:rPr>
  </w:style>
  <w:style w:type="paragraph" w:customStyle="1" w:styleId="159">
    <w:name w:val="目录文字"/>
    <w:basedOn w:val="1"/>
    <w:qFormat/>
    <w:uiPriority w:val="0"/>
    <w:pPr>
      <w:widowControl/>
      <w:spacing w:line="480" w:lineRule="auto"/>
      <w:jc w:val="left"/>
    </w:pPr>
    <w:rPr>
      <w:rFonts w:ascii="宋体" w:hAnsi="宋体" w:eastAsia="宋体"/>
      <w:kern w:val="0"/>
      <w:sz w:val="24"/>
      <w:szCs w:val="20"/>
    </w:rPr>
  </w:style>
  <w:style w:type="paragraph" w:customStyle="1" w:styleId="160">
    <w:name w:val="1"/>
    <w:basedOn w:val="1"/>
    <w:next w:val="23"/>
    <w:qFormat/>
    <w:uiPriority w:val="99"/>
    <w:pPr>
      <w:widowControl/>
      <w:overflowPunct w:val="0"/>
      <w:autoSpaceDE w:val="0"/>
      <w:autoSpaceDN w:val="0"/>
      <w:adjustRightInd w:val="0"/>
      <w:spacing w:line="360" w:lineRule="auto"/>
      <w:ind w:firstLine="540"/>
      <w:textAlignment w:val="baseline"/>
    </w:pPr>
    <w:rPr>
      <w:rFonts w:ascii="宋体" w:hAnsi="MS Sans Serif" w:eastAsia="宋体"/>
      <w:spacing w:val="12"/>
      <w:kern w:val="0"/>
      <w:sz w:val="24"/>
      <w:szCs w:val="20"/>
    </w:rPr>
  </w:style>
  <w:style w:type="character" w:customStyle="1" w:styleId="161">
    <w:name w:val="正文文本缩进 2 Char"/>
    <w:basedOn w:val="52"/>
    <w:link w:val="31"/>
    <w:qFormat/>
    <w:uiPriority w:val="99"/>
    <w:rPr>
      <w:rFonts w:ascii="Times New Roman" w:hAnsi="Times New Roman" w:eastAsia="宋体" w:cs="Times New Roman"/>
      <w:kern w:val="2"/>
      <w:sz w:val="24"/>
      <w:szCs w:val="30"/>
    </w:rPr>
  </w:style>
  <w:style w:type="paragraph" w:customStyle="1" w:styleId="16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宋体"/>
      <w:kern w:val="0"/>
      <w:sz w:val="20"/>
      <w:szCs w:val="20"/>
    </w:rPr>
  </w:style>
  <w:style w:type="paragraph" w:customStyle="1" w:styleId="163">
    <w:name w:val="xl24"/>
    <w:basedOn w:val="1"/>
    <w:qFormat/>
    <w:uiPriority w:val="99"/>
    <w:pPr>
      <w:widowControl/>
      <w:spacing w:before="100" w:after="100"/>
      <w:jc w:val="center"/>
      <w:textAlignment w:val="center"/>
    </w:pPr>
    <w:rPr>
      <w:rFonts w:ascii="宋体" w:hAnsi="宋体" w:eastAsia="宋体"/>
      <w:kern w:val="0"/>
      <w:sz w:val="24"/>
      <w:szCs w:val="20"/>
    </w:rPr>
  </w:style>
  <w:style w:type="paragraph" w:customStyle="1" w:styleId="164">
    <w:name w:val="倪芳"/>
    <w:basedOn w:val="1"/>
    <w:qFormat/>
    <w:uiPriority w:val="0"/>
    <w:pPr>
      <w:spacing w:beforeLines="25" w:afterLines="15" w:line="400" w:lineRule="exact"/>
    </w:pPr>
    <w:rPr>
      <w:rFonts w:ascii="宋体" w:hAnsi="Courier New" w:eastAsia="宋体" w:cs="Courier New"/>
      <w:sz w:val="24"/>
      <w:szCs w:val="21"/>
    </w:rPr>
  </w:style>
  <w:style w:type="character" w:customStyle="1" w:styleId="165">
    <w:name w:val="正文文本缩进 Char"/>
    <w:basedOn w:val="52"/>
    <w:link w:val="23"/>
    <w:qFormat/>
    <w:uiPriority w:val="99"/>
    <w:rPr>
      <w:rFonts w:ascii="Tahoma" w:hAnsi="Tahoma" w:eastAsia="Arial Unicode MS" w:cs="Times New Roman"/>
      <w:kern w:val="2"/>
      <w:sz w:val="21"/>
      <w:szCs w:val="24"/>
    </w:rPr>
  </w:style>
  <w:style w:type="character" w:customStyle="1" w:styleId="166">
    <w:name w:val="正文首行缩进 2 Char"/>
    <w:basedOn w:val="165"/>
    <w:link w:val="49"/>
    <w:qFormat/>
    <w:uiPriority w:val="0"/>
    <w:rPr>
      <w:rFonts w:ascii="Times New Roman" w:hAnsi="Times New Roman" w:eastAsia="宋体" w:cs="Times New Roman"/>
      <w:kern w:val="2"/>
      <w:sz w:val="21"/>
      <w:szCs w:val="24"/>
    </w:rPr>
  </w:style>
  <w:style w:type="character" w:customStyle="1" w:styleId="167">
    <w:name w:val="正文文本 2 Char"/>
    <w:basedOn w:val="52"/>
    <w:link w:val="42"/>
    <w:qFormat/>
    <w:uiPriority w:val="99"/>
    <w:rPr>
      <w:rFonts w:ascii="宋体" w:hAnsi="Times New Roman" w:eastAsia="宋体" w:cs="Times New Roman"/>
      <w:kern w:val="2"/>
      <w:sz w:val="21"/>
    </w:rPr>
  </w:style>
  <w:style w:type="paragraph" w:customStyle="1" w:styleId="168">
    <w:name w:val="普通 (Web)"/>
    <w:basedOn w:val="1"/>
    <w:qFormat/>
    <w:uiPriority w:val="0"/>
    <w:pPr>
      <w:widowControl/>
      <w:spacing w:before="100" w:beforeAutospacing="1" w:after="100" w:afterAutospacing="1"/>
      <w:jc w:val="left"/>
    </w:pPr>
    <w:rPr>
      <w:rFonts w:ascii="宋体" w:hAnsi="宋体" w:eastAsia="宋体"/>
      <w:kern w:val="0"/>
      <w:sz w:val="24"/>
    </w:rPr>
  </w:style>
  <w:style w:type="paragraph" w:customStyle="1" w:styleId="169">
    <w:name w:val="样式 标题 2 + (符号) 宋体 小四"/>
    <w:basedOn w:val="4"/>
    <w:qFormat/>
    <w:uiPriority w:val="0"/>
    <w:pPr>
      <w:keepNext/>
      <w:keepLines/>
      <w:spacing w:line="416" w:lineRule="auto"/>
    </w:pPr>
    <w:rPr>
      <w:rFonts w:ascii="Arial" w:hAnsi="Arial" w:eastAsia="宋体"/>
      <w:bCs/>
      <w:sz w:val="24"/>
    </w:rPr>
  </w:style>
  <w:style w:type="character" w:customStyle="1" w:styleId="170">
    <w:name w:val="Char2"/>
    <w:qFormat/>
    <w:uiPriority w:val="0"/>
    <w:rPr>
      <w:rFonts w:ascii="Arial" w:hAnsi="Arial" w:eastAsia="黑体"/>
      <w:b/>
      <w:bCs/>
      <w:kern w:val="2"/>
      <w:sz w:val="32"/>
      <w:szCs w:val="32"/>
      <w:lang w:val="en-US" w:eastAsia="zh-CN" w:bidi="ar-SA"/>
    </w:rPr>
  </w:style>
  <w:style w:type="character" w:customStyle="1" w:styleId="171">
    <w:name w:val="样式 标题 2 + (符号) 宋体 小四 Char"/>
    <w:qFormat/>
    <w:uiPriority w:val="0"/>
    <w:rPr>
      <w:rFonts w:ascii="Arial" w:hAnsi="Arial" w:eastAsia="宋体"/>
      <w:b/>
      <w:bCs/>
      <w:kern w:val="2"/>
      <w:sz w:val="24"/>
      <w:szCs w:val="32"/>
      <w:lang w:val="en-US" w:eastAsia="zh-CN" w:bidi="ar-SA"/>
    </w:rPr>
  </w:style>
  <w:style w:type="paragraph" w:customStyle="1" w:styleId="172">
    <w:name w:val="样式1"/>
    <w:basedOn w:val="1"/>
    <w:next w:val="5"/>
    <w:qFormat/>
    <w:uiPriority w:val="99"/>
    <w:rPr>
      <w:rFonts w:eastAsia="宋体"/>
      <w:sz w:val="24"/>
      <w:szCs w:val="20"/>
    </w:rPr>
  </w:style>
  <w:style w:type="paragraph" w:customStyle="1" w:styleId="173">
    <w:name w:val="默认段落字体 Para Char Char Char Char Char Char Char Char Char Char"/>
    <w:basedOn w:val="17"/>
    <w:qFormat/>
    <w:uiPriority w:val="0"/>
    <w:pPr>
      <w:shd w:val="clear" w:color="auto" w:fill="000080"/>
      <w:spacing w:line="240" w:lineRule="auto"/>
    </w:pPr>
    <w:rPr>
      <w:rFonts w:ascii="Tahoma" w:hAnsi="Tahoma" w:eastAsia="宋体"/>
      <w:sz w:val="24"/>
      <w:szCs w:val="24"/>
    </w:rPr>
  </w:style>
  <w:style w:type="paragraph" w:customStyle="1" w:styleId="174">
    <w:name w:val="font5"/>
    <w:basedOn w:val="1"/>
    <w:qFormat/>
    <w:uiPriority w:val="0"/>
    <w:pPr>
      <w:widowControl/>
      <w:spacing w:before="100" w:beforeAutospacing="1" w:after="100" w:afterAutospacing="1"/>
      <w:jc w:val="left"/>
    </w:pPr>
    <w:rPr>
      <w:rFonts w:hint="eastAsia" w:ascii="宋体" w:hAnsi="宋体" w:eastAsia="宋体" w:cs="Arial Unicode MS"/>
      <w:kern w:val="0"/>
      <w:sz w:val="18"/>
      <w:szCs w:val="18"/>
    </w:rPr>
  </w:style>
  <w:style w:type="paragraph" w:customStyle="1" w:styleId="175">
    <w:name w:val="xl25"/>
    <w:basedOn w:val="1"/>
    <w:qFormat/>
    <w:uiPriority w:val="0"/>
    <w:pPr>
      <w:widowControl/>
      <w:pBdr>
        <w:right w:val="single" w:color="969696" w:sz="8" w:space="0"/>
      </w:pBdr>
      <w:spacing w:before="100" w:beforeAutospacing="1" w:after="100" w:afterAutospacing="1"/>
      <w:jc w:val="left"/>
    </w:pPr>
    <w:rPr>
      <w:rFonts w:ascii="Arial Unicode MS" w:hAnsi="Arial Unicode MS" w:cs="Arial Unicode MS"/>
      <w:kern w:val="0"/>
      <w:sz w:val="18"/>
      <w:szCs w:val="18"/>
    </w:rPr>
  </w:style>
  <w:style w:type="paragraph" w:customStyle="1" w:styleId="176">
    <w:name w:val="xl2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7">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8">
    <w:name w:val="xl28"/>
    <w:basedOn w:val="1"/>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9">
    <w:name w:val="xl2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0">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1">
    <w:name w:val="xl31"/>
    <w:basedOn w:val="1"/>
    <w:qFormat/>
    <w:uiPriority w:val="0"/>
    <w:pPr>
      <w:widowControl/>
      <w:pBdr>
        <w:top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2">
    <w:name w:val="xl32"/>
    <w:basedOn w:val="1"/>
    <w:qFormat/>
    <w:uiPriority w:val="0"/>
    <w:pPr>
      <w:widowControl/>
      <w:pBdr>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3">
    <w:name w:val="xl33"/>
    <w:basedOn w:val="1"/>
    <w:qFormat/>
    <w:uiPriority w:val="0"/>
    <w:pPr>
      <w:widowControl/>
      <w:pBdr>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85">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6">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b/>
      <w:bCs/>
      <w:kern w:val="0"/>
      <w:sz w:val="18"/>
      <w:szCs w:val="18"/>
    </w:rPr>
  </w:style>
  <w:style w:type="paragraph" w:customStyle="1" w:styleId="187">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8">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9">
    <w:name w:val="xl39"/>
    <w:basedOn w:val="1"/>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9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1">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2">
    <w:name w:val="xl42"/>
    <w:basedOn w:val="1"/>
    <w:qFormat/>
    <w:uiPriority w:val="0"/>
    <w:pPr>
      <w:widowControl/>
      <w:pBdr>
        <w:left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3">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4">
    <w:name w:val="_Style 186"/>
    <w:qFormat/>
    <w:uiPriority w:val="99"/>
    <w:pPr>
      <w:widowControl w:val="0"/>
      <w:jc w:val="both"/>
    </w:pPr>
    <w:rPr>
      <w:rFonts w:ascii="Times New Roman" w:hAnsi="Times New Roman" w:eastAsia="Arial Unicode MS" w:cs="Times New Roman"/>
      <w:kern w:val="2"/>
      <w:sz w:val="21"/>
      <w:szCs w:val="24"/>
      <w:lang w:val="en-US" w:eastAsia="zh-CN" w:bidi="ar-SA"/>
    </w:rPr>
  </w:style>
  <w:style w:type="paragraph" w:customStyle="1" w:styleId="195">
    <w:name w:val="文档正文"/>
    <w:basedOn w:val="1"/>
    <w:qFormat/>
    <w:uiPriority w:val="0"/>
    <w:pPr>
      <w:adjustRightInd w:val="0"/>
      <w:spacing w:line="480" w:lineRule="atLeast"/>
      <w:ind w:firstLine="567"/>
      <w:textAlignment w:val="baseline"/>
    </w:pPr>
    <w:rPr>
      <w:rFonts w:ascii="长城仿宋" w:eastAsia="宋体"/>
      <w:kern w:val="0"/>
      <w:sz w:val="24"/>
    </w:rPr>
  </w:style>
  <w:style w:type="character" w:customStyle="1" w:styleId="196">
    <w:name w:val="日期 Char"/>
    <w:link w:val="30"/>
    <w:qFormat/>
    <w:uiPriority w:val="99"/>
    <w:rPr>
      <w:rFonts w:ascii="Tahoma" w:hAnsi="Tahoma" w:eastAsia="Arial Unicode MS" w:cs="Times New Roman"/>
      <w:kern w:val="2"/>
      <w:sz w:val="21"/>
      <w:szCs w:val="24"/>
    </w:rPr>
  </w:style>
  <w:style w:type="character" w:customStyle="1" w:styleId="197">
    <w:name w:val="Char Char"/>
    <w:qFormat/>
    <w:uiPriority w:val="0"/>
    <w:rPr>
      <w:rFonts w:eastAsia="宋体"/>
      <w:kern w:val="2"/>
      <w:sz w:val="24"/>
      <w:lang w:val="en-US" w:eastAsia="zh-CN" w:bidi="ar-SA"/>
    </w:rPr>
  </w:style>
  <w:style w:type="character" w:customStyle="1" w:styleId="198">
    <w:name w:val="称呼 Char"/>
    <w:basedOn w:val="52"/>
    <w:link w:val="20"/>
    <w:qFormat/>
    <w:uiPriority w:val="0"/>
    <w:rPr>
      <w:rFonts w:ascii="..ì." w:hAnsi="Times New Roman" w:eastAsia="..ì." w:cs="Times New Roman"/>
      <w:sz w:val="24"/>
    </w:rPr>
  </w:style>
  <w:style w:type="character" w:customStyle="1" w:styleId="199">
    <w:name w:val="注释标题 Char"/>
    <w:basedOn w:val="52"/>
    <w:link w:val="13"/>
    <w:qFormat/>
    <w:uiPriority w:val="0"/>
    <w:rPr>
      <w:rFonts w:ascii="..ì." w:hAnsi="Times New Roman" w:eastAsia="..ì." w:cs="Times New Roman"/>
      <w:sz w:val="24"/>
    </w:rPr>
  </w:style>
  <w:style w:type="paragraph" w:customStyle="1" w:styleId="200">
    <w:name w:val="1 Char Char Char Char"/>
    <w:basedOn w:val="1"/>
    <w:qFormat/>
    <w:uiPriority w:val="0"/>
    <w:rPr>
      <w:rFonts w:ascii="Tahoma" w:hAnsi="Tahoma" w:eastAsia="宋体"/>
      <w:sz w:val="24"/>
      <w:szCs w:val="20"/>
    </w:rPr>
  </w:style>
  <w:style w:type="paragraph" w:customStyle="1" w:styleId="20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02">
    <w:name w:val="TOC 标题2"/>
    <w:basedOn w:val="3"/>
    <w:next w:val="1"/>
    <w:qFormat/>
    <w:uiPriority w:val="99"/>
    <w:pPr>
      <w:adjustRightInd/>
      <w:spacing w:before="340" w:after="330" w:line="578" w:lineRule="auto"/>
      <w:textAlignment w:val="auto"/>
      <w:outlineLvl w:val="9"/>
    </w:pPr>
    <w:rPr>
      <w:rFonts w:ascii="Times New Roman" w:hAnsi="Times New Roman" w:eastAsia="宋体"/>
      <w:sz w:val="44"/>
    </w:rPr>
  </w:style>
  <w:style w:type="character" w:customStyle="1" w:styleId="203">
    <w:name w:val="标题 1 Char1"/>
    <w:qFormat/>
    <w:uiPriority w:val="99"/>
    <w:rPr>
      <w:rFonts w:ascii="黑体" w:eastAsia="黑体"/>
      <w:sz w:val="52"/>
      <w:lang w:bidi="ar-SA"/>
    </w:rPr>
  </w:style>
  <w:style w:type="paragraph" w:customStyle="1" w:styleId="204">
    <w:name w:val="样式 标题 2 + Times New Roman 四号 非加粗 段前: 5 磅 段后: 0 磅 行距: 固定值 20..."/>
    <w:basedOn w:val="4"/>
    <w:qFormat/>
    <w:uiPriority w:val="99"/>
    <w:pPr>
      <w:keepNext/>
      <w:keepLines/>
      <w:spacing w:before="100" w:after="0" w:line="400" w:lineRule="exact"/>
    </w:pPr>
    <w:rPr>
      <w:rFonts w:ascii="Times New Roman" w:hAnsi="Times New Roman" w:eastAsia="黑体" w:cs="宋体"/>
      <w:sz w:val="28"/>
      <w:szCs w:val="20"/>
    </w:rPr>
  </w:style>
  <w:style w:type="paragraph" w:customStyle="1" w:styleId="205">
    <w:name w:val="3"/>
    <w:basedOn w:val="1"/>
    <w:next w:val="21"/>
    <w:qFormat/>
    <w:uiPriority w:val="99"/>
    <w:rPr>
      <w:rFonts w:ascii="宋体" w:eastAsia="宋体"/>
      <w:sz w:val="24"/>
      <w:szCs w:val="20"/>
    </w:rPr>
  </w:style>
  <w:style w:type="character" w:customStyle="1" w:styleId="206">
    <w:name w:val="正文文本 3 Char"/>
    <w:basedOn w:val="52"/>
    <w:link w:val="21"/>
    <w:qFormat/>
    <w:uiPriority w:val="99"/>
    <w:rPr>
      <w:rFonts w:ascii="Times New Roman" w:hAnsi="Times New Roman" w:eastAsia="宋体" w:cs="Times New Roman"/>
      <w:kern w:val="2"/>
      <w:sz w:val="16"/>
      <w:szCs w:val="16"/>
    </w:rPr>
  </w:style>
  <w:style w:type="paragraph" w:customStyle="1" w:styleId="207">
    <w:name w:val="样式 标题 3 + (中文) 黑体 小四 非加粗 段前: 7.8 磅 段后: 0 磅 行距: 固定值 20 磅"/>
    <w:basedOn w:val="5"/>
    <w:qFormat/>
    <w:uiPriority w:val="0"/>
    <w:pPr>
      <w:keepNext/>
      <w:keepLines/>
      <w:tabs>
        <w:tab w:val="clear" w:pos="588"/>
      </w:tabs>
      <w:spacing w:line="400" w:lineRule="exact"/>
    </w:pPr>
    <w:rPr>
      <w:rFonts w:ascii="Times New Roman" w:hAnsi="Times New Roman" w:eastAsia="黑体"/>
      <w:sz w:val="24"/>
      <w:szCs w:val="20"/>
    </w:rPr>
  </w:style>
  <w:style w:type="paragraph" w:customStyle="1" w:styleId="208">
    <w:name w:val="2"/>
    <w:basedOn w:val="1"/>
    <w:next w:val="23"/>
    <w:qFormat/>
    <w:uiPriority w:val="99"/>
    <w:pPr>
      <w:ind w:left="432"/>
    </w:pPr>
    <w:rPr>
      <w:rFonts w:eastAsia="宋体"/>
      <w:szCs w:val="20"/>
    </w:rPr>
  </w:style>
  <w:style w:type="character" w:customStyle="1" w:styleId="209">
    <w:name w:val="正文文本缩进 3 Char"/>
    <w:link w:val="39"/>
    <w:qFormat/>
    <w:uiPriority w:val="99"/>
    <w:rPr>
      <w:rFonts w:ascii="Times New Roman" w:hAnsi="Times New Roman" w:eastAsia="Arial Unicode MS" w:cs="Times New Roman"/>
      <w:kern w:val="2"/>
      <w:sz w:val="16"/>
      <w:szCs w:val="16"/>
    </w:rPr>
  </w:style>
  <w:style w:type="paragraph" w:customStyle="1" w:styleId="210">
    <w:name w:val="样式 标题 1 + 黑体 三号 非加粗 居中 段前: 6 磅 段后: 6 磅 行距: 固定值 20 磅"/>
    <w:basedOn w:val="3"/>
    <w:qFormat/>
    <w:uiPriority w:val="99"/>
    <w:pPr>
      <w:adjustRightInd/>
      <w:spacing w:before="120" w:after="120" w:line="400" w:lineRule="exact"/>
      <w:jc w:val="center"/>
      <w:textAlignment w:val="auto"/>
    </w:pPr>
    <w:rPr>
      <w:rFonts w:ascii="黑体" w:hAnsi="黑体" w:eastAsia="黑体" w:cs="宋体"/>
      <w:b w:val="0"/>
      <w:bCs w:val="0"/>
      <w:sz w:val="32"/>
      <w:szCs w:val="20"/>
    </w:rPr>
  </w:style>
  <w:style w:type="paragraph" w:customStyle="1" w:styleId="211">
    <w:name w:val="Char1111"/>
    <w:basedOn w:val="1"/>
    <w:qFormat/>
    <w:uiPriority w:val="0"/>
    <w:rPr>
      <w:rFonts w:ascii="Tahoma" w:hAnsi="Tahoma" w:eastAsia="宋体"/>
      <w:sz w:val="24"/>
      <w:szCs w:val="20"/>
    </w:rPr>
  </w:style>
  <w:style w:type="character" w:customStyle="1" w:styleId="212">
    <w:name w:val="font161"/>
    <w:qFormat/>
    <w:uiPriority w:val="99"/>
    <w:rPr>
      <w:b/>
      <w:bCs/>
      <w:sz w:val="32"/>
      <w:szCs w:val="32"/>
    </w:rPr>
  </w:style>
  <w:style w:type="paragraph" w:customStyle="1" w:styleId="213">
    <w:name w:val="6'"/>
    <w:basedOn w:val="1"/>
    <w:qFormat/>
    <w:uiPriority w:val="99"/>
    <w:pPr>
      <w:autoSpaceDE w:val="0"/>
      <w:autoSpaceDN w:val="0"/>
      <w:adjustRightInd w:val="0"/>
      <w:snapToGrid w:val="0"/>
      <w:spacing w:line="320" w:lineRule="exact"/>
      <w:jc w:val="center"/>
      <w:textAlignment w:val="baseline"/>
    </w:pPr>
    <w:rPr>
      <w:rFonts w:eastAsia="宋体"/>
      <w:spacing w:val="20"/>
      <w:kern w:val="28"/>
      <w:szCs w:val="20"/>
    </w:rPr>
  </w:style>
  <w:style w:type="paragraph" w:customStyle="1" w:styleId="214">
    <w:name w:val="表格"/>
    <w:basedOn w:val="1"/>
    <w:qFormat/>
    <w:uiPriority w:val="99"/>
    <w:pPr>
      <w:jc w:val="center"/>
      <w:textAlignment w:val="center"/>
    </w:pPr>
    <w:rPr>
      <w:rFonts w:ascii="华文细黑" w:hAnsi="华文细黑" w:eastAsia="宋体"/>
      <w:kern w:val="0"/>
      <w:szCs w:val="20"/>
    </w:rPr>
  </w:style>
  <w:style w:type="paragraph" w:customStyle="1" w:styleId="215">
    <w:name w:val="表格文字"/>
    <w:basedOn w:val="1"/>
    <w:qFormat/>
    <w:uiPriority w:val="99"/>
    <w:pPr>
      <w:adjustRightInd w:val="0"/>
      <w:spacing w:line="420" w:lineRule="atLeast"/>
      <w:jc w:val="left"/>
      <w:textAlignment w:val="baseline"/>
    </w:pPr>
    <w:rPr>
      <w:rFonts w:eastAsia="宋体"/>
      <w:kern w:val="0"/>
      <w:szCs w:val="20"/>
    </w:rPr>
  </w:style>
  <w:style w:type="paragraph" w:customStyle="1" w:styleId="216">
    <w:name w:val="XW正文"/>
    <w:basedOn w:val="23"/>
    <w:qFormat/>
    <w:uiPriority w:val="99"/>
    <w:pPr>
      <w:widowControl w:val="0"/>
      <w:adjustRightInd w:val="0"/>
      <w:snapToGrid w:val="0"/>
      <w:spacing w:line="300" w:lineRule="auto"/>
      <w:ind w:firstLine="520" w:firstLineChars="200"/>
    </w:pPr>
    <w:rPr>
      <w:rFonts w:ascii="Times New Roman" w:hAnsi="Times New Roman" w:eastAsia="宋体"/>
      <w:kern w:val="0"/>
    </w:rPr>
  </w:style>
  <w:style w:type="paragraph" w:customStyle="1" w:styleId="217">
    <w:name w:val="金安桥正文"/>
    <w:basedOn w:val="23"/>
    <w:qFormat/>
    <w:uiPriority w:val="99"/>
    <w:pPr>
      <w:widowControl w:val="0"/>
      <w:adjustRightInd w:val="0"/>
      <w:spacing w:line="300" w:lineRule="auto"/>
      <w:ind w:firstLine="200" w:firstLineChars="200"/>
    </w:pPr>
    <w:rPr>
      <w:rFonts w:ascii="Times New Roman" w:hAnsi="Times New Roman" w:eastAsia="宋体"/>
      <w:kern w:val="0"/>
      <w:sz w:val="24"/>
      <w:szCs w:val="20"/>
    </w:rPr>
  </w:style>
  <w:style w:type="character" w:customStyle="1" w:styleId="218">
    <w:name w:val="样式 粉红"/>
    <w:qFormat/>
    <w:uiPriority w:val="99"/>
    <w:rPr>
      <w:color w:val="auto"/>
      <w:u w:val="none"/>
    </w:rPr>
  </w:style>
  <w:style w:type="character" w:customStyle="1" w:styleId="219">
    <w:name w:val="Char Char1"/>
    <w:qFormat/>
    <w:uiPriority w:val="0"/>
    <w:rPr>
      <w:rFonts w:eastAsia="宋体"/>
      <w:kern w:val="2"/>
      <w:sz w:val="24"/>
      <w:lang w:val="en-US" w:eastAsia="zh-CN" w:bidi="ar-SA"/>
    </w:rPr>
  </w:style>
  <w:style w:type="character" w:customStyle="1" w:styleId="220">
    <w:name w:val="纯文本 Char"/>
    <w:link w:val="28"/>
    <w:qFormat/>
    <w:uiPriority w:val="0"/>
    <w:rPr>
      <w:rFonts w:ascii="宋体" w:hAnsi="Courier New" w:eastAsia="Arial Unicode MS" w:cs="Times New Roman"/>
      <w:kern w:val="2"/>
      <w:sz w:val="21"/>
      <w:szCs w:val="21"/>
    </w:rPr>
  </w:style>
  <w:style w:type="paragraph" w:customStyle="1" w:styleId="221">
    <w:name w:val="Char Char Char Char"/>
    <w:basedOn w:val="1"/>
    <w:qFormat/>
    <w:uiPriority w:val="0"/>
    <w:pPr>
      <w:widowControl/>
      <w:spacing w:after="160" w:line="240" w:lineRule="exact"/>
      <w:jc w:val="left"/>
    </w:pPr>
    <w:rPr>
      <w:rFonts w:eastAsia="宋体"/>
      <w:szCs w:val="20"/>
    </w:rPr>
  </w:style>
  <w:style w:type="paragraph" w:customStyle="1" w:styleId="222">
    <w:name w:val="p17"/>
    <w:basedOn w:val="1"/>
    <w:qFormat/>
    <w:uiPriority w:val="99"/>
    <w:pPr>
      <w:widowControl/>
    </w:pPr>
    <w:rPr>
      <w:rFonts w:eastAsia="宋体"/>
      <w:kern w:val="0"/>
      <w:szCs w:val="21"/>
    </w:rPr>
  </w:style>
  <w:style w:type="character" w:customStyle="1" w:styleId="223">
    <w:name w:val="H4 Char"/>
    <w:qFormat/>
    <w:uiPriority w:val="0"/>
    <w:rPr>
      <w:b/>
      <w:sz w:val="28"/>
    </w:rPr>
  </w:style>
  <w:style w:type="character" w:customStyle="1" w:styleId="224">
    <w:name w:val="Char Char2"/>
    <w:qFormat/>
    <w:uiPriority w:val="0"/>
    <w:rPr>
      <w:rFonts w:eastAsia="宋体"/>
      <w:kern w:val="2"/>
      <w:sz w:val="24"/>
      <w:lang w:val="en-US" w:eastAsia="zh-CN" w:bidi="ar-SA"/>
    </w:rPr>
  </w:style>
  <w:style w:type="character" w:customStyle="1" w:styleId="225">
    <w:name w:val="Char Char111"/>
    <w:qFormat/>
    <w:uiPriority w:val="99"/>
    <w:rPr>
      <w:rFonts w:eastAsia="宋体"/>
      <w:kern w:val="2"/>
      <w:sz w:val="24"/>
      <w:lang w:val="en-US" w:eastAsia="zh-CN" w:bidi="ar-SA"/>
    </w:rPr>
  </w:style>
  <w:style w:type="paragraph" w:customStyle="1" w:styleId="226">
    <w:name w:val="Char Char Char Char111"/>
    <w:basedOn w:val="1"/>
    <w:qFormat/>
    <w:uiPriority w:val="0"/>
    <w:pPr>
      <w:widowControl/>
      <w:spacing w:after="160" w:line="240" w:lineRule="exact"/>
      <w:jc w:val="left"/>
    </w:pPr>
    <w:rPr>
      <w:rFonts w:eastAsia="宋体"/>
      <w:szCs w:val="20"/>
    </w:rPr>
  </w:style>
  <w:style w:type="paragraph" w:customStyle="1" w:styleId="227">
    <w:name w:val="font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28">
    <w:name w:val="font6"/>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29">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0">
    <w:name w:val="xl65"/>
    <w:basedOn w:val="1"/>
    <w:qFormat/>
    <w:uiPriority w:val="0"/>
    <w:pPr>
      <w:widowControl/>
      <w:spacing w:before="100" w:beforeAutospacing="1" w:after="100" w:afterAutospacing="1"/>
      <w:jc w:val="center"/>
      <w:textAlignment w:val="center"/>
    </w:pPr>
    <w:rPr>
      <w:rFonts w:ascii="宋体" w:hAnsi="宋体" w:eastAsia="宋体" w:cs="宋体"/>
      <w:kern w:val="0"/>
      <w:sz w:val="24"/>
    </w:rPr>
  </w:style>
  <w:style w:type="paragraph" w:customStyle="1" w:styleId="23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rPr>
  </w:style>
  <w:style w:type="paragraph" w:customStyle="1" w:styleId="23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3">
    <w:name w:val="xl6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4">
    <w:name w:val="xl69"/>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5">
    <w:name w:val="xl7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4"/>
    </w:rPr>
  </w:style>
  <w:style w:type="paragraph" w:customStyle="1" w:styleId="237">
    <w:name w:val="xl72"/>
    <w:basedOn w:val="1"/>
    <w:qFormat/>
    <w:uiPriority w:val="0"/>
    <w:pPr>
      <w:widowControl/>
      <w:spacing w:before="100" w:beforeAutospacing="1" w:after="100" w:afterAutospacing="1"/>
      <w:jc w:val="left"/>
    </w:pPr>
    <w:rPr>
      <w:rFonts w:ascii="宋体" w:hAnsi="宋体" w:eastAsia="宋体" w:cs="宋体"/>
      <w:b/>
      <w:bCs/>
      <w:kern w:val="0"/>
      <w:sz w:val="24"/>
    </w:rPr>
  </w:style>
  <w:style w:type="paragraph" w:customStyle="1" w:styleId="238">
    <w:name w:val="xl7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b/>
      <w:bCs/>
      <w:kern w:val="0"/>
      <w:sz w:val="24"/>
    </w:rPr>
  </w:style>
  <w:style w:type="paragraph" w:customStyle="1" w:styleId="239">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40">
    <w:name w:val="章标题"/>
    <w:next w:val="1"/>
    <w:link w:val="247"/>
    <w:qFormat/>
    <w:uiPriority w:val="0"/>
    <w:pPr>
      <w:numPr>
        <w:ilvl w:val="1"/>
        <w:numId w:val="3"/>
      </w:numPr>
      <w:spacing w:beforeLines="50" w:afterLines="50"/>
      <w:jc w:val="both"/>
      <w:outlineLvl w:val="1"/>
    </w:pPr>
    <w:rPr>
      <w:rFonts w:ascii="黑体" w:hAnsi="Times New Roman" w:eastAsia="黑体" w:cs="Times New Roman"/>
      <w:sz w:val="21"/>
      <w:lang w:val="en-US" w:eastAsia="zh-CN" w:bidi="ar-SA"/>
    </w:rPr>
  </w:style>
  <w:style w:type="paragraph" w:customStyle="1" w:styleId="241">
    <w:name w:val="一级条标题"/>
    <w:basedOn w:val="240"/>
    <w:next w:val="1"/>
    <w:link w:val="248"/>
    <w:qFormat/>
    <w:uiPriority w:val="0"/>
    <w:pPr>
      <w:numPr>
        <w:ilvl w:val="2"/>
      </w:numPr>
      <w:tabs>
        <w:tab w:val="left" w:pos="360"/>
      </w:tabs>
      <w:spacing w:beforeLines="0" w:afterLines="0"/>
      <w:ind w:left="315"/>
      <w:outlineLvl w:val="2"/>
    </w:pPr>
  </w:style>
  <w:style w:type="paragraph" w:customStyle="1" w:styleId="242">
    <w:name w:val="二级条标题"/>
    <w:basedOn w:val="241"/>
    <w:next w:val="1"/>
    <w:link w:val="249"/>
    <w:qFormat/>
    <w:uiPriority w:val="0"/>
    <w:pPr>
      <w:numPr>
        <w:ilvl w:val="3"/>
      </w:numPr>
      <w:ind w:left="315"/>
      <w:outlineLvl w:val="3"/>
    </w:pPr>
  </w:style>
  <w:style w:type="paragraph" w:customStyle="1" w:styleId="243">
    <w:name w:val="列项——"/>
    <w:qFormat/>
    <w:uiPriority w:val="0"/>
    <w:pPr>
      <w:widowControl w:val="0"/>
      <w:numPr>
        <w:ilvl w:val="0"/>
        <w:numId w:val="4"/>
      </w:numPr>
      <w:jc w:val="both"/>
    </w:pPr>
    <w:rPr>
      <w:rFonts w:ascii="宋体" w:hAnsi="Times New Roman" w:eastAsia="宋体" w:cs="Times New Roman"/>
      <w:sz w:val="21"/>
      <w:lang w:val="en-US" w:eastAsia="zh-CN" w:bidi="ar-SA"/>
    </w:rPr>
  </w:style>
  <w:style w:type="paragraph" w:customStyle="1" w:styleId="244">
    <w:name w:val="三级条标题"/>
    <w:basedOn w:val="242"/>
    <w:next w:val="1"/>
    <w:qFormat/>
    <w:uiPriority w:val="0"/>
    <w:pPr>
      <w:numPr>
        <w:ilvl w:val="4"/>
      </w:numPr>
      <w:tabs>
        <w:tab w:val="left" w:pos="1680"/>
        <w:tab w:val="left" w:pos="2100"/>
      </w:tabs>
      <w:ind w:left="2100" w:hanging="420"/>
      <w:outlineLvl w:val="4"/>
    </w:pPr>
  </w:style>
  <w:style w:type="paragraph" w:customStyle="1" w:styleId="245">
    <w:name w:val="四级条标题"/>
    <w:basedOn w:val="244"/>
    <w:next w:val="1"/>
    <w:qFormat/>
    <w:uiPriority w:val="0"/>
    <w:pPr>
      <w:numPr>
        <w:ilvl w:val="5"/>
      </w:numPr>
      <w:tabs>
        <w:tab w:val="left" w:pos="2520"/>
      </w:tabs>
      <w:ind w:left="2520" w:hanging="420"/>
      <w:outlineLvl w:val="5"/>
    </w:pPr>
  </w:style>
  <w:style w:type="paragraph" w:customStyle="1" w:styleId="246">
    <w:name w:val="五级条标题"/>
    <w:basedOn w:val="245"/>
    <w:next w:val="1"/>
    <w:qFormat/>
    <w:uiPriority w:val="0"/>
    <w:pPr>
      <w:numPr>
        <w:ilvl w:val="6"/>
      </w:numPr>
      <w:tabs>
        <w:tab w:val="left" w:pos="2940"/>
      </w:tabs>
      <w:ind w:left="2940" w:hanging="420"/>
      <w:outlineLvl w:val="6"/>
    </w:pPr>
  </w:style>
  <w:style w:type="character" w:customStyle="1" w:styleId="247">
    <w:name w:val="章标题 Char"/>
    <w:link w:val="240"/>
    <w:qFormat/>
    <w:uiPriority w:val="0"/>
    <w:rPr>
      <w:rFonts w:ascii="黑体" w:eastAsia="黑体"/>
      <w:sz w:val="21"/>
    </w:rPr>
  </w:style>
  <w:style w:type="character" w:customStyle="1" w:styleId="248">
    <w:name w:val="一级条标题 Char"/>
    <w:link w:val="241"/>
    <w:qFormat/>
    <w:uiPriority w:val="0"/>
    <w:rPr>
      <w:rFonts w:ascii="黑体" w:eastAsia="黑体"/>
      <w:sz w:val="21"/>
    </w:rPr>
  </w:style>
  <w:style w:type="character" w:customStyle="1" w:styleId="249">
    <w:name w:val="二级条标题 Char"/>
    <w:link w:val="242"/>
    <w:qFormat/>
    <w:uiPriority w:val="0"/>
    <w:rPr>
      <w:rFonts w:ascii="黑体" w:eastAsia="黑体"/>
      <w:sz w:val="21"/>
    </w:rPr>
  </w:style>
  <w:style w:type="character" w:customStyle="1" w:styleId="250">
    <w:name w:val="Heading 1 Char"/>
    <w:qFormat/>
    <w:locked/>
    <w:uiPriority w:val="0"/>
    <w:rPr>
      <w:rFonts w:ascii="黑体" w:hAnsi="Times New Roman" w:eastAsia="黑体" w:cs="Times New Roman"/>
      <w:kern w:val="0"/>
      <w:sz w:val="20"/>
      <w:szCs w:val="20"/>
    </w:rPr>
  </w:style>
  <w:style w:type="character" w:customStyle="1" w:styleId="251">
    <w:name w:val="Heading 2 Char"/>
    <w:qFormat/>
    <w:locked/>
    <w:uiPriority w:val="0"/>
    <w:rPr>
      <w:rFonts w:ascii="Times New Roman" w:hAnsi="Times New Roman" w:eastAsia="宋体" w:cs="Times New Roman"/>
      <w:b/>
      <w:kern w:val="0"/>
      <w:sz w:val="32"/>
      <w:szCs w:val="32"/>
    </w:rPr>
  </w:style>
  <w:style w:type="character" w:customStyle="1" w:styleId="252">
    <w:name w:val="标题 3 Char1"/>
    <w:qFormat/>
    <w:locked/>
    <w:uiPriority w:val="99"/>
    <w:rPr>
      <w:rFonts w:eastAsia="宋体"/>
      <w:b/>
      <w:sz w:val="32"/>
      <w:lang w:val="en-US" w:eastAsia="zh-CN" w:bidi="ar-SA"/>
    </w:rPr>
  </w:style>
  <w:style w:type="character" w:customStyle="1" w:styleId="253">
    <w:name w:val="Heading 4 Char"/>
    <w:qFormat/>
    <w:locked/>
    <w:uiPriority w:val="0"/>
    <w:rPr>
      <w:rFonts w:ascii="Times New Roman" w:hAnsi="Times New Roman" w:eastAsia="宋体" w:cs="Times New Roman"/>
      <w:b/>
      <w:kern w:val="0"/>
      <w:sz w:val="20"/>
      <w:szCs w:val="20"/>
    </w:rPr>
  </w:style>
  <w:style w:type="character" w:customStyle="1" w:styleId="254">
    <w:name w:val="Heading 5 Char"/>
    <w:qFormat/>
    <w:locked/>
    <w:uiPriority w:val="0"/>
    <w:rPr>
      <w:rFonts w:ascii="Times New Roman" w:hAnsi="Times New Roman" w:eastAsia="宋体" w:cs="Times New Roman"/>
      <w:b/>
      <w:bCs/>
      <w:sz w:val="28"/>
      <w:szCs w:val="28"/>
    </w:rPr>
  </w:style>
  <w:style w:type="character" w:customStyle="1" w:styleId="255">
    <w:name w:val="Heading 6 Char"/>
    <w:qFormat/>
    <w:locked/>
    <w:uiPriority w:val="0"/>
    <w:rPr>
      <w:rFonts w:ascii="Arial" w:hAnsi="Arial" w:eastAsia="黑体" w:cs="Times New Roman"/>
      <w:b/>
      <w:bCs/>
      <w:kern w:val="0"/>
      <w:sz w:val="24"/>
      <w:szCs w:val="24"/>
    </w:rPr>
  </w:style>
  <w:style w:type="character" w:customStyle="1" w:styleId="256">
    <w:name w:val="Heading 7 Char"/>
    <w:qFormat/>
    <w:locked/>
    <w:uiPriority w:val="0"/>
    <w:rPr>
      <w:rFonts w:ascii="Times New Roman" w:hAnsi="Times New Roman" w:eastAsia="宋体" w:cs="Times New Roman"/>
      <w:b/>
      <w:bCs/>
      <w:kern w:val="0"/>
      <w:sz w:val="24"/>
      <w:szCs w:val="24"/>
    </w:rPr>
  </w:style>
  <w:style w:type="character" w:customStyle="1" w:styleId="257">
    <w:name w:val="Heading 8 Char"/>
    <w:qFormat/>
    <w:locked/>
    <w:uiPriority w:val="0"/>
    <w:rPr>
      <w:rFonts w:ascii="Arial" w:hAnsi="Arial" w:eastAsia="黑体" w:cs="Times New Roman"/>
      <w:kern w:val="0"/>
      <w:sz w:val="24"/>
      <w:szCs w:val="24"/>
    </w:rPr>
  </w:style>
  <w:style w:type="character" w:customStyle="1" w:styleId="258">
    <w:name w:val="Heading 9 Char"/>
    <w:qFormat/>
    <w:locked/>
    <w:uiPriority w:val="0"/>
    <w:rPr>
      <w:rFonts w:ascii="Arial" w:hAnsi="Arial" w:eastAsia="黑体" w:cs="Times New Roman"/>
      <w:kern w:val="0"/>
      <w:sz w:val="21"/>
      <w:szCs w:val="21"/>
    </w:rPr>
  </w:style>
  <w:style w:type="character" w:customStyle="1" w:styleId="259">
    <w:name w:val="Document Map Char"/>
    <w:qFormat/>
    <w:locked/>
    <w:uiPriority w:val="0"/>
    <w:rPr>
      <w:rFonts w:ascii="Times New Roman" w:hAnsi="Times New Roman" w:eastAsia="宋体" w:cs="Times New Roman"/>
      <w:sz w:val="24"/>
      <w:szCs w:val="24"/>
      <w:shd w:val="clear" w:color="auto" w:fill="000080"/>
    </w:rPr>
  </w:style>
  <w:style w:type="character" w:customStyle="1" w:styleId="260">
    <w:name w:val="Date Char"/>
    <w:qFormat/>
    <w:locked/>
    <w:uiPriority w:val="0"/>
    <w:rPr>
      <w:rFonts w:ascii="Times New Roman" w:hAnsi="Times New Roman" w:eastAsia="宋体" w:cs="Times New Roman"/>
      <w:sz w:val="20"/>
      <w:szCs w:val="20"/>
    </w:rPr>
  </w:style>
  <w:style w:type="character" w:customStyle="1" w:styleId="261">
    <w:name w:val="Header Char"/>
    <w:qFormat/>
    <w:locked/>
    <w:uiPriority w:val="0"/>
    <w:rPr>
      <w:rFonts w:ascii="Times New Roman" w:hAnsi="Times New Roman" w:eastAsia="宋体" w:cs="Times New Roman"/>
      <w:kern w:val="0"/>
      <w:sz w:val="20"/>
      <w:szCs w:val="20"/>
    </w:rPr>
  </w:style>
  <w:style w:type="character" w:customStyle="1" w:styleId="262">
    <w:name w:val="Footer Char"/>
    <w:qFormat/>
    <w:locked/>
    <w:uiPriority w:val="0"/>
    <w:rPr>
      <w:rFonts w:ascii="Times New Roman" w:hAnsi="Times New Roman" w:eastAsia="宋体" w:cs="Times New Roman"/>
      <w:kern w:val="0"/>
      <w:sz w:val="20"/>
      <w:szCs w:val="20"/>
    </w:rPr>
  </w:style>
  <w:style w:type="character" w:customStyle="1" w:styleId="263">
    <w:name w:val="Plain Text Char"/>
    <w:qFormat/>
    <w:locked/>
    <w:uiPriority w:val="0"/>
    <w:rPr>
      <w:rFonts w:ascii="宋体" w:hAnsi="Courier New" w:eastAsia="宋体" w:cs="Times New Roman"/>
      <w:sz w:val="20"/>
      <w:szCs w:val="20"/>
    </w:rPr>
  </w:style>
  <w:style w:type="character" w:customStyle="1" w:styleId="264">
    <w:name w:val="Body Text Indent 2 Char"/>
    <w:qFormat/>
    <w:locked/>
    <w:uiPriority w:val="0"/>
    <w:rPr>
      <w:rFonts w:ascii="Times New Roman" w:hAnsi="Times New Roman" w:eastAsia="宋体" w:cs="Times New Roman"/>
      <w:sz w:val="30"/>
      <w:szCs w:val="30"/>
    </w:rPr>
  </w:style>
  <w:style w:type="character" w:customStyle="1" w:styleId="265">
    <w:name w:val="Body Text Indent 3 Char"/>
    <w:qFormat/>
    <w:locked/>
    <w:uiPriority w:val="0"/>
    <w:rPr>
      <w:rFonts w:ascii="Times New Roman" w:hAnsi="Times New Roman" w:eastAsia="宋体" w:cs="Times New Roman"/>
      <w:sz w:val="30"/>
      <w:szCs w:val="30"/>
    </w:rPr>
  </w:style>
  <w:style w:type="character" w:customStyle="1" w:styleId="266">
    <w:name w:val="Body Text First Indent 2 Char"/>
    <w:qFormat/>
    <w:locked/>
    <w:uiPriority w:val="0"/>
    <w:rPr>
      <w:rFonts w:ascii="Times New Roman" w:hAnsi="Times New Roman" w:eastAsia="宋体" w:cs="Times New Roman"/>
      <w:kern w:val="2"/>
      <w:sz w:val="24"/>
      <w:szCs w:val="24"/>
    </w:rPr>
  </w:style>
  <w:style w:type="character" w:customStyle="1" w:styleId="267">
    <w:name w:val="Body Text 2 Char"/>
    <w:qFormat/>
    <w:locked/>
    <w:uiPriority w:val="0"/>
    <w:rPr>
      <w:rFonts w:ascii="宋体" w:hAnsi="Times New Roman" w:eastAsia="宋体" w:cs="Times New Roman"/>
      <w:sz w:val="20"/>
      <w:szCs w:val="20"/>
    </w:rPr>
  </w:style>
  <w:style w:type="character" w:customStyle="1" w:styleId="268">
    <w:name w:val="Balloon Text Char"/>
    <w:qFormat/>
    <w:locked/>
    <w:uiPriority w:val="0"/>
    <w:rPr>
      <w:rFonts w:ascii="Times New Roman" w:hAnsi="Times New Roman" w:eastAsia="宋体" w:cs="Times New Roman"/>
      <w:sz w:val="18"/>
      <w:szCs w:val="18"/>
    </w:rPr>
  </w:style>
  <w:style w:type="character" w:customStyle="1" w:styleId="269">
    <w:name w:val="Salutation Char"/>
    <w:qFormat/>
    <w:locked/>
    <w:uiPriority w:val="0"/>
    <w:rPr>
      <w:rFonts w:ascii="..ì." w:hAnsi="Times New Roman" w:eastAsia="..ì." w:cs="Times New Roman"/>
      <w:kern w:val="0"/>
      <w:sz w:val="20"/>
      <w:szCs w:val="20"/>
    </w:rPr>
  </w:style>
  <w:style w:type="character" w:customStyle="1" w:styleId="270">
    <w:name w:val="Note Heading Char"/>
    <w:qFormat/>
    <w:locked/>
    <w:uiPriority w:val="0"/>
    <w:rPr>
      <w:rFonts w:ascii="..ì." w:hAnsi="Times New Roman" w:eastAsia="..ì." w:cs="Times New Roman"/>
      <w:kern w:val="0"/>
      <w:sz w:val="20"/>
      <w:szCs w:val="20"/>
    </w:rPr>
  </w:style>
  <w:style w:type="paragraph" w:customStyle="1" w:styleId="271">
    <w:name w:val="Revision1"/>
    <w:hidden/>
    <w:semiHidden/>
    <w:qFormat/>
    <w:uiPriority w:val="0"/>
    <w:rPr>
      <w:rFonts w:ascii="Times New Roman" w:hAnsi="Times New Roman" w:eastAsia="宋体" w:cs="Times New Roman"/>
      <w:kern w:val="2"/>
      <w:sz w:val="21"/>
      <w:szCs w:val="24"/>
      <w:lang w:val="en-US" w:eastAsia="zh-CN" w:bidi="ar-SA"/>
    </w:rPr>
  </w:style>
  <w:style w:type="paragraph" w:customStyle="1" w:styleId="272">
    <w:name w:val="TOC Heading1"/>
    <w:basedOn w:val="3"/>
    <w:next w:val="1"/>
    <w:qFormat/>
    <w:uiPriority w:val="0"/>
    <w:pPr>
      <w:adjustRightInd/>
      <w:spacing w:before="340" w:after="330" w:line="578" w:lineRule="auto"/>
      <w:textAlignment w:val="auto"/>
      <w:outlineLvl w:val="9"/>
    </w:pPr>
    <w:rPr>
      <w:rFonts w:ascii="Times New Roman" w:hAnsi="Times New Roman" w:eastAsia="宋体"/>
      <w:sz w:val="44"/>
    </w:rPr>
  </w:style>
  <w:style w:type="character" w:customStyle="1" w:styleId="273">
    <w:name w:val="Body Text 3 Char"/>
    <w:qFormat/>
    <w:locked/>
    <w:uiPriority w:val="0"/>
    <w:rPr>
      <w:rFonts w:ascii="Times New Roman" w:hAnsi="Times New Roman" w:eastAsia="宋体" w:cs="Times New Roman"/>
      <w:sz w:val="16"/>
      <w:szCs w:val="16"/>
    </w:rPr>
  </w:style>
  <w:style w:type="character" w:customStyle="1" w:styleId="274">
    <w:name w:val="Title Char"/>
    <w:qFormat/>
    <w:locked/>
    <w:uiPriority w:val="0"/>
    <w:rPr>
      <w:rFonts w:ascii="Arial" w:hAnsi="Arial" w:eastAsia="宋体" w:cs="Times New Roman"/>
      <w:b/>
      <w:kern w:val="0"/>
      <w:sz w:val="20"/>
      <w:szCs w:val="20"/>
    </w:rPr>
  </w:style>
  <w:style w:type="character" w:customStyle="1" w:styleId="275">
    <w:name w:val="Comment Subject Char"/>
    <w:qFormat/>
    <w:locked/>
    <w:uiPriority w:val="0"/>
    <w:rPr>
      <w:rFonts w:ascii="Times New Roman" w:hAnsi="Times New Roman" w:eastAsia="宋体" w:cs="Times New Roman"/>
      <w:b/>
      <w:bCs/>
      <w:sz w:val="24"/>
      <w:szCs w:val="24"/>
    </w:rPr>
  </w:style>
  <w:style w:type="character" w:customStyle="1" w:styleId="276">
    <w:name w:val="Comment Text Char"/>
    <w:qFormat/>
    <w:locked/>
    <w:uiPriority w:val="0"/>
    <w:rPr>
      <w:rFonts w:ascii="Times New Roman" w:hAnsi="Times New Roman" w:eastAsia="宋体"/>
      <w:sz w:val="24"/>
    </w:rPr>
  </w:style>
  <w:style w:type="paragraph" w:customStyle="1" w:styleId="277">
    <w:name w:val="List Paragraph1"/>
    <w:basedOn w:val="1"/>
    <w:qFormat/>
    <w:uiPriority w:val="0"/>
    <w:pPr>
      <w:ind w:firstLine="420" w:firstLineChars="200"/>
    </w:pPr>
    <w:rPr>
      <w:rFonts w:eastAsia="宋体"/>
    </w:rPr>
  </w:style>
  <w:style w:type="paragraph" w:customStyle="1" w:styleId="278">
    <w:name w:val="reader-word-layer reader-word-s2-5"/>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79">
    <w:name w:val="未处理的提及1"/>
    <w:unhideWhenUsed/>
    <w:qFormat/>
    <w:uiPriority w:val="99"/>
    <w:rPr>
      <w:color w:val="605E5C"/>
      <w:shd w:val="clear" w:color="auto" w:fill="E1DFDD"/>
    </w:rPr>
  </w:style>
  <w:style w:type="character" w:customStyle="1" w:styleId="280">
    <w:name w:val="Char Char11"/>
    <w:qFormat/>
    <w:uiPriority w:val="99"/>
    <w:rPr>
      <w:rFonts w:eastAsia="宋体"/>
      <w:kern w:val="2"/>
      <w:sz w:val="24"/>
      <w:lang w:val="en-US" w:eastAsia="zh-CN"/>
    </w:rPr>
  </w:style>
  <w:style w:type="character" w:customStyle="1" w:styleId="281">
    <w:name w:val="正文文本 Char1"/>
    <w:semiHidden/>
    <w:qFormat/>
    <w:uiPriority w:val="0"/>
    <w:rPr>
      <w:rFonts w:ascii="Times New Roman" w:hAnsi="Times New Roman" w:eastAsia="宋体" w:cs="Times New Roman"/>
      <w:szCs w:val="24"/>
    </w:rPr>
  </w:style>
  <w:style w:type="paragraph" w:customStyle="1" w:styleId="282">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83">
    <w:name w:val="Char11"/>
    <w:basedOn w:val="1"/>
    <w:qFormat/>
    <w:uiPriority w:val="99"/>
    <w:rPr>
      <w:rFonts w:ascii="Tahoma" w:hAnsi="Tahoma" w:eastAsia="宋体"/>
      <w:sz w:val="24"/>
      <w:szCs w:val="20"/>
    </w:rPr>
  </w:style>
  <w:style w:type="paragraph" w:customStyle="1" w:styleId="284">
    <w:name w:val="Char Char Char Char1"/>
    <w:basedOn w:val="1"/>
    <w:qFormat/>
    <w:uiPriority w:val="99"/>
    <w:pPr>
      <w:widowControl/>
      <w:spacing w:after="160" w:line="240" w:lineRule="exact"/>
      <w:jc w:val="left"/>
    </w:pPr>
    <w:rPr>
      <w:rFonts w:eastAsia="宋体"/>
      <w:szCs w:val="20"/>
    </w:rPr>
  </w:style>
  <w:style w:type="paragraph" w:customStyle="1" w:styleId="285">
    <w:name w:val="Normal_0"/>
    <w:qFormat/>
    <w:uiPriority w:val="99"/>
    <w:pPr>
      <w:spacing w:before="120" w:after="240"/>
      <w:jc w:val="both"/>
    </w:pPr>
    <w:rPr>
      <w:rFonts w:ascii="Calibri" w:hAnsi="Calibri" w:eastAsia="Calibri" w:cs="Times New Roman"/>
      <w:sz w:val="22"/>
      <w:szCs w:val="22"/>
      <w:lang w:val="ru-RU" w:eastAsia="en-US" w:bidi="ar-SA"/>
    </w:rPr>
  </w:style>
  <w:style w:type="paragraph" w:customStyle="1" w:styleId="286">
    <w:name w:val="_Style 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
    <w:name w:val="Char Char Char Char11"/>
    <w:basedOn w:val="1"/>
    <w:qFormat/>
    <w:uiPriority w:val="99"/>
    <w:pPr>
      <w:widowControl/>
      <w:spacing w:after="160" w:line="240" w:lineRule="exact"/>
      <w:jc w:val="left"/>
    </w:pPr>
    <w:rPr>
      <w:rFonts w:eastAsia="宋体"/>
      <w:szCs w:val="20"/>
    </w:rPr>
  </w:style>
  <w:style w:type="paragraph" w:customStyle="1" w:styleId="288">
    <w:name w:val="Char12"/>
    <w:basedOn w:val="1"/>
    <w:qFormat/>
    <w:uiPriority w:val="99"/>
    <w:rPr>
      <w:rFonts w:ascii="Tahoma" w:hAnsi="Tahoma" w:eastAsia="宋体"/>
      <w:sz w:val="24"/>
      <w:szCs w:val="20"/>
    </w:rPr>
  </w:style>
  <w:style w:type="paragraph" w:customStyle="1" w:styleId="289">
    <w:name w:val="Char111"/>
    <w:basedOn w:val="1"/>
    <w:qFormat/>
    <w:uiPriority w:val="99"/>
    <w:rPr>
      <w:rFonts w:ascii="Tahoma" w:hAnsi="Tahoma" w:eastAsia="宋体"/>
      <w:sz w:val="24"/>
      <w:szCs w:val="20"/>
    </w:rPr>
  </w:style>
  <w:style w:type="paragraph" w:customStyle="1" w:styleId="290">
    <w:name w:val="访问过的超链接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Char Char Char Char2"/>
    <w:basedOn w:val="1"/>
    <w:qFormat/>
    <w:uiPriority w:val="99"/>
    <w:pPr>
      <w:widowControl/>
      <w:spacing w:after="160" w:line="240" w:lineRule="exact"/>
      <w:jc w:val="left"/>
    </w:pPr>
    <w:rPr>
      <w:rFonts w:eastAsia="宋体"/>
      <w:szCs w:val="20"/>
    </w:rPr>
  </w:style>
  <w:style w:type="character" w:customStyle="1" w:styleId="292">
    <w:name w:val="正文文本 字符"/>
    <w:qFormat/>
    <w:uiPriority w:val="0"/>
    <w:rPr>
      <w:b/>
      <w:i/>
      <w:szCs w:val="24"/>
    </w:rPr>
  </w:style>
  <w:style w:type="paragraph" w:customStyle="1" w:styleId="293">
    <w:name w:val="纯文本2"/>
    <w:basedOn w:val="1"/>
    <w:qFormat/>
    <w:uiPriority w:val="0"/>
    <w:rPr>
      <w:rFonts w:ascii="宋体" w:hAnsi="Courier New" w:cs="Courier New"/>
      <w:szCs w:val="21"/>
    </w:rPr>
  </w:style>
  <w:style w:type="paragraph" w:customStyle="1" w:styleId="294">
    <w:name w:val="TOC 标题3"/>
    <w:basedOn w:val="3"/>
    <w:next w:val="1"/>
    <w:unhideWhenUsed/>
    <w:qFormat/>
    <w:uiPriority w:val="39"/>
    <w:pPr>
      <w:widowControl/>
      <w:adjustRightInd/>
      <w:spacing w:before="480" w:after="0" w:line="276" w:lineRule="auto"/>
      <w:jc w:val="left"/>
      <w:textAlignment w:val="auto"/>
      <w:outlineLvl w:val="9"/>
    </w:pPr>
    <w:rPr>
      <w:rFonts w:asciiTheme="majorHAnsi" w:hAnsiTheme="majorHAnsi" w:eastAsiaTheme="majorEastAsia" w:cstheme="majorBidi"/>
      <w:color w:val="366091" w:themeColor="accent1" w:themeShade="BF"/>
      <w:kern w:val="0"/>
      <w:sz w:val="28"/>
      <w:szCs w:val="28"/>
    </w:rPr>
  </w:style>
  <w:style w:type="character" w:customStyle="1" w:styleId="295">
    <w:name w:val="HTML 预设格式 Char"/>
    <w:basedOn w:val="52"/>
    <w:link w:val="43"/>
    <w:qFormat/>
    <w:uiPriority w:val="0"/>
    <w:rPr>
      <w:rFonts w:ascii="黑体" w:hAnsi="Courier New" w:eastAsia="黑体"/>
    </w:rPr>
  </w:style>
  <w:style w:type="paragraph" w:customStyle="1" w:styleId="296">
    <w:name w:val="Revision"/>
    <w:hidden/>
    <w:unhideWhenUsed/>
    <w:qFormat/>
    <w:uiPriority w:val="99"/>
    <w:rPr>
      <w:rFonts w:ascii="Times New Roman" w:hAnsi="Times New Roman" w:eastAsia="Arial Unicode MS" w:cs="Times New Roman"/>
      <w:kern w:val="2"/>
      <w:sz w:val="21"/>
      <w:szCs w:val="24"/>
      <w:lang w:val="en-US" w:eastAsia="zh-CN" w:bidi="ar-SA"/>
    </w:rPr>
  </w:style>
  <w:style w:type="character" w:customStyle="1" w:styleId="297">
    <w:name w:val="纯文本 Char1"/>
    <w:qFormat/>
    <w:uiPriority w:val="0"/>
    <w:rPr>
      <w:rFonts w:ascii="宋体" w:hAnsi="Courier New" w:eastAsiaTheme="minorEastAsia" w:cstheme="minorBidi"/>
      <w:kern w:val="2"/>
      <w:sz w:val="21"/>
      <w:szCs w:val="22"/>
    </w:rPr>
  </w:style>
  <w:style w:type="character" w:customStyle="1" w:styleId="298">
    <w:name w:val="font41"/>
    <w:basedOn w:val="52"/>
    <w:qFormat/>
    <w:uiPriority w:val="0"/>
    <w:rPr>
      <w:rFonts w:hint="eastAsia" w:ascii="宋体" w:hAnsi="宋体" w:eastAsia="宋体" w:cs="宋体"/>
      <w:color w:val="000000"/>
      <w:sz w:val="18"/>
      <w:szCs w:val="18"/>
      <w:u w:val="none"/>
    </w:rPr>
  </w:style>
  <w:style w:type="character" w:customStyle="1" w:styleId="299">
    <w:name w:val="font31"/>
    <w:basedOn w:val="52"/>
    <w:qFormat/>
    <w:uiPriority w:val="0"/>
    <w:rPr>
      <w:rFonts w:hint="eastAsia" w:ascii="宋体" w:hAnsi="宋体" w:eastAsia="宋体" w:cs="宋体"/>
      <w:color w:val="000000"/>
      <w:sz w:val="18"/>
      <w:szCs w:val="18"/>
      <w:u w:val="none"/>
    </w:rPr>
  </w:style>
  <w:style w:type="character" w:customStyle="1" w:styleId="300">
    <w:name w:val="font51"/>
    <w:basedOn w:val="52"/>
    <w:qFormat/>
    <w:uiPriority w:val="0"/>
    <w:rPr>
      <w:rFonts w:hint="eastAsia" w:ascii="宋体" w:hAnsi="宋体" w:eastAsia="宋体" w:cs="宋体"/>
      <w:color w:val="000000"/>
      <w:sz w:val="18"/>
      <w:szCs w:val="18"/>
      <w:u w:val="none"/>
    </w:rPr>
  </w:style>
  <w:style w:type="character" w:customStyle="1" w:styleId="301">
    <w:name w:val="font01"/>
    <w:basedOn w:val="52"/>
    <w:qFormat/>
    <w:uiPriority w:val="0"/>
    <w:rPr>
      <w:rFonts w:hint="eastAsia" w:ascii="宋体" w:hAnsi="宋体" w:eastAsia="宋体" w:cs="宋体"/>
      <w:color w:val="000000"/>
      <w:sz w:val="18"/>
      <w:szCs w:val="18"/>
      <w:u w:val="none"/>
    </w:rPr>
  </w:style>
  <w:style w:type="character" w:customStyle="1" w:styleId="302">
    <w:name w:val="font21"/>
    <w:basedOn w:val="52"/>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3086" textRotate="1"/>
    <customShpInfo spid="_x0000_s3087" textRotate="1"/>
    <customShpInfo spid="_x0000_s3088" textRotate="1"/>
    <customShpInfo spid="_x0000_s307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B0AA53-8542-4B27-B1F6-700AF09705F6}">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Pages>
  <Words>5358</Words>
  <Characters>30541</Characters>
  <Lines>254</Lines>
  <Paragraphs>71</Paragraphs>
  <TotalTime>100</TotalTime>
  <ScaleCrop>false</ScaleCrop>
  <LinksUpToDate>false</LinksUpToDate>
  <CharactersWithSpaces>35828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2020-12-12T00:34:00Z</dcterms:created>
  <dc:creator>Lv Ji_BM</dc:creator>
  <cp:lastModifiedBy>zhangsubing</cp:lastModifiedBy>
  <cp:lastPrinted>2021-06-18T08:57:00Z</cp:lastPrinted>
  <dcterms:modified xsi:type="dcterms:W3CDTF">2021-07-01T09:38:44Z</dcterms:modified>
  <dc:title>_x0001_</dc:title>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DCDDDDD9AF294CB7B46605DBA792DB9E</vt:lpwstr>
  </property>
</Properties>
</file>