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480" w:lineRule="auto"/>
        <w:rPr>
          <w:rFonts w:hint="eastAsia" w:ascii="宋体" w:hAnsi="宋体" w:eastAsia="宋体" w:cs="宋体"/>
          <w:b/>
          <w:color w:val="auto"/>
          <w:sz w:val="32"/>
          <w:szCs w:val="32"/>
          <w:highlight w:val="none"/>
          <w:lang w:eastAsia="zh-CN"/>
        </w:rPr>
      </w:pPr>
      <w:bookmarkStart w:id="0" w:name="_Toc152042286"/>
      <w:bookmarkStart w:id="1" w:name="_Toc144974478"/>
      <w:r>
        <w:rPr>
          <w:rFonts w:hint="eastAsia" w:ascii="宋体" w:hAnsi="宋体" w:eastAsia="宋体" w:cs="宋体"/>
          <w:b/>
          <w:color w:val="auto"/>
          <w:sz w:val="32"/>
          <w:szCs w:val="32"/>
          <w:highlight w:val="none"/>
        </w:rPr>
        <w:drawing>
          <wp:inline distT="0" distB="0" distL="0" distR="0">
            <wp:extent cx="289560" cy="350520"/>
            <wp:effectExtent l="0" t="0" r="0" b="0"/>
            <wp:docPr id="1" name="图片 4" descr="公司标志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公司标志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89560" cy="350520"/>
                    </a:xfrm>
                    <a:prstGeom prst="rect">
                      <a:avLst/>
                    </a:prstGeom>
                    <a:noFill/>
                    <a:ln>
                      <a:noFill/>
                    </a:ln>
                  </pic:spPr>
                </pic:pic>
              </a:graphicData>
            </a:graphic>
          </wp:inline>
        </w:drawing>
      </w:r>
      <w:r>
        <w:rPr>
          <w:rFonts w:hint="eastAsia" w:ascii="宋体" w:hAnsi="宋体" w:eastAsia="宋体" w:cs="宋体"/>
          <w:b/>
          <w:color w:val="auto"/>
          <w:sz w:val="32"/>
          <w:szCs w:val="32"/>
          <w:highlight w:val="none"/>
        </w:rPr>
        <w:t>采购项目编号：</w:t>
      </w:r>
      <w:r>
        <w:rPr>
          <w:rFonts w:hint="eastAsia" w:ascii="宋体" w:hAnsi="宋体" w:cs="宋体"/>
          <w:b/>
          <w:color w:val="auto"/>
          <w:sz w:val="32"/>
          <w:szCs w:val="32"/>
          <w:highlight w:val="none"/>
          <w:lang w:eastAsia="zh-CN"/>
        </w:rPr>
        <w:t>HMGJ-DL-2021-064</w:t>
      </w: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tabs>
          <w:tab w:val="left" w:pos="5670"/>
        </w:tabs>
        <w:autoSpaceDE w:val="0"/>
        <w:autoSpaceDN w:val="0"/>
        <w:adjustRightInd w:val="0"/>
        <w:snapToGrid w:val="0"/>
        <w:spacing w:line="360" w:lineRule="auto"/>
        <w:jc w:val="center"/>
        <w:rPr>
          <w:rFonts w:hint="eastAsia" w:ascii="宋体" w:hAnsi="宋体" w:eastAsia="宋体" w:cs="宋体"/>
          <w:b/>
          <w:color w:val="auto"/>
          <w:sz w:val="38"/>
          <w:szCs w:val="38"/>
          <w:highlight w:val="none"/>
          <w:lang w:eastAsia="zh-CN"/>
        </w:rPr>
      </w:pPr>
      <w:r>
        <w:rPr>
          <w:rFonts w:hint="eastAsia" w:ascii="宋体" w:hAnsi="宋体" w:cs="宋体"/>
          <w:b/>
          <w:color w:val="auto"/>
          <w:sz w:val="38"/>
          <w:szCs w:val="38"/>
          <w:highlight w:val="none"/>
          <w:lang w:eastAsia="zh-CN"/>
        </w:rPr>
        <w:t>富平县灯饰修缮工程</w:t>
      </w:r>
      <w:r>
        <w:rPr>
          <w:rFonts w:hint="eastAsia" w:ascii="宋体" w:hAnsi="宋体" w:eastAsia="宋体" w:cs="宋体"/>
          <w:b/>
          <w:color w:val="auto"/>
          <w:sz w:val="38"/>
          <w:szCs w:val="38"/>
          <w:highlight w:val="none"/>
          <w:lang w:eastAsia="zh-CN"/>
        </w:rPr>
        <w:t>施工招标</w:t>
      </w: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tabs>
          <w:tab w:val="left" w:pos="5670"/>
        </w:tabs>
        <w:autoSpaceDE w:val="0"/>
        <w:autoSpaceDN w:val="0"/>
        <w:adjustRightInd w:val="0"/>
        <w:snapToGrid w:val="0"/>
        <w:jc w:val="center"/>
        <w:rPr>
          <w:rFonts w:hint="eastAsia" w:ascii="宋体" w:hAnsi="宋体" w:eastAsia="宋体" w:cs="宋体"/>
          <w:b/>
          <w:bCs/>
          <w:color w:val="auto"/>
          <w:sz w:val="84"/>
          <w:szCs w:val="84"/>
          <w:highlight w:val="none"/>
          <w:lang w:val="zh-CN"/>
        </w:rPr>
      </w:pPr>
      <w:r>
        <w:rPr>
          <w:rFonts w:hint="eastAsia" w:ascii="宋体" w:hAnsi="宋体" w:eastAsia="宋体" w:cs="宋体"/>
          <w:b/>
          <w:bCs/>
          <w:color w:val="auto"/>
          <w:sz w:val="84"/>
          <w:szCs w:val="84"/>
          <w:highlight w:val="none"/>
          <w:lang w:val="zh-CN"/>
        </w:rPr>
        <w:t>招  标  文  件</w:t>
      </w:r>
    </w:p>
    <w:p>
      <w:pPr>
        <w:tabs>
          <w:tab w:val="left" w:pos="5670"/>
        </w:tabs>
        <w:autoSpaceDE w:val="0"/>
        <w:autoSpaceDN w:val="0"/>
        <w:adjustRightInd w:val="0"/>
        <w:snapToGrid w:val="0"/>
        <w:spacing w:line="360" w:lineRule="auto"/>
        <w:jc w:val="center"/>
        <w:rPr>
          <w:rFonts w:hint="eastAsia" w:ascii="宋体" w:hAnsi="宋体" w:eastAsia="宋体" w:cs="宋体"/>
          <w:color w:val="auto"/>
          <w:sz w:val="50"/>
          <w:szCs w:val="50"/>
          <w:highlight w:val="none"/>
        </w:rPr>
      </w:pP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pStyle w:val="22"/>
        <w:rPr>
          <w:rFonts w:hint="eastAsia" w:ascii="宋体" w:hAnsi="宋体" w:eastAsia="宋体" w:cs="宋体"/>
          <w:b/>
          <w:color w:val="auto"/>
          <w:kern w:val="0"/>
          <w:sz w:val="32"/>
          <w:szCs w:val="32"/>
          <w:highlight w:val="none"/>
        </w:rPr>
      </w:pPr>
    </w:p>
    <w:p>
      <w:pPr>
        <w:tabs>
          <w:tab w:val="left" w:pos="7560"/>
        </w:tabs>
        <w:autoSpaceDE w:val="0"/>
        <w:autoSpaceDN w:val="0"/>
        <w:adjustRightInd w:val="0"/>
        <w:snapToGrid w:val="0"/>
        <w:jc w:val="center"/>
        <w:rPr>
          <w:rFonts w:hint="eastAsia" w:ascii="宋体" w:hAnsi="宋体" w:eastAsia="宋体" w:cs="宋体"/>
          <w:b/>
          <w:color w:val="auto"/>
          <w:kern w:val="0"/>
          <w:sz w:val="32"/>
          <w:szCs w:val="32"/>
          <w:highlight w:val="none"/>
        </w:rPr>
      </w:pP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autoSpaceDE w:val="0"/>
        <w:autoSpaceDN w:val="0"/>
        <w:adjustRightInd w:val="0"/>
        <w:snapToGrid w:val="0"/>
        <w:jc w:val="center"/>
        <w:rPr>
          <w:rFonts w:hint="eastAsia" w:ascii="宋体" w:hAnsi="宋体" w:eastAsia="宋体" w:cs="宋体"/>
          <w:b/>
          <w:color w:val="auto"/>
          <w:kern w:val="0"/>
          <w:sz w:val="32"/>
          <w:szCs w:val="32"/>
          <w:highlight w:val="none"/>
        </w:rPr>
      </w:pPr>
    </w:p>
    <w:p>
      <w:pPr>
        <w:tabs>
          <w:tab w:val="left" w:pos="5670"/>
        </w:tabs>
        <w:autoSpaceDE w:val="0"/>
        <w:autoSpaceDN w:val="0"/>
        <w:adjustRightInd w:val="0"/>
        <w:snapToGrid w:val="0"/>
        <w:spacing w:line="360" w:lineRule="auto"/>
        <w:jc w:val="center"/>
        <w:rPr>
          <w:rFonts w:hint="eastAsia" w:ascii="宋体" w:hAnsi="宋体" w:eastAsia="宋体" w:cs="宋体"/>
          <w:color w:val="auto"/>
          <w:sz w:val="50"/>
          <w:szCs w:val="50"/>
          <w:highlight w:val="none"/>
        </w:rPr>
      </w:pPr>
    </w:p>
    <w:p>
      <w:pPr>
        <w:adjustRightInd w:val="0"/>
        <w:snapToGrid w:val="0"/>
        <w:spacing w:line="900" w:lineRule="exact"/>
        <w:ind w:left="357" w:leftChars="170" w:firstLine="51" w:firstLineChars="16"/>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采</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购</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rPr>
        <w:t>人：</w:t>
      </w:r>
      <w:r>
        <w:rPr>
          <w:rFonts w:hint="eastAsia" w:ascii="宋体" w:hAnsi="宋体" w:eastAsia="宋体" w:cs="宋体"/>
          <w:b/>
          <w:color w:val="auto"/>
          <w:sz w:val="32"/>
          <w:szCs w:val="32"/>
          <w:highlight w:val="none"/>
          <w:lang w:eastAsia="zh-CN"/>
        </w:rPr>
        <w:t>富平县住房和城乡建设局</w:t>
      </w:r>
      <w:r>
        <w:rPr>
          <w:rFonts w:hint="eastAsia" w:ascii="宋体" w:hAnsi="宋体" w:eastAsia="宋体" w:cs="宋体"/>
          <w:b/>
          <w:color w:val="auto"/>
          <w:sz w:val="32"/>
          <w:szCs w:val="32"/>
          <w:highlight w:val="none"/>
          <w:lang w:val="en-US" w:eastAsia="zh-CN"/>
        </w:rPr>
        <w:t xml:space="preserve">  </w:t>
      </w:r>
      <w:r>
        <w:rPr>
          <w:rFonts w:hint="eastAsia" w:ascii="宋体" w:hAnsi="宋体" w:eastAsia="宋体" w:cs="宋体"/>
          <w:b/>
          <w:color w:val="auto"/>
          <w:sz w:val="32"/>
          <w:szCs w:val="32"/>
          <w:highlight w:val="none"/>
          <w:lang w:eastAsia="zh-CN"/>
        </w:rPr>
        <w:t>（盖单位章）</w:t>
      </w:r>
    </w:p>
    <w:p>
      <w:pPr>
        <w:adjustRightInd w:val="0"/>
        <w:snapToGrid w:val="0"/>
        <w:spacing w:line="900" w:lineRule="exact"/>
        <w:ind w:left="357" w:leftChars="170" w:firstLine="51" w:firstLineChars="16"/>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采购代理机构：</w:t>
      </w:r>
      <w:r>
        <w:rPr>
          <w:rFonts w:hint="eastAsia" w:ascii="宋体" w:hAnsi="宋体" w:eastAsia="宋体" w:cs="宋体"/>
          <w:b/>
          <w:color w:val="auto"/>
          <w:sz w:val="32"/>
          <w:szCs w:val="32"/>
          <w:highlight w:val="none"/>
          <w:lang w:eastAsia="zh-CN"/>
        </w:rPr>
        <w:t>鸿民国际工程咨询有限公司（盖单位章）</w:t>
      </w:r>
    </w:p>
    <w:p>
      <w:pPr>
        <w:adjustRightInd w:val="0"/>
        <w:snapToGrid w:val="0"/>
        <w:spacing w:line="900" w:lineRule="exact"/>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二〇二</w:t>
      </w:r>
      <w:r>
        <w:rPr>
          <w:rFonts w:hint="eastAsia" w:ascii="宋体" w:hAnsi="宋体" w:eastAsia="宋体" w:cs="宋体"/>
          <w:b/>
          <w:color w:val="auto"/>
          <w:sz w:val="32"/>
          <w:szCs w:val="32"/>
          <w:highlight w:val="none"/>
          <w:lang w:eastAsia="zh-CN"/>
        </w:rPr>
        <w:t>一</w:t>
      </w:r>
      <w:r>
        <w:rPr>
          <w:rFonts w:hint="eastAsia" w:ascii="宋体" w:hAnsi="宋体" w:eastAsia="宋体" w:cs="宋体"/>
          <w:b/>
          <w:color w:val="auto"/>
          <w:sz w:val="32"/>
          <w:szCs w:val="32"/>
          <w:highlight w:val="none"/>
        </w:rPr>
        <w:t>年</w:t>
      </w:r>
      <w:r>
        <w:rPr>
          <w:rFonts w:hint="eastAsia" w:ascii="宋体" w:hAnsi="宋体" w:cs="宋体"/>
          <w:b/>
          <w:color w:val="auto"/>
          <w:sz w:val="32"/>
          <w:szCs w:val="32"/>
          <w:highlight w:val="none"/>
          <w:lang w:eastAsia="zh-CN"/>
        </w:rPr>
        <w:t>十二</w:t>
      </w:r>
      <w:r>
        <w:rPr>
          <w:rFonts w:hint="eastAsia" w:ascii="宋体" w:hAnsi="宋体" w:eastAsia="宋体" w:cs="宋体"/>
          <w:b/>
          <w:color w:val="auto"/>
          <w:sz w:val="32"/>
          <w:szCs w:val="32"/>
          <w:highlight w:val="none"/>
        </w:rPr>
        <w:t>月</w:t>
      </w:r>
    </w:p>
    <w:p>
      <w:pPr>
        <w:spacing w:line="480" w:lineRule="auto"/>
        <w:jc w:val="center"/>
        <w:textAlignment w:val="baseline"/>
        <w:rPr>
          <w:rFonts w:hint="eastAsia" w:ascii="宋体" w:hAnsi="宋体" w:eastAsia="宋体" w:cs="宋体"/>
          <w:b/>
          <w:color w:val="auto"/>
          <w:sz w:val="40"/>
          <w:szCs w:val="40"/>
          <w:highlight w:val="none"/>
        </w:rPr>
      </w:pPr>
    </w:p>
    <w:p>
      <w:pPr>
        <w:pStyle w:val="2"/>
        <w:rPr>
          <w:rFonts w:hint="eastAsia" w:ascii="宋体" w:hAnsi="宋体" w:eastAsia="宋体" w:cs="宋体"/>
          <w:color w:val="auto"/>
        </w:rPr>
      </w:pPr>
    </w:p>
    <w:p>
      <w:pPr>
        <w:spacing w:line="480" w:lineRule="auto"/>
        <w:jc w:val="center"/>
        <w:textAlignment w:val="baseline"/>
        <w:rPr>
          <w:rFonts w:hint="eastAsia" w:ascii="宋体" w:hAnsi="宋体" w:eastAsia="宋体" w:cs="宋体"/>
          <w:b/>
          <w:color w:val="auto"/>
          <w:sz w:val="40"/>
          <w:szCs w:val="40"/>
          <w:highlight w:val="none"/>
        </w:rPr>
      </w:pPr>
      <w:r>
        <w:rPr>
          <w:rFonts w:hint="eastAsia" w:ascii="宋体" w:hAnsi="宋体" w:eastAsia="宋体" w:cs="宋体"/>
          <w:b/>
          <w:color w:val="auto"/>
          <w:sz w:val="40"/>
          <w:szCs w:val="40"/>
          <w:highlight w:val="none"/>
        </w:rPr>
        <w:t>投标人注意事项</w:t>
      </w:r>
    </w:p>
    <w:bookmarkEnd w:id="0"/>
    <w:bookmarkEnd w:id="1"/>
    <w:p>
      <w:pPr>
        <w:spacing w:line="480" w:lineRule="auto"/>
        <w:textAlignment w:val="baseline"/>
        <w:rPr>
          <w:rFonts w:hint="eastAsia" w:ascii="宋体" w:hAnsi="宋体" w:eastAsia="宋体" w:cs="宋体"/>
          <w:color w:val="auto"/>
          <w:sz w:val="24"/>
          <w:highlight w:val="none"/>
        </w:rPr>
      </w:pPr>
      <w:r>
        <w:rPr>
          <w:rFonts w:hint="eastAsia" w:ascii="宋体" w:hAnsi="宋体" w:eastAsia="宋体" w:cs="宋体"/>
          <w:color w:val="auto"/>
          <w:sz w:val="24"/>
          <w:highlight w:val="none"/>
        </w:rPr>
        <w:t>各投标人：</w:t>
      </w:r>
    </w:p>
    <w:p>
      <w:pPr>
        <w:spacing w:line="480" w:lineRule="auto"/>
        <w:textAlignment w:val="baseline"/>
        <w:rPr>
          <w:rFonts w:hint="eastAsia" w:ascii="宋体" w:hAnsi="宋体" w:eastAsia="宋体" w:cs="宋体"/>
          <w:color w:val="auto"/>
          <w:sz w:val="24"/>
          <w:highlight w:val="none"/>
        </w:rPr>
      </w:pPr>
      <w:r>
        <w:rPr>
          <w:rFonts w:hint="eastAsia" w:ascii="宋体" w:hAnsi="宋体" w:eastAsia="宋体" w:cs="宋体"/>
          <w:color w:val="auto"/>
          <w:sz w:val="24"/>
          <w:highlight w:val="none"/>
        </w:rPr>
        <w:t>请特别注意我们的善意提示和告知</w:t>
      </w:r>
    </w:p>
    <w:p>
      <w:pPr>
        <w:spacing w:line="480" w:lineRule="auto"/>
        <w:ind w:firstLine="480" w:firstLineChars="200"/>
        <w:textAlignment w:val="baseline"/>
        <w:rPr>
          <w:rFonts w:hint="eastAsia" w:ascii="宋体" w:hAnsi="宋体" w:eastAsia="宋体" w:cs="宋体"/>
          <w:color w:val="auto"/>
          <w:sz w:val="24"/>
          <w:highlight w:val="none"/>
        </w:rPr>
      </w:pPr>
      <w:r>
        <w:rPr>
          <w:rFonts w:hint="eastAsia" w:ascii="宋体" w:hAnsi="宋体" w:eastAsia="宋体" w:cs="宋体"/>
          <w:color w:val="auto"/>
          <w:sz w:val="24"/>
          <w:highlight w:val="none"/>
        </w:rPr>
        <w:t>1、请仔细阅读本招标文件并正确理解招标文件各项要求。</w:t>
      </w:r>
    </w:p>
    <w:p>
      <w:pPr>
        <w:spacing w:line="480" w:lineRule="auto"/>
        <w:ind w:firstLine="480" w:firstLineChars="200"/>
        <w:textAlignment w:val="baseline"/>
        <w:rPr>
          <w:rFonts w:hint="eastAsia" w:ascii="宋体" w:hAnsi="宋体" w:eastAsia="宋体" w:cs="宋体"/>
          <w:color w:val="auto"/>
          <w:sz w:val="24"/>
          <w:highlight w:val="none"/>
        </w:rPr>
      </w:pPr>
      <w:r>
        <w:rPr>
          <w:rFonts w:hint="eastAsia" w:ascii="宋体" w:hAnsi="宋体" w:eastAsia="宋体" w:cs="宋体"/>
          <w:color w:val="auto"/>
          <w:sz w:val="24"/>
          <w:highlight w:val="none"/>
        </w:rPr>
        <w:t>2、请严格按照招标文件载明的文件格式要求编制投标文件和报价。</w:t>
      </w:r>
    </w:p>
    <w:p>
      <w:pPr>
        <w:spacing w:line="480" w:lineRule="auto"/>
        <w:ind w:firstLine="480" w:firstLineChars="200"/>
        <w:textAlignment w:val="baseline"/>
        <w:rPr>
          <w:rFonts w:hint="eastAsia" w:ascii="宋体" w:hAnsi="宋体" w:eastAsia="宋体" w:cs="宋体"/>
          <w:color w:val="auto"/>
          <w:sz w:val="24"/>
          <w:highlight w:val="none"/>
        </w:rPr>
      </w:pPr>
      <w:r>
        <w:rPr>
          <w:rFonts w:hint="eastAsia" w:ascii="宋体" w:hAnsi="宋体" w:eastAsia="宋体" w:cs="宋体"/>
          <w:color w:val="auto"/>
          <w:sz w:val="24"/>
          <w:highlight w:val="none"/>
        </w:rPr>
        <w:t>3、请按照要求密封投标文件，并正确标记正、副本。</w:t>
      </w:r>
    </w:p>
    <w:p>
      <w:pPr>
        <w:spacing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4、请于</w:t>
      </w:r>
      <w:r>
        <w:rPr>
          <w:rFonts w:hint="eastAsia" w:ascii="宋体" w:hAnsi="宋体" w:eastAsia="宋体" w:cs="宋体"/>
          <w:b/>
          <w:color w:val="auto"/>
          <w:sz w:val="24"/>
          <w:highlight w:val="none"/>
        </w:rPr>
        <w:t>202</w:t>
      </w:r>
      <w:r>
        <w:rPr>
          <w:rFonts w:hint="eastAsia" w:ascii="宋体" w:hAnsi="宋体" w:cs="宋体"/>
          <w:b/>
          <w:color w:val="auto"/>
          <w:sz w:val="24"/>
          <w:highlight w:val="none"/>
          <w:lang w:val="en-US" w:eastAsia="zh-CN"/>
        </w:rPr>
        <w:t>2</w:t>
      </w:r>
      <w:r>
        <w:rPr>
          <w:rFonts w:hint="eastAsia" w:ascii="宋体" w:hAnsi="宋体" w:eastAsia="宋体" w:cs="宋体"/>
          <w:b/>
          <w:color w:val="auto"/>
          <w:sz w:val="24"/>
          <w:highlight w:val="none"/>
        </w:rPr>
        <w:t>年</w:t>
      </w:r>
      <w:r>
        <w:rPr>
          <w:rFonts w:hint="eastAsia" w:ascii="宋体" w:hAnsi="宋体" w:eastAsia="宋体" w:cs="宋体"/>
          <w:b/>
          <w:color w:val="auto"/>
          <w:sz w:val="24"/>
          <w:highlight w:val="none"/>
          <w:u w:val="single"/>
        </w:rPr>
        <w:t xml:space="preserve"> </w:t>
      </w:r>
      <w:r>
        <w:rPr>
          <w:rFonts w:hint="eastAsia" w:ascii="宋体" w:hAnsi="宋体" w:cs="宋体"/>
          <w:b/>
          <w:color w:val="auto"/>
          <w:sz w:val="24"/>
          <w:highlight w:val="none"/>
          <w:u w:val="single"/>
          <w:lang w:val="en-US" w:eastAsia="zh-CN"/>
        </w:rPr>
        <w:t>01</w:t>
      </w:r>
      <w:r>
        <w:rPr>
          <w:rFonts w:hint="eastAsia" w:ascii="宋体" w:hAnsi="宋体" w:eastAsia="宋体" w:cs="宋体"/>
          <w:b/>
          <w:color w:val="auto"/>
          <w:sz w:val="24"/>
          <w:highlight w:val="none"/>
          <w:u w:val="single"/>
        </w:rPr>
        <w:t xml:space="preserve"> </w:t>
      </w:r>
      <w:r>
        <w:rPr>
          <w:rFonts w:hint="eastAsia" w:ascii="宋体" w:hAnsi="宋体" w:eastAsia="宋体" w:cs="宋体"/>
          <w:b/>
          <w:color w:val="auto"/>
          <w:sz w:val="24"/>
          <w:highlight w:val="none"/>
        </w:rPr>
        <w:t>月</w:t>
      </w:r>
      <w:r>
        <w:rPr>
          <w:rFonts w:hint="eastAsia" w:ascii="宋体" w:hAnsi="宋体" w:eastAsia="宋体" w:cs="宋体"/>
          <w:b/>
          <w:color w:val="auto"/>
          <w:sz w:val="24"/>
          <w:highlight w:val="none"/>
          <w:u w:val="single"/>
        </w:rPr>
        <w:t xml:space="preserve"> </w:t>
      </w:r>
      <w:r>
        <w:rPr>
          <w:rFonts w:hint="eastAsia" w:ascii="宋体" w:hAnsi="宋体" w:cs="宋体"/>
          <w:b/>
          <w:color w:val="auto"/>
          <w:sz w:val="24"/>
          <w:highlight w:val="none"/>
          <w:u w:val="single"/>
          <w:lang w:val="en-US" w:eastAsia="zh-CN"/>
        </w:rPr>
        <w:t xml:space="preserve">21 </w:t>
      </w:r>
      <w:r>
        <w:rPr>
          <w:rFonts w:hint="eastAsia" w:ascii="宋体" w:hAnsi="宋体" w:eastAsia="宋体" w:cs="宋体"/>
          <w:b/>
          <w:color w:val="auto"/>
          <w:sz w:val="24"/>
          <w:highlight w:val="none"/>
        </w:rPr>
        <w:t>日</w:t>
      </w:r>
      <w:r>
        <w:rPr>
          <w:rFonts w:hint="eastAsia" w:ascii="宋体" w:hAnsi="宋体" w:eastAsia="宋体" w:cs="宋体"/>
          <w:b/>
          <w:color w:val="auto"/>
          <w:sz w:val="24"/>
          <w:highlight w:val="none"/>
          <w:u w:val="single"/>
        </w:rPr>
        <w:t xml:space="preserve"> </w:t>
      </w:r>
      <w:r>
        <w:rPr>
          <w:rFonts w:hint="eastAsia" w:ascii="宋体" w:hAnsi="宋体" w:eastAsia="宋体" w:cs="宋体"/>
          <w:b/>
          <w:color w:val="auto"/>
          <w:sz w:val="24"/>
          <w:highlight w:val="none"/>
          <w:u w:val="single"/>
          <w:lang w:val="en-US" w:eastAsia="zh-CN"/>
        </w:rPr>
        <w:t>14</w:t>
      </w:r>
      <w:r>
        <w:rPr>
          <w:rFonts w:hint="eastAsia" w:ascii="宋体" w:hAnsi="宋体" w:eastAsia="宋体" w:cs="宋体"/>
          <w:b/>
          <w:color w:val="auto"/>
          <w:sz w:val="24"/>
          <w:highlight w:val="none"/>
          <w:u w:val="single"/>
        </w:rPr>
        <w:t>:</w:t>
      </w:r>
      <w:r>
        <w:rPr>
          <w:rFonts w:hint="eastAsia" w:ascii="宋体" w:hAnsi="宋体" w:cs="宋体"/>
          <w:b/>
          <w:color w:val="auto"/>
          <w:sz w:val="24"/>
          <w:highlight w:val="none"/>
          <w:u w:val="single"/>
          <w:lang w:val="en-US" w:eastAsia="zh-CN"/>
        </w:rPr>
        <w:t>3</w:t>
      </w:r>
      <w:r>
        <w:rPr>
          <w:rFonts w:hint="eastAsia" w:ascii="宋体" w:hAnsi="宋体" w:eastAsia="宋体" w:cs="宋体"/>
          <w:b/>
          <w:color w:val="auto"/>
          <w:sz w:val="24"/>
          <w:highlight w:val="none"/>
          <w:u w:val="single"/>
        </w:rPr>
        <w:t xml:space="preserve">0 </w:t>
      </w:r>
      <w:r>
        <w:rPr>
          <w:rFonts w:hint="eastAsia" w:ascii="宋体" w:hAnsi="宋体" w:eastAsia="宋体" w:cs="宋体"/>
          <w:b/>
          <w:color w:val="auto"/>
          <w:sz w:val="24"/>
          <w:highlight w:val="none"/>
        </w:rPr>
        <w:t>时前</w:t>
      </w:r>
      <w:r>
        <w:rPr>
          <w:rFonts w:hint="eastAsia" w:ascii="宋体" w:hAnsi="宋体" w:eastAsia="宋体" w:cs="宋体"/>
          <w:color w:val="auto"/>
          <w:sz w:val="24"/>
          <w:highlight w:val="none"/>
        </w:rPr>
        <w:t>，准时到</w:t>
      </w:r>
      <w:r>
        <w:rPr>
          <w:rFonts w:hint="eastAsia" w:ascii="宋体" w:hAnsi="宋体" w:eastAsia="宋体" w:cs="宋体"/>
          <w:color w:val="auto"/>
          <w:sz w:val="24"/>
          <w:highlight w:val="none"/>
          <w:u w:val="single"/>
        </w:rPr>
        <w:t xml:space="preserve">  </w:t>
      </w:r>
      <w:r>
        <w:rPr>
          <w:rFonts w:hint="eastAsia" w:ascii="宋体" w:hAnsi="宋体" w:cs="宋体"/>
          <w:b/>
          <w:color w:val="auto"/>
          <w:sz w:val="24"/>
          <w:highlight w:val="none"/>
          <w:u w:val="single"/>
          <w:lang w:eastAsia="zh-CN"/>
        </w:rPr>
        <w:t>渭南市临渭区西四路林业大厦四层开标室</w:t>
      </w:r>
      <w:r>
        <w:rPr>
          <w:rFonts w:hint="eastAsia" w:ascii="宋体" w:hAnsi="宋体" w:eastAsia="宋体" w:cs="宋体"/>
          <w:b/>
          <w:color w:val="auto"/>
          <w:sz w:val="24"/>
          <w:highlight w:val="none"/>
          <w:u w:val="single"/>
        </w:rPr>
        <w:t xml:space="preserve">   </w:t>
      </w:r>
      <w:r>
        <w:rPr>
          <w:rFonts w:hint="eastAsia" w:ascii="宋体" w:hAnsi="宋体" w:eastAsia="宋体" w:cs="宋体"/>
          <w:color w:val="auto"/>
          <w:sz w:val="24"/>
          <w:highlight w:val="none"/>
        </w:rPr>
        <w:t>参加开标，以免迟误。</w:t>
      </w:r>
    </w:p>
    <w:p>
      <w:pPr>
        <w:spacing w:line="480" w:lineRule="auto"/>
        <w:ind w:firstLine="482" w:firstLineChars="200"/>
        <w:textAlignment w:val="baseline"/>
        <w:rPr>
          <w:rFonts w:hint="eastAsia" w:ascii="宋体" w:hAnsi="宋体" w:eastAsia="宋体" w:cs="宋体"/>
          <w:b/>
          <w:color w:val="auto"/>
          <w:sz w:val="24"/>
          <w:highlight w:val="none"/>
        </w:rPr>
      </w:pPr>
      <w:r>
        <w:rPr>
          <w:rFonts w:hint="eastAsia" w:ascii="宋体" w:hAnsi="宋体" w:eastAsia="宋体" w:cs="宋体"/>
          <w:b/>
          <w:color w:val="auto"/>
          <w:sz w:val="24"/>
          <w:highlight w:val="none"/>
        </w:rPr>
        <w:t>5、请随身携带开标时需提供的以下原件：</w:t>
      </w:r>
    </w:p>
    <w:p>
      <w:pPr>
        <w:spacing w:line="48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法定代表人授权代表参加投标的，须出具法定代表人授权书及授权代表身份证、授权代表本单位证明（投标截止前六个月内出具的养老保险缴纳证明）；法定代表人直接参加投标，只须提交其身份证，并与营业执照上信息一致。</w:t>
      </w:r>
    </w:p>
    <w:p>
      <w:pPr>
        <w:spacing w:line="48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（2）参会代表健康承诺书（见附件）。</w:t>
      </w:r>
    </w:p>
    <w:p>
      <w:pPr>
        <w:spacing w:line="48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6、请到达开标地点后及时签字登记，提交投标文件。</w:t>
      </w:r>
    </w:p>
    <w:p>
      <w:pPr>
        <w:spacing w:line="480" w:lineRule="auto"/>
        <w:ind w:firstLine="480" w:firstLineChars="200"/>
        <w:textAlignment w:val="baseline"/>
        <w:rPr>
          <w:rFonts w:hint="eastAsia" w:ascii="宋体" w:hAnsi="宋体" w:eastAsia="宋体" w:cs="宋体"/>
          <w:color w:val="auto"/>
          <w:sz w:val="24"/>
          <w:highlight w:val="none"/>
        </w:rPr>
      </w:pPr>
      <w:r>
        <w:rPr>
          <w:rFonts w:hint="eastAsia" w:ascii="宋体" w:hAnsi="宋体" w:eastAsia="宋体" w:cs="宋体"/>
          <w:color w:val="auto"/>
          <w:sz w:val="24"/>
          <w:highlight w:val="none"/>
        </w:rPr>
        <w:t>如果您在投标过程中有疑问需要帮助，请与我们的工作人员联系，我们将非常高兴为您提供力所能及的服务。</w:t>
      </w:r>
    </w:p>
    <w:p>
      <w:pPr>
        <w:spacing w:line="48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联 系 人：吝银芳、薛沙     联系电话：0913-2087368</w:t>
      </w:r>
    </w:p>
    <w:p>
      <w:pPr>
        <w:spacing w:line="480" w:lineRule="auto"/>
        <w:ind w:right="480"/>
        <w:jc w:val="right"/>
        <w:rPr>
          <w:rFonts w:hint="eastAsia" w:ascii="宋体" w:hAnsi="宋体" w:eastAsia="宋体" w:cs="宋体"/>
          <w:color w:val="auto"/>
          <w:sz w:val="24"/>
          <w:highlight w:val="none"/>
        </w:rPr>
      </w:pPr>
      <w:r>
        <w:rPr>
          <w:rFonts w:hint="eastAsia" w:ascii="宋体" w:hAnsi="宋体" w:eastAsia="宋体" w:cs="宋体"/>
          <w:color w:val="auto"/>
          <w:sz w:val="24"/>
          <w:highlight w:val="none"/>
        </w:rPr>
        <w:t>二〇二</w:t>
      </w:r>
      <w:r>
        <w:rPr>
          <w:rFonts w:hint="eastAsia" w:ascii="宋体" w:hAnsi="宋体" w:eastAsia="宋体" w:cs="宋体"/>
          <w:color w:val="auto"/>
          <w:sz w:val="24"/>
          <w:highlight w:val="none"/>
          <w:lang w:eastAsia="zh-CN"/>
        </w:rPr>
        <w:t>一</w:t>
      </w:r>
      <w:r>
        <w:rPr>
          <w:rFonts w:hint="eastAsia" w:ascii="宋体" w:hAnsi="宋体" w:eastAsia="宋体" w:cs="宋体"/>
          <w:color w:val="auto"/>
          <w:sz w:val="24"/>
          <w:highlight w:val="none"/>
        </w:rPr>
        <w:t>年</w:t>
      </w:r>
      <w:r>
        <w:rPr>
          <w:rFonts w:hint="eastAsia" w:ascii="宋体" w:hAnsi="宋体" w:cs="宋体"/>
          <w:color w:val="auto"/>
          <w:sz w:val="24"/>
          <w:highlight w:val="none"/>
          <w:lang w:eastAsia="zh-CN"/>
        </w:rPr>
        <w:t>十二</w:t>
      </w:r>
      <w:r>
        <w:rPr>
          <w:rFonts w:hint="eastAsia" w:ascii="宋体" w:hAnsi="宋体" w:eastAsia="宋体" w:cs="宋体"/>
          <w:color w:val="auto"/>
          <w:sz w:val="24"/>
          <w:highlight w:val="none"/>
        </w:rPr>
        <w:t>月</w:t>
      </w:r>
    </w:p>
    <w:p>
      <w:pPr>
        <w:pStyle w:val="22"/>
        <w:rPr>
          <w:rFonts w:hint="eastAsia" w:ascii="宋体" w:hAnsi="宋体" w:eastAsia="宋体" w:cs="宋体"/>
          <w:color w:val="auto"/>
          <w:sz w:val="24"/>
          <w:highlight w:val="none"/>
        </w:rPr>
      </w:pPr>
    </w:p>
    <w:p>
      <w:pPr>
        <w:pStyle w:val="22"/>
        <w:rPr>
          <w:rFonts w:hint="eastAsia" w:ascii="宋体" w:hAnsi="宋体" w:eastAsia="宋体" w:cs="宋体"/>
          <w:color w:val="auto"/>
          <w:sz w:val="24"/>
          <w:highlight w:val="none"/>
        </w:rPr>
      </w:pPr>
    </w:p>
    <w:p>
      <w:pPr>
        <w:pStyle w:val="22"/>
        <w:rPr>
          <w:rFonts w:hint="eastAsia" w:ascii="宋体" w:hAnsi="宋体" w:eastAsia="宋体" w:cs="宋体"/>
          <w:color w:val="auto"/>
          <w:sz w:val="24"/>
          <w:highlight w:val="none"/>
        </w:rPr>
      </w:pPr>
    </w:p>
    <w:p>
      <w:pPr>
        <w:jc w:val="center"/>
        <w:rPr>
          <w:rFonts w:hint="eastAsia" w:ascii="宋体" w:hAnsi="宋体" w:eastAsia="宋体" w:cs="宋体"/>
          <w:b/>
          <w:color w:val="auto"/>
          <w:sz w:val="48"/>
          <w:szCs w:val="48"/>
          <w:highlight w:val="none"/>
        </w:rPr>
      </w:pPr>
      <w:r>
        <w:rPr>
          <w:rFonts w:hint="eastAsia" w:ascii="宋体" w:hAnsi="宋体" w:eastAsia="宋体" w:cs="宋体"/>
          <w:b/>
          <w:color w:val="auto"/>
          <w:sz w:val="48"/>
          <w:szCs w:val="48"/>
          <w:highlight w:val="none"/>
        </w:rPr>
        <w:t>目  录</w:t>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textAlignment w:val="auto"/>
        <w:outlineLvl w:val="9"/>
        <w:rPr>
          <w:rFonts w:hint="eastAsia" w:ascii="宋体" w:hAnsi="宋体" w:eastAsia="宋体" w:cs="宋体"/>
          <w:b/>
          <w:bCs/>
          <w:color w:val="auto"/>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_Toc31653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第一章  招标公告</w:t>
      </w:r>
      <w:r>
        <w:rPr>
          <w:rFonts w:hint="eastAsia" w:ascii="宋体" w:hAnsi="宋体" w:eastAsia="宋体" w:cs="宋体"/>
          <w:b/>
          <w:bCs/>
          <w:color w:val="auto"/>
          <w:sz w:val="24"/>
          <w:szCs w:val="24"/>
        </w:rPr>
        <w:tab/>
      </w:r>
      <w:r>
        <w:rPr>
          <w:rFonts w:hint="eastAsia" w:ascii="宋体" w:hAnsi="宋体" w:eastAsia="宋体" w:cs="宋体"/>
          <w:b/>
          <w:bCs/>
          <w:color w:val="auto"/>
          <w:sz w:val="24"/>
          <w:szCs w:val="24"/>
        </w:rPr>
        <w:fldChar w:fldCharType="begin"/>
      </w:r>
      <w:r>
        <w:rPr>
          <w:rFonts w:hint="eastAsia" w:ascii="宋体" w:hAnsi="宋体" w:eastAsia="宋体" w:cs="宋体"/>
          <w:b/>
          <w:bCs/>
          <w:color w:val="auto"/>
          <w:sz w:val="24"/>
          <w:szCs w:val="24"/>
        </w:rPr>
        <w:instrText xml:space="preserve"> PAGEREF _Toc31653 </w:instrText>
      </w:r>
      <w:r>
        <w:rPr>
          <w:rFonts w:hint="eastAsia" w:ascii="宋体" w:hAnsi="宋体" w:eastAsia="宋体" w:cs="宋体"/>
          <w:b/>
          <w:bCs/>
          <w:color w:val="auto"/>
          <w:sz w:val="24"/>
          <w:szCs w:val="24"/>
        </w:rPr>
        <w:fldChar w:fldCharType="separate"/>
      </w:r>
      <w:r>
        <w:rPr>
          <w:rFonts w:hint="eastAsia" w:ascii="宋体" w:hAnsi="宋体" w:eastAsia="宋体" w:cs="宋体"/>
          <w:b/>
          <w:bCs/>
          <w:color w:val="auto"/>
          <w:sz w:val="24"/>
          <w:szCs w:val="24"/>
        </w:rPr>
        <w:t>5</w:t>
      </w:r>
      <w:r>
        <w:rPr>
          <w:rFonts w:hint="eastAsia" w:ascii="宋体" w:hAnsi="宋体" w:eastAsia="宋体" w:cs="宋体"/>
          <w:b/>
          <w:bCs/>
          <w:color w:val="auto"/>
          <w:sz w:val="24"/>
          <w:szCs w:val="24"/>
        </w:rPr>
        <w:fldChar w:fldCharType="end"/>
      </w:r>
      <w:r>
        <w:rPr>
          <w:rFonts w:hint="eastAsia" w:ascii="宋体" w:hAnsi="宋体" w:eastAsia="宋体" w:cs="宋体"/>
          <w:b/>
          <w:bCs/>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_Toc17787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第二章  投标人须知</w:t>
      </w:r>
      <w:r>
        <w:rPr>
          <w:rFonts w:hint="eastAsia" w:ascii="宋体" w:hAnsi="宋体" w:eastAsia="宋体" w:cs="宋体"/>
          <w:b/>
          <w:bCs/>
          <w:color w:val="auto"/>
          <w:sz w:val="24"/>
          <w:szCs w:val="24"/>
        </w:rPr>
        <w:tab/>
      </w:r>
      <w:r>
        <w:rPr>
          <w:rFonts w:hint="eastAsia" w:ascii="宋体" w:hAnsi="宋体" w:eastAsia="宋体" w:cs="宋体"/>
          <w:b/>
          <w:bCs/>
          <w:color w:val="auto"/>
          <w:sz w:val="24"/>
          <w:szCs w:val="24"/>
        </w:rPr>
        <w:fldChar w:fldCharType="begin"/>
      </w:r>
      <w:r>
        <w:rPr>
          <w:rFonts w:hint="eastAsia" w:ascii="宋体" w:hAnsi="宋体" w:eastAsia="宋体" w:cs="宋体"/>
          <w:b/>
          <w:bCs/>
          <w:color w:val="auto"/>
          <w:sz w:val="24"/>
          <w:szCs w:val="24"/>
        </w:rPr>
        <w:instrText xml:space="preserve"> PAGEREF _Toc17787 </w:instrText>
      </w:r>
      <w:r>
        <w:rPr>
          <w:rFonts w:hint="eastAsia" w:ascii="宋体" w:hAnsi="宋体" w:eastAsia="宋体" w:cs="宋体"/>
          <w:b/>
          <w:bCs/>
          <w:color w:val="auto"/>
          <w:sz w:val="24"/>
          <w:szCs w:val="24"/>
        </w:rPr>
        <w:fldChar w:fldCharType="separate"/>
      </w:r>
      <w:r>
        <w:rPr>
          <w:rFonts w:hint="eastAsia" w:ascii="宋体" w:hAnsi="宋体" w:eastAsia="宋体" w:cs="宋体"/>
          <w:b/>
          <w:bCs/>
          <w:color w:val="auto"/>
          <w:sz w:val="24"/>
          <w:szCs w:val="24"/>
        </w:rPr>
        <w:t>8</w:t>
      </w:r>
      <w:r>
        <w:rPr>
          <w:rFonts w:hint="eastAsia" w:ascii="宋体" w:hAnsi="宋体" w:eastAsia="宋体" w:cs="宋体"/>
          <w:b/>
          <w:bCs/>
          <w:color w:val="auto"/>
          <w:sz w:val="24"/>
          <w:szCs w:val="24"/>
        </w:rPr>
        <w:fldChar w:fldCharType="end"/>
      </w:r>
      <w:r>
        <w:rPr>
          <w:rFonts w:hint="eastAsia" w:ascii="宋体" w:hAnsi="宋体" w:eastAsia="宋体" w:cs="宋体"/>
          <w:b/>
          <w:bCs/>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_Toc12372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一、名词解释</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_Toc12372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8</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_Toc21741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二、招标文件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_Toc21741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_Toc15656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三、招标的内容及要求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_Toc15656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_Toc12814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四、合格投标人所具备的资格证明文件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_Toc12814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_Toc31622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五、投标文件构成</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_Toc31622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_Toc21459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六、投标报价</w:t>
      </w:r>
      <w:r>
        <w:rPr>
          <w:rFonts w:hint="eastAsia" w:ascii="宋体" w:hAnsi="宋体" w:eastAsia="宋体" w:cs="宋体"/>
          <w:color w:val="auto"/>
          <w:sz w:val="24"/>
          <w:szCs w:val="24"/>
          <w:highlight w:val="none"/>
          <w:lang w:eastAsia="zh-CN"/>
        </w:rPr>
        <w:t>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_Toc21459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_Toc25922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七、投标保证金</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_Toc25922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_Toc30883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八、投标文件的式样和签署及有效期</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_Toc30883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_Toc25446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九、投标文件的递交</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_Toc25446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_Toc155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十、评标委员会组建</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_Toc155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_Toc27628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十一、组织开标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_Toc27628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_Toc3801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十二、评标方法及内容</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_Toc3801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_Toc11872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评标分值及评审要素一览表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_Toc11872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_Toc21012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十三、定标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_Toc21012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_Toc20109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zh-CN"/>
        </w:rPr>
        <w:t>十四、履约保证金</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_Toc20109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_Toc5906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十五、</w:t>
      </w:r>
      <w:r>
        <w:rPr>
          <w:rFonts w:hint="eastAsia" w:ascii="宋体" w:hAnsi="宋体" w:eastAsia="宋体" w:cs="宋体"/>
          <w:color w:val="auto"/>
          <w:sz w:val="24"/>
          <w:szCs w:val="24"/>
          <w:highlight w:val="none"/>
          <w:lang w:val="zh-CN"/>
        </w:rPr>
        <w:t>签订</w:t>
      </w:r>
      <w:r>
        <w:rPr>
          <w:rFonts w:hint="eastAsia" w:ascii="宋体" w:hAnsi="宋体" w:eastAsia="宋体" w:cs="宋体"/>
          <w:color w:val="auto"/>
          <w:sz w:val="24"/>
          <w:szCs w:val="24"/>
          <w:highlight w:val="none"/>
        </w:rPr>
        <w:t>政府采购合同</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_Toc5906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_Toc26020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十六、代理服务费</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_Toc26020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_Toc7101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zh-CN"/>
        </w:rPr>
        <w:t>十</w:t>
      </w:r>
      <w:r>
        <w:rPr>
          <w:rFonts w:hint="eastAsia" w:ascii="宋体" w:hAnsi="宋体" w:eastAsia="宋体" w:cs="宋体"/>
          <w:color w:val="auto"/>
          <w:sz w:val="24"/>
          <w:szCs w:val="24"/>
          <w:highlight w:val="none"/>
        </w:rPr>
        <w:t>七</w:t>
      </w:r>
      <w:r>
        <w:rPr>
          <w:rFonts w:hint="eastAsia" w:ascii="宋体" w:hAnsi="宋体" w:eastAsia="宋体" w:cs="宋体"/>
          <w:color w:val="auto"/>
          <w:sz w:val="24"/>
          <w:szCs w:val="24"/>
          <w:highlight w:val="none"/>
          <w:lang w:val="zh-CN"/>
        </w:rPr>
        <w:t>、其他</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_Toc7101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_Toc1401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十八、需要落实的</w:t>
      </w:r>
      <w:r>
        <w:rPr>
          <w:rFonts w:hint="eastAsia" w:ascii="宋体" w:hAnsi="宋体" w:eastAsia="宋体" w:cs="宋体"/>
          <w:color w:val="auto"/>
          <w:sz w:val="24"/>
          <w:szCs w:val="24"/>
          <w:highlight w:val="none"/>
          <w:lang w:val="zh-CN"/>
        </w:rPr>
        <w:t>政府</w:t>
      </w:r>
      <w:r>
        <w:rPr>
          <w:rFonts w:hint="eastAsia" w:ascii="宋体" w:hAnsi="宋体" w:eastAsia="宋体" w:cs="宋体"/>
          <w:color w:val="auto"/>
          <w:sz w:val="24"/>
          <w:szCs w:val="24"/>
          <w:highlight w:val="none"/>
        </w:rPr>
        <w:t>采购政策</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_Toc1401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_Toc4064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zh-CN"/>
        </w:rPr>
        <w:t>十九、</w:t>
      </w:r>
      <w:r>
        <w:rPr>
          <w:rFonts w:hint="eastAsia" w:ascii="宋体" w:hAnsi="宋体" w:eastAsia="宋体" w:cs="宋体"/>
          <w:color w:val="auto"/>
          <w:sz w:val="24"/>
          <w:szCs w:val="24"/>
          <w:highlight w:val="none"/>
        </w:rPr>
        <w:t>处罚、</w:t>
      </w:r>
      <w:r>
        <w:rPr>
          <w:rFonts w:hint="eastAsia" w:ascii="宋体" w:hAnsi="宋体" w:eastAsia="宋体" w:cs="宋体"/>
          <w:color w:val="auto"/>
          <w:sz w:val="24"/>
          <w:szCs w:val="24"/>
          <w:highlight w:val="none"/>
          <w:lang w:val="zh-CN"/>
        </w:rPr>
        <w:t>询问</w:t>
      </w:r>
      <w:r>
        <w:rPr>
          <w:rFonts w:hint="eastAsia" w:ascii="宋体" w:hAnsi="宋体" w:eastAsia="宋体" w:cs="宋体"/>
          <w:color w:val="auto"/>
          <w:sz w:val="24"/>
          <w:szCs w:val="24"/>
          <w:highlight w:val="none"/>
        </w:rPr>
        <w:t>和质疑</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_Toc4064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_Toc5835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val="zh-CN"/>
        </w:rPr>
        <w:t>二十、保函或保单补充说明</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_Toc5835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_Toc22744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 xml:space="preserve">第三章  </w:t>
      </w:r>
      <w:r>
        <w:rPr>
          <w:rFonts w:hint="eastAsia" w:ascii="宋体" w:hAnsi="宋体" w:eastAsia="宋体" w:cs="宋体"/>
          <w:b/>
          <w:bCs/>
          <w:color w:val="auto"/>
          <w:sz w:val="24"/>
          <w:szCs w:val="24"/>
          <w:highlight w:val="none"/>
          <w:lang w:eastAsia="zh-CN"/>
        </w:rPr>
        <w:t>采购内容及要求</w:t>
      </w:r>
      <w:r>
        <w:rPr>
          <w:rFonts w:hint="eastAsia" w:ascii="宋体" w:hAnsi="宋体" w:eastAsia="宋体" w:cs="宋体"/>
          <w:b/>
          <w:bCs/>
          <w:color w:val="auto"/>
          <w:sz w:val="24"/>
          <w:szCs w:val="24"/>
        </w:rPr>
        <w:tab/>
      </w:r>
      <w:r>
        <w:rPr>
          <w:rFonts w:hint="eastAsia" w:ascii="宋体" w:hAnsi="宋体" w:eastAsia="宋体" w:cs="宋体"/>
          <w:b/>
          <w:bCs/>
          <w:color w:val="auto"/>
          <w:sz w:val="24"/>
          <w:szCs w:val="24"/>
        </w:rPr>
        <w:fldChar w:fldCharType="begin"/>
      </w:r>
      <w:r>
        <w:rPr>
          <w:rFonts w:hint="eastAsia" w:ascii="宋体" w:hAnsi="宋体" w:eastAsia="宋体" w:cs="宋体"/>
          <w:b/>
          <w:bCs/>
          <w:color w:val="auto"/>
          <w:sz w:val="24"/>
          <w:szCs w:val="24"/>
        </w:rPr>
        <w:instrText xml:space="preserve"> PAGEREF _Toc22744 </w:instrText>
      </w:r>
      <w:r>
        <w:rPr>
          <w:rFonts w:hint="eastAsia" w:ascii="宋体" w:hAnsi="宋体" w:eastAsia="宋体" w:cs="宋体"/>
          <w:b/>
          <w:bCs/>
          <w:color w:val="auto"/>
          <w:sz w:val="24"/>
          <w:szCs w:val="24"/>
        </w:rPr>
        <w:fldChar w:fldCharType="separate"/>
      </w:r>
      <w:r>
        <w:rPr>
          <w:rFonts w:hint="eastAsia" w:ascii="宋体" w:hAnsi="宋体" w:eastAsia="宋体" w:cs="宋体"/>
          <w:b/>
          <w:bCs/>
          <w:color w:val="auto"/>
          <w:sz w:val="24"/>
          <w:szCs w:val="24"/>
        </w:rPr>
        <w:t>34</w:t>
      </w:r>
      <w:r>
        <w:rPr>
          <w:rFonts w:hint="eastAsia" w:ascii="宋体" w:hAnsi="宋体" w:eastAsia="宋体" w:cs="宋体"/>
          <w:b/>
          <w:bCs/>
          <w:color w:val="auto"/>
          <w:sz w:val="24"/>
          <w:szCs w:val="24"/>
        </w:rPr>
        <w:fldChar w:fldCharType="end"/>
      </w:r>
      <w:r>
        <w:rPr>
          <w:rFonts w:hint="eastAsia" w:ascii="宋体" w:hAnsi="宋体" w:eastAsia="宋体" w:cs="宋体"/>
          <w:b/>
          <w:bCs/>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_Toc29367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第四章  拟签订的合同文本</w:t>
      </w:r>
      <w:r>
        <w:rPr>
          <w:rFonts w:hint="eastAsia" w:ascii="宋体" w:hAnsi="宋体" w:eastAsia="宋体" w:cs="宋体"/>
          <w:b/>
          <w:bCs/>
          <w:color w:val="auto"/>
          <w:sz w:val="24"/>
          <w:szCs w:val="24"/>
        </w:rPr>
        <w:tab/>
      </w:r>
      <w:r>
        <w:rPr>
          <w:rFonts w:hint="eastAsia" w:ascii="宋体" w:hAnsi="宋体" w:eastAsia="宋体" w:cs="宋体"/>
          <w:b/>
          <w:bCs/>
          <w:color w:val="auto"/>
          <w:sz w:val="24"/>
          <w:szCs w:val="24"/>
        </w:rPr>
        <w:fldChar w:fldCharType="begin"/>
      </w:r>
      <w:r>
        <w:rPr>
          <w:rFonts w:hint="eastAsia" w:ascii="宋体" w:hAnsi="宋体" w:eastAsia="宋体" w:cs="宋体"/>
          <w:b/>
          <w:bCs/>
          <w:color w:val="auto"/>
          <w:sz w:val="24"/>
          <w:szCs w:val="24"/>
        </w:rPr>
        <w:instrText xml:space="preserve"> PAGEREF _Toc29367 </w:instrText>
      </w:r>
      <w:r>
        <w:rPr>
          <w:rFonts w:hint="eastAsia" w:ascii="宋体" w:hAnsi="宋体" w:eastAsia="宋体" w:cs="宋体"/>
          <w:b/>
          <w:bCs/>
          <w:color w:val="auto"/>
          <w:sz w:val="24"/>
          <w:szCs w:val="24"/>
        </w:rPr>
        <w:fldChar w:fldCharType="separate"/>
      </w:r>
      <w:r>
        <w:rPr>
          <w:rFonts w:hint="eastAsia" w:ascii="宋体" w:hAnsi="宋体" w:eastAsia="宋体" w:cs="宋体"/>
          <w:b/>
          <w:bCs/>
          <w:color w:val="auto"/>
          <w:sz w:val="24"/>
          <w:szCs w:val="24"/>
        </w:rPr>
        <w:t>35</w:t>
      </w:r>
      <w:r>
        <w:rPr>
          <w:rFonts w:hint="eastAsia" w:ascii="宋体" w:hAnsi="宋体" w:eastAsia="宋体" w:cs="宋体"/>
          <w:b/>
          <w:bCs/>
          <w:color w:val="auto"/>
          <w:sz w:val="24"/>
          <w:szCs w:val="24"/>
        </w:rPr>
        <w:fldChar w:fldCharType="end"/>
      </w:r>
      <w:r>
        <w:rPr>
          <w:rFonts w:hint="eastAsia" w:ascii="宋体" w:hAnsi="宋体" w:eastAsia="宋体" w:cs="宋体"/>
          <w:b/>
          <w:bCs/>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_Toc4987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第一部分</w:t>
      </w:r>
      <w:r>
        <w:rPr>
          <w:rFonts w:hint="eastAsia" w:ascii="宋体" w:hAnsi="宋体" w:eastAsia="宋体" w:cs="宋体"/>
          <w:color w:val="auto"/>
          <w:sz w:val="24"/>
          <w:szCs w:val="24"/>
          <w:highlight w:val="none"/>
          <w:lang w:val="en-US" w:eastAsia="zh-CN"/>
        </w:rPr>
        <w:t xml:space="preserve">  合同协议书</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_Toc4987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36</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_Toc21027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第二部分  通用合同条款</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_Toc21027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39</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_Toc10786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第三部分  专用合同条款</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_Toc10786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40</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highlight w:val="none"/>
        </w:rPr>
        <w:fldChar w:fldCharType="begin"/>
      </w:r>
      <w:r>
        <w:rPr>
          <w:rFonts w:hint="eastAsia" w:ascii="宋体" w:hAnsi="宋体" w:eastAsia="宋体" w:cs="宋体"/>
          <w:b/>
          <w:bCs/>
          <w:color w:val="auto"/>
          <w:sz w:val="24"/>
          <w:szCs w:val="24"/>
          <w:highlight w:val="none"/>
        </w:rPr>
        <w:instrText xml:space="preserve"> HYPERLINK \l _Toc22285 </w:instrText>
      </w:r>
      <w:r>
        <w:rPr>
          <w:rFonts w:hint="eastAsia" w:ascii="宋体" w:hAnsi="宋体" w:eastAsia="宋体" w:cs="宋体"/>
          <w:b/>
          <w:bCs/>
          <w:color w:val="auto"/>
          <w:sz w:val="24"/>
          <w:szCs w:val="24"/>
          <w:highlight w:val="none"/>
        </w:rPr>
        <w:fldChar w:fldCharType="separate"/>
      </w:r>
      <w:r>
        <w:rPr>
          <w:rFonts w:hint="eastAsia" w:ascii="宋体" w:hAnsi="宋体" w:eastAsia="宋体" w:cs="宋体"/>
          <w:b/>
          <w:bCs/>
          <w:color w:val="auto"/>
          <w:sz w:val="24"/>
          <w:szCs w:val="24"/>
          <w:highlight w:val="none"/>
        </w:rPr>
        <w:t>第五章  投标文件构成及格式</w:t>
      </w:r>
      <w:r>
        <w:rPr>
          <w:rFonts w:hint="eastAsia" w:ascii="宋体" w:hAnsi="宋体" w:eastAsia="宋体" w:cs="宋体"/>
          <w:b/>
          <w:bCs/>
          <w:color w:val="auto"/>
          <w:sz w:val="24"/>
          <w:szCs w:val="24"/>
        </w:rPr>
        <w:tab/>
      </w:r>
      <w:r>
        <w:rPr>
          <w:rFonts w:hint="eastAsia" w:ascii="宋体" w:hAnsi="宋体" w:eastAsia="宋体" w:cs="宋体"/>
          <w:b/>
          <w:bCs/>
          <w:color w:val="auto"/>
          <w:sz w:val="24"/>
          <w:szCs w:val="24"/>
        </w:rPr>
        <w:fldChar w:fldCharType="begin"/>
      </w:r>
      <w:r>
        <w:rPr>
          <w:rFonts w:hint="eastAsia" w:ascii="宋体" w:hAnsi="宋体" w:eastAsia="宋体" w:cs="宋体"/>
          <w:b/>
          <w:bCs/>
          <w:color w:val="auto"/>
          <w:sz w:val="24"/>
          <w:szCs w:val="24"/>
        </w:rPr>
        <w:instrText xml:space="preserve"> PAGEREF _Toc22285 </w:instrText>
      </w:r>
      <w:r>
        <w:rPr>
          <w:rFonts w:hint="eastAsia" w:ascii="宋体" w:hAnsi="宋体" w:eastAsia="宋体" w:cs="宋体"/>
          <w:b/>
          <w:bCs/>
          <w:color w:val="auto"/>
          <w:sz w:val="24"/>
          <w:szCs w:val="24"/>
        </w:rPr>
        <w:fldChar w:fldCharType="separate"/>
      </w:r>
      <w:r>
        <w:rPr>
          <w:rFonts w:hint="eastAsia" w:ascii="宋体" w:hAnsi="宋体" w:eastAsia="宋体" w:cs="宋体"/>
          <w:b/>
          <w:bCs/>
          <w:color w:val="auto"/>
          <w:sz w:val="24"/>
          <w:szCs w:val="24"/>
        </w:rPr>
        <w:t>61</w:t>
      </w:r>
      <w:r>
        <w:rPr>
          <w:rFonts w:hint="eastAsia" w:ascii="宋体" w:hAnsi="宋体" w:eastAsia="宋体" w:cs="宋体"/>
          <w:b/>
          <w:bCs/>
          <w:color w:val="auto"/>
          <w:sz w:val="24"/>
          <w:szCs w:val="24"/>
        </w:rPr>
        <w:fldChar w:fldCharType="end"/>
      </w:r>
      <w:r>
        <w:rPr>
          <w:rFonts w:hint="eastAsia" w:ascii="宋体" w:hAnsi="宋体" w:eastAsia="宋体" w:cs="宋体"/>
          <w:b/>
          <w:bCs/>
          <w:color w:val="auto"/>
          <w:sz w:val="24"/>
          <w:szCs w:val="24"/>
          <w:highlight w:val="none"/>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_Toc198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一、投标函及投标函附录</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_Toc198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63</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_Toc23710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二、法定代表人身份证明书和法定代表人授权委托书</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_Toc23710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66</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_Toc8576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三、投标人资格证明材料</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_Toc8576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68</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_Toc24396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四、近年类似业绩</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_Toc24396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71</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_Toc32638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五、施工组织设计</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_Toc32638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72</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_Toc21844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六、政府采购投标人拒绝政府采购领域商业贿赂承诺书</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_Toc21844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73</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_Toc9985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七、采购项目需要落实的政府采购政策证明文件</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_Toc9985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74</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HYPERLINK \l _Toc5405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八、已标价工程量清单</w:t>
      </w:r>
      <w:r>
        <w:rPr>
          <w:rFonts w:hint="eastAsia" w:ascii="宋体" w:hAnsi="宋体" w:eastAsia="宋体" w:cs="宋体"/>
          <w:color w:val="auto"/>
          <w:sz w:val="24"/>
          <w:szCs w:val="24"/>
          <w:highlight w:val="none"/>
          <w:lang w:val="en-US" w:eastAsia="zh-CN"/>
        </w:rPr>
        <w:tab/>
      </w:r>
      <w:r>
        <w:rPr>
          <w:rFonts w:hint="eastAsia" w:ascii="宋体" w:hAnsi="宋体" w:eastAsia="宋体" w:cs="宋体"/>
          <w:color w:val="auto"/>
          <w:sz w:val="24"/>
          <w:szCs w:val="24"/>
          <w:highlight w:val="none"/>
          <w:lang w:val="en-US" w:eastAsia="zh-CN"/>
        </w:rPr>
        <w:fldChar w:fldCharType="begin"/>
      </w:r>
      <w:r>
        <w:rPr>
          <w:rFonts w:hint="eastAsia" w:ascii="宋体" w:hAnsi="宋体" w:eastAsia="宋体" w:cs="宋体"/>
          <w:color w:val="auto"/>
          <w:sz w:val="24"/>
          <w:szCs w:val="24"/>
          <w:highlight w:val="none"/>
          <w:lang w:val="en-US" w:eastAsia="zh-CN"/>
        </w:rPr>
        <w:instrText xml:space="preserve"> PAGEREF _Toc5405 </w:instrText>
      </w:r>
      <w:r>
        <w:rPr>
          <w:rFonts w:hint="eastAsia" w:ascii="宋体" w:hAnsi="宋体" w:eastAsia="宋体" w:cs="宋体"/>
          <w:color w:val="auto"/>
          <w:sz w:val="24"/>
          <w:szCs w:val="24"/>
          <w:highlight w:val="none"/>
          <w:lang w:val="en-US" w:eastAsia="zh-CN"/>
        </w:rPr>
        <w:fldChar w:fldCharType="separate"/>
      </w:r>
      <w:r>
        <w:rPr>
          <w:rFonts w:hint="eastAsia" w:ascii="宋体" w:hAnsi="宋体" w:eastAsia="宋体" w:cs="宋体"/>
          <w:color w:val="auto"/>
          <w:sz w:val="24"/>
          <w:szCs w:val="24"/>
          <w:highlight w:val="none"/>
          <w:lang w:val="en-US" w:eastAsia="zh-CN"/>
        </w:rPr>
        <w:t>74</w:t>
      </w:r>
      <w:r>
        <w:rPr>
          <w:rFonts w:hint="eastAsia" w:ascii="宋体" w:hAnsi="宋体" w:eastAsia="宋体" w:cs="宋体"/>
          <w:color w:val="auto"/>
          <w:sz w:val="24"/>
          <w:szCs w:val="24"/>
          <w:highlight w:val="none"/>
          <w:lang w:val="en-US" w:eastAsia="zh-CN"/>
        </w:rPr>
        <w:fldChar w:fldCharType="end"/>
      </w:r>
      <w:r>
        <w:rPr>
          <w:rFonts w:hint="eastAsia" w:ascii="宋体" w:hAnsi="宋体" w:eastAsia="宋体" w:cs="宋体"/>
          <w:color w:val="auto"/>
          <w:sz w:val="24"/>
          <w:szCs w:val="24"/>
          <w:highlight w:val="none"/>
          <w:lang w:val="en-US" w:eastAsia="zh-CN"/>
        </w:rPr>
        <w:fldChar w:fldCharType="end"/>
      </w:r>
    </w:p>
    <w:p>
      <w:pPr>
        <w:pStyle w:val="56"/>
        <w:keepNext w:val="0"/>
        <w:keepLines w:val="0"/>
        <w:pageBreakBefore w:val="0"/>
        <w:widowControl w:val="0"/>
        <w:tabs>
          <w:tab w:val="right" w:leader="dot" w:pos="8788"/>
        </w:tabs>
        <w:kinsoku/>
        <w:wordWrap/>
        <w:overflowPunct/>
        <w:topLinePunct w:val="0"/>
        <w:autoSpaceDE/>
        <w:autoSpaceDN/>
        <w:bidi w:val="0"/>
        <w:adjustRightInd/>
        <w:snapToGrid/>
        <w:spacing w:line="560" w:lineRule="exac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_Toc19283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kern w:val="44"/>
          <w:sz w:val="24"/>
          <w:szCs w:val="24"/>
          <w:highlight w:val="none"/>
        </w:rPr>
        <w:t>投标文件封袋正面标识式样</w:t>
      </w:r>
      <w:r>
        <w:rPr>
          <w:rFonts w:hint="eastAsia" w:ascii="宋体" w:hAnsi="宋体" w:eastAsia="宋体" w:cs="宋体"/>
          <w:color w:val="auto"/>
          <w:sz w:val="24"/>
          <w:szCs w:val="24"/>
        </w:rPr>
        <w:tab/>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PAGEREF _Toc19283 </w:instrText>
      </w:r>
      <w:r>
        <w:rPr>
          <w:rFonts w:hint="eastAsia" w:ascii="宋体" w:hAnsi="宋体" w:eastAsia="宋体" w:cs="宋体"/>
          <w:color w:val="auto"/>
          <w:sz w:val="24"/>
          <w:szCs w:val="24"/>
        </w:rPr>
        <w:fldChar w:fldCharType="separate"/>
      </w:r>
      <w:r>
        <w:rPr>
          <w:rFonts w:hint="eastAsia" w:ascii="宋体" w:hAnsi="宋体" w:eastAsia="宋体" w:cs="宋体"/>
          <w:color w:val="auto"/>
          <w:sz w:val="24"/>
          <w:szCs w:val="24"/>
        </w:rPr>
        <w:t>79</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highlight w:val="none"/>
        </w:rPr>
        <w:fldChar w:fldCharType="end"/>
      </w:r>
    </w:p>
    <w:p>
      <w:pPr>
        <w:rPr>
          <w:rFonts w:hint="eastAsia" w:ascii="宋体" w:hAnsi="宋体" w:eastAsia="宋体" w:cs="宋体"/>
          <w:color w:val="auto"/>
          <w:sz w:val="24"/>
          <w:szCs w:val="24"/>
          <w:highlight w:val="none"/>
        </w:rPr>
      </w:pPr>
    </w:p>
    <w:p>
      <w:pPr>
        <w:pStyle w:val="2"/>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pStyle w:val="2"/>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pStyle w:val="2"/>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pStyle w:val="2"/>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pStyle w:val="2"/>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pStyle w:val="2"/>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pStyle w:val="2"/>
        <w:rPr>
          <w:rFonts w:hint="eastAsia" w:ascii="宋体" w:hAnsi="宋体" w:eastAsia="宋体" w:cs="宋体"/>
          <w:color w:val="auto"/>
        </w:rPr>
      </w:pPr>
    </w:p>
    <w:p>
      <w:pPr>
        <w:pStyle w:val="3"/>
        <w:keepLines/>
        <w:spacing w:before="340" w:after="330" w:line="360" w:lineRule="auto"/>
        <w:ind w:left="210" w:leftChars="100"/>
        <w:rPr>
          <w:rFonts w:hint="eastAsia" w:ascii="宋体" w:hAnsi="宋体" w:eastAsia="宋体" w:cs="宋体"/>
          <w:b/>
          <w:color w:val="auto"/>
          <w:sz w:val="44"/>
          <w:szCs w:val="44"/>
          <w:highlight w:val="none"/>
        </w:rPr>
      </w:pPr>
      <w:r>
        <w:rPr>
          <w:rFonts w:hint="eastAsia" w:ascii="宋体" w:hAnsi="宋体" w:eastAsia="宋体" w:cs="宋体"/>
          <w:color w:val="auto"/>
          <w:sz w:val="24"/>
          <w:szCs w:val="24"/>
          <w:highlight w:val="none"/>
        </w:rPr>
        <w:fldChar w:fldCharType="end"/>
      </w:r>
      <w:bookmarkStart w:id="2" w:name="_Toc31653"/>
      <w:r>
        <w:rPr>
          <w:rFonts w:hint="eastAsia" w:ascii="宋体" w:hAnsi="宋体" w:eastAsia="宋体" w:cs="宋体"/>
          <w:b/>
          <w:color w:val="auto"/>
          <w:sz w:val="44"/>
          <w:szCs w:val="44"/>
          <w:highlight w:val="none"/>
        </w:rPr>
        <w:t>第一章  招标公告</w:t>
      </w:r>
      <w:bookmarkEnd w:id="2"/>
    </w:p>
    <w:p>
      <w:pPr>
        <w:pStyle w:val="708"/>
        <w:widowControl/>
        <w:spacing w:before="0" w:line="360" w:lineRule="auto"/>
        <w:jc w:val="center"/>
        <w:rPr>
          <w:rFonts w:hint="eastAsia" w:ascii="宋体" w:hAnsi="宋体" w:eastAsia="宋体" w:cs="宋体"/>
          <w:color w:val="auto"/>
          <w:sz w:val="32"/>
          <w:szCs w:val="32"/>
          <w:highlight w:val="none"/>
        </w:rPr>
      </w:pPr>
      <w:r>
        <w:rPr>
          <w:rFonts w:hint="eastAsia" w:ascii="宋体" w:hAnsi="宋体" w:cs="宋体"/>
          <w:color w:val="auto"/>
          <w:sz w:val="32"/>
          <w:szCs w:val="32"/>
          <w:highlight w:val="none"/>
          <w:lang w:eastAsia="zh-CN"/>
        </w:rPr>
        <w:t>富平县灯饰修缮工程</w:t>
      </w:r>
      <w:r>
        <w:rPr>
          <w:rFonts w:hint="eastAsia" w:ascii="宋体" w:hAnsi="宋体" w:eastAsia="宋体" w:cs="宋体"/>
          <w:color w:val="auto"/>
          <w:sz w:val="32"/>
          <w:szCs w:val="32"/>
          <w:highlight w:val="none"/>
        </w:rPr>
        <w:t>公开招标公告</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富平县灯饰修缮工程</w:t>
      </w:r>
      <w:r>
        <w:rPr>
          <w:rFonts w:hint="eastAsia" w:ascii="宋体" w:hAnsi="宋体" w:eastAsia="宋体" w:cs="宋体"/>
          <w:color w:val="auto"/>
          <w:sz w:val="24"/>
          <w:szCs w:val="24"/>
          <w:highlight w:val="none"/>
        </w:rPr>
        <w:t>招标项目潜在的投标人可在</w:t>
      </w:r>
      <w:r>
        <w:rPr>
          <w:rFonts w:hint="eastAsia" w:ascii="宋体" w:hAnsi="宋体" w:cs="宋体"/>
          <w:color w:val="auto"/>
          <w:sz w:val="24"/>
          <w:szCs w:val="24"/>
          <w:highlight w:val="none"/>
          <w:lang w:eastAsia="zh-CN"/>
        </w:rPr>
        <w:t>渭南市临渭区西四路林业大厦四层开标室</w:t>
      </w:r>
      <w:r>
        <w:rPr>
          <w:rFonts w:hint="eastAsia" w:ascii="宋体" w:hAnsi="宋体" w:eastAsia="宋体" w:cs="宋体"/>
          <w:color w:val="auto"/>
          <w:sz w:val="24"/>
          <w:szCs w:val="24"/>
          <w:highlight w:val="none"/>
        </w:rPr>
        <w:t>获取招标文件，并于202</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0</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21</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0:00前递交投标文件。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一、项目基本情况：</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1、项目编号：</w:t>
      </w:r>
      <w:r>
        <w:rPr>
          <w:rFonts w:hint="eastAsia" w:ascii="宋体" w:hAnsi="宋体" w:cs="宋体"/>
          <w:color w:val="auto"/>
          <w:sz w:val="24"/>
          <w:szCs w:val="24"/>
          <w:highlight w:val="none"/>
          <w:lang w:eastAsia="zh-CN"/>
        </w:rPr>
        <w:t>HMGJ-DL-2021-064</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2、项目名称：</w:t>
      </w:r>
      <w:r>
        <w:rPr>
          <w:rFonts w:hint="eastAsia" w:ascii="宋体" w:hAnsi="宋体" w:cs="宋体"/>
          <w:color w:val="auto"/>
          <w:sz w:val="24"/>
          <w:szCs w:val="24"/>
          <w:highlight w:val="none"/>
          <w:lang w:eastAsia="zh-CN"/>
        </w:rPr>
        <w:t>富平县灯饰修缮工程</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3、预算金额：</w:t>
      </w:r>
      <w:r>
        <w:rPr>
          <w:rFonts w:hint="eastAsia" w:ascii="宋体" w:hAnsi="宋体" w:cs="宋体"/>
          <w:color w:val="auto"/>
          <w:sz w:val="24"/>
          <w:szCs w:val="24"/>
          <w:highlight w:val="none"/>
          <w:lang w:val="en-US" w:eastAsia="zh-CN"/>
        </w:rPr>
        <w:t>8,100,000.00</w:t>
      </w:r>
      <w:r>
        <w:rPr>
          <w:rFonts w:hint="eastAsia" w:ascii="宋体" w:hAnsi="宋体" w:eastAsia="宋体" w:cs="宋体"/>
          <w:color w:val="auto"/>
          <w:sz w:val="24"/>
          <w:szCs w:val="24"/>
          <w:highlight w:val="none"/>
          <w:lang w:eastAsia="zh-CN"/>
        </w:rPr>
        <w:t>元</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4、最高限价：</w:t>
      </w:r>
      <w:r>
        <w:rPr>
          <w:rFonts w:hint="eastAsia" w:ascii="宋体" w:hAnsi="宋体" w:cs="宋体"/>
          <w:color w:val="auto"/>
          <w:sz w:val="24"/>
          <w:szCs w:val="24"/>
          <w:highlight w:val="none"/>
          <w:lang w:eastAsia="zh-CN"/>
        </w:rPr>
        <w:t>7</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lang w:eastAsia="zh-CN"/>
        </w:rPr>
        <w:t>867</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lang w:eastAsia="zh-CN"/>
        </w:rPr>
        <w:t>320.34</w:t>
      </w:r>
      <w:r>
        <w:rPr>
          <w:rFonts w:hint="eastAsia" w:ascii="宋体" w:hAnsi="宋体" w:eastAsia="宋体" w:cs="宋体"/>
          <w:color w:val="auto"/>
          <w:sz w:val="24"/>
          <w:szCs w:val="24"/>
          <w:highlight w:val="none"/>
          <w:lang w:eastAsia="zh-CN"/>
        </w:rPr>
        <w:t>元</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5、采购需求：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富平县灯饰修缮工程</w:t>
      </w:r>
      <w:r>
        <w:rPr>
          <w:rFonts w:hint="eastAsia" w:ascii="宋体" w:hAnsi="宋体" w:eastAsia="宋体" w:cs="宋体"/>
          <w:color w:val="auto"/>
          <w:sz w:val="24"/>
          <w:szCs w:val="24"/>
          <w:highlight w:val="none"/>
        </w:rPr>
        <w:t>，1项，</w:t>
      </w:r>
      <w:r>
        <w:rPr>
          <w:rFonts w:hint="eastAsia" w:ascii="宋体" w:hAnsi="宋体" w:eastAsia="宋体" w:cs="宋体"/>
          <w:b/>
          <w:bCs/>
          <w:color w:val="auto"/>
          <w:sz w:val="24"/>
          <w:szCs w:val="24"/>
          <w:highlight w:val="none"/>
        </w:rPr>
        <w:t>预算金额：</w:t>
      </w:r>
      <w:r>
        <w:rPr>
          <w:rFonts w:hint="eastAsia" w:ascii="宋体" w:hAnsi="宋体" w:cs="宋体"/>
          <w:color w:val="auto"/>
          <w:sz w:val="24"/>
          <w:szCs w:val="24"/>
          <w:highlight w:val="none"/>
          <w:lang w:val="en-US" w:eastAsia="zh-CN"/>
        </w:rPr>
        <w:t>8,100,000.00</w:t>
      </w:r>
      <w:r>
        <w:rPr>
          <w:rFonts w:hint="eastAsia" w:ascii="宋体" w:hAnsi="宋体" w:eastAsia="宋体" w:cs="宋体"/>
          <w:color w:val="auto"/>
          <w:sz w:val="24"/>
          <w:szCs w:val="24"/>
          <w:highlight w:val="none"/>
          <w:lang w:eastAsia="zh-CN"/>
        </w:rPr>
        <w:t>元</w:t>
      </w:r>
      <w:r>
        <w:rPr>
          <w:rFonts w:hint="eastAsia" w:ascii="宋体" w:hAnsi="宋体" w:eastAsia="宋体" w:cs="宋体"/>
          <w:color w:val="auto"/>
          <w:sz w:val="24"/>
          <w:szCs w:val="24"/>
          <w:highlight w:val="none"/>
        </w:rPr>
        <w:t>，</w:t>
      </w:r>
      <w:r>
        <w:rPr>
          <w:rFonts w:hint="eastAsia" w:ascii="宋体" w:hAnsi="宋体" w:eastAsia="宋体" w:cs="宋体"/>
          <w:b/>
          <w:bCs/>
          <w:color w:val="auto"/>
          <w:sz w:val="24"/>
          <w:szCs w:val="24"/>
          <w:highlight w:val="none"/>
        </w:rPr>
        <w:t>项目概况：</w:t>
      </w:r>
      <w:r>
        <w:rPr>
          <w:rFonts w:hint="eastAsia" w:ascii="宋体" w:hAnsi="宋体" w:cs="宋体"/>
          <w:color w:val="auto"/>
          <w:sz w:val="24"/>
          <w:szCs w:val="24"/>
          <w:highlight w:val="none"/>
          <w:lang w:val="en-US" w:eastAsia="zh-CN"/>
        </w:rPr>
        <w:t>（1）富庶太平结安装，包括昌平大街、环城东路、富昌路南延、莲湖大街、南韩大街、杜村东街、富翔路以及频山大道共8条市政道路，更换993套。（2）卡通迎宾柿子灯安装，包括人民路和频阳大街共2条市政道路，更换85套。</w:t>
      </w:r>
      <w:r>
        <w:rPr>
          <w:rFonts w:hint="eastAsia" w:ascii="宋体" w:hAnsi="宋体" w:eastAsia="宋体" w:cs="宋体"/>
          <w:b/>
          <w:bCs/>
          <w:color w:val="auto"/>
          <w:sz w:val="24"/>
          <w:szCs w:val="24"/>
          <w:highlight w:val="none"/>
        </w:rPr>
        <w:t>简要技术要求、用途：</w:t>
      </w:r>
      <w:r>
        <w:rPr>
          <w:rFonts w:hint="eastAsia" w:ascii="宋体" w:hAnsi="宋体" w:cs="宋体"/>
          <w:color w:val="auto"/>
          <w:sz w:val="24"/>
          <w:szCs w:val="24"/>
          <w:highlight w:val="none"/>
          <w:lang w:eastAsia="zh-CN"/>
        </w:rPr>
        <w:t>灯饰修缮。</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6、合同履行期限：</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02</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01</w:t>
      </w:r>
      <w:r>
        <w:rPr>
          <w:rFonts w:hint="eastAsia" w:ascii="宋体" w:hAnsi="宋体" w:eastAsia="宋体" w:cs="宋体"/>
          <w:color w:val="auto"/>
          <w:sz w:val="24"/>
          <w:szCs w:val="24"/>
          <w:highlight w:val="none"/>
        </w:rPr>
        <w:t xml:space="preserve"> 00:00:00 至 202</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03</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03</w:t>
      </w:r>
      <w:r>
        <w:rPr>
          <w:rFonts w:hint="eastAsia" w:ascii="宋体" w:hAnsi="宋体" w:eastAsia="宋体" w:cs="宋体"/>
          <w:color w:val="auto"/>
          <w:sz w:val="24"/>
          <w:szCs w:val="24"/>
          <w:highlight w:val="none"/>
        </w:rPr>
        <w:t xml:space="preserve"> 00:00:00（具体</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起止日期可随合同签订时间相应顺延）</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7、本项目是否接受联合体投标：</w:t>
      </w:r>
      <w:r>
        <w:rPr>
          <w:rFonts w:hint="eastAsia" w:ascii="宋体" w:hAnsi="宋体" w:eastAsia="宋体" w:cs="宋体"/>
          <w:color w:val="auto"/>
          <w:sz w:val="24"/>
          <w:szCs w:val="24"/>
          <w:highlight w:val="none"/>
        </w:rPr>
        <w:t>否</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二、投标人的资格要求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1、满足《中华人民共和国政府采购法》第二十二条的规定；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落实政府采购政策需满足的资格要求：①《财政部 国家发展改革委关于印发〈节能产品政府采购实施意见〉的通知》（财库〔2004〕185号）；②《国务院办公厅关于建立政府强制采购节能产品制度的通知》（国办发〔2007〕51号）；③《财政部环保总局关于环境标志产品政府采购实施的意见》（财库〔2006〕90号）；④《财政部 司法部关于政府采购支持监狱企业发展有关问题的通知》（财库〔2014〕68号）；⑤《三部门联合发布关于促进残疾人就业政府采购政策的通知》（财库〔2017〕141号）；⑥《财政部 发展改革委 生态环境部 市场监管总局关于调整优化节能产品、环境标志产品政府采购执行机制的通知》（财库〔2019〕9号）；⑦《政府采购促进中小企业发展管理办法》（财库〔2020〕46号）；⑧《陕西省中小企业政府采购信用融资办法》（陕财办采〔2018〕23号）；⑨《关于运用政府采购政策支持乡村产业振兴的通知》（财库〔2021〕19号）</w:t>
      </w:r>
      <w:r>
        <w:rPr>
          <w:rFonts w:hint="eastAsia" w:ascii="宋体" w:hAnsi="宋体" w:cs="宋体"/>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本项目的特定资格条件：①法定代表人授权代表参加投标的，须出具法定代表人授权书及授权代表身份证、授权代表本单位证明（投标截止前六个月内出具的养老保险缴纳证明）。法定代表人直接参加投标，只须提交其身份证，并与营业执照上信息一致。②</w:t>
      </w:r>
      <w:r>
        <w:rPr>
          <w:rFonts w:hint="eastAsia" w:ascii="宋体" w:hAnsi="宋体" w:eastAsia="宋体" w:cs="宋体"/>
          <w:color w:val="auto"/>
          <w:kern w:val="0"/>
          <w:sz w:val="24"/>
          <w:szCs w:val="24"/>
          <w:highlight w:val="none"/>
          <w:lang w:val="en-US" w:eastAsia="zh-CN"/>
        </w:rPr>
        <w:t>投标人具有独立承担民事责任能力的企业法人、事业法人或其他组织，提供三证合一的营业执照（事业单位须具有事业单位法人证、组织机构代码证等证明文件；其他组织应提供合法证明文件）。③投标人需具备建设行政主管部门颁发的</w:t>
      </w:r>
      <w:r>
        <w:rPr>
          <w:rFonts w:hint="eastAsia" w:ascii="宋体" w:hAnsi="宋体" w:cs="宋体"/>
          <w:color w:val="auto"/>
          <w:kern w:val="0"/>
          <w:sz w:val="24"/>
          <w:szCs w:val="24"/>
          <w:highlight w:val="none"/>
          <w:lang w:val="en-US" w:eastAsia="zh-CN"/>
        </w:rPr>
        <w:t>市政公用工程施工总承包三级及以上资质或城市及道路照明工程专业承包二级</w:t>
      </w:r>
      <w:r>
        <w:rPr>
          <w:rFonts w:hint="eastAsia" w:ascii="宋体" w:hAnsi="宋体" w:eastAsia="宋体" w:cs="宋体"/>
          <w:color w:val="auto"/>
          <w:kern w:val="0"/>
          <w:sz w:val="24"/>
          <w:szCs w:val="24"/>
          <w:highlight w:val="none"/>
          <w:lang w:val="en-US" w:eastAsia="zh-CN"/>
        </w:rPr>
        <w:t>及以上资质。④投标人具备有效的安全生产许可证。⑤投标人拟派项目经理具备有效的</w:t>
      </w:r>
      <w:r>
        <w:rPr>
          <w:rFonts w:hint="eastAsia" w:ascii="宋体" w:hAnsi="宋体" w:cs="宋体"/>
          <w:color w:val="auto"/>
          <w:kern w:val="0"/>
          <w:sz w:val="24"/>
          <w:szCs w:val="24"/>
          <w:highlight w:val="none"/>
          <w:lang w:val="en-US" w:eastAsia="zh-CN"/>
        </w:rPr>
        <w:t>市政公用工程或机电工程专业二级</w:t>
      </w:r>
      <w:r>
        <w:rPr>
          <w:rFonts w:hint="eastAsia" w:ascii="宋体" w:hAnsi="宋体" w:eastAsia="宋体" w:cs="宋体"/>
          <w:color w:val="auto"/>
          <w:kern w:val="0"/>
          <w:sz w:val="24"/>
          <w:szCs w:val="24"/>
          <w:highlight w:val="none"/>
          <w:lang w:val="en-US" w:eastAsia="zh-CN"/>
        </w:rPr>
        <w:t>及以上建造师注册证书，并具备有效的安全生产考核合格证书（建安B证），提供无在建项目承诺。⑥外省企业须在“陕西省建筑市场监管与诚信信息一体化平台”备案，且无不良记录。⑦财务状况报告：法人提供经会计师事务所审计的2020年度的财务报告或提交投标文件递交截止时间前六个月内其基本账户开户银行出具的资信证明；其他组织提供银行出具的资信证明或财务报表（附开户许可证或基本存款账户信息）。⑧税收缴纳证明：法人提供</w:t>
      </w:r>
      <w:r>
        <w:rPr>
          <w:rFonts w:hint="eastAsia" w:ascii="宋体" w:hAnsi="宋体" w:cs="宋体"/>
          <w:color w:val="auto"/>
          <w:kern w:val="0"/>
          <w:sz w:val="24"/>
          <w:szCs w:val="24"/>
          <w:highlight w:val="none"/>
          <w:lang w:val="en-US" w:eastAsia="zh-CN"/>
        </w:rPr>
        <w:t>2021年6月以来</w:t>
      </w:r>
      <w:r>
        <w:rPr>
          <w:rFonts w:hint="eastAsia" w:ascii="宋体" w:hAnsi="宋体" w:eastAsia="宋体" w:cs="宋体"/>
          <w:color w:val="auto"/>
          <w:kern w:val="0"/>
          <w:sz w:val="24"/>
          <w:szCs w:val="24"/>
          <w:highlight w:val="none"/>
          <w:lang w:val="en-US" w:eastAsia="zh-CN"/>
        </w:rPr>
        <w:t>任意一个月已缴纳的增值税或企业所得税的凭据；其他组织提供</w:t>
      </w:r>
      <w:r>
        <w:rPr>
          <w:rFonts w:hint="eastAsia" w:ascii="宋体" w:hAnsi="宋体" w:cs="宋体"/>
          <w:color w:val="auto"/>
          <w:kern w:val="0"/>
          <w:sz w:val="24"/>
          <w:szCs w:val="24"/>
          <w:highlight w:val="none"/>
          <w:lang w:val="en-US" w:eastAsia="zh-CN"/>
        </w:rPr>
        <w:t>2021年6月以来</w:t>
      </w:r>
      <w:r>
        <w:rPr>
          <w:rFonts w:hint="eastAsia" w:ascii="宋体" w:hAnsi="宋体" w:eastAsia="宋体" w:cs="宋体"/>
          <w:color w:val="auto"/>
          <w:kern w:val="0"/>
          <w:sz w:val="24"/>
          <w:szCs w:val="24"/>
          <w:highlight w:val="none"/>
          <w:lang w:val="en-US" w:eastAsia="zh-CN"/>
        </w:rPr>
        <w:t>任意一个月缴纳税收的凭据；依法免税的投标人应提供相关文件证明。⑨社会保障资金缴纳证明：提供</w:t>
      </w:r>
      <w:r>
        <w:rPr>
          <w:rFonts w:hint="eastAsia" w:ascii="宋体" w:hAnsi="宋体" w:cs="宋体"/>
          <w:color w:val="auto"/>
          <w:kern w:val="0"/>
          <w:sz w:val="24"/>
          <w:szCs w:val="24"/>
          <w:highlight w:val="none"/>
          <w:lang w:val="en-US" w:eastAsia="zh-CN"/>
        </w:rPr>
        <w:t>2021年6月以来</w:t>
      </w:r>
      <w:r>
        <w:rPr>
          <w:rFonts w:hint="eastAsia" w:ascii="宋体" w:hAnsi="宋体" w:eastAsia="宋体" w:cs="宋体"/>
          <w:color w:val="auto"/>
          <w:kern w:val="0"/>
          <w:sz w:val="24"/>
          <w:szCs w:val="24"/>
          <w:highlight w:val="none"/>
          <w:lang w:val="en-US" w:eastAsia="zh-CN"/>
        </w:rPr>
        <w:t>任意一个月已缴纳的社会保障资金的凭据（专用收据或社会保险缴纳清单），依法不需要缴纳社会保障资金的投标人应提供相关文件证明。⑩提供具有履行本合同所必需的设备和专业技术能力的说明及承诺；⑾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⑿书面声明：参加本次政府采购活动前三年内在经营活动中没有重大违纪，以及未被列入失信被执行人、重大税收违法案件当事人名单、政府采购严重违法失信行为记录名单的书面声明。⒀投标保证金银行转账回单或投标担保函。</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三、招标文件的获取方式</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时间：</w:t>
      </w:r>
      <w:r>
        <w:rPr>
          <w:rFonts w:hint="eastAsia" w:ascii="宋体" w:hAnsi="宋体" w:eastAsia="宋体" w:cs="宋体"/>
          <w:color w:val="auto"/>
          <w:sz w:val="24"/>
          <w:szCs w:val="24"/>
          <w:highlight w:val="none"/>
        </w:rPr>
        <w:t>即日起至202</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0</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 xml:space="preserve"> 17:00:00止</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地点：</w:t>
      </w:r>
      <w:r>
        <w:rPr>
          <w:rFonts w:hint="eastAsia" w:ascii="宋体" w:hAnsi="宋体" w:eastAsia="宋体" w:cs="宋体"/>
          <w:color w:val="auto"/>
          <w:sz w:val="24"/>
          <w:szCs w:val="24"/>
          <w:highlight w:val="none"/>
        </w:rPr>
        <w:t>渭南市临渭区西四路林业大厦四层</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bCs/>
          <w:color w:val="auto"/>
          <w:sz w:val="24"/>
          <w:szCs w:val="24"/>
          <w:highlight w:val="none"/>
        </w:rPr>
        <w:t>方式：</w:t>
      </w:r>
      <w:r>
        <w:rPr>
          <w:rFonts w:hint="eastAsia" w:ascii="宋体" w:hAnsi="宋体" w:eastAsia="宋体" w:cs="宋体"/>
          <w:color w:val="auto"/>
          <w:sz w:val="24"/>
          <w:szCs w:val="24"/>
          <w:highlight w:val="none"/>
          <w:lang w:eastAsia="zh-CN"/>
        </w:rPr>
        <w:t>电子文档形式</w:t>
      </w:r>
      <w:r>
        <w:rPr>
          <w:rFonts w:hint="eastAsia" w:ascii="宋体" w:hAnsi="宋体" w:cs="宋体"/>
          <w:color w:val="auto"/>
          <w:sz w:val="24"/>
          <w:szCs w:val="24"/>
          <w:highlight w:val="none"/>
          <w:lang w:eastAsia="zh-CN"/>
        </w:rPr>
        <w:t>通过邮箱发送</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售价：</w:t>
      </w:r>
      <w:r>
        <w:rPr>
          <w:rFonts w:hint="eastAsia" w:ascii="宋体" w:hAnsi="宋体" w:cs="宋体"/>
          <w:color w:val="auto"/>
          <w:sz w:val="24"/>
          <w:szCs w:val="24"/>
          <w:highlight w:val="none"/>
          <w:lang w:eastAsia="zh-CN"/>
        </w:rPr>
        <w:t>免费提供</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注：①</w:t>
      </w:r>
      <w:r>
        <w:rPr>
          <w:rFonts w:hint="eastAsia" w:ascii="宋体" w:hAnsi="宋体" w:cs="宋体"/>
          <w:color w:val="auto"/>
          <w:sz w:val="24"/>
          <w:szCs w:val="24"/>
          <w:highlight w:val="none"/>
          <w:lang w:eastAsia="zh-CN"/>
        </w:rPr>
        <w:t>获取</w:t>
      </w:r>
      <w:r>
        <w:rPr>
          <w:rFonts w:hint="eastAsia" w:ascii="宋体" w:hAnsi="宋体" w:eastAsia="宋体" w:cs="宋体"/>
          <w:color w:val="auto"/>
          <w:sz w:val="24"/>
          <w:szCs w:val="24"/>
          <w:highlight w:val="none"/>
        </w:rPr>
        <w:t>招标文件</w:t>
      </w:r>
      <w:r>
        <w:rPr>
          <w:rFonts w:hint="eastAsia" w:ascii="宋体" w:hAnsi="宋体" w:eastAsia="宋体" w:cs="宋体"/>
          <w:color w:val="auto"/>
          <w:kern w:val="0"/>
          <w:sz w:val="24"/>
          <w:szCs w:val="24"/>
          <w:highlight w:val="none"/>
        </w:rPr>
        <w:t>请携带单位介绍信和身份证原件及加盖</w:t>
      </w:r>
      <w:r>
        <w:rPr>
          <w:rFonts w:hint="eastAsia" w:ascii="宋体" w:hAnsi="宋体" w:eastAsia="宋体" w:cs="宋体"/>
          <w:color w:val="auto"/>
          <w:kern w:val="0"/>
          <w:sz w:val="24"/>
          <w:szCs w:val="24"/>
          <w:highlight w:val="none"/>
          <w:lang w:eastAsia="zh-CN"/>
        </w:rPr>
        <w:t>投标人</w:t>
      </w:r>
      <w:r>
        <w:rPr>
          <w:rFonts w:hint="eastAsia" w:ascii="宋体" w:hAnsi="宋体" w:eastAsia="宋体" w:cs="宋体"/>
          <w:color w:val="auto"/>
          <w:kern w:val="0"/>
          <w:sz w:val="24"/>
          <w:szCs w:val="24"/>
          <w:highlight w:val="none"/>
        </w:rPr>
        <w:t>公章的复印件壹份，</w:t>
      </w:r>
      <w:r>
        <w:rPr>
          <w:rFonts w:hint="eastAsia" w:ascii="宋体" w:hAnsi="宋体" w:cs="宋体"/>
          <w:color w:val="auto"/>
          <w:sz w:val="24"/>
          <w:szCs w:val="24"/>
          <w:highlight w:val="none"/>
          <w:lang w:eastAsia="zh-CN"/>
        </w:rPr>
        <w:t>获取</w:t>
      </w:r>
      <w:r>
        <w:rPr>
          <w:rFonts w:hint="eastAsia" w:ascii="宋体" w:hAnsi="宋体" w:eastAsia="宋体" w:cs="宋体"/>
          <w:color w:val="auto"/>
          <w:sz w:val="24"/>
          <w:szCs w:val="24"/>
          <w:highlight w:val="none"/>
        </w:rPr>
        <w:t>时间为即日起至202</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07</w:t>
      </w:r>
      <w:r>
        <w:rPr>
          <w:rFonts w:hint="eastAsia" w:ascii="宋体" w:hAnsi="宋体" w:eastAsia="宋体" w:cs="宋体"/>
          <w:color w:val="auto"/>
          <w:sz w:val="24"/>
          <w:szCs w:val="24"/>
          <w:highlight w:val="none"/>
        </w:rPr>
        <w:t>日（上午9:00-11:30，下午2:00-5:00，双休日及节假日除外）。②受新型冠状病毒疫情影响，本项目招标文件</w:t>
      </w:r>
      <w:r>
        <w:rPr>
          <w:rFonts w:hint="eastAsia" w:ascii="宋体" w:hAnsi="宋体" w:cs="宋体"/>
          <w:color w:val="auto"/>
          <w:sz w:val="24"/>
          <w:szCs w:val="24"/>
          <w:highlight w:val="none"/>
          <w:lang w:eastAsia="zh-CN"/>
        </w:rPr>
        <w:t>获取还</w:t>
      </w:r>
      <w:r>
        <w:rPr>
          <w:rFonts w:hint="eastAsia" w:ascii="宋体" w:hAnsi="宋体" w:eastAsia="宋体" w:cs="宋体"/>
          <w:color w:val="auto"/>
          <w:sz w:val="24"/>
          <w:szCs w:val="24"/>
          <w:highlight w:val="none"/>
        </w:rPr>
        <w:t>可以</w:t>
      </w:r>
      <w:r>
        <w:rPr>
          <w:rFonts w:hint="eastAsia" w:ascii="宋体" w:hAnsi="宋体" w:cs="宋体"/>
          <w:color w:val="auto"/>
          <w:sz w:val="24"/>
          <w:szCs w:val="24"/>
          <w:highlight w:val="none"/>
          <w:lang w:eastAsia="zh-CN"/>
        </w:rPr>
        <w:t>采用</w:t>
      </w:r>
      <w:r>
        <w:rPr>
          <w:rFonts w:hint="eastAsia" w:ascii="宋体" w:hAnsi="宋体" w:eastAsia="宋体" w:cs="宋体"/>
          <w:color w:val="auto"/>
          <w:sz w:val="24"/>
          <w:szCs w:val="24"/>
          <w:highlight w:val="none"/>
        </w:rPr>
        <w:t>电子邮件形式发送，请在招标文件获取的规定时间内将单位介绍信、经办人身份证复印件加盖公章扫描发至代理机构邮箱（hmzxgs@163.com），并及时联系代理机构工作人员确认，待代理机构工作人员核实无误后向</w:t>
      </w:r>
      <w:r>
        <w:rPr>
          <w:rFonts w:hint="eastAsia" w:ascii="宋体" w:hAnsi="宋体" w:eastAsia="宋体" w:cs="宋体"/>
          <w:color w:val="auto"/>
          <w:sz w:val="24"/>
          <w:szCs w:val="24"/>
          <w:highlight w:val="none"/>
          <w:lang w:eastAsia="zh-CN"/>
        </w:rPr>
        <w:t>投标人</w:t>
      </w:r>
      <w:r>
        <w:rPr>
          <w:rFonts w:hint="eastAsia" w:ascii="宋体" w:hAnsi="宋体" w:cs="宋体"/>
          <w:color w:val="auto"/>
          <w:sz w:val="24"/>
          <w:szCs w:val="24"/>
          <w:highlight w:val="none"/>
          <w:lang w:eastAsia="zh-CN"/>
        </w:rPr>
        <w:t>发送</w:t>
      </w:r>
      <w:r>
        <w:rPr>
          <w:rFonts w:hint="eastAsia" w:ascii="宋体" w:hAnsi="宋体" w:eastAsia="宋体" w:cs="宋体"/>
          <w:color w:val="auto"/>
          <w:sz w:val="24"/>
          <w:szCs w:val="24"/>
          <w:highlight w:val="none"/>
        </w:rPr>
        <w:t>招标文件。③根据陕西省财政厅关于政府采购</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注册登记有关事项的通知，参加投标的</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未在陕西省政府采购网（www.ccgp-shaanxi.gov.cn）注册登记加入陕西省政府采购</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库的，应按要求及时办理注册登记，并接受财政部门监督管理。④根据疫情防控要求，各</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仅限1名授权代表参加开标会议，并手持健康承诺书（见附件二）一份加盖</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公章。</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四、投标文件递交</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截止时间：202</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-0</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21</w:t>
      </w:r>
      <w:r>
        <w:rPr>
          <w:rFonts w:hint="eastAsia" w:ascii="宋体" w:hAnsi="宋体" w:eastAsia="宋体" w:cs="宋体"/>
          <w:color w:val="auto"/>
          <w:sz w:val="24"/>
          <w:szCs w:val="24"/>
          <w:lang w:val="en-US" w:eastAsia="zh-CN"/>
        </w:rPr>
        <w:t xml:space="preserve"> 1</w:t>
      </w:r>
      <w:r>
        <w:rPr>
          <w:rFonts w:hint="eastAsia" w:ascii="宋体" w:hAnsi="宋体" w:cs="宋体"/>
          <w:color w:val="auto"/>
          <w:sz w:val="24"/>
          <w:szCs w:val="24"/>
          <w:lang w:val="en-US" w:eastAsia="zh-CN"/>
        </w:rPr>
        <w:t>4</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3</w:t>
      </w:r>
      <w:r>
        <w:rPr>
          <w:rFonts w:hint="eastAsia" w:ascii="宋体" w:hAnsi="宋体" w:eastAsia="宋体" w:cs="宋体"/>
          <w:color w:val="auto"/>
          <w:sz w:val="24"/>
          <w:szCs w:val="24"/>
          <w:lang w:val="en-US" w:eastAsia="zh-CN"/>
        </w:rPr>
        <w:t>0:00</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地点：</w:t>
      </w:r>
      <w:r>
        <w:rPr>
          <w:rFonts w:hint="eastAsia" w:ascii="宋体" w:hAnsi="宋体" w:cs="宋体"/>
          <w:color w:val="auto"/>
          <w:sz w:val="24"/>
          <w:szCs w:val="24"/>
          <w:lang w:val="en-US" w:eastAsia="zh-CN"/>
        </w:rPr>
        <w:t>渭南市临渭区西四路林业大厦四层开标室</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五、公告期限</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自本公告发布之日起5个工作日。</w:t>
      </w:r>
    </w:p>
    <w:p>
      <w:pPr>
        <w:keepNext w:val="0"/>
        <w:keepLines w:val="0"/>
        <w:pageBreakBefore w:val="0"/>
        <w:widowControl w:val="0"/>
        <w:numPr>
          <w:ilvl w:val="0"/>
          <w:numId w:val="47"/>
        </w:numPr>
        <w:kinsoku/>
        <w:wordWrap/>
        <w:overflowPunct/>
        <w:topLinePunct w:val="0"/>
        <w:autoSpaceDE/>
        <w:autoSpaceDN/>
        <w:bidi w:val="0"/>
        <w:adjustRightInd/>
        <w:snapToGrid/>
        <w:spacing w:line="420" w:lineRule="exact"/>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其他补充事宜</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无</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七、对本次招标提出询问，请按以下方式联系。</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1、采购人信息：</w:t>
      </w:r>
      <w:r>
        <w:rPr>
          <w:rFonts w:hint="eastAsia" w:ascii="宋体" w:hAnsi="宋体" w:eastAsia="宋体" w:cs="宋体"/>
          <w:color w:val="auto"/>
          <w:sz w:val="24"/>
          <w:szCs w:val="24"/>
          <w:highlight w:val="none"/>
          <w:lang w:eastAsia="zh-CN"/>
        </w:rPr>
        <w:t>富平县住房和城乡建设局</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lang w:eastAsia="zh-CN"/>
        </w:rPr>
        <w:t>富平县车站大街西段143号</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联系人：万</w:t>
      </w:r>
      <w:r>
        <w:rPr>
          <w:rFonts w:hint="eastAsia" w:ascii="宋体" w:hAnsi="宋体" w:cs="宋体"/>
          <w:color w:val="auto"/>
          <w:sz w:val="24"/>
          <w:szCs w:val="24"/>
          <w:highlight w:val="none"/>
          <w:lang w:val="en-US" w:eastAsia="zh-CN"/>
        </w:rPr>
        <w:t>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电话：0913-8221295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2、项目联系方式：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项目联系人：吝银芳、薛沙</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highlight w:val="none"/>
        </w:rPr>
        <w:t>18992361925</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传真：0913-2087368</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3、采购代理机构信息</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名称：鸿民国际工程咨询有限公司</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地址：渭南市临渭区西四路林业大厦四层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联系方式：</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"http://www.ccgp.gov.cn/agency/a_agencylist.html" \t "http://www.ccgp-shaanxi.gov.cn/notice/_blank" </w:instrText>
      </w:r>
      <w:r>
        <w:rPr>
          <w:rFonts w:hint="eastAsia" w:ascii="宋体" w:hAnsi="宋体" w:eastAsia="宋体" w:cs="宋体"/>
          <w:color w:val="auto"/>
          <w:highlight w:val="none"/>
        </w:rPr>
        <w:fldChar w:fldCharType="separate"/>
      </w:r>
      <w:r>
        <w:rPr>
          <w:rFonts w:hint="eastAsia" w:ascii="宋体" w:hAnsi="宋体" w:eastAsia="宋体" w:cs="宋体"/>
          <w:color w:val="auto"/>
          <w:sz w:val="24"/>
          <w:szCs w:val="24"/>
          <w:highlight w:val="none"/>
        </w:rPr>
        <w:t>http://www.ccgp.gov.cn/agency/a_agencylist.html</w:t>
      </w:r>
      <w:r>
        <w:rPr>
          <w:rFonts w:hint="eastAsia" w:ascii="宋体" w:hAnsi="宋体" w:eastAsia="宋体" w:cs="宋体"/>
          <w:color w:val="auto"/>
          <w:sz w:val="24"/>
          <w:szCs w:val="24"/>
          <w:highlight w:val="none"/>
        </w:rPr>
        <w:fldChar w:fldCharType="end"/>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八、附件：</w:t>
      </w:r>
    </w:p>
    <w:p>
      <w:pPr>
        <w:keepNext w:val="0"/>
        <w:keepLines w:val="0"/>
        <w:pageBreakBefore w:val="0"/>
        <w:widowControl w:val="0"/>
        <w:kinsoku/>
        <w:wordWrap/>
        <w:overflowPunct/>
        <w:topLinePunct w:val="0"/>
        <w:autoSpaceDE/>
        <w:autoSpaceDN/>
        <w:bidi w:val="0"/>
        <w:adjustRightInd/>
        <w:snapToGrid/>
        <w:spacing w:line="420" w:lineRule="exact"/>
        <w:ind w:firstLine="5760" w:firstLineChars="24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鸿民国际工程咨询有限公司</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202</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12</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30</w:t>
      </w:r>
      <w:r>
        <w:rPr>
          <w:rFonts w:hint="eastAsia" w:ascii="宋体" w:hAnsi="宋体" w:eastAsia="宋体" w:cs="宋体"/>
          <w:color w:val="auto"/>
          <w:sz w:val="24"/>
          <w:szCs w:val="24"/>
          <w:highlight w:val="none"/>
        </w:rPr>
        <w:t>日</w:t>
      </w:r>
    </w:p>
    <w:p>
      <w:pPr>
        <w:pStyle w:val="2"/>
        <w:rPr>
          <w:rFonts w:hint="eastAsia" w:ascii="宋体" w:hAnsi="宋体" w:eastAsia="宋体" w:cs="宋体"/>
          <w:color w:val="auto"/>
          <w:sz w:val="24"/>
          <w:szCs w:val="24"/>
          <w:highlight w:val="none"/>
        </w:rPr>
      </w:pPr>
    </w:p>
    <w:p>
      <w:pPr>
        <w:rPr>
          <w:rFonts w:hint="eastAsia" w:ascii="宋体" w:hAnsi="宋体" w:eastAsia="宋体" w:cs="宋体"/>
          <w:color w:val="auto"/>
          <w:sz w:val="24"/>
          <w:szCs w:val="24"/>
          <w:highlight w:val="none"/>
        </w:rPr>
      </w:pPr>
    </w:p>
    <w:p>
      <w:pPr>
        <w:pStyle w:val="3"/>
        <w:keepLines/>
        <w:spacing w:before="340" w:after="330"/>
        <w:ind w:left="210" w:leftChars="100"/>
        <w:rPr>
          <w:rFonts w:hint="eastAsia" w:ascii="宋体" w:hAnsi="宋体" w:eastAsia="宋体" w:cs="宋体"/>
          <w:b/>
          <w:color w:val="auto"/>
          <w:sz w:val="44"/>
          <w:szCs w:val="44"/>
          <w:highlight w:val="none"/>
        </w:rPr>
      </w:pPr>
      <w:bookmarkStart w:id="3" w:name="_Toc17787"/>
      <w:r>
        <w:rPr>
          <w:rFonts w:hint="eastAsia" w:ascii="宋体" w:hAnsi="宋体" w:eastAsia="宋体" w:cs="宋体"/>
          <w:b/>
          <w:color w:val="auto"/>
          <w:sz w:val="44"/>
          <w:szCs w:val="44"/>
          <w:highlight w:val="none"/>
        </w:rPr>
        <w:t>第二章  投标人须知</w:t>
      </w:r>
      <w:bookmarkEnd w:id="3"/>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4" w:name="_Toc12372"/>
      <w:r>
        <w:rPr>
          <w:rFonts w:hint="eastAsia" w:ascii="宋体" w:hAnsi="宋体" w:eastAsia="宋体" w:cs="宋体"/>
          <w:color w:val="auto"/>
          <w:highlight w:val="none"/>
        </w:rPr>
        <w:t>一、名词解释</w:t>
      </w:r>
      <w:bookmarkEnd w:id="4"/>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（一）采购人：</w:t>
      </w:r>
      <w:r>
        <w:rPr>
          <w:rFonts w:hint="eastAsia" w:ascii="宋体" w:hAnsi="宋体" w:eastAsia="宋体" w:cs="宋体"/>
          <w:color w:val="auto"/>
          <w:sz w:val="28"/>
          <w:szCs w:val="28"/>
          <w:highlight w:val="none"/>
          <w:lang w:eastAsia="zh-CN"/>
        </w:rPr>
        <w:t>富平县住房和城乡建设局</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（二）监管机构：</w:t>
      </w:r>
      <w:r>
        <w:rPr>
          <w:rFonts w:hint="eastAsia" w:ascii="宋体" w:hAnsi="宋体" w:eastAsia="宋体" w:cs="宋体"/>
          <w:color w:val="auto"/>
          <w:sz w:val="28"/>
          <w:szCs w:val="28"/>
          <w:highlight w:val="none"/>
          <w:lang w:eastAsia="zh-CN"/>
        </w:rPr>
        <w:t>富平</w:t>
      </w:r>
      <w:r>
        <w:rPr>
          <w:rFonts w:hint="eastAsia" w:ascii="宋体" w:hAnsi="宋体" w:eastAsia="宋体" w:cs="宋体"/>
          <w:color w:val="auto"/>
          <w:sz w:val="28"/>
          <w:szCs w:val="28"/>
          <w:highlight w:val="none"/>
        </w:rPr>
        <w:t>县财政局</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（三）采购代理机构：鸿民国际工程咨询有限公司</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（四）投标人：</w:t>
      </w:r>
      <w:r>
        <w:rPr>
          <w:rFonts w:hint="eastAsia" w:ascii="宋体" w:hAnsi="宋体" w:eastAsia="宋体" w:cs="宋体"/>
          <w:color w:val="auto"/>
          <w:sz w:val="28"/>
          <w:szCs w:val="28"/>
          <w:highlight w:val="none"/>
          <w:lang w:val="zh-CN"/>
        </w:rPr>
        <w:t>响应招标、参加投标竞争的</w:t>
      </w:r>
      <w:r>
        <w:rPr>
          <w:rFonts w:hint="eastAsia" w:ascii="宋体" w:hAnsi="宋体" w:eastAsia="宋体" w:cs="宋体"/>
          <w:color w:val="auto"/>
          <w:sz w:val="28"/>
          <w:szCs w:val="28"/>
          <w:highlight w:val="none"/>
        </w:rPr>
        <w:t>企业法人、事业法人、其他组织</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5" w:name="_Toc21741"/>
      <w:r>
        <w:rPr>
          <w:rFonts w:hint="eastAsia" w:ascii="宋体" w:hAnsi="宋体" w:eastAsia="宋体" w:cs="宋体"/>
          <w:color w:val="auto"/>
          <w:highlight w:val="none"/>
        </w:rPr>
        <w:t>二、招标文件</w:t>
      </w:r>
      <w:bookmarkEnd w:id="5"/>
    </w:p>
    <w:p>
      <w:pPr>
        <w:pageBreakBefore w:val="0"/>
        <w:widowControl w:val="0"/>
        <w:kinsoku/>
        <w:wordWrap/>
        <w:overflowPunct/>
        <w:topLinePunct w:val="0"/>
        <w:bidi w:val="0"/>
        <w:snapToGrid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（一）招标文件的获取</w:t>
      </w:r>
    </w:p>
    <w:p>
      <w:pPr>
        <w:pageBreakBefore w:val="0"/>
        <w:widowControl w:val="0"/>
        <w:kinsoku/>
        <w:wordWrap/>
        <w:overflowPunct/>
        <w:topLinePunct w:val="0"/>
        <w:bidi w:val="0"/>
        <w:snapToGrid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符合本项目投标人资格要求的投标人参加投标，必须从采购代理机构购买招标文件并进行登记备案，任何未从采购代理机构购买招标文件并登记备案的潜在投标人均无资格参加投标。招标文件以中文编制，封面上盖有“鸿民国际工程咨询有限公司”字样的圆形红色公章。各投标人之间自行转让或复制视为无效。文件一经售出，一律不退，仅作为本次招标使用。</w:t>
      </w:r>
    </w:p>
    <w:p>
      <w:pPr>
        <w:pageBreakBefore w:val="0"/>
        <w:widowControl w:val="0"/>
        <w:kinsoku/>
        <w:wordWrap/>
        <w:overflowPunct/>
        <w:topLinePunct w:val="0"/>
        <w:bidi w:val="0"/>
        <w:snapToGrid w:val="0"/>
        <w:spacing w:line="510" w:lineRule="exact"/>
        <w:ind w:firstLine="525"/>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（二）招标文件包括下列内容</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第一章  招标公告</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第二章  投标人须知</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 xml:space="preserve">第三章  </w:t>
      </w:r>
      <w:r>
        <w:rPr>
          <w:rFonts w:hint="eastAsia" w:ascii="宋体" w:hAnsi="宋体" w:eastAsia="宋体" w:cs="宋体"/>
          <w:color w:val="auto"/>
          <w:sz w:val="28"/>
          <w:szCs w:val="28"/>
          <w:highlight w:val="none"/>
          <w:lang w:eastAsia="zh-CN"/>
        </w:rPr>
        <w:t>采购内容及要求</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第四章  拟签订的合同文本</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第五章  投标文件构成及格式</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（三）招标文件的检查及阅读</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获取招标文件后仔细检查招标文件中的所有内容。参加投标的投标人应仔细阅读招标文件中所有的事项、格式、条款和规范要求，在投标文件中对招标文件的各方面均做出实质性的响应，并按照招标文件的要求提交全部资料。</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（四）招标文件的修改、澄清或补正</w:t>
      </w:r>
    </w:p>
    <w:p>
      <w:pPr>
        <w:pageBreakBefore w:val="0"/>
        <w:widowControl w:val="0"/>
        <w:tabs>
          <w:tab w:val="left" w:pos="0"/>
        </w:tabs>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该澄清或修改的内容为招标文件的组成部分。</w:t>
      </w:r>
    </w:p>
    <w:p>
      <w:pPr>
        <w:pageBreakBefore w:val="0"/>
        <w:widowControl w:val="0"/>
        <w:tabs>
          <w:tab w:val="left" w:pos="0"/>
        </w:tabs>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投标人要求对招标文件进行澄清的，应在政府采购法定时间内，以书面形式送达采购代理机构；采购代理机构对投标人的澄清要求均以书面形式予以答复，并将根据澄清要求涉及的范围以书面答复告知相关的每一个购买招标文件的投标人。</w:t>
      </w:r>
    </w:p>
    <w:p>
      <w:pPr>
        <w:pageBreakBefore w:val="0"/>
        <w:widowControl w:val="0"/>
        <w:tabs>
          <w:tab w:val="left" w:pos="0"/>
        </w:tabs>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在规定的时间内未对招标文件提出澄清要求的投标人，视作对招标文件无异议，进入投标阶段后，不得再对招标文件的内容提出质疑。</w:t>
      </w:r>
    </w:p>
    <w:p>
      <w:pPr>
        <w:pageBreakBefore w:val="0"/>
        <w:widowControl w:val="0"/>
        <w:tabs>
          <w:tab w:val="left" w:pos="0"/>
        </w:tabs>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采购代理机构可以视采购具体情况，延长投标截止时间和开标时间，但至少在招标文件要求的提交投标文件的截止时间3日前，将变更时间书面通知所有招标文件收受人，并在陕西政府采购网等媒体上发布变更公告。</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（五）招标文件的解释权归采购代理机构。</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6" w:name="_Toc15656"/>
      <w:r>
        <w:rPr>
          <w:rFonts w:hint="eastAsia" w:ascii="宋体" w:hAnsi="宋体" w:eastAsia="宋体" w:cs="宋体"/>
          <w:color w:val="auto"/>
          <w:highlight w:val="none"/>
        </w:rPr>
        <w:t>三、招标的内容及要求</w:t>
      </w:r>
      <w:bookmarkEnd w:id="6"/>
    </w:p>
    <w:p>
      <w:pPr>
        <w:pageBreakBefore w:val="0"/>
        <w:widowControl w:val="0"/>
        <w:kinsoku/>
        <w:wordWrap/>
        <w:overflowPunct/>
        <w:topLinePunct w:val="0"/>
        <w:bidi w:val="0"/>
        <w:spacing w:line="510" w:lineRule="exact"/>
        <w:ind w:firstLine="555"/>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（一）招标内容</w:t>
      </w:r>
    </w:p>
    <w:p>
      <w:pPr>
        <w:pageBreakBefore w:val="0"/>
        <w:widowControl w:val="0"/>
        <w:kinsoku/>
        <w:wordWrap/>
        <w:overflowPunct/>
        <w:topLinePunct w:val="0"/>
        <w:bidi w:val="0"/>
        <w:snapToGrid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本次招标采购的内容为：</w:t>
      </w:r>
      <w:r>
        <w:rPr>
          <w:rFonts w:hint="eastAsia" w:ascii="宋体" w:hAnsi="宋体" w:cs="宋体"/>
          <w:color w:val="auto"/>
          <w:sz w:val="28"/>
          <w:szCs w:val="28"/>
          <w:highlight w:val="none"/>
          <w:lang w:eastAsia="zh-CN"/>
        </w:rPr>
        <w:t>富平县灯饰修缮工程</w:t>
      </w:r>
      <w:r>
        <w:rPr>
          <w:rFonts w:hint="eastAsia" w:ascii="宋体" w:hAnsi="宋体" w:eastAsia="宋体" w:cs="宋体"/>
          <w:color w:val="auto"/>
          <w:sz w:val="28"/>
          <w:szCs w:val="28"/>
          <w:highlight w:val="none"/>
        </w:rPr>
        <w:t>招标，各投标人根据自身的资格条件及能力参加投标活动。</w:t>
      </w:r>
    </w:p>
    <w:p>
      <w:pPr>
        <w:pageBreakBefore w:val="0"/>
        <w:widowControl w:val="0"/>
        <w:kinsoku/>
        <w:wordWrap/>
        <w:overflowPunct/>
        <w:topLinePunct w:val="0"/>
        <w:bidi w:val="0"/>
        <w:snapToGrid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（二）招标要求</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投标人必须根据招标文件要求，按照第三章《</w:t>
      </w:r>
      <w:r>
        <w:rPr>
          <w:rFonts w:hint="eastAsia" w:ascii="宋体" w:hAnsi="宋体" w:eastAsia="宋体" w:cs="宋体"/>
          <w:color w:val="auto"/>
          <w:sz w:val="28"/>
          <w:szCs w:val="28"/>
          <w:highlight w:val="none"/>
          <w:lang w:eastAsia="zh-CN"/>
        </w:rPr>
        <w:t>采购内容及要求</w:t>
      </w:r>
      <w:r>
        <w:rPr>
          <w:rFonts w:hint="eastAsia" w:ascii="宋体" w:hAnsi="宋体" w:eastAsia="宋体" w:cs="宋体"/>
          <w:color w:val="auto"/>
          <w:sz w:val="28"/>
          <w:szCs w:val="28"/>
          <w:highlight w:val="none"/>
        </w:rPr>
        <w:t>》进行全面响应。否则，投标文件视为无效。</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7" w:name="_Toc12814"/>
      <w:r>
        <w:rPr>
          <w:rFonts w:hint="eastAsia" w:ascii="宋体" w:hAnsi="宋体" w:eastAsia="宋体" w:cs="宋体"/>
          <w:color w:val="auto"/>
          <w:highlight w:val="none"/>
        </w:rPr>
        <w:t>四、合格投标人所具备的资格证明文件</w:t>
      </w:r>
      <w:bookmarkEnd w:id="7"/>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（一）符合《中华人民共和国政府采购法》第二十二条规定，有能力提供本项目</w:t>
      </w:r>
      <w:r>
        <w:rPr>
          <w:rFonts w:hint="eastAsia" w:ascii="宋体" w:hAnsi="宋体" w:eastAsia="宋体" w:cs="宋体"/>
          <w:color w:val="auto"/>
          <w:sz w:val="28"/>
          <w:szCs w:val="28"/>
          <w:highlight w:val="none"/>
          <w:lang w:eastAsia="zh-CN"/>
        </w:rPr>
        <w:t>施工</w:t>
      </w:r>
      <w:r>
        <w:rPr>
          <w:rFonts w:hint="eastAsia" w:ascii="宋体" w:hAnsi="宋体" w:eastAsia="宋体" w:cs="宋体"/>
          <w:color w:val="auto"/>
          <w:sz w:val="28"/>
          <w:szCs w:val="28"/>
          <w:highlight w:val="none"/>
        </w:rPr>
        <w:t>的投标人，不接受联合体投标。</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（二）单位负责人为同一人或者存在直接控股、管理关系的不同投标人，不得参加同一合同项下的政府采购活动。</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（三）为采购项目提供整体设计、规范编制或者项目管理、监理、检测等服务的投标人，不得再参加同一项目的其他采购活动。</w:t>
      </w:r>
    </w:p>
    <w:p>
      <w:pPr>
        <w:pageBreakBefore w:val="0"/>
        <w:widowControl w:val="0"/>
        <w:kinsoku/>
        <w:wordWrap/>
        <w:overflowPunct/>
        <w:topLinePunct w:val="0"/>
        <w:bidi w:val="0"/>
        <w:spacing w:line="510" w:lineRule="exact"/>
        <w:ind w:firstLine="562"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（四）投标人必备资格证明文件：</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法定代表人授权代表参加投标的，须出具法定代表人授权书及授权代表身份证、授权代表本单位证明（投标截止前六个月内出具的养老保险缴纳证明）。法定代表人直接参加投标，只须提交其身份证，并与营业执照上信息一致；</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2、企业法人营业执照或事业单位法人证书或其他组织合法证明文件，企业法人营业执照的需同时提供《国家企业信用信息公示系统》中的</w:t>
      </w:r>
      <w:r>
        <w:rPr>
          <w:rFonts w:hint="eastAsia" w:ascii="宋体" w:hAnsi="宋体" w:cs="宋体"/>
          <w:color w:val="auto"/>
          <w:sz w:val="28"/>
          <w:szCs w:val="28"/>
          <w:highlight w:val="none"/>
          <w:lang w:eastAsia="zh-CN"/>
        </w:rPr>
        <w:t>2020年度</w:t>
      </w:r>
      <w:r>
        <w:rPr>
          <w:rFonts w:hint="eastAsia" w:ascii="宋体" w:hAnsi="宋体" w:eastAsia="宋体" w:cs="宋体"/>
          <w:color w:val="auto"/>
          <w:sz w:val="28"/>
          <w:szCs w:val="28"/>
          <w:highlight w:val="none"/>
          <w:lang w:eastAsia="zh-CN"/>
        </w:rPr>
        <w:t>报告</w:t>
      </w:r>
      <w:r>
        <w:rPr>
          <w:rFonts w:hint="eastAsia" w:ascii="宋体" w:hAnsi="宋体" w:eastAsia="宋体" w:cs="宋体"/>
          <w:color w:val="auto"/>
          <w:sz w:val="28"/>
          <w:szCs w:val="28"/>
          <w:highlight w:val="none"/>
        </w:rPr>
        <w:t>（加盖单位公章）；</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3、投标人需具备建设行政主管部门颁发的</w:t>
      </w:r>
      <w:r>
        <w:rPr>
          <w:rFonts w:hint="eastAsia" w:ascii="宋体" w:hAnsi="宋体" w:cs="宋体"/>
          <w:color w:val="auto"/>
          <w:sz w:val="28"/>
          <w:szCs w:val="28"/>
          <w:highlight w:val="none"/>
          <w:lang w:val="en-US" w:eastAsia="zh-CN"/>
        </w:rPr>
        <w:t>市政公用工程施工总承包三级及以上资质或城市及道路照明工程专业承包二级</w:t>
      </w:r>
      <w:r>
        <w:rPr>
          <w:rFonts w:hint="eastAsia" w:ascii="宋体" w:hAnsi="宋体" w:eastAsia="宋体" w:cs="宋体"/>
          <w:color w:val="auto"/>
          <w:sz w:val="28"/>
          <w:szCs w:val="28"/>
          <w:highlight w:val="none"/>
          <w:lang w:val="en-US" w:eastAsia="zh-CN"/>
        </w:rPr>
        <w:t>及以上资质。</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4、投标人具备有效的安全生产许可证。</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5、投标人拟派项目经理具备有效的</w:t>
      </w:r>
      <w:r>
        <w:rPr>
          <w:rFonts w:hint="eastAsia" w:ascii="宋体" w:hAnsi="宋体" w:cs="宋体"/>
          <w:color w:val="auto"/>
          <w:sz w:val="28"/>
          <w:szCs w:val="28"/>
          <w:highlight w:val="none"/>
          <w:lang w:val="en-US" w:eastAsia="zh-CN"/>
        </w:rPr>
        <w:t>市政公用工程或机电工程专业二级</w:t>
      </w:r>
      <w:r>
        <w:rPr>
          <w:rFonts w:hint="eastAsia" w:ascii="宋体" w:hAnsi="宋体" w:eastAsia="宋体" w:cs="宋体"/>
          <w:color w:val="auto"/>
          <w:sz w:val="28"/>
          <w:szCs w:val="28"/>
          <w:highlight w:val="none"/>
          <w:lang w:val="en-US" w:eastAsia="zh-CN"/>
        </w:rPr>
        <w:t>及以上建造师注册证书，并具备有效的安全生产考核合格证书（建安B证），提供无在建项目承诺。</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6、外省企业须在“陕西省建筑市场监管与诚信信息一体化平台”备案，且无不良记录(提供网页查询截图)。</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7、财务状况报告：法人提供经会计师事务所审计的2020年度的财务报告或提交投标文件递交截止时间前六个月内其基本账户开户银行出具的资信证明；其他组织提供银行出具的资信证明或财务报表（附开户许可证或基本存款账户信息）。</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8、税收缴纳证明：法人提供</w:t>
      </w:r>
      <w:r>
        <w:rPr>
          <w:rFonts w:hint="eastAsia" w:ascii="宋体" w:hAnsi="宋体" w:cs="宋体"/>
          <w:color w:val="auto"/>
          <w:sz w:val="28"/>
          <w:szCs w:val="28"/>
          <w:highlight w:val="none"/>
          <w:lang w:val="en-US" w:eastAsia="zh-CN"/>
        </w:rPr>
        <w:t>2021年6月以来</w:t>
      </w:r>
      <w:r>
        <w:rPr>
          <w:rFonts w:hint="eastAsia" w:ascii="宋体" w:hAnsi="宋体" w:eastAsia="宋体" w:cs="宋体"/>
          <w:color w:val="auto"/>
          <w:sz w:val="28"/>
          <w:szCs w:val="28"/>
          <w:highlight w:val="none"/>
          <w:lang w:val="en-US" w:eastAsia="zh-CN"/>
        </w:rPr>
        <w:t>任意一个月已缴纳的增值税或企业所得税的凭据；其他组织提供</w:t>
      </w:r>
      <w:r>
        <w:rPr>
          <w:rFonts w:hint="eastAsia" w:ascii="宋体" w:hAnsi="宋体" w:cs="宋体"/>
          <w:color w:val="auto"/>
          <w:sz w:val="28"/>
          <w:szCs w:val="28"/>
          <w:highlight w:val="none"/>
          <w:lang w:val="en-US" w:eastAsia="zh-CN"/>
        </w:rPr>
        <w:t>2021年6月以来</w:t>
      </w:r>
      <w:r>
        <w:rPr>
          <w:rFonts w:hint="eastAsia" w:ascii="宋体" w:hAnsi="宋体" w:eastAsia="宋体" w:cs="宋体"/>
          <w:color w:val="auto"/>
          <w:sz w:val="28"/>
          <w:szCs w:val="28"/>
          <w:highlight w:val="none"/>
          <w:lang w:val="en-US" w:eastAsia="zh-CN"/>
        </w:rPr>
        <w:t>任意一个月缴纳税收的凭据；依法免税的投标人应提供相关文件证明。</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9、社会保障资金缴纳证明：提供</w:t>
      </w:r>
      <w:r>
        <w:rPr>
          <w:rFonts w:hint="eastAsia" w:ascii="宋体" w:hAnsi="宋体" w:cs="宋体"/>
          <w:color w:val="auto"/>
          <w:sz w:val="28"/>
          <w:szCs w:val="28"/>
          <w:highlight w:val="none"/>
          <w:lang w:val="en-US" w:eastAsia="zh-CN"/>
        </w:rPr>
        <w:t>2021年6月以来</w:t>
      </w:r>
      <w:r>
        <w:rPr>
          <w:rFonts w:hint="eastAsia" w:ascii="宋体" w:hAnsi="宋体" w:eastAsia="宋体" w:cs="宋体"/>
          <w:color w:val="auto"/>
          <w:sz w:val="28"/>
          <w:szCs w:val="28"/>
          <w:highlight w:val="none"/>
          <w:lang w:val="en-US" w:eastAsia="zh-CN"/>
        </w:rPr>
        <w:t>任意一个月已缴纳的社会保障资金的凭据（专用收据或社会保险缴纳清单），依法不需要缴纳社会保障资金的投标人应提供相关文件证明。</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10、提供具有履行本合同所必需的设备和专业技术能力的说明及承诺；</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11、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12、书面声明：参加本次政府采购活动前三年内在经营活动中没有重大违纪，以及未被列入失信被执行人、重大税收违法案件当事人名单、政府采购严重违法失信行为记录名单的书面声明。</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13、投标保证金银行转账回单或投标担保函。</w:t>
      </w:r>
    </w:p>
    <w:p>
      <w:pPr>
        <w:pageBreakBefore w:val="0"/>
        <w:widowControl w:val="0"/>
        <w:kinsoku/>
        <w:wordWrap/>
        <w:overflowPunct/>
        <w:topLinePunct w:val="0"/>
        <w:bidi w:val="0"/>
        <w:spacing w:line="510" w:lineRule="exact"/>
        <w:ind w:firstLine="562" w:firstLineChars="20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注：各投标人按要求在投标文件中提供加盖投标人红色公章的复印件(所有网页查询截图必须为投标文件递交截止时间前七日内的查询结果，投标文件中的网页截图必须体现截图日期，否则视为无效)，由采购人代表和采购代理机构工作人员进行资格审查，无效或缺项将被视为资格无效。文件提交截至时间后不接受任何补充资质。</w:t>
      </w:r>
      <w:r>
        <w:rPr>
          <w:rFonts w:hint="eastAsia" w:ascii="宋体" w:hAnsi="宋体" w:cs="宋体"/>
          <w:b/>
          <w:bCs/>
          <w:color w:val="auto"/>
          <w:sz w:val="28"/>
          <w:szCs w:val="28"/>
          <w:highlight w:val="none"/>
          <w:lang w:val="en-US" w:eastAsia="zh-CN"/>
        </w:rPr>
        <w:t>投标人</w:t>
      </w:r>
      <w:r>
        <w:rPr>
          <w:rFonts w:hint="eastAsia" w:ascii="宋体" w:hAnsi="宋体" w:eastAsia="宋体" w:cs="宋体"/>
          <w:b/>
          <w:bCs/>
          <w:color w:val="auto"/>
          <w:sz w:val="28"/>
          <w:szCs w:val="28"/>
          <w:highlight w:val="none"/>
          <w:lang w:val="en-US" w:eastAsia="zh-CN"/>
        </w:rPr>
        <w:t>须保证资格文件的真实、合法、有效，因资格产生的一切纠纷由投标人承担法律责任。</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8" w:name="_Toc31622"/>
      <w:r>
        <w:rPr>
          <w:rFonts w:hint="eastAsia" w:ascii="宋体" w:hAnsi="宋体" w:eastAsia="宋体" w:cs="宋体"/>
          <w:color w:val="auto"/>
          <w:highlight w:val="none"/>
        </w:rPr>
        <w:t>五、投标文件构成</w:t>
      </w:r>
      <w:bookmarkEnd w:id="8"/>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投标人根据采购代理机构发售的本项目招标文件的要求，按照第五章《投标文件构成及格式》进行编制，对招标文件做出全面实质性响应，构成的具体内容包括：</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一、投标函及投标函附录</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二、</w:t>
      </w:r>
      <w:r>
        <w:rPr>
          <w:rFonts w:hint="eastAsia" w:ascii="宋体" w:hAnsi="宋体" w:eastAsia="宋体" w:cs="宋体"/>
          <w:color w:val="auto"/>
          <w:sz w:val="28"/>
          <w:szCs w:val="28"/>
          <w:highlight w:val="none"/>
        </w:rPr>
        <w:t>法定代表人身份证明书和法定代表人授权委托书</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三、投标人资格证明材料</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四、近年</w:t>
      </w:r>
      <w:r>
        <w:rPr>
          <w:rFonts w:hint="eastAsia" w:ascii="宋体" w:hAnsi="宋体" w:eastAsia="宋体" w:cs="宋体"/>
          <w:color w:val="auto"/>
          <w:sz w:val="28"/>
          <w:szCs w:val="28"/>
          <w:highlight w:val="none"/>
        </w:rPr>
        <w:t>类似业绩</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五、施工组织设计</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六</w:t>
      </w:r>
      <w:r>
        <w:rPr>
          <w:rFonts w:hint="eastAsia" w:ascii="宋体" w:hAnsi="宋体" w:eastAsia="宋体" w:cs="宋体"/>
          <w:color w:val="auto"/>
          <w:sz w:val="28"/>
          <w:szCs w:val="28"/>
          <w:highlight w:val="none"/>
        </w:rPr>
        <w:t>、政府采购</w:t>
      </w:r>
      <w:r>
        <w:rPr>
          <w:rFonts w:hint="eastAsia" w:ascii="宋体" w:hAnsi="宋体" w:eastAsia="宋体" w:cs="宋体"/>
          <w:color w:val="auto"/>
          <w:sz w:val="28"/>
          <w:szCs w:val="28"/>
          <w:highlight w:val="none"/>
          <w:lang w:eastAsia="zh-CN"/>
        </w:rPr>
        <w:t>投标人</w:t>
      </w:r>
      <w:r>
        <w:rPr>
          <w:rFonts w:hint="eastAsia" w:ascii="宋体" w:hAnsi="宋体" w:eastAsia="宋体" w:cs="宋体"/>
          <w:color w:val="auto"/>
          <w:sz w:val="28"/>
          <w:szCs w:val="28"/>
          <w:highlight w:val="none"/>
        </w:rPr>
        <w:t>拒绝政府采购领域商业贿赂承诺书</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七、</w:t>
      </w:r>
      <w:r>
        <w:rPr>
          <w:rFonts w:hint="eastAsia" w:ascii="宋体" w:hAnsi="宋体" w:eastAsia="宋体" w:cs="宋体"/>
          <w:color w:val="auto"/>
          <w:sz w:val="28"/>
          <w:szCs w:val="28"/>
          <w:highlight w:val="none"/>
        </w:rPr>
        <w:t>企业声明函</w:t>
      </w:r>
    </w:p>
    <w:p>
      <w:pPr>
        <w:pageBreakBefore w:val="0"/>
        <w:widowControl w:val="0"/>
        <w:kinsoku/>
        <w:wordWrap/>
        <w:overflowPunct/>
        <w:topLinePunct w:val="0"/>
        <w:bidi w:val="0"/>
        <w:spacing w:line="510" w:lineRule="exact"/>
        <w:ind w:firstLine="548" w:firstLineChars="196"/>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八、</w:t>
      </w:r>
      <w:r>
        <w:rPr>
          <w:rFonts w:hint="eastAsia" w:ascii="宋体" w:hAnsi="宋体" w:eastAsia="宋体" w:cs="宋体"/>
          <w:color w:val="auto"/>
          <w:sz w:val="28"/>
          <w:szCs w:val="28"/>
          <w:highlight w:val="none"/>
        </w:rPr>
        <w:t>已标价工程量清单</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lang w:eastAsia="zh-CN"/>
        </w:rPr>
      </w:pPr>
      <w:bookmarkStart w:id="9" w:name="_Toc21459"/>
      <w:r>
        <w:rPr>
          <w:rFonts w:hint="eastAsia" w:ascii="宋体" w:hAnsi="宋体" w:eastAsia="宋体" w:cs="宋体"/>
          <w:color w:val="auto"/>
          <w:highlight w:val="none"/>
        </w:rPr>
        <w:t>六、投标报价</w:t>
      </w:r>
      <w:r>
        <w:rPr>
          <w:rFonts w:hint="eastAsia" w:ascii="宋体" w:hAnsi="宋体" w:eastAsia="宋体" w:cs="宋体"/>
          <w:color w:val="auto"/>
          <w:highlight w:val="none"/>
          <w:lang w:eastAsia="zh-CN"/>
        </w:rPr>
        <w:t>要求</w:t>
      </w:r>
      <w:bookmarkEnd w:id="9"/>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zh-CN" w:eastAsia="zh-CN"/>
        </w:rPr>
        <w:t>1、本工程报价采用工程量清单计价方式，</w:t>
      </w:r>
      <w:r>
        <w:rPr>
          <w:rFonts w:hint="eastAsia" w:ascii="宋体" w:hAnsi="宋体" w:eastAsia="宋体" w:cs="宋体"/>
          <w:color w:val="auto"/>
          <w:sz w:val="28"/>
          <w:szCs w:val="28"/>
          <w:highlight w:val="none"/>
          <w:lang w:val="zh-CN"/>
        </w:rPr>
        <w:t>《陕西省建设工程工程量清单计价规则》（2009）、《陕西省建设工程工程量清单计价费率》（2009）及其配套文件中工程量计算办法</w:t>
      </w:r>
      <w:r>
        <w:rPr>
          <w:rFonts w:hint="eastAsia" w:ascii="宋体" w:hAnsi="宋体" w:eastAsia="宋体" w:cs="宋体"/>
          <w:color w:val="auto"/>
          <w:sz w:val="28"/>
          <w:szCs w:val="28"/>
          <w:highlight w:val="none"/>
          <w:lang w:val="zh-CN" w:eastAsia="zh-CN"/>
        </w:rPr>
        <w:t>。</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val="zh-CN" w:eastAsia="zh-CN"/>
        </w:rPr>
        <w:t>投标人的投标报价，就是招标文件、工程量清单、合同条款上所列投标工程范围及工程的全部各项支付金额的总和，投标报价不得以任何理由予以重复。</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val="zh-CN" w:eastAsia="zh-CN"/>
        </w:rPr>
        <w:t>投标人的投标报价汇总表中的价格均包括完成该工程项目的直接费、间接费、利润、税金、保险费、风险费、招标代理服务费</w:t>
      </w:r>
      <w:r>
        <w:rPr>
          <w:rFonts w:hint="eastAsia" w:ascii="宋体" w:hAnsi="宋体" w:cs="宋体"/>
          <w:color w:val="auto"/>
          <w:sz w:val="28"/>
          <w:szCs w:val="28"/>
          <w:highlight w:val="none"/>
          <w:lang w:val="zh-CN" w:eastAsia="zh-CN"/>
        </w:rPr>
        <w:t>、工程量清单及最高限价编制费、</w:t>
      </w:r>
      <w:r>
        <w:rPr>
          <w:rFonts w:hint="eastAsia" w:ascii="宋体" w:hAnsi="宋体" w:eastAsia="宋体" w:cs="宋体"/>
          <w:color w:val="auto"/>
          <w:sz w:val="28"/>
          <w:szCs w:val="28"/>
          <w:highlight w:val="none"/>
          <w:lang w:val="zh-CN" w:eastAsia="zh-CN"/>
        </w:rPr>
        <w:t>政策性文件规定费用和响应投标必须的其它费用以及合同明示或暗示的所有风险、责任和义务等全部费用。</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val="zh-CN" w:eastAsia="zh-CN"/>
        </w:rPr>
        <w:t>、投标人应认真填写工程量清单中所列本合同各工程细目的单价、合价和总额价。投标人没有填入单价、合价或总额价的工程细目，采购人将不予支付，并认为该细目的价款已包括在工程量清单其他细目的单价或总额中。投标人在工程量清单中多报的细目或单价、合价或总额价采购人将不予接受，严重者将视为重大偏差，其响应文件将被拒绝。</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lang w:val="zh-CN" w:eastAsia="zh-CN"/>
        </w:rPr>
        <w:t>、投标报价时的材料价格按以下方式处理：材料价格由投标人参考市场价格自主报价，风险自担。</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en-US" w:eastAsia="zh-CN"/>
        </w:rPr>
        <w:t>6</w:t>
      </w:r>
      <w:r>
        <w:rPr>
          <w:rFonts w:hint="eastAsia" w:ascii="宋体" w:hAnsi="宋体" w:eastAsia="宋体" w:cs="宋体"/>
          <w:color w:val="auto"/>
          <w:sz w:val="28"/>
          <w:szCs w:val="28"/>
          <w:highlight w:val="none"/>
          <w:lang w:val="zh-CN" w:eastAsia="zh-CN"/>
        </w:rPr>
        <w:t>、编制软件采用广联达云计价平台GCCP</w:t>
      </w:r>
      <w:r>
        <w:rPr>
          <w:rFonts w:hint="eastAsia" w:ascii="宋体" w:hAnsi="宋体" w:eastAsia="宋体" w:cs="宋体"/>
          <w:color w:val="auto"/>
          <w:sz w:val="28"/>
          <w:szCs w:val="28"/>
          <w:highlight w:val="none"/>
          <w:lang w:val="en-US" w:eastAsia="zh-CN"/>
        </w:rPr>
        <w:t>6</w:t>
      </w:r>
      <w:r>
        <w:rPr>
          <w:rFonts w:hint="eastAsia" w:ascii="宋体" w:hAnsi="宋体" w:eastAsia="宋体" w:cs="宋体"/>
          <w:color w:val="auto"/>
          <w:sz w:val="28"/>
          <w:szCs w:val="28"/>
          <w:highlight w:val="none"/>
          <w:lang w:val="zh-CN" w:eastAsia="zh-CN"/>
        </w:rPr>
        <w:t>.0,版本:</w:t>
      </w:r>
      <w:r>
        <w:rPr>
          <w:rFonts w:hint="eastAsia" w:ascii="宋体" w:hAnsi="宋体" w:eastAsia="宋体" w:cs="宋体"/>
          <w:color w:val="auto"/>
          <w:sz w:val="28"/>
          <w:szCs w:val="28"/>
          <w:highlight w:val="none"/>
          <w:lang w:val="en-US" w:eastAsia="zh-CN"/>
        </w:rPr>
        <w:t>6.3000.23.110</w:t>
      </w:r>
      <w:r>
        <w:rPr>
          <w:rFonts w:hint="eastAsia" w:ascii="宋体" w:hAnsi="宋体" w:eastAsia="宋体" w:cs="宋体"/>
          <w:color w:val="auto"/>
          <w:sz w:val="28"/>
          <w:szCs w:val="28"/>
          <w:highlight w:val="none"/>
          <w:lang w:val="zh-CN" w:eastAsia="zh-CN"/>
        </w:rPr>
        <w:t>(增值税版本</w:t>
      </w:r>
      <w:r>
        <w:rPr>
          <w:rFonts w:hint="eastAsia" w:ascii="宋体" w:hAnsi="宋体" w:cs="宋体"/>
          <w:color w:val="auto"/>
          <w:sz w:val="28"/>
          <w:szCs w:val="28"/>
          <w:highlight w:val="none"/>
          <w:lang w:val="zh-CN" w:eastAsia="zh-CN"/>
        </w:rPr>
        <w:t>）</w:t>
      </w:r>
      <w:r>
        <w:rPr>
          <w:rFonts w:hint="eastAsia" w:ascii="宋体" w:hAnsi="宋体" w:eastAsia="宋体" w:cs="宋体"/>
          <w:color w:val="auto"/>
          <w:sz w:val="28"/>
          <w:szCs w:val="28"/>
          <w:highlight w:val="none"/>
          <w:lang w:val="zh-CN" w:eastAsia="zh-CN"/>
        </w:rPr>
        <w:t>。</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en-US" w:eastAsia="zh-CN"/>
        </w:rPr>
        <w:t>7</w:t>
      </w:r>
      <w:r>
        <w:rPr>
          <w:rFonts w:hint="eastAsia" w:ascii="宋体" w:hAnsi="宋体" w:eastAsia="宋体" w:cs="宋体"/>
          <w:color w:val="auto"/>
          <w:sz w:val="28"/>
          <w:szCs w:val="28"/>
          <w:highlight w:val="none"/>
          <w:lang w:val="zh-CN" w:eastAsia="zh-CN"/>
        </w:rPr>
        <w:t>、本工程造价含养老统筹，投标报价为“含税单位工程造价”。</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en-US" w:eastAsia="zh-CN"/>
        </w:rPr>
        <w:t>8</w:t>
      </w:r>
      <w:r>
        <w:rPr>
          <w:rFonts w:hint="eastAsia" w:ascii="宋体" w:hAnsi="宋体" w:eastAsia="宋体" w:cs="宋体"/>
          <w:color w:val="auto"/>
          <w:sz w:val="28"/>
          <w:szCs w:val="28"/>
          <w:highlight w:val="none"/>
          <w:lang w:val="zh-CN" w:eastAsia="zh-CN"/>
        </w:rPr>
        <w:t>、投标人如发现工程量清单中的数量与图纸中数量不致时，应立即通知采购人核查，除非采购人以书面形式予以更正，应以工程量清单中列出的数量为准。在实际施工过程中，除设计变更外，工程量数量将不予调整。</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en-US" w:eastAsia="zh-CN"/>
        </w:rPr>
        <w:t>9</w:t>
      </w:r>
      <w:r>
        <w:rPr>
          <w:rFonts w:hint="eastAsia" w:ascii="宋体" w:hAnsi="宋体" w:eastAsia="宋体" w:cs="宋体"/>
          <w:color w:val="auto"/>
          <w:sz w:val="28"/>
          <w:szCs w:val="28"/>
          <w:highlight w:val="none"/>
          <w:lang w:val="zh-CN" w:eastAsia="zh-CN"/>
        </w:rPr>
        <w:t>、投标人可到现场工地踏勘以充分了解工地位置、情况、道路、空间、装卸限制及任何其他足以影响承包价的情况，任何因忽视或误解工地现场情况而导致的索赔或工期延长申请将不批准。凡因投标人对招标文件阅读疏忽或误解，或因对施工现场、施工环境、市场行情等了解不清而造成的后果和风险，均由投标人负责。</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eastAsia="zh-CN"/>
        </w:rPr>
      </w:pPr>
      <w:r>
        <w:rPr>
          <w:rFonts w:hint="eastAsia" w:ascii="宋体" w:hAnsi="宋体" w:eastAsia="宋体" w:cs="宋体"/>
          <w:color w:val="auto"/>
          <w:sz w:val="28"/>
          <w:szCs w:val="28"/>
          <w:highlight w:val="none"/>
          <w:lang w:val="en-US" w:eastAsia="zh-CN"/>
        </w:rPr>
        <w:t>10</w:t>
      </w:r>
      <w:r>
        <w:rPr>
          <w:rFonts w:hint="eastAsia" w:ascii="宋体" w:hAnsi="宋体" w:eastAsia="宋体" w:cs="宋体"/>
          <w:color w:val="auto"/>
          <w:sz w:val="28"/>
          <w:szCs w:val="28"/>
          <w:highlight w:val="none"/>
          <w:lang w:val="zh-CN" w:eastAsia="zh-CN"/>
        </w:rPr>
        <w:t>、本工程投标报价采用的币种为人民币。</w:t>
      </w:r>
    </w:p>
    <w:p>
      <w:pPr>
        <w:pageBreakBefore w:val="0"/>
        <w:widowControl w:val="0"/>
        <w:tabs>
          <w:tab w:val="left" w:pos="9030"/>
        </w:tabs>
        <w:kinsoku/>
        <w:wordWrap/>
        <w:overflowPunct/>
        <w:topLinePunct w:val="0"/>
        <w:bidi w:val="0"/>
        <w:snapToGrid w:val="0"/>
        <w:spacing w:line="51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en-US" w:eastAsia="zh-CN"/>
        </w:rPr>
        <w:t>11</w:t>
      </w:r>
      <w:r>
        <w:rPr>
          <w:rFonts w:hint="eastAsia" w:ascii="宋体" w:hAnsi="宋体" w:eastAsia="宋体" w:cs="宋体"/>
          <w:color w:val="auto"/>
          <w:sz w:val="28"/>
          <w:szCs w:val="28"/>
          <w:highlight w:val="none"/>
          <w:lang w:val="zh-CN"/>
        </w:rPr>
        <w:t>、投标过程中所产生的一切费用由投标人自行承担。</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10" w:name="_Toc25922"/>
      <w:r>
        <w:rPr>
          <w:rFonts w:hint="eastAsia" w:ascii="宋体" w:hAnsi="宋体" w:eastAsia="宋体" w:cs="宋体"/>
          <w:color w:val="auto"/>
          <w:highlight w:val="none"/>
        </w:rPr>
        <w:t>七、投标保证金</w:t>
      </w:r>
      <w:bookmarkEnd w:id="10"/>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（一）投标人须向采购代理机构递交投标保证金，投标保证金为人民币</w:t>
      </w:r>
      <w:r>
        <w:rPr>
          <w:rFonts w:hint="eastAsia" w:ascii="宋体" w:hAnsi="宋体" w:cs="宋体"/>
          <w:color w:val="auto"/>
          <w:sz w:val="28"/>
          <w:szCs w:val="28"/>
          <w:highlight w:val="none"/>
          <w:lang w:eastAsia="zh-CN"/>
        </w:rPr>
        <w:t>伍</w:t>
      </w:r>
      <w:r>
        <w:rPr>
          <w:rFonts w:hint="eastAsia" w:ascii="宋体" w:hAnsi="宋体" w:eastAsia="宋体" w:cs="宋体"/>
          <w:color w:val="auto"/>
          <w:sz w:val="28"/>
          <w:szCs w:val="28"/>
          <w:highlight w:val="none"/>
        </w:rPr>
        <w:t>万元</w:t>
      </w:r>
      <w:r>
        <w:rPr>
          <w:rFonts w:hint="eastAsia" w:ascii="宋体" w:hAnsi="宋体" w:eastAsia="宋体" w:cs="宋体"/>
          <w:color w:val="auto"/>
          <w:sz w:val="28"/>
          <w:szCs w:val="28"/>
          <w:highlight w:val="none"/>
          <w:lang w:val="zh-CN"/>
        </w:rPr>
        <w:t>（￥</w:t>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lang w:val="zh-CN"/>
        </w:rPr>
        <w:t>0000.00元），投标保证金应在投标截止时间前到帐。</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（二）投标保证金按以下账户交纳：</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户    名：鸿民国际工程咨询有限公司</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开户银行：中国建设银行股份有限公司渭南中心广场支行</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账    号：61001645108052504062</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w:t>
      </w:r>
      <w:r>
        <w:rPr>
          <w:rFonts w:hint="eastAsia" w:ascii="宋体" w:hAnsi="宋体" w:eastAsia="宋体" w:cs="宋体"/>
          <w:color w:val="auto"/>
          <w:sz w:val="28"/>
          <w:szCs w:val="28"/>
          <w:highlight w:val="none"/>
          <w:lang w:val="zh-CN"/>
        </w:rPr>
        <w:t>提交投标保证金后，各投标人须将其交纳保证金凭证复印件（加盖投标人红章）附在投标文件中，否则视为无效投标。</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（四）投标保证金</w:t>
      </w:r>
      <w:r>
        <w:rPr>
          <w:rFonts w:hint="eastAsia" w:ascii="宋体" w:hAnsi="宋体" w:eastAsia="宋体" w:cs="宋体"/>
          <w:color w:val="auto"/>
          <w:sz w:val="28"/>
          <w:szCs w:val="28"/>
          <w:highlight w:val="none"/>
          <w:lang w:val="zh-CN" w:eastAsia="zh-CN"/>
        </w:rPr>
        <w:t>支付方式为：转账、支票、本票、电汇或金融机构、担保机构出具的保函，不接受其他形式的保证金。以保函形式提交的必须是陕西省财政厅认定的具有开具保函资格的单位开具的保函（格式见附件</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val="zh-CN" w:eastAsia="zh-CN"/>
        </w:rPr>
        <w:t>）。</w:t>
      </w:r>
      <w:r>
        <w:rPr>
          <w:rFonts w:hint="eastAsia" w:ascii="宋体" w:hAnsi="宋体" w:cs="宋体"/>
          <w:color w:val="auto"/>
          <w:sz w:val="28"/>
          <w:szCs w:val="28"/>
          <w:highlight w:val="none"/>
          <w:lang w:val="zh-CN" w:eastAsia="zh-CN"/>
        </w:rPr>
        <w:t>投标人</w:t>
      </w:r>
      <w:r>
        <w:rPr>
          <w:rFonts w:hint="eastAsia" w:ascii="宋体" w:hAnsi="宋体" w:eastAsia="宋体" w:cs="宋体"/>
          <w:color w:val="auto"/>
          <w:sz w:val="28"/>
          <w:szCs w:val="28"/>
          <w:highlight w:val="none"/>
          <w:lang w:val="zh-CN" w:eastAsia="zh-CN"/>
        </w:rPr>
        <w:t>违约，开具保函单位承担连带责任。</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（五）自中标通知书发出之日</w:t>
      </w:r>
      <w:r>
        <w:rPr>
          <w:rFonts w:hint="eastAsia" w:ascii="宋体" w:hAnsi="宋体" w:eastAsia="宋体" w:cs="宋体"/>
          <w:color w:val="auto"/>
          <w:sz w:val="28"/>
          <w:szCs w:val="28"/>
          <w:highlight w:val="none"/>
        </w:rPr>
        <w:t>起</w:t>
      </w:r>
      <w:r>
        <w:rPr>
          <w:rFonts w:hint="eastAsia" w:ascii="宋体" w:hAnsi="宋体" w:eastAsia="宋体" w:cs="宋体"/>
          <w:color w:val="auto"/>
          <w:sz w:val="28"/>
          <w:szCs w:val="28"/>
          <w:highlight w:val="none"/>
          <w:lang w:val="zh-CN"/>
        </w:rPr>
        <w:t>5个工作日内退还未中标人的投标保证金，自采购合同签订之日起5个工作日内退还中标人的投标保证金。</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w:t>
      </w:r>
      <w:r>
        <w:rPr>
          <w:rFonts w:hint="eastAsia" w:ascii="宋体" w:hAnsi="宋体" w:cs="宋体"/>
          <w:color w:val="auto"/>
          <w:sz w:val="28"/>
          <w:szCs w:val="28"/>
          <w:highlight w:val="none"/>
          <w:lang w:eastAsia="zh-CN"/>
        </w:rPr>
        <w:t>六</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zh-CN"/>
        </w:rPr>
        <w:t>投标人有下列情形之一的，采购代理机构不予退还其交纳的投标保证金，</w:t>
      </w:r>
      <w:r>
        <w:rPr>
          <w:rFonts w:hint="eastAsia" w:ascii="宋体" w:hAnsi="宋体" w:eastAsia="宋体" w:cs="宋体"/>
          <w:color w:val="auto"/>
          <w:sz w:val="28"/>
          <w:szCs w:val="28"/>
          <w:highlight w:val="none"/>
        </w:rPr>
        <w:t>并在项目财政主管部门备案</w:t>
      </w:r>
      <w:r>
        <w:rPr>
          <w:rFonts w:hint="eastAsia" w:ascii="宋体" w:hAnsi="宋体" w:eastAsia="宋体" w:cs="宋体"/>
          <w:color w:val="auto"/>
          <w:sz w:val="28"/>
          <w:szCs w:val="28"/>
          <w:highlight w:val="none"/>
          <w:lang w:val="zh-CN"/>
        </w:rPr>
        <w:t>；情节严重的，由财政部门将其列入不良行为纪录名单予以通报，在一至三年内禁止参加政府采购活动：</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lang w:val="zh-CN"/>
        </w:rPr>
        <w:t>、投标人在投标文件中提供虚假材料的；</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lang w:val="zh-CN"/>
        </w:rPr>
        <w:t>、除因不可抗力或招标文件认可的情形以外，中标人不与采购人签订合同的；</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cs="宋体"/>
          <w:color w:val="auto"/>
          <w:sz w:val="28"/>
          <w:szCs w:val="28"/>
          <w:highlight w:val="none"/>
          <w:lang w:val="en-US" w:eastAsia="zh-CN"/>
        </w:rPr>
        <w:t>3</w:t>
      </w:r>
      <w:r>
        <w:rPr>
          <w:rFonts w:hint="eastAsia" w:ascii="宋体" w:hAnsi="宋体" w:eastAsia="宋体" w:cs="宋体"/>
          <w:color w:val="auto"/>
          <w:sz w:val="28"/>
          <w:szCs w:val="28"/>
          <w:highlight w:val="none"/>
          <w:lang w:val="zh-CN"/>
        </w:rPr>
        <w:t>、投标人与采购人、其他投标人或者采购代理机构恶意串通的；</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cs="宋体"/>
          <w:color w:val="auto"/>
          <w:sz w:val="28"/>
          <w:szCs w:val="28"/>
          <w:highlight w:val="none"/>
          <w:lang w:val="en-US" w:eastAsia="zh-CN"/>
        </w:rPr>
        <w:t>4</w:t>
      </w:r>
      <w:r>
        <w:rPr>
          <w:rFonts w:hint="eastAsia" w:ascii="宋体" w:hAnsi="宋体" w:eastAsia="宋体" w:cs="宋体"/>
          <w:color w:val="auto"/>
          <w:sz w:val="28"/>
          <w:szCs w:val="28"/>
          <w:highlight w:val="none"/>
          <w:lang w:val="zh-CN"/>
        </w:rPr>
        <w:t>、中标人将中标项目转让给他人，或者在投标文件中未说明，且未经采购人同意，将中标项目分包给他人的；</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lang w:val="zh-CN"/>
        </w:rPr>
        <w:t>、中标人拒绝履行合同义务的。</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11" w:name="_Toc30883"/>
      <w:r>
        <w:rPr>
          <w:rFonts w:hint="eastAsia" w:ascii="宋体" w:hAnsi="宋体" w:eastAsia="宋体" w:cs="宋体"/>
          <w:color w:val="auto"/>
          <w:highlight w:val="none"/>
        </w:rPr>
        <w:t>八、投标文件的式样和签署及有效期</w:t>
      </w:r>
      <w:bookmarkEnd w:id="11"/>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（一）投标文件式样</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1、投标人按照招标文件第五章《投标文件构成及格式》，准备</w:t>
      </w:r>
      <w:r>
        <w:rPr>
          <w:rFonts w:hint="eastAsia" w:ascii="宋体" w:hAnsi="宋体" w:eastAsia="宋体" w:cs="宋体"/>
          <w:b/>
          <w:bCs/>
          <w:color w:val="auto"/>
          <w:sz w:val="28"/>
          <w:szCs w:val="28"/>
          <w:highlight w:val="none"/>
        </w:rPr>
        <w:t>投标文件正本壹份、副本贰份</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电子</w:t>
      </w:r>
      <w:r>
        <w:rPr>
          <w:rFonts w:hint="eastAsia" w:ascii="宋体" w:hAnsi="宋体" w:eastAsia="宋体" w:cs="宋体"/>
          <w:b/>
          <w:bCs/>
          <w:color w:val="auto"/>
          <w:sz w:val="28"/>
          <w:szCs w:val="28"/>
          <w:highlight w:val="none"/>
          <w:lang w:eastAsia="zh-CN"/>
        </w:rPr>
        <w:t>文件</w:t>
      </w:r>
      <w:r>
        <w:rPr>
          <w:rFonts w:hint="eastAsia" w:ascii="宋体" w:hAnsi="宋体" w:eastAsia="宋体" w:cs="宋体"/>
          <w:b/>
          <w:bCs/>
          <w:color w:val="auto"/>
          <w:sz w:val="28"/>
          <w:szCs w:val="28"/>
          <w:highlight w:val="none"/>
          <w:lang w:val="en-US" w:eastAsia="zh-CN"/>
        </w:rPr>
        <w:t>(</w:t>
      </w:r>
      <w:r>
        <w:rPr>
          <w:rFonts w:hint="eastAsia" w:ascii="宋体" w:hAnsi="宋体" w:eastAsia="宋体" w:cs="宋体"/>
          <w:b/>
          <w:bCs/>
          <w:color w:val="auto"/>
          <w:sz w:val="28"/>
          <w:szCs w:val="28"/>
          <w:highlight w:val="none"/>
        </w:rPr>
        <w:t>光盘</w:t>
      </w:r>
      <w:r>
        <w:rPr>
          <w:rFonts w:hint="eastAsia" w:ascii="宋体" w:hAnsi="宋体" w:eastAsia="宋体" w:cs="宋体"/>
          <w:b/>
          <w:bCs/>
          <w:color w:val="auto"/>
          <w:sz w:val="28"/>
          <w:szCs w:val="28"/>
          <w:highlight w:val="none"/>
          <w:lang w:val="en-US" w:eastAsia="zh-CN"/>
        </w:rPr>
        <w:t>2</w:t>
      </w:r>
      <w:r>
        <w:rPr>
          <w:rFonts w:hint="eastAsia" w:ascii="宋体" w:hAnsi="宋体" w:eastAsia="宋体" w:cs="宋体"/>
          <w:b/>
          <w:bCs/>
          <w:color w:val="auto"/>
          <w:sz w:val="28"/>
          <w:szCs w:val="28"/>
          <w:highlight w:val="none"/>
          <w:lang w:eastAsia="zh-CN"/>
        </w:rPr>
        <w:t>张、</w:t>
      </w:r>
      <w:r>
        <w:rPr>
          <w:rFonts w:hint="eastAsia" w:ascii="宋体" w:hAnsi="宋体" w:eastAsia="宋体" w:cs="宋体"/>
          <w:b/>
          <w:bCs/>
          <w:color w:val="auto"/>
          <w:sz w:val="28"/>
          <w:szCs w:val="28"/>
          <w:highlight w:val="none"/>
          <w:lang w:val="en-US" w:eastAsia="zh-CN"/>
        </w:rPr>
        <w:t>U盘1个</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w:t>
      </w:r>
      <w:r>
        <w:rPr>
          <w:rFonts w:hint="eastAsia" w:ascii="宋体" w:hAnsi="宋体" w:eastAsia="宋体" w:cs="宋体"/>
          <w:bCs/>
          <w:color w:val="auto"/>
          <w:sz w:val="28"/>
          <w:szCs w:val="28"/>
          <w:highlight w:val="none"/>
        </w:rPr>
        <w:t>并各自装订成册，每套投标文件须清楚地标明“正本”“副本”，一旦正本和副本不符，以正本为准，电子文件与纸质文件不一致时以正本纸质文件为准。</w:t>
      </w:r>
    </w:p>
    <w:p>
      <w:pPr>
        <w:pageBreakBefore w:val="0"/>
        <w:widowControl w:val="0"/>
        <w:kinsoku/>
        <w:wordWrap/>
        <w:overflowPunct/>
        <w:topLinePunct w:val="0"/>
        <w:bidi w:val="0"/>
        <w:spacing w:line="510" w:lineRule="exact"/>
        <w:ind w:firstLine="562"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2、投标文件原则上不要求精装订，尺寸为A4纸张大小；装订方式：普通胶订（图纸及特殊文件除外）。</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3、投标人加盖红色公章的资格证明文件复印件(或原件)随投标文件正、副本装订（每套均附）。</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4、投标文件的正本和所有的副本均须打印或用不退色兰（黑）墨水（汁）书写，统一装订，标码，在每一页正下方清楚标明共多少页、第几页等字样。</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5、投标的所有文件、资料、函电文字均使用中文。</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（二）投标文件签署</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1、投标文件加盖投标人公章，并有投标人的法定代表人或被授权人签字。</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2、除投标人对错、漏处作必要修改外，投标文件不得行间插字、涂改和增删，如有修改错、漏处，必须有投标人的法定代表人或被授权人签字或盖章。</w:t>
      </w:r>
    </w:p>
    <w:p>
      <w:pPr>
        <w:pageBreakBefore w:val="0"/>
        <w:widowControl w:val="0"/>
        <w:kinsoku/>
        <w:wordWrap/>
        <w:overflowPunct/>
        <w:topLinePunct w:val="0"/>
        <w:bidi w:val="0"/>
        <w:spacing w:line="510" w:lineRule="exact"/>
        <w:ind w:firstLine="562" w:firstLineChars="200"/>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（三）投标文件有效期</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投标有效期为提交投标文件的截止之日起</w:t>
      </w:r>
      <w:r>
        <w:rPr>
          <w:rFonts w:hint="eastAsia" w:ascii="宋体" w:hAnsi="宋体" w:eastAsia="宋体" w:cs="宋体"/>
          <w:color w:val="auto"/>
          <w:sz w:val="28"/>
          <w:szCs w:val="28"/>
          <w:highlight w:val="none"/>
          <w:lang w:eastAsia="zh-CN"/>
        </w:rPr>
        <w:t>九</w:t>
      </w:r>
      <w:r>
        <w:rPr>
          <w:rFonts w:hint="eastAsia" w:ascii="宋体" w:hAnsi="宋体" w:eastAsia="宋体" w:cs="宋体"/>
          <w:color w:val="auto"/>
          <w:sz w:val="28"/>
          <w:szCs w:val="28"/>
          <w:highlight w:val="none"/>
        </w:rPr>
        <w:t>十（</w:t>
      </w:r>
      <w:r>
        <w:rPr>
          <w:rFonts w:hint="eastAsia" w:ascii="宋体" w:hAnsi="宋体" w:eastAsia="宋体" w:cs="宋体"/>
          <w:color w:val="auto"/>
          <w:sz w:val="28"/>
          <w:szCs w:val="28"/>
          <w:highlight w:val="none"/>
          <w:lang w:val="en-US" w:eastAsia="zh-CN"/>
        </w:rPr>
        <w:t>90</w:t>
      </w:r>
      <w:r>
        <w:rPr>
          <w:rFonts w:hint="eastAsia" w:ascii="宋体" w:hAnsi="宋体" w:eastAsia="宋体" w:cs="宋体"/>
          <w:color w:val="auto"/>
          <w:sz w:val="28"/>
          <w:szCs w:val="28"/>
          <w:highlight w:val="none"/>
        </w:rPr>
        <w:t>）个日历日（</w:t>
      </w:r>
      <w:r>
        <w:rPr>
          <w:rFonts w:hint="eastAsia" w:ascii="宋体" w:hAnsi="宋体" w:eastAsia="宋体" w:cs="宋体"/>
          <w:color w:val="auto"/>
          <w:sz w:val="28"/>
          <w:szCs w:val="28"/>
          <w:highlight w:val="none"/>
          <w:lang w:eastAsia="zh-CN"/>
        </w:rPr>
        <w:t>中标人</w:t>
      </w:r>
      <w:r>
        <w:rPr>
          <w:rFonts w:hint="eastAsia" w:ascii="宋体" w:hAnsi="宋体" w:eastAsia="宋体" w:cs="宋体"/>
          <w:color w:val="auto"/>
          <w:sz w:val="28"/>
          <w:szCs w:val="28"/>
          <w:highlight w:val="none"/>
        </w:rPr>
        <w:t>的投标文件有效期与合同有效期一致）。投标人的投标有效期不足招标文件规定的将被视为非响应性投标按无效投标处理。</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12" w:name="_Toc25446"/>
      <w:r>
        <w:rPr>
          <w:rFonts w:hint="eastAsia" w:ascii="宋体" w:hAnsi="宋体" w:eastAsia="宋体" w:cs="宋体"/>
          <w:color w:val="auto"/>
          <w:highlight w:val="none"/>
        </w:rPr>
        <w:t>九、投标文件的递交</w:t>
      </w:r>
      <w:bookmarkEnd w:id="12"/>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（一）投标文件的递交</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投标人应将投标文件按贰个标袋分开密封，正本及电子文件密封于壹个袋内，所有副本密封于壹个袋内，且在封袋上标明投标文件“正本”或“副本”字样，在投标文件递交截止时间前递交至开标地点。</w:t>
      </w:r>
    </w:p>
    <w:p>
      <w:pPr>
        <w:pageBreakBefore w:val="0"/>
        <w:widowControl w:val="0"/>
        <w:kinsoku/>
        <w:wordWrap/>
        <w:overflowPunct/>
        <w:topLinePunct w:val="0"/>
        <w:bidi w:val="0"/>
        <w:spacing w:line="510" w:lineRule="exact"/>
        <w:ind w:firstLine="562" w:firstLineChars="200"/>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（二）投标文件封袋按以下要求办理</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1、加封条密封，在封线处应有授权代表或法人签字并加盖投标人公章（骑缝章）。</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2、封袋参照招标文件第五章《投标文件构成及格式》中的《投标文件封袋正面标识式样》。</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（三）投标人投标文件递交时，出现下列情况之一的，其投标文件将被拒绝接收：</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1、参加投标的投标人名称与购买招标文件投标人名称不相符的；</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2、投标文件未按要求密封的；</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3、误投的；</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4、过早启封的；</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5、已过投标文件递交截止时间的。</w:t>
      </w:r>
    </w:p>
    <w:p>
      <w:pPr>
        <w:pageBreakBefore w:val="0"/>
        <w:widowControl w:val="0"/>
        <w:tabs>
          <w:tab w:val="left" w:pos="630"/>
        </w:tabs>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（四）投标文件递交后，在投标文件递交截止时间前，经采购代理机构同意，投标人可修改或撤回其投标文件。修改或撤回的内容应按要求编制、密封、标记，并在封套上加注“修改”字样。</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（五）在投标文件递交截止时间后到招标文件规定的投标文件的有效期满之间的这段时间内，投标人不得撤回其投标文件，否则，其投标保证金将不予退还。</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（六）有下列情形之一的，视为投标人串通投标，按无效投标处理：</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1、不同投标人的投标文件由同一单位或者个人编制；</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2、不同投标人委托同一单位或者个人办理投标事宜；</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3、不同投标人的投标文件载明的项目管理成员或者联系人员为同一人；</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4、不同投标人的投标文件异常一致或者投标报价呈规律性差异；</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5、不同投标人的投标文件相互混装；</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6、不同投标人的投标保证金从同一单位或者个人的账户转出。</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13" w:name="_Toc3325"/>
      <w:bookmarkStart w:id="14" w:name="_Toc155"/>
      <w:bookmarkStart w:id="15" w:name="_Toc20583"/>
      <w:bookmarkStart w:id="16" w:name="_Toc22168"/>
      <w:r>
        <w:rPr>
          <w:rFonts w:hint="eastAsia" w:ascii="宋体" w:hAnsi="宋体" w:eastAsia="宋体" w:cs="宋体"/>
          <w:color w:val="auto"/>
          <w:highlight w:val="none"/>
        </w:rPr>
        <w:t>十、评标委员会组建</w:t>
      </w:r>
      <w:bookmarkEnd w:id="13"/>
      <w:bookmarkEnd w:id="14"/>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（一）为了确保评标工作的公平、公正，依据政府采购法和政府采购相关法规、法令，成立评标委员会</w:t>
      </w:r>
      <w:r>
        <w:rPr>
          <w:rFonts w:hint="eastAsia" w:ascii="宋体" w:hAnsi="宋体" w:eastAsia="宋体" w:cs="宋体"/>
          <w:bCs/>
          <w:color w:val="auto"/>
          <w:sz w:val="28"/>
          <w:szCs w:val="28"/>
          <w:highlight w:val="none"/>
        </w:rPr>
        <w:t>，成员人数</w:t>
      </w:r>
      <w:r>
        <w:rPr>
          <w:rFonts w:hint="eastAsia" w:ascii="宋体" w:hAnsi="宋体" w:eastAsia="宋体" w:cs="宋体"/>
          <w:color w:val="auto"/>
          <w:sz w:val="28"/>
          <w:szCs w:val="28"/>
          <w:highlight w:val="none"/>
        </w:rPr>
        <w:t>由</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人组成，其中采购人代表</w:t>
      </w: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rPr>
        <w:t>人，技术、经济等方面的专家</w:t>
      </w: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rPr>
        <w:t>人。技术、经济等方面专家从陕西省财政厅专家库中随机抽取，</w:t>
      </w:r>
      <w:r>
        <w:rPr>
          <w:rFonts w:hint="eastAsia" w:ascii="宋体" w:hAnsi="宋体" w:eastAsia="宋体" w:cs="宋体"/>
          <w:color w:val="auto"/>
          <w:sz w:val="28"/>
          <w:szCs w:val="28"/>
          <w:highlight w:val="none"/>
          <w:lang w:val="zh-CN"/>
        </w:rPr>
        <w:t>评标委员会成员与投标人有利害关系的应当回避。</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（二）采购人与中标人正式签订政府采购合同前，凡与审查、投标、澄清、评标过程中有关的所有资料和内容，评标委员会成员及采购代理机构工作人员均负有保密责任，不得向外透露。</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（三）评标委员会负责具体评标事宜，并独立履行下列职责：</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zh-CN"/>
        </w:rPr>
        <w:t>审查、评价投标文件是否符合招标文件的商务、技术等实质性要求；</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要求投标人对投标文件有关事项作出澄清或者说明；</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val="zh-CN"/>
        </w:rPr>
        <w:t>对投标文件进行比较和评价；</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lang w:val="zh-CN"/>
        </w:rPr>
        <w:t>确定中标候选人名单，或根据采购人委托直接确定中标人；</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5、</w:t>
      </w:r>
      <w:r>
        <w:rPr>
          <w:rFonts w:hint="eastAsia" w:ascii="宋体" w:hAnsi="宋体" w:eastAsia="宋体" w:cs="宋体"/>
          <w:color w:val="auto"/>
          <w:sz w:val="28"/>
          <w:szCs w:val="28"/>
          <w:highlight w:val="none"/>
          <w:lang w:val="zh-CN"/>
        </w:rPr>
        <w:t>向采购人、采购代理机构或者有关部门报告评标中发现的违法行为。</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（四）</w:t>
      </w:r>
      <w:r>
        <w:rPr>
          <w:rFonts w:hint="eastAsia" w:ascii="宋体" w:hAnsi="宋体" w:eastAsia="宋体" w:cs="宋体"/>
          <w:color w:val="auto"/>
          <w:sz w:val="28"/>
          <w:szCs w:val="28"/>
          <w:highlight w:val="none"/>
          <w:lang w:val="zh-CN"/>
        </w:rPr>
        <w:t>评标委员会有权对整个招标过程中出现的一切问题，根据《中华人民共和国政府采购法》、《中华人民共和国政府采购法实施条例》及相关法规、政策的规定，本着公开、公平、公正的原则，进行处理。</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17" w:name="_Toc699"/>
      <w:bookmarkStart w:id="18" w:name="_Toc27628"/>
      <w:r>
        <w:rPr>
          <w:rFonts w:hint="eastAsia" w:ascii="宋体" w:hAnsi="宋体" w:eastAsia="宋体" w:cs="宋体"/>
          <w:color w:val="auto"/>
          <w:highlight w:val="none"/>
        </w:rPr>
        <w:t>十一、组织开标</w:t>
      </w:r>
      <w:bookmarkEnd w:id="17"/>
      <w:bookmarkEnd w:id="18"/>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（一）采购代理机构组织开标工作，整个过程受监管机构的监督、管理。</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（二）开标由采购人或者采购代理机构主持，邀请投标人参加。评标委员会成员不得参加开标活动。</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（三）采购代理机构在规定的时间和地点组织公开招标，投标人委派代表参加（非授权代表不得参加开标会议），参加开标的代表应签名报到以证明其出席。</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（四）由采购代理机构的工作人员和投标人推荐的代表共同查验投标人递交的投标文件密封和标记情况，密封不合格的投标文件将不予拆封。</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（五）投标人不足3家的，不得开标。</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（六）确认无误后由采购代理机构的工作人员公开宣读</w:t>
      </w:r>
      <w:r>
        <w:rPr>
          <w:rFonts w:hint="eastAsia" w:ascii="宋体" w:hAnsi="宋体" w:eastAsia="宋体" w:cs="宋体"/>
          <w:color w:val="auto"/>
          <w:sz w:val="28"/>
          <w:szCs w:val="28"/>
          <w:highlight w:val="none"/>
          <w:lang w:eastAsia="zh-CN"/>
        </w:rPr>
        <w:t>投标人名称、投标总报价、工期、质量、项目经理姓名、保证金递交情况</w:t>
      </w:r>
      <w:r>
        <w:rPr>
          <w:rFonts w:hint="eastAsia" w:ascii="宋体" w:hAnsi="宋体" w:eastAsia="宋体" w:cs="宋体"/>
          <w:color w:val="auto"/>
          <w:sz w:val="28"/>
          <w:szCs w:val="28"/>
          <w:highlight w:val="none"/>
        </w:rPr>
        <w:t>。</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（七）采购代理机构将在开标会议现场做开标记录，开标记录包括开标时宣读的全部内容。唱标结束后，各投标人的授权代表必须审核开标记录，无误后签字确认。</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八）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（九）投标人未参加开标的，视同认可开标结果。</w:t>
      </w:r>
    </w:p>
    <w:p>
      <w:pPr>
        <w:pStyle w:val="190"/>
        <w:pageBreakBefore w:val="0"/>
        <w:widowControl w:val="0"/>
        <w:kinsoku/>
        <w:wordWrap/>
        <w:overflowPunct/>
        <w:topLinePunct w:val="0"/>
        <w:bidi w:val="0"/>
        <w:spacing w:line="510" w:lineRule="exact"/>
        <w:textAlignment w:val="auto"/>
        <w:rPr>
          <w:rFonts w:hint="eastAsia" w:ascii="宋体" w:hAnsi="宋体" w:eastAsia="宋体" w:cs="宋体"/>
          <w:color w:val="auto"/>
          <w:highlight w:val="none"/>
        </w:rPr>
      </w:pPr>
      <w:bookmarkStart w:id="19" w:name="_Toc12209"/>
      <w:bookmarkStart w:id="20" w:name="_Toc3801"/>
      <w:r>
        <w:rPr>
          <w:rFonts w:hint="eastAsia" w:ascii="宋体" w:hAnsi="宋体" w:eastAsia="宋体" w:cs="宋体"/>
          <w:color w:val="auto"/>
          <w:highlight w:val="none"/>
        </w:rPr>
        <w:t>十二、评标方法及内容</w:t>
      </w:r>
      <w:bookmarkEnd w:id="19"/>
      <w:bookmarkEnd w:id="20"/>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val="zh-CN"/>
        </w:rPr>
        <w:t>采购人或者采购代理机构负责组织评标工作，并履行下列职责：</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zh-CN"/>
        </w:rPr>
        <w:t>核对评审专家身份和采购人代表授权函，对评审专家在政府采购活动中的职责履行情况予以记录，并及时将有关违法违规行为向财政部门报告；</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宣布评标纪律；</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lang w:val="zh-CN"/>
        </w:rPr>
        <w:t>公布投标人名单，告知评审专家应当回避的情形；</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4、</w:t>
      </w:r>
      <w:r>
        <w:rPr>
          <w:rFonts w:hint="eastAsia" w:ascii="宋体" w:hAnsi="宋体" w:eastAsia="宋体" w:cs="宋体"/>
          <w:color w:val="auto"/>
          <w:sz w:val="28"/>
          <w:szCs w:val="28"/>
          <w:highlight w:val="none"/>
          <w:lang w:val="zh-CN"/>
        </w:rPr>
        <w:t>组织评标委员会推选评标组长，采购人代表不得担任组长；</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5、</w:t>
      </w:r>
      <w:r>
        <w:rPr>
          <w:rFonts w:hint="eastAsia" w:ascii="宋体" w:hAnsi="宋体" w:eastAsia="宋体" w:cs="宋体"/>
          <w:color w:val="auto"/>
          <w:sz w:val="28"/>
          <w:szCs w:val="28"/>
          <w:highlight w:val="none"/>
          <w:lang w:val="zh-CN"/>
        </w:rPr>
        <w:t>在评标期间采取必要的通讯管理措施，保证评标活动不受外界干扰；</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6、</w:t>
      </w:r>
      <w:r>
        <w:rPr>
          <w:rFonts w:hint="eastAsia" w:ascii="宋体" w:hAnsi="宋体" w:eastAsia="宋体" w:cs="宋体"/>
          <w:color w:val="auto"/>
          <w:sz w:val="28"/>
          <w:szCs w:val="28"/>
          <w:highlight w:val="none"/>
          <w:lang w:val="zh-CN"/>
        </w:rPr>
        <w:t>根据评标委员会的要求介绍政府采购相关政策法规、招标文件；</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7、</w:t>
      </w:r>
      <w:r>
        <w:rPr>
          <w:rFonts w:hint="eastAsia" w:ascii="宋体" w:hAnsi="宋体" w:eastAsia="宋体" w:cs="宋体"/>
          <w:color w:val="auto"/>
          <w:sz w:val="28"/>
          <w:szCs w:val="28"/>
          <w:highlight w:val="none"/>
          <w:lang w:val="zh-CN"/>
        </w:rPr>
        <w:t>维护评标秩序，监督评标委员会依照招标文件规定的评标程序、方法和标准进行独立评审，及时制止和纠正采购人代表、评审专家的倾向性言论或者违法违规行为；</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8、</w:t>
      </w:r>
      <w:r>
        <w:rPr>
          <w:rFonts w:hint="eastAsia" w:ascii="宋体" w:hAnsi="宋体" w:eastAsia="宋体" w:cs="宋体"/>
          <w:color w:val="auto"/>
          <w:sz w:val="28"/>
          <w:szCs w:val="28"/>
          <w:highlight w:val="none"/>
          <w:lang w:val="zh-CN"/>
        </w:rPr>
        <w:t>核对评标结果，有本办法第六十四条规定情形的，要求评标委员会复核或者书面说明理由，评标委员会拒绝的，应予记录并向本级财政部门报告；</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9、</w:t>
      </w:r>
      <w:r>
        <w:rPr>
          <w:rFonts w:hint="eastAsia" w:ascii="宋体" w:hAnsi="宋体" w:eastAsia="宋体" w:cs="宋体"/>
          <w:color w:val="auto"/>
          <w:sz w:val="28"/>
          <w:szCs w:val="28"/>
          <w:highlight w:val="none"/>
          <w:lang w:val="zh-CN"/>
        </w:rPr>
        <w:t>评审工作完成后，按照规定向评审专家支付劳务报酬和异地评审差旅费，不得向评审专家以外的其他人员支付评审劳务报酬；</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10、</w:t>
      </w:r>
      <w:r>
        <w:rPr>
          <w:rFonts w:hint="eastAsia" w:ascii="宋体" w:hAnsi="宋体" w:eastAsia="宋体" w:cs="宋体"/>
          <w:color w:val="auto"/>
          <w:sz w:val="28"/>
          <w:szCs w:val="28"/>
          <w:highlight w:val="none"/>
          <w:lang w:val="zh-CN"/>
        </w:rPr>
        <w:t>处理与评标有关的其他事项。</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（二）资格性审查</w:t>
      </w:r>
    </w:p>
    <w:p>
      <w:pPr>
        <w:pageBreakBefore w:val="0"/>
        <w:widowControl w:val="0"/>
        <w:kinsoku/>
        <w:wordWrap/>
        <w:overflowPunct/>
        <w:topLinePunct w:val="0"/>
        <w:bidi w:val="0"/>
        <w:spacing w:line="51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1、开标结束后，采购人或者采购代理机构依据法律法规和招标文件的规定，对投标文件中的合格投标人要求证明文件等进行审查，以确保投标人是否具备相应资格。</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zh-CN"/>
        </w:rPr>
        <w:t>2、投标文件中的资格证明文件出现下列情况者（但不限于），按无效投标处理：</w:t>
      </w:r>
    </w:p>
    <w:p>
      <w:pPr>
        <w:keepNext w:val="0"/>
        <w:keepLines w:val="0"/>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2-1、投标人的名称与登记领取招标文件单位的名称不符。</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2-2、投标人承诺书的有效性或符合性不符合要求的。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2-3、招标文件要求提交原件，而投标人未按要求提交的。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2-4、投标人资格证明文件的完整性、有效性或符合性不符合要求的。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（三）有效性和符合性审查</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1、评标委员会应当对符合资格的投标人的投标文件进行符合性审查，以确定其是否满足招标文件的实质性要求。</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2、评标委员会依据招标文件的规定，对投标文件的有效性、完整性和对招标文件的响应程度进行审查，以确定是否对招标文件的实质性内容作出响应。</w:t>
      </w:r>
    </w:p>
    <w:tbl>
      <w:tblPr>
        <w:tblStyle w:val="97"/>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106"/>
        <w:gridCol w:w="2089"/>
        <w:gridCol w:w="4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jc w:val="center"/>
        </w:trPr>
        <w:tc>
          <w:tcPr>
            <w:tcW w:w="728" w:type="dxa"/>
            <w:noWrap w:val="0"/>
            <w:vAlign w:val="center"/>
          </w:tcPr>
          <w:p>
            <w:pPr>
              <w:tabs>
                <w:tab w:val="left" w:pos="0"/>
              </w:tabs>
              <w:adjustRightInd w:val="0"/>
              <w:snapToGrid w:val="0"/>
              <w:spacing w:line="240" w:lineRule="auto"/>
              <w:jc w:val="center"/>
              <w:rPr>
                <w:rFonts w:hint="eastAsia" w:ascii="宋体" w:hAnsi="宋体"/>
                <w:b/>
                <w:color w:val="auto"/>
                <w:sz w:val="24"/>
                <w:szCs w:val="24"/>
              </w:rPr>
            </w:pPr>
            <w:r>
              <w:rPr>
                <w:rFonts w:hint="eastAsia" w:ascii="宋体" w:hAnsi="宋体"/>
                <w:b/>
                <w:color w:val="auto"/>
                <w:sz w:val="24"/>
                <w:szCs w:val="24"/>
              </w:rPr>
              <w:t>序号</w:t>
            </w:r>
          </w:p>
        </w:tc>
        <w:tc>
          <w:tcPr>
            <w:tcW w:w="3195" w:type="dxa"/>
            <w:gridSpan w:val="2"/>
            <w:noWrap w:val="0"/>
            <w:vAlign w:val="center"/>
          </w:tcPr>
          <w:p>
            <w:pPr>
              <w:tabs>
                <w:tab w:val="left" w:pos="0"/>
              </w:tabs>
              <w:adjustRightInd w:val="0"/>
              <w:snapToGrid w:val="0"/>
              <w:spacing w:line="240" w:lineRule="auto"/>
              <w:jc w:val="center"/>
              <w:rPr>
                <w:rFonts w:hint="eastAsia" w:ascii="宋体" w:hAnsi="宋体"/>
                <w:b/>
                <w:color w:val="auto"/>
                <w:sz w:val="24"/>
                <w:szCs w:val="24"/>
              </w:rPr>
            </w:pPr>
            <w:r>
              <w:rPr>
                <w:rFonts w:hint="eastAsia" w:ascii="宋体" w:hAnsi="宋体"/>
                <w:b/>
                <w:color w:val="auto"/>
                <w:sz w:val="24"/>
                <w:szCs w:val="24"/>
              </w:rPr>
              <w:t>评审因素</w:t>
            </w:r>
          </w:p>
        </w:tc>
        <w:tc>
          <w:tcPr>
            <w:tcW w:w="4972" w:type="dxa"/>
            <w:noWrap w:val="0"/>
            <w:vAlign w:val="center"/>
          </w:tcPr>
          <w:p>
            <w:pPr>
              <w:tabs>
                <w:tab w:val="left" w:pos="0"/>
              </w:tabs>
              <w:adjustRightInd w:val="0"/>
              <w:snapToGrid w:val="0"/>
              <w:spacing w:line="240" w:lineRule="auto"/>
              <w:jc w:val="center"/>
              <w:rPr>
                <w:rFonts w:hint="eastAsia" w:ascii="宋体" w:hAnsi="宋体"/>
                <w:b/>
                <w:color w:val="auto"/>
                <w:sz w:val="24"/>
                <w:szCs w:val="24"/>
              </w:rPr>
            </w:pPr>
            <w:r>
              <w:rPr>
                <w:rFonts w:hint="eastAsia" w:ascii="宋体" w:hAnsi="宋体"/>
                <w:b/>
                <w:color w:val="auto"/>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728" w:type="dxa"/>
            <w:vMerge w:val="restart"/>
            <w:noWrap w:val="0"/>
            <w:vAlign w:val="center"/>
          </w:tcPr>
          <w:p>
            <w:pPr>
              <w:tabs>
                <w:tab w:val="left" w:pos="0"/>
              </w:tabs>
              <w:adjustRightInd w:val="0"/>
              <w:snapToGrid w:val="0"/>
              <w:spacing w:line="240" w:lineRule="auto"/>
              <w:jc w:val="center"/>
              <w:rPr>
                <w:rFonts w:hint="eastAsia" w:ascii="宋体" w:hAnsi="宋体"/>
                <w:color w:val="auto"/>
                <w:sz w:val="24"/>
                <w:szCs w:val="24"/>
              </w:rPr>
            </w:pPr>
            <w:r>
              <w:rPr>
                <w:rFonts w:hint="eastAsia" w:ascii="宋体" w:hAnsi="宋体"/>
                <w:color w:val="auto"/>
                <w:sz w:val="24"/>
                <w:szCs w:val="24"/>
              </w:rPr>
              <w:t>1</w:t>
            </w:r>
          </w:p>
        </w:tc>
        <w:tc>
          <w:tcPr>
            <w:tcW w:w="1106" w:type="dxa"/>
            <w:vMerge w:val="restart"/>
            <w:noWrap w:val="0"/>
            <w:vAlign w:val="center"/>
          </w:tcPr>
          <w:p>
            <w:pPr>
              <w:tabs>
                <w:tab w:val="left" w:pos="0"/>
              </w:tabs>
              <w:adjustRightInd w:val="0"/>
              <w:snapToGrid w:val="0"/>
              <w:spacing w:line="240" w:lineRule="auto"/>
              <w:jc w:val="center"/>
              <w:rPr>
                <w:rFonts w:hint="eastAsia" w:ascii="宋体" w:hAnsi="宋体"/>
                <w:color w:val="auto"/>
                <w:sz w:val="24"/>
                <w:szCs w:val="24"/>
              </w:rPr>
            </w:pPr>
            <w:r>
              <w:rPr>
                <w:rFonts w:hint="eastAsia" w:ascii="宋体" w:hAnsi="宋体"/>
                <w:color w:val="auto"/>
                <w:sz w:val="24"/>
                <w:szCs w:val="24"/>
              </w:rPr>
              <w:t>有效性审查</w:t>
            </w:r>
          </w:p>
        </w:tc>
        <w:tc>
          <w:tcPr>
            <w:tcW w:w="2089"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lang w:eastAsia="zh-CN"/>
              </w:rPr>
              <w:t>投标文件</w:t>
            </w:r>
            <w:r>
              <w:rPr>
                <w:rFonts w:hint="eastAsia" w:ascii="宋体" w:hAnsi="宋体"/>
                <w:color w:val="auto"/>
                <w:sz w:val="24"/>
                <w:szCs w:val="24"/>
              </w:rPr>
              <w:t>的签署盖章</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lang w:eastAsia="zh-CN"/>
              </w:rPr>
              <w:t>投标文件</w:t>
            </w:r>
            <w:r>
              <w:rPr>
                <w:rFonts w:hint="eastAsia" w:ascii="宋体" w:hAnsi="宋体"/>
                <w:color w:val="auto"/>
                <w:sz w:val="24"/>
                <w:szCs w:val="24"/>
              </w:rPr>
              <w:t>上法定代表人或其授权代表人的签字齐全并加盖公章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jc w:val="center"/>
        </w:trPr>
        <w:tc>
          <w:tcPr>
            <w:tcW w:w="728"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1106"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2089"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lang w:eastAsia="zh-CN"/>
              </w:rPr>
              <w:t>投标文件</w:t>
            </w:r>
            <w:r>
              <w:rPr>
                <w:rFonts w:hint="eastAsia" w:ascii="宋体" w:hAnsi="宋体"/>
                <w:color w:val="auto"/>
                <w:sz w:val="24"/>
                <w:szCs w:val="24"/>
              </w:rPr>
              <w:t>格式</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符合“</w:t>
            </w:r>
            <w:r>
              <w:rPr>
                <w:rFonts w:hint="eastAsia" w:ascii="宋体" w:hAnsi="宋体"/>
                <w:color w:val="auto"/>
                <w:sz w:val="24"/>
                <w:szCs w:val="24"/>
                <w:lang w:eastAsia="zh-CN"/>
              </w:rPr>
              <w:t>投标文件</w:t>
            </w:r>
            <w:r>
              <w:rPr>
                <w:rFonts w:hint="eastAsia" w:ascii="宋体" w:hAnsi="宋体"/>
                <w:color w:val="auto"/>
                <w:sz w:val="24"/>
                <w:szCs w:val="24"/>
              </w:rPr>
              <w:t>格式”要求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6" w:hRule="atLeast"/>
          <w:jc w:val="center"/>
        </w:trPr>
        <w:tc>
          <w:tcPr>
            <w:tcW w:w="728"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1106"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2089"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报价唯一</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只能有一个有效报价，不得提交选择性报价，且报价不超过</w:t>
            </w:r>
            <w:r>
              <w:rPr>
                <w:rFonts w:hint="eastAsia" w:ascii="宋体" w:hAnsi="宋体"/>
                <w:color w:val="auto"/>
                <w:sz w:val="24"/>
                <w:szCs w:val="24"/>
                <w:lang w:eastAsia="zh-CN"/>
              </w:rPr>
              <w:t>最高限价金额</w:t>
            </w:r>
            <w:r>
              <w:rPr>
                <w:rFonts w:hint="eastAsia" w:ascii="宋体" w:hAnsi="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728" w:type="dxa"/>
            <w:vMerge w:val="restart"/>
            <w:noWrap w:val="0"/>
            <w:vAlign w:val="center"/>
          </w:tcPr>
          <w:p>
            <w:pPr>
              <w:tabs>
                <w:tab w:val="left" w:pos="0"/>
              </w:tabs>
              <w:adjustRightInd w:val="0"/>
              <w:snapToGrid w:val="0"/>
              <w:spacing w:line="240" w:lineRule="auto"/>
              <w:jc w:val="center"/>
              <w:rPr>
                <w:rFonts w:hint="eastAsia" w:ascii="宋体" w:hAnsi="宋体"/>
                <w:color w:val="auto"/>
                <w:sz w:val="24"/>
                <w:szCs w:val="24"/>
              </w:rPr>
            </w:pPr>
            <w:r>
              <w:rPr>
                <w:rFonts w:hint="eastAsia" w:ascii="宋体" w:hAnsi="宋体"/>
                <w:color w:val="auto"/>
                <w:sz w:val="24"/>
                <w:szCs w:val="24"/>
              </w:rPr>
              <w:t>2</w:t>
            </w:r>
          </w:p>
        </w:tc>
        <w:tc>
          <w:tcPr>
            <w:tcW w:w="1106" w:type="dxa"/>
            <w:vMerge w:val="restart"/>
            <w:noWrap w:val="0"/>
            <w:vAlign w:val="center"/>
          </w:tcPr>
          <w:p>
            <w:pPr>
              <w:tabs>
                <w:tab w:val="left" w:pos="0"/>
              </w:tabs>
              <w:adjustRightInd w:val="0"/>
              <w:snapToGrid w:val="0"/>
              <w:spacing w:line="240" w:lineRule="auto"/>
              <w:jc w:val="center"/>
              <w:rPr>
                <w:rFonts w:hint="eastAsia" w:ascii="宋体" w:hAnsi="宋体"/>
                <w:color w:val="auto"/>
                <w:sz w:val="24"/>
                <w:szCs w:val="24"/>
              </w:rPr>
            </w:pPr>
            <w:r>
              <w:rPr>
                <w:rFonts w:hint="eastAsia" w:ascii="宋体" w:hAnsi="宋体"/>
                <w:color w:val="auto"/>
                <w:sz w:val="24"/>
                <w:szCs w:val="24"/>
              </w:rPr>
              <w:t>完整性审查</w:t>
            </w:r>
          </w:p>
        </w:tc>
        <w:tc>
          <w:tcPr>
            <w:tcW w:w="2089"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lang w:eastAsia="zh-CN"/>
              </w:rPr>
              <w:t>投标文件</w:t>
            </w:r>
            <w:r>
              <w:rPr>
                <w:rFonts w:hint="eastAsia" w:ascii="宋体" w:hAnsi="宋体"/>
                <w:color w:val="auto"/>
                <w:sz w:val="24"/>
                <w:szCs w:val="24"/>
              </w:rPr>
              <w:t>份数</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应符合“</w:t>
            </w:r>
            <w:r>
              <w:rPr>
                <w:rFonts w:hint="eastAsia" w:ascii="宋体" w:hAnsi="宋体"/>
                <w:color w:val="auto"/>
                <w:sz w:val="24"/>
                <w:szCs w:val="24"/>
                <w:lang w:eastAsia="zh-CN"/>
              </w:rPr>
              <w:t>投标人须知</w:t>
            </w:r>
            <w:r>
              <w:rPr>
                <w:rFonts w:hint="eastAsia" w:ascii="宋体" w:hAnsi="宋体"/>
                <w:color w:val="auto"/>
                <w:sz w:val="24"/>
                <w:szCs w:val="24"/>
              </w:rPr>
              <w:t>”条款规定的正本、副本、电子文件数量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jc w:val="center"/>
        </w:trPr>
        <w:tc>
          <w:tcPr>
            <w:tcW w:w="728"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1106"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2089"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lang w:eastAsia="zh-CN"/>
              </w:rPr>
              <w:t>投标文件</w:t>
            </w:r>
            <w:r>
              <w:rPr>
                <w:rFonts w:hint="eastAsia" w:ascii="宋体" w:hAnsi="宋体"/>
                <w:color w:val="auto"/>
                <w:sz w:val="24"/>
                <w:szCs w:val="24"/>
              </w:rPr>
              <w:t>内容</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lang w:eastAsia="zh-CN"/>
              </w:rPr>
              <w:t>投标文件</w:t>
            </w:r>
            <w:r>
              <w:rPr>
                <w:rFonts w:hint="eastAsia" w:ascii="宋体" w:hAnsi="宋体"/>
                <w:color w:val="auto"/>
                <w:sz w:val="24"/>
                <w:szCs w:val="24"/>
              </w:rPr>
              <w:t>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1" w:hRule="atLeast"/>
          <w:jc w:val="center"/>
        </w:trPr>
        <w:tc>
          <w:tcPr>
            <w:tcW w:w="728" w:type="dxa"/>
            <w:vMerge w:val="restart"/>
            <w:noWrap w:val="0"/>
            <w:vAlign w:val="center"/>
          </w:tcPr>
          <w:p>
            <w:pPr>
              <w:tabs>
                <w:tab w:val="left" w:pos="0"/>
              </w:tabs>
              <w:adjustRightInd w:val="0"/>
              <w:snapToGrid w:val="0"/>
              <w:spacing w:line="240" w:lineRule="auto"/>
              <w:jc w:val="center"/>
              <w:rPr>
                <w:rFonts w:hint="eastAsia" w:ascii="宋体" w:hAnsi="宋体"/>
                <w:color w:val="auto"/>
                <w:sz w:val="24"/>
                <w:szCs w:val="24"/>
              </w:rPr>
            </w:pPr>
            <w:r>
              <w:rPr>
                <w:rFonts w:hint="eastAsia" w:ascii="宋体" w:hAnsi="宋体"/>
                <w:color w:val="auto"/>
                <w:sz w:val="24"/>
                <w:szCs w:val="24"/>
              </w:rPr>
              <w:t>3</w:t>
            </w:r>
          </w:p>
        </w:tc>
        <w:tc>
          <w:tcPr>
            <w:tcW w:w="1106" w:type="dxa"/>
            <w:vMerge w:val="restart"/>
            <w:noWrap w:val="0"/>
            <w:vAlign w:val="center"/>
          </w:tcPr>
          <w:p>
            <w:pPr>
              <w:tabs>
                <w:tab w:val="left" w:pos="0"/>
              </w:tabs>
              <w:adjustRightInd w:val="0"/>
              <w:snapToGrid w:val="0"/>
              <w:spacing w:line="240" w:lineRule="auto"/>
              <w:jc w:val="center"/>
              <w:rPr>
                <w:rFonts w:hint="eastAsia" w:ascii="宋体" w:hAnsi="宋体"/>
                <w:color w:val="auto"/>
                <w:sz w:val="24"/>
                <w:szCs w:val="24"/>
              </w:rPr>
            </w:pPr>
            <w:r>
              <w:rPr>
                <w:rFonts w:hint="eastAsia" w:ascii="宋体" w:hAnsi="宋体"/>
                <w:color w:val="auto"/>
                <w:sz w:val="24"/>
                <w:szCs w:val="24"/>
                <w:lang w:eastAsia="zh-CN"/>
              </w:rPr>
              <w:t>投标文件</w:t>
            </w:r>
            <w:r>
              <w:rPr>
                <w:rFonts w:hint="eastAsia" w:ascii="宋体" w:hAnsi="宋体"/>
                <w:color w:val="auto"/>
                <w:sz w:val="24"/>
                <w:szCs w:val="24"/>
              </w:rPr>
              <w:t>的响应程度审查</w:t>
            </w:r>
          </w:p>
        </w:tc>
        <w:tc>
          <w:tcPr>
            <w:tcW w:w="2089"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对</w:t>
            </w:r>
            <w:r>
              <w:rPr>
                <w:rFonts w:hint="eastAsia" w:ascii="宋体" w:hAnsi="宋体"/>
                <w:color w:val="auto"/>
                <w:sz w:val="24"/>
                <w:szCs w:val="24"/>
                <w:lang w:eastAsia="zh-CN"/>
              </w:rPr>
              <w:t>招标文件</w:t>
            </w:r>
            <w:r>
              <w:rPr>
                <w:rFonts w:hint="eastAsia" w:ascii="宋体" w:hAnsi="宋体"/>
                <w:color w:val="auto"/>
                <w:sz w:val="24"/>
                <w:szCs w:val="24"/>
              </w:rPr>
              <w:t>响应程度</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要求全面响应，不能有任何采购人不能接受的附加条件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jc w:val="center"/>
        </w:trPr>
        <w:tc>
          <w:tcPr>
            <w:tcW w:w="728"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1106"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2089" w:type="dxa"/>
            <w:noWrap w:val="0"/>
            <w:vAlign w:val="center"/>
          </w:tcPr>
          <w:p>
            <w:pPr>
              <w:tabs>
                <w:tab w:val="left" w:pos="0"/>
              </w:tabs>
              <w:adjustRightInd w:val="0"/>
              <w:snapToGrid w:val="0"/>
              <w:spacing w:line="240" w:lineRule="auto"/>
              <w:rPr>
                <w:rFonts w:hint="eastAsia" w:ascii="宋体" w:hAnsi="宋体" w:eastAsia="宋体"/>
                <w:color w:val="auto"/>
                <w:sz w:val="24"/>
                <w:szCs w:val="24"/>
                <w:lang w:eastAsia="zh-CN"/>
              </w:rPr>
            </w:pPr>
            <w:r>
              <w:rPr>
                <w:rFonts w:hint="eastAsia" w:ascii="宋体" w:hAnsi="宋体"/>
                <w:color w:val="auto"/>
                <w:sz w:val="24"/>
                <w:szCs w:val="24"/>
                <w:lang w:eastAsia="zh-CN"/>
              </w:rPr>
              <w:t>工期</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应满足</w:t>
            </w:r>
            <w:r>
              <w:rPr>
                <w:rFonts w:hint="eastAsia" w:ascii="宋体" w:hAnsi="宋体"/>
                <w:color w:val="auto"/>
                <w:sz w:val="24"/>
                <w:szCs w:val="24"/>
                <w:lang w:eastAsia="zh-CN"/>
              </w:rPr>
              <w:t>招标文件</w:t>
            </w:r>
            <w:r>
              <w:rPr>
                <w:rFonts w:hint="eastAsia" w:ascii="宋体" w:hAnsi="宋体"/>
                <w:color w:val="auto"/>
                <w:sz w:val="24"/>
                <w:szCs w:val="24"/>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728"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1106"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2089"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质量</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应满足</w:t>
            </w:r>
            <w:r>
              <w:rPr>
                <w:rFonts w:hint="eastAsia" w:ascii="宋体" w:hAnsi="宋体"/>
                <w:color w:val="auto"/>
                <w:sz w:val="24"/>
                <w:szCs w:val="24"/>
                <w:lang w:eastAsia="zh-CN"/>
              </w:rPr>
              <w:t>招标文件</w:t>
            </w:r>
            <w:r>
              <w:rPr>
                <w:rFonts w:hint="eastAsia" w:ascii="宋体" w:hAnsi="宋体"/>
                <w:color w:val="auto"/>
                <w:sz w:val="24"/>
                <w:szCs w:val="24"/>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728"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1106"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2089"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lang w:eastAsia="zh-CN"/>
              </w:rPr>
              <w:t>投标</w:t>
            </w:r>
            <w:r>
              <w:rPr>
                <w:rFonts w:hint="eastAsia" w:ascii="宋体" w:hAnsi="宋体"/>
                <w:color w:val="auto"/>
                <w:sz w:val="24"/>
                <w:szCs w:val="24"/>
              </w:rPr>
              <w:t>有效期</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应符合</w:t>
            </w:r>
            <w:r>
              <w:rPr>
                <w:rFonts w:hint="eastAsia" w:ascii="宋体" w:hAnsi="宋体"/>
                <w:color w:val="auto"/>
                <w:sz w:val="24"/>
                <w:szCs w:val="24"/>
                <w:lang w:eastAsia="zh-CN"/>
              </w:rPr>
              <w:t>招标文件</w:t>
            </w:r>
            <w:r>
              <w:rPr>
                <w:rFonts w:hint="eastAsia" w:ascii="宋体" w:hAnsi="宋体"/>
                <w:color w:val="auto"/>
                <w:sz w:val="24"/>
                <w:szCs w:val="24"/>
              </w:rPr>
              <w:t>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728"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1106" w:type="dxa"/>
            <w:vMerge w:val="continue"/>
            <w:noWrap w:val="0"/>
            <w:vAlign w:val="top"/>
          </w:tcPr>
          <w:p>
            <w:pPr>
              <w:tabs>
                <w:tab w:val="left" w:pos="0"/>
              </w:tabs>
              <w:adjustRightInd w:val="0"/>
              <w:snapToGrid w:val="0"/>
              <w:spacing w:line="240" w:lineRule="auto"/>
              <w:rPr>
                <w:rFonts w:hint="eastAsia" w:ascii="宋体" w:hAnsi="宋体"/>
                <w:color w:val="auto"/>
                <w:sz w:val="24"/>
                <w:szCs w:val="24"/>
              </w:rPr>
            </w:pPr>
          </w:p>
        </w:tc>
        <w:tc>
          <w:tcPr>
            <w:tcW w:w="2089"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投标保证金</w:t>
            </w:r>
          </w:p>
        </w:tc>
        <w:tc>
          <w:tcPr>
            <w:tcW w:w="4972" w:type="dxa"/>
            <w:noWrap w:val="0"/>
            <w:vAlign w:val="center"/>
          </w:tcPr>
          <w:p>
            <w:pPr>
              <w:tabs>
                <w:tab w:val="left" w:pos="0"/>
              </w:tabs>
              <w:adjustRightInd w:val="0"/>
              <w:snapToGrid w:val="0"/>
              <w:spacing w:line="240" w:lineRule="auto"/>
              <w:rPr>
                <w:rFonts w:hint="eastAsia" w:ascii="宋体" w:hAnsi="宋体"/>
                <w:color w:val="auto"/>
                <w:sz w:val="24"/>
                <w:szCs w:val="24"/>
              </w:rPr>
            </w:pPr>
            <w:r>
              <w:rPr>
                <w:rFonts w:hint="eastAsia" w:ascii="宋体" w:hAnsi="宋体"/>
                <w:color w:val="auto"/>
                <w:sz w:val="24"/>
                <w:szCs w:val="24"/>
              </w:rPr>
              <w:t>应符合</w:t>
            </w:r>
            <w:r>
              <w:rPr>
                <w:rFonts w:hint="eastAsia" w:ascii="宋体" w:hAnsi="宋体"/>
                <w:color w:val="auto"/>
                <w:sz w:val="24"/>
                <w:szCs w:val="24"/>
                <w:lang w:eastAsia="zh-CN"/>
              </w:rPr>
              <w:t>招标文件</w:t>
            </w:r>
            <w:r>
              <w:rPr>
                <w:rFonts w:hint="eastAsia" w:ascii="宋体" w:hAnsi="宋体"/>
                <w:color w:val="auto"/>
                <w:sz w:val="24"/>
                <w:szCs w:val="24"/>
              </w:rPr>
              <w:t>的规定</w:t>
            </w:r>
          </w:p>
        </w:tc>
      </w:tr>
    </w:tbl>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出现下列情况者（但不限于），按无效投标处理。</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-1、投标人没有经过正常渠道购买标书或投标人的名称与登记领取招标文件单位的名称不符；</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2-2</w:t>
      </w:r>
      <w:r>
        <w:rPr>
          <w:rFonts w:hint="eastAsia" w:ascii="宋体" w:hAnsi="宋体" w:eastAsia="宋体" w:cs="宋体"/>
          <w:color w:val="auto"/>
          <w:sz w:val="28"/>
          <w:szCs w:val="28"/>
          <w:highlight w:val="none"/>
          <w:lang w:val="zh-CN"/>
        </w:rPr>
        <w:t>、投标文件中未提交法定代表人授权书（法定代表人直接投标未按要求提交其有效身份证）或授权书的合法性或有效性不符合招标文件规定。授权代表本单位证明的有效性或符合性不符合要求的；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2-3</w:t>
      </w:r>
      <w:r>
        <w:rPr>
          <w:rFonts w:hint="eastAsia" w:ascii="宋体" w:hAnsi="宋体" w:eastAsia="宋体" w:cs="宋体"/>
          <w:color w:val="auto"/>
          <w:sz w:val="28"/>
          <w:szCs w:val="28"/>
          <w:highlight w:val="none"/>
          <w:lang w:val="zh-CN"/>
        </w:rPr>
        <w:t>、合格投标人要求证明文件的有效性或符合性不符合要求的；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2-4、</w:t>
      </w:r>
      <w:r>
        <w:rPr>
          <w:rFonts w:hint="eastAsia" w:ascii="宋体" w:hAnsi="宋体" w:eastAsia="宋体" w:cs="宋体"/>
          <w:color w:val="auto"/>
          <w:sz w:val="28"/>
          <w:szCs w:val="28"/>
          <w:highlight w:val="none"/>
          <w:lang w:val="zh-CN"/>
        </w:rPr>
        <w:t>未按照招标文件的规定提交投标保证金的；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2-5、</w:t>
      </w:r>
      <w:r>
        <w:rPr>
          <w:rFonts w:hint="eastAsia" w:ascii="宋体" w:hAnsi="宋体" w:eastAsia="宋体" w:cs="宋体"/>
          <w:color w:val="auto"/>
          <w:sz w:val="28"/>
          <w:szCs w:val="28"/>
          <w:highlight w:val="none"/>
          <w:lang w:val="zh-CN"/>
        </w:rPr>
        <w:t>投标文件未按招标文件要求签署、盖章的；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2-6、</w:t>
      </w:r>
      <w:r>
        <w:rPr>
          <w:rFonts w:hint="eastAsia" w:ascii="宋体" w:hAnsi="宋体" w:eastAsia="宋体" w:cs="宋体"/>
          <w:color w:val="auto"/>
          <w:sz w:val="28"/>
          <w:szCs w:val="28"/>
          <w:highlight w:val="none"/>
          <w:lang w:val="zh-CN"/>
        </w:rPr>
        <w:t>报价超过招标文件中规定的</w:t>
      </w:r>
      <w:r>
        <w:rPr>
          <w:rFonts w:hint="eastAsia" w:ascii="宋体" w:hAnsi="宋体" w:cs="宋体"/>
          <w:color w:val="auto"/>
          <w:sz w:val="28"/>
          <w:szCs w:val="28"/>
          <w:highlight w:val="none"/>
          <w:lang w:val="zh-CN"/>
        </w:rPr>
        <w:t>最高限价</w:t>
      </w:r>
      <w:r>
        <w:rPr>
          <w:rFonts w:hint="eastAsia" w:ascii="宋体" w:hAnsi="宋体" w:eastAsia="宋体" w:cs="宋体"/>
          <w:color w:val="auto"/>
          <w:sz w:val="28"/>
          <w:szCs w:val="28"/>
          <w:highlight w:val="none"/>
          <w:lang w:val="zh-CN"/>
        </w:rPr>
        <w:t>；</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2-7、</w:t>
      </w:r>
      <w:r>
        <w:rPr>
          <w:rFonts w:hint="eastAsia" w:ascii="宋体" w:hAnsi="宋体" w:eastAsia="宋体" w:cs="宋体"/>
          <w:color w:val="auto"/>
          <w:sz w:val="28"/>
          <w:szCs w:val="28"/>
          <w:highlight w:val="none"/>
          <w:lang w:val="zh-CN"/>
        </w:rPr>
        <w:t>投标人的报价明显低于其他通过符合性审查投标人的报价，有可能影响工程质量或者不能诚信履约的，且投标人不能证明其报价合理性的；</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w:t>
      </w:r>
      <w:r>
        <w:rPr>
          <w:rFonts w:hint="eastAsia" w:ascii="宋体" w:hAnsi="宋体" w:eastAsia="宋体" w:cs="宋体"/>
          <w:color w:val="auto"/>
          <w:sz w:val="28"/>
          <w:szCs w:val="28"/>
          <w:highlight w:val="none"/>
        </w:rPr>
        <w:t>8</w:t>
      </w:r>
      <w:r>
        <w:rPr>
          <w:rFonts w:hint="eastAsia" w:ascii="宋体" w:hAnsi="宋体" w:eastAsia="宋体" w:cs="宋体"/>
          <w:color w:val="auto"/>
          <w:sz w:val="28"/>
          <w:szCs w:val="28"/>
          <w:highlight w:val="none"/>
          <w:lang w:val="zh-CN"/>
        </w:rPr>
        <w:t>、投标内容出现漏项或数量与要求不符，出现重大负偏差。</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2-9</w:t>
      </w:r>
      <w:r>
        <w:rPr>
          <w:rFonts w:hint="eastAsia" w:ascii="宋体" w:hAnsi="宋体" w:eastAsia="宋体" w:cs="宋体"/>
          <w:color w:val="auto"/>
          <w:sz w:val="28"/>
          <w:szCs w:val="28"/>
          <w:highlight w:val="none"/>
          <w:lang w:val="zh-CN"/>
        </w:rPr>
        <w:t>、投标文件的合同主要条款响应与招标文件要求不一致，附加了采购人难以接受的条件；</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2-10、</w:t>
      </w:r>
      <w:r>
        <w:rPr>
          <w:rFonts w:hint="eastAsia" w:ascii="宋体" w:hAnsi="宋体" w:eastAsia="宋体" w:cs="宋体"/>
          <w:color w:val="auto"/>
          <w:sz w:val="28"/>
          <w:szCs w:val="28"/>
          <w:highlight w:val="none"/>
          <w:lang w:val="zh-CN"/>
        </w:rPr>
        <w:t>无投标有效期或有效期达不到招标文件的要求；</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-1</w:t>
      </w: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zh-CN"/>
        </w:rPr>
        <w:t>、提供虚假证明，开具虚假资质，出现虚假应答，除按无效标处理外，还进行相应的处罚；</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2-12、</w:t>
      </w:r>
      <w:r>
        <w:rPr>
          <w:rFonts w:hint="eastAsia" w:ascii="宋体" w:hAnsi="宋体" w:eastAsia="宋体" w:cs="宋体"/>
          <w:color w:val="auto"/>
          <w:sz w:val="28"/>
          <w:szCs w:val="28"/>
          <w:highlight w:val="none"/>
          <w:lang w:val="zh-CN"/>
        </w:rPr>
        <w:t>法律、法规和招标文件规定的其他无效情形。</w:t>
      </w:r>
    </w:p>
    <w:p>
      <w:pPr>
        <w:keepNext w:val="0"/>
        <w:keepLines w:val="0"/>
        <w:pageBreakBefore w:val="0"/>
        <w:widowControl w:val="0"/>
        <w:kinsoku/>
        <w:wordWrap/>
        <w:overflowPunct/>
        <w:topLinePunct w:val="0"/>
        <w:autoSpaceDE/>
        <w:autoSpaceDN/>
        <w:bidi w:val="0"/>
        <w:adjustRightIn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（四）</w:t>
      </w:r>
      <w:r>
        <w:rPr>
          <w:rFonts w:hint="eastAsia" w:ascii="宋体" w:hAnsi="宋体" w:eastAsia="宋体" w:cs="宋体"/>
          <w:color w:val="auto"/>
          <w:sz w:val="28"/>
          <w:szCs w:val="28"/>
          <w:highlight w:val="none"/>
          <w:lang w:val="zh-CN"/>
        </w:rPr>
        <w:t>投标文件的澄清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zh-CN"/>
        </w:rPr>
        <w:t>为了有助于对投标文件的审查、评价和比较，评标委员会可分别要求投标人对其</w:t>
      </w:r>
      <w:r>
        <w:rPr>
          <w:rFonts w:hint="eastAsia" w:ascii="宋体" w:hAnsi="宋体" w:eastAsia="宋体" w:cs="宋体"/>
          <w:color w:val="auto"/>
          <w:sz w:val="28"/>
          <w:szCs w:val="28"/>
          <w:highlight w:val="none"/>
        </w:rPr>
        <w:t>投标文件中含义不明确，同类问题表述不一致或者有明显文字和计算错误的内容，作出必要的澄清、说明或者纠正，投标人澄清、说明或者补正采用书面形式</w:t>
      </w:r>
      <w:r>
        <w:rPr>
          <w:rFonts w:hint="eastAsia" w:ascii="宋体" w:hAnsi="宋体" w:eastAsia="宋体" w:cs="宋体"/>
          <w:color w:val="auto"/>
          <w:sz w:val="28"/>
          <w:szCs w:val="28"/>
          <w:highlight w:val="none"/>
          <w:lang w:val="zh-CN"/>
        </w:rPr>
        <w:t>（包括电传、传真）</w:t>
      </w:r>
      <w:r>
        <w:rPr>
          <w:rFonts w:hint="eastAsia" w:ascii="宋体" w:hAnsi="宋体" w:eastAsia="宋体" w:cs="宋体"/>
          <w:color w:val="auto"/>
          <w:sz w:val="28"/>
          <w:szCs w:val="28"/>
          <w:highlight w:val="none"/>
        </w:rPr>
        <w:t>，由其法定代表人（或授权代表人）签字，并不得超出投标文件的范围或者改变投标文件的实质性内容。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评标委员会在评标过程中，发现投标文件出现下列情况之一者，按以下原则修正：</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2-1、</w:t>
      </w:r>
      <w:r>
        <w:rPr>
          <w:rFonts w:hint="eastAsia" w:ascii="宋体" w:hAnsi="宋体" w:eastAsia="宋体" w:cs="宋体"/>
          <w:color w:val="auto"/>
          <w:sz w:val="28"/>
          <w:szCs w:val="28"/>
          <w:highlight w:val="none"/>
          <w:lang w:eastAsia="zh-CN"/>
        </w:rPr>
        <w:t>投标函</w:t>
      </w:r>
      <w:r>
        <w:rPr>
          <w:rFonts w:hint="eastAsia" w:ascii="宋体" w:hAnsi="宋体" w:eastAsia="宋体" w:cs="宋体"/>
          <w:color w:val="auto"/>
          <w:sz w:val="28"/>
          <w:szCs w:val="28"/>
          <w:highlight w:val="none"/>
        </w:rPr>
        <w:t>内容与</w:t>
      </w:r>
      <w:r>
        <w:rPr>
          <w:rFonts w:hint="eastAsia" w:ascii="宋体" w:hAnsi="宋体" w:eastAsia="宋体" w:cs="宋体"/>
          <w:color w:val="auto"/>
          <w:sz w:val="28"/>
          <w:szCs w:val="28"/>
          <w:highlight w:val="none"/>
          <w:lang w:eastAsia="zh-CN"/>
        </w:rPr>
        <w:t>已标价工程量清单</w:t>
      </w:r>
      <w:r>
        <w:rPr>
          <w:rFonts w:hint="eastAsia" w:ascii="宋体" w:hAnsi="宋体" w:eastAsia="宋体" w:cs="宋体"/>
          <w:color w:val="auto"/>
          <w:sz w:val="28"/>
          <w:szCs w:val="28"/>
          <w:highlight w:val="none"/>
        </w:rPr>
        <w:t>内容不一致的，以</w:t>
      </w:r>
      <w:r>
        <w:rPr>
          <w:rFonts w:hint="eastAsia" w:ascii="宋体" w:hAnsi="宋体" w:eastAsia="宋体" w:cs="宋体"/>
          <w:color w:val="auto"/>
          <w:sz w:val="28"/>
          <w:szCs w:val="28"/>
          <w:highlight w:val="none"/>
          <w:lang w:eastAsia="zh-CN"/>
        </w:rPr>
        <w:t>投标函</w:t>
      </w:r>
      <w:r>
        <w:rPr>
          <w:rFonts w:hint="eastAsia" w:ascii="宋体" w:hAnsi="宋体" w:eastAsia="宋体" w:cs="宋体"/>
          <w:color w:val="auto"/>
          <w:sz w:val="28"/>
          <w:szCs w:val="28"/>
          <w:highlight w:val="none"/>
        </w:rPr>
        <w:t>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2-2、大写金额和小写金额不一致的，以大写金额为准；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2-3、总价金额与按单价汇总金额不一致的，以单价金额计算结果为准；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2-4、单价金额小数点有明显错位的，应以总价为准，并修改单价；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2-5、对不同文字文本投标文件的解释发生异议的，以中文文本为准；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-6、文字与图表不一致的，以文字为准；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-7、正本与副本不一致的，以正本为准。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（五）比较与评价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1、按照招标文件规定的评标方法和标准，对资格性审查和符合性审查合格的文件进行商务和技术评审，综合比较和评价，最低报价不做为中标的唯一条件。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采取逐项分步评审方式，每一步评审不符合者，不进入下一步评审，全部评审合格的投标人进行最后的综合评审和打分，按最后得分由高向低排序，推荐中标候选单位。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（六）</w:t>
      </w:r>
      <w:r>
        <w:rPr>
          <w:rFonts w:hint="eastAsia" w:ascii="宋体" w:hAnsi="宋体" w:eastAsia="宋体" w:cs="宋体"/>
          <w:color w:val="auto"/>
          <w:sz w:val="28"/>
          <w:szCs w:val="28"/>
          <w:highlight w:val="none"/>
          <w:lang w:val="zh-CN"/>
        </w:rPr>
        <w:t>评标方法：综合评分法（总计</w:t>
      </w:r>
      <w:r>
        <w:rPr>
          <w:rFonts w:hint="eastAsia" w:ascii="宋体" w:hAnsi="宋体" w:eastAsia="宋体" w:cs="宋体"/>
          <w:color w:val="auto"/>
          <w:sz w:val="28"/>
          <w:szCs w:val="28"/>
          <w:highlight w:val="none"/>
        </w:rPr>
        <w:t>100</w:t>
      </w:r>
      <w:r>
        <w:rPr>
          <w:rFonts w:hint="eastAsia" w:ascii="宋体" w:hAnsi="宋体" w:eastAsia="宋体" w:cs="宋体"/>
          <w:color w:val="auto"/>
          <w:sz w:val="28"/>
          <w:szCs w:val="28"/>
          <w:highlight w:val="none"/>
          <w:lang w:val="zh-CN"/>
        </w:rPr>
        <w:t>分）</w:t>
      </w:r>
    </w:p>
    <w:p>
      <w:pPr>
        <w:pStyle w:val="190"/>
        <w:spacing w:line="520" w:lineRule="exact"/>
        <w:ind w:firstLine="0" w:firstLineChars="0"/>
        <w:jc w:val="center"/>
        <w:rPr>
          <w:rFonts w:hint="eastAsia" w:ascii="宋体" w:hAnsi="宋体" w:eastAsia="宋体" w:cs="宋体"/>
          <w:color w:val="auto"/>
          <w:highlight w:val="none"/>
        </w:rPr>
      </w:pPr>
      <w:bookmarkStart w:id="21" w:name="_Toc11872"/>
      <w:r>
        <w:rPr>
          <w:rFonts w:hint="eastAsia" w:ascii="宋体" w:hAnsi="宋体" w:eastAsia="宋体" w:cs="宋体"/>
          <w:color w:val="auto"/>
          <w:highlight w:val="none"/>
        </w:rPr>
        <w:t>评标分值及评审要素一览表</w:t>
      </w:r>
      <w:bookmarkEnd w:id="15"/>
      <w:bookmarkEnd w:id="16"/>
      <w:bookmarkEnd w:id="21"/>
    </w:p>
    <w:tbl>
      <w:tblPr>
        <w:tblStyle w:val="97"/>
        <w:tblW w:w="94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1762"/>
        <w:gridCol w:w="554"/>
        <w:gridCol w:w="5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类别</w:t>
            </w:r>
          </w:p>
        </w:tc>
        <w:tc>
          <w:tcPr>
            <w:tcW w:w="1762"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评审内容</w:t>
            </w:r>
          </w:p>
        </w:tc>
        <w:tc>
          <w:tcPr>
            <w:tcW w:w="55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分值</w:t>
            </w:r>
          </w:p>
        </w:tc>
        <w:tc>
          <w:tcPr>
            <w:tcW w:w="5961"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评审要素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9" w:hRule="atLeast"/>
          <w:jc w:val="center"/>
        </w:trPr>
        <w:tc>
          <w:tcPr>
            <w:tcW w:w="1133"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价格</w:t>
            </w:r>
          </w:p>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w:t>
            </w:r>
            <w:r>
              <w:rPr>
                <w:rFonts w:hint="eastAsia" w:ascii="宋体" w:hAnsi="宋体" w:cs="宋体"/>
                <w:bCs/>
                <w:color w:val="auto"/>
                <w:highlight w:val="none"/>
                <w:lang w:val="en-US" w:eastAsia="zh-CN"/>
              </w:rPr>
              <w:t>3</w:t>
            </w:r>
            <w:r>
              <w:rPr>
                <w:rFonts w:hint="eastAsia" w:ascii="宋体" w:hAnsi="宋体" w:eastAsia="宋体" w:cs="宋体"/>
                <w:bCs/>
                <w:color w:val="auto"/>
                <w:highlight w:val="none"/>
              </w:rPr>
              <w:t>0分）</w:t>
            </w:r>
          </w:p>
        </w:tc>
        <w:tc>
          <w:tcPr>
            <w:tcW w:w="1762"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价格</w:t>
            </w:r>
          </w:p>
        </w:tc>
        <w:tc>
          <w:tcPr>
            <w:tcW w:w="55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cs="宋体"/>
                <w:bCs/>
                <w:color w:val="auto"/>
                <w:highlight w:val="none"/>
                <w:lang w:val="en-US" w:eastAsia="zh-CN"/>
              </w:rPr>
              <w:t>3</w:t>
            </w:r>
            <w:r>
              <w:rPr>
                <w:rFonts w:hint="eastAsia" w:ascii="宋体" w:hAnsi="宋体" w:eastAsia="宋体" w:cs="宋体"/>
                <w:bCs/>
                <w:color w:val="auto"/>
                <w:highlight w:val="none"/>
              </w:rPr>
              <w:t>0分</w:t>
            </w:r>
          </w:p>
        </w:tc>
        <w:tc>
          <w:tcPr>
            <w:tcW w:w="596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both"/>
              <w:textAlignment w:val="auto"/>
              <w:outlineLvl w:val="9"/>
              <w:rPr>
                <w:rFonts w:hint="eastAsia" w:ascii="宋体" w:hAnsi="宋体" w:eastAsia="宋体" w:cs="宋体"/>
                <w:bCs/>
                <w:color w:val="auto"/>
                <w:highlight w:val="none"/>
                <w:lang w:eastAsia="zh-CN"/>
              </w:rPr>
            </w:pPr>
            <w:r>
              <w:rPr>
                <w:rFonts w:hint="eastAsia" w:ascii="宋体" w:hAnsi="宋体" w:eastAsia="宋体" w:cs="宋体"/>
                <w:bCs/>
                <w:color w:val="auto"/>
                <w:highlight w:val="none"/>
                <w:lang w:eastAsia="zh-CN"/>
              </w:rPr>
              <w:t>①投标报价评标基准价计算方法：所有有效报价的算术平均值。</w:t>
            </w:r>
          </w:p>
          <w:p>
            <w:pPr>
              <w:keepNext w:val="0"/>
              <w:keepLines w:val="0"/>
              <w:pageBreakBefore w:val="0"/>
              <w:kinsoku/>
              <w:wordWrap/>
              <w:overflowPunct/>
              <w:topLinePunct w:val="0"/>
              <w:autoSpaceDE w:val="0"/>
              <w:autoSpaceDN w:val="0"/>
              <w:bidi w:val="0"/>
              <w:adjustRightInd w:val="0"/>
              <w:spacing w:line="300" w:lineRule="exact"/>
              <w:jc w:val="both"/>
              <w:textAlignment w:val="auto"/>
              <w:outlineLvl w:val="9"/>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eastAsia="zh-CN"/>
              </w:rPr>
              <w:t>②当有效投标报价等于评标基准价时得满分3</w:t>
            </w:r>
            <w:r>
              <w:rPr>
                <w:rFonts w:hint="eastAsia" w:ascii="宋体" w:hAnsi="宋体" w:eastAsia="宋体" w:cs="宋体"/>
                <w:bCs/>
                <w:color w:val="auto"/>
                <w:highlight w:val="none"/>
                <w:lang w:val="en-US" w:eastAsia="zh-CN"/>
              </w:rPr>
              <w:t>0</w:t>
            </w:r>
            <w:r>
              <w:rPr>
                <w:rFonts w:hint="eastAsia" w:ascii="宋体" w:hAnsi="宋体" w:eastAsia="宋体" w:cs="宋体"/>
                <w:bCs/>
                <w:color w:val="auto"/>
                <w:highlight w:val="none"/>
                <w:lang w:eastAsia="zh-CN"/>
              </w:rPr>
              <w:t>分，有效投标报价与评标基准价相比，每增加1%扣</w:t>
            </w:r>
            <w:r>
              <w:rPr>
                <w:rFonts w:hint="eastAsia" w:ascii="宋体" w:hAnsi="宋体" w:eastAsia="宋体" w:cs="宋体"/>
                <w:bCs/>
                <w:color w:val="auto"/>
                <w:highlight w:val="none"/>
                <w:lang w:val="en-US" w:eastAsia="zh-CN"/>
              </w:rPr>
              <w:t>1</w:t>
            </w:r>
            <w:r>
              <w:rPr>
                <w:rFonts w:hint="eastAsia" w:ascii="宋体" w:hAnsi="宋体" w:eastAsia="宋体" w:cs="宋体"/>
                <w:bCs/>
                <w:color w:val="auto"/>
                <w:highlight w:val="none"/>
                <w:lang w:eastAsia="zh-CN"/>
              </w:rPr>
              <w:t>分，每减少1%扣0.</w:t>
            </w:r>
            <w:r>
              <w:rPr>
                <w:rFonts w:hint="eastAsia" w:ascii="宋体" w:hAnsi="宋体" w:eastAsia="宋体" w:cs="宋体"/>
                <w:bCs/>
                <w:color w:val="auto"/>
                <w:highlight w:val="none"/>
                <w:lang w:val="en-US" w:eastAsia="zh-CN"/>
              </w:rPr>
              <w:t>5</w:t>
            </w:r>
            <w:r>
              <w:rPr>
                <w:rFonts w:hint="eastAsia" w:ascii="宋体" w:hAnsi="宋体" w:eastAsia="宋体" w:cs="宋体"/>
                <w:bCs/>
                <w:color w:val="auto"/>
                <w:highlight w:val="none"/>
                <w:lang w:eastAsia="zh-CN"/>
              </w:rPr>
              <w:t>分，扣完为止，具体得分按插入法计算。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1133"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类似业绩（</w:t>
            </w:r>
            <w:r>
              <w:rPr>
                <w:rFonts w:hint="eastAsia" w:ascii="宋体" w:hAnsi="宋体" w:eastAsia="宋体" w:cs="宋体"/>
                <w:bCs/>
                <w:color w:val="auto"/>
                <w:highlight w:val="none"/>
                <w:lang w:val="en-US" w:eastAsia="zh-CN"/>
              </w:rPr>
              <w:t>10</w:t>
            </w:r>
            <w:r>
              <w:rPr>
                <w:rFonts w:hint="eastAsia" w:ascii="宋体" w:hAnsi="宋体" w:eastAsia="宋体" w:cs="宋体"/>
                <w:bCs/>
                <w:color w:val="auto"/>
                <w:highlight w:val="none"/>
              </w:rPr>
              <w:t>分）</w:t>
            </w:r>
          </w:p>
        </w:tc>
        <w:tc>
          <w:tcPr>
            <w:tcW w:w="1762"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类似业绩</w:t>
            </w:r>
          </w:p>
        </w:tc>
        <w:tc>
          <w:tcPr>
            <w:tcW w:w="554" w:type="dxa"/>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lang w:val="en-US" w:eastAsia="zh-CN"/>
              </w:rPr>
              <w:t>10</w:t>
            </w:r>
          </w:p>
        </w:tc>
        <w:tc>
          <w:tcPr>
            <w:tcW w:w="596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both"/>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lang w:val="en-US" w:eastAsia="zh-CN"/>
              </w:rPr>
              <w:t>投标人</w:t>
            </w:r>
            <w:r>
              <w:rPr>
                <w:rFonts w:hint="eastAsia" w:ascii="宋体" w:hAnsi="宋体" w:cs="宋体"/>
                <w:bCs/>
                <w:color w:val="auto"/>
                <w:highlight w:val="none"/>
                <w:lang w:val="en-US" w:eastAsia="zh-CN"/>
              </w:rPr>
              <w:t>2018年1月1日至投标截止之日</w:t>
            </w:r>
            <w:r>
              <w:rPr>
                <w:rFonts w:hint="eastAsia" w:ascii="宋体" w:hAnsi="宋体" w:cs="宋体"/>
                <w:bCs/>
                <w:color w:val="auto"/>
                <w:highlight w:val="none"/>
                <w:lang w:eastAsia="zh-CN"/>
              </w:rPr>
              <w:t>具有</w:t>
            </w:r>
            <w:r>
              <w:rPr>
                <w:rFonts w:hint="eastAsia" w:ascii="宋体" w:hAnsi="宋体" w:cs="宋体"/>
                <w:bCs/>
                <w:color w:val="auto"/>
                <w:highlight w:val="none"/>
                <w:lang w:val="en-US" w:eastAsia="zh-CN"/>
              </w:rPr>
              <w:t>类似项目</w:t>
            </w:r>
            <w:r>
              <w:rPr>
                <w:rFonts w:hint="eastAsia" w:ascii="宋体" w:hAnsi="宋体" w:eastAsia="宋体" w:cs="宋体"/>
                <w:bCs/>
                <w:color w:val="auto"/>
                <w:highlight w:val="none"/>
                <w:lang w:eastAsia="zh-CN"/>
              </w:rPr>
              <w:t>施工</w:t>
            </w:r>
            <w:r>
              <w:rPr>
                <w:rFonts w:hint="eastAsia" w:ascii="宋体" w:hAnsi="宋体" w:eastAsia="宋体" w:cs="宋体"/>
                <w:bCs/>
                <w:color w:val="auto"/>
                <w:highlight w:val="none"/>
              </w:rPr>
              <w:t>业绩</w:t>
            </w:r>
            <w:r>
              <w:rPr>
                <w:rFonts w:hint="eastAsia" w:ascii="宋体" w:hAnsi="宋体" w:eastAsia="宋体" w:cs="宋体"/>
                <w:bCs/>
                <w:color w:val="auto"/>
                <w:highlight w:val="none"/>
                <w:lang w:eastAsia="zh-CN"/>
              </w:rPr>
              <w:t>（以合同签订时间为准）</w:t>
            </w:r>
            <w:r>
              <w:rPr>
                <w:rFonts w:hint="eastAsia" w:ascii="宋体" w:hAnsi="宋体" w:eastAsia="宋体" w:cs="宋体"/>
                <w:bCs/>
                <w:color w:val="auto"/>
                <w:highlight w:val="none"/>
              </w:rPr>
              <w:t>，</w:t>
            </w:r>
            <w:r>
              <w:rPr>
                <w:rFonts w:hint="eastAsia" w:ascii="宋体" w:hAnsi="宋体" w:cs="宋体"/>
                <w:bCs/>
                <w:color w:val="auto"/>
                <w:highlight w:val="none"/>
                <w:lang w:eastAsia="zh-CN"/>
              </w:rPr>
              <w:t>提供</w:t>
            </w:r>
            <w:r>
              <w:rPr>
                <w:rFonts w:hint="eastAsia" w:ascii="宋体" w:hAnsi="宋体" w:eastAsia="宋体" w:cs="宋体"/>
                <w:bCs/>
                <w:color w:val="auto"/>
                <w:highlight w:val="none"/>
              </w:rPr>
              <w:t>1个得</w:t>
            </w:r>
            <w:r>
              <w:rPr>
                <w:rFonts w:hint="eastAsia" w:ascii="宋体" w:hAnsi="宋体" w:eastAsia="宋体" w:cs="宋体"/>
                <w:bCs/>
                <w:color w:val="auto"/>
                <w:highlight w:val="none"/>
                <w:lang w:val="en-US" w:eastAsia="zh-CN"/>
              </w:rPr>
              <w:t>2</w:t>
            </w:r>
            <w:r>
              <w:rPr>
                <w:rFonts w:hint="eastAsia" w:ascii="宋体" w:hAnsi="宋体" w:eastAsia="宋体" w:cs="宋体"/>
                <w:bCs/>
                <w:color w:val="auto"/>
                <w:highlight w:val="none"/>
              </w:rPr>
              <w:t>分，满分</w:t>
            </w:r>
            <w:r>
              <w:rPr>
                <w:rFonts w:hint="eastAsia" w:ascii="宋体" w:hAnsi="宋体" w:eastAsia="宋体" w:cs="宋体"/>
                <w:bCs/>
                <w:color w:val="auto"/>
                <w:highlight w:val="none"/>
                <w:lang w:val="en-US" w:eastAsia="zh-CN"/>
              </w:rPr>
              <w:t>10</w:t>
            </w:r>
            <w:r>
              <w:rPr>
                <w:rFonts w:hint="eastAsia" w:ascii="宋体" w:hAnsi="宋体" w:eastAsia="宋体" w:cs="宋体"/>
                <w:bCs/>
                <w:color w:val="auto"/>
                <w:highlight w:val="none"/>
              </w:rPr>
              <w:t>分。</w:t>
            </w:r>
          </w:p>
          <w:p>
            <w:pPr>
              <w:keepNext w:val="0"/>
              <w:keepLines w:val="0"/>
              <w:pageBreakBefore w:val="0"/>
              <w:kinsoku/>
              <w:wordWrap/>
              <w:overflowPunct/>
              <w:topLinePunct w:val="0"/>
              <w:autoSpaceDE w:val="0"/>
              <w:autoSpaceDN w:val="0"/>
              <w:bidi w:val="0"/>
              <w:adjustRightInd w:val="0"/>
              <w:spacing w:line="300" w:lineRule="exact"/>
              <w:jc w:val="both"/>
              <w:textAlignment w:val="auto"/>
              <w:outlineLvl w:val="9"/>
              <w:rPr>
                <w:rFonts w:hint="eastAsia" w:ascii="宋体" w:hAnsi="宋体" w:eastAsia="宋体" w:cs="宋体"/>
                <w:bCs/>
                <w:color w:val="auto"/>
                <w:highlight w:val="none"/>
              </w:rPr>
            </w:pPr>
            <w:r>
              <w:rPr>
                <w:rFonts w:hint="eastAsia" w:ascii="宋体" w:hAnsi="宋体" w:eastAsia="宋体" w:cs="宋体"/>
                <w:b/>
                <w:bCs w:val="0"/>
                <w:color w:val="auto"/>
                <w:highlight w:val="none"/>
                <w:lang w:eastAsia="zh-CN"/>
              </w:rPr>
              <w:t>评审依据：</w:t>
            </w:r>
            <w:r>
              <w:rPr>
                <w:rFonts w:hint="eastAsia" w:ascii="宋体" w:hAnsi="宋体" w:eastAsia="宋体" w:cs="宋体"/>
                <w:b/>
                <w:bCs w:val="0"/>
                <w:color w:val="auto"/>
                <w:highlight w:val="none"/>
              </w:rPr>
              <w:t>以</w:t>
            </w:r>
            <w:r>
              <w:rPr>
                <w:rFonts w:hint="eastAsia" w:ascii="宋体" w:hAnsi="宋体" w:eastAsia="宋体" w:cs="宋体"/>
                <w:b/>
                <w:bCs w:val="0"/>
                <w:color w:val="auto"/>
                <w:highlight w:val="none"/>
                <w:lang w:eastAsia="zh-CN"/>
              </w:rPr>
              <w:t>加盖单位公章的</w:t>
            </w:r>
            <w:r>
              <w:rPr>
                <w:rFonts w:hint="eastAsia" w:ascii="宋体" w:hAnsi="宋体" w:eastAsia="宋体" w:cs="宋体"/>
                <w:b/>
                <w:bCs w:val="0"/>
                <w:color w:val="auto"/>
                <w:highlight w:val="none"/>
              </w:rPr>
              <w:t>合同</w:t>
            </w:r>
            <w:r>
              <w:rPr>
                <w:rFonts w:hint="eastAsia" w:ascii="宋体" w:hAnsi="宋体" w:eastAsia="宋体" w:cs="宋体"/>
                <w:b/>
                <w:bCs w:val="0"/>
                <w:color w:val="auto"/>
                <w:highlight w:val="none"/>
                <w:lang w:eastAsia="zh-CN"/>
              </w:rPr>
              <w:t>复印件</w:t>
            </w:r>
            <w:r>
              <w:rPr>
                <w:rFonts w:hint="eastAsia" w:ascii="宋体" w:hAnsi="宋体" w:eastAsia="宋体" w:cs="宋体"/>
                <w:b/>
                <w:bCs w:val="0"/>
                <w:color w:val="auto"/>
                <w:highlight w:val="none"/>
              </w:rPr>
              <w:t>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1133"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en-US" w:eastAsia="zh-CN"/>
              </w:rPr>
            </w:pPr>
            <w:r>
              <w:rPr>
                <w:rFonts w:hint="eastAsia" w:ascii="宋体" w:hAnsi="宋体" w:eastAsia="宋体" w:cs="宋体"/>
                <w:bCs/>
                <w:color w:val="auto"/>
                <w:highlight w:val="none"/>
                <w:lang w:eastAsia="zh-CN"/>
              </w:rPr>
              <w:t>施工组织设计</w:t>
            </w:r>
            <w:r>
              <w:rPr>
                <w:rFonts w:hint="eastAsia" w:ascii="宋体" w:hAnsi="宋体" w:eastAsia="宋体" w:cs="宋体"/>
                <w:bCs/>
                <w:color w:val="auto"/>
                <w:highlight w:val="none"/>
                <w:lang w:val="en-US" w:eastAsia="zh-CN"/>
              </w:rPr>
              <w:t>(</w:t>
            </w:r>
            <w:r>
              <w:rPr>
                <w:rFonts w:hint="eastAsia" w:ascii="宋体" w:hAnsi="宋体" w:cs="宋体"/>
                <w:bCs/>
                <w:color w:val="auto"/>
                <w:highlight w:val="none"/>
                <w:lang w:val="en-US" w:eastAsia="zh-CN"/>
              </w:rPr>
              <w:t>60</w:t>
            </w:r>
            <w:r>
              <w:rPr>
                <w:rFonts w:hint="eastAsia" w:ascii="宋体" w:hAnsi="宋体" w:eastAsia="宋体" w:cs="宋体"/>
                <w:bCs/>
                <w:color w:val="auto"/>
                <w:highlight w:val="none"/>
                <w:lang w:val="en-US" w:eastAsia="zh-CN"/>
              </w:rPr>
              <w:t>分)</w:t>
            </w:r>
          </w:p>
        </w:tc>
        <w:tc>
          <w:tcPr>
            <w:tcW w:w="1762"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拟投入的项目部人员组成</w:t>
            </w:r>
          </w:p>
        </w:tc>
        <w:tc>
          <w:tcPr>
            <w:tcW w:w="55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10</w:t>
            </w:r>
          </w:p>
        </w:tc>
        <w:tc>
          <w:tcPr>
            <w:tcW w:w="5961"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left"/>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依据人员配备齐全、科学、合理情况进行赋分，良好得</w:t>
            </w:r>
            <w:r>
              <w:rPr>
                <w:rFonts w:hint="eastAsia" w:ascii="宋体" w:hAnsi="宋体" w:eastAsia="宋体" w:cs="宋体"/>
                <w:bCs/>
                <w:color w:val="auto"/>
                <w:highlight w:val="none"/>
                <w:lang w:val="en-US" w:eastAsia="zh-CN"/>
              </w:rPr>
              <w:t>7</w:t>
            </w:r>
            <w:r>
              <w:rPr>
                <w:rFonts w:hint="eastAsia" w:ascii="宋体" w:hAnsi="宋体" w:eastAsia="宋体" w:cs="宋体"/>
                <w:bCs/>
                <w:color w:val="auto"/>
                <w:highlight w:val="none"/>
              </w:rPr>
              <w:t>～10分、较好得</w:t>
            </w:r>
            <w:r>
              <w:rPr>
                <w:rFonts w:hint="eastAsia" w:ascii="宋体" w:hAnsi="宋体" w:cs="宋体"/>
                <w:bCs/>
                <w:color w:val="auto"/>
                <w:highlight w:val="none"/>
                <w:lang w:val="en-US" w:eastAsia="zh-CN"/>
              </w:rPr>
              <w:t>5</w:t>
            </w:r>
            <w:r>
              <w:rPr>
                <w:rFonts w:hint="eastAsia" w:ascii="宋体" w:hAnsi="宋体" w:eastAsia="宋体" w:cs="宋体"/>
                <w:bCs/>
                <w:color w:val="auto"/>
                <w:highlight w:val="none"/>
              </w:rPr>
              <w:t>～</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分、一般得</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rPr>
              <w:t>～</w:t>
            </w:r>
            <w:r>
              <w:rPr>
                <w:rFonts w:hint="eastAsia" w:ascii="宋体" w:hAnsi="宋体" w:cs="宋体"/>
                <w:bCs/>
                <w:color w:val="auto"/>
                <w:highlight w:val="none"/>
                <w:lang w:val="en-US" w:eastAsia="zh-CN"/>
              </w:rPr>
              <w:t>5</w:t>
            </w:r>
            <w:r>
              <w:rPr>
                <w:rFonts w:hint="eastAsia" w:ascii="宋体" w:hAnsi="宋体" w:eastAsia="宋体" w:cs="宋体"/>
                <w:bCs/>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113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p>
        </w:tc>
        <w:tc>
          <w:tcPr>
            <w:tcW w:w="1762"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t>拟投入机械设备配备</w:t>
            </w:r>
          </w:p>
        </w:tc>
        <w:tc>
          <w:tcPr>
            <w:tcW w:w="55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10</w:t>
            </w:r>
          </w:p>
        </w:tc>
        <w:tc>
          <w:tcPr>
            <w:tcW w:w="5961"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left"/>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机械设备配备齐全、科学、合理的，得</w:t>
            </w:r>
            <w:r>
              <w:rPr>
                <w:rFonts w:hint="eastAsia" w:ascii="宋体" w:hAnsi="宋体" w:eastAsia="宋体" w:cs="宋体"/>
                <w:bCs/>
                <w:color w:val="auto"/>
                <w:highlight w:val="none"/>
                <w:lang w:val="en-US" w:eastAsia="zh-CN"/>
              </w:rPr>
              <w:t>7</w:t>
            </w:r>
            <w:r>
              <w:rPr>
                <w:rFonts w:hint="eastAsia" w:ascii="宋体" w:hAnsi="宋体" w:eastAsia="宋体" w:cs="宋体"/>
                <w:bCs/>
                <w:color w:val="auto"/>
                <w:highlight w:val="none"/>
              </w:rPr>
              <w:t>～10分；配备比较齐全、合理的，得5～7分；配备一般的，得</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rPr>
              <w:t>～</w:t>
            </w:r>
            <w:r>
              <w:rPr>
                <w:rFonts w:hint="eastAsia" w:ascii="宋体" w:hAnsi="宋体" w:eastAsia="宋体" w:cs="宋体"/>
                <w:bCs/>
                <w:color w:val="auto"/>
                <w:highlight w:val="none"/>
                <w:lang w:val="en-US" w:eastAsia="zh-CN"/>
              </w:rPr>
              <w:t>5</w:t>
            </w:r>
            <w:r>
              <w:rPr>
                <w:rFonts w:hint="eastAsia" w:ascii="宋体" w:hAnsi="宋体" w:eastAsia="宋体" w:cs="宋体"/>
                <w:bCs/>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113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p>
        </w:tc>
        <w:tc>
          <w:tcPr>
            <w:tcW w:w="1762" w:type="dxa"/>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施工方案</w:t>
            </w:r>
          </w:p>
        </w:tc>
        <w:tc>
          <w:tcPr>
            <w:tcW w:w="55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en-US" w:eastAsia="zh-CN"/>
              </w:rPr>
            </w:pPr>
            <w:r>
              <w:rPr>
                <w:rFonts w:hint="eastAsia" w:ascii="宋体" w:hAnsi="宋体" w:cs="宋体"/>
                <w:bCs/>
                <w:color w:val="auto"/>
                <w:highlight w:val="none"/>
                <w:lang w:val="en-US" w:eastAsia="zh-CN"/>
              </w:rPr>
              <w:t>20</w:t>
            </w:r>
          </w:p>
        </w:tc>
        <w:tc>
          <w:tcPr>
            <w:tcW w:w="5961"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left"/>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根据各</w:t>
            </w:r>
            <w:r>
              <w:rPr>
                <w:rFonts w:hint="eastAsia" w:ascii="宋体" w:hAnsi="宋体" w:eastAsia="宋体" w:cs="宋体"/>
                <w:bCs/>
                <w:color w:val="auto"/>
                <w:highlight w:val="none"/>
                <w:lang w:eastAsia="zh-CN"/>
              </w:rPr>
              <w:t>投标人</w:t>
            </w:r>
            <w:r>
              <w:rPr>
                <w:rFonts w:hint="eastAsia" w:ascii="宋体" w:hAnsi="宋体" w:eastAsia="宋体" w:cs="宋体"/>
                <w:bCs/>
                <w:color w:val="auto"/>
                <w:highlight w:val="none"/>
              </w:rPr>
              <w:t>编制的施工方案科学、合理、可行等方面进行综合比较赋分，良好得</w:t>
            </w:r>
            <w:r>
              <w:rPr>
                <w:rFonts w:hint="eastAsia" w:ascii="宋体" w:hAnsi="宋体" w:cs="宋体"/>
                <w:bCs/>
                <w:color w:val="auto"/>
                <w:highlight w:val="none"/>
                <w:lang w:val="en-US" w:eastAsia="zh-CN"/>
              </w:rPr>
              <w:t>14</w:t>
            </w:r>
            <w:r>
              <w:rPr>
                <w:rFonts w:hint="eastAsia" w:ascii="宋体" w:hAnsi="宋体" w:eastAsia="宋体" w:cs="宋体"/>
                <w:bCs/>
                <w:color w:val="auto"/>
                <w:highlight w:val="none"/>
              </w:rPr>
              <w:t>～</w:t>
            </w:r>
            <w:r>
              <w:rPr>
                <w:rFonts w:hint="eastAsia" w:ascii="宋体" w:hAnsi="宋体" w:cs="宋体"/>
                <w:bCs/>
                <w:color w:val="auto"/>
                <w:highlight w:val="none"/>
                <w:lang w:val="en-US" w:eastAsia="zh-CN"/>
              </w:rPr>
              <w:t>2</w:t>
            </w:r>
            <w:r>
              <w:rPr>
                <w:rFonts w:hint="eastAsia" w:ascii="宋体" w:hAnsi="宋体" w:eastAsia="宋体" w:cs="宋体"/>
                <w:bCs/>
                <w:color w:val="auto"/>
                <w:highlight w:val="none"/>
              </w:rPr>
              <w:t>0分、较好得</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w:t>
            </w:r>
            <w:r>
              <w:rPr>
                <w:rFonts w:hint="eastAsia" w:ascii="宋体" w:hAnsi="宋体" w:cs="宋体"/>
                <w:bCs/>
                <w:color w:val="auto"/>
                <w:highlight w:val="none"/>
                <w:lang w:val="en-US" w:eastAsia="zh-CN"/>
              </w:rPr>
              <w:t>14</w:t>
            </w:r>
            <w:r>
              <w:rPr>
                <w:rFonts w:hint="eastAsia" w:ascii="宋体" w:hAnsi="宋体" w:eastAsia="宋体" w:cs="宋体"/>
                <w:bCs/>
                <w:color w:val="auto"/>
                <w:highlight w:val="none"/>
              </w:rPr>
              <w:t>分、一般得</w:t>
            </w:r>
            <w:r>
              <w:rPr>
                <w:rFonts w:hint="eastAsia" w:ascii="宋体" w:hAnsi="宋体" w:cs="宋体"/>
                <w:bCs/>
                <w:color w:val="auto"/>
                <w:highlight w:val="none"/>
                <w:lang w:val="en-US" w:eastAsia="zh-CN"/>
              </w:rPr>
              <w:t>0</w:t>
            </w:r>
            <w:r>
              <w:rPr>
                <w:rFonts w:hint="eastAsia" w:ascii="宋体" w:hAnsi="宋体" w:eastAsia="宋体" w:cs="宋体"/>
                <w:bCs/>
                <w:color w:val="auto"/>
                <w:highlight w:val="none"/>
              </w:rPr>
              <w:t>～</w:t>
            </w:r>
            <w:r>
              <w:rPr>
                <w:rFonts w:hint="eastAsia" w:ascii="宋体" w:hAnsi="宋体" w:cs="宋体"/>
                <w:bCs/>
                <w:color w:val="auto"/>
                <w:highlight w:val="none"/>
                <w:lang w:val="en-US" w:eastAsia="zh-CN"/>
              </w:rPr>
              <w:t>7</w:t>
            </w:r>
            <w:r>
              <w:rPr>
                <w:rFonts w:hint="eastAsia" w:ascii="宋体" w:hAnsi="宋体" w:eastAsia="宋体" w:cs="宋体"/>
                <w:bCs/>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113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p>
        </w:tc>
        <w:tc>
          <w:tcPr>
            <w:tcW w:w="1762" w:type="dxa"/>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确保工程质量的技术组织措施</w:t>
            </w:r>
          </w:p>
        </w:tc>
        <w:tc>
          <w:tcPr>
            <w:tcW w:w="55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5</w:t>
            </w:r>
          </w:p>
        </w:tc>
        <w:tc>
          <w:tcPr>
            <w:tcW w:w="5961"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left"/>
              <w:textAlignment w:val="auto"/>
              <w:outlineLvl w:val="9"/>
              <w:rPr>
                <w:rFonts w:hint="eastAsia" w:ascii="宋体" w:hAnsi="宋体" w:eastAsia="宋体" w:cs="宋体"/>
                <w:bCs/>
                <w:color w:val="auto"/>
                <w:highlight w:val="none"/>
              </w:rPr>
            </w:pPr>
            <w:r>
              <w:rPr>
                <w:rFonts w:hint="eastAsia" w:ascii="宋体" w:hAnsi="宋体" w:eastAsia="宋体" w:cs="宋体"/>
                <w:bCs/>
                <w:color w:val="auto"/>
                <w:highlight w:val="none"/>
              </w:rPr>
              <w:t>根据各</w:t>
            </w:r>
            <w:r>
              <w:rPr>
                <w:rFonts w:hint="eastAsia" w:ascii="宋体" w:hAnsi="宋体" w:eastAsia="宋体" w:cs="宋体"/>
                <w:bCs/>
                <w:color w:val="auto"/>
                <w:highlight w:val="none"/>
                <w:lang w:eastAsia="zh-CN"/>
              </w:rPr>
              <w:t>投标人</w:t>
            </w:r>
            <w:r>
              <w:rPr>
                <w:rFonts w:hint="eastAsia" w:ascii="宋体" w:hAnsi="宋体" w:eastAsia="宋体" w:cs="宋体"/>
                <w:bCs/>
                <w:color w:val="auto"/>
                <w:highlight w:val="none"/>
              </w:rPr>
              <w:t>编制的各项措施进行综合比较，在</w:t>
            </w:r>
            <w:r>
              <w:rPr>
                <w:rFonts w:hint="eastAsia" w:ascii="宋体" w:hAnsi="宋体" w:eastAsia="宋体" w:cs="宋体"/>
                <w:bCs/>
                <w:color w:val="auto"/>
                <w:highlight w:val="none"/>
                <w:lang w:val="en-US" w:eastAsia="zh-CN"/>
              </w:rPr>
              <w:t>3</w:t>
            </w:r>
            <w:r>
              <w:rPr>
                <w:rFonts w:hint="eastAsia" w:ascii="宋体" w:hAnsi="宋体" w:eastAsia="宋体" w:cs="宋体"/>
                <w:bCs/>
                <w:color w:val="auto"/>
                <w:highlight w:val="none"/>
              </w:rPr>
              <w:t>～5分之间进行赋分。</w:t>
            </w:r>
            <w:r>
              <w:rPr>
                <w:rFonts w:hint="eastAsia" w:ascii="宋体" w:hAnsi="宋体" w:eastAsia="宋体" w:cs="宋体"/>
                <w:bCs/>
                <w:color w:val="auto"/>
                <w:highlight w:val="none"/>
                <w:lang w:eastAsia="zh-CN"/>
              </w:rPr>
              <w:t>缺少的项目得</w:t>
            </w:r>
            <w:r>
              <w:rPr>
                <w:rFonts w:hint="eastAsia" w:ascii="宋体" w:hAnsi="宋体" w:eastAsia="宋体" w:cs="宋体"/>
                <w:bCs/>
                <w:color w:val="auto"/>
                <w:highlight w:val="none"/>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113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p>
        </w:tc>
        <w:tc>
          <w:tcPr>
            <w:tcW w:w="1762" w:type="dxa"/>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确保安全生产的技术组织措施</w:t>
            </w:r>
          </w:p>
        </w:tc>
        <w:tc>
          <w:tcPr>
            <w:tcW w:w="55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5</w:t>
            </w:r>
          </w:p>
        </w:tc>
        <w:tc>
          <w:tcPr>
            <w:tcW w:w="5961"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113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p>
        </w:tc>
        <w:tc>
          <w:tcPr>
            <w:tcW w:w="1762" w:type="dxa"/>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确保文明施工的技术组织措施及环境保护措施</w:t>
            </w:r>
          </w:p>
        </w:tc>
        <w:tc>
          <w:tcPr>
            <w:tcW w:w="55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5</w:t>
            </w:r>
          </w:p>
        </w:tc>
        <w:tc>
          <w:tcPr>
            <w:tcW w:w="5961"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jc w:val="center"/>
        </w:trPr>
        <w:tc>
          <w:tcPr>
            <w:tcW w:w="1133"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p>
        </w:tc>
        <w:tc>
          <w:tcPr>
            <w:tcW w:w="1762" w:type="dxa"/>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zh-CN" w:eastAsia="zh-CN"/>
              </w:rPr>
            </w:pPr>
            <w:r>
              <w:rPr>
                <w:rFonts w:hint="eastAsia" w:ascii="宋体" w:hAnsi="宋体" w:eastAsia="宋体" w:cs="宋体"/>
                <w:bCs/>
                <w:color w:val="auto"/>
                <w:highlight w:val="none"/>
              </w:rPr>
              <w:t>确保工期的技术组织措施</w:t>
            </w:r>
            <w:r>
              <w:rPr>
                <w:rFonts w:hint="eastAsia" w:ascii="宋体" w:hAnsi="宋体" w:cs="宋体"/>
                <w:bCs/>
                <w:color w:val="auto"/>
                <w:highlight w:val="none"/>
                <w:lang w:eastAsia="zh-CN"/>
              </w:rPr>
              <w:t>及进度计划表</w:t>
            </w:r>
          </w:p>
        </w:tc>
        <w:tc>
          <w:tcPr>
            <w:tcW w:w="554"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lang w:val="zh-CN"/>
              </w:rPr>
            </w:pPr>
            <w:r>
              <w:rPr>
                <w:rFonts w:hint="eastAsia" w:ascii="宋体" w:hAnsi="宋体" w:eastAsia="宋体" w:cs="宋体"/>
                <w:bCs/>
                <w:color w:val="auto"/>
                <w:highlight w:val="none"/>
              </w:rPr>
              <w:t>5</w:t>
            </w:r>
          </w:p>
        </w:tc>
        <w:tc>
          <w:tcPr>
            <w:tcW w:w="5961"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val="0"/>
              <w:autoSpaceDN w:val="0"/>
              <w:bidi w:val="0"/>
              <w:adjustRightInd w:val="0"/>
              <w:spacing w:line="300" w:lineRule="exact"/>
              <w:jc w:val="center"/>
              <w:textAlignment w:val="auto"/>
              <w:outlineLvl w:val="9"/>
              <w:rPr>
                <w:rFonts w:hint="eastAsia" w:ascii="宋体" w:hAnsi="宋体" w:eastAsia="宋体" w:cs="宋体"/>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62" w:hRule="atLeast"/>
          <w:jc w:val="center"/>
        </w:trPr>
        <w:tc>
          <w:tcPr>
            <w:tcW w:w="113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00" w:lineRule="exact"/>
              <w:jc w:val="center"/>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说明</w:t>
            </w:r>
          </w:p>
        </w:tc>
        <w:tc>
          <w:tcPr>
            <w:tcW w:w="8277"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pacing w:line="300" w:lineRule="exact"/>
              <w:ind w:firstLine="420" w:firstLineChars="200"/>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1、本一览表各种计算数字“四舍五入”保留小数点后两位，第三位四舍五入。</w:t>
            </w:r>
          </w:p>
          <w:p>
            <w:pPr>
              <w:keepNext w:val="0"/>
              <w:keepLines w:val="0"/>
              <w:pageBreakBefore w:val="0"/>
              <w:widowControl/>
              <w:kinsoku/>
              <w:wordWrap/>
              <w:overflowPunct/>
              <w:topLinePunct w:val="0"/>
              <w:bidi w:val="0"/>
              <w:spacing w:line="300" w:lineRule="exact"/>
              <w:ind w:firstLine="420" w:firstLineChars="200"/>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2、评标委员会成员的赋分超过分值界限或未按本表规定赋分的，则该成员的打分作废，不计入汇总分。</w:t>
            </w:r>
          </w:p>
          <w:p>
            <w:pPr>
              <w:keepNext w:val="0"/>
              <w:keepLines w:val="0"/>
              <w:pageBreakBefore w:val="0"/>
              <w:widowControl/>
              <w:kinsoku/>
              <w:wordWrap/>
              <w:overflowPunct/>
              <w:topLinePunct w:val="0"/>
              <w:bidi w:val="0"/>
              <w:spacing w:line="300" w:lineRule="exact"/>
              <w:ind w:firstLine="420" w:firstLineChars="200"/>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3、各评标委员会成员必须按照本办法据实打分。凡打分不符合本办法要求者，均按无效打分对待。</w:t>
            </w:r>
          </w:p>
          <w:p>
            <w:pPr>
              <w:keepNext w:val="0"/>
              <w:keepLines w:val="0"/>
              <w:pageBreakBefore w:val="0"/>
              <w:widowControl/>
              <w:kinsoku/>
              <w:wordWrap/>
              <w:overflowPunct/>
              <w:topLinePunct w:val="0"/>
              <w:bidi w:val="0"/>
              <w:snapToGrid w:val="0"/>
              <w:spacing w:line="300" w:lineRule="exact"/>
              <w:ind w:firstLine="420" w:firstLineChars="200"/>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4、若出现综合得分并列第一时,比较投标报价,此分项得分高者为第一中标候选人,若投标报价得分相同，依次比较其它分项。</w:t>
            </w:r>
          </w:p>
          <w:p>
            <w:pPr>
              <w:keepNext w:val="0"/>
              <w:keepLines w:val="0"/>
              <w:pageBreakBefore w:val="0"/>
              <w:widowControl/>
              <w:kinsoku/>
              <w:wordWrap/>
              <w:overflowPunct/>
              <w:topLinePunct w:val="0"/>
              <w:bidi w:val="0"/>
              <w:spacing w:line="300" w:lineRule="exact"/>
              <w:ind w:firstLine="420" w:firstLineChars="200"/>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5、评标委员会根据以上内容，确定符合要求的投标人，进行综合比较打分，按得分高低由高向低排序，并推荐3个中标候选单位。当评标结论出现多数评标委员会成员的评审意见比较一致，某一个评委的赋分畸高畸低，导致评审结论改变的，采购代理机构应当发回评标委员会重新进行评审。同时该评委应向评标委员会说明其赋分的合理理由，对拒绝说明、拒绝重新评审的，其个人评审意见与赋分作为无效处理，并将其评标情况如实记入考核表。</w:t>
            </w:r>
          </w:p>
          <w:p>
            <w:pPr>
              <w:keepNext w:val="0"/>
              <w:keepLines w:val="0"/>
              <w:pageBreakBefore w:val="0"/>
              <w:widowControl/>
              <w:kinsoku/>
              <w:wordWrap/>
              <w:overflowPunct/>
              <w:topLinePunct w:val="0"/>
              <w:bidi w:val="0"/>
              <w:spacing w:line="300" w:lineRule="exact"/>
              <w:ind w:firstLine="420" w:firstLineChars="200"/>
              <w:textAlignment w:val="auto"/>
              <w:outlineLvl w:val="9"/>
              <w:rPr>
                <w:rFonts w:hint="eastAsia" w:ascii="宋体" w:hAnsi="宋体" w:eastAsia="宋体" w:cs="宋体"/>
                <w:color w:val="auto"/>
                <w:highlight w:val="none"/>
              </w:rPr>
            </w:pPr>
            <w:r>
              <w:rPr>
                <w:rFonts w:hint="eastAsia" w:ascii="宋体" w:hAnsi="宋体" w:eastAsia="宋体" w:cs="宋体"/>
                <w:color w:val="auto"/>
                <w:highlight w:val="none"/>
              </w:rPr>
              <w:t>6、投标人在编制投标文件时，按照评审要素全部内容完善投标文件，若投标人投标文件中未提供某项评审要素内容按0分计算。</w:t>
            </w:r>
          </w:p>
        </w:tc>
      </w:tr>
    </w:tbl>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（八）推荐中标候选投标人名单：评标委员会根据以上内容进行综合比较打分，按得分高低由高向低排序，并推荐3个中标候选单位。评标委员会依据评标结果写出评标报告。</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highlight w:val="none"/>
        </w:rPr>
      </w:pPr>
      <w:r>
        <w:rPr>
          <w:rFonts w:hint="eastAsia" w:ascii="宋体" w:hAnsi="宋体" w:eastAsia="宋体" w:cs="宋体"/>
          <w:color w:val="auto"/>
          <w:sz w:val="28"/>
          <w:szCs w:val="28"/>
          <w:highlight w:val="none"/>
        </w:rPr>
        <w:t>（九）采购代理机构根据评标委员会的原始评标记录和评标结果编写评标报告，报送采购人审核，同时报监督管理机构审核备案。</w:t>
      </w:r>
    </w:p>
    <w:p>
      <w:pPr>
        <w:pStyle w:val="190"/>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bookmarkStart w:id="22" w:name="_Toc418933123"/>
      <w:bookmarkStart w:id="23" w:name="_Toc21012"/>
      <w:r>
        <w:rPr>
          <w:rFonts w:hint="eastAsia" w:ascii="宋体" w:hAnsi="宋体" w:eastAsia="宋体" w:cs="宋体"/>
          <w:color w:val="auto"/>
          <w:highlight w:val="none"/>
        </w:rPr>
        <w:t>十三、定标</w:t>
      </w:r>
      <w:bookmarkEnd w:id="22"/>
      <w:bookmarkEnd w:id="23"/>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lang w:val="zh-CN"/>
        </w:rPr>
      </w:pPr>
      <w:bookmarkStart w:id="24" w:name="_Toc418933124"/>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val="zh-CN"/>
        </w:rPr>
        <w:t>采购代理机构应在评标结束后</w:t>
      </w: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zh-CN"/>
        </w:rPr>
        <w:t>个工作日内，将评标报告送采购人定标。</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w:t>
      </w:r>
      <w:r>
        <w:rPr>
          <w:rFonts w:hint="eastAsia" w:ascii="宋体" w:hAnsi="宋体" w:eastAsia="宋体" w:cs="宋体"/>
          <w:color w:val="auto"/>
          <w:sz w:val="28"/>
          <w:szCs w:val="28"/>
          <w:highlight w:val="none"/>
          <w:lang w:val="zh-CN"/>
        </w:rPr>
        <w:t>采购人在收到评标报告后</w:t>
      </w:r>
      <w:r>
        <w:rPr>
          <w:rFonts w:hint="eastAsia" w:ascii="宋体" w:hAnsi="宋体" w:eastAsia="宋体" w:cs="宋体"/>
          <w:color w:val="auto"/>
          <w:sz w:val="28"/>
          <w:szCs w:val="28"/>
          <w:highlight w:val="none"/>
        </w:rPr>
        <w:t>5</w:t>
      </w:r>
      <w:r>
        <w:rPr>
          <w:rFonts w:hint="eastAsia" w:ascii="宋体" w:hAnsi="宋体" w:eastAsia="宋体" w:cs="宋体"/>
          <w:color w:val="auto"/>
          <w:sz w:val="28"/>
          <w:szCs w:val="28"/>
          <w:highlight w:val="none"/>
          <w:lang w:val="zh-CN"/>
        </w:rPr>
        <w:t>个工作日内，根据评标报告对评标过程及结果进行严格评审后确定中标人，复函采购代理机构。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（三）</w:t>
      </w:r>
      <w:r>
        <w:rPr>
          <w:rFonts w:hint="eastAsia" w:ascii="宋体" w:hAnsi="宋体" w:eastAsia="宋体" w:cs="宋体"/>
          <w:color w:val="auto"/>
          <w:sz w:val="28"/>
          <w:szCs w:val="28"/>
          <w:highlight w:val="none"/>
          <w:lang w:val="zh-CN"/>
        </w:rPr>
        <w:t>采购代理机构在接到采购人的</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zh-CN"/>
        </w:rPr>
        <w:t>定标复函</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zh-CN"/>
        </w:rPr>
        <w:t>后，在财政部门指定的政府采购信息发布媒体上公告，公告期限为</w:t>
      </w: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val="zh-CN"/>
        </w:rPr>
        <w:t>个工作日，并向中标人发</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zh-CN"/>
        </w:rPr>
        <w:t>中标通知书</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zh-CN"/>
        </w:rPr>
        <w:t>。</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（四）</w:t>
      </w:r>
      <w:r>
        <w:rPr>
          <w:rFonts w:hint="eastAsia" w:ascii="宋体" w:hAnsi="宋体" w:eastAsia="宋体" w:cs="宋体"/>
          <w:color w:val="auto"/>
          <w:sz w:val="28"/>
          <w:szCs w:val="28"/>
          <w:highlight w:val="none"/>
          <w:lang w:val="zh-CN"/>
        </w:rPr>
        <w:t>采购代理机构将评标过程及中标人情况书面报监督机构备案。</w:t>
      </w:r>
    </w:p>
    <w:p>
      <w:pPr>
        <w:pStyle w:val="190"/>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lang w:val="zh-CN"/>
        </w:rPr>
      </w:pPr>
      <w:bookmarkStart w:id="25" w:name="_Toc495908925"/>
      <w:bookmarkStart w:id="26" w:name="_Toc533405792"/>
      <w:bookmarkStart w:id="27" w:name="_Toc20109"/>
      <w:r>
        <w:rPr>
          <w:rFonts w:hint="eastAsia" w:ascii="宋体" w:hAnsi="宋体" w:eastAsia="宋体" w:cs="宋体"/>
          <w:color w:val="auto"/>
          <w:highlight w:val="none"/>
          <w:lang w:val="zh-CN"/>
        </w:rPr>
        <w:t>十四、履约保证金</w:t>
      </w:r>
      <w:bookmarkEnd w:id="25"/>
      <w:bookmarkEnd w:id="26"/>
      <w:bookmarkEnd w:id="27"/>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0000FF"/>
          <w:sz w:val="28"/>
          <w:szCs w:val="28"/>
          <w:highlight w:val="none"/>
        </w:rPr>
      </w:pPr>
      <w:r>
        <w:rPr>
          <w:rFonts w:hint="eastAsia" w:ascii="宋体" w:hAnsi="宋体" w:eastAsia="宋体" w:cs="宋体"/>
          <w:color w:val="0000FF"/>
          <w:sz w:val="28"/>
          <w:szCs w:val="28"/>
          <w:highlight w:val="none"/>
        </w:rPr>
        <w:t>1、履约保证金金额为</w:t>
      </w:r>
      <w:r>
        <w:rPr>
          <w:rFonts w:hint="eastAsia" w:ascii="宋体" w:hAnsi="宋体" w:eastAsia="宋体" w:cs="宋体"/>
          <w:color w:val="0000FF"/>
          <w:sz w:val="28"/>
          <w:szCs w:val="28"/>
          <w:highlight w:val="none"/>
          <w:lang w:eastAsia="zh-CN"/>
        </w:rPr>
        <w:t>签约合同价的</w:t>
      </w:r>
      <w:r>
        <w:rPr>
          <w:rFonts w:hint="eastAsia" w:ascii="宋体" w:hAnsi="宋体" w:eastAsia="宋体" w:cs="宋体"/>
          <w:color w:val="0000FF"/>
          <w:sz w:val="28"/>
          <w:szCs w:val="28"/>
          <w:highlight w:val="none"/>
          <w:lang w:val="en-US" w:eastAsia="zh-CN"/>
        </w:rPr>
        <w:t>10%</w:t>
      </w:r>
      <w:r>
        <w:rPr>
          <w:rFonts w:hint="eastAsia" w:ascii="宋体" w:hAnsi="宋体" w:eastAsia="宋体" w:cs="宋体"/>
          <w:color w:val="0000FF"/>
          <w:sz w:val="28"/>
          <w:szCs w:val="28"/>
          <w:highlight w:val="none"/>
        </w:rPr>
        <w:t>，</w:t>
      </w:r>
      <w:r>
        <w:rPr>
          <w:rFonts w:hint="eastAsia" w:ascii="宋体" w:hAnsi="宋体" w:eastAsia="宋体" w:cs="宋体"/>
          <w:color w:val="0000FF"/>
          <w:sz w:val="28"/>
          <w:szCs w:val="28"/>
          <w:highlight w:val="none"/>
          <w:lang w:eastAsia="zh-CN"/>
        </w:rPr>
        <w:t>中标人</w:t>
      </w:r>
      <w:r>
        <w:rPr>
          <w:rFonts w:hint="eastAsia" w:ascii="宋体" w:hAnsi="宋体" w:eastAsia="宋体" w:cs="宋体"/>
          <w:color w:val="0000FF"/>
          <w:sz w:val="28"/>
          <w:szCs w:val="28"/>
          <w:highlight w:val="none"/>
        </w:rPr>
        <w:t>不能按要求提交履约保证金的，视为放弃中标，其投标保证金不予退还，给采购人造成的损失超过投标保证金数额的，</w:t>
      </w:r>
      <w:r>
        <w:rPr>
          <w:rFonts w:hint="eastAsia" w:ascii="宋体" w:hAnsi="宋体" w:eastAsia="宋体" w:cs="宋体"/>
          <w:color w:val="0000FF"/>
          <w:sz w:val="28"/>
          <w:szCs w:val="28"/>
          <w:highlight w:val="none"/>
          <w:lang w:eastAsia="zh-CN"/>
        </w:rPr>
        <w:t>中标人</w:t>
      </w:r>
      <w:r>
        <w:rPr>
          <w:rFonts w:hint="eastAsia" w:ascii="宋体" w:hAnsi="宋体" w:eastAsia="宋体" w:cs="宋体"/>
          <w:color w:val="0000FF"/>
          <w:sz w:val="28"/>
          <w:szCs w:val="28"/>
          <w:highlight w:val="none"/>
        </w:rPr>
        <w:t>还应当对超过部分予以赔偿。</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2、履约保证金交纳时间：合同签订前必须交纳至（采购人）。</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3、履约保证金交纳形式：</w:t>
      </w:r>
      <w:r>
        <w:rPr>
          <w:rFonts w:hint="eastAsia" w:ascii="宋体" w:hAnsi="宋体" w:eastAsia="宋体" w:cs="宋体"/>
          <w:color w:val="auto"/>
          <w:sz w:val="28"/>
          <w:szCs w:val="28"/>
          <w:highlight w:val="none"/>
          <w:lang w:eastAsia="zh-CN"/>
        </w:rPr>
        <w:t>中标人</w:t>
      </w:r>
      <w:r>
        <w:rPr>
          <w:rFonts w:hint="eastAsia" w:ascii="宋体" w:hAnsi="宋体" w:eastAsia="宋体" w:cs="宋体"/>
          <w:color w:val="auto"/>
          <w:sz w:val="28"/>
          <w:szCs w:val="28"/>
          <w:highlight w:val="none"/>
        </w:rPr>
        <w:t>应当以支票、汇票、本票或者陕西省财政厅认定的担保机构出具的保函等非现金形式提交。</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4、履约保证金收取单位名称：由采购人提供账号。</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highlight w:val="none"/>
        </w:rPr>
      </w:pPr>
      <w:r>
        <w:rPr>
          <w:rFonts w:hint="eastAsia" w:ascii="宋体" w:hAnsi="宋体" w:eastAsia="宋体" w:cs="宋体"/>
          <w:color w:val="auto"/>
          <w:sz w:val="28"/>
          <w:szCs w:val="28"/>
          <w:highlight w:val="none"/>
        </w:rPr>
        <w:t>5、履约保证金的退付：自</w:t>
      </w:r>
      <w:r>
        <w:rPr>
          <w:rFonts w:hint="eastAsia" w:ascii="宋体" w:hAnsi="宋体" w:eastAsia="宋体" w:cs="宋体"/>
          <w:color w:val="auto"/>
          <w:sz w:val="28"/>
          <w:szCs w:val="28"/>
          <w:highlight w:val="none"/>
          <w:lang w:eastAsia="zh-CN"/>
        </w:rPr>
        <w:t>项目竣工</w:t>
      </w:r>
      <w:r>
        <w:rPr>
          <w:rFonts w:hint="eastAsia" w:ascii="宋体" w:hAnsi="宋体" w:eastAsia="宋体" w:cs="宋体"/>
          <w:color w:val="auto"/>
          <w:sz w:val="28"/>
          <w:szCs w:val="28"/>
          <w:highlight w:val="none"/>
        </w:rPr>
        <w:t>验收合格后经采购人同意，无息退还。</w:t>
      </w:r>
    </w:p>
    <w:p>
      <w:pPr>
        <w:pStyle w:val="190"/>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bookmarkStart w:id="28" w:name="_Toc5906"/>
      <w:r>
        <w:rPr>
          <w:rFonts w:hint="eastAsia" w:ascii="宋体" w:hAnsi="宋体" w:eastAsia="宋体" w:cs="宋体"/>
          <w:color w:val="auto"/>
          <w:highlight w:val="none"/>
        </w:rPr>
        <w:t>十五、</w:t>
      </w:r>
      <w:r>
        <w:rPr>
          <w:rFonts w:hint="eastAsia" w:ascii="宋体" w:hAnsi="宋体" w:eastAsia="宋体" w:cs="宋体"/>
          <w:color w:val="auto"/>
          <w:highlight w:val="none"/>
          <w:lang w:val="zh-CN"/>
        </w:rPr>
        <w:t>签订</w:t>
      </w:r>
      <w:r>
        <w:rPr>
          <w:rFonts w:hint="eastAsia" w:ascii="宋体" w:hAnsi="宋体" w:eastAsia="宋体" w:cs="宋体"/>
          <w:color w:val="auto"/>
          <w:highlight w:val="none"/>
        </w:rPr>
        <w:t>政府采购合同</w:t>
      </w:r>
      <w:bookmarkEnd w:id="24"/>
      <w:bookmarkEnd w:id="28"/>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（一）采购人在自中标通知书发出之日起30日内</w:t>
      </w:r>
      <w:r>
        <w:rPr>
          <w:rFonts w:hint="eastAsia" w:ascii="宋体" w:hAnsi="宋体" w:eastAsia="宋体" w:cs="宋体"/>
          <w:color w:val="auto"/>
          <w:sz w:val="28"/>
          <w:szCs w:val="28"/>
          <w:highlight w:val="none"/>
          <w:lang w:val="zh-CN"/>
        </w:rPr>
        <w:t>，按照招标文件和中标人投标文件的约定，</w:t>
      </w:r>
      <w:r>
        <w:rPr>
          <w:rFonts w:hint="eastAsia" w:ascii="宋体" w:hAnsi="宋体" w:eastAsia="宋体" w:cs="宋体"/>
          <w:color w:val="auto"/>
          <w:sz w:val="28"/>
          <w:szCs w:val="28"/>
          <w:highlight w:val="none"/>
        </w:rPr>
        <w:t>采购人与</w:t>
      </w:r>
      <w:r>
        <w:rPr>
          <w:rFonts w:hint="eastAsia" w:ascii="宋体" w:hAnsi="宋体" w:eastAsia="宋体" w:cs="宋体"/>
          <w:color w:val="auto"/>
          <w:sz w:val="28"/>
          <w:szCs w:val="28"/>
          <w:highlight w:val="none"/>
          <w:lang w:eastAsia="zh-CN"/>
        </w:rPr>
        <w:t>中标人</w:t>
      </w:r>
      <w:r>
        <w:rPr>
          <w:rFonts w:hint="eastAsia" w:ascii="宋体" w:hAnsi="宋体" w:eastAsia="宋体" w:cs="宋体"/>
          <w:color w:val="auto"/>
          <w:sz w:val="28"/>
          <w:szCs w:val="28"/>
          <w:highlight w:val="none"/>
        </w:rPr>
        <w:t>洽谈合同条款，并签订合同。招标文件及</w:t>
      </w:r>
      <w:r>
        <w:rPr>
          <w:rFonts w:hint="eastAsia" w:ascii="宋体" w:hAnsi="宋体" w:eastAsia="宋体" w:cs="宋体"/>
          <w:color w:val="auto"/>
          <w:sz w:val="28"/>
          <w:szCs w:val="28"/>
          <w:highlight w:val="none"/>
          <w:lang w:eastAsia="zh-CN"/>
        </w:rPr>
        <w:t>中标人</w:t>
      </w:r>
      <w:r>
        <w:rPr>
          <w:rFonts w:hint="eastAsia" w:ascii="宋体" w:hAnsi="宋体" w:eastAsia="宋体" w:cs="宋体"/>
          <w:color w:val="auto"/>
          <w:sz w:val="28"/>
          <w:szCs w:val="28"/>
          <w:highlight w:val="none"/>
        </w:rPr>
        <w:t>的投标文件均作为合同的组成部分。</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（二）定标或确定</w:t>
      </w:r>
      <w:r>
        <w:rPr>
          <w:rFonts w:hint="eastAsia" w:ascii="宋体" w:hAnsi="宋体" w:eastAsia="宋体" w:cs="宋体"/>
          <w:color w:val="auto"/>
          <w:sz w:val="28"/>
          <w:szCs w:val="28"/>
          <w:highlight w:val="none"/>
          <w:lang w:eastAsia="zh-CN"/>
        </w:rPr>
        <w:t>中标人</w:t>
      </w:r>
      <w:r>
        <w:rPr>
          <w:rFonts w:hint="eastAsia" w:ascii="宋体" w:hAnsi="宋体" w:eastAsia="宋体" w:cs="宋体"/>
          <w:color w:val="auto"/>
          <w:sz w:val="28"/>
          <w:szCs w:val="28"/>
          <w:highlight w:val="none"/>
        </w:rPr>
        <w:t>后，</w:t>
      </w:r>
      <w:r>
        <w:rPr>
          <w:rFonts w:hint="eastAsia" w:ascii="宋体" w:hAnsi="宋体" w:eastAsia="宋体" w:cs="宋体"/>
          <w:color w:val="auto"/>
          <w:sz w:val="28"/>
          <w:szCs w:val="28"/>
          <w:highlight w:val="none"/>
          <w:lang w:eastAsia="zh-CN"/>
        </w:rPr>
        <w:t>中标人</w:t>
      </w:r>
      <w:r>
        <w:rPr>
          <w:rFonts w:hint="eastAsia" w:ascii="宋体" w:hAnsi="宋体" w:eastAsia="宋体" w:cs="宋体"/>
          <w:color w:val="auto"/>
          <w:sz w:val="28"/>
          <w:szCs w:val="28"/>
          <w:highlight w:val="none"/>
        </w:rPr>
        <w:t>无正当理由拖延或拒签合同，监督机构有权取消其中标资格，并按评标结果顺序重新确定</w:t>
      </w:r>
      <w:r>
        <w:rPr>
          <w:rFonts w:hint="eastAsia" w:ascii="宋体" w:hAnsi="宋体" w:eastAsia="宋体" w:cs="宋体"/>
          <w:color w:val="auto"/>
          <w:sz w:val="28"/>
          <w:szCs w:val="28"/>
          <w:highlight w:val="none"/>
          <w:lang w:eastAsia="zh-CN"/>
        </w:rPr>
        <w:t>中标人</w:t>
      </w:r>
      <w:r>
        <w:rPr>
          <w:rFonts w:hint="eastAsia" w:ascii="宋体" w:hAnsi="宋体" w:eastAsia="宋体" w:cs="宋体"/>
          <w:color w:val="auto"/>
          <w:sz w:val="28"/>
          <w:szCs w:val="28"/>
          <w:highlight w:val="none"/>
        </w:rPr>
        <w:t>。同时报请监督机构通报，取消其进入政府采购市场的资格。</w:t>
      </w:r>
    </w:p>
    <w:p>
      <w:pPr>
        <w:pStyle w:val="190"/>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bookmarkStart w:id="29" w:name="_Toc418933125"/>
      <w:bookmarkStart w:id="30" w:name="_Toc26020"/>
      <w:r>
        <w:rPr>
          <w:rFonts w:hint="eastAsia" w:ascii="宋体" w:hAnsi="宋体" w:eastAsia="宋体" w:cs="宋体"/>
          <w:color w:val="auto"/>
          <w:highlight w:val="none"/>
        </w:rPr>
        <w:t>十六、</w:t>
      </w:r>
      <w:bookmarkEnd w:id="29"/>
      <w:r>
        <w:rPr>
          <w:rFonts w:hint="eastAsia" w:ascii="宋体" w:hAnsi="宋体" w:eastAsia="宋体" w:cs="宋体"/>
          <w:color w:val="auto"/>
          <w:highlight w:val="none"/>
        </w:rPr>
        <w:t>代理服务费</w:t>
      </w:r>
      <w:bookmarkEnd w:id="30"/>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（一</w:t>
      </w:r>
      <w:r>
        <w:rPr>
          <w:rFonts w:hint="eastAsia" w:ascii="宋体" w:hAnsi="宋体" w:eastAsia="宋体" w:cs="宋体"/>
          <w:color w:val="auto"/>
          <w:sz w:val="28"/>
          <w:szCs w:val="28"/>
          <w:highlight w:val="none"/>
          <w:lang w:val="zh-CN"/>
        </w:rPr>
        <w:t>）中标人在领取中标通知书前，须向采购代理机构支付代理服务费，包含在投标总价中，不得要求采购人支付。</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（二）代理服务费</w:t>
      </w:r>
      <w:r>
        <w:rPr>
          <w:rFonts w:hint="eastAsia" w:ascii="宋体" w:hAnsi="宋体" w:cs="宋体"/>
          <w:color w:val="auto"/>
          <w:sz w:val="28"/>
          <w:szCs w:val="28"/>
          <w:highlight w:val="none"/>
          <w:lang w:val="zh-CN"/>
        </w:rPr>
        <w:t>、工程量清单及最高限价编制费</w:t>
      </w:r>
      <w:r>
        <w:rPr>
          <w:rFonts w:hint="eastAsia" w:ascii="宋体" w:hAnsi="宋体" w:eastAsia="宋体" w:cs="宋体"/>
          <w:color w:val="auto"/>
          <w:sz w:val="28"/>
          <w:szCs w:val="28"/>
          <w:highlight w:val="none"/>
          <w:lang w:val="zh-CN"/>
        </w:rPr>
        <w:t>参照国家计委关于印发《招标代理服务收费管理暂行办法》的通知（计价格〔2002〕1980号）、《国家发展和改革委员会办公厅关于招标代理服务收费有关问题的通知》（发改办价格〔2003〕857号）</w:t>
      </w:r>
      <w:r>
        <w:rPr>
          <w:rFonts w:hint="eastAsia" w:ascii="宋体" w:hAnsi="宋体" w:eastAsia="宋体" w:cs="宋体"/>
          <w:color w:val="auto"/>
          <w:sz w:val="28"/>
          <w:szCs w:val="28"/>
          <w:highlight w:val="none"/>
          <w:lang w:val="zh-CN" w:eastAsia="zh-CN"/>
        </w:rPr>
        <w:t>、陕价行发〔2014〕88号</w:t>
      </w:r>
      <w:r>
        <w:rPr>
          <w:rFonts w:hint="eastAsia" w:ascii="宋体" w:hAnsi="宋体" w:eastAsia="宋体" w:cs="宋体"/>
          <w:color w:val="auto"/>
          <w:sz w:val="28"/>
          <w:szCs w:val="28"/>
          <w:highlight w:val="none"/>
          <w:lang w:val="zh-CN"/>
        </w:rPr>
        <w:t>规定</w:t>
      </w:r>
      <w:r>
        <w:rPr>
          <w:rFonts w:hint="eastAsia" w:ascii="宋体" w:hAnsi="宋体" w:eastAsia="宋体" w:cs="宋体"/>
          <w:color w:val="auto"/>
          <w:sz w:val="28"/>
          <w:szCs w:val="28"/>
          <w:highlight w:val="none"/>
          <w:lang w:val="zh-CN" w:eastAsia="zh-CN"/>
        </w:rPr>
        <w:t>下浮</w:t>
      </w:r>
      <w:r>
        <w:rPr>
          <w:rFonts w:hint="eastAsia" w:ascii="宋体" w:hAnsi="宋体" w:eastAsia="宋体" w:cs="宋体"/>
          <w:color w:val="auto"/>
          <w:sz w:val="28"/>
          <w:szCs w:val="28"/>
          <w:highlight w:val="none"/>
          <w:lang w:val="en-US" w:eastAsia="zh-CN"/>
        </w:rPr>
        <w:t>20%后</w:t>
      </w:r>
      <w:r>
        <w:rPr>
          <w:rFonts w:hint="eastAsia" w:ascii="宋体" w:hAnsi="宋体" w:eastAsia="宋体" w:cs="宋体"/>
          <w:color w:val="auto"/>
          <w:sz w:val="28"/>
          <w:szCs w:val="28"/>
          <w:highlight w:val="none"/>
          <w:lang w:val="zh-CN"/>
        </w:rPr>
        <w:t>向中标</w:t>
      </w:r>
      <w:r>
        <w:rPr>
          <w:rFonts w:hint="eastAsia" w:ascii="宋体" w:hAnsi="宋体" w:cs="宋体"/>
          <w:color w:val="auto"/>
          <w:sz w:val="28"/>
          <w:szCs w:val="28"/>
          <w:highlight w:val="none"/>
          <w:lang w:val="zh-CN"/>
        </w:rPr>
        <w:t>人</w:t>
      </w:r>
      <w:r>
        <w:rPr>
          <w:rFonts w:hint="eastAsia" w:ascii="宋体" w:hAnsi="宋体" w:eastAsia="宋体" w:cs="宋体"/>
          <w:color w:val="auto"/>
          <w:sz w:val="28"/>
          <w:szCs w:val="28"/>
          <w:highlight w:val="none"/>
          <w:lang w:val="zh-CN"/>
        </w:rPr>
        <w:t>收取代理服务费，该部分费用被认为已包含在</w:t>
      </w:r>
      <w:r>
        <w:rPr>
          <w:rFonts w:hint="eastAsia" w:ascii="宋体" w:hAnsi="宋体" w:cs="宋体"/>
          <w:color w:val="auto"/>
          <w:sz w:val="28"/>
          <w:szCs w:val="28"/>
          <w:highlight w:val="none"/>
          <w:lang w:val="zh-CN"/>
        </w:rPr>
        <w:t>投标人</w:t>
      </w:r>
      <w:r>
        <w:rPr>
          <w:rFonts w:hint="eastAsia" w:ascii="宋体" w:hAnsi="宋体" w:eastAsia="宋体" w:cs="宋体"/>
          <w:color w:val="auto"/>
          <w:sz w:val="28"/>
          <w:szCs w:val="28"/>
          <w:highlight w:val="none"/>
          <w:lang w:val="zh-CN"/>
        </w:rPr>
        <w:t>的响应总价之中，</w:t>
      </w:r>
      <w:r>
        <w:rPr>
          <w:rFonts w:hint="eastAsia" w:ascii="宋体" w:hAnsi="宋体" w:cs="宋体"/>
          <w:color w:val="auto"/>
          <w:sz w:val="28"/>
          <w:szCs w:val="28"/>
          <w:highlight w:val="none"/>
          <w:lang w:val="zh-CN"/>
        </w:rPr>
        <w:t>中标人</w:t>
      </w:r>
      <w:r>
        <w:rPr>
          <w:rFonts w:hint="eastAsia" w:ascii="宋体" w:hAnsi="宋体" w:eastAsia="宋体" w:cs="宋体"/>
          <w:color w:val="auto"/>
          <w:sz w:val="28"/>
          <w:szCs w:val="28"/>
          <w:highlight w:val="none"/>
          <w:lang w:val="zh-CN"/>
        </w:rPr>
        <w:t>在领取成交通知时一次性全额付给代理单位，不得要求采购人单独支付。</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（三）代理服务费交纳信息</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户    名：鸿民国际工程咨询有限公司</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开户银行：中国银行渭南杜桥支行</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帐    号：102403894305</w:t>
      </w:r>
    </w:p>
    <w:p>
      <w:pPr>
        <w:pStyle w:val="190"/>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lang w:val="zh-CN"/>
        </w:rPr>
      </w:pPr>
      <w:bookmarkStart w:id="31" w:name="_Toc533405795"/>
      <w:bookmarkStart w:id="32" w:name="_Toc7101"/>
      <w:r>
        <w:rPr>
          <w:rFonts w:hint="eastAsia" w:ascii="宋体" w:hAnsi="宋体" w:eastAsia="宋体" w:cs="宋体"/>
          <w:color w:val="auto"/>
          <w:highlight w:val="none"/>
          <w:lang w:val="zh-CN"/>
        </w:rPr>
        <w:t>十</w:t>
      </w:r>
      <w:r>
        <w:rPr>
          <w:rFonts w:hint="eastAsia" w:ascii="宋体" w:hAnsi="宋体" w:eastAsia="宋体" w:cs="宋体"/>
          <w:color w:val="auto"/>
          <w:highlight w:val="none"/>
        </w:rPr>
        <w:t>七</w:t>
      </w:r>
      <w:r>
        <w:rPr>
          <w:rFonts w:hint="eastAsia" w:ascii="宋体" w:hAnsi="宋体" w:eastAsia="宋体" w:cs="宋体"/>
          <w:color w:val="auto"/>
          <w:highlight w:val="none"/>
          <w:lang w:val="zh-CN"/>
        </w:rPr>
        <w:t>、其他</w:t>
      </w:r>
      <w:bookmarkEnd w:id="31"/>
      <w:bookmarkEnd w:id="32"/>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公开招标数额标准以上的采购项目，投标截止后投标人不足3家或者通过资格审查或符合性审查的投标人不足3家的，除采购任务取消情形外，按照以下方式处理：</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1、招标文件存在不合理条款或者招标程序不符合规定的，采购人、采购代理机构改正后依法重新招标；</w:t>
      </w:r>
    </w:p>
    <w:p>
      <w:pPr>
        <w:pageBreakBefore w:val="0"/>
        <w:widowControl w:val="0"/>
        <w:tabs>
          <w:tab w:val="left" w:pos="9030"/>
        </w:tabs>
        <w:kinsoku/>
        <w:wordWrap/>
        <w:overflowPunct/>
        <w:topLinePunct w:val="0"/>
        <w:autoSpaceDE/>
        <w:autoSpaceDN/>
        <w:bidi w:val="0"/>
        <w:adjustRightInd/>
        <w:snapToGrid w:val="0"/>
        <w:spacing w:line="500" w:lineRule="exact"/>
        <w:ind w:right="-65"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lang w:val="zh-CN"/>
        </w:rPr>
        <w:t>2、招标文件没有不合理条款、招标程序符合规定，需要采用其他采购方式采购的，采购人应当依法报财政部门批准。</w:t>
      </w:r>
    </w:p>
    <w:p>
      <w:pPr>
        <w:pStyle w:val="190"/>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bookmarkStart w:id="33" w:name="_Toc1401"/>
      <w:r>
        <w:rPr>
          <w:rFonts w:hint="eastAsia" w:ascii="宋体" w:hAnsi="宋体" w:eastAsia="宋体" w:cs="宋体"/>
          <w:color w:val="auto"/>
          <w:highlight w:val="none"/>
        </w:rPr>
        <w:t>十八、需要落实的</w:t>
      </w:r>
      <w:r>
        <w:rPr>
          <w:rFonts w:hint="eastAsia" w:ascii="宋体" w:hAnsi="宋体" w:eastAsia="宋体" w:cs="宋体"/>
          <w:color w:val="auto"/>
          <w:highlight w:val="none"/>
          <w:lang w:val="zh-CN"/>
        </w:rPr>
        <w:t>政府</w:t>
      </w:r>
      <w:r>
        <w:rPr>
          <w:rFonts w:hint="eastAsia" w:ascii="宋体" w:hAnsi="宋体" w:eastAsia="宋体" w:cs="宋体"/>
          <w:color w:val="auto"/>
          <w:highlight w:val="none"/>
        </w:rPr>
        <w:t>采购政策</w:t>
      </w:r>
      <w:bookmarkEnd w:id="33"/>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bookmarkStart w:id="34" w:name="_Toc4064"/>
      <w:r>
        <w:rPr>
          <w:rFonts w:hint="eastAsia" w:ascii="宋体" w:hAnsi="宋体" w:eastAsia="宋体" w:cs="宋体"/>
          <w:color w:val="auto"/>
          <w:sz w:val="28"/>
          <w:szCs w:val="28"/>
          <w:highlight w:val="none"/>
        </w:rPr>
        <w:t>（一）关于节能产品、环境标志产品</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根据《财政部 发展改革委 生态环境部 市场监管总局关于调整优化节能产品、环境标志产品政府采购执行机制的通知》（财库〔2019〕9号）规定，对政府采购节能产品、环境标志产品实施品目清单管理，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（二）关于小微企业、监狱企业、残疾人福利性单位</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1.小微企业</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①根据《政府采购促进中小企业发展管理办法》（财库〔2020〕46号）的规定，在政府采购活动中，供应商提供的货物、工程或者服务符合下列情形的，享受中小企业扶持政策：</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在货物采购项目中，货物由中小企业制造，即货物由中小企业生产且使用该中小企业商号或者注册商标；在工程采购项目中，工程由中小企业承建，即工程施工单位为中小企业；在服务采购项目中，服务由中小企业承接，即提供服务的人员为中小企业依照《中华人民共和国劳动合同法》订立劳动合同的从业人员。</w:t>
      </w:r>
    </w:p>
    <w:p>
      <w:pPr>
        <w:pageBreakBefore w:val="0"/>
        <w:widowControl w:val="0"/>
        <w:kinsoku/>
        <w:wordWrap/>
        <w:overflowPunct/>
        <w:topLinePunct w:val="0"/>
        <w:autoSpaceDE/>
        <w:autoSpaceDN/>
        <w:bidi w:val="0"/>
        <w:adjustRightInd/>
        <w:spacing w:line="500" w:lineRule="exact"/>
        <w:ind w:firstLine="562" w:firstLineChars="200"/>
        <w:textAlignment w:val="auto"/>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rPr>
        <w:t>在本项目中</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若</w:t>
      </w:r>
      <w:r>
        <w:rPr>
          <w:rFonts w:hint="eastAsia" w:ascii="宋体" w:hAnsi="宋体" w:eastAsia="宋体" w:cs="宋体"/>
          <w:b/>
          <w:bCs/>
          <w:color w:val="auto"/>
          <w:sz w:val="28"/>
          <w:szCs w:val="28"/>
          <w:highlight w:val="none"/>
          <w:lang w:eastAsia="zh-CN"/>
        </w:rPr>
        <w:t>工程全部</w:t>
      </w:r>
      <w:r>
        <w:rPr>
          <w:rFonts w:hint="eastAsia" w:ascii="宋体" w:hAnsi="宋体" w:eastAsia="宋体" w:cs="宋体"/>
          <w:b/>
          <w:bCs/>
          <w:color w:val="auto"/>
          <w:sz w:val="28"/>
          <w:szCs w:val="28"/>
          <w:highlight w:val="none"/>
        </w:rPr>
        <w:t>由符合政策要求的小微企业承接，</w:t>
      </w:r>
      <w:r>
        <w:rPr>
          <w:rFonts w:hint="eastAsia" w:ascii="宋体" w:hAnsi="宋体" w:eastAsia="宋体" w:cs="宋体"/>
          <w:b/>
          <w:bCs/>
          <w:color w:val="auto"/>
          <w:sz w:val="28"/>
          <w:szCs w:val="28"/>
          <w:highlight w:val="none"/>
          <w:lang w:val="zh-CN"/>
        </w:rPr>
        <w:t>报价给予</w:t>
      </w:r>
      <w:r>
        <w:rPr>
          <w:rFonts w:hint="eastAsia" w:ascii="宋体" w:hAnsi="宋体" w:eastAsia="宋体" w:cs="宋体"/>
          <w:b/>
          <w:bCs/>
          <w:color w:val="auto"/>
          <w:sz w:val="28"/>
          <w:szCs w:val="28"/>
          <w:highlight w:val="none"/>
          <w:lang w:val="en-US" w:eastAsia="zh-CN"/>
        </w:rPr>
        <w:t>3</w:t>
      </w:r>
      <w:r>
        <w:rPr>
          <w:rFonts w:hint="eastAsia" w:ascii="宋体" w:hAnsi="宋体" w:eastAsia="宋体" w:cs="宋体"/>
          <w:b/>
          <w:bCs/>
          <w:color w:val="auto"/>
          <w:sz w:val="28"/>
          <w:szCs w:val="28"/>
          <w:highlight w:val="none"/>
          <w:lang w:val="zh-CN"/>
        </w:rPr>
        <w:t>%的扣除，用扣除后的价格参加评审。</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②中小企业参加政府采购活动，应当出具符合财库〔2020〕46号规定的《中小企业声明函》,否则不得享受相关中小企业扶持政策。</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③本项目采购标的对应的中小企业划分标准所属行业：建筑业</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2.监狱企业参加政府采购活动时，应当提供相关证明文件。监狱企业参加政府采购活动时，视同小微企业。</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符合条件的残疾人福利性单位在参加政府采购活动时，应当提供《残疾人福利性单位声明函》，并对声明的真实性负责。残疾人福利性单位参加政府采购活动时，视同小微企业；残疾人福利性单位属于小微企业的，不重复享受政策。</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（三）关于信用担保和信用融资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lang w:val="zh-CN"/>
        </w:rPr>
      </w:pPr>
      <w:r>
        <w:rPr>
          <w:rFonts w:hint="eastAsia" w:ascii="宋体" w:hAnsi="宋体" w:eastAsia="宋体" w:cs="宋体"/>
          <w:color w:val="auto"/>
          <w:sz w:val="28"/>
          <w:szCs w:val="28"/>
          <w:highlight w:val="none"/>
        </w:rPr>
        <w:t>为支持和促进中小企业发展，进一步发挥政府采购政策功能作用，有效缓解中小企业融资难等问题，根据财政部财库〔2011〕124号文件的精神，陕西省财政厅制订了《陕西省政府采购信用担保试点工作实施方案（试行）》、《陕西省中小企业政府采购信用融资办法》陕财办采〔2018〕23号文件，为参与陕西省政府采购项目的供应商提供政府采购信用担保，并按照程序确定了合作的担保机构。供应商在缴纳磋商保证金及供应商缴纳履约保证金时可自愿选择通过担保机构保函的形式缴纳；供应商如果需要融资贷款服务的，可凭成交通知书、政府采购合同等相关资料，按照文件规定的程序申请办理，具体规定可登陆陕西省政府采购网(www.ccgp-shaanxi.gov.cn/)重要通知专栏中查询了解。</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（四）其他需要落实的政府采购政策。</w:t>
      </w:r>
    </w:p>
    <w:p>
      <w:pPr>
        <w:pStyle w:val="190"/>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r>
        <w:rPr>
          <w:rFonts w:hint="eastAsia" w:ascii="宋体" w:hAnsi="宋体" w:eastAsia="宋体" w:cs="宋体"/>
          <w:color w:val="auto"/>
          <w:highlight w:val="none"/>
          <w:lang w:val="zh-CN"/>
        </w:rPr>
        <w:t>十九、</w:t>
      </w:r>
      <w:r>
        <w:rPr>
          <w:rFonts w:hint="eastAsia" w:ascii="宋体" w:hAnsi="宋体" w:eastAsia="宋体" w:cs="宋体"/>
          <w:color w:val="auto"/>
          <w:highlight w:val="none"/>
        </w:rPr>
        <w:t>处罚、</w:t>
      </w:r>
      <w:r>
        <w:rPr>
          <w:rFonts w:hint="eastAsia" w:ascii="宋体" w:hAnsi="宋体" w:eastAsia="宋体" w:cs="宋体"/>
          <w:color w:val="auto"/>
          <w:highlight w:val="none"/>
          <w:lang w:val="zh-CN"/>
        </w:rPr>
        <w:t>询问</w:t>
      </w:r>
      <w:r>
        <w:rPr>
          <w:rFonts w:hint="eastAsia" w:ascii="宋体" w:hAnsi="宋体" w:eastAsia="宋体" w:cs="宋体"/>
          <w:color w:val="auto"/>
          <w:highlight w:val="none"/>
        </w:rPr>
        <w:t>和质疑</w:t>
      </w:r>
      <w:bookmarkEnd w:id="34"/>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（一）投标人对采购事项有疑问的，应当按照《政府采购质疑和投诉办法》规定，以书面形式向采购人或代理机构提出，经法定代表人签字并加盖公章。</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（二）投标人认为采购文件、采购过程、中标或者成交结果使自己的权益受到损害的，可以在知道或者应知其权益受到损害之日起7个工作日内，以书面形式向采购人、采购代理机构提出质疑。</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投标人对招标文件条款或技术参数有异议的，应当在开标前通过澄清或修改程序提出。投标人已经参与开标，并于开标后对招标文件提出质疑的，其质疑应当被视为无效质疑。在法定质疑期内对采购文件只能是一次性提出针对同一采购程序环节的质疑。</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（四）提出质疑的投标人（以下简称质疑投标人）应当是参与所质疑项目采购活动的投标人。潜在投标人已依法获取其可质疑的采购文件的，可以对该文件提出质疑。</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（五）对采购文件提出质疑的，应当在获取采购文件或者采购文件公告期限届满之日起7个工作日内提出。</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（六）投标人提出质疑应当提交质疑函（质疑函范本见附件</w:t>
      </w:r>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t>）和必要的证明材料。质疑函应当包括下列内容：（一）投标人的姓名或者名称、地址、邮编、联系人及联系电话；（二）质疑项目的名称、编号；（三）具体、明确的质疑事项和与质疑事项相关的请求；（四）事实依据；（五）必要的法律依据；（六）提出质疑的日期。投标人为自然人的，应当由本人签字；投标人为法人或者其他组织的，应当由法定代表人、主要负责人，或者其授权代表签字或者盖章，并加盖公章。按照“谁主张、谁举证”的原则，质疑书应当附上相关证明材料，否则质疑将视为无有效证据支持，将被予以驳回。</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（七）有下列情形之一的，属于无效质疑，代理机构可不予受理：</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1、未在有效期限内提出质疑的；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2、质疑未以书面形式提出的；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3、所提交材料未明示属于质疑材料的；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4、质疑书没有法定代表人签署本人姓名或印盖本人姓名章并加盖投标人公章；质疑书由参加采购项目的授权代表签署本人姓名或印盖本人姓名章的，没有法定代表人的特别授权；质疑书加盖合同专用章的；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5、质疑书未提供有效联系人或联系方式的；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6、质疑事项已经进入投诉或者诉讼程序的；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7、其它不符合受理条件的情形。</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八）采购人或代理机构将在收到书面质疑后7个工作日内审查质疑事项，作出答复或相关处理决定，并以书面形式通知质疑投标人和其他有关投标人，但答复的内容不涉及商业秘密。若质疑涉及政府采购制度或程序，将被转交政府采购的管理部门审查。</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（九）投标人对评审过程、中标或者成交结果提出质疑的，采购人、采购代理机构可以组织原评标委员会协助答复质疑。</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（十）质疑人有下列情形之一的，代理机构应驳回质疑：</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1、质疑缺乏事实和法律依据的；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2、质疑人捏造事实、提供虚假材料，或在一定期限内多次质疑而无实据的；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3、质疑已经处理并答复后，质疑人就同一事项又提起质疑且未提供新的有效证据的；</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4、其他根据相关法律、法规应当予以驳回的情形。</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（十一）投标人进行虚假和恶意质疑的，代理机构可以提请有关部门将其列入不良记录名单，在一至三年内禁止参加政府采购活动，并将处理决定在相关政府采购媒体上公布。</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（十二）采购人、采购代理机构认为投标人质疑不成立，或者成立但未对中标、成交结果构成影响的，继续开展采购活动；认为投标人质疑成立且影响或者可能影响中标、成交结果的，按照下列情况处理：</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1、对采购文件提出的质疑，依法通过澄清或者修改可以继续开展采购活动的，澄清或者修改采购文件后继续开展采购活动；否则应当修改采购文件后重新开展采购活动。</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2、对采购过程、中标或者成交结果提出的质疑，合格投标人符合法定数量时，可以从合格的中标或者成交候选人中另行确定中标、</w:t>
      </w:r>
      <w:r>
        <w:rPr>
          <w:rFonts w:hint="eastAsia" w:ascii="宋体" w:hAnsi="宋体" w:eastAsia="宋体" w:cs="宋体"/>
          <w:color w:val="auto"/>
          <w:sz w:val="28"/>
          <w:szCs w:val="28"/>
          <w:highlight w:val="none"/>
          <w:lang w:eastAsia="zh-CN"/>
        </w:rPr>
        <w:t>中标人</w:t>
      </w:r>
      <w:r>
        <w:rPr>
          <w:rFonts w:hint="eastAsia" w:ascii="宋体" w:hAnsi="宋体" w:eastAsia="宋体" w:cs="宋体"/>
          <w:color w:val="auto"/>
          <w:sz w:val="28"/>
          <w:szCs w:val="28"/>
          <w:highlight w:val="none"/>
        </w:rPr>
        <w:t>的，应当依法另行确定中标、</w:t>
      </w:r>
      <w:r>
        <w:rPr>
          <w:rFonts w:hint="eastAsia" w:ascii="宋体" w:hAnsi="宋体" w:eastAsia="宋体" w:cs="宋体"/>
          <w:color w:val="auto"/>
          <w:sz w:val="28"/>
          <w:szCs w:val="28"/>
          <w:highlight w:val="none"/>
          <w:lang w:eastAsia="zh-CN"/>
        </w:rPr>
        <w:t>中标人</w:t>
      </w:r>
      <w:r>
        <w:rPr>
          <w:rFonts w:hint="eastAsia" w:ascii="宋体" w:hAnsi="宋体" w:eastAsia="宋体" w:cs="宋体"/>
          <w:color w:val="auto"/>
          <w:sz w:val="28"/>
          <w:szCs w:val="28"/>
          <w:highlight w:val="none"/>
        </w:rPr>
        <w:t>；否则应当重新开展采购活动。</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质疑答复导致中标、成交结果改变的，采购人或者采购代理机构应当将有关情况书面报告本级财政部门。</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（十三）质疑投标人对采购人、采购代理机构的答复不满意，或者采购人、采购代理机构未在规定时间内作出答复的，可以在答复期满后15个工作日内向本办法第六条规定的财政部门提起投诉（投诉书范本见附件</w:t>
      </w:r>
      <w:r>
        <w:rPr>
          <w:rFonts w:hint="eastAsia" w:ascii="宋体" w:hAnsi="宋体" w:cs="宋体"/>
          <w:color w:val="auto"/>
          <w:sz w:val="28"/>
          <w:szCs w:val="28"/>
          <w:highlight w:val="none"/>
          <w:lang w:val="en-US" w:eastAsia="zh-CN"/>
        </w:rPr>
        <w:t>3</w:t>
      </w:r>
      <w:r>
        <w:rPr>
          <w:rFonts w:hint="eastAsia" w:ascii="宋体" w:hAnsi="宋体" w:eastAsia="宋体" w:cs="宋体"/>
          <w:color w:val="auto"/>
          <w:sz w:val="28"/>
          <w:szCs w:val="28"/>
          <w:highlight w:val="none"/>
        </w:rPr>
        <w:t>）。</w:t>
      </w:r>
    </w:p>
    <w:p>
      <w:pPr>
        <w:pStyle w:val="190"/>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lang w:val="zh-CN"/>
        </w:rPr>
      </w:pPr>
      <w:bookmarkStart w:id="35" w:name="_Toc5835"/>
      <w:r>
        <w:rPr>
          <w:rFonts w:hint="eastAsia" w:ascii="宋体" w:hAnsi="宋体" w:eastAsia="宋体" w:cs="宋体"/>
          <w:color w:val="auto"/>
          <w:highlight w:val="none"/>
          <w:lang w:val="zh-CN"/>
        </w:rPr>
        <w:t>二十、保函或保单补充说明</w:t>
      </w:r>
      <w:bookmarkEnd w:id="35"/>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招标文件中所有地方提到的投标保证金或履约保证，除陕西省财政厅认定的担保机构外，还可按渭建函【2020】127号文件“关于在全市加快推进和落实工程担保制度有关问题的通知”执行，见附件（发至各投标人代表邮箱）。</w:t>
      </w:r>
    </w:p>
    <w:p>
      <w:pPr>
        <w:pageBreakBefore w:val="0"/>
        <w:widowControl w:val="0"/>
        <w:kinsoku/>
        <w:wordWrap/>
        <w:overflowPunct/>
        <w:topLinePunct w:val="0"/>
        <w:autoSpaceDE/>
        <w:autoSpaceDN/>
        <w:bidi w:val="0"/>
        <w:adjustRightIn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未在渭建函【2020】127号文件规定机构出具银行保函，银行保函必须为投标人基本账户开户银行出具，若投标人基本账户开户银行不具备出具资格的，应当由投标人基本账户开户银行的上级银行出具，应当为无条件不可撤销保函。</w:t>
      </w: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pStyle w:val="22"/>
        <w:pageBreakBefore w:val="0"/>
        <w:widowControl w:val="0"/>
        <w:kinsoku/>
        <w:wordWrap/>
        <w:overflowPunct/>
        <w:topLinePunct w:val="0"/>
        <w:autoSpaceDE/>
        <w:autoSpaceDN/>
        <w:bidi w:val="0"/>
        <w:adjustRightInd/>
        <w:spacing w:line="500" w:lineRule="exact"/>
        <w:textAlignment w:val="auto"/>
        <w:rPr>
          <w:rFonts w:hint="eastAsia" w:ascii="宋体" w:hAnsi="宋体" w:eastAsia="宋体" w:cs="宋体"/>
          <w:color w:val="auto"/>
          <w:highlight w:val="none"/>
        </w:rPr>
      </w:pPr>
    </w:p>
    <w:p>
      <w:pPr>
        <w:spacing w:line="360" w:lineRule="auto"/>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1</w:t>
      </w:r>
    </w:p>
    <w:p>
      <w:pPr>
        <w:spacing w:line="360" w:lineRule="auto"/>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政府采购投标担保函 （项目用）        编号：</w:t>
      </w:r>
    </w:p>
    <w:p>
      <w:pPr>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（采购人或采购代理机构）：</w:t>
      </w:r>
    </w:p>
    <w:p>
      <w:pPr>
        <w:snapToGrid w:val="0"/>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鉴于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（以下简称“投标人”）拟参加编号</w:t>
      </w:r>
      <w:r>
        <w:rPr>
          <w:rFonts w:hint="eastAsia" w:ascii="宋体" w:hAnsi="宋体" w:eastAsia="宋体" w:cs="宋体"/>
          <w:color w:val="auto"/>
          <w:sz w:val="24"/>
          <w:szCs w:val="24"/>
          <w:highlight w:val="none"/>
          <w:u w:val="single"/>
        </w:rPr>
        <w:t xml:space="preserve">               </w:t>
      </w:r>
    </w:p>
    <w:p>
      <w:pPr>
        <w:snapToGrid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项目（以下简称“本项目”）投标，根据本项目招标文件，投标人参加投标时应向你方交纳投标保证金，且可以投标担保函的形式交纳投标保证金。应投标人的申请，我方以保证的方式向你方提供如下投标保证金担保： </w:t>
      </w:r>
    </w:p>
    <w:p>
      <w:pPr>
        <w:snapToGrid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一、保证责任的情形及保证金额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（一）在投标人出现下列情形之一时，我方承担保证责任：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1．中标后投标人无正当理由不与采购人或者采购代理机构签订《政府采购合同》；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2．招标文件规定的投标人应当缴纳保证金的其他情形。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（二）我方承担保证责任的最高金额为人民币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），即本项目的投标保证金金额。</w:t>
      </w:r>
    </w:p>
    <w:p>
      <w:pPr>
        <w:snapToGrid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二、保证的方式及保证期间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我方保证的方式为：连带责任保证。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我方的保证期间为：自本保函生效之日起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个月止。 </w:t>
      </w:r>
    </w:p>
    <w:p>
      <w:pPr>
        <w:snapToGrid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三、承担保证责任的程序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1．你方要求我方承担保证责任的，应在本保函保证期间内向我方发出书面索赔通知。索赔通知应写明要求索赔的金额，支付款项应到达的账号，并附有证明投标人发生我方应承担保证责任情形的事实材料。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2．我方在收到索赔通知及相关证明材料后，在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个工作日内进行审查，符合应承担保证责任情形的，我方应按照你方的要求代投标人向你方支付投标保证金。 </w:t>
      </w:r>
    </w:p>
    <w:p>
      <w:pPr>
        <w:snapToGrid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四、保证责任的终止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1．保证期间届满你方未向我方书面主张保证责任的，自保证期间届满次日起，我方保证责任自动终止。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2．我方按照本保函向你方履行了保证责任后，自我方向你方支付款项（支付款项从我方账户划出）之日起，保证责任终止。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3．按照法律法规的规定或出现我方保证责任终止的其它情形的，我方在本保函项下的保证责任亦终止。 </w:t>
      </w:r>
    </w:p>
    <w:p>
      <w:pPr>
        <w:snapToGrid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五、免责条款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1．依照法律规定或你方与投标人的另行约定，全部或者部分免除投标人投标保证金义务时，我方亦免除相应的保证责任。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2．因你方原因致使投标人发生本保函第一条第（一）款约定情形的，我方不承担保证责任。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3．因不可抗力造成投标人发生本保函第一条约定情形的，我方不承担保证责任。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4．你方或其他有权机关对招标文件进行任何澄清或修改，加重我方保证责任的，我方对加重部分不承担保证责任，但该澄清或修改经我方事先书面同意的除外。 </w:t>
      </w:r>
    </w:p>
    <w:p>
      <w:pPr>
        <w:snapToGrid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六、争议的解决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因本保函发生的纠纷，由你我双方协商解决，协商不成的，通过诉讼程序解决，诉讼管辖地法院为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法院。 </w:t>
      </w:r>
    </w:p>
    <w:p>
      <w:pPr>
        <w:snapToGrid w:val="0"/>
        <w:spacing w:line="360" w:lineRule="auto"/>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七、保函的生效 </w:t>
      </w:r>
    </w:p>
    <w:p>
      <w:pPr>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本保函自我方加盖公章之日起生效。 </w:t>
      </w:r>
    </w:p>
    <w:p>
      <w:pPr>
        <w:snapToGrid w:val="0"/>
        <w:spacing w:line="360" w:lineRule="auto"/>
        <w:ind w:firstLine="480" w:firstLineChars="200"/>
        <w:rPr>
          <w:rFonts w:hint="eastAsia" w:ascii="宋体" w:hAnsi="宋体" w:eastAsia="宋体" w:cs="宋体"/>
          <w:color w:val="auto"/>
          <w:sz w:val="24"/>
          <w:szCs w:val="24"/>
          <w:highlight w:val="none"/>
        </w:rPr>
      </w:pPr>
    </w:p>
    <w:p>
      <w:pPr>
        <w:snapToGrid w:val="0"/>
        <w:spacing w:line="360" w:lineRule="auto"/>
        <w:ind w:firstLine="5520" w:firstLineChars="2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保证人：（公章） </w:t>
      </w:r>
    </w:p>
    <w:p>
      <w:pPr>
        <w:snapToGrid w:val="0"/>
        <w:spacing w:line="360" w:lineRule="auto"/>
        <w:ind w:firstLine="480" w:firstLineChars="200"/>
        <w:rPr>
          <w:rFonts w:hint="eastAsia" w:ascii="宋体" w:hAnsi="宋体" w:eastAsia="宋体" w:cs="宋体"/>
          <w:color w:val="auto"/>
          <w:sz w:val="24"/>
          <w:szCs w:val="24"/>
          <w:highlight w:val="none"/>
        </w:rPr>
      </w:pPr>
    </w:p>
    <w:p>
      <w:pPr>
        <w:snapToGrid w:val="0"/>
        <w:spacing w:line="360" w:lineRule="auto"/>
        <w:ind w:firstLine="5520" w:firstLineChars="2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年     月        日 </w:t>
      </w: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pStyle w:val="22"/>
        <w:rPr>
          <w:rFonts w:hint="eastAsia" w:ascii="宋体" w:hAnsi="宋体" w:eastAsia="宋体" w:cs="宋体"/>
          <w:color w:val="auto"/>
          <w:sz w:val="24"/>
          <w:szCs w:val="24"/>
          <w:highlight w:val="none"/>
        </w:rPr>
      </w:pPr>
    </w:p>
    <w:p>
      <w:pPr>
        <w:spacing w:line="360" w:lineRule="auto"/>
        <w:rPr>
          <w:rFonts w:hint="eastAsia" w:ascii="宋体" w:hAnsi="宋体" w:eastAsia="宋体" w:cs="宋体"/>
          <w:b/>
          <w:bCs/>
          <w:color w:val="auto"/>
          <w:sz w:val="28"/>
          <w:szCs w:val="28"/>
          <w:highlight w:val="none"/>
        </w:rPr>
      </w:pPr>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2</w:t>
      </w:r>
      <w:r>
        <w:rPr>
          <w:rFonts w:hint="eastAsia" w:ascii="宋体" w:hAnsi="宋体" w:eastAsia="宋体" w:cs="宋体"/>
          <w:b/>
          <w:color w:val="auto"/>
          <w:sz w:val="24"/>
          <w:highlight w:val="none"/>
        </w:rPr>
        <w:t xml:space="preserve">                           </w:t>
      </w:r>
      <w:r>
        <w:rPr>
          <w:rFonts w:hint="eastAsia" w:ascii="宋体" w:hAnsi="宋体" w:eastAsia="宋体" w:cs="宋体"/>
          <w:b/>
          <w:bCs/>
          <w:color w:val="auto"/>
          <w:sz w:val="28"/>
          <w:szCs w:val="28"/>
          <w:highlight w:val="none"/>
        </w:rPr>
        <w:t>质疑函范本</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一、质疑投标人基本信息</w:t>
      </w:r>
    </w:p>
    <w:p>
      <w:pPr>
        <w:adjustRightInd w:val="0"/>
        <w:snapToGrid w:val="0"/>
        <w:spacing w:line="400" w:lineRule="exact"/>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质疑投标人：</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授权代表：</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二、质疑项目基本情况</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质疑项目的名称：</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质疑项目的编号：</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包号：</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采购人名称：</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采购文件获取日期：</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三、质疑事项具体内容</w:t>
      </w:r>
    </w:p>
    <w:p>
      <w:pPr>
        <w:adjustRightInd w:val="0"/>
        <w:snapToGrid w:val="0"/>
        <w:spacing w:line="400" w:lineRule="exact"/>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质疑事项1：</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事实依据：</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法律依据：</w:t>
      </w:r>
      <w:r>
        <w:rPr>
          <w:rFonts w:hint="eastAsia" w:ascii="宋体" w:hAnsi="宋体" w:eastAsia="宋体" w:cs="宋体"/>
          <w:color w:val="auto"/>
          <w:sz w:val="24"/>
          <w:highlight w:val="none"/>
          <w:u w:val="single"/>
        </w:rPr>
        <w:t xml:space="preserve">                                           </w:t>
      </w:r>
    </w:p>
    <w:p>
      <w:pPr>
        <w:adjustRightInd w:val="0"/>
        <w:snapToGrid w:val="0"/>
        <w:spacing w:line="400" w:lineRule="exact"/>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质疑事项2</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w:t>
      </w:r>
    </w:p>
    <w:p>
      <w:pPr>
        <w:adjustRightInd w:val="0"/>
        <w:snapToGrid w:val="0"/>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四、与质疑事项相关的质疑请求</w:t>
      </w:r>
    </w:p>
    <w:p>
      <w:pPr>
        <w:adjustRightInd w:val="0"/>
        <w:snapToGrid w:val="0"/>
        <w:spacing w:line="400" w:lineRule="exact"/>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请求：</w:t>
      </w:r>
      <w:r>
        <w:rPr>
          <w:rFonts w:hint="eastAsia" w:ascii="宋体" w:hAnsi="宋体" w:eastAsia="宋体" w:cs="宋体"/>
          <w:color w:val="auto"/>
          <w:sz w:val="24"/>
          <w:highlight w:val="none"/>
          <w:u w:val="single"/>
        </w:rPr>
        <w:t xml:space="preserve">                                               </w:t>
      </w:r>
    </w:p>
    <w:p>
      <w:pPr>
        <w:spacing w:line="400" w:lineRule="exact"/>
        <w:rPr>
          <w:rFonts w:hint="eastAsia" w:ascii="宋体" w:hAnsi="宋体" w:eastAsia="宋体" w:cs="宋体"/>
          <w:color w:val="auto"/>
          <w:sz w:val="24"/>
          <w:highlight w:val="none"/>
        </w:rPr>
      </w:pPr>
    </w:p>
    <w:p>
      <w:pPr>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签字(签章)：                   公章：                      </w:t>
      </w:r>
    </w:p>
    <w:p>
      <w:pPr>
        <w:spacing w:line="40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日期：    </w:t>
      </w:r>
    </w:p>
    <w:p>
      <w:pPr>
        <w:spacing w:line="400" w:lineRule="exact"/>
        <w:rPr>
          <w:rFonts w:hint="eastAsia" w:ascii="宋体" w:hAnsi="宋体" w:eastAsia="宋体" w:cs="宋体"/>
          <w:b/>
          <w:color w:val="auto"/>
          <w:sz w:val="24"/>
          <w:highlight w:val="none"/>
        </w:rPr>
      </w:pPr>
    </w:p>
    <w:p>
      <w:pPr>
        <w:spacing w:line="40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质疑函制作说明：</w:t>
      </w:r>
    </w:p>
    <w:p>
      <w:pPr>
        <w:widowControl/>
        <w:spacing w:line="360" w:lineRule="exact"/>
        <w:ind w:firstLine="420" w:firstLineChars="200"/>
        <w:jc w:val="left"/>
        <w:rPr>
          <w:rFonts w:hint="eastAsia" w:ascii="宋体" w:hAnsi="宋体" w:eastAsia="宋体" w:cs="宋体"/>
          <w:color w:val="auto"/>
          <w:highlight w:val="none"/>
        </w:rPr>
      </w:pPr>
      <w:r>
        <w:rPr>
          <w:rFonts w:hint="eastAsia" w:ascii="宋体" w:hAnsi="宋体" w:eastAsia="宋体" w:cs="宋体"/>
          <w:color w:val="auto"/>
          <w:highlight w:val="none"/>
        </w:rPr>
        <w:t>1.投标人提出质疑时，应提交质疑函和必要的证明材料。</w:t>
      </w:r>
    </w:p>
    <w:p>
      <w:pPr>
        <w:widowControl/>
        <w:spacing w:line="360" w:lineRule="exact"/>
        <w:ind w:firstLine="420" w:firstLineChars="20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2.质疑投标人若委托代理人进行质疑的，质疑函应按要求列明“授权代表”的有关内容，并在附件中提交由质疑投标人签署的授权委托书。授权委托书应载明代理人的姓名或者名称、代理事项、具体权限、期限和相关事项。</w:t>
      </w:r>
    </w:p>
    <w:p>
      <w:pPr>
        <w:widowControl/>
        <w:spacing w:line="360" w:lineRule="exact"/>
        <w:ind w:firstLine="420" w:firstLineChars="20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3.质疑投标人若对项目的某一分包进行质疑，质疑函中应列明具体分包号。</w:t>
      </w:r>
    </w:p>
    <w:p>
      <w:pPr>
        <w:widowControl/>
        <w:spacing w:line="360" w:lineRule="exact"/>
        <w:ind w:firstLine="420" w:firstLineChars="20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4.质疑函的质疑事项应具体、明确，并有必要的事实依据和法律依据。</w:t>
      </w:r>
    </w:p>
    <w:p>
      <w:pPr>
        <w:widowControl/>
        <w:spacing w:line="360" w:lineRule="exact"/>
        <w:ind w:firstLine="420" w:firstLineChars="20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5.质疑函的质疑请求应与质疑事项相关。</w:t>
      </w:r>
    </w:p>
    <w:p>
      <w:pPr>
        <w:widowControl/>
        <w:spacing w:line="360" w:lineRule="exact"/>
        <w:ind w:firstLine="420" w:firstLineChars="200"/>
        <w:jc w:val="left"/>
        <w:rPr>
          <w:rFonts w:hint="eastAsia" w:ascii="宋体" w:hAnsi="宋体" w:eastAsia="宋体" w:cs="宋体"/>
          <w:color w:val="auto"/>
          <w:kern w:val="0"/>
          <w:highlight w:val="none"/>
        </w:rPr>
      </w:pPr>
      <w:r>
        <w:rPr>
          <w:rFonts w:hint="eastAsia" w:ascii="宋体" w:hAnsi="宋体" w:eastAsia="宋体" w:cs="宋体"/>
          <w:color w:val="auto"/>
          <w:kern w:val="0"/>
          <w:highlight w:val="none"/>
        </w:rPr>
        <w:t>6.质疑投标人为自然人的，质疑函应由本人签字；质疑投标人为法人或者其他组织的，质疑函应由法定代表人、主要负责人，或者其授权代表签字或者盖章，并加盖公章。</w:t>
      </w:r>
    </w:p>
    <w:p>
      <w:pPr>
        <w:spacing w:line="360" w:lineRule="auto"/>
        <w:rPr>
          <w:rFonts w:hint="eastAsia" w:ascii="宋体" w:hAnsi="宋体" w:eastAsia="宋体" w:cs="宋体"/>
          <w:b/>
          <w:color w:val="auto"/>
          <w:sz w:val="28"/>
          <w:szCs w:val="28"/>
          <w:highlight w:val="none"/>
        </w:rPr>
      </w:pPr>
      <w:r>
        <w:rPr>
          <w:rFonts w:hint="eastAsia" w:ascii="宋体" w:hAnsi="宋体" w:eastAsia="宋体" w:cs="宋体"/>
          <w:b/>
          <w:color w:val="auto"/>
          <w:sz w:val="24"/>
          <w:highlight w:val="none"/>
        </w:rPr>
        <w:t>附件</w:t>
      </w:r>
      <w:r>
        <w:rPr>
          <w:rFonts w:hint="eastAsia" w:ascii="宋体" w:hAnsi="宋体" w:cs="宋体"/>
          <w:b/>
          <w:color w:val="auto"/>
          <w:sz w:val="24"/>
          <w:highlight w:val="none"/>
          <w:lang w:val="en-US" w:eastAsia="zh-CN"/>
        </w:rPr>
        <w:t>3</w:t>
      </w:r>
      <w:r>
        <w:rPr>
          <w:rFonts w:hint="eastAsia" w:ascii="宋体" w:hAnsi="宋体" w:eastAsia="宋体" w:cs="宋体"/>
          <w:b/>
          <w:color w:val="auto"/>
          <w:sz w:val="24"/>
          <w:highlight w:val="none"/>
        </w:rPr>
        <w:t xml:space="preserve">                         </w:t>
      </w:r>
      <w:r>
        <w:rPr>
          <w:rFonts w:hint="eastAsia" w:ascii="宋体" w:hAnsi="宋体" w:eastAsia="宋体" w:cs="宋体"/>
          <w:b/>
          <w:color w:val="auto"/>
          <w:sz w:val="28"/>
          <w:szCs w:val="28"/>
          <w:highlight w:val="none"/>
        </w:rPr>
        <w:t>投诉书范本</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一、投诉相关主体基本情况</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投诉人：</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single"/>
        </w:rPr>
        <w:t xml:space="preserve">            </w:t>
      </w:r>
    </w:p>
    <w:p>
      <w:pPr>
        <w:tabs>
          <w:tab w:val="left" w:pos="6510"/>
        </w:tabs>
        <w:spacing w:line="360" w:lineRule="auto"/>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法定代表人/主要负责人：</w:t>
      </w:r>
      <w:r>
        <w:rPr>
          <w:rFonts w:hint="eastAsia" w:ascii="宋体" w:hAnsi="宋体" w:eastAsia="宋体" w:cs="宋体"/>
          <w:color w:val="auto"/>
          <w:sz w:val="24"/>
          <w:highlight w:val="none"/>
          <w:u w:val="single"/>
        </w:rPr>
        <w:t xml:space="preserve">                                </w:t>
      </w:r>
    </w:p>
    <w:p>
      <w:pPr>
        <w:tabs>
          <w:tab w:val="left" w:pos="6510"/>
        </w:tabs>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授权代表：</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被投诉人1：</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被投诉人2</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相关投标人：</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地     址：</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邮编：</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联系人：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二、投诉项目基本情况</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采购项目名称：</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采购项目编号：</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包号：</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采购人名称：</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代理机构名称：</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采购文件公告:</w:t>
      </w:r>
      <w:r>
        <w:rPr>
          <w:rFonts w:hint="eastAsia" w:ascii="宋体" w:hAnsi="宋体" w:eastAsia="宋体" w:cs="宋体"/>
          <w:color w:val="auto"/>
          <w:sz w:val="24"/>
          <w:highlight w:val="none"/>
          <w:u w:val="single"/>
        </w:rPr>
        <w:t xml:space="preserve">是/否 </w:t>
      </w:r>
      <w:r>
        <w:rPr>
          <w:rFonts w:hint="eastAsia" w:ascii="宋体" w:hAnsi="宋体" w:eastAsia="宋体" w:cs="宋体"/>
          <w:color w:val="auto"/>
          <w:sz w:val="24"/>
          <w:highlight w:val="none"/>
        </w:rPr>
        <w:t xml:space="preserve">    公告期限：</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采购结果公告:</w:t>
      </w:r>
      <w:r>
        <w:rPr>
          <w:rFonts w:hint="eastAsia" w:ascii="宋体" w:hAnsi="宋体" w:eastAsia="宋体" w:cs="宋体"/>
          <w:color w:val="auto"/>
          <w:sz w:val="24"/>
          <w:highlight w:val="none"/>
          <w:u w:val="single"/>
        </w:rPr>
        <w:t xml:space="preserve">是/否 </w:t>
      </w:r>
      <w:r>
        <w:rPr>
          <w:rFonts w:hint="eastAsia" w:ascii="宋体" w:hAnsi="宋体" w:eastAsia="宋体" w:cs="宋体"/>
          <w:color w:val="auto"/>
          <w:sz w:val="24"/>
          <w:highlight w:val="none"/>
        </w:rPr>
        <w:t xml:space="preserve">    公告期限：</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三、质疑基本情况</w:t>
      </w:r>
    </w:p>
    <w:p>
      <w:pPr>
        <w:spacing w:line="360" w:lineRule="auto"/>
        <w:ind w:firstLine="480" w:firstLineChars="200"/>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投诉人于</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日,向</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提出质疑，质疑事项为：</w:t>
      </w:r>
      <w:r>
        <w:rPr>
          <w:rFonts w:hint="eastAsia" w:ascii="宋体" w:hAnsi="宋体" w:eastAsia="宋体" w:cs="宋体"/>
          <w:color w:val="auto"/>
          <w:sz w:val="24"/>
          <w:highlight w:val="none"/>
          <w:u w:val="single"/>
        </w:rPr>
        <w:t xml:space="preserve">                                </w:t>
      </w:r>
    </w:p>
    <w:p>
      <w:pPr>
        <w:spacing w:line="360" w:lineRule="auto"/>
        <w:ind w:firstLine="360" w:firstLineChars="150"/>
        <w:rPr>
          <w:rFonts w:hint="eastAsia" w:ascii="宋体" w:hAnsi="宋体" w:eastAsia="宋体" w:cs="宋体"/>
          <w:color w:val="auto"/>
          <w:sz w:val="24"/>
          <w:highlight w:val="none"/>
        </w:rPr>
      </w:pPr>
      <w:r>
        <w:rPr>
          <w:rFonts w:hint="eastAsia" w:ascii="宋体" w:hAnsi="宋体" w:eastAsia="宋体" w:cs="宋体"/>
          <w:color w:val="auto"/>
          <w:sz w:val="24"/>
          <w:highlight w:val="none"/>
          <w:u w:val="single"/>
        </w:rPr>
        <w:t>采购人/代理机构</w:t>
      </w:r>
      <w:r>
        <w:rPr>
          <w:rFonts w:hint="eastAsia" w:ascii="宋体" w:hAnsi="宋体" w:eastAsia="宋体" w:cs="宋体"/>
          <w:color w:val="auto"/>
          <w:sz w:val="24"/>
          <w:highlight w:val="none"/>
        </w:rPr>
        <w:t>于</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年</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日,就质疑事项作出了答复/没有在法定期限内作出答复。</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四、投诉事项具体内容</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投诉事项 1：</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事实依据：</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u w:val="single"/>
        </w:rPr>
      </w:pPr>
      <w:r>
        <w:rPr>
          <w:rFonts w:hint="eastAsia" w:ascii="宋体" w:hAnsi="宋体" w:eastAsia="宋体" w:cs="宋体"/>
          <w:color w:val="auto"/>
          <w:sz w:val="24"/>
          <w:highlight w:val="none"/>
        </w:rPr>
        <w:t>法律依据：</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投诉事项2</w:t>
      </w:r>
    </w:p>
    <w:p>
      <w:pPr>
        <w:spacing w:line="360" w:lineRule="auto"/>
        <w:rPr>
          <w:rFonts w:hint="eastAsia" w:ascii="宋体" w:hAnsi="宋体" w:eastAsia="宋体" w:cs="宋体"/>
          <w:color w:val="auto"/>
          <w:sz w:val="24"/>
          <w:highlight w:val="none"/>
          <w:u w:val="dotted"/>
        </w:rPr>
      </w:pPr>
      <w:r>
        <w:rPr>
          <w:rFonts w:hint="eastAsia" w:ascii="宋体" w:hAnsi="宋体" w:eastAsia="宋体" w:cs="宋体"/>
          <w:color w:val="auto"/>
          <w:sz w:val="24"/>
          <w:highlight w:val="none"/>
        </w:rPr>
        <w:t>……</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五、与投诉事项相关的投诉请求</w:t>
      </w: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请求：</w:t>
      </w:r>
      <w:r>
        <w:rPr>
          <w:rFonts w:hint="eastAsia" w:ascii="宋体" w:hAnsi="宋体" w:eastAsia="宋体" w:cs="宋体"/>
          <w:color w:val="auto"/>
          <w:sz w:val="24"/>
          <w:highlight w:val="none"/>
          <w:u w:val="single"/>
        </w:rPr>
        <w:t xml:space="preserve">                                             </w:t>
      </w:r>
    </w:p>
    <w:p>
      <w:pPr>
        <w:spacing w:line="360" w:lineRule="auto"/>
        <w:rPr>
          <w:rFonts w:hint="eastAsia" w:ascii="宋体" w:hAnsi="宋体" w:eastAsia="宋体" w:cs="宋体"/>
          <w:color w:val="auto"/>
          <w:sz w:val="24"/>
          <w:highlight w:val="none"/>
        </w:rPr>
      </w:pPr>
    </w:p>
    <w:p>
      <w:pPr>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签字(签章)：                   公章：                      </w:t>
      </w:r>
    </w:p>
    <w:p>
      <w:pPr>
        <w:spacing w:line="360" w:lineRule="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 xml:space="preserve">日期：    </w:t>
      </w:r>
    </w:p>
    <w:p>
      <w:pPr>
        <w:spacing w:line="360" w:lineRule="auto"/>
        <w:rPr>
          <w:rFonts w:hint="eastAsia" w:ascii="宋体" w:hAnsi="宋体" w:eastAsia="宋体" w:cs="宋体"/>
          <w:b/>
          <w:color w:val="auto"/>
          <w:sz w:val="24"/>
          <w:highlight w:val="none"/>
        </w:rPr>
      </w:pPr>
    </w:p>
    <w:p>
      <w:pPr>
        <w:spacing w:line="360" w:lineRule="auto"/>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投诉书制作说明：</w:t>
      </w:r>
    </w:p>
    <w:p>
      <w:pPr>
        <w:widowControl/>
        <w:spacing w:line="360" w:lineRule="auto"/>
        <w:ind w:firstLine="480" w:firstLineChars="200"/>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1.投诉人提起投诉时，应当提交投诉书和必要的证明材料，并按照被投诉人和与投诉事项有关的投标人数量提供投诉书副本。</w:t>
      </w:r>
    </w:p>
    <w:p>
      <w:pPr>
        <w:widowControl/>
        <w:spacing w:line="360" w:lineRule="auto"/>
        <w:ind w:firstLine="480" w:firstLineChars="200"/>
        <w:jc w:val="left"/>
        <w:rPr>
          <w:rFonts w:hint="eastAsia" w:ascii="宋体" w:hAnsi="宋体" w:eastAsia="宋体" w:cs="宋体"/>
          <w:color w:val="auto"/>
          <w:kern w:val="0"/>
          <w:sz w:val="24"/>
          <w:highlight w:val="none"/>
        </w:rPr>
      </w:pPr>
      <w:r>
        <w:rPr>
          <w:rFonts w:hint="eastAsia" w:ascii="宋体" w:hAnsi="宋体" w:eastAsia="宋体" w:cs="宋体"/>
          <w:color w:val="auto"/>
          <w:sz w:val="24"/>
          <w:highlight w:val="none"/>
        </w:rPr>
        <w:t>2.投诉人若委托代理人进行投诉的，投诉书应按照要求列明“授权代表”的有关内容，并在附件中提交由</w:t>
      </w:r>
      <w:r>
        <w:rPr>
          <w:rFonts w:hint="eastAsia" w:ascii="宋体" w:hAnsi="宋体" w:eastAsia="宋体" w:cs="宋体"/>
          <w:color w:val="auto"/>
          <w:kern w:val="0"/>
          <w:sz w:val="24"/>
          <w:highlight w:val="none"/>
        </w:rPr>
        <w:t>投诉人签署的授权委托书。授权委托书应当载明代理人的姓名或者名称、代理事项、具体权限、期限和相关事项。</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3.投诉人若对项目的某一分包进行投诉，投诉书应列明具体分包号。</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4.投诉书应简要列明质疑事项，质疑函、质疑答复等作为附件材料提供。</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5.投诉书的投诉事项应具体、明确，并有必要的事实依据和法律依据。</w:t>
      </w:r>
    </w:p>
    <w:p>
      <w:pPr>
        <w:widowControl/>
        <w:spacing w:line="360" w:lineRule="auto"/>
        <w:ind w:firstLine="480" w:firstLineChars="20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6.投诉书的投诉请求应与投诉事项相关。</w:t>
      </w:r>
    </w:p>
    <w:p>
      <w:pPr>
        <w:widowControl/>
        <w:spacing w:line="360" w:lineRule="auto"/>
        <w:ind w:firstLine="480" w:firstLineChars="200"/>
        <w:jc w:val="left"/>
        <w:rPr>
          <w:rFonts w:hint="eastAsia" w:ascii="宋体" w:hAnsi="宋体" w:eastAsia="宋体" w:cs="宋体"/>
          <w:b/>
          <w:color w:val="auto"/>
          <w:sz w:val="24"/>
          <w:highlight w:val="none"/>
        </w:rPr>
      </w:pPr>
      <w:r>
        <w:rPr>
          <w:rFonts w:hint="eastAsia" w:ascii="宋体" w:hAnsi="宋体" w:eastAsia="宋体" w:cs="宋体"/>
          <w:color w:val="auto"/>
          <w:sz w:val="24"/>
          <w:highlight w:val="none"/>
        </w:rPr>
        <w:t>7.投诉人为自然人的，投诉书应当由本人签字；投诉人为法人或者其他组织的，投诉书应当由法定代表人、主要负责人，或者其授权代表签字或者盖章，并加盖公章。</w:t>
      </w:r>
    </w:p>
    <w:p>
      <w:pPr>
        <w:pStyle w:val="16"/>
        <w:ind w:firstLine="0" w:firstLineChars="0"/>
        <w:rPr>
          <w:rFonts w:hint="eastAsia" w:ascii="宋体" w:hAnsi="宋体" w:eastAsia="宋体" w:cs="宋体"/>
          <w:color w:val="auto"/>
          <w:sz w:val="24"/>
          <w:highlight w:val="none"/>
        </w:rPr>
      </w:pPr>
    </w:p>
    <w:p>
      <w:pPr>
        <w:pStyle w:val="16"/>
        <w:ind w:firstLine="0" w:firstLineChars="0"/>
        <w:rPr>
          <w:rFonts w:hint="eastAsia" w:ascii="宋体" w:hAnsi="宋体" w:eastAsia="宋体" w:cs="宋体"/>
          <w:color w:val="auto"/>
          <w:sz w:val="24"/>
          <w:highlight w:val="none"/>
        </w:rPr>
      </w:pPr>
    </w:p>
    <w:p>
      <w:pPr>
        <w:pStyle w:val="3"/>
        <w:keepLines/>
        <w:spacing w:before="340" w:after="330" w:line="580" w:lineRule="exact"/>
        <w:ind w:left="210" w:leftChars="100"/>
        <w:rPr>
          <w:rFonts w:hint="eastAsia" w:ascii="宋体" w:hAnsi="宋体" w:eastAsia="宋体" w:cs="宋体"/>
          <w:b/>
          <w:color w:val="auto"/>
          <w:sz w:val="44"/>
          <w:szCs w:val="44"/>
          <w:highlight w:val="none"/>
          <w:lang w:eastAsia="zh-CN"/>
        </w:rPr>
      </w:pPr>
      <w:bookmarkStart w:id="36" w:name="_Toc22744"/>
      <w:r>
        <w:rPr>
          <w:rFonts w:hint="eastAsia" w:ascii="宋体" w:hAnsi="宋体" w:eastAsia="宋体" w:cs="宋体"/>
          <w:b/>
          <w:color w:val="auto"/>
          <w:sz w:val="44"/>
          <w:szCs w:val="44"/>
          <w:highlight w:val="none"/>
        </w:rPr>
        <w:t xml:space="preserve">第三章  </w:t>
      </w:r>
      <w:bookmarkEnd w:id="36"/>
      <w:r>
        <w:rPr>
          <w:rFonts w:hint="eastAsia" w:ascii="宋体" w:hAnsi="宋体" w:eastAsia="宋体" w:cs="宋体"/>
          <w:b/>
          <w:color w:val="auto"/>
          <w:sz w:val="44"/>
          <w:szCs w:val="44"/>
          <w:highlight w:val="none"/>
          <w:lang w:eastAsia="zh-CN"/>
        </w:rPr>
        <w:t>采购内容及要求</w:t>
      </w:r>
    </w:p>
    <w:p>
      <w:pPr>
        <w:widowControl/>
        <w:spacing w:line="360" w:lineRule="auto"/>
        <w:ind w:firstLine="482" w:firstLineChars="200"/>
        <w:jc w:val="left"/>
        <w:rPr>
          <w:rFonts w:hint="eastAsia" w:ascii="宋体" w:hAnsi="宋体" w:eastAsia="宋体" w:cs="宋体"/>
          <w:b/>
          <w:bCs/>
          <w:color w:val="auto"/>
          <w:kern w:val="0"/>
          <w:sz w:val="24"/>
          <w:szCs w:val="22"/>
          <w:highlight w:val="none"/>
          <w:lang w:val="en-US" w:eastAsia="zh-CN"/>
        </w:rPr>
      </w:pPr>
      <w:bookmarkStart w:id="37" w:name="_Toc8806"/>
      <w:bookmarkStart w:id="38" w:name="_Toc418933129"/>
      <w:r>
        <w:rPr>
          <w:rFonts w:hint="eastAsia" w:ascii="宋体" w:hAnsi="宋体" w:eastAsia="宋体" w:cs="宋体"/>
          <w:b/>
          <w:bCs/>
          <w:color w:val="auto"/>
          <w:kern w:val="0"/>
          <w:sz w:val="24"/>
          <w:szCs w:val="22"/>
          <w:highlight w:val="none"/>
          <w:lang w:val="en-US" w:eastAsia="zh-CN"/>
        </w:rPr>
        <w:t>一、采购范围及内容</w:t>
      </w:r>
      <w:bookmarkEnd w:id="37"/>
    </w:p>
    <w:p>
      <w:pPr>
        <w:widowControl/>
        <w:spacing w:line="360" w:lineRule="auto"/>
        <w:ind w:firstLine="480" w:firstLineChars="200"/>
        <w:jc w:val="left"/>
        <w:rPr>
          <w:rFonts w:hint="eastAsia" w:ascii="宋体" w:hAnsi="宋体" w:eastAsia="宋体" w:cs="宋体"/>
          <w:color w:val="auto"/>
          <w:kern w:val="0"/>
          <w:sz w:val="24"/>
          <w:szCs w:val="22"/>
          <w:highlight w:val="none"/>
          <w:lang w:val="en-US" w:eastAsia="zh-CN"/>
        </w:rPr>
      </w:pPr>
      <w:r>
        <w:rPr>
          <w:rFonts w:hint="eastAsia" w:ascii="宋体" w:hAnsi="宋体" w:eastAsia="宋体" w:cs="宋体"/>
          <w:color w:val="auto"/>
          <w:kern w:val="0"/>
          <w:sz w:val="24"/>
          <w:szCs w:val="22"/>
          <w:highlight w:val="none"/>
          <w:lang w:val="en-US" w:eastAsia="zh-CN"/>
        </w:rPr>
        <w:t>1、工程规模</w:t>
      </w:r>
    </w:p>
    <w:p>
      <w:pPr>
        <w:widowControl/>
        <w:spacing w:line="360" w:lineRule="auto"/>
        <w:ind w:firstLine="480" w:firstLineChars="200"/>
        <w:jc w:val="left"/>
        <w:rPr>
          <w:rFonts w:hint="eastAsia" w:ascii="宋体" w:hAnsi="宋体" w:eastAsia="宋体" w:cs="宋体"/>
          <w:color w:val="0000FF"/>
          <w:sz w:val="24"/>
          <w:szCs w:val="24"/>
          <w:highlight w:val="none"/>
          <w:lang w:val="en-US" w:eastAsia="zh-CN"/>
        </w:rPr>
      </w:pPr>
      <w:r>
        <w:rPr>
          <w:rFonts w:hint="eastAsia" w:ascii="宋体" w:hAnsi="宋体" w:cs="宋体"/>
          <w:color w:val="0000FF"/>
          <w:sz w:val="24"/>
          <w:szCs w:val="24"/>
          <w:highlight w:val="none"/>
          <w:lang w:val="en-US" w:eastAsia="zh-CN"/>
        </w:rPr>
        <w:t>（1）富庶太平结安装，包括昌平大街、环城东路、富昌路南延、莲湖大街、南韩大街、杜村东街、富翔路以及频山大道共8条市政道路，更换993套。（2）卡通迎宾柿子灯安装，包括人民路和频阳大街共2条市政道路，更换85套。</w:t>
      </w:r>
    </w:p>
    <w:p>
      <w:pPr>
        <w:widowControl/>
        <w:spacing w:line="360" w:lineRule="auto"/>
        <w:ind w:firstLine="480" w:firstLineChars="200"/>
        <w:jc w:val="left"/>
        <w:rPr>
          <w:rFonts w:hint="eastAsia" w:ascii="宋体" w:hAnsi="宋体" w:eastAsia="宋体" w:cs="宋体"/>
          <w:color w:val="auto"/>
          <w:kern w:val="0"/>
          <w:sz w:val="24"/>
          <w:szCs w:val="22"/>
          <w:highlight w:val="none"/>
          <w:lang w:val="en-US" w:eastAsia="zh-CN"/>
        </w:rPr>
      </w:pPr>
      <w:r>
        <w:rPr>
          <w:rFonts w:hint="eastAsia" w:ascii="宋体" w:hAnsi="宋体" w:eastAsia="宋体" w:cs="宋体"/>
          <w:color w:val="auto"/>
          <w:kern w:val="0"/>
          <w:sz w:val="24"/>
          <w:szCs w:val="22"/>
          <w:highlight w:val="none"/>
          <w:lang w:val="en-US" w:eastAsia="zh-CN"/>
        </w:rPr>
        <w:t>2、采购范围</w:t>
      </w:r>
    </w:p>
    <w:p>
      <w:pPr>
        <w:widowControl/>
        <w:spacing w:line="360" w:lineRule="auto"/>
        <w:ind w:firstLine="480" w:firstLineChars="200"/>
        <w:jc w:val="left"/>
        <w:rPr>
          <w:rFonts w:hint="eastAsia" w:ascii="宋体" w:hAnsi="宋体" w:eastAsia="宋体" w:cs="宋体"/>
          <w:color w:val="auto"/>
          <w:kern w:val="0"/>
          <w:sz w:val="24"/>
          <w:szCs w:val="22"/>
          <w:highlight w:val="none"/>
          <w:lang w:val="en-US" w:eastAsia="zh-CN"/>
        </w:rPr>
      </w:pPr>
      <w:r>
        <w:rPr>
          <w:rFonts w:hint="eastAsia" w:ascii="宋体" w:hAnsi="宋体" w:eastAsia="宋体" w:cs="宋体"/>
          <w:color w:val="auto"/>
          <w:kern w:val="0"/>
          <w:sz w:val="24"/>
          <w:szCs w:val="22"/>
          <w:highlight w:val="none"/>
          <w:lang w:val="en-US" w:eastAsia="zh-CN"/>
        </w:rPr>
        <w:t>工程范围包括施工图纸和工程量清单中所包含的全部内容。</w:t>
      </w:r>
      <w:bookmarkStart w:id="39" w:name="_Toc4057"/>
      <w:bookmarkStart w:id="40" w:name="_Toc458848830"/>
      <w:bookmarkStart w:id="41" w:name="_Toc493247327"/>
      <w:bookmarkStart w:id="42" w:name="_Toc458848745"/>
    </w:p>
    <w:bookmarkEnd w:id="39"/>
    <w:bookmarkEnd w:id="40"/>
    <w:bookmarkEnd w:id="41"/>
    <w:bookmarkEnd w:id="42"/>
    <w:p>
      <w:pPr>
        <w:widowControl/>
        <w:spacing w:line="360" w:lineRule="auto"/>
        <w:ind w:firstLine="482" w:firstLineChars="200"/>
        <w:jc w:val="left"/>
        <w:rPr>
          <w:rFonts w:hint="eastAsia" w:ascii="宋体" w:hAnsi="宋体" w:eastAsia="宋体" w:cs="宋体"/>
          <w:b/>
          <w:bCs/>
          <w:color w:val="auto"/>
          <w:kern w:val="0"/>
          <w:sz w:val="24"/>
          <w:szCs w:val="22"/>
          <w:highlight w:val="none"/>
          <w:lang w:val="en-US" w:eastAsia="zh-CN"/>
        </w:rPr>
      </w:pPr>
      <w:bookmarkStart w:id="43" w:name="_Toc14901"/>
      <w:r>
        <w:rPr>
          <w:rFonts w:hint="eastAsia" w:ascii="宋体" w:hAnsi="宋体" w:eastAsia="宋体" w:cs="宋体"/>
          <w:b/>
          <w:bCs/>
          <w:color w:val="auto"/>
          <w:kern w:val="0"/>
          <w:sz w:val="24"/>
          <w:szCs w:val="22"/>
          <w:highlight w:val="none"/>
          <w:lang w:val="en-US" w:eastAsia="zh-CN"/>
        </w:rPr>
        <w:t>二、工期</w:t>
      </w:r>
      <w:bookmarkEnd w:id="43"/>
    </w:p>
    <w:p>
      <w:pPr>
        <w:widowControl/>
        <w:spacing w:line="360" w:lineRule="auto"/>
        <w:ind w:firstLine="480" w:firstLineChars="200"/>
        <w:jc w:val="left"/>
        <w:rPr>
          <w:rFonts w:hint="eastAsia" w:ascii="宋体" w:hAnsi="宋体" w:eastAsia="宋体" w:cs="宋体"/>
          <w:color w:val="auto"/>
          <w:kern w:val="0"/>
          <w:sz w:val="24"/>
          <w:szCs w:val="22"/>
          <w:highlight w:val="none"/>
          <w:lang w:val="en-US" w:eastAsia="zh-CN"/>
        </w:rPr>
      </w:pPr>
      <w:r>
        <w:rPr>
          <w:rFonts w:hint="eastAsia" w:ascii="宋体" w:hAnsi="宋体" w:cs="宋体"/>
          <w:color w:val="auto"/>
          <w:kern w:val="0"/>
          <w:sz w:val="24"/>
          <w:szCs w:val="22"/>
          <w:highlight w:val="none"/>
          <w:lang w:val="en-US" w:eastAsia="zh-CN"/>
        </w:rPr>
        <w:t>30</w:t>
      </w:r>
      <w:r>
        <w:rPr>
          <w:rFonts w:hint="eastAsia" w:ascii="宋体" w:hAnsi="宋体" w:eastAsia="宋体" w:cs="宋体"/>
          <w:color w:val="auto"/>
          <w:kern w:val="0"/>
          <w:sz w:val="24"/>
          <w:szCs w:val="22"/>
          <w:highlight w:val="none"/>
          <w:lang w:val="en-US" w:eastAsia="zh-CN"/>
        </w:rPr>
        <w:t>日历天</w:t>
      </w:r>
    </w:p>
    <w:p>
      <w:pPr>
        <w:widowControl/>
        <w:spacing w:line="360" w:lineRule="auto"/>
        <w:ind w:firstLine="482" w:firstLineChars="200"/>
        <w:jc w:val="left"/>
        <w:rPr>
          <w:rFonts w:hint="eastAsia" w:ascii="宋体" w:hAnsi="宋体" w:eastAsia="宋体" w:cs="宋体"/>
          <w:b/>
          <w:bCs/>
          <w:color w:val="auto"/>
          <w:kern w:val="0"/>
          <w:sz w:val="24"/>
          <w:szCs w:val="22"/>
          <w:highlight w:val="none"/>
          <w:lang w:val="en-US" w:eastAsia="zh-CN"/>
        </w:rPr>
      </w:pPr>
      <w:bookmarkStart w:id="44" w:name="_Toc9175"/>
      <w:r>
        <w:rPr>
          <w:rFonts w:hint="eastAsia" w:ascii="宋体" w:hAnsi="宋体" w:eastAsia="宋体" w:cs="宋体"/>
          <w:b/>
          <w:bCs/>
          <w:color w:val="auto"/>
          <w:kern w:val="0"/>
          <w:sz w:val="24"/>
          <w:szCs w:val="22"/>
          <w:highlight w:val="none"/>
          <w:lang w:val="en-US" w:eastAsia="zh-CN"/>
        </w:rPr>
        <w:t>三、付款方式</w:t>
      </w:r>
      <w:bookmarkEnd w:id="44"/>
    </w:p>
    <w:p>
      <w:pPr>
        <w:widowControl/>
        <w:spacing w:line="360" w:lineRule="auto"/>
        <w:ind w:firstLine="480" w:firstLineChars="200"/>
        <w:jc w:val="left"/>
        <w:rPr>
          <w:rFonts w:hint="eastAsia" w:ascii="宋体" w:hAnsi="宋体" w:cs="宋体"/>
          <w:color w:val="0000FF"/>
          <w:sz w:val="24"/>
          <w:szCs w:val="24"/>
          <w:highlight w:val="none"/>
          <w:lang w:val="en-US" w:eastAsia="zh-CN"/>
        </w:rPr>
      </w:pPr>
      <w:bookmarkStart w:id="45" w:name="_Toc24433"/>
      <w:r>
        <w:rPr>
          <w:rFonts w:hint="eastAsia" w:ascii="宋体" w:hAnsi="宋体" w:cs="宋体"/>
          <w:color w:val="0000FF"/>
          <w:sz w:val="24"/>
          <w:szCs w:val="24"/>
          <w:highlight w:val="none"/>
          <w:lang w:val="en-US" w:eastAsia="zh-CN"/>
        </w:rPr>
        <w:t>竣工验收合格前支付额度不超过合同价款的70%，工程结算审计完成后，支付不超过审定价的97%，剩余3%作为工程质量保证金，在缺陷责任期满且达到质保要求后全部付清。</w:t>
      </w:r>
      <w:bookmarkStart w:id="576" w:name="_GoBack"/>
      <w:bookmarkEnd w:id="576"/>
    </w:p>
    <w:p>
      <w:pPr>
        <w:widowControl/>
        <w:spacing w:line="360" w:lineRule="auto"/>
        <w:ind w:firstLine="482" w:firstLineChars="200"/>
        <w:jc w:val="left"/>
        <w:rPr>
          <w:rFonts w:hint="eastAsia" w:ascii="宋体" w:hAnsi="宋体" w:eastAsia="宋体" w:cs="宋体"/>
          <w:b/>
          <w:bCs/>
          <w:color w:val="auto"/>
          <w:kern w:val="0"/>
          <w:sz w:val="24"/>
          <w:szCs w:val="22"/>
          <w:highlight w:val="none"/>
          <w:lang w:val="en-US" w:eastAsia="zh-CN"/>
        </w:rPr>
      </w:pPr>
      <w:r>
        <w:rPr>
          <w:rFonts w:hint="eastAsia" w:ascii="宋体" w:hAnsi="宋体" w:eastAsia="宋体" w:cs="宋体"/>
          <w:b/>
          <w:bCs/>
          <w:color w:val="auto"/>
          <w:kern w:val="0"/>
          <w:sz w:val="24"/>
          <w:szCs w:val="22"/>
          <w:highlight w:val="none"/>
          <w:lang w:val="en-US" w:eastAsia="zh-CN"/>
        </w:rPr>
        <w:t>四、承包方式</w:t>
      </w:r>
      <w:bookmarkEnd w:id="45"/>
    </w:p>
    <w:p>
      <w:pPr>
        <w:widowControl/>
        <w:spacing w:line="360" w:lineRule="auto"/>
        <w:ind w:firstLine="480" w:firstLineChars="200"/>
        <w:jc w:val="left"/>
        <w:rPr>
          <w:rFonts w:hint="eastAsia" w:ascii="宋体" w:hAnsi="宋体" w:eastAsia="宋体" w:cs="宋体"/>
          <w:color w:val="auto"/>
          <w:kern w:val="0"/>
          <w:sz w:val="24"/>
          <w:szCs w:val="22"/>
          <w:highlight w:val="none"/>
          <w:lang w:val="en-US" w:eastAsia="zh-CN"/>
        </w:rPr>
      </w:pPr>
      <w:r>
        <w:rPr>
          <w:rFonts w:hint="eastAsia" w:ascii="宋体" w:hAnsi="宋体" w:eastAsia="宋体" w:cs="宋体"/>
          <w:color w:val="auto"/>
          <w:kern w:val="0"/>
          <w:sz w:val="24"/>
          <w:szCs w:val="22"/>
          <w:highlight w:val="none"/>
          <w:lang w:val="en-US" w:eastAsia="zh-CN"/>
        </w:rPr>
        <w:t>施工总承包</w:t>
      </w:r>
    </w:p>
    <w:p>
      <w:pPr>
        <w:widowControl/>
        <w:spacing w:line="360" w:lineRule="auto"/>
        <w:ind w:firstLine="482" w:firstLineChars="200"/>
        <w:jc w:val="left"/>
        <w:rPr>
          <w:rFonts w:hint="eastAsia" w:ascii="宋体" w:hAnsi="宋体" w:eastAsia="宋体" w:cs="宋体"/>
          <w:b/>
          <w:bCs/>
          <w:color w:val="auto"/>
          <w:kern w:val="0"/>
          <w:sz w:val="24"/>
          <w:szCs w:val="22"/>
          <w:highlight w:val="none"/>
          <w:lang w:val="en-US" w:eastAsia="zh-CN"/>
        </w:rPr>
      </w:pPr>
      <w:bookmarkStart w:id="46" w:name="_Toc24588"/>
      <w:r>
        <w:rPr>
          <w:rFonts w:hint="eastAsia" w:ascii="宋体" w:hAnsi="宋体" w:eastAsia="宋体" w:cs="宋体"/>
          <w:b/>
          <w:bCs/>
          <w:color w:val="auto"/>
          <w:kern w:val="0"/>
          <w:sz w:val="24"/>
          <w:szCs w:val="22"/>
          <w:highlight w:val="none"/>
          <w:lang w:val="en-US" w:eastAsia="zh-CN"/>
        </w:rPr>
        <w:t>五、质量标准</w:t>
      </w:r>
      <w:bookmarkEnd w:id="46"/>
    </w:p>
    <w:p>
      <w:pPr>
        <w:widowControl/>
        <w:spacing w:line="360" w:lineRule="auto"/>
        <w:ind w:firstLine="480" w:firstLineChars="200"/>
        <w:jc w:val="left"/>
        <w:rPr>
          <w:rFonts w:hint="eastAsia" w:ascii="宋体" w:hAnsi="宋体" w:eastAsia="宋体" w:cs="宋体"/>
          <w:color w:val="auto"/>
          <w:kern w:val="0"/>
          <w:sz w:val="24"/>
          <w:szCs w:val="22"/>
          <w:highlight w:val="none"/>
          <w:lang w:val="en-US" w:eastAsia="zh-CN"/>
        </w:rPr>
      </w:pPr>
      <w:r>
        <w:rPr>
          <w:rFonts w:hint="eastAsia" w:ascii="宋体" w:hAnsi="宋体" w:eastAsia="宋体" w:cs="宋体"/>
          <w:color w:val="auto"/>
          <w:kern w:val="0"/>
          <w:sz w:val="24"/>
          <w:szCs w:val="22"/>
          <w:highlight w:val="none"/>
          <w:lang w:val="en-US" w:eastAsia="zh-CN"/>
        </w:rPr>
        <w:t>合格</w:t>
      </w:r>
    </w:p>
    <w:p>
      <w:pPr>
        <w:widowControl/>
        <w:spacing w:line="360" w:lineRule="auto"/>
        <w:ind w:firstLine="482" w:firstLineChars="200"/>
        <w:jc w:val="left"/>
        <w:rPr>
          <w:rFonts w:hint="eastAsia" w:ascii="宋体" w:hAnsi="宋体" w:eastAsia="宋体" w:cs="宋体"/>
          <w:b/>
          <w:bCs/>
          <w:color w:val="auto"/>
          <w:kern w:val="0"/>
          <w:sz w:val="24"/>
          <w:szCs w:val="22"/>
          <w:highlight w:val="none"/>
          <w:lang w:val="en-US" w:eastAsia="zh-CN"/>
        </w:rPr>
      </w:pPr>
      <w:bookmarkStart w:id="47" w:name="_Toc11569"/>
      <w:r>
        <w:rPr>
          <w:rFonts w:hint="eastAsia" w:ascii="宋体" w:hAnsi="宋体" w:eastAsia="宋体" w:cs="宋体"/>
          <w:b/>
          <w:bCs/>
          <w:color w:val="auto"/>
          <w:kern w:val="0"/>
          <w:sz w:val="24"/>
          <w:szCs w:val="22"/>
          <w:highlight w:val="none"/>
          <w:lang w:val="en-US" w:eastAsia="zh-CN"/>
        </w:rPr>
        <w:t>六、工程建设标准</w:t>
      </w:r>
      <w:bookmarkEnd w:id="47"/>
    </w:p>
    <w:p>
      <w:pPr>
        <w:widowControl/>
        <w:spacing w:line="360" w:lineRule="auto"/>
        <w:ind w:firstLine="480" w:firstLineChars="200"/>
        <w:jc w:val="left"/>
        <w:rPr>
          <w:rFonts w:hint="eastAsia" w:ascii="宋体" w:hAnsi="宋体" w:eastAsia="宋体" w:cs="宋体"/>
          <w:color w:val="auto"/>
          <w:kern w:val="0"/>
          <w:sz w:val="24"/>
          <w:szCs w:val="22"/>
          <w:highlight w:val="none"/>
          <w:lang w:eastAsia="zh-CN"/>
        </w:rPr>
      </w:pPr>
      <w:r>
        <w:rPr>
          <w:rFonts w:hint="eastAsia" w:ascii="宋体" w:hAnsi="宋体" w:eastAsia="宋体" w:cs="宋体"/>
          <w:color w:val="auto"/>
          <w:kern w:val="0"/>
          <w:sz w:val="24"/>
          <w:szCs w:val="22"/>
          <w:highlight w:val="none"/>
          <w:lang w:eastAsia="zh-CN"/>
        </w:rPr>
        <w:t>依据设计文件的要求，本采购工程须达到与本工程有关的国家、省、市现行相关规范、规程、标准。</w:t>
      </w:r>
    </w:p>
    <w:p>
      <w:pPr>
        <w:widowControl/>
        <w:spacing w:line="360" w:lineRule="auto"/>
        <w:ind w:firstLine="482" w:firstLineChars="200"/>
        <w:jc w:val="left"/>
        <w:rPr>
          <w:rFonts w:hint="eastAsia" w:ascii="宋体" w:hAnsi="宋体" w:eastAsia="宋体" w:cs="宋体"/>
          <w:b/>
          <w:bCs/>
          <w:color w:val="auto"/>
          <w:kern w:val="0"/>
          <w:sz w:val="24"/>
          <w:szCs w:val="22"/>
          <w:highlight w:val="none"/>
          <w:lang w:val="en-US" w:eastAsia="zh-CN"/>
        </w:rPr>
      </w:pPr>
      <w:bookmarkStart w:id="48" w:name="_Toc23888"/>
      <w:r>
        <w:rPr>
          <w:rFonts w:hint="eastAsia" w:ascii="宋体" w:hAnsi="宋体" w:eastAsia="宋体" w:cs="宋体"/>
          <w:b/>
          <w:bCs/>
          <w:color w:val="auto"/>
          <w:kern w:val="0"/>
          <w:sz w:val="24"/>
          <w:szCs w:val="22"/>
          <w:highlight w:val="none"/>
          <w:lang w:val="en-US" w:eastAsia="zh-CN"/>
        </w:rPr>
        <w:t>七、工程量清单</w:t>
      </w:r>
      <w:bookmarkEnd w:id="48"/>
    </w:p>
    <w:p>
      <w:pPr>
        <w:widowControl/>
        <w:spacing w:line="360" w:lineRule="auto"/>
        <w:ind w:firstLine="480" w:firstLineChars="200"/>
        <w:jc w:val="left"/>
        <w:rPr>
          <w:rFonts w:hint="eastAsia" w:ascii="宋体" w:hAnsi="宋体" w:eastAsia="宋体" w:cs="宋体"/>
          <w:color w:val="auto"/>
          <w:kern w:val="0"/>
          <w:sz w:val="24"/>
          <w:szCs w:val="22"/>
          <w:highlight w:val="none"/>
          <w:lang w:eastAsia="zh-CN"/>
        </w:rPr>
      </w:pPr>
      <w:r>
        <w:rPr>
          <w:rFonts w:hint="eastAsia" w:ascii="宋体" w:hAnsi="宋体" w:eastAsia="宋体" w:cs="宋体"/>
          <w:color w:val="auto"/>
          <w:kern w:val="0"/>
          <w:sz w:val="24"/>
          <w:szCs w:val="22"/>
          <w:highlight w:val="none"/>
          <w:lang w:eastAsia="zh-CN"/>
        </w:rPr>
        <w:t>详见附件。</w:t>
      </w:r>
    </w:p>
    <w:p>
      <w:pPr>
        <w:pStyle w:val="22"/>
        <w:spacing w:line="360" w:lineRule="auto"/>
        <w:rPr>
          <w:rFonts w:hint="eastAsia" w:ascii="宋体" w:hAnsi="宋体" w:eastAsia="宋体" w:cs="宋体"/>
          <w:color w:val="auto"/>
          <w:highlight w:val="none"/>
        </w:rPr>
      </w:pPr>
    </w:p>
    <w:p>
      <w:pPr>
        <w:pStyle w:val="22"/>
        <w:spacing w:line="360" w:lineRule="auto"/>
        <w:rPr>
          <w:rFonts w:hint="eastAsia" w:ascii="宋体" w:hAnsi="宋体" w:eastAsia="宋体" w:cs="宋体"/>
          <w:color w:val="auto"/>
          <w:highlight w:val="none"/>
        </w:rPr>
      </w:pPr>
    </w:p>
    <w:p>
      <w:pPr>
        <w:pStyle w:val="22"/>
        <w:spacing w:line="360" w:lineRule="auto"/>
        <w:rPr>
          <w:rFonts w:hint="eastAsia" w:ascii="宋体" w:hAnsi="宋体" w:eastAsia="宋体" w:cs="宋体"/>
          <w:color w:val="auto"/>
          <w:highlight w:val="none"/>
        </w:rPr>
      </w:pPr>
    </w:p>
    <w:p>
      <w:pPr>
        <w:pStyle w:val="22"/>
        <w:spacing w:line="360" w:lineRule="auto"/>
        <w:rPr>
          <w:rFonts w:hint="eastAsia" w:ascii="宋体" w:hAnsi="宋体" w:eastAsia="宋体" w:cs="宋体"/>
          <w:color w:val="auto"/>
          <w:highlight w:val="none"/>
        </w:rPr>
      </w:pPr>
    </w:p>
    <w:p>
      <w:pPr>
        <w:pStyle w:val="211"/>
        <w:rPr>
          <w:rFonts w:hint="eastAsia" w:ascii="宋体" w:hAnsi="宋体" w:eastAsia="宋体" w:cs="宋体"/>
          <w:color w:val="auto"/>
          <w:highlight w:val="none"/>
        </w:rPr>
      </w:pPr>
      <w:bookmarkStart w:id="49" w:name="_Toc29367"/>
      <w:r>
        <w:rPr>
          <w:rFonts w:hint="eastAsia" w:ascii="宋体" w:hAnsi="宋体" w:eastAsia="宋体" w:cs="宋体"/>
          <w:color w:val="auto"/>
          <w:highlight w:val="none"/>
        </w:rPr>
        <w:t xml:space="preserve">第四章  </w:t>
      </w:r>
      <w:bookmarkEnd w:id="38"/>
      <w:r>
        <w:rPr>
          <w:rFonts w:hint="eastAsia" w:ascii="宋体" w:hAnsi="宋体" w:eastAsia="宋体" w:cs="宋体"/>
          <w:color w:val="auto"/>
          <w:highlight w:val="none"/>
        </w:rPr>
        <w:t>拟签订的合同文本</w:t>
      </w:r>
      <w:bookmarkEnd w:id="49"/>
    </w:p>
    <w:p>
      <w:pPr>
        <w:jc w:val="left"/>
        <w:rPr>
          <w:rFonts w:hint="eastAsia" w:ascii="宋体" w:hAnsi="宋体" w:eastAsia="宋体" w:cs="宋体"/>
          <w:bCs/>
          <w:color w:val="auto"/>
          <w:sz w:val="32"/>
          <w:szCs w:val="32"/>
        </w:rPr>
      </w:pPr>
      <w:bookmarkStart w:id="50" w:name="_Toc246997004"/>
      <w:bookmarkStart w:id="51" w:name="_Toc296602506"/>
      <w:bookmarkStart w:id="52" w:name="_Toc382920043"/>
      <w:bookmarkStart w:id="53" w:name="_Toc369531607"/>
      <w:bookmarkStart w:id="54" w:name="_Toc246996261"/>
      <w:bookmarkStart w:id="55" w:name="_Toc247085776"/>
      <w:bookmarkStart w:id="56" w:name="_Toc31184"/>
    </w:p>
    <w:bookmarkEnd w:id="50"/>
    <w:bookmarkEnd w:id="51"/>
    <w:bookmarkEnd w:id="52"/>
    <w:bookmarkEnd w:id="53"/>
    <w:bookmarkEnd w:id="54"/>
    <w:bookmarkEnd w:id="55"/>
    <w:bookmarkEnd w:id="56"/>
    <w:p>
      <w:pPr>
        <w:jc w:val="left"/>
        <w:rPr>
          <w:rFonts w:hint="eastAsia" w:ascii="宋体" w:hAnsi="宋体" w:eastAsia="宋体" w:cs="宋体"/>
          <w:bCs/>
          <w:color w:val="auto"/>
          <w:sz w:val="32"/>
          <w:szCs w:val="32"/>
        </w:rPr>
      </w:pPr>
      <w:r>
        <w:rPr>
          <w:rFonts w:hint="eastAsia" w:ascii="宋体" w:hAnsi="宋体" w:eastAsia="宋体" w:cs="宋体"/>
          <w:bCs/>
          <w:color w:val="auto"/>
          <w:sz w:val="32"/>
          <w:szCs w:val="32"/>
        </w:rPr>
        <w:t>（GF—201</w:t>
      </w:r>
      <w:r>
        <w:rPr>
          <w:rFonts w:hint="eastAsia" w:ascii="宋体" w:hAnsi="宋体" w:eastAsia="宋体" w:cs="宋体"/>
          <w:bCs/>
          <w:color w:val="auto"/>
          <w:sz w:val="32"/>
          <w:szCs w:val="32"/>
          <w:lang w:val="en-US" w:eastAsia="zh-CN"/>
        </w:rPr>
        <w:t>7</w:t>
      </w:r>
      <w:r>
        <w:rPr>
          <w:rFonts w:hint="eastAsia" w:ascii="宋体" w:hAnsi="宋体" w:eastAsia="宋体" w:cs="宋体"/>
          <w:bCs/>
          <w:color w:val="auto"/>
          <w:sz w:val="32"/>
          <w:szCs w:val="32"/>
        </w:rPr>
        <w:t>—</w:t>
      </w:r>
      <w:r>
        <w:rPr>
          <w:rFonts w:hint="eastAsia" w:ascii="宋体" w:hAnsi="宋体" w:eastAsia="宋体" w:cs="宋体"/>
          <w:bCs/>
          <w:color w:val="auto"/>
          <w:sz w:val="32"/>
          <w:szCs w:val="32"/>
          <w:lang w:val="en-US" w:eastAsia="zh-CN"/>
        </w:rPr>
        <w:t>0201</w:t>
      </w:r>
      <w:r>
        <w:rPr>
          <w:rFonts w:hint="eastAsia" w:ascii="宋体" w:hAnsi="宋体" w:eastAsia="宋体" w:cs="宋体"/>
          <w:bCs/>
          <w:color w:val="auto"/>
          <w:sz w:val="32"/>
          <w:szCs w:val="32"/>
        </w:rPr>
        <w:t>）</w:t>
      </w:r>
    </w:p>
    <w:p>
      <w:pPr>
        <w:jc w:val="center"/>
        <w:rPr>
          <w:rFonts w:hint="eastAsia" w:ascii="宋体" w:hAnsi="宋体" w:eastAsia="宋体" w:cs="宋体"/>
          <w:b/>
          <w:color w:val="auto"/>
          <w:sz w:val="52"/>
          <w:szCs w:val="52"/>
        </w:rPr>
      </w:pPr>
    </w:p>
    <w:p>
      <w:pPr>
        <w:jc w:val="center"/>
        <w:rPr>
          <w:rFonts w:hint="eastAsia" w:ascii="宋体" w:hAnsi="宋体" w:eastAsia="宋体" w:cs="宋体"/>
          <w:b/>
          <w:color w:val="auto"/>
          <w:sz w:val="52"/>
          <w:szCs w:val="52"/>
        </w:rPr>
      </w:pPr>
      <w:r>
        <w:rPr>
          <w:rFonts w:hint="eastAsia" w:ascii="宋体" w:hAnsi="宋体" w:eastAsia="宋体" w:cs="宋体"/>
          <w:b/>
          <w:color w:val="auto"/>
          <w:sz w:val="72"/>
          <w:szCs w:val="52"/>
        </w:rPr>
        <w:t>建设工程施工合同</w:t>
      </w:r>
      <w:r>
        <w:rPr>
          <w:rFonts w:hint="eastAsia" w:ascii="宋体" w:hAnsi="宋体" w:eastAsia="宋体" w:cs="宋体"/>
          <w:b/>
          <w:color w:val="auto"/>
          <w:sz w:val="52"/>
          <w:szCs w:val="52"/>
        </w:rPr>
        <w:br w:type="textWrapping"/>
      </w:r>
      <w:r>
        <w:rPr>
          <w:rFonts w:hint="eastAsia" w:ascii="宋体" w:hAnsi="宋体" w:eastAsia="宋体" w:cs="宋体"/>
          <w:b/>
          <w:color w:val="auto"/>
          <w:sz w:val="52"/>
          <w:szCs w:val="52"/>
        </w:rPr>
        <w:t>（示范文本）</w:t>
      </w:r>
    </w:p>
    <w:p>
      <w:pPr>
        <w:jc w:val="center"/>
        <w:rPr>
          <w:rFonts w:hint="eastAsia" w:ascii="宋体" w:hAnsi="宋体" w:eastAsia="宋体" w:cs="宋体"/>
          <w:b/>
          <w:color w:val="auto"/>
          <w:sz w:val="52"/>
          <w:szCs w:val="52"/>
        </w:rPr>
      </w:pPr>
    </w:p>
    <w:p>
      <w:pPr>
        <w:jc w:val="center"/>
        <w:rPr>
          <w:rFonts w:hint="eastAsia" w:ascii="宋体" w:hAnsi="宋体" w:eastAsia="宋体" w:cs="宋体"/>
          <w:b/>
          <w:color w:val="auto"/>
          <w:sz w:val="72"/>
          <w:szCs w:val="72"/>
        </w:rPr>
      </w:pPr>
    </w:p>
    <w:p>
      <w:pPr>
        <w:jc w:val="center"/>
        <w:rPr>
          <w:rFonts w:hint="eastAsia" w:ascii="宋体" w:hAnsi="宋体" w:eastAsia="宋体" w:cs="宋体"/>
          <w:b/>
          <w:color w:val="auto"/>
          <w:sz w:val="72"/>
          <w:szCs w:val="72"/>
        </w:rPr>
      </w:pPr>
    </w:p>
    <w:p>
      <w:pPr>
        <w:jc w:val="center"/>
        <w:rPr>
          <w:rFonts w:hint="eastAsia" w:ascii="宋体" w:hAnsi="宋体" w:eastAsia="宋体" w:cs="宋体"/>
          <w:b/>
          <w:color w:val="auto"/>
          <w:sz w:val="52"/>
          <w:szCs w:val="52"/>
        </w:rPr>
      </w:pPr>
    </w:p>
    <w:p>
      <w:pPr>
        <w:rPr>
          <w:rFonts w:hint="eastAsia" w:ascii="宋体" w:hAnsi="宋体" w:eastAsia="宋体" w:cs="宋体"/>
          <w:b/>
          <w:color w:val="auto"/>
          <w:sz w:val="28"/>
          <w:szCs w:val="28"/>
        </w:rPr>
      </w:pPr>
    </w:p>
    <w:p>
      <w:pPr>
        <w:rPr>
          <w:rFonts w:hint="eastAsia" w:ascii="宋体" w:hAnsi="宋体" w:eastAsia="宋体" w:cs="宋体"/>
          <w:b/>
          <w:color w:val="auto"/>
          <w:sz w:val="28"/>
          <w:szCs w:val="28"/>
        </w:rPr>
      </w:pPr>
    </w:p>
    <w:p>
      <w:pPr>
        <w:rPr>
          <w:rFonts w:hint="eastAsia" w:ascii="宋体" w:hAnsi="宋体" w:eastAsia="宋体" w:cs="宋体"/>
          <w:b/>
          <w:color w:val="auto"/>
          <w:sz w:val="28"/>
          <w:szCs w:val="28"/>
        </w:rPr>
      </w:pPr>
    </w:p>
    <w:p>
      <w:pPr>
        <w:rPr>
          <w:rFonts w:hint="eastAsia" w:ascii="宋体" w:hAnsi="宋体" w:eastAsia="宋体" w:cs="宋体"/>
          <w:b/>
          <w:color w:val="auto"/>
          <w:sz w:val="28"/>
          <w:szCs w:val="28"/>
        </w:rPr>
      </w:pPr>
    </w:p>
    <w:p>
      <w:pPr>
        <w:rPr>
          <w:rFonts w:hint="eastAsia" w:ascii="宋体" w:hAnsi="宋体" w:eastAsia="宋体" w:cs="宋体"/>
          <w:b/>
          <w:color w:val="auto"/>
          <w:sz w:val="28"/>
          <w:szCs w:val="28"/>
        </w:rPr>
      </w:pPr>
    </w:p>
    <w:p>
      <w:pPr>
        <w:ind w:right="2719" w:rightChars="1295" w:firstLine="2738" w:firstLineChars="1304"/>
        <w:jc w:val="distribute"/>
        <w:rPr>
          <w:rFonts w:hint="eastAsia" w:ascii="宋体" w:hAnsi="宋体" w:eastAsia="宋体" w:cs="宋体"/>
          <w:b/>
          <w:color w:val="auto"/>
          <w:sz w:val="32"/>
          <w:szCs w:val="28"/>
        </w:rPr>
      </w:pPr>
      <w:r>
        <w:rPr>
          <w:rFonts w:hint="eastAsia" w:ascii="宋体" w:hAnsi="宋体" w:eastAsia="宋体" w:cs="宋体"/>
          <w:color w:val="auto"/>
        </w:rPr>
        <mc:AlternateContent>
          <mc:Choice Requires="wps">
            <w:drawing>
              <wp:anchor distT="0" distB="0" distL="114300" distR="114300" simplePos="0" relativeHeight="251660288" behindDoc="0" locked="0" layoutInCell="1" allowOverlap="1">
                <wp:simplePos x="0" y="0"/>
                <wp:positionH relativeFrom="column">
                  <wp:posOffset>3970020</wp:posOffset>
                </wp:positionH>
                <wp:positionV relativeFrom="paragraph">
                  <wp:posOffset>120015</wp:posOffset>
                </wp:positionV>
                <wp:extent cx="723900" cy="457200"/>
                <wp:effectExtent l="4445" t="4445" r="14605" b="14605"/>
                <wp:wrapNone/>
                <wp:docPr id="6" name="文本框 6"/>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pPr>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312.6pt;margin-top:9.45pt;height:36pt;width:57pt;z-index:251660288;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HbQureoBAAC+AwAADgAAAGRycy9lMm9Eb2MueG1srVNL&#10;jhMxEN0jcQfLe9KZQDJMK52RIIQNAqSBA1Rsd7cl/+TypDsXgBuwYsOec+UclJ1Mhhk2CNELd7nq&#10;+bnqVXl5PVrDdiqi9q7hF5MpZ8oJL7XrGv750+bZS84wgZNgvFMN3yvk16unT5ZDqNXM995IFRmR&#10;OKyH0PA+pVBXFYpeWcCJD8pRsPXRQqJt7CoZYSB2a6rZdLqoBh9liF4oRPKuj0G+Kvxtq0T60Lao&#10;EjMNp9xSWWNZt3mtVkuouwih1+KUBvxDFha0o0vPVGtIwG6j/oPKahE9+jZNhLeVb1stVKmBqrmY&#10;PqrmpoegSi0kDoazTPj/aMX73cfItGz4gjMHllp0+Pb18P3n4ccXtsjyDAFrQt0EwqXxlR+pzXd+&#10;JGeuemyjzX+qh1GchN6fxVVjYoKcl7PnV1OKCAq9mF9S8zJLdX84RExvlbcsGw2P1LsiKezeYTpC&#10;7yD5Luc32pjSP+PY0PCr+WxO9EBT1BpIZNpAdaHrCg16o2U+kg9j7LavTWQ7oLnYlO+UzQNYvm8N&#10;2B9xJZRhUFudVCxWr0C+cZKlfSDtHA05z8lYJTkzit5EtgoygTZ/gyRJjCNlsvBHgbOVxu1INNnc&#10;ermnZtyGqLuelCrtKHAakiLpaaDzFP6+L6T3z271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HN&#10;LXHYAAAACQEAAA8AAAAAAAAAAQAgAAAAIgAAAGRycy9kb3ducmV2LnhtbFBLAQIUABQAAAAIAIdO&#10;4kAdtC6t6gEAAL4DAAAOAAAAAAAAAAEAIAAAACcBAABkcnMvZTJvRG9jLnhtbFBLBQYAAAAABgAG&#10;AFkBAACDBQAAAAA=&#10;">
                <v:fill on="f" focussize="0,0"/>
                <v:stroke color="#FFFFFF" joinstyle="miter"/>
                <v:imagedata o:title=""/>
                <o:lock v:ext="edit" aspectratio="f"/>
                <v:textbox>
                  <w:txbxContent>
                    <w:p>
                      <w:pPr>
                        <w:rPr>
                          <w:rFonts w:hint="eastAsia"/>
                          <w:b/>
                          <w:bCs/>
                          <w:sz w:val="32"/>
                        </w:rPr>
                      </w:pPr>
                      <w:r>
                        <w:rPr>
                          <w:rFonts w:hint="eastAsia"/>
                          <w:b/>
                          <w:bCs/>
                          <w:sz w:val="32"/>
                        </w:rPr>
                        <w:t>制定</w:t>
                      </w:r>
                    </w:p>
                  </w:txbxContent>
                </v:textbox>
              </v:shape>
            </w:pict>
          </mc:Fallback>
        </mc:AlternateContent>
      </w:r>
      <w:r>
        <w:rPr>
          <w:rFonts w:hint="eastAsia" w:ascii="宋体" w:hAnsi="宋体" w:eastAsia="宋体" w:cs="宋体"/>
          <w:b/>
          <w:color w:val="auto"/>
          <w:sz w:val="32"/>
          <w:szCs w:val="28"/>
        </w:rPr>
        <w:t>住房城乡建设部</w:t>
      </w:r>
    </w:p>
    <w:p>
      <w:pPr>
        <w:ind w:right="2719" w:rightChars="1295" w:firstLine="2750" w:firstLineChars="856"/>
        <w:jc w:val="distribute"/>
        <w:rPr>
          <w:rFonts w:hint="eastAsia" w:ascii="宋体" w:hAnsi="宋体" w:eastAsia="宋体" w:cs="宋体"/>
          <w:b/>
          <w:color w:val="auto"/>
          <w:sz w:val="32"/>
          <w:szCs w:val="28"/>
        </w:rPr>
      </w:pPr>
      <w:r>
        <w:rPr>
          <w:rFonts w:hint="eastAsia" w:ascii="宋体" w:hAnsi="宋体" w:eastAsia="宋体" w:cs="宋体"/>
          <w:b/>
          <w:color w:val="auto"/>
          <w:sz w:val="32"/>
          <w:szCs w:val="28"/>
        </w:rPr>
        <w:t>国家工商行政管理总局</w:t>
      </w:r>
    </w:p>
    <w:p>
      <w:pPr>
        <w:widowControl/>
        <w:jc w:val="center"/>
        <w:rPr>
          <w:rFonts w:hint="eastAsia" w:ascii="宋体" w:hAnsi="宋体" w:eastAsia="宋体" w:cs="宋体"/>
          <w:b/>
          <w:bCs/>
          <w:color w:val="auto"/>
          <w:kern w:val="44"/>
          <w:sz w:val="32"/>
          <w:szCs w:val="32"/>
        </w:rPr>
      </w:pPr>
    </w:p>
    <w:p>
      <w:pPr>
        <w:widowControl/>
        <w:jc w:val="left"/>
        <w:rPr>
          <w:rFonts w:hint="eastAsia" w:ascii="宋体" w:hAnsi="宋体" w:eastAsia="宋体" w:cs="宋体"/>
          <w:color w:val="auto"/>
          <w:sz w:val="21"/>
          <w:szCs w:val="21"/>
        </w:rPr>
      </w:pPr>
    </w:p>
    <w:p>
      <w:pPr>
        <w:pStyle w:val="40"/>
        <w:keepNext w:val="0"/>
        <w:keepLines w:val="0"/>
        <w:pageBreakBefore w:val="0"/>
        <w:widowControl w:val="0"/>
        <w:tabs>
          <w:tab w:val="right" w:leader="dot" w:pos="8787"/>
        </w:tabs>
        <w:kinsoku/>
        <w:wordWrap/>
        <w:overflowPunct/>
        <w:topLinePunct w:val="0"/>
        <w:autoSpaceDE/>
        <w:autoSpaceDN/>
        <w:bidi w:val="0"/>
        <w:adjustRightInd/>
        <w:snapToGrid/>
        <w:spacing w:line="400" w:lineRule="exact"/>
        <w:textAlignment w:val="auto"/>
        <w:outlineLvl w:val="9"/>
        <w:rPr>
          <w:rFonts w:hint="eastAsia" w:ascii="宋体" w:hAnsi="宋体" w:eastAsia="宋体" w:cs="宋体"/>
          <w:color w:val="auto"/>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TOC \o "1-5" \h \z \u </w:instrText>
      </w:r>
      <w:r>
        <w:rPr>
          <w:rFonts w:hint="eastAsia" w:ascii="宋体" w:hAnsi="宋体" w:eastAsia="宋体" w:cs="宋体"/>
          <w:color w:val="auto"/>
          <w:sz w:val="24"/>
          <w:szCs w:val="24"/>
        </w:rPr>
        <w:fldChar w:fldCharType="separate"/>
      </w:r>
      <w:bookmarkStart w:id="57" w:name="_Toc419"/>
    </w:p>
    <w:p>
      <w:pPr>
        <w:pStyle w:val="3"/>
        <w:keepLines/>
        <w:spacing w:before="340" w:after="330" w:line="580" w:lineRule="exact"/>
        <w:ind w:left="210" w:leftChars="100"/>
        <w:rPr>
          <w:rFonts w:hint="eastAsia" w:ascii="宋体" w:hAnsi="宋体" w:eastAsia="宋体" w:cs="宋体"/>
          <w:b/>
          <w:color w:val="auto"/>
          <w:sz w:val="36"/>
          <w:szCs w:val="36"/>
          <w:highlight w:val="none"/>
          <w:lang w:val="en-US" w:eastAsia="zh-CN"/>
        </w:rPr>
      </w:pPr>
      <w:bookmarkStart w:id="58" w:name="_Toc4987"/>
      <w:r>
        <w:rPr>
          <w:rFonts w:hint="eastAsia" w:ascii="宋体" w:hAnsi="宋体" w:eastAsia="宋体" w:cs="宋体"/>
          <w:b/>
          <w:color w:val="auto"/>
          <w:sz w:val="36"/>
          <w:szCs w:val="36"/>
          <w:highlight w:val="none"/>
          <w:lang w:eastAsia="zh-CN"/>
        </w:rPr>
        <w:t>第一部分</w:t>
      </w:r>
      <w:r>
        <w:rPr>
          <w:rFonts w:hint="eastAsia" w:ascii="宋体" w:hAnsi="宋体" w:eastAsia="宋体" w:cs="宋体"/>
          <w:b/>
          <w:color w:val="auto"/>
          <w:sz w:val="36"/>
          <w:szCs w:val="36"/>
          <w:highlight w:val="none"/>
          <w:lang w:val="en-US" w:eastAsia="zh-CN"/>
        </w:rPr>
        <w:t xml:space="preserve">  合同协议书</w:t>
      </w:r>
      <w:bookmarkEnd w:id="58"/>
    </w:p>
    <w:p>
      <w:pPr>
        <w:pageBreakBefore w:val="0"/>
        <w:kinsoku/>
        <w:wordWrap/>
        <w:overflowPunct/>
        <w:topLinePunct w:val="0"/>
        <w:bidi w:val="0"/>
        <w:snapToGrid/>
        <w:spacing w:line="440" w:lineRule="exact"/>
        <w:textAlignment w:val="auto"/>
        <w:rPr>
          <w:rFonts w:hint="eastAsia" w:ascii="宋体" w:hAnsi="宋体" w:eastAsia="宋体" w:cs="宋体"/>
          <w:b/>
          <w:color w:val="auto"/>
          <w:sz w:val="24"/>
          <w:szCs w:val="24"/>
          <w:u w:val="single"/>
          <w:lang w:val="en-US" w:eastAsia="zh-CN"/>
        </w:rPr>
      </w:pPr>
      <w:bookmarkStart w:id="59" w:name="_Toc16351"/>
      <w:r>
        <w:rPr>
          <w:rFonts w:hint="eastAsia" w:ascii="宋体" w:hAnsi="宋体" w:eastAsia="宋体" w:cs="宋体"/>
          <w:color w:val="auto"/>
          <w:szCs w:val="24"/>
        </w:rPr>
        <w:fldChar w:fldCharType="end"/>
      </w:r>
      <w:bookmarkEnd w:id="57"/>
      <w:bookmarkEnd w:id="59"/>
      <w:r>
        <w:rPr>
          <w:rFonts w:hint="eastAsia" w:ascii="宋体" w:hAnsi="宋体" w:eastAsia="宋体" w:cs="宋体"/>
          <w:b/>
          <w:color w:val="auto"/>
          <w:sz w:val="24"/>
          <w:szCs w:val="24"/>
        </w:rPr>
        <w:t>发包人（全称）：</w:t>
      </w:r>
      <w:r>
        <w:rPr>
          <w:rFonts w:hint="eastAsia" w:ascii="宋体" w:hAnsi="宋体" w:eastAsia="宋体" w:cs="宋体"/>
          <w:b/>
          <w:color w:val="auto"/>
          <w:sz w:val="24"/>
          <w:szCs w:val="24"/>
          <w:u w:val="single"/>
          <w:lang w:val="en-US" w:eastAsia="zh-CN"/>
        </w:rPr>
        <w:t xml:space="preserve"> 富平县住房和城乡建设局       </w:t>
      </w:r>
    </w:p>
    <w:p>
      <w:pPr>
        <w:pageBreakBefore w:val="0"/>
        <w:kinsoku/>
        <w:wordWrap/>
        <w:overflowPunct/>
        <w:topLinePunct w:val="0"/>
        <w:bidi w:val="0"/>
        <w:snapToGrid/>
        <w:spacing w:line="440" w:lineRule="exact"/>
        <w:textAlignment w:val="auto"/>
        <w:rPr>
          <w:rFonts w:hint="eastAsia" w:ascii="宋体" w:hAnsi="宋体" w:eastAsia="宋体" w:cs="宋体"/>
          <w:b/>
          <w:color w:val="auto"/>
          <w:sz w:val="24"/>
          <w:szCs w:val="24"/>
          <w:u w:val="single"/>
          <w:lang w:val="en-US"/>
        </w:rPr>
      </w:pPr>
      <w:r>
        <w:rPr>
          <w:rFonts w:hint="eastAsia" w:ascii="宋体" w:hAnsi="宋体" w:eastAsia="宋体" w:cs="宋体"/>
          <w:b/>
          <w:color w:val="auto"/>
          <w:sz w:val="24"/>
          <w:szCs w:val="24"/>
        </w:rPr>
        <w:t>承包人（全称）：</w:t>
      </w:r>
      <w:r>
        <w:rPr>
          <w:rFonts w:hint="eastAsia" w:ascii="宋体" w:hAnsi="宋体" w:eastAsia="宋体" w:cs="宋体"/>
          <w:b/>
          <w:color w:val="auto"/>
          <w:sz w:val="24"/>
          <w:szCs w:val="24"/>
          <w:u w:val="single"/>
          <w:lang w:val="en-US" w:eastAsia="zh-CN"/>
        </w:rPr>
        <w:t xml:space="preserve">                                    </w:t>
      </w:r>
    </w:p>
    <w:p>
      <w:pPr>
        <w:pageBreakBefore w:val="0"/>
        <w:kinsoku/>
        <w:wordWrap/>
        <w:overflowPunct/>
        <w:topLinePunct w:val="0"/>
        <w:bidi w:val="0"/>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根据《中华人民共和国合同法》、《中华人民共和国建筑法》及有关法律规定，遵循平等、自愿、公平和诚实信用的原则，双方就</w:t>
      </w:r>
      <w:r>
        <w:rPr>
          <w:rFonts w:hint="eastAsia" w:ascii="宋体" w:hAnsi="宋体" w:eastAsia="宋体" w:cs="宋体"/>
          <w:color w:val="auto"/>
          <w:sz w:val="24"/>
          <w:szCs w:val="24"/>
          <w:u w:val="single"/>
        </w:rPr>
        <w:t xml:space="preserve">  </w:t>
      </w:r>
      <w:r>
        <w:rPr>
          <w:rFonts w:hint="eastAsia" w:ascii="宋体" w:hAnsi="宋体" w:cs="宋体"/>
          <w:b/>
          <w:bCs/>
          <w:color w:val="auto"/>
          <w:sz w:val="24"/>
          <w:u w:val="single"/>
          <w:lang w:eastAsia="zh-CN"/>
        </w:rPr>
        <w:t>富平县灯饰修缮工程</w:t>
      </w:r>
      <w:r>
        <w:rPr>
          <w:rFonts w:hint="eastAsia" w:ascii="宋体" w:hAnsi="宋体" w:eastAsia="宋体" w:cs="宋体"/>
          <w:b/>
          <w:bCs/>
          <w:color w:val="auto"/>
          <w:sz w:val="24"/>
          <w:u w:val="single"/>
          <w:lang w:val="en-US" w:eastAsia="zh-CN"/>
        </w:rPr>
        <w:t xml:space="preserve">  </w:t>
      </w:r>
      <w:r>
        <w:rPr>
          <w:rFonts w:hint="eastAsia" w:ascii="宋体" w:hAnsi="宋体" w:eastAsia="宋体" w:cs="宋体"/>
          <w:color w:val="auto"/>
          <w:sz w:val="24"/>
          <w:szCs w:val="24"/>
        </w:rPr>
        <w:t>工程施工及有关事项协商一致，共同达成如下协议：</w:t>
      </w:r>
    </w:p>
    <w:p>
      <w:pPr>
        <w:pStyle w:val="6"/>
        <w:pageBreakBefore w:val="0"/>
        <w:numPr>
          <w:ilvl w:val="3"/>
          <w:numId w:val="0"/>
        </w:numPr>
        <w:kinsoku/>
        <w:wordWrap/>
        <w:overflowPunct/>
        <w:topLinePunct w:val="0"/>
        <w:bidi w:val="0"/>
        <w:snapToGrid/>
        <w:spacing w:before="120" w:after="120" w:line="440" w:lineRule="exact"/>
        <w:jc w:val="both"/>
        <w:textAlignment w:val="auto"/>
        <w:rPr>
          <w:rFonts w:hint="eastAsia" w:ascii="宋体" w:hAnsi="宋体" w:eastAsia="宋体" w:cs="宋体"/>
          <w:b/>
          <w:bCs w:val="0"/>
          <w:color w:val="auto"/>
          <w:sz w:val="24"/>
          <w:szCs w:val="24"/>
        </w:rPr>
      </w:pPr>
      <w:bookmarkStart w:id="60" w:name="_Toc211"/>
      <w:r>
        <w:rPr>
          <w:rFonts w:hint="eastAsia" w:ascii="宋体" w:hAnsi="宋体" w:eastAsia="宋体" w:cs="宋体"/>
          <w:b/>
          <w:bCs w:val="0"/>
          <w:color w:val="auto"/>
          <w:sz w:val="24"/>
          <w:szCs w:val="24"/>
        </w:rPr>
        <w:t>一、工程概况</w:t>
      </w:r>
      <w:bookmarkEnd w:id="60"/>
    </w:p>
    <w:p>
      <w:pPr>
        <w:pageBreakBefore w:val="0"/>
        <w:kinsoku/>
        <w:wordWrap/>
        <w:overflowPunct/>
        <w:topLinePunct w:val="0"/>
        <w:bidi w:val="0"/>
        <w:snapToGrid/>
        <w:spacing w:line="440" w:lineRule="exact"/>
        <w:ind w:firstLine="470" w:firstLineChars="196"/>
        <w:textAlignment w:val="auto"/>
        <w:rPr>
          <w:rFonts w:hint="eastAsia" w:ascii="宋体" w:hAnsi="宋体" w:eastAsia="宋体" w:cs="宋体"/>
          <w:color w:val="auto"/>
          <w:sz w:val="24"/>
          <w:szCs w:val="24"/>
          <w:u w:val="single"/>
        </w:rPr>
      </w:pPr>
      <w:r>
        <w:rPr>
          <w:rFonts w:hint="eastAsia" w:ascii="宋体" w:hAnsi="宋体" w:eastAsia="宋体" w:cs="宋体"/>
          <w:bCs/>
          <w:color w:val="auto"/>
          <w:sz w:val="24"/>
          <w:szCs w:val="24"/>
        </w:rPr>
        <w:t>1.工程名称</w:t>
      </w:r>
      <w:r>
        <w:rPr>
          <w:rFonts w:hint="eastAsia" w:ascii="宋体" w:hAnsi="宋体" w:eastAsia="宋体" w:cs="宋体"/>
          <w:color w:val="auto"/>
          <w:sz w:val="24"/>
          <w:szCs w:val="24"/>
        </w:rPr>
        <w:t>：</w:t>
      </w:r>
      <w:r>
        <w:rPr>
          <w:rFonts w:hint="eastAsia" w:ascii="宋体" w:hAnsi="宋体" w:cs="宋体"/>
          <w:b/>
          <w:bCs/>
          <w:color w:val="auto"/>
          <w:sz w:val="24"/>
          <w:u w:val="single"/>
          <w:lang w:eastAsia="zh-CN"/>
        </w:rPr>
        <w:t>富平县灯饰修缮工程</w:t>
      </w:r>
      <w:r>
        <w:rPr>
          <w:rFonts w:hint="eastAsia" w:ascii="宋体" w:hAnsi="宋体" w:eastAsia="宋体" w:cs="宋体"/>
          <w:b/>
          <w:bCs/>
          <w:color w:val="auto"/>
          <w:sz w:val="24"/>
          <w:u w:val="single"/>
          <w:lang w:eastAsia="zh-CN"/>
        </w:rPr>
        <w:t>施工</w:t>
      </w:r>
      <w:r>
        <w:rPr>
          <w:rFonts w:hint="eastAsia" w:ascii="宋体" w:hAnsi="宋体" w:eastAsia="宋体" w:cs="宋体"/>
          <w:b/>
          <w:bCs/>
          <w:color w:val="auto"/>
          <w:sz w:val="24"/>
          <w:szCs w:val="24"/>
        </w:rPr>
        <w:t>。</w:t>
      </w:r>
    </w:p>
    <w:p>
      <w:pPr>
        <w:pageBreakBefore w:val="0"/>
        <w:kinsoku/>
        <w:wordWrap/>
        <w:overflowPunct/>
        <w:topLinePunct w:val="0"/>
        <w:bidi w:val="0"/>
        <w:snapToGrid/>
        <w:spacing w:line="440" w:lineRule="exact"/>
        <w:ind w:firstLine="470" w:firstLineChars="196"/>
        <w:textAlignment w:val="auto"/>
        <w:rPr>
          <w:rFonts w:hint="eastAsia" w:ascii="宋体" w:hAnsi="宋体" w:eastAsia="宋体" w:cs="宋体"/>
          <w:b/>
          <w:bCs/>
          <w:color w:val="auto"/>
          <w:sz w:val="24"/>
          <w:u w:val="single"/>
          <w:lang w:val="en-US" w:eastAsia="zh-CN"/>
        </w:rPr>
      </w:pPr>
      <w:r>
        <w:rPr>
          <w:rFonts w:hint="eastAsia" w:ascii="宋体" w:hAnsi="宋体" w:eastAsia="宋体" w:cs="宋体"/>
          <w:bCs/>
          <w:color w:val="auto"/>
          <w:sz w:val="24"/>
          <w:szCs w:val="24"/>
        </w:rPr>
        <w:t>2.工程地点：</w:t>
      </w:r>
      <w:r>
        <w:rPr>
          <w:rFonts w:hint="eastAsia" w:ascii="宋体" w:hAnsi="宋体" w:eastAsia="宋体" w:cs="宋体"/>
          <w:b/>
          <w:bCs/>
          <w:color w:val="auto"/>
          <w:sz w:val="24"/>
          <w:u w:val="single"/>
          <w:lang w:eastAsia="zh-CN"/>
        </w:rPr>
        <w:t>富平县</w:t>
      </w:r>
      <w:r>
        <w:rPr>
          <w:rFonts w:hint="eastAsia" w:ascii="宋体" w:hAnsi="宋体" w:eastAsia="宋体" w:cs="宋体"/>
          <w:b/>
          <w:bCs/>
          <w:color w:val="auto"/>
          <w:sz w:val="24"/>
          <w:u w:val="single"/>
          <w:lang w:val="en-US" w:eastAsia="zh-CN"/>
        </w:rPr>
        <w:t>。</w:t>
      </w:r>
    </w:p>
    <w:p>
      <w:pPr>
        <w:pageBreakBefore w:val="0"/>
        <w:kinsoku/>
        <w:wordWrap/>
        <w:overflowPunct/>
        <w:topLinePunct w:val="0"/>
        <w:bidi w:val="0"/>
        <w:snapToGrid/>
        <w:spacing w:line="440" w:lineRule="exact"/>
        <w:ind w:firstLine="470" w:firstLineChars="196"/>
        <w:textAlignment w:val="auto"/>
        <w:rPr>
          <w:rFonts w:hint="eastAsia" w:ascii="宋体" w:hAnsi="宋体" w:eastAsia="宋体" w:cs="宋体"/>
          <w:b/>
          <w:bCs/>
          <w:color w:val="auto"/>
          <w:sz w:val="24"/>
          <w:u w:val="single"/>
          <w:lang w:val="en-US" w:eastAsia="zh-CN"/>
        </w:rPr>
      </w:pPr>
      <w:r>
        <w:rPr>
          <w:rFonts w:hint="eastAsia" w:ascii="宋体" w:hAnsi="宋体" w:eastAsia="宋体" w:cs="宋体"/>
          <w:bCs/>
          <w:color w:val="auto"/>
          <w:sz w:val="24"/>
          <w:szCs w:val="24"/>
        </w:rPr>
        <w:t>3.工程立项批准文号：</w:t>
      </w:r>
      <w:r>
        <w:rPr>
          <w:rFonts w:hint="eastAsia" w:ascii="宋体" w:hAnsi="宋体" w:eastAsia="宋体" w:cs="宋体"/>
          <w:b/>
          <w:bCs/>
          <w:color w:val="auto"/>
          <w:sz w:val="24"/>
          <w:u w:val="single"/>
          <w:lang w:val="en-US" w:eastAsia="zh-CN"/>
        </w:rPr>
        <w:t xml:space="preserve">      。</w:t>
      </w:r>
    </w:p>
    <w:p>
      <w:pPr>
        <w:pageBreakBefore w:val="0"/>
        <w:kinsoku/>
        <w:wordWrap/>
        <w:overflowPunct/>
        <w:topLinePunct w:val="0"/>
        <w:bidi w:val="0"/>
        <w:snapToGrid/>
        <w:spacing w:line="440" w:lineRule="exact"/>
        <w:ind w:firstLine="470" w:firstLineChars="196"/>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4.资金来源：</w:t>
      </w:r>
      <w:r>
        <w:rPr>
          <w:rFonts w:hint="eastAsia" w:ascii="宋体" w:hAnsi="宋体" w:eastAsia="宋体" w:cs="宋体"/>
          <w:b/>
          <w:bCs/>
          <w:color w:val="auto"/>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b/>
          <w:bCs/>
          <w:color w:val="auto"/>
          <w:sz w:val="24"/>
          <w:u w:val="single"/>
          <w:lang w:val="en-US" w:eastAsia="zh-CN"/>
        </w:rPr>
      </w:pPr>
      <w:r>
        <w:rPr>
          <w:rFonts w:hint="eastAsia" w:ascii="宋体" w:hAnsi="宋体" w:eastAsia="宋体" w:cs="宋体"/>
          <w:bCs/>
          <w:color w:val="auto"/>
          <w:sz w:val="24"/>
          <w:szCs w:val="24"/>
        </w:rPr>
        <w:t>5.工程内容：</w:t>
      </w:r>
      <w:r>
        <w:rPr>
          <w:rFonts w:hint="eastAsia" w:ascii="宋体" w:hAnsi="宋体" w:eastAsia="宋体" w:cs="宋体"/>
          <w:b/>
          <w:color w:val="auto"/>
          <w:sz w:val="24"/>
          <w:szCs w:val="24"/>
          <w:u w:val="single"/>
          <w:lang w:val="en-US" w:eastAsia="zh-CN"/>
        </w:rPr>
        <w:t xml:space="preserve">                 。</w:t>
      </w:r>
    </w:p>
    <w:p>
      <w:pPr>
        <w:pageBreakBefore w:val="0"/>
        <w:kinsoku/>
        <w:wordWrap/>
        <w:overflowPunct/>
        <w:topLinePunct w:val="0"/>
        <w:bidi w:val="0"/>
        <w:snapToGrid/>
        <w:spacing w:line="440" w:lineRule="exact"/>
        <w:ind w:firstLine="470" w:firstLineChars="196"/>
        <w:textAlignment w:val="auto"/>
        <w:rPr>
          <w:rFonts w:hint="eastAsia" w:ascii="宋体" w:hAnsi="宋体" w:eastAsia="宋体" w:cs="宋体"/>
          <w:color w:val="auto"/>
          <w:sz w:val="24"/>
          <w:szCs w:val="24"/>
        </w:rPr>
      </w:pPr>
      <w:r>
        <w:rPr>
          <w:rFonts w:hint="eastAsia" w:ascii="宋体" w:hAnsi="宋体" w:eastAsia="宋体" w:cs="宋体"/>
          <w:bCs/>
          <w:color w:val="auto"/>
          <w:sz w:val="24"/>
          <w:szCs w:val="24"/>
        </w:rPr>
        <w:t>6.工程承包范围：</w:t>
      </w:r>
      <w:r>
        <w:rPr>
          <w:rFonts w:hint="eastAsia" w:ascii="宋体" w:hAnsi="宋体" w:eastAsia="宋体" w:cs="宋体"/>
          <w:b/>
          <w:color w:val="auto"/>
          <w:sz w:val="24"/>
          <w:szCs w:val="24"/>
          <w:u w:val="single"/>
          <w:lang w:val="en-US" w:eastAsia="zh-CN"/>
        </w:rPr>
        <w:t>施工图纸及工程量清单明确的内容</w:t>
      </w:r>
      <w:r>
        <w:rPr>
          <w:rFonts w:hint="eastAsia" w:ascii="宋体" w:hAnsi="宋体" w:eastAsia="宋体" w:cs="宋体"/>
          <w:color w:val="auto"/>
          <w:sz w:val="24"/>
          <w:szCs w:val="24"/>
        </w:rPr>
        <w:t>。</w:t>
      </w:r>
    </w:p>
    <w:p>
      <w:pPr>
        <w:pStyle w:val="6"/>
        <w:pageBreakBefore w:val="0"/>
        <w:numPr>
          <w:ilvl w:val="3"/>
          <w:numId w:val="0"/>
        </w:numPr>
        <w:kinsoku/>
        <w:wordWrap/>
        <w:overflowPunct/>
        <w:topLinePunct w:val="0"/>
        <w:bidi w:val="0"/>
        <w:snapToGrid/>
        <w:spacing w:before="120" w:after="120" w:line="440" w:lineRule="exact"/>
        <w:textAlignment w:val="auto"/>
        <w:rPr>
          <w:rFonts w:hint="eastAsia" w:ascii="宋体" w:hAnsi="宋体" w:eastAsia="宋体" w:cs="宋体"/>
          <w:b/>
          <w:bCs/>
          <w:color w:val="auto"/>
          <w:sz w:val="24"/>
          <w:szCs w:val="24"/>
        </w:rPr>
      </w:pPr>
      <w:bookmarkStart w:id="61" w:name="_Toc25120"/>
      <w:r>
        <w:rPr>
          <w:rFonts w:hint="eastAsia" w:ascii="宋体" w:hAnsi="宋体" w:eastAsia="宋体" w:cs="宋体"/>
          <w:b/>
          <w:bCs/>
          <w:color w:val="auto"/>
          <w:sz w:val="24"/>
          <w:szCs w:val="24"/>
        </w:rPr>
        <w:t>二、合同工期</w:t>
      </w:r>
      <w:bookmarkEnd w:id="61"/>
    </w:p>
    <w:p>
      <w:pPr>
        <w:pageBreakBefore w:val="0"/>
        <w:kinsoku/>
        <w:wordWrap/>
        <w:overflowPunct/>
        <w:topLinePunct w:val="0"/>
        <w:bidi w:val="0"/>
        <w:snapToGrid/>
        <w:spacing w:line="440" w:lineRule="exact"/>
        <w:ind w:firstLine="459"/>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计划开工日期：</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rPr>
        <w:t>日。</w:t>
      </w:r>
    </w:p>
    <w:p>
      <w:pPr>
        <w:pageBreakBefore w:val="0"/>
        <w:kinsoku/>
        <w:wordWrap/>
        <w:overflowPunct/>
        <w:topLinePunct w:val="0"/>
        <w:bidi w:val="0"/>
        <w:snapToGrid/>
        <w:spacing w:line="440" w:lineRule="exact"/>
        <w:ind w:firstLine="459"/>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计划竣工日期：</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rPr>
        <w:t>日。</w:t>
      </w:r>
    </w:p>
    <w:p>
      <w:pPr>
        <w:pageBreakBefore w:val="0"/>
        <w:kinsoku/>
        <w:wordWrap/>
        <w:overflowPunct/>
        <w:topLinePunct w:val="0"/>
        <w:bidi w:val="0"/>
        <w:snapToGrid/>
        <w:spacing w:line="440" w:lineRule="exact"/>
        <w:ind w:firstLine="459"/>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工期总日历天数：</w:t>
      </w:r>
      <w:r>
        <w:rPr>
          <w:rFonts w:hint="eastAsia" w:ascii="宋体" w:hAnsi="宋体" w:eastAsia="宋体" w:cs="宋体"/>
          <w:b/>
          <w:bCs/>
          <w:color w:val="auto"/>
          <w:sz w:val="24"/>
          <w:szCs w:val="24"/>
          <w:u w:val="single"/>
          <w:lang w:val="en-US" w:eastAsia="zh-CN"/>
        </w:rPr>
        <w:t xml:space="preserve"> </w:t>
      </w:r>
      <w:r>
        <w:rPr>
          <w:rFonts w:hint="eastAsia" w:ascii="宋体" w:hAnsi="宋体" w:cs="宋体"/>
          <w:b/>
          <w:bCs/>
          <w:color w:val="auto"/>
          <w:sz w:val="24"/>
          <w:szCs w:val="24"/>
          <w:u w:val="single"/>
          <w:lang w:val="en-US" w:eastAsia="zh-CN"/>
        </w:rPr>
        <w:t>30</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rPr>
        <w:t>天。工期总日历天数与根据前述计划开竣工日期计算的工期天数不一致的，以工期总日历天数为准。</w:t>
      </w:r>
    </w:p>
    <w:p>
      <w:pPr>
        <w:pStyle w:val="6"/>
        <w:pageBreakBefore w:val="0"/>
        <w:numPr>
          <w:ilvl w:val="3"/>
          <w:numId w:val="0"/>
        </w:numPr>
        <w:kinsoku/>
        <w:wordWrap/>
        <w:overflowPunct/>
        <w:topLinePunct w:val="0"/>
        <w:bidi w:val="0"/>
        <w:snapToGrid/>
        <w:spacing w:before="120" w:after="120" w:line="440" w:lineRule="exact"/>
        <w:textAlignment w:val="auto"/>
        <w:rPr>
          <w:rFonts w:hint="eastAsia" w:ascii="宋体" w:hAnsi="宋体" w:eastAsia="宋体" w:cs="宋体"/>
          <w:b/>
          <w:bCs/>
          <w:color w:val="auto"/>
          <w:sz w:val="24"/>
          <w:szCs w:val="24"/>
        </w:rPr>
      </w:pPr>
      <w:bookmarkStart w:id="62" w:name="_Toc14249"/>
      <w:r>
        <w:rPr>
          <w:rFonts w:hint="eastAsia" w:ascii="宋体" w:hAnsi="宋体" w:eastAsia="宋体" w:cs="宋体"/>
          <w:b/>
          <w:bCs/>
          <w:color w:val="auto"/>
          <w:sz w:val="24"/>
          <w:szCs w:val="24"/>
        </w:rPr>
        <w:t>三、质量标准</w:t>
      </w:r>
      <w:bookmarkEnd w:id="62"/>
    </w:p>
    <w:p>
      <w:pPr>
        <w:pageBreakBefore w:val="0"/>
        <w:kinsoku/>
        <w:wordWrap/>
        <w:overflowPunct/>
        <w:topLinePunct w:val="0"/>
        <w:bidi w:val="0"/>
        <w:snapToGrid/>
        <w:spacing w:line="440" w:lineRule="exact"/>
        <w:ind w:firstLine="459"/>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工程质量符合</w:t>
      </w:r>
      <w:r>
        <w:rPr>
          <w:rFonts w:hint="eastAsia" w:ascii="宋体" w:hAnsi="宋体" w:eastAsia="宋体" w:cs="宋体"/>
          <w:b/>
          <w:color w:val="auto"/>
          <w:sz w:val="24"/>
          <w:szCs w:val="24"/>
          <w:u w:val="single"/>
          <w:lang w:val="en-US" w:eastAsia="zh-CN"/>
        </w:rPr>
        <w:t xml:space="preserve">   合格   </w:t>
      </w:r>
      <w:r>
        <w:rPr>
          <w:rFonts w:hint="eastAsia" w:ascii="宋体" w:hAnsi="宋体" w:eastAsia="宋体" w:cs="宋体"/>
          <w:color w:val="auto"/>
          <w:sz w:val="24"/>
          <w:szCs w:val="24"/>
        </w:rPr>
        <w:t>标准。</w:t>
      </w:r>
    </w:p>
    <w:p>
      <w:pPr>
        <w:pStyle w:val="6"/>
        <w:pageBreakBefore w:val="0"/>
        <w:numPr>
          <w:ilvl w:val="3"/>
          <w:numId w:val="0"/>
        </w:numPr>
        <w:kinsoku/>
        <w:wordWrap/>
        <w:overflowPunct/>
        <w:topLinePunct w:val="0"/>
        <w:bidi w:val="0"/>
        <w:snapToGrid/>
        <w:spacing w:before="120" w:after="120" w:line="440" w:lineRule="exact"/>
        <w:textAlignment w:val="auto"/>
        <w:rPr>
          <w:rFonts w:hint="eastAsia" w:ascii="宋体" w:hAnsi="宋体" w:eastAsia="宋体" w:cs="宋体"/>
          <w:b/>
          <w:bCs/>
          <w:color w:val="auto"/>
          <w:sz w:val="24"/>
          <w:szCs w:val="24"/>
          <w:lang w:eastAsia="zh-CN"/>
        </w:rPr>
      </w:pPr>
      <w:bookmarkStart w:id="63" w:name="_Toc16811"/>
      <w:r>
        <w:rPr>
          <w:rFonts w:hint="eastAsia" w:ascii="宋体" w:hAnsi="宋体" w:eastAsia="宋体" w:cs="宋体"/>
          <w:b/>
          <w:bCs/>
          <w:color w:val="auto"/>
          <w:sz w:val="24"/>
          <w:szCs w:val="24"/>
        </w:rPr>
        <w:t>四、签约合同价与合同价格形式</w:t>
      </w:r>
      <w:bookmarkEnd w:id="63"/>
      <w:r>
        <w:rPr>
          <w:rFonts w:hint="eastAsia" w:ascii="宋体" w:hAnsi="宋体" w:eastAsia="宋体" w:cs="宋体"/>
          <w:b/>
          <w:bCs/>
          <w:color w:val="auto"/>
          <w:sz w:val="24"/>
          <w:szCs w:val="24"/>
          <w:lang w:eastAsia="zh-CN"/>
        </w:rPr>
        <w:t xml:space="preserve">   </w:t>
      </w:r>
    </w:p>
    <w:p>
      <w:pPr>
        <w:pageBreakBefore w:val="0"/>
        <w:kinsoku/>
        <w:wordWrap/>
        <w:overflowPunct/>
        <w:topLinePunct w:val="0"/>
        <w:bidi w:val="0"/>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1.签约合同价为：</w:t>
      </w:r>
    </w:p>
    <w:p>
      <w:pPr>
        <w:pageBreakBefore w:val="0"/>
        <w:kinsoku/>
        <w:wordWrap/>
        <w:overflowPunct/>
        <w:topLinePunct w:val="0"/>
        <w:bidi w:val="0"/>
        <w:snapToGrid/>
        <w:spacing w:line="440" w:lineRule="exact"/>
        <w:ind w:firstLine="600" w:firstLineChars="2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人民币（大写）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其中：</w:t>
      </w:r>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（1）安全文明施工费：</w:t>
      </w:r>
    </w:p>
    <w:p>
      <w:pPr>
        <w:pageBreakBefore w:val="0"/>
        <w:widowControl w:val="0"/>
        <w:kinsoku/>
        <w:wordWrap/>
        <w:overflowPunct/>
        <w:topLinePunct w:val="0"/>
        <w:bidi w:val="0"/>
        <w:snapToGrid/>
        <w:spacing w:line="420" w:lineRule="exact"/>
        <w:ind w:firstLine="1080" w:firstLineChars="4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人民币（大写）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（2）材料和工程设备暂估价金额：</w:t>
      </w:r>
    </w:p>
    <w:p>
      <w:pPr>
        <w:pageBreakBefore w:val="0"/>
        <w:widowControl w:val="0"/>
        <w:kinsoku/>
        <w:wordWrap/>
        <w:overflowPunct/>
        <w:topLinePunct w:val="0"/>
        <w:bidi w:val="0"/>
        <w:snapToGrid/>
        <w:spacing w:line="420" w:lineRule="exact"/>
        <w:ind w:firstLine="1080" w:firstLineChars="4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人民币（大写）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（3）专业工程暂估价金额：</w:t>
      </w:r>
    </w:p>
    <w:p>
      <w:pPr>
        <w:pageBreakBefore w:val="0"/>
        <w:widowControl w:val="0"/>
        <w:kinsoku/>
        <w:wordWrap/>
        <w:overflowPunct/>
        <w:topLinePunct w:val="0"/>
        <w:bidi w:val="0"/>
        <w:snapToGrid/>
        <w:spacing w:line="420" w:lineRule="exact"/>
        <w:ind w:firstLine="1080" w:firstLineChars="4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人民币（大写）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（4）暂列金额：</w:t>
      </w:r>
    </w:p>
    <w:p>
      <w:pPr>
        <w:pageBreakBefore w:val="0"/>
        <w:widowControl w:val="0"/>
        <w:kinsoku/>
        <w:wordWrap/>
        <w:overflowPunct/>
        <w:topLinePunct w:val="0"/>
        <w:bidi w:val="0"/>
        <w:snapToGrid/>
        <w:spacing w:line="420" w:lineRule="exact"/>
        <w:ind w:firstLine="1080" w:firstLineChars="4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人民币（大写）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2.合同价格形式：</w:t>
      </w:r>
      <w:r>
        <w:rPr>
          <w:rFonts w:hint="eastAsia" w:ascii="宋体" w:hAnsi="宋体" w:eastAsia="宋体" w:cs="宋体"/>
          <w:color w:val="0000FF"/>
          <w:sz w:val="24"/>
          <w:szCs w:val="24"/>
          <w:u w:val="single"/>
          <w:lang w:eastAsia="zh-CN"/>
        </w:rPr>
        <w:t xml:space="preserve">  </w:t>
      </w:r>
      <w:r>
        <w:rPr>
          <w:rFonts w:hint="eastAsia" w:ascii="宋体" w:hAnsi="宋体" w:eastAsia="宋体" w:cs="宋体"/>
          <w:b/>
          <w:bCs/>
          <w:color w:val="0000FF"/>
          <w:sz w:val="24"/>
          <w:szCs w:val="24"/>
          <w:u w:val="single"/>
          <w:lang w:eastAsia="zh-CN"/>
        </w:rPr>
        <w:t>固定总价合同</w:t>
      </w:r>
      <w:r>
        <w:rPr>
          <w:rFonts w:hint="eastAsia" w:ascii="宋体" w:hAnsi="宋体" w:eastAsia="宋体" w:cs="宋体"/>
          <w:b/>
          <w:bCs/>
          <w:color w:val="0000FF"/>
          <w:sz w:val="24"/>
          <w:szCs w:val="24"/>
          <w:u w:val="single"/>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rPr>
        <w:t>。</w:t>
      </w:r>
    </w:p>
    <w:p>
      <w:pPr>
        <w:pStyle w:val="6"/>
        <w:pageBreakBefore w:val="0"/>
        <w:widowControl w:val="0"/>
        <w:numPr>
          <w:ilvl w:val="3"/>
          <w:numId w:val="0"/>
        </w:numPr>
        <w:kinsoku/>
        <w:wordWrap/>
        <w:overflowPunct/>
        <w:topLinePunct w:val="0"/>
        <w:bidi w:val="0"/>
        <w:snapToGrid/>
        <w:spacing w:before="120" w:after="120" w:line="420" w:lineRule="exact"/>
        <w:textAlignment w:val="auto"/>
        <w:rPr>
          <w:rFonts w:hint="eastAsia" w:ascii="宋体" w:hAnsi="宋体" w:eastAsia="宋体" w:cs="宋体"/>
          <w:b/>
          <w:bCs/>
          <w:color w:val="auto"/>
          <w:sz w:val="24"/>
          <w:szCs w:val="24"/>
        </w:rPr>
      </w:pPr>
      <w:bookmarkStart w:id="64" w:name="_Toc24318"/>
      <w:r>
        <w:rPr>
          <w:rFonts w:hint="eastAsia" w:ascii="宋体" w:hAnsi="宋体" w:eastAsia="宋体" w:cs="宋体"/>
          <w:b/>
          <w:bCs/>
          <w:color w:val="auto"/>
          <w:sz w:val="24"/>
          <w:szCs w:val="24"/>
        </w:rPr>
        <w:t>五、项目经理</w:t>
      </w:r>
      <w:bookmarkEnd w:id="64"/>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承包人项目经理：</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rPr>
        <w:t>。</w:t>
      </w:r>
    </w:p>
    <w:p>
      <w:pPr>
        <w:pStyle w:val="6"/>
        <w:pageBreakBefore w:val="0"/>
        <w:widowControl w:val="0"/>
        <w:numPr>
          <w:ilvl w:val="3"/>
          <w:numId w:val="0"/>
        </w:numPr>
        <w:kinsoku/>
        <w:wordWrap/>
        <w:overflowPunct/>
        <w:topLinePunct w:val="0"/>
        <w:bidi w:val="0"/>
        <w:snapToGrid/>
        <w:spacing w:before="120" w:after="120" w:line="420" w:lineRule="exact"/>
        <w:textAlignment w:val="auto"/>
        <w:rPr>
          <w:rFonts w:hint="eastAsia" w:ascii="宋体" w:hAnsi="宋体" w:eastAsia="宋体" w:cs="宋体"/>
          <w:b/>
          <w:bCs/>
          <w:color w:val="auto"/>
          <w:sz w:val="24"/>
          <w:szCs w:val="24"/>
        </w:rPr>
      </w:pPr>
      <w:bookmarkStart w:id="65" w:name="_Toc874"/>
      <w:r>
        <w:rPr>
          <w:rFonts w:hint="eastAsia" w:ascii="宋体" w:hAnsi="宋体" w:eastAsia="宋体" w:cs="宋体"/>
          <w:b/>
          <w:bCs/>
          <w:color w:val="auto"/>
          <w:sz w:val="24"/>
          <w:szCs w:val="24"/>
        </w:rPr>
        <w:t>六、合同文件构成</w:t>
      </w:r>
      <w:bookmarkEnd w:id="65"/>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本协议书与下列文件一起构成合同文件：</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（1）中标通知书（如果有）；</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（2）投标函及其附录（如果有）； </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（3）专用合同条款及其附件；</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（4）通用合同条款；</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（5）技术标准和要求；</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（6）图纸；</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（7）已标价工程量清单或预算书；</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（8）其他合同文件。</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在合同订立及履行过程中形成的与合同有关的文件均构成合同文件组成部分。</w:t>
      </w:r>
    </w:p>
    <w:p>
      <w:pPr>
        <w:pageBreakBefore w:val="0"/>
        <w:widowControl w:val="0"/>
        <w:kinsoku/>
        <w:wordWrap/>
        <w:overflowPunct/>
        <w:topLinePunct w:val="0"/>
        <w:autoSpaceDE w:val="0"/>
        <w:autoSpaceDN w:val="0"/>
        <w:bidi w:val="0"/>
        <w:adjustRightInd w:val="0"/>
        <w:snapToGrid/>
        <w:spacing w:line="42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上述各项合同文件包括合同当事人就该项合同文件所作出的补充和修改，属于同一类内容的文件，应以最新签署的为准。专用合同条款及其附件须经合同当事人签字或盖章。</w:t>
      </w:r>
    </w:p>
    <w:p>
      <w:pPr>
        <w:pStyle w:val="6"/>
        <w:pageBreakBefore w:val="0"/>
        <w:widowControl w:val="0"/>
        <w:numPr>
          <w:ilvl w:val="3"/>
          <w:numId w:val="0"/>
        </w:numPr>
        <w:kinsoku/>
        <w:wordWrap/>
        <w:overflowPunct/>
        <w:topLinePunct w:val="0"/>
        <w:bidi w:val="0"/>
        <w:snapToGrid/>
        <w:spacing w:before="120" w:after="120" w:line="420" w:lineRule="exact"/>
        <w:textAlignment w:val="auto"/>
        <w:rPr>
          <w:rFonts w:hint="eastAsia" w:ascii="宋体" w:hAnsi="宋体" w:eastAsia="宋体" w:cs="宋体"/>
          <w:b/>
          <w:bCs/>
          <w:color w:val="auto"/>
          <w:sz w:val="24"/>
          <w:szCs w:val="24"/>
        </w:rPr>
      </w:pPr>
      <w:bookmarkStart w:id="66" w:name="_Toc21926"/>
      <w:r>
        <w:rPr>
          <w:rFonts w:hint="eastAsia" w:ascii="宋体" w:hAnsi="宋体" w:eastAsia="宋体" w:cs="宋体"/>
          <w:b/>
          <w:bCs/>
          <w:color w:val="auto"/>
          <w:sz w:val="24"/>
          <w:szCs w:val="24"/>
        </w:rPr>
        <w:t>七、承诺</w:t>
      </w:r>
      <w:bookmarkEnd w:id="66"/>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1.发包人承诺按照法律规定履行项目审批手续、筹集工程建设资金并按照合同约定的期限和方式支付合同价款。</w:t>
      </w:r>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2.承包人承诺按照法律规定及合同约定组织完成工程施工，确保工程质量和安全，不进行转包及违法分包，并在缺陷责任期及保修期内承担相应的工程维修责任。</w:t>
      </w:r>
    </w:p>
    <w:p>
      <w:pPr>
        <w:pageBreakBefore w:val="0"/>
        <w:widowControl w:val="0"/>
        <w:kinsoku/>
        <w:wordWrap/>
        <w:overflowPunct/>
        <w:topLinePunct w:val="0"/>
        <w:bidi w:val="0"/>
        <w:snapToGrid/>
        <w:spacing w:line="42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3.发包人和承包人通过招投标形式签订合同的，双方理解并承诺不再就同一工程另行签订与合同实质性内容相背离的协议。</w:t>
      </w:r>
    </w:p>
    <w:p>
      <w:pPr>
        <w:pStyle w:val="6"/>
        <w:pageBreakBefore w:val="0"/>
        <w:numPr>
          <w:ilvl w:val="3"/>
          <w:numId w:val="0"/>
        </w:numPr>
        <w:kinsoku/>
        <w:wordWrap/>
        <w:overflowPunct/>
        <w:topLinePunct w:val="0"/>
        <w:bidi w:val="0"/>
        <w:snapToGrid/>
        <w:spacing w:before="120" w:after="120" w:line="440" w:lineRule="exact"/>
        <w:textAlignment w:val="auto"/>
        <w:rPr>
          <w:rFonts w:hint="eastAsia" w:ascii="宋体" w:hAnsi="宋体" w:eastAsia="宋体" w:cs="宋体"/>
          <w:b/>
          <w:bCs/>
          <w:color w:val="auto"/>
          <w:sz w:val="24"/>
          <w:szCs w:val="24"/>
        </w:rPr>
      </w:pPr>
      <w:bookmarkStart w:id="67" w:name="_Toc16996"/>
      <w:r>
        <w:rPr>
          <w:rFonts w:hint="eastAsia" w:ascii="宋体" w:hAnsi="宋体" w:eastAsia="宋体" w:cs="宋体"/>
          <w:b/>
          <w:bCs/>
          <w:color w:val="auto"/>
          <w:sz w:val="24"/>
          <w:szCs w:val="24"/>
        </w:rPr>
        <w:t>八、词语含义</w:t>
      </w:r>
      <w:bookmarkEnd w:id="67"/>
    </w:p>
    <w:p>
      <w:pPr>
        <w:pageBreakBefore w:val="0"/>
        <w:kinsoku/>
        <w:wordWrap/>
        <w:overflowPunct/>
        <w:topLinePunct w:val="0"/>
        <w:bidi w:val="0"/>
        <w:snapToGrid/>
        <w:spacing w:line="44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本协议书中词语含义与第二部分通用合同条款中赋予的含义相同。</w:t>
      </w:r>
    </w:p>
    <w:p>
      <w:pPr>
        <w:pStyle w:val="6"/>
        <w:pageBreakBefore w:val="0"/>
        <w:numPr>
          <w:ilvl w:val="3"/>
          <w:numId w:val="0"/>
        </w:numPr>
        <w:kinsoku/>
        <w:wordWrap/>
        <w:overflowPunct/>
        <w:topLinePunct w:val="0"/>
        <w:bidi w:val="0"/>
        <w:snapToGrid/>
        <w:spacing w:before="120" w:after="120" w:line="440" w:lineRule="exact"/>
        <w:textAlignment w:val="auto"/>
        <w:rPr>
          <w:rFonts w:hint="eastAsia" w:ascii="宋体" w:hAnsi="宋体" w:eastAsia="宋体" w:cs="宋体"/>
          <w:b/>
          <w:bCs/>
          <w:color w:val="auto"/>
          <w:sz w:val="24"/>
          <w:szCs w:val="24"/>
        </w:rPr>
      </w:pPr>
      <w:bookmarkStart w:id="68" w:name="_Toc11272"/>
      <w:r>
        <w:rPr>
          <w:rFonts w:hint="eastAsia" w:ascii="宋体" w:hAnsi="宋体" w:eastAsia="宋体" w:cs="宋体"/>
          <w:b/>
          <w:bCs/>
          <w:color w:val="auto"/>
          <w:sz w:val="24"/>
          <w:szCs w:val="24"/>
        </w:rPr>
        <w:t>九、签订时间</w:t>
      </w:r>
      <w:bookmarkEnd w:id="68"/>
    </w:p>
    <w:p>
      <w:pPr>
        <w:pageBreakBefore w:val="0"/>
        <w:kinsoku/>
        <w:wordWrap/>
        <w:overflowPunct/>
        <w:topLinePunct w:val="0"/>
        <w:bidi w:val="0"/>
        <w:snapToGrid/>
        <w:spacing w:line="44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本合同于</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年</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月</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日签订。</w:t>
      </w:r>
    </w:p>
    <w:p>
      <w:pPr>
        <w:pStyle w:val="6"/>
        <w:pageBreakBefore w:val="0"/>
        <w:numPr>
          <w:ilvl w:val="3"/>
          <w:numId w:val="0"/>
        </w:numPr>
        <w:kinsoku/>
        <w:wordWrap/>
        <w:overflowPunct/>
        <w:topLinePunct w:val="0"/>
        <w:bidi w:val="0"/>
        <w:snapToGrid/>
        <w:spacing w:before="120" w:after="120" w:line="440" w:lineRule="exact"/>
        <w:textAlignment w:val="auto"/>
        <w:rPr>
          <w:rFonts w:hint="eastAsia" w:ascii="宋体" w:hAnsi="宋体" w:eastAsia="宋体" w:cs="宋体"/>
          <w:b/>
          <w:bCs/>
          <w:color w:val="auto"/>
          <w:sz w:val="24"/>
          <w:szCs w:val="24"/>
        </w:rPr>
      </w:pPr>
      <w:bookmarkStart w:id="69" w:name="_Toc4338"/>
      <w:r>
        <w:rPr>
          <w:rFonts w:hint="eastAsia" w:ascii="宋体" w:hAnsi="宋体" w:eastAsia="宋体" w:cs="宋体"/>
          <w:b/>
          <w:bCs/>
          <w:color w:val="auto"/>
          <w:sz w:val="24"/>
          <w:szCs w:val="24"/>
        </w:rPr>
        <w:t>十、签订地点</w:t>
      </w:r>
      <w:bookmarkEnd w:id="69"/>
    </w:p>
    <w:p>
      <w:pPr>
        <w:pageBreakBefore w:val="0"/>
        <w:kinsoku/>
        <w:wordWrap/>
        <w:overflowPunct/>
        <w:topLinePunct w:val="0"/>
        <w:bidi w:val="0"/>
        <w:snapToGrid/>
        <w:spacing w:line="44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本合同在</w:t>
      </w:r>
      <w:r>
        <w:rPr>
          <w:rFonts w:hint="eastAsia" w:ascii="宋体" w:hAnsi="宋体" w:eastAsia="宋体" w:cs="宋体"/>
          <w:bCs/>
          <w:color w:val="auto"/>
          <w:sz w:val="24"/>
          <w:szCs w:val="24"/>
          <w:u w:val="single"/>
        </w:rPr>
        <w:t xml:space="preserve">  </w:t>
      </w:r>
      <w:r>
        <w:rPr>
          <w:rFonts w:hint="eastAsia" w:ascii="宋体" w:hAnsi="宋体" w:eastAsia="宋体" w:cs="宋体"/>
          <w:b/>
          <w:bCs/>
          <w:color w:val="auto"/>
          <w:sz w:val="24"/>
          <w:szCs w:val="24"/>
          <w:u w:val="single"/>
          <w:lang w:eastAsia="zh-CN"/>
        </w:rPr>
        <w:t xml:space="preserve">  富平县住房和城乡建设局</w:t>
      </w:r>
      <w:r>
        <w:rPr>
          <w:rFonts w:hint="eastAsia" w:ascii="宋体" w:hAnsi="宋体" w:eastAsia="宋体" w:cs="宋体"/>
          <w:bCs/>
          <w:color w:val="auto"/>
          <w:sz w:val="24"/>
          <w:szCs w:val="24"/>
          <w:u w:val="single"/>
        </w:rPr>
        <w:t xml:space="preserve">   </w:t>
      </w:r>
      <w:r>
        <w:rPr>
          <w:rFonts w:hint="eastAsia" w:ascii="宋体" w:hAnsi="宋体" w:eastAsia="宋体" w:cs="宋体"/>
          <w:bCs/>
          <w:color w:val="auto"/>
          <w:sz w:val="24"/>
          <w:szCs w:val="24"/>
        </w:rPr>
        <w:t>签订。</w:t>
      </w:r>
    </w:p>
    <w:p>
      <w:pPr>
        <w:pStyle w:val="6"/>
        <w:pageBreakBefore w:val="0"/>
        <w:numPr>
          <w:ilvl w:val="3"/>
          <w:numId w:val="0"/>
        </w:numPr>
        <w:kinsoku/>
        <w:wordWrap/>
        <w:overflowPunct/>
        <w:topLinePunct w:val="0"/>
        <w:bidi w:val="0"/>
        <w:snapToGrid/>
        <w:spacing w:before="120" w:after="120" w:line="440" w:lineRule="exact"/>
        <w:textAlignment w:val="auto"/>
        <w:rPr>
          <w:rFonts w:hint="eastAsia" w:ascii="宋体" w:hAnsi="宋体" w:eastAsia="宋体" w:cs="宋体"/>
          <w:b/>
          <w:bCs w:val="0"/>
          <w:color w:val="auto"/>
          <w:sz w:val="24"/>
          <w:szCs w:val="24"/>
        </w:rPr>
      </w:pPr>
      <w:bookmarkStart w:id="70" w:name="_Toc10334"/>
      <w:r>
        <w:rPr>
          <w:rFonts w:hint="eastAsia" w:ascii="宋体" w:hAnsi="宋体" w:eastAsia="宋体" w:cs="宋体"/>
          <w:b/>
          <w:bCs w:val="0"/>
          <w:color w:val="auto"/>
          <w:sz w:val="24"/>
          <w:szCs w:val="24"/>
        </w:rPr>
        <w:t>十一、补充协议</w:t>
      </w:r>
      <w:bookmarkEnd w:id="70"/>
    </w:p>
    <w:p>
      <w:pPr>
        <w:pageBreakBefore w:val="0"/>
        <w:kinsoku/>
        <w:wordWrap/>
        <w:overflowPunct/>
        <w:topLinePunct w:val="0"/>
        <w:bidi w:val="0"/>
        <w:snapToGrid/>
        <w:spacing w:line="440" w:lineRule="exact"/>
        <w:ind w:firstLine="480" w:firstLineChars="200"/>
        <w:textAlignment w:val="auto"/>
        <w:rPr>
          <w:rFonts w:hint="eastAsia" w:ascii="宋体" w:hAnsi="宋体" w:eastAsia="宋体" w:cs="宋体"/>
          <w:b/>
          <w:bCs/>
          <w:color w:val="auto"/>
          <w:sz w:val="24"/>
          <w:szCs w:val="24"/>
        </w:rPr>
      </w:pPr>
      <w:r>
        <w:rPr>
          <w:rFonts w:hint="eastAsia" w:ascii="宋体" w:hAnsi="宋体" w:eastAsia="宋体" w:cs="宋体"/>
          <w:bCs/>
          <w:color w:val="auto"/>
          <w:sz w:val="24"/>
          <w:szCs w:val="24"/>
        </w:rPr>
        <w:t>合同未尽事宜，合同当事人另行签订补充协议，补充协议是合同的组成部分。</w:t>
      </w:r>
    </w:p>
    <w:p>
      <w:pPr>
        <w:pStyle w:val="6"/>
        <w:pageBreakBefore w:val="0"/>
        <w:numPr>
          <w:ilvl w:val="3"/>
          <w:numId w:val="0"/>
        </w:numPr>
        <w:kinsoku/>
        <w:wordWrap/>
        <w:overflowPunct/>
        <w:topLinePunct w:val="0"/>
        <w:bidi w:val="0"/>
        <w:snapToGrid/>
        <w:spacing w:before="120" w:after="120" w:line="440" w:lineRule="exact"/>
        <w:textAlignment w:val="auto"/>
        <w:rPr>
          <w:rFonts w:hint="eastAsia" w:ascii="宋体" w:hAnsi="宋体" w:eastAsia="宋体" w:cs="宋体"/>
          <w:b/>
          <w:bCs w:val="0"/>
          <w:color w:val="auto"/>
          <w:sz w:val="24"/>
          <w:szCs w:val="24"/>
        </w:rPr>
      </w:pPr>
      <w:bookmarkStart w:id="71" w:name="_Toc19595"/>
      <w:r>
        <w:rPr>
          <w:rFonts w:hint="eastAsia" w:ascii="宋体" w:hAnsi="宋体" w:eastAsia="宋体" w:cs="宋体"/>
          <w:b/>
          <w:bCs w:val="0"/>
          <w:color w:val="auto"/>
          <w:sz w:val="24"/>
          <w:szCs w:val="24"/>
        </w:rPr>
        <w:t>十二、合同生效</w:t>
      </w:r>
      <w:bookmarkEnd w:id="71"/>
    </w:p>
    <w:p>
      <w:pPr>
        <w:pageBreakBefore w:val="0"/>
        <w:kinsoku/>
        <w:wordWrap/>
        <w:overflowPunct/>
        <w:topLinePunct w:val="0"/>
        <w:bidi w:val="0"/>
        <w:snapToGrid/>
        <w:spacing w:line="44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本合同自</w:t>
      </w:r>
      <w:r>
        <w:rPr>
          <w:rFonts w:hint="eastAsia" w:ascii="宋体" w:hAnsi="宋体" w:eastAsia="宋体" w:cs="宋体"/>
          <w:bCs/>
          <w:color w:val="auto"/>
          <w:sz w:val="24"/>
          <w:szCs w:val="24"/>
          <w:u w:val="single"/>
        </w:rPr>
        <w:t xml:space="preserve">  </w:t>
      </w:r>
      <w:r>
        <w:rPr>
          <w:rFonts w:hint="eastAsia" w:ascii="宋体" w:hAnsi="宋体" w:eastAsia="宋体" w:cs="宋体"/>
          <w:b/>
          <w:bCs/>
          <w:color w:val="auto"/>
          <w:sz w:val="24"/>
          <w:szCs w:val="24"/>
          <w:u w:val="single"/>
          <w:lang w:eastAsia="zh-CN"/>
        </w:rPr>
        <w:t xml:space="preserve">双方签字并加盖单位公章后 </w:t>
      </w:r>
      <w:r>
        <w:rPr>
          <w:rFonts w:hint="eastAsia" w:ascii="宋体" w:hAnsi="宋体" w:eastAsia="宋体" w:cs="宋体"/>
          <w:bCs/>
          <w:color w:val="auto"/>
          <w:sz w:val="24"/>
          <w:szCs w:val="24"/>
          <w:u w:val="single"/>
          <w:lang w:val="en-US" w:eastAsia="zh-CN"/>
        </w:rPr>
        <w:t xml:space="preserve"> </w:t>
      </w:r>
      <w:r>
        <w:rPr>
          <w:rFonts w:hint="eastAsia" w:ascii="宋体" w:hAnsi="宋体" w:eastAsia="宋体" w:cs="宋体"/>
          <w:bCs/>
          <w:color w:val="auto"/>
          <w:sz w:val="24"/>
          <w:szCs w:val="24"/>
        </w:rPr>
        <w:t>生效。</w:t>
      </w:r>
    </w:p>
    <w:p>
      <w:pPr>
        <w:pStyle w:val="6"/>
        <w:pageBreakBefore w:val="0"/>
        <w:numPr>
          <w:ilvl w:val="3"/>
          <w:numId w:val="0"/>
        </w:numPr>
        <w:kinsoku/>
        <w:wordWrap/>
        <w:overflowPunct/>
        <w:topLinePunct w:val="0"/>
        <w:bidi w:val="0"/>
        <w:snapToGrid/>
        <w:spacing w:before="120" w:after="120" w:line="440" w:lineRule="exact"/>
        <w:textAlignment w:val="auto"/>
        <w:rPr>
          <w:rFonts w:hint="eastAsia" w:ascii="宋体" w:hAnsi="宋体" w:eastAsia="宋体" w:cs="宋体"/>
          <w:b/>
          <w:bCs w:val="0"/>
          <w:color w:val="auto"/>
          <w:sz w:val="24"/>
          <w:szCs w:val="24"/>
        </w:rPr>
      </w:pPr>
      <w:bookmarkStart w:id="72" w:name="_Toc10723"/>
      <w:r>
        <w:rPr>
          <w:rFonts w:hint="eastAsia" w:ascii="宋体" w:hAnsi="宋体" w:eastAsia="宋体" w:cs="宋体"/>
          <w:b/>
          <w:bCs w:val="0"/>
          <w:color w:val="auto"/>
          <w:sz w:val="24"/>
          <w:szCs w:val="24"/>
        </w:rPr>
        <w:t>十三、合同份数</w:t>
      </w:r>
      <w:bookmarkEnd w:id="72"/>
    </w:p>
    <w:p>
      <w:pPr>
        <w:pageBreakBefore w:val="0"/>
        <w:kinsoku/>
        <w:wordWrap/>
        <w:overflowPunct/>
        <w:topLinePunct w:val="0"/>
        <w:bidi w:val="0"/>
        <w:snapToGrid/>
        <w:spacing w:line="440" w:lineRule="exact"/>
        <w:ind w:firstLine="480" w:firstLineChars="200"/>
        <w:textAlignment w:val="auto"/>
        <w:rPr>
          <w:rFonts w:hint="eastAsia" w:ascii="宋体" w:hAnsi="宋体" w:eastAsia="宋体" w:cs="宋体"/>
          <w:bCs/>
          <w:color w:val="auto"/>
          <w:sz w:val="24"/>
          <w:szCs w:val="24"/>
        </w:rPr>
      </w:pPr>
      <w:r>
        <w:rPr>
          <w:rFonts w:hint="eastAsia" w:ascii="宋体" w:hAnsi="宋体" w:eastAsia="宋体" w:cs="宋体"/>
          <w:bCs/>
          <w:color w:val="auto"/>
          <w:sz w:val="24"/>
          <w:szCs w:val="24"/>
        </w:rPr>
        <w:t>本合同一式捌份，均具有同等法律效力，正本贰份，双方各执壹份；副本陆份，双方各执叁份。当正副本不一致时，以正本为准。</w:t>
      </w:r>
    </w:p>
    <w:p>
      <w:pPr>
        <w:pageBreakBefore w:val="0"/>
        <w:kinsoku/>
        <w:wordWrap/>
        <w:overflowPunct/>
        <w:topLinePunct w:val="0"/>
        <w:bidi w:val="0"/>
        <w:snapToGrid/>
        <w:spacing w:line="440" w:lineRule="exact"/>
        <w:textAlignment w:val="auto"/>
        <w:rPr>
          <w:rFonts w:hint="eastAsia" w:ascii="宋体" w:hAnsi="宋体" w:eastAsia="宋体" w:cs="宋体"/>
          <w:color w:val="auto"/>
          <w:sz w:val="24"/>
          <w:szCs w:val="24"/>
        </w:rPr>
      </w:pPr>
    </w:p>
    <w:p>
      <w:pPr>
        <w:pageBreakBefore w:val="0"/>
        <w:kinsoku/>
        <w:wordWrap/>
        <w:overflowPunct/>
        <w:topLinePunct w:val="0"/>
        <w:bidi w:val="0"/>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发包人：  (公章)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承包人：  (公章)</w:t>
      </w:r>
    </w:p>
    <w:p>
      <w:pPr>
        <w:pageBreakBefore w:val="0"/>
        <w:kinsoku/>
        <w:wordWrap/>
        <w:overflowPunct/>
        <w:topLinePunct w:val="0"/>
        <w:bidi w:val="0"/>
        <w:snapToGrid/>
        <w:spacing w:line="440" w:lineRule="exact"/>
        <w:textAlignment w:val="auto"/>
        <w:rPr>
          <w:rFonts w:hint="eastAsia" w:ascii="宋体" w:hAnsi="宋体" w:eastAsia="宋体" w:cs="宋体"/>
          <w:color w:val="auto"/>
          <w:sz w:val="24"/>
          <w:szCs w:val="24"/>
        </w:rPr>
      </w:pPr>
    </w:p>
    <w:p>
      <w:pPr>
        <w:pageBreakBefore w:val="0"/>
        <w:kinsoku/>
        <w:wordWrap/>
        <w:overflowPunct/>
        <w:topLinePunct w:val="0"/>
        <w:bidi w:val="0"/>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法定代表人或其委托代理人：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法定代表人或其委托代理人：</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 xml:space="preserve">（签字）                   </w:t>
      </w:r>
      <w:r>
        <w:rPr>
          <w:rFonts w:hint="eastAsia" w:ascii="宋体" w:hAnsi="宋体" w:eastAsia="宋体" w:cs="宋体"/>
          <w:color w:val="0000FF"/>
          <w:sz w:val="24"/>
          <w:szCs w:val="24"/>
          <w:lang w:val="en-US" w:eastAsia="zh-CN"/>
        </w:rPr>
        <w:t xml:space="preserve">              </w:t>
      </w:r>
      <w:r>
        <w:rPr>
          <w:rFonts w:hint="eastAsia" w:ascii="宋体" w:hAnsi="宋体" w:eastAsia="宋体" w:cs="宋体"/>
          <w:color w:val="0000FF"/>
          <w:sz w:val="24"/>
          <w:szCs w:val="24"/>
        </w:rPr>
        <w:t xml:space="preserve"> （签字）</w:t>
      </w:r>
    </w:p>
    <w:p>
      <w:pPr>
        <w:pageBreakBefore w:val="0"/>
        <w:tabs>
          <w:tab w:val="left" w:pos="4410"/>
        </w:tabs>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组织机构代码：</w:t>
      </w:r>
      <w:r>
        <w:rPr>
          <w:rFonts w:hint="eastAsia" w:ascii="宋体" w:hAnsi="宋体" w:eastAsia="宋体" w:cs="宋体"/>
          <w:color w:val="0000FF"/>
          <w:sz w:val="24"/>
          <w:szCs w:val="24"/>
          <w:u w:val="single"/>
        </w:rPr>
        <w:t>11610528010816425N</w:t>
      </w:r>
      <w:r>
        <w:rPr>
          <w:rFonts w:hint="eastAsia" w:ascii="宋体" w:hAnsi="宋体" w:eastAsia="宋体" w:cs="宋体"/>
          <w:color w:val="0000FF"/>
          <w:sz w:val="24"/>
          <w:szCs w:val="24"/>
          <w:lang w:val="en-US" w:eastAsia="zh-CN"/>
        </w:rPr>
        <w:t xml:space="preserve"> </w:t>
      </w:r>
      <w:r>
        <w:rPr>
          <w:rFonts w:hint="eastAsia" w:ascii="宋体" w:hAnsi="宋体" w:eastAsia="宋体" w:cs="宋体"/>
          <w:color w:val="0000FF"/>
          <w:sz w:val="24"/>
          <w:szCs w:val="24"/>
        </w:rPr>
        <w:t>组织机构代码：</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rPr>
        <w:t xml:space="preserve"> </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地  址：</w:t>
      </w:r>
      <w:r>
        <w:rPr>
          <w:rFonts w:hint="eastAsia" w:ascii="宋体" w:hAnsi="宋体" w:eastAsia="宋体" w:cs="宋体"/>
          <w:color w:val="0000FF"/>
          <w:sz w:val="24"/>
          <w:szCs w:val="24"/>
          <w:u w:val="single"/>
        </w:rPr>
        <w:t>富平县车站大街西段143号</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rPr>
        <w:t>地  址：</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邮政编码：</w:t>
      </w:r>
      <w:r>
        <w:rPr>
          <w:rFonts w:hint="eastAsia" w:ascii="宋体" w:hAnsi="宋体" w:eastAsia="宋体" w:cs="宋体"/>
          <w:color w:val="0000FF"/>
          <w:sz w:val="24"/>
          <w:szCs w:val="24"/>
          <w:u w:val="single"/>
          <w:lang w:val="en-US" w:eastAsia="zh-CN"/>
        </w:rPr>
        <w:t xml:space="preserve">711700 </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rPr>
        <w:t xml:space="preserve"> </w:t>
      </w:r>
      <w:r>
        <w:rPr>
          <w:rFonts w:hint="eastAsia" w:ascii="宋体" w:hAnsi="宋体" w:eastAsia="宋体" w:cs="宋体"/>
          <w:color w:val="0000FF"/>
          <w:sz w:val="24"/>
          <w:szCs w:val="24"/>
          <w:lang w:val="en-US" w:eastAsia="zh-CN"/>
        </w:rPr>
        <w:t xml:space="preserve"> </w:t>
      </w:r>
      <w:r>
        <w:rPr>
          <w:rFonts w:hint="eastAsia" w:ascii="宋体" w:hAnsi="宋体" w:eastAsia="宋体" w:cs="宋体"/>
          <w:color w:val="0000FF"/>
          <w:sz w:val="24"/>
          <w:szCs w:val="24"/>
        </w:rPr>
        <w:t>邮政编码：</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法定代表人：</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rPr>
        <w:t>法定代表人：</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委托代理人：</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rPr>
        <w:t>委托代理人：</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电  话：</w:t>
      </w:r>
      <w:r>
        <w:rPr>
          <w:rFonts w:hint="eastAsia" w:ascii="宋体" w:hAnsi="宋体" w:eastAsia="宋体" w:cs="宋体"/>
          <w:color w:val="0000FF"/>
          <w:sz w:val="24"/>
          <w:szCs w:val="24"/>
          <w:u w:val="single"/>
        </w:rPr>
        <w:t>0913-8212691</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rPr>
        <w:t>电  话：</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传  真：</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rPr>
        <w:t>传  真：</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电子信箱：</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rPr>
        <w:t>电子信箱：</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开户银行：</w:t>
      </w:r>
      <w:r>
        <w:rPr>
          <w:rFonts w:hint="eastAsia" w:ascii="宋体" w:hAnsi="宋体" w:eastAsia="宋体" w:cs="宋体"/>
          <w:color w:val="0000FF"/>
          <w:sz w:val="24"/>
          <w:szCs w:val="24"/>
          <w:u w:val="single"/>
        </w:rPr>
        <w:t>农行富平支行</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rPr>
        <w:t>开户银行：</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p>
    <w:p>
      <w:pPr>
        <w:pageBreakBefore w:val="0"/>
        <w:kinsoku/>
        <w:wordWrap/>
        <w:overflowPunct/>
        <w:topLinePunct w:val="0"/>
        <w:bidi w:val="0"/>
        <w:snapToGrid/>
        <w:spacing w:line="440" w:lineRule="exac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账  号：</w:t>
      </w:r>
      <w:r>
        <w:rPr>
          <w:rFonts w:hint="eastAsia" w:ascii="宋体" w:hAnsi="宋体" w:eastAsia="宋体" w:cs="宋体"/>
          <w:color w:val="0000FF"/>
          <w:sz w:val="24"/>
          <w:szCs w:val="24"/>
          <w:u w:val="single"/>
        </w:rPr>
        <w:t>26555101040001476</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u w:val="single"/>
          <w:lang w:val="en-US" w:eastAsia="zh-CN"/>
        </w:rPr>
        <w:t xml:space="preserve"> </w:t>
      </w:r>
      <w:r>
        <w:rPr>
          <w:rFonts w:hint="eastAsia" w:ascii="宋体" w:hAnsi="宋体" w:eastAsia="宋体" w:cs="宋体"/>
          <w:color w:val="0000FF"/>
          <w:sz w:val="24"/>
          <w:szCs w:val="24"/>
        </w:rPr>
        <w:t>账  号：</w:t>
      </w:r>
      <w:r>
        <w:rPr>
          <w:rFonts w:hint="eastAsia" w:ascii="宋体" w:hAnsi="宋体" w:eastAsia="宋体" w:cs="宋体"/>
          <w:color w:val="0000FF"/>
          <w:sz w:val="24"/>
          <w:szCs w:val="24"/>
          <w:u w:val="single"/>
          <w:lang w:eastAsia="zh-CN"/>
        </w:rPr>
        <w:t xml:space="preserve">        </w:t>
      </w:r>
      <w:r>
        <w:rPr>
          <w:rFonts w:hint="eastAsia" w:ascii="宋体" w:hAnsi="宋体" w:eastAsia="宋体" w:cs="宋体"/>
          <w:color w:val="0000FF"/>
          <w:sz w:val="24"/>
          <w:szCs w:val="24"/>
          <w:u w:val="single"/>
        </w:rPr>
        <w:t xml:space="preserve">     </w:t>
      </w:r>
    </w:p>
    <w:p>
      <w:pPr>
        <w:rPr>
          <w:rFonts w:hint="eastAsia" w:ascii="宋体" w:hAnsi="宋体" w:eastAsia="宋体" w:cs="宋体"/>
          <w:color w:val="0000FF"/>
          <w:sz w:val="24"/>
          <w:szCs w:val="24"/>
          <w:u w:val="single"/>
        </w:rPr>
      </w:pPr>
    </w:p>
    <w:p>
      <w:pPr>
        <w:pStyle w:val="3"/>
        <w:keepLines/>
        <w:spacing w:before="340" w:after="330" w:line="580" w:lineRule="exact"/>
        <w:ind w:left="210" w:leftChars="100"/>
        <w:rPr>
          <w:rFonts w:hint="eastAsia" w:ascii="宋体" w:hAnsi="宋体" w:eastAsia="宋体" w:cs="宋体"/>
          <w:b/>
          <w:color w:val="auto"/>
          <w:sz w:val="36"/>
          <w:szCs w:val="36"/>
          <w:highlight w:val="none"/>
          <w:lang w:val="en-US" w:eastAsia="zh-CN"/>
        </w:rPr>
      </w:pPr>
      <w:bookmarkStart w:id="73" w:name="_Toc21027"/>
      <w:r>
        <w:rPr>
          <w:rFonts w:hint="eastAsia" w:ascii="宋体" w:hAnsi="宋体" w:eastAsia="宋体" w:cs="宋体"/>
          <w:b/>
          <w:color w:val="auto"/>
          <w:sz w:val="36"/>
          <w:szCs w:val="36"/>
          <w:highlight w:val="none"/>
          <w:lang w:eastAsia="zh-CN"/>
        </w:rPr>
        <w:t>第二部分</w:t>
      </w:r>
      <w:r>
        <w:rPr>
          <w:rFonts w:hint="eastAsia" w:ascii="宋体" w:hAnsi="宋体" w:eastAsia="宋体" w:cs="宋体"/>
          <w:b/>
          <w:color w:val="auto"/>
          <w:sz w:val="36"/>
          <w:szCs w:val="36"/>
          <w:highlight w:val="none"/>
          <w:lang w:val="en-US" w:eastAsia="zh-CN"/>
        </w:rPr>
        <w:t xml:space="preserve">  通用合同条款</w:t>
      </w:r>
      <w:bookmarkEnd w:id="73"/>
    </w:p>
    <w:p>
      <w:pPr>
        <w:pageBreakBefore w:val="0"/>
        <w:widowControl w:val="0"/>
        <w:kinsoku/>
        <w:wordWrap/>
        <w:overflowPunct/>
        <w:topLinePunct w:val="0"/>
        <w:autoSpaceDE w:val="0"/>
        <w:autoSpaceDN w:val="0"/>
        <w:bidi w:val="0"/>
        <w:adjustRightInd w:val="0"/>
        <w:snapToGrid/>
        <w:spacing w:line="280" w:lineRule="exact"/>
        <w:ind w:firstLine="420" w:firstLineChars="200"/>
        <w:jc w:val="left"/>
        <w:textAlignment w:val="auto"/>
        <w:rPr>
          <w:rFonts w:hint="eastAsia" w:ascii="宋体" w:hAnsi="宋体" w:eastAsia="宋体" w:cs="宋体"/>
          <w:color w:val="auto"/>
          <w:kern w:val="0"/>
          <w:sz w:val="21"/>
          <w:szCs w:val="21"/>
        </w:rPr>
      </w:pPr>
    </w:p>
    <w:p>
      <w:pPr>
        <w:pageBreakBefore w:val="0"/>
        <w:widowControl w:val="0"/>
        <w:kinsoku/>
        <w:wordWrap/>
        <w:overflowPunct/>
        <w:topLinePunct w:val="0"/>
        <w:autoSpaceDE w:val="0"/>
        <w:autoSpaceDN w:val="0"/>
        <w:bidi w:val="0"/>
        <w:adjustRightInd w:val="0"/>
        <w:snapToGrid/>
        <w:spacing w:line="280" w:lineRule="exact"/>
        <w:ind w:firstLine="420" w:firstLineChars="200"/>
        <w:jc w:val="left"/>
        <w:textAlignment w:val="auto"/>
        <w:rPr>
          <w:rFonts w:hint="eastAsia" w:ascii="宋体" w:hAnsi="宋体" w:eastAsia="宋体" w:cs="宋体"/>
          <w:color w:val="auto"/>
          <w:kern w:val="0"/>
          <w:sz w:val="21"/>
          <w:szCs w:val="21"/>
        </w:rPr>
      </w:pPr>
    </w:p>
    <w:p>
      <w:pPr>
        <w:pageBreakBefore w:val="0"/>
        <w:widowControl w:val="0"/>
        <w:kinsoku/>
        <w:wordWrap/>
        <w:overflowPunct/>
        <w:topLinePunct w:val="0"/>
        <w:autoSpaceDE w:val="0"/>
        <w:autoSpaceDN w:val="0"/>
        <w:bidi w:val="0"/>
        <w:adjustRightInd w:val="0"/>
        <w:snapToGrid/>
        <w:spacing w:line="280" w:lineRule="exact"/>
        <w:ind w:firstLine="420" w:firstLineChars="200"/>
        <w:jc w:val="left"/>
        <w:textAlignment w:val="auto"/>
        <w:rPr>
          <w:rFonts w:hint="eastAsia" w:ascii="宋体" w:hAnsi="宋体" w:eastAsia="宋体" w:cs="宋体"/>
          <w:color w:val="auto"/>
          <w:kern w:val="0"/>
          <w:sz w:val="21"/>
          <w:szCs w:val="21"/>
        </w:rPr>
      </w:pPr>
    </w:p>
    <w:p>
      <w:pPr>
        <w:pageBreakBefore w:val="0"/>
        <w:widowControl w:val="0"/>
        <w:kinsoku/>
        <w:wordWrap/>
        <w:overflowPunct/>
        <w:topLinePunct w:val="0"/>
        <w:autoSpaceDE w:val="0"/>
        <w:autoSpaceDN w:val="0"/>
        <w:bidi w:val="0"/>
        <w:adjustRightInd w:val="0"/>
        <w:snapToGrid/>
        <w:spacing w:line="280" w:lineRule="exact"/>
        <w:ind w:firstLine="420" w:firstLineChars="200"/>
        <w:jc w:val="left"/>
        <w:textAlignment w:val="auto"/>
        <w:rPr>
          <w:rFonts w:hint="eastAsia" w:ascii="宋体" w:hAnsi="宋体" w:eastAsia="宋体" w:cs="宋体"/>
          <w:color w:val="auto"/>
          <w:kern w:val="0"/>
          <w:sz w:val="21"/>
          <w:szCs w:val="21"/>
        </w:rPr>
      </w:pPr>
    </w:p>
    <w:p>
      <w:pPr>
        <w:pageBreakBefore w:val="0"/>
        <w:widowControl w:val="0"/>
        <w:kinsoku/>
        <w:wordWrap/>
        <w:overflowPunct/>
        <w:topLinePunct w:val="0"/>
        <w:autoSpaceDE w:val="0"/>
        <w:autoSpaceDN w:val="0"/>
        <w:bidi w:val="0"/>
        <w:adjustRightInd w:val="0"/>
        <w:snapToGrid/>
        <w:spacing w:line="280" w:lineRule="exact"/>
        <w:ind w:firstLine="420" w:firstLineChars="200"/>
        <w:jc w:val="left"/>
        <w:textAlignment w:val="auto"/>
        <w:rPr>
          <w:rFonts w:hint="eastAsia" w:ascii="宋体" w:hAnsi="宋体" w:eastAsia="宋体" w:cs="宋体"/>
          <w:color w:val="auto"/>
          <w:kern w:val="0"/>
          <w:sz w:val="21"/>
          <w:szCs w:val="21"/>
        </w:rPr>
      </w:pPr>
    </w:p>
    <w:p>
      <w:pPr>
        <w:pageBreakBefore w:val="0"/>
        <w:widowControl w:val="0"/>
        <w:kinsoku/>
        <w:wordWrap/>
        <w:overflowPunct/>
        <w:topLinePunct w:val="0"/>
        <w:autoSpaceDE w:val="0"/>
        <w:autoSpaceDN w:val="0"/>
        <w:bidi w:val="0"/>
        <w:adjustRightInd w:val="0"/>
        <w:snapToGrid/>
        <w:spacing w:line="280" w:lineRule="exact"/>
        <w:ind w:firstLine="420" w:firstLineChars="200"/>
        <w:jc w:val="left"/>
        <w:textAlignment w:val="auto"/>
        <w:rPr>
          <w:rFonts w:hint="eastAsia" w:ascii="宋体" w:hAnsi="宋体" w:eastAsia="宋体" w:cs="宋体"/>
          <w:color w:val="auto"/>
          <w:kern w:val="0"/>
          <w:sz w:val="21"/>
          <w:szCs w:val="21"/>
        </w:rPr>
      </w:pPr>
    </w:p>
    <w:p>
      <w:pPr>
        <w:pStyle w:val="2"/>
        <w:rPr>
          <w:rFonts w:hint="eastAsia" w:ascii="宋体" w:hAnsi="宋体" w:eastAsia="宋体" w:cs="宋体"/>
          <w:color w:val="auto"/>
          <w:kern w:val="0"/>
          <w:sz w:val="21"/>
          <w:szCs w:val="21"/>
        </w:rPr>
      </w:pPr>
    </w:p>
    <w:p>
      <w:pPr>
        <w:pStyle w:val="2"/>
        <w:rPr>
          <w:rFonts w:hint="eastAsia" w:ascii="宋体" w:hAnsi="宋体" w:eastAsia="宋体" w:cs="宋体"/>
          <w:b/>
          <w:color w:val="auto"/>
          <w:sz w:val="36"/>
          <w:szCs w:val="36"/>
          <w:highlight w:val="none"/>
          <w:lang w:val="en-US" w:eastAsia="zh-CN"/>
        </w:rPr>
      </w:pPr>
    </w:p>
    <w:p>
      <w:pPr>
        <w:pageBreakBefore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1.通用合同条款执行《建设工程施工合同》（GF-2017-0201）的“通用合同条款”，此处略。</w:t>
      </w:r>
    </w:p>
    <w:p>
      <w:pPr>
        <w:pageBreakBefore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2.通用合同条款中若与专用合同条款冲突时，以专用合同条款为准。</w:t>
      </w:r>
    </w:p>
    <w:p>
      <w:pPr>
        <w:rPr>
          <w:rFonts w:hint="eastAsia" w:ascii="宋体" w:hAnsi="宋体" w:eastAsia="宋体" w:cs="宋体"/>
          <w:b/>
          <w:color w:val="auto"/>
          <w:sz w:val="36"/>
          <w:szCs w:val="36"/>
          <w:highlight w:val="none"/>
          <w:lang w:val="en-US" w:eastAsia="zh-CN"/>
        </w:rPr>
      </w:pPr>
    </w:p>
    <w:p>
      <w:pPr>
        <w:pStyle w:val="2"/>
        <w:rPr>
          <w:rFonts w:hint="eastAsia" w:ascii="宋体" w:hAnsi="宋体" w:eastAsia="宋体" w:cs="宋体"/>
          <w:b/>
          <w:color w:val="auto"/>
          <w:sz w:val="36"/>
          <w:szCs w:val="36"/>
          <w:highlight w:val="none"/>
          <w:lang w:val="en-US" w:eastAsia="zh-CN"/>
        </w:rPr>
      </w:pPr>
    </w:p>
    <w:p>
      <w:pPr>
        <w:rPr>
          <w:rFonts w:hint="eastAsia" w:ascii="宋体" w:hAnsi="宋体" w:eastAsia="宋体" w:cs="宋体"/>
          <w:b/>
          <w:color w:val="auto"/>
          <w:sz w:val="36"/>
          <w:szCs w:val="36"/>
          <w:highlight w:val="none"/>
          <w:lang w:val="en-US" w:eastAsia="zh-CN"/>
        </w:rPr>
      </w:pPr>
    </w:p>
    <w:p>
      <w:pPr>
        <w:pStyle w:val="2"/>
        <w:rPr>
          <w:rFonts w:hint="eastAsia" w:ascii="宋体" w:hAnsi="宋体" w:eastAsia="宋体" w:cs="宋体"/>
          <w:b/>
          <w:color w:val="auto"/>
          <w:sz w:val="36"/>
          <w:szCs w:val="36"/>
          <w:highlight w:val="none"/>
          <w:lang w:val="en-US" w:eastAsia="zh-CN"/>
        </w:rPr>
      </w:pPr>
    </w:p>
    <w:p>
      <w:pPr>
        <w:pStyle w:val="2"/>
        <w:rPr>
          <w:rFonts w:hint="eastAsia" w:ascii="宋体" w:hAnsi="宋体" w:eastAsia="宋体" w:cs="宋体"/>
          <w:color w:val="auto"/>
          <w:kern w:val="0"/>
          <w:sz w:val="21"/>
          <w:szCs w:val="21"/>
        </w:rPr>
      </w:pPr>
    </w:p>
    <w:p>
      <w:pPr>
        <w:rPr>
          <w:rFonts w:hint="eastAsia" w:ascii="宋体" w:hAnsi="宋体" w:eastAsia="宋体" w:cs="宋体"/>
          <w:color w:val="auto"/>
          <w:kern w:val="0"/>
          <w:sz w:val="21"/>
          <w:szCs w:val="21"/>
        </w:rPr>
      </w:pPr>
    </w:p>
    <w:p>
      <w:pPr>
        <w:pStyle w:val="2"/>
        <w:rPr>
          <w:rFonts w:hint="eastAsia" w:ascii="宋体" w:hAnsi="宋体" w:eastAsia="宋体" w:cs="宋体"/>
          <w:color w:val="auto"/>
          <w:kern w:val="0"/>
          <w:sz w:val="21"/>
          <w:szCs w:val="21"/>
        </w:rPr>
      </w:pPr>
    </w:p>
    <w:p>
      <w:pPr>
        <w:rPr>
          <w:rFonts w:hint="eastAsia" w:ascii="宋体" w:hAnsi="宋体" w:eastAsia="宋体" w:cs="宋体"/>
          <w:color w:val="auto"/>
          <w:kern w:val="0"/>
          <w:sz w:val="21"/>
          <w:szCs w:val="21"/>
        </w:rPr>
      </w:pPr>
    </w:p>
    <w:p>
      <w:pPr>
        <w:pStyle w:val="2"/>
        <w:rPr>
          <w:rFonts w:hint="eastAsia" w:ascii="宋体" w:hAnsi="宋体" w:eastAsia="宋体" w:cs="宋体"/>
          <w:color w:val="auto"/>
          <w:kern w:val="0"/>
          <w:sz w:val="21"/>
          <w:szCs w:val="21"/>
        </w:rPr>
      </w:pPr>
    </w:p>
    <w:p>
      <w:pPr>
        <w:rPr>
          <w:rFonts w:hint="eastAsia" w:ascii="宋体" w:hAnsi="宋体" w:eastAsia="宋体" w:cs="宋体"/>
          <w:color w:val="auto"/>
          <w:kern w:val="0"/>
          <w:sz w:val="21"/>
          <w:szCs w:val="21"/>
        </w:rPr>
      </w:pPr>
    </w:p>
    <w:p>
      <w:pPr>
        <w:pStyle w:val="2"/>
        <w:rPr>
          <w:rFonts w:hint="eastAsia" w:ascii="宋体" w:hAnsi="宋体" w:eastAsia="宋体" w:cs="宋体"/>
          <w:color w:val="auto"/>
          <w:kern w:val="0"/>
          <w:sz w:val="21"/>
          <w:szCs w:val="21"/>
        </w:rPr>
      </w:pPr>
    </w:p>
    <w:p>
      <w:pPr>
        <w:rPr>
          <w:rFonts w:hint="eastAsia" w:ascii="宋体" w:hAnsi="宋体" w:eastAsia="宋体" w:cs="宋体"/>
          <w:color w:val="auto"/>
          <w:kern w:val="0"/>
          <w:sz w:val="21"/>
          <w:szCs w:val="21"/>
        </w:rPr>
      </w:pPr>
    </w:p>
    <w:p>
      <w:pPr>
        <w:pStyle w:val="2"/>
        <w:rPr>
          <w:rFonts w:hint="eastAsia" w:ascii="宋体" w:hAnsi="宋体" w:eastAsia="宋体" w:cs="宋体"/>
          <w:color w:val="auto"/>
          <w:kern w:val="0"/>
          <w:sz w:val="21"/>
          <w:szCs w:val="21"/>
        </w:rPr>
      </w:pPr>
    </w:p>
    <w:p>
      <w:pPr>
        <w:rPr>
          <w:rFonts w:hint="eastAsia" w:ascii="宋体" w:hAnsi="宋体" w:eastAsia="宋体" w:cs="宋体"/>
          <w:color w:val="auto"/>
          <w:kern w:val="0"/>
          <w:sz w:val="21"/>
          <w:szCs w:val="21"/>
        </w:rPr>
      </w:pPr>
    </w:p>
    <w:p>
      <w:pPr>
        <w:pStyle w:val="2"/>
        <w:rPr>
          <w:rFonts w:hint="eastAsia" w:ascii="宋体" w:hAnsi="宋体" w:eastAsia="宋体" w:cs="宋体"/>
          <w:color w:val="auto"/>
        </w:rPr>
      </w:pPr>
    </w:p>
    <w:p>
      <w:pPr>
        <w:pageBreakBefore w:val="0"/>
        <w:widowControl w:val="0"/>
        <w:kinsoku/>
        <w:wordWrap/>
        <w:overflowPunct/>
        <w:topLinePunct w:val="0"/>
        <w:autoSpaceDE w:val="0"/>
        <w:autoSpaceDN w:val="0"/>
        <w:bidi w:val="0"/>
        <w:adjustRightInd w:val="0"/>
        <w:snapToGrid/>
        <w:spacing w:line="280" w:lineRule="exact"/>
        <w:ind w:firstLine="420" w:firstLineChars="200"/>
        <w:jc w:val="left"/>
        <w:textAlignment w:val="auto"/>
        <w:rPr>
          <w:rFonts w:hint="eastAsia" w:ascii="宋体" w:hAnsi="宋体" w:eastAsia="宋体" w:cs="宋体"/>
          <w:color w:val="auto"/>
          <w:kern w:val="0"/>
          <w:sz w:val="21"/>
          <w:szCs w:val="21"/>
        </w:rPr>
      </w:pPr>
    </w:p>
    <w:p>
      <w:pPr>
        <w:pageBreakBefore w:val="0"/>
        <w:widowControl w:val="0"/>
        <w:kinsoku/>
        <w:wordWrap/>
        <w:overflowPunct/>
        <w:topLinePunct w:val="0"/>
        <w:autoSpaceDE w:val="0"/>
        <w:autoSpaceDN w:val="0"/>
        <w:bidi w:val="0"/>
        <w:adjustRightInd w:val="0"/>
        <w:snapToGrid/>
        <w:spacing w:line="280" w:lineRule="exact"/>
        <w:ind w:firstLine="420" w:firstLineChars="200"/>
        <w:jc w:val="left"/>
        <w:textAlignment w:val="auto"/>
        <w:rPr>
          <w:rFonts w:hint="eastAsia" w:ascii="宋体" w:hAnsi="宋体" w:eastAsia="宋体" w:cs="宋体"/>
          <w:color w:val="auto"/>
          <w:kern w:val="0"/>
          <w:sz w:val="21"/>
          <w:szCs w:val="21"/>
        </w:rPr>
      </w:pPr>
    </w:p>
    <w:p>
      <w:pPr>
        <w:pageBreakBefore w:val="0"/>
        <w:widowControl w:val="0"/>
        <w:kinsoku/>
        <w:wordWrap/>
        <w:overflowPunct/>
        <w:topLinePunct w:val="0"/>
        <w:autoSpaceDE w:val="0"/>
        <w:autoSpaceDN w:val="0"/>
        <w:bidi w:val="0"/>
        <w:adjustRightInd w:val="0"/>
        <w:snapToGrid/>
        <w:spacing w:line="280" w:lineRule="exact"/>
        <w:ind w:firstLine="420" w:firstLineChars="200"/>
        <w:jc w:val="left"/>
        <w:textAlignment w:val="auto"/>
        <w:rPr>
          <w:rFonts w:hint="eastAsia" w:ascii="宋体" w:hAnsi="宋体" w:eastAsia="宋体" w:cs="宋体"/>
          <w:color w:val="auto"/>
          <w:kern w:val="0"/>
          <w:sz w:val="21"/>
          <w:szCs w:val="21"/>
        </w:rPr>
      </w:pPr>
    </w:p>
    <w:p>
      <w:pPr>
        <w:pStyle w:val="3"/>
        <w:keepLines/>
        <w:spacing w:before="340" w:after="330" w:line="580" w:lineRule="exact"/>
        <w:ind w:left="210" w:leftChars="100"/>
        <w:rPr>
          <w:rFonts w:hint="eastAsia" w:ascii="宋体" w:hAnsi="宋体" w:eastAsia="宋体" w:cs="宋体"/>
          <w:b/>
          <w:color w:val="auto"/>
          <w:sz w:val="36"/>
          <w:szCs w:val="36"/>
          <w:highlight w:val="none"/>
          <w:lang w:val="en-US" w:eastAsia="zh-CN"/>
        </w:rPr>
      </w:pPr>
      <w:bookmarkStart w:id="74" w:name="_Toc8574"/>
      <w:bookmarkStart w:id="75" w:name="_Toc28335"/>
      <w:bookmarkStart w:id="76" w:name="_Toc25190"/>
      <w:bookmarkStart w:id="77" w:name="_Toc25184"/>
      <w:bookmarkStart w:id="78" w:name="_Toc10786"/>
      <w:r>
        <w:rPr>
          <w:rFonts w:hint="eastAsia" w:ascii="宋体" w:hAnsi="宋体" w:eastAsia="宋体" w:cs="宋体"/>
          <w:b/>
          <w:color w:val="auto"/>
          <w:sz w:val="36"/>
          <w:szCs w:val="36"/>
          <w:highlight w:val="none"/>
          <w:lang w:val="en-US" w:eastAsia="zh-CN"/>
        </w:rPr>
        <w:t>第三部分  专用合同条款</w:t>
      </w:r>
      <w:bookmarkEnd w:id="74"/>
      <w:bookmarkEnd w:id="75"/>
      <w:bookmarkEnd w:id="76"/>
      <w:bookmarkEnd w:id="77"/>
      <w:bookmarkEnd w:id="78"/>
    </w:p>
    <w:p>
      <w:pPr>
        <w:pStyle w:val="6"/>
        <w:numPr>
          <w:ilvl w:val="3"/>
          <w:numId w:val="0"/>
        </w:numPr>
        <w:spacing w:before="120" w:after="120" w:line="360" w:lineRule="auto"/>
        <w:rPr>
          <w:rFonts w:hint="eastAsia" w:ascii="宋体" w:hAnsi="宋体" w:eastAsia="宋体" w:cs="宋体"/>
          <w:b/>
          <w:bCs/>
          <w:color w:val="auto"/>
          <w:sz w:val="24"/>
          <w:szCs w:val="24"/>
        </w:rPr>
      </w:pPr>
      <w:bookmarkStart w:id="79" w:name="_Toc351203633"/>
      <w:r>
        <w:rPr>
          <w:rFonts w:hint="eastAsia" w:ascii="宋体" w:hAnsi="宋体" w:eastAsia="宋体" w:cs="宋体"/>
          <w:b/>
          <w:bCs/>
          <w:color w:val="auto"/>
          <w:sz w:val="24"/>
          <w:szCs w:val="24"/>
        </w:rPr>
        <w:t>1</w:t>
      </w:r>
      <w:bookmarkStart w:id="80" w:name="_Toc297120456"/>
      <w:bookmarkStart w:id="81" w:name="_Toc296503156"/>
      <w:bookmarkStart w:id="82" w:name="_Toc297048342"/>
      <w:bookmarkStart w:id="83" w:name="_Toc296891196"/>
      <w:bookmarkStart w:id="84" w:name="_Toc292559866"/>
      <w:bookmarkStart w:id="85" w:name="_Toc296346657"/>
      <w:bookmarkStart w:id="86" w:name="_Toc296890984"/>
      <w:bookmarkStart w:id="87" w:name="_Toc296944495"/>
      <w:bookmarkStart w:id="88" w:name="_Toc292559361"/>
      <w:bookmarkStart w:id="89" w:name="_Toc296347155"/>
      <w:r>
        <w:rPr>
          <w:rFonts w:hint="eastAsia" w:ascii="宋体" w:hAnsi="宋体" w:eastAsia="宋体" w:cs="宋体"/>
          <w:b/>
          <w:bCs/>
          <w:color w:val="auto"/>
          <w:sz w:val="24"/>
          <w:szCs w:val="24"/>
        </w:rPr>
        <w:t>.一般约定</w:t>
      </w:r>
      <w:bookmarkEnd w:id="79"/>
    </w:p>
    <w:bookmarkEnd w:id="80"/>
    <w:bookmarkEnd w:id="81"/>
    <w:bookmarkEnd w:id="82"/>
    <w:bookmarkEnd w:id="83"/>
    <w:bookmarkEnd w:id="84"/>
    <w:bookmarkEnd w:id="85"/>
    <w:bookmarkEnd w:id="86"/>
    <w:bookmarkEnd w:id="87"/>
    <w:bookmarkEnd w:id="88"/>
    <w:bookmarkEnd w:id="89"/>
    <w:p>
      <w:pPr>
        <w:keepNext w:val="0"/>
        <w:keepLines w:val="0"/>
        <w:pageBreakBefore w:val="0"/>
        <w:widowControl w:val="0"/>
        <w:kinsoku/>
        <w:wordWrap/>
        <w:overflowPunct/>
        <w:topLinePunct w:val="0"/>
        <w:bidi w:val="0"/>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1.1 词语定义</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1.1.1合同</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1.1.1.10其他合同文件包括：</w:t>
      </w:r>
      <w:r>
        <w:rPr>
          <w:rFonts w:hint="eastAsia" w:ascii="宋体" w:hAnsi="宋体" w:eastAsia="宋体" w:cs="宋体"/>
          <w:color w:val="auto"/>
          <w:kern w:val="0"/>
          <w:sz w:val="24"/>
          <w:szCs w:val="24"/>
          <w:u w:val="single"/>
        </w:rPr>
        <w:t>是指经合同当事人约定的与工程施工有关的具有合同约束力的文件或书面协议。</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1.1.2 合同当事人及其他相关方</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1.1.2.4监理人：</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名    称：</w:t>
      </w:r>
      <w:r>
        <w:rPr>
          <w:rFonts w:hint="eastAsia" w:ascii="宋体" w:hAnsi="宋体" w:eastAsia="宋体" w:cs="宋体"/>
          <w:color w:val="auto"/>
          <w:sz w:val="24"/>
          <w:szCs w:val="24"/>
          <w:u w:val="single"/>
        </w:rPr>
        <w:t xml:space="preserve">           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资质类别和等级：</w:t>
      </w:r>
      <w:r>
        <w:rPr>
          <w:rFonts w:hint="eastAsia" w:ascii="宋体" w:hAnsi="宋体" w:eastAsia="宋体" w:cs="宋体"/>
          <w:color w:val="auto"/>
          <w:sz w:val="24"/>
          <w:szCs w:val="24"/>
          <w:u w:val="single"/>
        </w:rPr>
        <w:t>            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联系电话：</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电子信箱：</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通信地址：</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1.1.3 工程和设备</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1.1.3.7 作为施工现场组成部分的其他场所包括：</w:t>
      </w:r>
      <w:r>
        <w:rPr>
          <w:rFonts w:hint="eastAsia" w:ascii="宋体" w:hAnsi="宋体" w:eastAsia="宋体" w:cs="宋体"/>
          <w:color w:val="auto"/>
          <w:sz w:val="24"/>
          <w:szCs w:val="24"/>
          <w:u w:val="single"/>
        </w:rPr>
        <w:t>符合通用合同条款规定的发包人提供的施工场地</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1.1.3.9 永久占地包括：</w:t>
      </w:r>
      <w:r>
        <w:rPr>
          <w:rFonts w:hint="eastAsia" w:ascii="宋体" w:hAnsi="宋体" w:eastAsia="宋体" w:cs="宋体"/>
          <w:color w:val="auto"/>
          <w:sz w:val="24"/>
          <w:szCs w:val="24"/>
          <w:u w:val="single"/>
        </w:rPr>
        <w:t>用地红线范围内本工程施工场所</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1.1.3.10 临时占地包括：</w:t>
      </w:r>
      <w:r>
        <w:rPr>
          <w:rFonts w:hint="eastAsia" w:ascii="宋体" w:hAnsi="宋体" w:eastAsia="宋体" w:cs="宋体"/>
          <w:color w:val="auto"/>
          <w:sz w:val="24"/>
          <w:szCs w:val="24"/>
          <w:u w:val="single"/>
        </w:rPr>
        <w:t>双方在合同履行过程中确定</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1.3法律 </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适用于合同的其他规范性文件：</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1.4 标准和规范</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1.4.1适用于工程的标准规范包括：</w:t>
      </w:r>
      <w:r>
        <w:rPr>
          <w:rFonts w:hint="eastAsia" w:ascii="宋体" w:hAnsi="宋体" w:eastAsia="宋体" w:cs="宋体"/>
          <w:color w:val="auto"/>
          <w:sz w:val="24"/>
          <w:szCs w:val="24"/>
          <w:u w:val="single"/>
        </w:rPr>
        <w:t>现行施工验收规范及相关部门规范标准</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1.5 合同文件的优先顺序</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合同文件组成及优先顺序为：</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1.6 图纸和承包人文件</w:t>
      </w:r>
      <w:r>
        <w:rPr>
          <w:rFonts w:hint="eastAsia" w:ascii="宋体" w:hAnsi="宋体" w:eastAsia="宋体" w:cs="宋体"/>
          <w:color w:val="auto"/>
          <w:sz w:val="24"/>
          <w:szCs w:val="24"/>
        </w:rPr>
        <w:tab/>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1.6.1 图纸的提供</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发包人向承包人提供图纸的期限：</w:t>
      </w:r>
      <w:r>
        <w:rPr>
          <w:rFonts w:hint="eastAsia" w:ascii="宋体" w:hAnsi="宋体" w:eastAsia="宋体" w:cs="宋体"/>
          <w:color w:val="auto"/>
          <w:sz w:val="24"/>
          <w:szCs w:val="24"/>
          <w:u w:val="single"/>
        </w:rPr>
        <w:t>开工前</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发包人向承包人提供图纸的数量：</w:t>
      </w:r>
      <w:r>
        <w:rPr>
          <w:rFonts w:hint="eastAsia" w:ascii="宋体" w:hAnsi="宋体" w:eastAsia="宋体" w:cs="宋体"/>
          <w:color w:val="auto"/>
          <w:sz w:val="24"/>
          <w:szCs w:val="24"/>
          <w:u w:val="single"/>
        </w:rPr>
        <w:t>2套</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1.6.5 现场图纸准备</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关于现场图纸准备的约定：</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1.7 联络</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1.7.1发包人和承包人应当在</w:t>
      </w:r>
      <w:r>
        <w:rPr>
          <w:rFonts w:hint="eastAsia" w:ascii="宋体" w:hAnsi="宋体" w:eastAsia="宋体" w:cs="宋体"/>
          <w:color w:val="auto"/>
          <w:sz w:val="24"/>
          <w:szCs w:val="24"/>
          <w:u w:val="single"/>
        </w:rPr>
        <w:t xml:space="preserve">7 </w:t>
      </w:r>
      <w:r>
        <w:rPr>
          <w:rFonts w:hint="eastAsia" w:ascii="宋体" w:hAnsi="宋体" w:eastAsia="宋体" w:cs="宋体"/>
          <w:color w:val="auto"/>
          <w:kern w:val="0"/>
          <w:sz w:val="24"/>
          <w:szCs w:val="24"/>
        </w:rPr>
        <w:t>天内将与合同有关的通知、批准、证明、证书、指示、指令、要求、请求、同意、意见、确定和决定等书面函件送达对方当事人。</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1.7.2 发包人接收文件的地点：</w:t>
      </w:r>
      <w:r>
        <w:rPr>
          <w:rFonts w:hint="eastAsia" w:ascii="宋体" w:hAnsi="宋体" w:eastAsia="宋体" w:cs="宋体"/>
          <w:color w:val="auto"/>
          <w:sz w:val="24"/>
          <w:szCs w:val="24"/>
          <w:u w:val="single"/>
        </w:rPr>
        <w:t xml:space="preserve">发包人办公室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发包人指定的接收人为：</w:t>
      </w:r>
      <w:r>
        <w:rPr>
          <w:rFonts w:hint="eastAsia" w:ascii="宋体" w:hAnsi="宋体" w:eastAsia="宋体" w:cs="宋体"/>
          <w:color w:val="auto"/>
          <w:sz w:val="24"/>
          <w:szCs w:val="24"/>
          <w:u w:val="single"/>
        </w:rPr>
        <w:t xml:space="preserve">发包人驻工地代表 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承包人接收文件的地点：</w:t>
      </w:r>
      <w:r>
        <w:rPr>
          <w:rFonts w:hint="eastAsia" w:ascii="宋体" w:hAnsi="宋体" w:eastAsia="宋体" w:cs="宋体"/>
          <w:color w:val="auto"/>
          <w:sz w:val="24"/>
          <w:szCs w:val="24"/>
          <w:u w:val="single"/>
        </w:rPr>
        <w:t>项目所在地承包人项目部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承包人指定的接收人为：</w:t>
      </w:r>
      <w:r>
        <w:rPr>
          <w:rFonts w:hint="eastAsia" w:ascii="宋体" w:hAnsi="宋体" w:eastAsia="宋体" w:cs="宋体"/>
          <w:color w:val="auto"/>
          <w:sz w:val="24"/>
          <w:szCs w:val="24"/>
          <w:u w:val="single"/>
        </w:rPr>
        <w:t>承包人项目经理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监理人接收文件的地点：</w:t>
      </w:r>
      <w:r>
        <w:rPr>
          <w:rFonts w:hint="eastAsia" w:ascii="宋体" w:hAnsi="宋体" w:eastAsia="宋体" w:cs="宋体"/>
          <w:color w:val="auto"/>
          <w:sz w:val="24"/>
          <w:szCs w:val="24"/>
          <w:u w:val="single"/>
        </w:rPr>
        <w:t>项目所在地监理人项目部 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监理人指定的接收人为：</w:t>
      </w:r>
      <w:r>
        <w:rPr>
          <w:rFonts w:hint="eastAsia" w:ascii="宋体" w:hAnsi="宋体" w:eastAsia="宋体" w:cs="宋体"/>
          <w:color w:val="auto"/>
          <w:sz w:val="24"/>
          <w:szCs w:val="24"/>
          <w:u w:val="single"/>
        </w:rPr>
        <w:t>监理工程师     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1.11 知识产权</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关于发包人提供的上述文件的使用限制的要求：</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1.11.2 关于承包人为实施工程所编制文件的著作权的归属：</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关于承包人提供的上述文件的使用限制的要求：</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textAlignment w:val="auto"/>
        <w:outlineLvl w:val="0"/>
        <w:rPr>
          <w:rFonts w:hint="eastAsia" w:ascii="宋体" w:hAnsi="宋体" w:eastAsia="宋体" w:cs="宋体"/>
          <w:color w:val="auto"/>
          <w:kern w:val="0"/>
          <w:sz w:val="24"/>
          <w:szCs w:val="24"/>
        </w:rPr>
      </w:pPr>
      <w:r>
        <w:rPr>
          <w:rFonts w:hint="eastAsia" w:ascii="宋体" w:hAnsi="宋体" w:eastAsia="宋体" w:cs="宋体"/>
          <w:color w:val="auto"/>
          <w:sz w:val="24"/>
          <w:szCs w:val="24"/>
        </w:rPr>
        <w:t>1.11.4 承包人在施工过程中所采用的专利、专有技术、技术秘密的使用费的承担方式：</w:t>
      </w:r>
      <w:r>
        <w:rPr>
          <w:rFonts w:hint="eastAsia" w:ascii="宋体" w:hAnsi="宋体" w:eastAsia="宋体" w:cs="宋体"/>
          <w:color w:val="auto"/>
          <w:sz w:val="24"/>
          <w:szCs w:val="24"/>
          <w:u w:val="single"/>
        </w:rPr>
        <w:t>执行通用合同条款</w:t>
      </w:r>
      <w:r>
        <w:rPr>
          <w:rFonts w:hint="eastAsia" w:ascii="宋体" w:hAnsi="宋体" w:eastAsia="宋体" w:cs="宋体"/>
          <w:color w:val="auto"/>
          <w:kern w:val="0"/>
          <w:sz w:val="24"/>
          <w:szCs w:val="24"/>
        </w:rPr>
        <w:t>。</w:t>
      </w:r>
    </w:p>
    <w:p>
      <w:pPr>
        <w:pStyle w:val="6"/>
        <w:numPr>
          <w:ilvl w:val="3"/>
          <w:numId w:val="0"/>
        </w:numPr>
        <w:spacing w:before="120" w:after="120" w:line="360" w:lineRule="auto"/>
        <w:rPr>
          <w:rFonts w:hint="eastAsia" w:ascii="宋体" w:hAnsi="宋体" w:eastAsia="宋体" w:cs="宋体"/>
          <w:b/>
          <w:bCs/>
          <w:color w:val="auto"/>
          <w:sz w:val="24"/>
          <w:szCs w:val="24"/>
        </w:rPr>
      </w:pPr>
      <w:bookmarkStart w:id="90" w:name="_Toc351203634"/>
      <w:r>
        <w:rPr>
          <w:rFonts w:hint="eastAsia" w:ascii="宋体" w:hAnsi="宋体" w:eastAsia="宋体" w:cs="宋体"/>
          <w:b/>
          <w:bCs/>
          <w:color w:val="auto"/>
          <w:sz w:val="24"/>
          <w:szCs w:val="24"/>
        </w:rPr>
        <w:t>2</w:t>
      </w:r>
      <w:bookmarkStart w:id="91" w:name="_Toc292559362"/>
      <w:bookmarkStart w:id="92" w:name="_Toc292559867"/>
      <w:bookmarkStart w:id="93" w:name="_Toc296347156"/>
      <w:bookmarkStart w:id="94" w:name="_Toc296346658"/>
      <w:bookmarkStart w:id="95" w:name="_Toc296890985"/>
      <w:bookmarkStart w:id="96" w:name="_Toc296891197"/>
      <w:bookmarkStart w:id="97" w:name="_Toc296944496"/>
      <w:bookmarkStart w:id="98" w:name="_Toc296503157"/>
      <w:bookmarkStart w:id="99" w:name="_Toc297048343"/>
      <w:bookmarkStart w:id="100" w:name="_Toc297120457"/>
      <w:r>
        <w:rPr>
          <w:rFonts w:hint="eastAsia" w:ascii="宋体" w:hAnsi="宋体" w:eastAsia="宋体" w:cs="宋体"/>
          <w:b/>
          <w:bCs/>
          <w:color w:val="auto"/>
          <w:sz w:val="24"/>
          <w:szCs w:val="24"/>
        </w:rPr>
        <w:t>. 发包人</w:t>
      </w:r>
      <w:bookmarkEnd w:id="90"/>
    </w:p>
    <w:bookmarkEnd w:id="91"/>
    <w:bookmarkEnd w:id="92"/>
    <w:bookmarkEnd w:id="93"/>
    <w:bookmarkEnd w:id="94"/>
    <w:bookmarkEnd w:id="95"/>
    <w:bookmarkEnd w:id="96"/>
    <w:bookmarkEnd w:id="97"/>
    <w:bookmarkEnd w:id="98"/>
    <w:bookmarkEnd w:id="99"/>
    <w:bookmarkEnd w:id="100"/>
    <w:p>
      <w:pPr>
        <w:spacing w:after="120" w:line="360" w:lineRule="auto"/>
        <w:ind w:firstLine="480" w:firstLineChars="200"/>
        <w:outlineLvl w:val="0"/>
        <w:rPr>
          <w:rFonts w:hint="eastAsia" w:ascii="宋体" w:hAnsi="宋体" w:eastAsia="宋体" w:cs="宋体"/>
          <w:color w:val="auto"/>
          <w:sz w:val="24"/>
          <w:szCs w:val="24"/>
        </w:rPr>
      </w:pPr>
      <w:r>
        <w:rPr>
          <w:rFonts w:hint="eastAsia" w:ascii="宋体" w:hAnsi="宋体" w:eastAsia="宋体" w:cs="宋体"/>
          <w:color w:val="auto"/>
          <w:sz w:val="24"/>
          <w:szCs w:val="24"/>
        </w:rPr>
        <w:t>2.2 发包人代表</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发包人代表：</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姓    名：</w:t>
      </w:r>
      <w:r>
        <w:rPr>
          <w:rFonts w:hint="eastAsia" w:ascii="宋体" w:hAnsi="宋体" w:eastAsia="宋体" w:cs="宋体"/>
          <w:color w:val="auto"/>
          <w:sz w:val="24"/>
          <w:szCs w:val="24"/>
          <w:u w:val="single"/>
        </w:rPr>
        <w:t> 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身份证号：</w:t>
      </w:r>
      <w:r>
        <w:rPr>
          <w:rFonts w:hint="eastAsia" w:ascii="宋体" w:hAnsi="宋体" w:eastAsia="宋体" w:cs="宋体"/>
          <w:color w:val="auto"/>
          <w:sz w:val="24"/>
          <w:szCs w:val="24"/>
          <w:u w:val="single"/>
        </w:rPr>
        <w:t> 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职    务：</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联系电话：</w:t>
      </w:r>
      <w:r>
        <w:rPr>
          <w:rFonts w:hint="eastAsia" w:ascii="宋体" w:hAnsi="宋体" w:eastAsia="宋体" w:cs="宋体"/>
          <w:color w:val="auto"/>
          <w:sz w:val="24"/>
          <w:szCs w:val="24"/>
          <w:u w:val="single"/>
        </w:rPr>
        <w:t>   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电子信箱：</w:t>
      </w:r>
      <w:r>
        <w:rPr>
          <w:rFonts w:hint="eastAsia" w:ascii="宋体" w:hAnsi="宋体" w:eastAsia="宋体" w:cs="宋体"/>
          <w:color w:val="auto"/>
          <w:sz w:val="24"/>
          <w:szCs w:val="24"/>
          <w:u w:val="single"/>
        </w:rPr>
        <w:t>   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通信地址：</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spacing w:line="360" w:lineRule="auto"/>
        <w:ind w:firstLine="480" w:firstLineChars="200"/>
        <w:jc w:val="left"/>
        <w:rPr>
          <w:rFonts w:hint="eastAsia" w:ascii="宋体" w:hAnsi="宋体" w:eastAsia="宋体" w:cs="宋体"/>
          <w:color w:val="auto"/>
          <w:sz w:val="24"/>
          <w:szCs w:val="24"/>
          <w:u w:val="single"/>
        </w:rPr>
      </w:pPr>
      <w:r>
        <w:rPr>
          <w:rFonts w:hint="eastAsia" w:ascii="宋体" w:hAnsi="宋体" w:eastAsia="宋体" w:cs="宋体"/>
          <w:color w:val="auto"/>
          <w:sz w:val="24"/>
          <w:szCs w:val="24"/>
        </w:rPr>
        <w:t>发包人对发包人代表的授权范围如下：</w:t>
      </w:r>
      <w:r>
        <w:rPr>
          <w:rFonts w:hint="eastAsia" w:ascii="宋体" w:hAnsi="宋体" w:eastAsia="宋体" w:cs="宋体"/>
          <w:color w:val="auto"/>
          <w:sz w:val="24"/>
          <w:szCs w:val="24"/>
          <w:u w:val="single"/>
        </w:rPr>
        <w:t>督促指导监理工程师行使职权，协调施工现场各方的关系，协调工程质量、进度和安全文明中存在的问题，解决有关设计和技术签证，办理签认现场经济技术签证，审核工程进度报表。</w:t>
      </w:r>
    </w:p>
    <w:p>
      <w:pPr>
        <w:spacing w:after="120" w:line="360" w:lineRule="auto"/>
        <w:ind w:firstLine="480" w:firstLineChars="200"/>
        <w:outlineLvl w:val="0"/>
        <w:rPr>
          <w:rFonts w:hint="eastAsia" w:ascii="宋体" w:hAnsi="宋体" w:eastAsia="宋体" w:cs="宋体"/>
          <w:color w:val="auto"/>
          <w:sz w:val="24"/>
          <w:szCs w:val="24"/>
        </w:rPr>
      </w:pPr>
      <w:bookmarkStart w:id="101" w:name="_Toc351203635"/>
      <w:r>
        <w:rPr>
          <w:rFonts w:hint="eastAsia" w:ascii="宋体" w:hAnsi="宋体" w:eastAsia="宋体" w:cs="宋体"/>
          <w:color w:val="auto"/>
          <w:sz w:val="24"/>
          <w:szCs w:val="24"/>
        </w:rPr>
        <w:t>2.4 施工现场、施工条件和基础资料的提供</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2.4.1 提供施工现场</w:t>
      </w:r>
    </w:p>
    <w:p>
      <w:pPr>
        <w:spacing w:line="360" w:lineRule="auto"/>
        <w:ind w:firstLine="480" w:firstLineChars="200"/>
        <w:jc w:val="left"/>
        <w:rPr>
          <w:rFonts w:hint="eastAsia" w:ascii="宋体" w:hAnsi="宋体" w:eastAsia="宋体" w:cs="宋体"/>
          <w:color w:val="auto"/>
          <w:sz w:val="24"/>
          <w:szCs w:val="24"/>
          <w:u w:val="single"/>
        </w:rPr>
      </w:pPr>
      <w:r>
        <w:rPr>
          <w:rFonts w:hint="eastAsia" w:ascii="宋体" w:hAnsi="宋体" w:eastAsia="宋体" w:cs="宋体"/>
          <w:color w:val="auto"/>
          <w:sz w:val="24"/>
          <w:szCs w:val="24"/>
        </w:rPr>
        <w:t>关于发包人移交施工现场的期限要求：</w:t>
      </w:r>
      <w:r>
        <w:rPr>
          <w:rFonts w:hint="eastAsia" w:ascii="宋体" w:hAnsi="宋体" w:eastAsia="宋体" w:cs="宋体"/>
          <w:color w:val="auto"/>
          <w:sz w:val="24"/>
          <w:szCs w:val="24"/>
          <w:u w:val="single"/>
        </w:rPr>
        <w:t>已具备施工条件。</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2.4.2 提供施工条件</w:t>
      </w:r>
    </w:p>
    <w:p>
      <w:pPr>
        <w:spacing w:line="360" w:lineRule="auto"/>
        <w:ind w:firstLine="480" w:firstLineChars="200"/>
        <w:rPr>
          <w:rFonts w:hint="eastAsia" w:ascii="宋体" w:hAnsi="宋体" w:eastAsia="宋体" w:cs="宋体"/>
          <w:color w:val="auto"/>
          <w:sz w:val="24"/>
          <w:szCs w:val="24"/>
          <w:u w:val="single"/>
        </w:rPr>
      </w:pPr>
      <w:r>
        <w:rPr>
          <w:rFonts w:hint="eastAsia" w:ascii="宋体" w:hAnsi="宋体" w:eastAsia="宋体" w:cs="宋体"/>
          <w:color w:val="auto"/>
          <w:sz w:val="24"/>
          <w:szCs w:val="24"/>
        </w:rPr>
        <w:t>关于发包人应负责提供施工所需要的条件，包括：</w:t>
      </w:r>
      <w:r>
        <w:rPr>
          <w:rFonts w:hint="eastAsia" w:ascii="宋体" w:hAnsi="宋体" w:eastAsia="宋体" w:cs="宋体"/>
          <w:color w:val="auto"/>
          <w:sz w:val="24"/>
          <w:szCs w:val="24"/>
          <w:u w:val="single"/>
        </w:rPr>
        <w:t>施工用水、用电由发包人指定接点，并满足施工要求，接点至施工现场段管道（线）、计量设备由承包人自行解决。单独计量，承包人承担实际发生费用。</w:t>
      </w:r>
    </w:p>
    <w:p>
      <w:pPr>
        <w:pStyle w:val="6"/>
        <w:numPr>
          <w:ilvl w:val="3"/>
          <w:numId w:val="0"/>
        </w:numPr>
        <w:spacing w:before="120" w:after="120"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3</w:t>
      </w:r>
      <w:bookmarkStart w:id="102" w:name="_Toc292559363"/>
      <w:bookmarkStart w:id="103" w:name="_Toc292559868"/>
      <w:bookmarkStart w:id="104" w:name="_Toc296347157"/>
      <w:bookmarkStart w:id="105" w:name="_Toc296346659"/>
      <w:bookmarkStart w:id="106" w:name="_Toc296890986"/>
      <w:bookmarkStart w:id="107" w:name="_Toc296891198"/>
      <w:bookmarkStart w:id="108" w:name="_Toc296944497"/>
      <w:bookmarkStart w:id="109" w:name="_Toc296503158"/>
      <w:bookmarkStart w:id="110" w:name="_Toc297048344"/>
      <w:bookmarkStart w:id="111" w:name="_Toc297120458"/>
      <w:r>
        <w:rPr>
          <w:rFonts w:hint="eastAsia" w:ascii="宋体" w:hAnsi="宋体" w:eastAsia="宋体" w:cs="宋体"/>
          <w:b/>
          <w:bCs/>
          <w:color w:val="auto"/>
          <w:sz w:val="24"/>
          <w:szCs w:val="24"/>
        </w:rPr>
        <w:t>. 承包人</w:t>
      </w:r>
      <w:bookmarkEnd w:id="101"/>
    </w:p>
    <w:bookmarkEnd w:id="102"/>
    <w:bookmarkEnd w:id="103"/>
    <w:bookmarkEnd w:id="104"/>
    <w:bookmarkEnd w:id="105"/>
    <w:bookmarkEnd w:id="106"/>
    <w:bookmarkEnd w:id="107"/>
    <w:bookmarkEnd w:id="108"/>
    <w:bookmarkEnd w:id="109"/>
    <w:bookmarkEnd w:id="110"/>
    <w:bookmarkEnd w:id="111"/>
    <w:p>
      <w:pPr>
        <w:keepNext w:val="0"/>
        <w:keepLines w:val="0"/>
        <w:pageBreakBefore w:val="0"/>
        <w:widowControl w:val="0"/>
        <w:kinsoku/>
        <w:wordWrap/>
        <w:overflowPunct/>
        <w:topLinePunct w:val="0"/>
        <w:autoSpaceDE/>
        <w:autoSpaceDN/>
        <w:bidi w:val="0"/>
        <w:adjustRightInd/>
        <w:snapToGrid/>
        <w:spacing w:after="120"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3.1 承包人的一般义务</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rPr>
        <w:t>（9）</w:t>
      </w:r>
      <w:r>
        <w:rPr>
          <w:rFonts w:hint="eastAsia" w:ascii="宋体" w:hAnsi="宋体" w:eastAsia="宋体" w:cs="宋体"/>
          <w:color w:val="auto"/>
          <w:sz w:val="24"/>
          <w:szCs w:val="24"/>
        </w:rPr>
        <w:t>承包人提交的竣工资料的内容：</w:t>
      </w:r>
      <w:r>
        <w:rPr>
          <w:rFonts w:hint="eastAsia" w:ascii="宋体" w:hAnsi="宋体" w:eastAsia="宋体" w:cs="宋体"/>
          <w:color w:val="auto"/>
          <w:sz w:val="24"/>
          <w:szCs w:val="24"/>
          <w:u w:val="single"/>
        </w:rPr>
        <w:t xml:space="preserve">竣工资料及竣工图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承包人需要提交的竣工资料套数：</w:t>
      </w:r>
      <w:r>
        <w:rPr>
          <w:rFonts w:hint="eastAsia" w:ascii="宋体" w:hAnsi="宋体" w:eastAsia="宋体" w:cs="宋体"/>
          <w:color w:val="auto"/>
          <w:sz w:val="24"/>
          <w:szCs w:val="24"/>
          <w:u w:val="single"/>
        </w:rPr>
        <w:t xml:space="preserve"> 四套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承包人提交的竣工资料的费用承担：</w:t>
      </w:r>
      <w:r>
        <w:rPr>
          <w:rFonts w:hint="eastAsia" w:ascii="宋体" w:hAnsi="宋体" w:eastAsia="宋体" w:cs="宋体"/>
          <w:color w:val="auto"/>
          <w:sz w:val="24"/>
          <w:szCs w:val="24"/>
          <w:u w:val="single"/>
        </w:rPr>
        <w:t xml:space="preserve">由承包人承担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承包人提交的竣工资料移交时间：</w:t>
      </w:r>
      <w:r>
        <w:rPr>
          <w:rFonts w:hint="eastAsia" w:ascii="宋体" w:hAnsi="宋体" w:eastAsia="宋体" w:cs="宋体"/>
          <w:color w:val="auto"/>
          <w:sz w:val="24"/>
          <w:szCs w:val="24"/>
          <w:u w:val="single"/>
        </w:rPr>
        <w:t>竣工验收合格后三个月内</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承包人提交的竣工资料形式要求：</w:t>
      </w:r>
      <w:r>
        <w:rPr>
          <w:rFonts w:hint="eastAsia" w:ascii="宋体" w:hAnsi="宋体" w:eastAsia="宋体" w:cs="宋体"/>
          <w:color w:val="auto"/>
          <w:sz w:val="24"/>
          <w:szCs w:val="24"/>
          <w:u w:val="single"/>
        </w:rPr>
        <w:t xml:space="preserve"> 纸质版及电子版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rPr>
        <w:t>（10）承包人应履行的其他义务：</w:t>
      </w:r>
      <w:r>
        <w:rPr>
          <w:rFonts w:hint="eastAsia" w:ascii="宋体" w:hAnsi="宋体" w:eastAsia="宋体" w:cs="宋体"/>
          <w:color w:val="auto"/>
          <w:sz w:val="24"/>
          <w:szCs w:val="24"/>
          <w:u w:val="single"/>
        </w:rPr>
        <w:t>双方另行确定</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after="120"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3.2 项目经理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kern w:val="0"/>
          <w:sz w:val="24"/>
          <w:szCs w:val="24"/>
        </w:rPr>
        <w:t xml:space="preserve">3.2.1 </w:t>
      </w:r>
      <w:r>
        <w:rPr>
          <w:rFonts w:hint="eastAsia" w:ascii="宋体" w:hAnsi="宋体" w:eastAsia="宋体" w:cs="宋体"/>
          <w:color w:val="auto"/>
          <w:sz w:val="24"/>
          <w:szCs w:val="24"/>
        </w:rPr>
        <w:t>项目经理：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姓    名：</w:t>
      </w:r>
      <w:r>
        <w:rPr>
          <w:rFonts w:hint="eastAsia" w:ascii="宋体" w:hAnsi="宋体" w:eastAsia="宋体" w:cs="宋体"/>
          <w:color w:val="auto"/>
          <w:sz w:val="24"/>
          <w:szCs w:val="24"/>
          <w:u w:val="single"/>
        </w:rPr>
        <w:t>  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身份证号：</w:t>
      </w:r>
      <w:r>
        <w:rPr>
          <w:rFonts w:hint="eastAsia" w:ascii="宋体" w:hAnsi="宋体" w:eastAsia="宋体" w:cs="宋体"/>
          <w:color w:val="auto"/>
          <w:sz w:val="24"/>
          <w:szCs w:val="24"/>
          <w:u w:val="single"/>
        </w:rPr>
        <w:t>  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建造师执业资格等级：</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建造师注册证书号：</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建造师执业印章号：</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安全生产考核合格证书号：</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联系电话：</w:t>
      </w:r>
      <w:r>
        <w:rPr>
          <w:rFonts w:hint="eastAsia" w:ascii="宋体" w:hAnsi="宋体" w:eastAsia="宋体" w:cs="宋体"/>
          <w:color w:val="auto"/>
          <w:sz w:val="24"/>
          <w:szCs w:val="24"/>
          <w:u w:val="single"/>
        </w:rPr>
        <w:t>  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电子信箱：</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通信地址：</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承包人对项目经理的授权范围如下：</w:t>
      </w:r>
      <w:r>
        <w:rPr>
          <w:rFonts w:hint="eastAsia" w:ascii="宋体" w:hAnsi="宋体" w:eastAsia="宋体" w:cs="宋体"/>
          <w:color w:val="auto"/>
          <w:sz w:val="24"/>
          <w:szCs w:val="24"/>
          <w:u w:val="single"/>
        </w:rPr>
        <w:t xml:space="preserve">全权负责项目实施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关于项目经理每月在施工现场的时间要求：</w:t>
      </w:r>
      <w:r>
        <w:rPr>
          <w:rFonts w:hint="eastAsia" w:ascii="宋体" w:hAnsi="宋体" w:eastAsia="宋体" w:cs="宋体"/>
          <w:color w:val="auto"/>
          <w:kern w:val="0"/>
          <w:sz w:val="24"/>
          <w:szCs w:val="24"/>
          <w:u w:val="single"/>
        </w:rPr>
        <w:t>同招标文件承诺时间</w:t>
      </w:r>
      <w:r>
        <w:rPr>
          <w:rFonts w:hint="eastAsia" w:ascii="宋体" w:hAnsi="宋体" w:eastAsia="宋体" w:cs="宋体"/>
          <w:color w:val="auto"/>
          <w:sz w:val="24"/>
          <w:szCs w:val="24"/>
          <w:u w:val="single"/>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承包人未提交劳动合同，以及没有为项目经理缴纳社会保险证明的违约责任：</w:t>
      </w:r>
      <w:r>
        <w:rPr>
          <w:rFonts w:hint="eastAsia" w:ascii="宋体" w:hAnsi="宋体" w:eastAsia="宋体" w:cs="宋体"/>
          <w:color w:val="auto"/>
          <w:kern w:val="0"/>
          <w:sz w:val="24"/>
          <w:szCs w:val="24"/>
          <w:u w:val="single"/>
        </w:rPr>
        <w:t>承包人与承包人人员基于劳动关系应当办理的社会保险（含工伤保险），均由承包人自行办理并承担法律责任，与发包人无关。</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kern w:val="0"/>
          <w:sz w:val="24"/>
          <w:szCs w:val="24"/>
        </w:rPr>
        <w:t>项目经理未经批准，擅自离开施工现场的违约责任：</w:t>
      </w:r>
      <w:r>
        <w:rPr>
          <w:rFonts w:hint="eastAsia" w:ascii="宋体" w:hAnsi="宋体" w:eastAsia="宋体" w:cs="宋体"/>
          <w:color w:val="auto"/>
          <w:kern w:val="0"/>
          <w:sz w:val="24"/>
          <w:szCs w:val="24"/>
          <w:u w:val="single"/>
        </w:rPr>
        <w:t>承包人承担1000元/天的违约金，累计3天以上发包人有权要求更换项目经理或解除合同</w:t>
      </w:r>
      <w:r>
        <w:rPr>
          <w:rFonts w:hint="eastAsia" w:ascii="宋体" w:hAnsi="宋体" w:eastAsia="宋体" w:cs="宋体"/>
          <w:color w:val="auto"/>
          <w:sz w:val="24"/>
          <w:szCs w:val="24"/>
          <w:u w:val="single"/>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rPr>
        <w:t>3.2.3 承包人擅自更换项目经理的违约责任：</w:t>
      </w:r>
      <w:r>
        <w:rPr>
          <w:rFonts w:hint="eastAsia" w:ascii="宋体" w:hAnsi="宋体" w:eastAsia="宋体" w:cs="宋体"/>
          <w:color w:val="auto"/>
          <w:kern w:val="0"/>
          <w:sz w:val="24"/>
          <w:szCs w:val="24"/>
          <w:u w:val="single"/>
        </w:rPr>
        <w:t>承包人承担10000-20000元的违约金，且发包人有权解除合同</w:t>
      </w:r>
      <w:r>
        <w:rPr>
          <w:rFonts w:hint="eastAsia" w:ascii="宋体" w:hAnsi="宋体" w:eastAsia="宋体" w:cs="宋体"/>
          <w:color w:val="auto"/>
          <w:sz w:val="24"/>
          <w:szCs w:val="24"/>
          <w:u w:val="single"/>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kern w:val="0"/>
          <w:sz w:val="24"/>
          <w:szCs w:val="24"/>
          <w:u w:val="single"/>
        </w:rPr>
      </w:pPr>
      <w:r>
        <w:rPr>
          <w:rFonts w:hint="eastAsia" w:ascii="宋体" w:hAnsi="宋体" w:eastAsia="宋体" w:cs="宋体"/>
          <w:color w:val="auto"/>
          <w:sz w:val="24"/>
          <w:szCs w:val="24"/>
        </w:rPr>
        <w:t>3.2.4 承包人无正当理由拒绝更换项目经理的违约责任：</w:t>
      </w:r>
      <w:r>
        <w:rPr>
          <w:rFonts w:hint="eastAsia" w:ascii="宋体" w:hAnsi="宋体" w:eastAsia="宋体" w:cs="宋体"/>
          <w:color w:val="auto"/>
          <w:kern w:val="0"/>
          <w:sz w:val="24"/>
          <w:szCs w:val="24"/>
          <w:u w:val="single"/>
        </w:rPr>
        <w:t>同上3.2.3条款。</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3.3 承包人人员</w:t>
      </w:r>
    </w:p>
    <w:p>
      <w:pPr>
        <w:keepNext w:val="0"/>
        <w:keepLines w:val="0"/>
        <w:pageBreakBefore w:val="0"/>
        <w:widowControl w:val="0"/>
        <w:kinsoku/>
        <w:wordWrap/>
        <w:overflowPunct/>
        <w:topLinePunct w:val="0"/>
        <w:autoSpaceDE/>
        <w:autoSpaceDN/>
        <w:bidi w:val="0"/>
        <w:adjustRightInd/>
        <w:snapToGrid/>
        <w:spacing w:after="120"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3.3.1承包人提交项目管理机构及施工现场管理人员安排报告的期限：</w:t>
      </w:r>
      <w:r>
        <w:rPr>
          <w:rFonts w:hint="eastAsia" w:ascii="宋体" w:hAnsi="宋体" w:eastAsia="宋体" w:cs="宋体"/>
          <w:color w:val="auto"/>
          <w:sz w:val="24"/>
          <w:szCs w:val="24"/>
          <w:u w:val="single"/>
        </w:rPr>
        <w:t>开工前2天</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u w:val="single"/>
          <w:lang w:eastAsia="zh-CN"/>
        </w:rPr>
      </w:pPr>
      <w:r>
        <w:rPr>
          <w:rFonts w:hint="eastAsia" w:ascii="宋体" w:hAnsi="宋体" w:eastAsia="宋体" w:cs="宋体"/>
          <w:color w:val="auto"/>
          <w:sz w:val="24"/>
          <w:szCs w:val="24"/>
        </w:rPr>
        <w:t>3.3.3 承包人无正当理由拒绝撤换主要施工管理人员的违约责任：</w:t>
      </w:r>
      <w:r>
        <w:rPr>
          <w:rFonts w:hint="eastAsia" w:ascii="宋体" w:hAnsi="宋体" w:cs="宋体"/>
          <w:color w:val="auto"/>
          <w:sz w:val="24"/>
          <w:szCs w:val="24"/>
          <w:u w:val="single"/>
          <w:lang w:eastAsia="zh-CN"/>
        </w:rPr>
        <w:t>本合同执行过程中，项目经理和项目技术负责人只能更换一次，且经发包人同意，如更换后的项目经理或项目技术负责人仍不能胜任本职工作，发包人有解除合同的权利；其它专业工程师不称职，发包人也可以提前10天以书面形式通知承包人更换合格人员，承包人承担上述原因给发包人造成的相应损失。</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rPr>
        <w:t xml:space="preserve">3.3.4 承包人主要施工管理人员离开施工现场的批准要求：   </w:t>
      </w:r>
      <w:r>
        <w:rPr>
          <w:rFonts w:hint="eastAsia" w:ascii="宋体" w:hAnsi="宋体" w:eastAsia="宋体" w:cs="宋体"/>
          <w:color w:val="auto"/>
          <w:sz w:val="24"/>
          <w:szCs w:val="24"/>
          <w:u w:val="single"/>
        </w:rPr>
        <w:t>由发包人批准，项目经理或技术负责人每次请假时间不得超过3天（且不得同时请假），发包人认可后方可离开</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rPr>
        <w:t>3.3.5承包人擅自更换主要施工管理人员的违约责任：</w:t>
      </w:r>
      <w:r>
        <w:rPr>
          <w:rFonts w:hint="eastAsia" w:ascii="宋体" w:hAnsi="宋体" w:eastAsia="宋体" w:cs="宋体"/>
          <w:color w:val="auto"/>
          <w:kern w:val="0"/>
          <w:sz w:val="24"/>
          <w:szCs w:val="24"/>
          <w:u w:val="single"/>
        </w:rPr>
        <w:t>处以3000元罚款，且发包人有权解除合同</w:t>
      </w:r>
      <w:r>
        <w:rPr>
          <w:rFonts w:hint="eastAsia" w:ascii="宋体" w:hAnsi="宋体" w:eastAsia="宋体" w:cs="宋体"/>
          <w:color w:val="auto"/>
          <w:sz w:val="24"/>
          <w:szCs w:val="24"/>
          <w:u w:val="single"/>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rPr>
        <w:t>承包人主要施工管理人员擅自离开施工现场的违约责任：</w:t>
      </w:r>
      <w:r>
        <w:rPr>
          <w:rFonts w:hint="eastAsia" w:ascii="宋体" w:hAnsi="宋体" w:eastAsia="宋体" w:cs="宋体"/>
          <w:color w:val="auto"/>
          <w:kern w:val="0"/>
          <w:sz w:val="24"/>
          <w:szCs w:val="24"/>
          <w:u w:val="single"/>
        </w:rPr>
        <w:t>承包人承担1000元/天的违约金，并承担因上述原因给发包人造成的相应损失。</w:t>
      </w:r>
    </w:p>
    <w:p>
      <w:pPr>
        <w:keepNext w:val="0"/>
        <w:keepLines w:val="0"/>
        <w:pageBreakBefore w:val="0"/>
        <w:widowControl w:val="0"/>
        <w:kinsoku/>
        <w:wordWrap/>
        <w:overflowPunct/>
        <w:topLinePunct w:val="0"/>
        <w:autoSpaceDE/>
        <w:autoSpaceDN/>
        <w:bidi w:val="0"/>
        <w:adjustRightInd/>
        <w:snapToGrid/>
        <w:spacing w:after="120"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w:t>
      </w:r>
      <w:bookmarkStart w:id="112" w:name="_Toc296891199"/>
      <w:bookmarkStart w:id="113" w:name="_Toc296347158"/>
      <w:bookmarkStart w:id="114" w:name="_Toc296346660"/>
      <w:bookmarkStart w:id="115" w:name="_Toc296890987"/>
      <w:bookmarkStart w:id="116" w:name="_Toc292559869"/>
      <w:bookmarkStart w:id="117" w:name="_Toc292559364"/>
      <w:bookmarkStart w:id="118" w:name="_Toc296944498"/>
      <w:bookmarkStart w:id="119" w:name="_Toc296503159"/>
      <w:bookmarkStart w:id="120" w:name="_Toc297048345"/>
      <w:bookmarkStart w:id="121" w:name="_Toc297120459"/>
      <w:bookmarkStart w:id="122" w:name="_Toc297123492"/>
      <w:bookmarkStart w:id="123" w:name="_Toc297216151"/>
      <w:bookmarkStart w:id="124" w:name="_Toc300934945"/>
      <w:bookmarkStart w:id="125" w:name="_Toc303539102"/>
      <w:bookmarkStart w:id="126" w:name="_Toc304295523"/>
      <w:bookmarkStart w:id="127" w:name="_Toc312677988"/>
      <w:r>
        <w:rPr>
          <w:rFonts w:hint="eastAsia" w:ascii="宋体" w:hAnsi="宋体" w:eastAsia="宋体" w:cs="宋体"/>
          <w:color w:val="auto"/>
          <w:sz w:val="24"/>
          <w:szCs w:val="24"/>
        </w:rPr>
        <w:t>.5 分包</w:t>
      </w:r>
    </w:p>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z w:val="24"/>
          <w:szCs w:val="24"/>
        </w:rPr>
      </w:pPr>
      <w:bookmarkStart w:id="128" w:name="_Toc292559365"/>
      <w:bookmarkStart w:id="129" w:name="_Toc292559870"/>
      <w:bookmarkStart w:id="130" w:name="_Toc296346661"/>
      <w:bookmarkStart w:id="131" w:name="_Toc296347159"/>
      <w:bookmarkStart w:id="132" w:name="_Toc296503160"/>
      <w:bookmarkStart w:id="133" w:name="_Toc296890988"/>
      <w:bookmarkStart w:id="134" w:name="_Toc296891200"/>
      <w:bookmarkStart w:id="135" w:name="_Toc296944499"/>
      <w:bookmarkStart w:id="136" w:name="_Toc297048346"/>
      <w:bookmarkStart w:id="137" w:name="_Toc297120460"/>
      <w:bookmarkStart w:id="138" w:name="_Toc297123493"/>
      <w:bookmarkStart w:id="139" w:name="_Toc297216152"/>
      <w:bookmarkStart w:id="140" w:name="_Toc300934946"/>
      <w:bookmarkStart w:id="141" w:name="_Toc303539103"/>
      <w:bookmarkStart w:id="142" w:name="_Toc304295524"/>
      <w:bookmarkStart w:id="143" w:name="_Toc312677989"/>
      <w:bookmarkStart w:id="144" w:name="_Toc318581158"/>
      <w:r>
        <w:rPr>
          <w:rFonts w:hint="eastAsia" w:ascii="宋体" w:hAnsi="宋体" w:eastAsia="宋体" w:cs="宋体"/>
          <w:color w:val="auto"/>
          <w:sz w:val="24"/>
          <w:szCs w:val="24"/>
        </w:rPr>
        <w:t>3.5.1 分包的一般约定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u w:val="single"/>
        </w:rPr>
        <w:t>本工程发包人不同意承包人分包，如承包人需进行专业分包，必须经得发包人同意，否则按违约处理</w:t>
      </w:r>
      <w:r>
        <w:rPr>
          <w:rFonts w:hint="eastAsia" w:ascii="宋体" w:hAnsi="宋体" w:eastAsia="宋体" w:cs="宋体"/>
          <w:color w:val="auto"/>
          <w:sz w:val="24"/>
          <w:szCs w:val="24"/>
        </w:rPr>
        <w:t>。</w:t>
      </w:r>
    </w:p>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p>
      <w:pPr>
        <w:keepNext w:val="0"/>
        <w:keepLines w:val="0"/>
        <w:pageBreakBefore w:val="0"/>
        <w:widowControl w:val="0"/>
        <w:kinsoku/>
        <w:wordWrap/>
        <w:overflowPunct/>
        <w:topLinePunct w:val="0"/>
        <w:autoSpaceDE/>
        <w:autoSpaceDN/>
        <w:bidi w:val="0"/>
        <w:adjustRightInd/>
        <w:snapToGrid/>
        <w:spacing w:after="120"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3.6 工程照管与成品、半成品保护</w:t>
      </w:r>
    </w:p>
    <w:p>
      <w:pPr>
        <w:keepNext w:val="0"/>
        <w:keepLines w:val="0"/>
        <w:pageBreakBefore w:val="0"/>
        <w:widowControl w:val="0"/>
        <w:kinsoku/>
        <w:wordWrap/>
        <w:overflowPunct/>
        <w:topLinePunct w:val="0"/>
        <w:autoSpaceDE/>
        <w:autoSpaceDN/>
        <w:bidi w:val="0"/>
        <w:adjustRightInd/>
        <w:snapToGrid/>
        <w:spacing w:before="120" w:after="120" w:line="360" w:lineRule="auto"/>
        <w:ind w:left="0" w:leftChars="0" w:firstLine="480" w:firstLineChars="200"/>
        <w:textAlignment w:val="auto"/>
        <w:outlineLvl w:val="9"/>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承包人负责照管工程及工程相关的材料、工程设备的起始时间：</w:t>
      </w:r>
      <w:r>
        <w:rPr>
          <w:rFonts w:hint="eastAsia" w:ascii="宋体" w:hAnsi="宋体" w:eastAsia="宋体" w:cs="宋体"/>
          <w:color w:val="auto"/>
          <w:kern w:val="0"/>
          <w:sz w:val="24"/>
          <w:szCs w:val="24"/>
          <w:u w:val="single"/>
        </w:rPr>
        <w:t>项目进场至验收交付前由承包人负责保修，费用由承包人承担。</w:t>
      </w:r>
    </w:p>
    <w:p>
      <w:pPr>
        <w:keepNext w:val="0"/>
        <w:keepLines w:val="0"/>
        <w:pageBreakBefore w:val="0"/>
        <w:widowControl w:val="0"/>
        <w:kinsoku/>
        <w:wordWrap/>
        <w:overflowPunct/>
        <w:topLinePunct w:val="0"/>
        <w:autoSpaceDE/>
        <w:autoSpaceDN/>
        <w:bidi w:val="0"/>
        <w:adjustRightInd/>
        <w:snapToGrid/>
        <w:spacing w:after="120" w:line="360" w:lineRule="auto"/>
        <w:ind w:left="0" w:leftChars="0"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3.7 履约担保</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承包人是否提供履约担保：</w:t>
      </w:r>
      <w:r>
        <w:rPr>
          <w:rFonts w:hint="eastAsia" w:ascii="宋体" w:hAnsi="宋体" w:eastAsia="宋体" w:cs="宋体"/>
          <w:color w:val="auto"/>
          <w:sz w:val="24"/>
          <w:szCs w:val="24"/>
          <w:u w:val="single"/>
        </w:rPr>
        <w:t>按招标文件执行</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承包人提供履约担保的形式、金额及期限的：</w:t>
      </w:r>
      <w:r>
        <w:rPr>
          <w:rFonts w:hint="eastAsia" w:ascii="宋体" w:hAnsi="宋体" w:eastAsia="宋体" w:cs="宋体"/>
          <w:color w:val="auto"/>
          <w:sz w:val="24"/>
          <w:szCs w:val="24"/>
          <w:u w:val="single"/>
        </w:rPr>
        <w:t>按招标文件执行</w:t>
      </w:r>
      <w:r>
        <w:rPr>
          <w:rFonts w:hint="eastAsia" w:ascii="宋体" w:hAnsi="宋体" w:eastAsia="宋体" w:cs="宋体"/>
          <w:color w:val="auto"/>
          <w:sz w:val="24"/>
          <w:szCs w:val="24"/>
        </w:rPr>
        <w:t>。</w:t>
      </w:r>
    </w:p>
    <w:p>
      <w:pPr>
        <w:pStyle w:val="6"/>
        <w:numPr>
          <w:ilvl w:val="3"/>
          <w:numId w:val="0"/>
        </w:numPr>
        <w:spacing w:before="120" w:after="120" w:line="360" w:lineRule="auto"/>
        <w:rPr>
          <w:rFonts w:hint="eastAsia" w:ascii="宋体" w:hAnsi="宋体" w:eastAsia="宋体" w:cs="宋体"/>
          <w:b/>
          <w:bCs/>
          <w:color w:val="auto"/>
          <w:sz w:val="24"/>
          <w:szCs w:val="24"/>
        </w:rPr>
      </w:pPr>
      <w:bookmarkStart w:id="145" w:name="_Toc351203636"/>
      <w:r>
        <w:rPr>
          <w:rFonts w:hint="eastAsia" w:ascii="宋体" w:hAnsi="宋体" w:eastAsia="宋体" w:cs="宋体"/>
          <w:b/>
          <w:bCs/>
          <w:color w:val="auto"/>
          <w:sz w:val="24"/>
          <w:szCs w:val="24"/>
        </w:rPr>
        <w:t>4</w:t>
      </w:r>
      <w:bookmarkStart w:id="146" w:name="_Toc296503162"/>
      <w:bookmarkStart w:id="147" w:name="_Toc267251413"/>
      <w:bookmarkStart w:id="148" w:name="_Toc292559366"/>
      <w:bookmarkStart w:id="149" w:name="_Toc297120462"/>
      <w:bookmarkStart w:id="150" w:name="_Toc296891202"/>
      <w:bookmarkStart w:id="151" w:name="_Toc297048348"/>
      <w:bookmarkStart w:id="152" w:name="_Toc292559871"/>
      <w:bookmarkStart w:id="153" w:name="_Toc296346663"/>
      <w:bookmarkStart w:id="154" w:name="_Toc296944501"/>
      <w:bookmarkStart w:id="155" w:name="_Toc296347161"/>
      <w:bookmarkStart w:id="156" w:name="_Toc296890990"/>
      <w:r>
        <w:rPr>
          <w:rFonts w:hint="eastAsia" w:ascii="宋体" w:hAnsi="宋体" w:eastAsia="宋体" w:cs="宋体"/>
          <w:b/>
          <w:bCs/>
          <w:color w:val="auto"/>
          <w:sz w:val="24"/>
          <w:szCs w:val="24"/>
        </w:rPr>
        <w:t>. 监</w:t>
      </w:r>
      <w:bookmarkEnd w:id="146"/>
      <w:bookmarkEnd w:id="147"/>
      <w:bookmarkEnd w:id="148"/>
      <w:bookmarkEnd w:id="149"/>
      <w:bookmarkEnd w:id="150"/>
      <w:bookmarkEnd w:id="151"/>
      <w:bookmarkEnd w:id="152"/>
      <w:bookmarkEnd w:id="153"/>
      <w:bookmarkEnd w:id="154"/>
      <w:bookmarkEnd w:id="155"/>
      <w:bookmarkEnd w:id="156"/>
      <w:r>
        <w:rPr>
          <w:rFonts w:hint="eastAsia" w:ascii="宋体" w:hAnsi="宋体" w:eastAsia="宋体" w:cs="宋体"/>
          <w:b/>
          <w:bCs/>
          <w:color w:val="auto"/>
          <w:sz w:val="24"/>
          <w:szCs w:val="24"/>
        </w:rPr>
        <w:t>理人</w:t>
      </w:r>
      <w:bookmarkEnd w:id="145"/>
    </w:p>
    <w:p>
      <w:pPr>
        <w:spacing w:after="120"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4.1监理人的一般规定</w:t>
      </w:r>
    </w:p>
    <w:p>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关于监理人的监理内容：</w:t>
      </w:r>
      <w:r>
        <w:rPr>
          <w:rFonts w:hint="eastAsia" w:ascii="宋体" w:hAnsi="宋体" w:eastAsia="宋体" w:cs="宋体"/>
          <w:color w:val="auto"/>
          <w:sz w:val="24"/>
          <w:szCs w:val="24"/>
          <w:u w:val="single"/>
        </w:rPr>
        <w:t>执行监理合同</w:t>
      </w:r>
      <w:r>
        <w:rPr>
          <w:rFonts w:hint="eastAsia" w:ascii="宋体" w:hAnsi="宋体" w:eastAsia="宋体" w:cs="宋体"/>
          <w:color w:val="auto"/>
          <w:sz w:val="24"/>
          <w:szCs w:val="24"/>
        </w:rPr>
        <w:t>。</w:t>
      </w:r>
    </w:p>
    <w:p>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关于监理人的监理权限：</w:t>
      </w:r>
      <w:r>
        <w:rPr>
          <w:rFonts w:hint="eastAsia" w:ascii="宋体" w:hAnsi="宋体" w:eastAsia="宋体" w:cs="宋体"/>
          <w:color w:val="auto"/>
          <w:sz w:val="24"/>
          <w:szCs w:val="24"/>
          <w:u w:val="single"/>
        </w:rPr>
        <w:t>执行监理合同</w:t>
      </w:r>
      <w:r>
        <w:rPr>
          <w:rFonts w:hint="eastAsia" w:ascii="宋体" w:hAnsi="宋体" w:eastAsia="宋体" w:cs="宋体"/>
          <w:color w:val="auto"/>
          <w:sz w:val="24"/>
          <w:szCs w:val="24"/>
        </w:rPr>
        <w:t xml:space="preserve">。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关于监理人在施工现场的办公场所、生活场所的提供和费用承担的约定：</w:t>
      </w:r>
      <w:r>
        <w:rPr>
          <w:rFonts w:hint="eastAsia" w:ascii="宋体" w:hAnsi="宋体" w:eastAsia="宋体" w:cs="宋体"/>
          <w:color w:val="auto"/>
          <w:sz w:val="24"/>
          <w:szCs w:val="24"/>
          <w:u w:val="single"/>
        </w:rPr>
        <w:t>执行监理合同</w:t>
      </w:r>
      <w:r>
        <w:rPr>
          <w:rFonts w:hint="eastAsia" w:ascii="宋体" w:hAnsi="宋体" w:eastAsia="宋体" w:cs="宋体"/>
          <w:color w:val="auto"/>
          <w:sz w:val="24"/>
          <w:szCs w:val="24"/>
        </w:rPr>
        <w:t>。</w:t>
      </w:r>
    </w:p>
    <w:p>
      <w:pPr>
        <w:spacing w:after="120"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4.2 监理人员</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总监理工程师：</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姓    名：</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职    务：</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监理工程师执业资格证书号：</w:t>
      </w:r>
      <w:r>
        <w:rPr>
          <w:rFonts w:hint="eastAsia" w:ascii="宋体" w:hAnsi="宋体" w:eastAsia="宋体" w:cs="宋体"/>
          <w:color w:val="auto"/>
          <w:sz w:val="24"/>
          <w:szCs w:val="24"/>
          <w:u w:val="single"/>
        </w:rPr>
        <w:t>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联系电话：</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电子信箱：</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通信地址：</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关于监理人的其他约定：</w:t>
      </w:r>
      <w:r>
        <w:rPr>
          <w:rFonts w:hint="eastAsia" w:ascii="宋体" w:hAnsi="宋体" w:eastAsia="宋体" w:cs="宋体"/>
          <w:color w:val="auto"/>
          <w:sz w:val="24"/>
          <w:szCs w:val="24"/>
          <w:u w:val="single"/>
        </w:rPr>
        <w:t>   </w:t>
      </w:r>
      <w:r>
        <w:rPr>
          <w:rFonts w:hint="eastAsia" w:ascii="宋体" w:hAnsi="宋体" w:eastAsia="宋体" w:cs="宋体"/>
          <w:color w:val="auto"/>
          <w:sz w:val="24"/>
          <w:szCs w:val="24"/>
        </w:rPr>
        <w:t>。</w:t>
      </w:r>
    </w:p>
    <w:p>
      <w:pPr>
        <w:pStyle w:val="6"/>
        <w:numPr>
          <w:ilvl w:val="3"/>
          <w:numId w:val="0"/>
        </w:numPr>
        <w:spacing w:before="120" w:after="120" w:line="360" w:lineRule="auto"/>
        <w:rPr>
          <w:rFonts w:hint="eastAsia" w:ascii="宋体" w:hAnsi="宋体" w:eastAsia="宋体" w:cs="宋体"/>
          <w:b/>
          <w:bCs/>
          <w:color w:val="auto"/>
          <w:sz w:val="24"/>
          <w:szCs w:val="24"/>
        </w:rPr>
      </w:pPr>
      <w:bookmarkStart w:id="157" w:name="_Toc267251418"/>
      <w:bookmarkStart w:id="158" w:name="_Toc351203637"/>
      <w:bookmarkStart w:id="159" w:name="_Toc351203639"/>
      <w:bookmarkStart w:id="160" w:name="_Toc296944502"/>
      <w:bookmarkStart w:id="161" w:name="_Toc296891203"/>
      <w:bookmarkStart w:id="162" w:name="_Toc292559367"/>
      <w:bookmarkStart w:id="163" w:name="_Toc297048349"/>
      <w:bookmarkStart w:id="164" w:name="_Toc296346664"/>
      <w:bookmarkStart w:id="165" w:name="_Toc296503163"/>
      <w:bookmarkStart w:id="166" w:name="_Toc296890991"/>
      <w:bookmarkStart w:id="167" w:name="_Toc296347162"/>
      <w:bookmarkStart w:id="168" w:name="_Toc297120463"/>
      <w:bookmarkStart w:id="169" w:name="_Toc292559872"/>
      <w:r>
        <w:rPr>
          <w:rFonts w:hint="eastAsia" w:ascii="宋体" w:hAnsi="宋体" w:eastAsia="宋体" w:cs="宋体"/>
          <w:b/>
          <w:bCs/>
          <w:color w:val="auto"/>
          <w:sz w:val="24"/>
          <w:szCs w:val="24"/>
        </w:rPr>
        <w:t>5</w:t>
      </w:r>
      <w:bookmarkEnd w:id="157"/>
      <w:r>
        <w:rPr>
          <w:rFonts w:hint="eastAsia" w:ascii="宋体" w:hAnsi="宋体" w:eastAsia="宋体" w:cs="宋体"/>
          <w:b/>
          <w:bCs/>
          <w:color w:val="auto"/>
          <w:sz w:val="24"/>
          <w:szCs w:val="24"/>
        </w:rPr>
        <w:t>. 工程质量</w:t>
      </w:r>
      <w:bookmarkEnd w:id="158"/>
    </w:p>
    <w:p>
      <w:pPr>
        <w:spacing w:after="120" w:line="360" w:lineRule="auto"/>
        <w:ind w:firstLine="480" w:firstLineChars="200"/>
        <w:outlineLvl w:val="0"/>
        <w:rPr>
          <w:rFonts w:hint="eastAsia" w:ascii="宋体" w:hAnsi="宋体" w:eastAsia="宋体" w:cs="宋体"/>
          <w:color w:val="auto"/>
          <w:sz w:val="24"/>
          <w:szCs w:val="24"/>
        </w:rPr>
      </w:pPr>
      <w:r>
        <w:rPr>
          <w:rFonts w:hint="eastAsia" w:ascii="宋体" w:hAnsi="宋体" w:eastAsia="宋体" w:cs="宋体"/>
          <w:color w:val="auto"/>
          <w:sz w:val="24"/>
          <w:szCs w:val="24"/>
        </w:rPr>
        <w:t>5.1 质量要求</w:t>
      </w:r>
    </w:p>
    <w:p>
      <w:pPr>
        <w:spacing w:after="120" w:line="360" w:lineRule="auto"/>
        <w:ind w:firstLine="480" w:firstLineChars="200"/>
        <w:outlineLvl w:val="0"/>
        <w:rPr>
          <w:rFonts w:hint="eastAsia" w:ascii="宋体" w:hAnsi="宋体" w:eastAsia="宋体" w:cs="宋体"/>
          <w:color w:val="auto"/>
          <w:sz w:val="24"/>
          <w:szCs w:val="24"/>
        </w:rPr>
      </w:pPr>
      <w:r>
        <w:rPr>
          <w:rFonts w:hint="eastAsia" w:ascii="宋体" w:hAnsi="宋体" w:eastAsia="宋体" w:cs="宋体"/>
          <w:color w:val="auto"/>
          <w:sz w:val="24"/>
          <w:szCs w:val="24"/>
        </w:rPr>
        <w:t>5</w:t>
      </w:r>
      <w:bookmarkStart w:id="170" w:name="_Toc300934949"/>
      <w:bookmarkStart w:id="171" w:name="_Toc297216155"/>
      <w:bookmarkStart w:id="172" w:name="_Toc303539106"/>
      <w:bookmarkStart w:id="173" w:name="_Toc318581164"/>
      <w:bookmarkStart w:id="174" w:name="_Toc297123496"/>
      <w:bookmarkStart w:id="175" w:name="_Toc304295527"/>
      <w:bookmarkStart w:id="176" w:name="_Toc312677997"/>
      <w:r>
        <w:rPr>
          <w:rFonts w:hint="eastAsia" w:ascii="宋体" w:hAnsi="宋体" w:eastAsia="宋体" w:cs="宋体"/>
          <w:color w:val="auto"/>
          <w:sz w:val="24"/>
          <w:szCs w:val="24"/>
        </w:rPr>
        <w:t>.1.1 特殊质量标准和要求：</w:t>
      </w:r>
      <w:r>
        <w:rPr>
          <w:rFonts w:hint="eastAsia" w:ascii="宋体" w:hAnsi="宋体" w:eastAsia="宋体" w:cs="宋体"/>
          <w:color w:val="auto"/>
          <w:sz w:val="24"/>
          <w:szCs w:val="24"/>
          <w:u w:val="single"/>
        </w:rPr>
        <w:t xml:space="preserve">承包范围内全部工程施工项目，质量标准达到国家现行有关施工质量验收规范合格标准 </w:t>
      </w:r>
      <w:r>
        <w:rPr>
          <w:rFonts w:hint="eastAsia" w:ascii="宋体" w:hAnsi="宋体" w:eastAsia="宋体" w:cs="宋体"/>
          <w:color w:val="auto"/>
          <w:sz w:val="24"/>
          <w:szCs w:val="24"/>
        </w:rPr>
        <w:t>。</w:t>
      </w:r>
    </w:p>
    <w:p>
      <w:pPr>
        <w:spacing w:after="120" w:line="360" w:lineRule="auto"/>
        <w:ind w:firstLine="480" w:firstLineChars="200"/>
        <w:outlineLvl w:val="0"/>
        <w:rPr>
          <w:rFonts w:hint="eastAsia" w:ascii="宋体" w:hAnsi="宋体" w:eastAsia="宋体" w:cs="宋体"/>
          <w:color w:val="auto"/>
          <w:sz w:val="24"/>
          <w:szCs w:val="24"/>
        </w:rPr>
      </w:pPr>
      <w:r>
        <w:rPr>
          <w:rFonts w:hint="eastAsia" w:ascii="宋体" w:hAnsi="宋体" w:eastAsia="宋体" w:cs="宋体"/>
          <w:color w:val="auto"/>
          <w:sz w:val="24"/>
          <w:szCs w:val="24"/>
        </w:rPr>
        <w:t>5.3 隐蔽工程检查</w:t>
      </w:r>
    </w:p>
    <w:p>
      <w:pPr>
        <w:spacing w:line="360" w:lineRule="auto"/>
        <w:ind w:firstLine="480" w:firstLineChars="200"/>
        <w:jc w:val="left"/>
        <w:rPr>
          <w:rFonts w:hint="eastAsia" w:ascii="宋体" w:hAnsi="宋体" w:eastAsia="宋体" w:cs="宋体"/>
          <w:color w:val="auto"/>
          <w:sz w:val="24"/>
          <w:szCs w:val="24"/>
          <w:u w:val="single"/>
        </w:rPr>
      </w:pPr>
      <w:r>
        <w:rPr>
          <w:rFonts w:hint="eastAsia" w:ascii="宋体" w:hAnsi="宋体" w:eastAsia="宋体" w:cs="宋体"/>
          <w:color w:val="auto"/>
          <w:sz w:val="24"/>
          <w:szCs w:val="24"/>
        </w:rPr>
        <w:t>5.3.2承包人提前通知监理人隐蔽工程检查的期限的约定：</w:t>
      </w:r>
      <w:r>
        <w:rPr>
          <w:rFonts w:hint="eastAsia" w:ascii="宋体" w:hAnsi="宋体" w:eastAsia="宋体" w:cs="宋体"/>
          <w:color w:val="auto"/>
          <w:sz w:val="24"/>
          <w:szCs w:val="24"/>
          <w:u w:val="single"/>
        </w:rPr>
        <w:t>共同检查前48小时书面通知监理人。</w:t>
      </w:r>
    </w:p>
    <w:p>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监理人不能按时进行检查时，应提前</w:t>
      </w:r>
      <w:r>
        <w:rPr>
          <w:rFonts w:hint="eastAsia" w:ascii="宋体" w:hAnsi="宋体" w:eastAsia="宋体" w:cs="宋体"/>
          <w:color w:val="auto"/>
          <w:sz w:val="24"/>
          <w:szCs w:val="24"/>
          <w:u w:val="single"/>
        </w:rPr>
        <w:t xml:space="preserve">  24  </w:t>
      </w:r>
      <w:r>
        <w:rPr>
          <w:rFonts w:hint="eastAsia" w:ascii="宋体" w:hAnsi="宋体" w:eastAsia="宋体" w:cs="宋体"/>
          <w:color w:val="auto"/>
          <w:sz w:val="24"/>
          <w:szCs w:val="24"/>
        </w:rPr>
        <w:t>小时提交书面延期要求。</w:t>
      </w:r>
    </w:p>
    <w:p>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关于延期最长不得超过：</w:t>
      </w:r>
      <w:r>
        <w:rPr>
          <w:rFonts w:hint="eastAsia" w:ascii="宋体" w:hAnsi="宋体" w:eastAsia="宋体" w:cs="宋体"/>
          <w:color w:val="auto"/>
          <w:sz w:val="24"/>
          <w:szCs w:val="24"/>
          <w:u w:val="single"/>
        </w:rPr>
        <w:t xml:space="preserve"> 48  </w:t>
      </w:r>
      <w:r>
        <w:rPr>
          <w:rFonts w:hint="eastAsia" w:ascii="宋体" w:hAnsi="宋体" w:eastAsia="宋体" w:cs="宋体"/>
          <w:color w:val="auto"/>
          <w:sz w:val="24"/>
          <w:szCs w:val="24"/>
        </w:rPr>
        <w:t>小时。</w:t>
      </w:r>
    </w:p>
    <w:p>
      <w:pPr>
        <w:pStyle w:val="6"/>
        <w:numPr>
          <w:ilvl w:val="3"/>
          <w:numId w:val="0"/>
        </w:numPr>
        <w:spacing w:before="120" w:after="120" w:line="360" w:lineRule="auto"/>
        <w:rPr>
          <w:rFonts w:hint="eastAsia" w:ascii="宋体" w:hAnsi="宋体" w:eastAsia="宋体" w:cs="宋体"/>
          <w:b/>
          <w:bCs/>
          <w:color w:val="auto"/>
          <w:sz w:val="24"/>
          <w:szCs w:val="24"/>
        </w:rPr>
      </w:pPr>
      <w:bookmarkStart w:id="177" w:name="_Toc351203638"/>
      <w:r>
        <w:rPr>
          <w:rFonts w:hint="eastAsia" w:ascii="宋体" w:hAnsi="宋体" w:eastAsia="宋体" w:cs="宋体"/>
          <w:b/>
          <w:bCs/>
          <w:color w:val="auto"/>
          <w:sz w:val="24"/>
          <w:szCs w:val="24"/>
        </w:rPr>
        <w:t>6. 安全文明施工与环境保护</w:t>
      </w:r>
      <w:bookmarkEnd w:id="177"/>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6.1安全文明施工</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6.1.1 项目安全生产的达标目标及相应事项的约定：</w:t>
      </w:r>
      <w:r>
        <w:rPr>
          <w:rFonts w:hint="eastAsia" w:ascii="宋体" w:hAnsi="宋体" w:eastAsia="宋体" w:cs="宋体"/>
          <w:color w:val="auto"/>
          <w:sz w:val="24"/>
          <w:szCs w:val="24"/>
          <w:u w:val="single"/>
        </w:rPr>
        <w:t>执行通用合同条款及国家、省市县有关规定</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6.1.4 关于治安保卫的特别约定：</w:t>
      </w:r>
      <w:r>
        <w:rPr>
          <w:rFonts w:hint="eastAsia" w:ascii="宋体" w:hAnsi="宋体" w:eastAsia="宋体" w:cs="宋体"/>
          <w:color w:val="auto"/>
          <w:sz w:val="24"/>
          <w:szCs w:val="24"/>
          <w:u w:val="single"/>
        </w:rPr>
        <w:t>执行通用合同条款及国家、省市县有关规定</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关于编制施工场地治安管理计划的约定：</w:t>
      </w:r>
      <w:r>
        <w:rPr>
          <w:rFonts w:hint="eastAsia" w:ascii="宋体" w:hAnsi="宋体" w:eastAsia="宋体" w:cs="宋体"/>
          <w:color w:val="auto"/>
          <w:sz w:val="24"/>
          <w:szCs w:val="24"/>
          <w:u w:val="single"/>
        </w:rPr>
        <w:t>执行通用合同条款及国家、省市县有关规定</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6.1.5 文明施工</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合同当事人对文明施工的要求：</w:t>
      </w:r>
      <w:r>
        <w:rPr>
          <w:rFonts w:hint="eastAsia" w:ascii="宋体" w:hAnsi="宋体" w:eastAsia="宋体" w:cs="宋体"/>
          <w:color w:val="auto"/>
          <w:sz w:val="24"/>
          <w:szCs w:val="24"/>
          <w:u w:val="single"/>
        </w:rPr>
        <w:t>执行通用合同条款及国家、省市县关于文明施工有关规定</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6.1.6 关于安全文明施工费支付比例和支付期限的约定：</w:t>
      </w:r>
      <w:r>
        <w:rPr>
          <w:rFonts w:hint="eastAsia" w:ascii="宋体" w:hAnsi="宋体" w:eastAsia="宋体" w:cs="宋体"/>
          <w:color w:val="auto"/>
          <w:sz w:val="24"/>
          <w:szCs w:val="24"/>
          <w:u w:val="single"/>
        </w:rPr>
        <w:t>随工程进度款的支付同时支付</w:t>
      </w:r>
      <w:r>
        <w:rPr>
          <w:rFonts w:hint="eastAsia" w:ascii="宋体" w:hAnsi="宋体" w:eastAsia="宋体" w:cs="宋体"/>
          <w:color w:val="auto"/>
          <w:sz w:val="24"/>
          <w:szCs w:val="24"/>
        </w:rPr>
        <w:t>。</w:t>
      </w:r>
    </w:p>
    <w:bookmarkEnd w:id="159"/>
    <w:bookmarkEnd w:id="170"/>
    <w:bookmarkEnd w:id="171"/>
    <w:bookmarkEnd w:id="172"/>
    <w:bookmarkEnd w:id="173"/>
    <w:bookmarkEnd w:id="174"/>
    <w:bookmarkEnd w:id="175"/>
    <w:bookmarkEnd w:id="176"/>
    <w:p>
      <w:pPr>
        <w:pStyle w:val="6"/>
        <w:numPr>
          <w:ilvl w:val="3"/>
          <w:numId w:val="0"/>
        </w:numPr>
        <w:spacing w:before="120" w:after="120" w:line="360" w:lineRule="auto"/>
        <w:rPr>
          <w:rFonts w:hint="eastAsia" w:ascii="宋体" w:hAnsi="宋体" w:eastAsia="宋体" w:cs="宋体"/>
          <w:b/>
          <w:bCs/>
          <w:color w:val="auto"/>
          <w:sz w:val="24"/>
          <w:szCs w:val="24"/>
        </w:rPr>
      </w:pPr>
      <w:bookmarkStart w:id="178" w:name="_Toc351203640"/>
      <w:r>
        <w:rPr>
          <w:rFonts w:hint="eastAsia" w:ascii="宋体" w:hAnsi="宋体" w:eastAsia="宋体" w:cs="宋体"/>
          <w:b/>
          <w:bCs/>
          <w:color w:val="auto"/>
          <w:sz w:val="24"/>
          <w:szCs w:val="24"/>
        </w:rPr>
        <w:t>7. 工期和进度</w:t>
      </w:r>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7.1 施工组织设计</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7.1.1 合</w:t>
      </w:r>
      <w:r>
        <w:rPr>
          <w:rFonts w:hint="eastAsia" w:ascii="宋体" w:hAnsi="宋体" w:eastAsia="宋体" w:cs="宋体"/>
          <w:color w:val="auto"/>
          <w:kern w:val="0"/>
          <w:sz w:val="24"/>
          <w:szCs w:val="24"/>
        </w:rPr>
        <w:t>同当事人约定的施工组织设计应包括的其他内容：</w:t>
      </w:r>
      <w:r>
        <w:rPr>
          <w:rFonts w:hint="eastAsia" w:ascii="宋体" w:hAnsi="宋体" w:eastAsia="宋体" w:cs="宋体"/>
          <w:color w:val="auto"/>
          <w:sz w:val="24"/>
          <w:szCs w:val="24"/>
          <w:u w:val="single"/>
        </w:rPr>
        <w:t>按招标文件约定，招标文件无约定的按通用合同条款执行</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 xml:space="preserve">7.1.2 </w:t>
      </w:r>
      <w:r>
        <w:rPr>
          <w:rFonts w:hint="eastAsia" w:ascii="宋体" w:hAnsi="宋体" w:eastAsia="宋体" w:cs="宋体"/>
          <w:color w:val="auto"/>
          <w:kern w:val="0"/>
          <w:sz w:val="24"/>
          <w:szCs w:val="24"/>
        </w:rPr>
        <w:t>施工组织设计的提交和修改</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承包人提交详细施工组织设计的期限的约定：</w:t>
      </w:r>
      <w:r>
        <w:rPr>
          <w:rFonts w:hint="eastAsia" w:ascii="宋体" w:hAnsi="宋体" w:eastAsia="宋体" w:cs="宋体"/>
          <w:color w:val="auto"/>
          <w:sz w:val="24"/>
          <w:szCs w:val="24"/>
          <w:u w:val="single"/>
        </w:rPr>
        <w:t>开工前</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发包人和监理人在收到详细的施工组织设计后确认或提出修改意见的期限：</w:t>
      </w:r>
      <w:r>
        <w:rPr>
          <w:rFonts w:hint="eastAsia" w:ascii="宋体" w:hAnsi="宋体" w:eastAsia="宋体" w:cs="宋体"/>
          <w:color w:val="auto"/>
          <w:sz w:val="24"/>
          <w:szCs w:val="24"/>
          <w:u w:val="single"/>
        </w:rPr>
        <w:t>收到后7天内</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w:t>
      </w:r>
      <w:bookmarkStart w:id="179" w:name="_Toc297216173"/>
      <w:bookmarkStart w:id="180" w:name="_Toc312678005"/>
      <w:bookmarkStart w:id="181" w:name="_Toc312677479"/>
      <w:bookmarkStart w:id="182" w:name="_Toc297123514"/>
      <w:bookmarkStart w:id="183" w:name="_Toc300934966"/>
      <w:bookmarkStart w:id="184" w:name="_Toc304295541"/>
      <w:bookmarkStart w:id="185" w:name="_Toc303539123"/>
      <w:r>
        <w:rPr>
          <w:rFonts w:hint="eastAsia" w:ascii="宋体" w:hAnsi="宋体" w:eastAsia="宋体" w:cs="宋体"/>
          <w:color w:val="auto"/>
          <w:sz w:val="24"/>
          <w:szCs w:val="24"/>
        </w:rPr>
        <w:t>.2 施工进度计划</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7.2.2 施工进度计划的修订</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发包人和监理人在收到修订的施工进度计划后确认或提出修改意见的期限：</w:t>
      </w:r>
      <w:r>
        <w:rPr>
          <w:rFonts w:hint="eastAsia" w:ascii="宋体" w:hAnsi="宋体" w:eastAsia="宋体" w:cs="宋体"/>
          <w:color w:val="auto"/>
          <w:sz w:val="24"/>
          <w:szCs w:val="24"/>
          <w:u w:val="single"/>
        </w:rPr>
        <w:t>收到后5天内</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7.3 开工</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7.3.1 开工准备</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关于承包人提交</w:t>
      </w:r>
      <w:r>
        <w:rPr>
          <w:rFonts w:hint="eastAsia" w:ascii="宋体" w:hAnsi="宋体" w:eastAsia="宋体" w:cs="宋体"/>
          <w:color w:val="auto"/>
          <w:kern w:val="0"/>
          <w:sz w:val="24"/>
          <w:szCs w:val="24"/>
        </w:rPr>
        <w:t>工程开工报审表的期限：</w:t>
      </w:r>
      <w:r>
        <w:rPr>
          <w:rFonts w:hint="eastAsia" w:ascii="宋体" w:hAnsi="宋体" w:eastAsia="宋体" w:cs="宋体"/>
          <w:color w:val="auto"/>
          <w:sz w:val="24"/>
          <w:szCs w:val="24"/>
          <w:u w:val="single"/>
        </w:rPr>
        <w:t>合同签订后、开工前7天</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7.3.2开工通知</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因发包人原因造成监理人未能在计划开工日期之日起</w:t>
      </w:r>
      <w:r>
        <w:rPr>
          <w:rFonts w:hint="eastAsia" w:ascii="宋体" w:hAnsi="宋体" w:eastAsia="宋体" w:cs="宋体"/>
          <w:color w:val="auto"/>
          <w:sz w:val="24"/>
          <w:szCs w:val="24"/>
          <w:u w:val="single"/>
        </w:rPr>
        <w:t xml:space="preserve"> 90  </w:t>
      </w:r>
      <w:r>
        <w:rPr>
          <w:rFonts w:hint="eastAsia" w:ascii="宋体" w:hAnsi="宋体" w:eastAsia="宋体" w:cs="宋体"/>
          <w:color w:val="auto"/>
          <w:sz w:val="24"/>
          <w:szCs w:val="24"/>
        </w:rPr>
        <w:t>天内发出开工通知的，承包人有权提出价格调整要求，或者解除合同。</w:t>
      </w:r>
    </w:p>
    <w:bookmarkEnd w:id="179"/>
    <w:bookmarkEnd w:id="180"/>
    <w:bookmarkEnd w:id="181"/>
    <w:bookmarkEnd w:id="182"/>
    <w:bookmarkEnd w:id="183"/>
    <w:bookmarkEnd w:id="184"/>
    <w:bookmarkEnd w:id="185"/>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7.4 测量放线</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7.4.1发包人通过监理人向承包人提供测量基准点、基准线和水准点及其书面资料的期限：</w:t>
      </w:r>
      <w:r>
        <w:rPr>
          <w:rFonts w:hint="eastAsia" w:ascii="宋体" w:hAnsi="宋体" w:eastAsia="宋体" w:cs="宋体"/>
          <w:color w:val="auto"/>
          <w:sz w:val="24"/>
          <w:szCs w:val="24"/>
          <w:u w:val="single"/>
        </w:rPr>
        <w:t xml:space="preserve">合同签订后、开工前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w:t>
      </w:r>
      <w:bookmarkStart w:id="186" w:name="_Toc297216175"/>
      <w:bookmarkStart w:id="187" w:name="_Toc312678010"/>
      <w:bookmarkStart w:id="188" w:name="_Toc303539125"/>
      <w:bookmarkStart w:id="189" w:name="_Toc312677484"/>
      <w:bookmarkStart w:id="190" w:name="_Toc300934968"/>
      <w:bookmarkStart w:id="191" w:name="_Toc304295546"/>
      <w:bookmarkStart w:id="192" w:name="_Toc297123516"/>
      <w:r>
        <w:rPr>
          <w:rFonts w:hint="eastAsia" w:ascii="宋体" w:hAnsi="宋体" w:eastAsia="宋体" w:cs="宋体"/>
          <w:color w:val="auto"/>
          <w:sz w:val="24"/>
          <w:szCs w:val="24"/>
        </w:rPr>
        <w:t>.5 工期延误</w:t>
      </w:r>
    </w:p>
    <w:bookmarkEnd w:id="186"/>
    <w:bookmarkEnd w:id="187"/>
    <w:bookmarkEnd w:id="188"/>
    <w:bookmarkEnd w:id="189"/>
    <w:bookmarkEnd w:id="190"/>
    <w:bookmarkEnd w:id="191"/>
    <w:bookmarkEnd w:id="192"/>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7.5.1 因发包人原因导致工期延误</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（7）因发包人原因导致工期延误的其他情形：</w:t>
      </w:r>
      <w:r>
        <w:rPr>
          <w:rFonts w:hint="eastAsia" w:ascii="宋体" w:hAnsi="宋体" w:eastAsia="宋体" w:cs="宋体"/>
          <w:color w:val="auto"/>
          <w:sz w:val="24"/>
          <w:szCs w:val="24"/>
          <w:u w:val="single"/>
        </w:rPr>
        <w:t xml:space="preserve">（1）重大设计变更而影响施工进度；（2）政策处理问题影响施工进度；（3）因发包人的其它原因造成的工期延误，此延误工期在发生后7天内依据规定办理签证逾期不予认可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w:t>
      </w:r>
      <w:bookmarkStart w:id="193" w:name="_Toc312677486"/>
      <w:bookmarkStart w:id="194" w:name="_Toc312678012"/>
      <w:bookmarkStart w:id="195" w:name="_Toc318581169"/>
      <w:bookmarkStart w:id="196" w:name="_Toc297216177"/>
      <w:bookmarkStart w:id="197" w:name="_Toc304295548"/>
      <w:bookmarkStart w:id="198" w:name="_Toc300934970"/>
      <w:bookmarkStart w:id="199" w:name="_Toc303539127"/>
      <w:bookmarkStart w:id="200" w:name="_Toc297123518"/>
      <w:r>
        <w:rPr>
          <w:rFonts w:hint="eastAsia" w:ascii="宋体" w:hAnsi="宋体" w:eastAsia="宋体" w:cs="宋体"/>
          <w:color w:val="auto"/>
          <w:sz w:val="24"/>
          <w:szCs w:val="24"/>
        </w:rPr>
        <w:t>.5.2 因承包人原因导致工期延误</w:t>
      </w:r>
    </w:p>
    <w:bookmarkEnd w:id="193"/>
    <w:bookmarkEnd w:id="194"/>
    <w:bookmarkEnd w:id="195"/>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因</w:t>
      </w:r>
      <w:bookmarkStart w:id="201" w:name="_Toc312678013"/>
      <w:bookmarkStart w:id="202" w:name="_Toc312677487"/>
      <w:bookmarkStart w:id="203" w:name="_Toc318581170"/>
      <w:r>
        <w:rPr>
          <w:rFonts w:hint="eastAsia" w:ascii="宋体" w:hAnsi="宋体" w:eastAsia="宋体" w:cs="宋体"/>
          <w:color w:val="auto"/>
          <w:sz w:val="24"/>
          <w:szCs w:val="24"/>
        </w:rPr>
        <w:t>承包人原因造成工期延误，逾期竣工违约金的计算方法为：</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u w:val="single"/>
        </w:rPr>
        <w:t>工期延迟按合同总价的万分之五/天由承包人向发包人支付</w:t>
      </w:r>
      <w:r>
        <w:rPr>
          <w:rFonts w:hint="eastAsia" w:ascii="宋体" w:hAnsi="宋体" w:eastAsia="宋体" w:cs="宋体"/>
          <w:color w:val="auto"/>
          <w:sz w:val="24"/>
          <w:szCs w:val="24"/>
        </w:rPr>
        <w:t>。</w:t>
      </w:r>
      <w:bookmarkEnd w:id="196"/>
      <w:bookmarkEnd w:id="197"/>
      <w:bookmarkEnd w:id="198"/>
      <w:bookmarkEnd w:id="199"/>
      <w:bookmarkEnd w:id="200"/>
      <w:bookmarkEnd w:id="201"/>
      <w:bookmarkEnd w:id="202"/>
    </w:p>
    <w:bookmarkEnd w:id="203"/>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因承包人原因造成工期延误，逾</w:t>
      </w:r>
      <w:bookmarkStart w:id="204" w:name="_Toc312678014"/>
      <w:bookmarkStart w:id="205" w:name="_Toc318581171"/>
      <w:r>
        <w:rPr>
          <w:rFonts w:hint="eastAsia" w:ascii="宋体" w:hAnsi="宋体" w:eastAsia="宋体" w:cs="宋体"/>
          <w:color w:val="auto"/>
          <w:sz w:val="24"/>
          <w:szCs w:val="24"/>
        </w:rPr>
        <w:t>期竣工违约金的上限：</w:t>
      </w:r>
      <w:r>
        <w:rPr>
          <w:rFonts w:hint="eastAsia" w:ascii="宋体" w:hAnsi="宋体" w:eastAsia="宋体" w:cs="宋体"/>
          <w:color w:val="auto"/>
          <w:sz w:val="24"/>
          <w:szCs w:val="24"/>
          <w:u w:val="single"/>
        </w:rPr>
        <w:t>总额不超过合同价款的5%</w:t>
      </w:r>
      <w:r>
        <w:rPr>
          <w:rFonts w:hint="eastAsia" w:ascii="宋体" w:hAnsi="宋体" w:eastAsia="宋体" w:cs="宋体"/>
          <w:color w:val="auto"/>
          <w:sz w:val="24"/>
          <w:szCs w:val="24"/>
        </w:rPr>
        <w:t>。</w:t>
      </w:r>
    </w:p>
    <w:bookmarkEnd w:id="204"/>
    <w:bookmarkEnd w:id="205"/>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w:t>
      </w:r>
      <w:bookmarkStart w:id="206" w:name="_Toc312678017"/>
      <w:bookmarkStart w:id="207" w:name="_Toc300934973"/>
      <w:bookmarkStart w:id="208" w:name="_Toc297123521"/>
      <w:bookmarkStart w:id="209" w:name="_Toc303539130"/>
      <w:bookmarkStart w:id="210" w:name="_Toc297216180"/>
      <w:bookmarkStart w:id="211" w:name="_Toc304295551"/>
      <w:r>
        <w:rPr>
          <w:rFonts w:hint="eastAsia" w:ascii="宋体" w:hAnsi="宋体" w:eastAsia="宋体" w:cs="宋体"/>
          <w:color w:val="auto"/>
          <w:sz w:val="24"/>
          <w:szCs w:val="24"/>
        </w:rPr>
        <w:t>.7异常恶劣的气候条件</w:t>
      </w:r>
    </w:p>
    <w:bookmarkEnd w:id="206"/>
    <w:bookmarkEnd w:id="207"/>
    <w:bookmarkEnd w:id="208"/>
    <w:bookmarkEnd w:id="209"/>
    <w:bookmarkEnd w:id="210"/>
    <w:bookmarkEnd w:id="211"/>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发包人和承包人同意以下情形视为异常恶劣的气候条件：</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w:t>
      </w:r>
      <w:r>
        <w:rPr>
          <w:rFonts w:hint="eastAsia" w:ascii="宋体" w:hAnsi="宋体" w:eastAsia="宋体" w:cs="宋体"/>
          <w:color w:val="auto"/>
          <w:sz w:val="24"/>
          <w:szCs w:val="24"/>
          <w:u w:val="single"/>
        </w:rPr>
        <w:t xml:space="preserve"> 双方另行约定  </w:t>
      </w:r>
      <w:r>
        <w:rPr>
          <w:rFonts w:hint="eastAsia" w:ascii="宋体" w:hAnsi="宋体" w:eastAsia="宋体" w:cs="宋体"/>
          <w:color w:val="auto"/>
          <w:sz w:val="24"/>
          <w:szCs w:val="24"/>
        </w:rPr>
        <w:t>；</w:t>
      </w:r>
    </w:p>
    <w:bookmarkEnd w:id="160"/>
    <w:bookmarkEnd w:id="161"/>
    <w:bookmarkEnd w:id="162"/>
    <w:bookmarkEnd w:id="163"/>
    <w:bookmarkEnd w:id="164"/>
    <w:bookmarkEnd w:id="165"/>
    <w:bookmarkEnd w:id="166"/>
    <w:bookmarkEnd w:id="167"/>
    <w:bookmarkEnd w:id="168"/>
    <w:bookmarkEnd w:id="169"/>
    <w:bookmarkEnd w:id="178"/>
    <w:p>
      <w:pPr>
        <w:pStyle w:val="6"/>
        <w:numPr>
          <w:ilvl w:val="3"/>
          <w:numId w:val="0"/>
        </w:numPr>
        <w:spacing w:before="120" w:after="120" w:line="360" w:lineRule="auto"/>
        <w:rPr>
          <w:rFonts w:hint="eastAsia" w:ascii="宋体" w:hAnsi="宋体" w:eastAsia="宋体" w:cs="宋体"/>
          <w:b/>
          <w:bCs/>
          <w:color w:val="auto"/>
          <w:sz w:val="24"/>
          <w:szCs w:val="24"/>
        </w:rPr>
      </w:pPr>
      <w:bookmarkStart w:id="212" w:name="_Toc267251424"/>
      <w:bookmarkStart w:id="213" w:name="_Toc280868656"/>
      <w:bookmarkStart w:id="214" w:name="_Toc280868655"/>
      <w:bookmarkStart w:id="215" w:name="_Toc351203641"/>
      <w:r>
        <w:rPr>
          <w:rFonts w:hint="eastAsia" w:ascii="宋体" w:hAnsi="宋体" w:eastAsia="宋体" w:cs="宋体"/>
          <w:b/>
          <w:bCs/>
          <w:color w:val="auto"/>
          <w:sz w:val="24"/>
          <w:szCs w:val="24"/>
        </w:rPr>
        <w:t>8. 材料与设备</w:t>
      </w:r>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w:t>
      </w:r>
      <w:bookmarkStart w:id="216" w:name="_Toc303539136"/>
      <w:bookmarkStart w:id="217" w:name="_Toc296347166"/>
      <w:bookmarkStart w:id="218" w:name="_Toc312678019"/>
      <w:bookmarkStart w:id="219" w:name="_Toc280868654"/>
      <w:bookmarkStart w:id="220" w:name="_Toc297120467"/>
      <w:bookmarkStart w:id="221" w:name="_Toc296890995"/>
      <w:bookmarkStart w:id="222" w:name="_Toc292559372"/>
      <w:bookmarkStart w:id="223" w:name="_Toc296346668"/>
      <w:bookmarkStart w:id="224" w:name="_Toc292559877"/>
      <w:bookmarkStart w:id="225" w:name="_Toc300934979"/>
      <w:bookmarkStart w:id="226" w:name="_Toc304295556"/>
      <w:bookmarkStart w:id="227" w:name="_Toc297048353"/>
      <w:bookmarkStart w:id="228" w:name="_Toc296891207"/>
      <w:bookmarkStart w:id="229" w:name="_Toc296503167"/>
      <w:bookmarkStart w:id="230" w:name="_Toc312677493"/>
      <w:bookmarkStart w:id="231" w:name="_Toc297216186"/>
      <w:bookmarkStart w:id="232" w:name="_Toc297123527"/>
      <w:bookmarkStart w:id="233" w:name="_Toc296944506"/>
      <w:r>
        <w:rPr>
          <w:rFonts w:hint="eastAsia" w:ascii="宋体" w:hAnsi="宋体" w:eastAsia="宋体" w:cs="宋体"/>
          <w:color w:val="auto"/>
          <w:sz w:val="24"/>
          <w:szCs w:val="24"/>
        </w:rPr>
        <w:t>.4材料与工程设备的保管与使用</w:t>
      </w:r>
    </w:p>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w:t>
      </w:r>
      <w:bookmarkStart w:id="234" w:name="_Toc292559878"/>
      <w:bookmarkStart w:id="235" w:name="_Toc292559373"/>
      <w:bookmarkStart w:id="236" w:name="_Toc304295557"/>
      <w:bookmarkStart w:id="237" w:name="_Toc312678020"/>
      <w:bookmarkStart w:id="238" w:name="_Toc303539137"/>
      <w:bookmarkStart w:id="239" w:name="_Toc312677494"/>
      <w:bookmarkStart w:id="240" w:name="_Toc297216187"/>
      <w:bookmarkStart w:id="241" w:name="_Toc296347167"/>
      <w:bookmarkStart w:id="242" w:name="_Toc300934980"/>
      <w:bookmarkStart w:id="243" w:name="_Toc296346669"/>
      <w:bookmarkStart w:id="244" w:name="_Toc296890996"/>
      <w:bookmarkStart w:id="245" w:name="_Toc296503168"/>
      <w:bookmarkStart w:id="246" w:name="_Toc297123528"/>
      <w:bookmarkStart w:id="247" w:name="_Toc297120468"/>
      <w:bookmarkStart w:id="248" w:name="_Toc296891208"/>
      <w:bookmarkStart w:id="249" w:name="_Toc297048354"/>
      <w:bookmarkStart w:id="250" w:name="_Toc296944507"/>
      <w:bookmarkStart w:id="251" w:name="_Toc318581173"/>
      <w:r>
        <w:rPr>
          <w:rFonts w:hint="eastAsia" w:ascii="宋体" w:hAnsi="宋体" w:eastAsia="宋体" w:cs="宋体"/>
          <w:color w:val="auto"/>
          <w:sz w:val="24"/>
          <w:szCs w:val="24"/>
        </w:rPr>
        <w:t>.4.1发包人供应的材料设备的保管费用的承担：</w:t>
      </w:r>
      <w:r>
        <w:rPr>
          <w:rFonts w:hint="eastAsia" w:ascii="宋体" w:hAnsi="宋体" w:eastAsia="宋体" w:cs="宋体"/>
          <w:color w:val="auto"/>
          <w:sz w:val="24"/>
          <w:szCs w:val="24"/>
          <w:u w:val="single"/>
        </w:rPr>
        <w:t>由承包人承担</w:t>
      </w:r>
      <w:r>
        <w:rPr>
          <w:rFonts w:hint="eastAsia" w:ascii="宋体" w:hAnsi="宋体" w:eastAsia="宋体" w:cs="宋体"/>
          <w:color w:val="auto"/>
          <w:sz w:val="24"/>
          <w:szCs w:val="24"/>
        </w:rPr>
        <w:t>。</w:t>
      </w:r>
      <w:bookmarkEnd w:id="234"/>
      <w:bookmarkEnd w:id="235"/>
    </w:p>
    <w:p>
      <w:pPr>
        <w:keepNext w:val="0"/>
        <w:keepLines w:val="0"/>
        <w:pageBreakBefore w:val="0"/>
        <w:widowControl w:val="0"/>
        <w:kinsoku/>
        <w:wordWrap/>
        <w:overflowPunct/>
        <w:topLinePunct w:val="0"/>
        <w:bidi w:val="0"/>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8.6 样品</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8.6.1样品的报送与封存</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需要承包人报送样品的材料或工程设备，样品的种类、名称、规格、数量要求：</w:t>
      </w:r>
      <w:r>
        <w:rPr>
          <w:rFonts w:hint="eastAsia" w:ascii="宋体" w:hAnsi="宋体" w:eastAsia="宋体" w:cs="宋体"/>
          <w:color w:val="auto"/>
          <w:sz w:val="24"/>
          <w:szCs w:val="24"/>
          <w:u w:val="single"/>
        </w:rPr>
        <w:t>按管理部门要求和发包人要求确定</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8.8 施工设备和临时设施</w:t>
      </w:r>
    </w:p>
    <w:p>
      <w:pPr>
        <w:keepNext w:val="0"/>
        <w:keepLines w:val="0"/>
        <w:pageBreakBefore w:val="0"/>
        <w:widowControl w:val="0"/>
        <w:kinsoku/>
        <w:wordWrap/>
        <w:overflowPunct/>
        <w:topLinePunct w:val="0"/>
        <w:bidi w:val="0"/>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8.8.1 承包人提供的施工设备和临时设施</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关于修建临时设施费用承担的约定：</w:t>
      </w:r>
      <w:r>
        <w:rPr>
          <w:rFonts w:hint="eastAsia" w:ascii="宋体" w:hAnsi="宋体" w:eastAsia="宋体" w:cs="宋体"/>
          <w:color w:val="auto"/>
          <w:sz w:val="24"/>
          <w:szCs w:val="24"/>
          <w:u w:val="single"/>
        </w:rPr>
        <w:t>由承包人承担</w:t>
      </w:r>
      <w:r>
        <w:rPr>
          <w:rFonts w:hint="eastAsia" w:ascii="宋体" w:hAnsi="宋体" w:eastAsia="宋体" w:cs="宋体"/>
          <w:color w:val="auto"/>
          <w:sz w:val="24"/>
          <w:szCs w:val="24"/>
        </w:rPr>
        <w:t>。</w:t>
      </w:r>
    </w:p>
    <w:bookmarkEnd w:id="212"/>
    <w:bookmarkEnd w:id="213"/>
    <w:bookmarkEnd w:id="214"/>
    <w:bookmarkEnd w:id="21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Pr>
        <w:pStyle w:val="6"/>
        <w:numPr>
          <w:ilvl w:val="3"/>
          <w:numId w:val="0"/>
        </w:numPr>
        <w:spacing w:before="120" w:after="120" w:line="360" w:lineRule="auto"/>
        <w:rPr>
          <w:rFonts w:hint="eastAsia" w:ascii="宋体" w:hAnsi="宋体" w:eastAsia="宋体" w:cs="宋体"/>
          <w:b/>
          <w:bCs/>
          <w:color w:val="auto"/>
          <w:sz w:val="24"/>
          <w:szCs w:val="24"/>
        </w:rPr>
      </w:pPr>
      <w:bookmarkStart w:id="252" w:name="_Toc296347172"/>
      <w:bookmarkStart w:id="253" w:name="_Toc297048359"/>
      <w:bookmarkStart w:id="254" w:name="_Toc297120473"/>
      <w:bookmarkStart w:id="255" w:name="_Toc296944512"/>
      <w:bookmarkStart w:id="256" w:name="_Toc296891001"/>
      <w:bookmarkStart w:id="257" w:name="_Toc267251428"/>
      <w:bookmarkStart w:id="258" w:name="_Toc296891213"/>
      <w:bookmarkStart w:id="259" w:name="_Toc296503173"/>
      <w:bookmarkStart w:id="260" w:name="_Toc292559883"/>
      <w:bookmarkStart w:id="261" w:name="_Toc292559378"/>
      <w:bookmarkStart w:id="262" w:name="_Toc267251427"/>
      <w:bookmarkStart w:id="263" w:name="_Toc296346674"/>
      <w:bookmarkStart w:id="264" w:name="_Toc351203642"/>
      <w:bookmarkStart w:id="265" w:name="_Toc351203643"/>
      <w:bookmarkStart w:id="266" w:name="_Toc267251439"/>
      <w:bookmarkStart w:id="267" w:name="_Toc267251437"/>
      <w:bookmarkStart w:id="268" w:name="_Toc267251435"/>
      <w:bookmarkStart w:id="269" w:name="_Toc267251433"/>
      <w:bookmarkStart w:id="270" w:name="_Toc267251441"/>
      <w:bookmarkStart w:id="271" w:name="_Toc267251440"/>
      <w:bookmarkStart w:id="272" w:name="_Toc267251442"/>
      <w:r>
        <w:rPr>
          <w:rFonts w:hint="eastAsia" w:ascii="宋体" w:hAnsi="宋体" w:eastAsia="宋体" w:cs="宋体"/>
          <w:b/>
          <w:bCs/>
          <w:color w:val="auto"/>
          <w:sz w:val="24"/>
          <w:szCs w:val="24"/>
        </w:rPr>
        <w:t>1</w:t>
      </w:r>
      <w:bookmarkEnd w:id="252"/>
      <w:bookmarkEnd w:id="253"/>
      <w:bookmarkEnd w:id="254"/>
      <w:bookmarkEnd w:id="255"/>
      <w:bookmarkEnd w:id="256"/>
      <w:bookmarkEnd w:id="257"/>
      <w:bookmarkEnd w:id="258"/>
      <w:bookmarkEnd w:id="259"/>
      <w:bookmarkEnd w:id="260"/>
      <w:bookmarkEnd w:id="261"/>
      <w:bookmarkEnd w:id="262"/>
      <w:bookmarkEnd w:id="263"/>
      <w:bookmarkStart w:id="273" w:name="_Toc297048379"/>
      <w:bookmarkStart w:id="274" w:name="_Toc297120493"/>
      <w:bookmarkStart w:id="275" w:name="_Toc297216199"/>
      <w:bookmarkStart w:id="276" w:name="_Toc297123540"/>
      <w:bookmarkStart w:id="277" w:name="_Toc303539146"/>
      <w:bookmarkStart w:id="278" w:name="_Toc304295566"/>
      <w:bookmarkStart w:id="279" w:name="_Toc296944532"/>
      <w:bookmarkStart w:id="280" w:name="_Toc300934989"/>
      <w:bookmarkStart w:id="281" w:name="_Toc296346694"/>
      <w:bookmarkStart w:id="282" w:name="_Toc292559398"/>
      <w:bookmarkStart w:id="283" w:name="_Toc292559903"/>
      <w:bookmarkStart w:id="284" w:name="_Toc296347192"/>
      <w:bookmarkStart w:id="285" w:name="_Toc296503193"/>
      <w:bookmarkStart w:id="286" w:name="_Toc296891021"/>
      <w:bookmarkStart w:id="287" w:name="_Toc296891233"/>
      <w:bookmarkStart w:id="288" w:name="_Toc312677499"/>
      <w:bookmarkStart w:id="289" w:name="_Toc312678025"/>
      <w:r>
        <w:rPr>
          <w:rFonts w:hint="eastAsia" w:ascii="宋体" w:hAnsi="宋体" w:eastAsia="宋体" w:cs="宋体"/>
          <w:b/>
          <w:bCs/>
          <w:color w:val="auto"/>
          <w:sz w:val="24"/>
          <w:szCs w:val="24"/>
        </w:rPr>
        <w:t>0. 变更</w:t>
      </w:r>
      <w:bookmarkEnd w:id="264"/>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bookmarkEnd w:id="288"/>
    <w:bookmarkEnd w:id="289"/>
    <w:p>
      <w:pPr>
        <w:spacing w:after="120"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w:t>
      </w:r>
      <w:bookmarkStart w:id="290" w:name="_Toc296503194"/>
      <w:bookmarkStart w:id="291" w:name="_Toc296891022"/>
      <w:bookmarkStart w:id="292" w:name="_Toc312678026"/>
      <w:bookmarkStart w:id="293" w:name="_Toc297123541"/>
      <w:bookmarkStart w:id="294" w:name="_Toc312677500"/>
      <w:bookmarkStart w:id="295" w:name="_Toc296891234"/>
      <w:bookmarkStart w:id="296" w:name="_Toc292559399"/>
      <w:bookmarkStart w:id="297" w:name="_Toc304295567"/>
      <w:bookmarkStart w:id="298" w:name="_Toc296944533"/>
      <w:bookmarkStart w:id="299" w:name="_Toc292559904"/>
      <w:bookmarkStart w:id="300" w:name="_Toc297120494"/>
      <w:bookmarkStart w:id="301" w:name="_Toc296347193"/>
      <w:bookmarkStart w:id="302" w:name="_Toc296346695"/>
      <w:bookmarkStart w:id="303" w:name="_Toc297048380"/>
      <w:bookmarkStart w:id="304" w:name="_Toc303539147"/>
      <w:bookmarkStart w:id="305" w:name="_Toc297216200"/>
      <w:bookmarkStart w:id="306" w:name="_Toc300934990"/>
      <w:r>
        <w:rPr>
          <w:rFonts w:hint="eastAsia" w:ascii="宋体" w:hAnsi="宋体" w:eastAsia="宋体" w:cs="宋体"/>
          <w:color w:val="auto"/>
          <w:sz w:val="24"/>
          <w:szCs w:val="24"/>
        </w:rPr>
        <w:t>0.1变更的范围</w:t>
      </w:r>
    </w:p>
    <w:p>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关于变更的范围的约定：</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spacing w:after="120" w:line="360" w:lineRule="auto"/>
        <w:ind w:firstLine="480" w:firstLineChars="200"/>
        <w:outlineLvl w:val="0"/>
        <w:rPr>
          <w:rFonts w:hint="eastAsia" w:ascii="宋体" w:hAnsi="宋体" w:eastAsia="宋体" w:cs="宋体"/>
          <w:color w:val="auto"/>
          <w:sz w:val="24"/>
          <w:szCs w:val="24"/>
        </w:rPr>
      </w:pPr>
      <w:r>
        <w:rPr>
          <w:rFonts w:hint="eastAsia" w:ascii="宋体" w:hAnsi="宋体" w:eastAsia="宋体" w:cs="宋体"/>
          <w:color w:val="auto"/>
          <w:sz w:val="24"/>
          <w:szCs w:val="24"/>
        </w:rPr>
        <w:t>10.4 变更估价</w:t>
      </w:r>
    </w:p>
    <w:p>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10.4.1 变更估价原则</w:t>
      </w:r>
    </w:p>
    <w:p>
      <w:pPr>
        <w:spacing w:line="360" w:lineRule="auto"/>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 xml:space="preserve">关于变更估价的约定: </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p>
    <w:p>
      <w:pPr>
        <w:spacing w:after="120"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10.8 暂列金额</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合同当事人关于暂列金额使用的约定：</w:t>
      </w:r>
      <w:r>
        <w:rPr>
          <w:rFonts w:hint="eastAsia" w:ascii="宋体" w:hAnsi="宋体" w:eastAsia="宋体" w:cs="宋体"/>
          <w:color w:val="auto"/>
          <w:kern w:val="0"/>
          <w:sz w:val="24"/>
          <w:szCs w:val="24"/>
          <w:u w:val="single"/>
        </w:rPr>
        <w:t>执行通用合同条款</w:t>
      </w:r>
      <w:r>
        <w:rPr>
          <w:rFonts w:hint="eastAsia" w:ascii="宋体" w:hAnsi="宋体" w:eastAsia="宋体" w:cs="宋体"/>
          <w:color w:val="auto"/>
          <w:kern w:val="0"/>
          <w:sz w:val="24"/>
          <w:szCs w:val="24"/>
        </w:rPr>
        <w:t>。</w:t>
      </w:r>
    </w:p>
    <w:p>
      <w:pPr>
        <w:pStyle w:val="6"/>
        <w:numPr>
          <w:ilvl w:val="3"/>
          <w:numId w:val="0"/>
        </w:numPr>
        <w:spacing w:before="120" w:after="120"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11. 价格调整</w:t>
      </w:r>
      <w:bookmarkEnd w:id="265"/>
    </w:p>
    <w:p>
      <w:pPr>
        <w:spacing w:after="120" w:line="360" w:lineRule="auto"/>
        <w:ind w:firstLine="480" w:firstLineChars="200"/>
        <w:rPr>
          <w:rFonts w:hint="eastAsia" w:ascii="宋体" w:hAnsi="宋体" w:eastAsia="宋体" w:cs="宋体"/>
          <w:color w:val="auto"/>
          <w:sz w:val="24"/>
          <w:szCs w:val="24"/>
        </w:rPr>
      </w:pPr>
      <w:bookmarkStart w:id="307" w:name="_Toc303539157"/>
      <w:bookmarkStart w:id="308" w:name="_Toc296944540"/>
      <w:bookmarkStart w:id="309" w:name="_Toc300935000"/>
      <w:bookmarkStart w:id="310" w:name="_Toc297123550"/>
      <w:bookmarkStart w:id="311" w:name="_Toc304295577"/>
      <w:bookmarkStart w:id="312" w:name="_Toc297216209"/>
      <w:bookmarkStart w:id="313" w:name="_Toc297048387"/>
      <w:bookmarkStart w:id="314" w:name="_Toc296347200"/>
      <w:bookmarkStart w:id="315" w:name="_Toc296503201"/>
      <w:bookmarkStart w:id="316" w:name="_Toc297120501"/>
      <w:bookmarkStart w:id="317" w:name="_Toc296891241"/>
      <w:bookmarkStart w:id="318" w:name="_Toc292559406"/>
      <w:bookmarkStart w:id="319" w:name="_Toc312678039"/>
      <w:bookmarkStart w:id="320" w:name="_Toc292559911"/>
      <w:bookmarkStart w:id="321" w:name="_Toc296891029"/>
      <w:bookmarkStart w:id="322" w:name="_Toc296346702"/>
      <w:r>
        <w:rPr>
          <w:rFonts w:hint="eastAsia" w:ascii="宋体" w:hAnsi="宋体" w:eastAsia="宋体" w:cs="宋体"/>
          <w:color w:val="auto"/>
          <w:sz w:val="24"/>
          <w:szCs w:val="24"/>
        </w:rPr>
        <w:t>11.1 市场价格波动引起的调整</w:t>
      </w:r>
    </w:p>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p>
      <w:pPr>
        <w:spacing w:line="360" w:lineRule="auto"/>
        <w:ind w:firstLine="480" w:firstLineChars="200"/>
        <w:jc w:val="left"/>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市场价格波动是否调整合同价格的约定：</w:t>
      </w:r>
      <w:r>
        <w:rPr>
          <w:rFonts w:hint="eastAsia" w:ascii="宋体" w:hAnsi="宋体" w:eastAsia="宋体" w:cs="宋体"/>
          <w:color w:val="auto"/>
          <w:kern w:val="0"/>
          <w:sz w:val="24"/>
          <w:szCs w:val="24"/>
          <w:u w:val="single"/>
        </w:rPr>
        <w:t>本项目采用总价合同，价格不予调整。</w:t>
      </w:r>
    </w:p>
    <w:bookmarkEnd w:id="266"/>
    <w:bookmarkEnd w:id="267"/>
    <w:bookmarkEnd w:id="268"/>
    <w:bookmarkEnd w:id="269"/>
    <w:bookmarkEnd w:id="270"/>
    <w:bookmarkEnd w:id="271"/>
    <w:p>
      <w:pPr>
        <w:pStyle w:val="6"/>
        <w:numPr>
          <w:ilvl w:val="3"/>
          <w:numId w:val="0"/>
        </w:numPr>
        <w:spacing w:before="120" w:after="120" w:line="360" w:lineRule="auto"/>
        <w:rPr>
          <w:rFonts w:hint="eastAsia" w:ascii="宋体" w:hAnsi="宋体" w:eastAsia="宋体" w:cs="宋体"/>
          <w:b/>
          <w:bCs/>
          <w:color w:val="auto"/>
          <w:sz w:val="24"/>
          <w:szCs w:val="24"/>
        </w:rPr>
      </w:pPr>
      <w:bookmarkStart w:id="323" w:name="_Toc296503205"/>
      <w:bookmarkStart w:id="324" w:name="_Toc292559410"/>
      <w:bookmarkStart w:id="325" w:name="_Toc296891033"/>
      <w:bookmarkStart w:id="326" w:name="_Toc297120505"/>
      <w:bookmarkStart w:id="327" w:name="_Toc292559915"/>
      <w:bookmarkStart w:id="328" w:name="_Toc296346706"/>
      <w:bookmarkStart w:id="329" w:name="_Toc296891245"/>
      <w:bookmarkStart w:id="330" w:name="_Toc297048391"/>
      <w:bookmarkStart w:id="331" w:name="_Toc296944544"/>
      <w:bookmarkStart w:id="332" w:name="_Toc296347204"/>
      <w:bookmarkStart w:id="333" w:name="_Toc351203644"/>
      <w:bookmarkStart w:id="334" w:name="_Toc312678040"/>
      <w:bookmarkStart w:id="335" w:name="_Toc297123552"/>
      <w:bookmarkStart w:id="336" w:name="_Toc297216211"/>
      <w:bookmarkStart w:id="337" w:name="_Toc303539159"/>
      <w:bookmarkStart w:id="338" w:name="_Toc304295579"/>
      <w:bookmarkStart w:id="339" w:name="_Toc300935002"/>
      <w:r>
        <w:rPr>
          <w:rFonts w:hint="eastAsia" w:ascii="宋体" w:hAnsi="宋体" w:eastAsia="宋体" w:cs="宋体"/>
          <w:b/>
          <w:bCs/>
          <w:color w:val="auto"/>
          <w:sz w:val="24"/>
          <w:szCs w:val="24"/>
        </w:rPr>
        <w:t xml:space="preserve">12. </w:t>
      </w:r>
      <w:bookmarkEnd w:id="323"/>
      <w:bookmarkEnd w:id="324"/>
      <w:bookmarkEnd w:id="325"/>
      <w:bookmarkEnd w:id="326"/>
      <w:bookmarkEnd w:id="327"/>
      <w:bookmarkEnd w:id="328"/>
      <w:bookmarkEnd w:id="329"/>
      <w:bookmarkEnd w:id="330"/>
      <w:bookmarkEnd w:id="331"/>
      <w:bookmarkEnd w:id="332"/>
      <w:r>
        <w:rPr>
          <w:rFonts w:hint="eastAsia" w:ascii="宋体" w:hAnsi="宋体" w:eastAsia="宋体" w:cs="宋体"/>
          <w:b/>
          <w:bCs/>
          <w:color w:val="auto"/>
          <w:sz w:val="24"/>
          <w:szCs w:val="24"/>
        </w:rPr>
        <w:t>合同价格、计量与支付</w:t>
      </w:r>
      <w:bookmarkEnd w:id="333"/>
    </w:p>
    <w:bookmarkEnd w:id="334"/>
    <w:bookmarkEnd w:id="335"/>
    <w:bookmarkEnd w:id="336"/>
    <w:bookmarkEnd w:id="337"/>
    <w:bookmarkEnd w:id="338"/>
    <w:bookmarkEnd w:id="339"/>
    <w:p>
      <w:pPr>
        <w:keepLines w:val="0"/>
        <w:pageBreakBefore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bookmarkStart w:id="340" w:name="_Toc292559916"/>
      <w:bookmarkStart w:id="341" w:name="_Toc267251461"/>
      <w:bookmarkStart w:id="342" w:name="_Toc292559411"/>
      <w:bookmarkStart w:id="343" w:name="_Toc296346707"/>
      <w:bookmarkStart w:id="344" w:name="_Toc296347205"/>
      <w:bookmarkStart w:id="345" w:name="_Toc296503206"/>
      <w:bookmarkStart w:id="346" w:name="_Toc296891034"/>
      <w:bookmarkStart w:id="347" w:name="_Toc297120506"/>
      <w:bookmarkStart w:id="348" w:name="_Toc296891246"/>
      <w:bookmarkStart w:id="349" w:name="_Toc296944545"/>
      <w:bookmarkStart w:id="350" w:name="_Toc297048392"/>
      <w:bookmarkStart w:id="351" w:name="_Toc297123553"/>
      <w:bookmarkStart w:id="352" w:name="_Toc297216212"/>
      <w:bookmarkStart w:id="353" w:name="_Toc300935003"/>
      <w:bookmarkStart w:id="354" w:name="_Toc303539160"/>
      <w:bookmarkStart w:id="355" w:name="_Toc304295580"/>
      <w:bookmarkStart w:id="356" w:name="_Toc312678041"/>
      <w:r>
        <w:rPr>
          <w:rFonts w:hint="eastAsia" w:ascii="宋体" w:hAnsi="宋体" w:eastAsia="宋体" w:cs="宋体"/>
          <w:color w:val="auto"/>
          <w:sz w:val="24"/>
          <w:szCs w:val="24"/>
        </w:rPr>
        <w:t>12.1 合</w:t>
      </w:r>
      <w:bookmarkEnd w:id="340"/>
      <w:bookmarkEnd w:id="341"/>
      <w:bookmarkEnd w:id="342"/>
      <w:r>
        <w:rPr>
          <w:rFonts w:hint="eastAsia" w:ascii="宋体" w:hAnsi="宋体" w:eastAsia="宋体" w:cs="宋体"/>
          <w:color w:val="auto"/>
          <w:sz w:val="24"/>
          <w:szCs w:val="24"/>
        </w:rPr>
        <w:t>同价</w:t>
      </w:r>
      <w:bookmarkEnd w:id="343"/>
      <w:bookmarkEnd w:id="344"/>
      <w:bookmarkEnd w:id="345"/>
      <w:bookmarkEnd w:id="346"/>
      <w:bookmarkEnd w:id="347"/>
      <w:bookmarkEnd w:id="348"/>
      <w:bookmarkEnd w:id="349"/>
      <w:bookmarkEnd w:id="350"/>
      <w:r>
        <w:rPr>
          <w:rFonts w:hint="eastAsia" w:ascii="宋体" w:hAnsi="宋体" w:eastAsia="宋体" w:cs="宋体"/>
          <w:color w:val="auto"/>
          <w:sz w:val="24"/>
          <w:szCs w:val="24"/>
        </w:rPr>
        <w:t>格形式</w:t>
      </w:r>
      <w:bookmarkEnd w:id="351"/>
      <w:bookmarkEnd w:id="352"/>
      <w:bookmarkEnd w:id="353"/>
      <w:bookmarkEnd w:id="354"/>
      <w:bookmarkEnd w:id="355"/>
      <w:bookmarkEnd w:id="356"/>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2、总价合同。</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总价包含的风险范围：</w:t>
      </w:r>
      <w:r>
        <w:rPr>
          <w:rFonts w:hint="eastAsia" w:ascii="宋体" w:hAnsi="宋体" w:eastAsia="宋体" w:cs="宋体"/>
          <w:color w:val="0000FF"/>
          <w:sz w:val="24"/>
          <w:szCs w:val="24"/>
          <w:u w:val="single"/>
        </w:rPr>
        <w:t xml:space="preserve">合同实施期间一切风险因素，承包方自行考虑 </w:t>
      </w:r>
      <w:r>
        <w:rPr>
          <w:rFonts w:hint="eastAsia" w:ascii="宋体" w:hAnsi="宋体" w:eastAsia="宋体" w:cs="宋体"/>
          <w:color w:val="0000FF"/>
          <w:sz w:val="24"/>
          <w:szCs w:val="24"/>
        </w:rPr>
        <w:t>。</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风险范围以外合同价格的调整方法：</w:t>
      </w:r>
      <w:r>
        <w:rPr>
          <w:rFonts w:hint="eastAsia" w:ascii="宋体" w:hAnsi="宋体" w:eastAsia="宋体" w:cs="宋体"/>
          <w:color w:val="0000FF"/>
          <w:sz w:val="24"/>
          <w:szCs w:val="24"/>
          <w:u w:val="single"/>
        </w:rPr>
        <w:t>工程变更、签证及发包方有特殊要求时，经发包方确认后按实调整</w:t>
      </w:r>
      <w:r>
        <w:rPr>
          <w:rFonts w:hint="eastAsia" w:ascii="宋体" w:hAnsi="宋体" w:eastAsia="宋体" w:cs="宋体"/>
          <w:color w:val="0000FF"/>
          <w:sz w:val="24"/>
          <w:szCs w:val="24"/>
        </w:rPr>
        <w:t>。</w:t>
      </w:r>
    </w:p>
    <w:p>
      <w:pPr>
        <w:keepLines w:val="0"/>
        <w:pageBreakBefore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bookmarkStart w:id="357" w:name="_Toc312678042"/>
      <w:bookmarkStart w:id="358" w:name="_Toc297123554"/>
      <w:bookmarkStart w:id="359" w:name="_Toc297216213"/>
      <w:bookmarkStart w:id="360" w:name="_Toc300935004"/>
      <w:bookmarkStart w:id="361" w:name="_Toc303539161"/>
      <w:bookmarkStart w:id="362" w:name="_Toc304295581"/>
      <w:bookmarkStart w:id="363" w:name="_Toc292559412"/>
      <w:bookmarkStart w:id="364" w:name="_Toc292559917"/>
      <w:bookmarkStart w:id="365" w:name="_Toc296346708"/>
      <w:bookmarkStart w:id="366" w:name="_Toc296347206"/>
      <w:bookmarkStart w:id="367" w:name="_Toc296503207"/>
      <w:bookmarkStart w:id="368" w:name="_Toc296891035"/>
      <w:bookmarkStart w:id="369" w:name="_Toc296891247"/>
      <w:bookmarkStart w:id="370" w:name="_Toc296944546"/>
      <w:bookmarkStart w:id="371" w:name="_Toc297048393"/>
      <w:bookmarkStart w:id="372" w:name="_Toc297120507"/>
      <w:r>
        <w:rPr>
          <w:rFonts w:hint="eastAsia" w:ascii="宋体" w:hAnsi="宋体" w:eastAsia="宋体" w:cs="宋体"/>
          <w:color w:val="auto"/>
          <w:sz w:val="24"/>
          <w:szCs w:val="24"/>
        </w:rPr>
        <w:t>12.2 预付款</w:t>
      </w:r>
    </w:p>
    <w:bookmarkEnd w:id="357"/>
    <w:bookmarkEnd w:id="358"/>
    <w:bookmarkEnd w:id="359"/>
    <w:bookmarkEnd w:id="360"/>
    <w:bookmarkEnd w:id="361"/>
    <w:bookmarkEnd w:id="362"/>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12.2.1 预付款的支付</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预付款支付比例或金额：</w:t>
      </w:r>
      <w:r>
        <w:rPr>
          <w:rFonts w:hint="eastAsia" w:ascii="宋体" w:hAnsi="宋体" w:eastAsia="宋体" w:cs="宋体"/>
          <w:color w:val="0000FF"/>
          <w:sz w:val="24"/>
          <w:szCs w:val="24"/>
          <w:u w:val="single"/>
        </w:rPr>
        <w:t>本项目无预付款</w:t>
      </w:r>
      <w:r>
        <w:rPr>
          <w:rFonts w:hint="eastAsia" w:ascii="宋体" w:hAnsi="宋体" w:eastAsia="宋体" w:cs="宋体"/>
          <w:color w:val="0000FF"/>
          <w:sz w:val="24"/>
          <w:szCs w:val="24"/>
        </w:rPr>
        <w:t>。</w:t>
      </w:r>
    </w:p>
    <w:bookmarkEnd w:id="363"/>
    <w:bookmarkEnd w:id="364"/>
    <w:bookmarkEnd w:id="365"/>
    <w:bookmarkEnd w:id="366"/>
    <w:bookmarkEnd w:id="367"/>
    <w:bookmarkEnd w:id="368"/>
    <w:bookmarkEnd w:id="369"/>
    <w:bookmarkEnd w:id="370"/>
    <w:bookmarkEnd w:id="371"/>
    <w:bookmarkEnd w:id="372"/>
    <w:p>
      <w:pPr>
        <w:keepLines w:val="0"/>
        <w:pageBreakBefore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12.3 计量</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12.3.1 计量原则</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工程量计算规则：</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12.3.2 计量周期</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关于计量周期的约定：</w:t>
      </w:r>
      <w:r>
        <w:rPr>
          <w:rFonts w:hint="eastAsia" w:ascii="宋体" w:hAnsi="宋体" w:eastAsia="宋体" w:cs="宋体"/>
          <w:color w:val="auto"/>
          <w:sz w:val="24"/>
          <w:szCs w:val="24"/>
          <w:u w:val="single"/>
        </w:rPr>
        <w:t>按月计量</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12.3.4 总价合同的计量</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关于总价合同计量的约定：</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12.4 工程进度款支付</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bookmarkStart w:id="373" w:name="_Toc300935006"/>
      <w:bookmarkStart w:id="374" w:name="_Toc303539163"/>
      <w:bookmarkStart w:id="375" w:name="_Toc292559921"/>
      <w:bookmarkStart w:id="376" w:name="_Toc296346712"/>
      <w:bookmarkStart w:id="377" w:name="_Toc296347210"/>
      <w:bookmarkStart w:id="378" w:name="_Toc296503211"/>
      <w:bookmarkStart w:id="379" w:name="_Toc292559416"/>
      <w:bookmarkStart w:id="380" w:name="_Toc296891039"/>
      <w:bookmarkStart w:id="381" w:name="_Toc296891251"/>
      <w:bookmarkStart w:id="382" w:name="_Toc296944550"/>
      <w:bookmarkStart w:id="383" w:name="_Toc297048397"/>
      <w:bookmarkStart w:id="384" w:name="_Toc297120511"/>
      <w:bookmarkStart w:id="385" w:name="_Toc297123556"/>
      <w:bookmarkStart w:id="386" w:name="_Toc297216215"/>
      <w:r>
        <w:rPr>
          <w:rFonts w:hint="eastAsia" w:ascii="宋体" w:hAnsi="宋体" w:eastAsia="宋体" w:cs="宋体"/>
          <w:color w:val="auto"/>
          <w:sz w:val="24"/>
          <w:szCs w:val="24"/>
        </w:rPr>
        <w:t>12.4.1 付款周期</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FF"/>
          <w:sz w:val="24"/>
          <w:szCs w:val="24"/>
        </w:rPr>
      </w:pPr>
      <w:r>
        <w:rPr>
          <w:rFonts w:hint="eastAsia" w:ascii="宋体" w:hAnsi="宋体" w:eastAsia="宋体" w:cs="宋体"/>
          <w:color w:val="0000FF"/>
          <w:sz w:val="24"/>
          <w:szCs w:val="24"/>
        </w:rPr>
        <w:t>关于付款周期的约定：</w:t>
      </w:r>
      <w:r>
        <w:rPr>
          <w:rFonts w:hint="eastAsia" w:ascii="宋体" w:hAnsi="宋体" w:eastAsia="宋体" w:cs="宋体"/>
          <w:color w:val="auto"/>
          <w:sz w:val="24"/>
          <w:szCs w:val="24"/>
          <w:u w:val="single"/>
          <w:lang w:eastAsia="zh-CN"/>
        </w:rPr>
        <w:t>竣工验收合格前支付额度不超过合同价款的70%，工程结算审计完成后，支付不超过审定价的97%，剩余3%作为工程质量保证金，在缺陷责任期满且达到质保要求后全部付清</w:t>
      </w:r>
      <w:r>
        <w:rPr>
          <w:rFonts w:hint="eastAsia" w:ascii="宋体" w:hAnsi="宋体" w:eastAsia="宋体" w:cs="宋体"/>
          <w:color w:val="0000FF"/>
          <w:sz w:val="24"/>
          <w:szCs w:val="24"/>
          <w:u w:val="single"/>
        </w:rPr>
        <w:t xml:space="preserve"> </w:t>
      </w:r>
      <w:r>
        <w:rPr>
          <w:rFonts w:hint="eastAsia" w:ascii="宋体" w:hAnsi="宋体" w:eastAsia="宋体" w:cs="宋体"/>
          <w:color w:val="0000FF"/>
          <w:sz w:val="24"/>
          <w:szCs w:val="24"/>
        </w:rPr>
        <w:t>。</w:t>
      </w:r>
    </w:p>
    <w:bookmarkEnd w:id="2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Pr>
        <w:pStyle w:val="6"/>
        <w:numPr>
          <w:ilvl w:val="3"/>
          <w:numId w:val="0"/>
        </w:numPr>
        <w:spacing w:before="120" w:after="120" w:line="360" w:lineRule="auto"/>
        <w:rPr>
          <w:rFonts w:hint="eastAsia" w:ascii="宋体" w:hAnsi="宋体" w:eastAsia="宋体" w:cs="宋体"/>
          <w:b/>
          <w:bCs/>
          <w:color w:val="auto"/>
          <w:sz w:val="24"/>
          <w:szCs w:val="24"/>
        </w:rPr>
      </w:pPr>
      <w:bookmarkStart w:id="387" w:name="_Toc351203645"/>
      <w:bookmarkStart w:id="388" w:name="_Toc312678053"/>
      <w:bookmarkStart w:id="389" w:name="_Toc304295593"/>
      <w:bookmarkStart w:id="390" w:name="_Toc300935015"/>
      <w:bookmarkStart w:id="391" w:name="_Toc303539172"/>
      <w:bookmarkStart w:id="392" w:name="_Toc292559424"/>
      <w:bookmarkStart w:id="393" w:name="_Toc292559929"/>
      <w:bookmarkStart w:id="394" w:name="_Toc296346720"/>
      <w:bookmarkStart w:id="395" w:name="_Toc296347218"/>
      <w:bookmarkStart w:id="396" w:name="_Toc296503219"/>
      <w:bookmarkStart w:id="397" w:name="_Toc296891047"/>
      <w:bookmarkStart w:id="398" w:name="_Toc296891259"/>
      <w:bookmarkStart w:id="399" w:name="_Toc296944558"/>
      <w:bookmarkStart w:id="400" w:name="_Toc297048405"/>
      <w:bookmarkStart w:id="401" w:name="_Toc297120519"/>
      <w:bookmarkStart w:id="402" w:name="_Toc297123564"/>
      <w:bookmarkStart w:id="403" w:name="_Toc297216223"/>
      <w:r>
        <w:rPr>
          <w:rFonts w:hint="eastAsia" w:ascii="宋体" w:hAnsi="宋体" w:eastAsia="宋体" w:cs="宋体"/>
          <w:b/>
          <w:bCs/>
          <w:color w:val="auto"/>
          <w:sz w:val="24"/>
          <w:szCs w:val="24"/>
        </w:rPr>
        <w:t>13. 验收和工程试车</w:t>
      </w:r>
      <w:bookmarkEnd w:id="387"/>
    </w:p>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bookmarkStart w:id="404" w:name="_Toc280868704"/>
      <w:bookmarkStart w:id="405" w:name="_Toc280868705"/>
      <w:bookmarkStart w:id="406" w:name="_Toc280868706"/>
      <w:bookmarkStart w:id="407" w:name="_Toc280868707"/>
      <w:bookmarkStart w:id="408" w:name="_Toc280868708"/>
      <w:bookmarkStart w:id="409" w:name="_Toc267251475"/>
      <w:bookmarkStart w:id="410" w:name="_Toc267251474"/>
      <w:bookmarkStart w:id="411" w:name="_Toc267251473"/>
      <w:bookmarkStart w:id="412" w:name="_Toc267251472"/>
      <w:bookmarkStart w:id="413" w:name="_Toc267251471"/>
      <w:bookmarkStart w:id="414" w:name="_Toc267251470"/>
      <w:bookmarkStart w:id="415" w:name="_Toc280868709"/>
      <w:bookmarkStart w:id="416" w:name="_Toc267251476"/>
      <w:r>
        <w:rPr>
          <w:rFonts w:hint="eastAsia" w:ascii="宋体" w:hAnsi="宋体" w:eastAsia="宋体" w:cs="宋体"/>
          <w:color w:val="auto"/>
          <w:sz w:val="24"/>
          <w:szCs w:val="24"/>
        </w:rPr>
        <w:t>13.2.2竣工验收程序</w:t>
      </w:r>
      <w:bookmarkEnd w:id="404"/>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关于竣工验收程序的约定：</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发包人不按照本项约定组织竣工验收、颁发工程接收证书的违约金的计算方法：</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bookmarkEnd w:id="405"/>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13.2.5移交、接收全部与部分工程</w:t>
      </w:r>
    </w:p>
    <w:bookmarkEnd w:id="406"/>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承包人向发包人移交工程的期限：</w:t>
      </w:r>
      <w:r>
        <w:rPr>
          <w:rFonts w:hint="eastAsia" w:ascii="宋体" w:hAnsi="宋体" w:eastAsia="宋体" w:cs="宋体"/>
          <w:color w:val="auto"/>
          <w:sz w:val="24"/>
          <w:szCs w:val="24"/>
          <w:u w:val="single"/>
        </w:rPr>
        <w:t xml:space="preserve"> 执行通用合同条款 </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u w:val="single"/>
        </w:rPr>
      </w:pPr>
      <w:r>
        <w:rPr>
          <w:rFonts w:hint="eastAsia" w:ascii="宋体" w:hAnsi="宋体" w:eastAsia="宋体" w:cs="宋体"/>
          <w:color w:val="auto"/>
          <w:kern w:val="0"/>
          <w:sz w:val="24"/>
          <w:szCs w:val="24"/>
        </w:rPr>
        <w:t>发包人未按本合同约定接收全部或部分工程的，违约金的计算方法为：</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bookmarkEnd w:id="407"/>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承包人未按时移交工程的，违约金的计算方法为：</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bookmarkEnd w:id="408"/>
    </w:p>
    <w:p>
      <w:pPr>
        <w:pStyle w:val="6"/>
        <w:numPr>
          <w:ilvl w:val="3"/>
          <w:numId w:val="0"/>
        </w:numPr>
        <w:spacing w:before="120" w:after="120" w:line="360" w:lineRule="auto"/>
        <w:rPr>
          <w:rFonts w:hint="eastAsia" w:ascii="宋体" w:hAnsi="宋体" w:eastAsia="宋体" w:cs="宋体"/>
          <w:b/>
          <w:bCs/>
          <w:color w:val="auto"/>
          <w:sz w:val="24"/>
          <w:szCs w:val="24"/>
        </w:rPr>
      </w:pPr>
      <w:bookmarkStart w:id="417" w:name="_Toc351203646"/>
      <w:r>
        <w:rPr>
          <w:rFonts w:hint="eastAsia" w:ascii="宋体" w:hAnsi="宋体" w:eastAsia="宋体" w:cs="宋体"/>
          <w:b/>
          <w:bCs/>
          <w:color w:val="auto"/>
          <w:sz w:val="24"/>
          <w:szCs w:val="24"/>
        </w:rPr>
        <w:t>14. 竣工结算</w:t>
      </w:r>
      <w:bookmarkEnd w:id="417"/>
    </w:p>
    <w:bookmarkEnd w:id="409"/>
    <w:bookmarkEnd w:id="410"/>
    <w:bookmarkEnd w:id="411"/>
    <w:bookmarkEnd w:id="412"/>
    <w:bookmarkEnd w:id="413"/>
    <w:bookmarkEnd w:id="414"/>
    <w:bookmarkEnd w:id="415"/>
    <w:bookmarkEnd w:id="416"/>
    <w:p>
      <w:pPr>
        <w:keepLines w:val="0"/>
        <w:pageBreakBefore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bookmarkStart w:id="418" w:name="_Toc267251486"/>
      <w:bookmarkStart w:id="419" w:name="_Toc267251492"/>
      <w:bookmarkStart w:id="420" w:name="_Toc267251488"/>
      <w:bookmarkStart w:id="421" w:name="_Toc267251489"/>
      <w:bookmarkStart w:id="422" w:name="_Toc267251491"/>
      <w:bookmarkStart w:id="423" w:name="_Toc267251485"/>
      <w:bookmarkStart w:id="424" w:name="_Toc267251490"/>
      <w:bookmarkStart w:id="425" w:name="_Toc267251483"/>
      <w:bookmarkStart w:id="426" w:name="_Toc267251482"/>
      <w:bookmarkStart w:id="427" w:name="_Toc267251484"/>
      <w:bookmarkStart w:id="428" w:name="_Toc351203647"/>
      <w:bookmarkStart w:id="429" w:name="_Toc267251496"/>
      <w:bookmarkStart w:id="430" w:name="_Toc267251497"/>
      <w:bookmarkStart w:id="431" w:name="_Toc267251493"/>
      <w:bookmarkStart w:id="432" w:name="_Toc267251494"/>
      <w:bookmarkStart w:id="433" w:name="_Toc267251495"/>
      <w:bookmarkStart w:id="434" w:name="_Toc267251498"/>
      <w:bookmarkStart w:id="435" w:name="_Toc267251499"/>
      <w:bookmarkStart w:id="436" w:name="_Toc267251503"/>
      <w:bookmarkStart w:id="437" w:name="_Toc267251502"/>
      <w:bookmarkStart w:id="438" w:name="_Toc267251501"/>
      <w:bookmarkStart w:id="439" w:name="_Toc267251506"/>
      <w:bookmarkStart w:id="440" w:name="_Toc267251504"/>
      <w:bookmarkStart w:id="441" w:name="_Toc267251507"/>
      <w:bookmarkStart w:id="442" w:name="_Toc267251508"/>
      <w:bookmarkStart w:id="443" w:name="_Toc267251513"/>
      <w:bookmarkStart w:id="444" w:name="_Toc267251515"/>
      <w:bookmarkStart w:id="445" w:name="_Toc267251509"/>
      <w:bookmarkStart w:id="446" w:name="_Toc267251510"/>
      <w:bookmarkStart w:id="447" w:name="_Toc267251511"/>
      <w:bookmarkStart w:id="448" w:name="_Toc267251514"/>
      <w:r>
        <w:rPr>
          <w:rFonts w:hint="eastAsia" w:ascii="宋体" w:hAnsi="宋体" w:eastAsia="宋体" w:cs="宋体"/>
          <w:color w:val="auto"/>
          <w:sz w:val="24"/>
          <w:szCs w:val="24"/>
        </w:rPr>
        <w:t>14.1 竣工结算申请</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承包人提交竣工结算申请单的期限：</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竣工结算申请单应包括的内容：</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14.2 竣工结算审核</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发包人审批竣工付款申请单的期限：</w:t>
      </w:r>
      <w:r>
        <w:rPr>
          <w:rFonts w:hint="eastAsia" w:ascii="宋体" w:hAnsi="宋体" w:eastAsia="宋体" w:cs="宋体"/>
          <w:color w:val="auto"/>
          <w:sz w:val="24"/>
          <w:szCs w:val="24"/>
          <w:u w:val="single"/>
        </w:rPr>
        <w:t>发包人审核须经审计部门审计，审计期限以审计部门的实际审查期限为准，审计期间不计入发包人完成审批竣工付款期限，以审计部门的审计结论作为结算依据，审计完成后28天内发包人完成审批竣工付款申请单的工作，审计期限不计入发包人完成审批竣工付款期限。最终结算金额以审计部门的审计结论作为结算依据，承包人不得提出异议。</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发包人完成竣工付款的期限：</w:t>
      </w:r>
      <w:r>
        <w:rPr>
          <w:rFonts w:hint="eastAsia" w:ascii="宋体" w:hAnsi="宋体" w:eastAsia="宋体" w:cs="宋体"/>
          <w:color w:val="auto"/>
          <w:sz w:val="24"/>
          <w:szCs w:val="24"/>
          <w:u w:val="single"/>
        </w:rPr>
        <w:t>审计结论作出后的合理期限内。因承包人不认可审计结论导致双方发生争议，进而出现付款延迟的，发包人不承担违约责任。</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关于竣工付款证书异议部分复核的方式和程序：</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14.4 最终结清</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14.4.1 最终结清申请单</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承包人提交最终结清申请单的份数：</w:t>
      </w:r>
      <w:r>
        <w:rPr>
          <w:rFonts w:hint="eastAsia" w:ascii="宋体" w:hAnsi="宋体" w:eastAsia="宋体" w:cs="宋体"/>
          <w:color w:val="auto"/>
          <w:sz w:val="24"/>
          <w:szCs w:val="24"/>
          <w:u w:val="single"/>
        </w:rPr>
        <w:t xml:space="preserve">陆份 </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承包人提交最终结算申请单的期限：</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 xml:space="preserve">。 </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14.4.2 最终结清证书和支付</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（1）发包人完成最终结清申请单的审批并颁发最终结清证书的期限：</w:t>
      </w:r>
      <w:r>
        <w:rPr>
          <w:rFonts w:hint="eastAsia" w:ascii="宋体" w:hAnsi="宋体" w:eastAsia="宋体" w:cs="宋体"/>
          <w:color w:val="auto"/>
          <w:sz w:val="24"/>
          <w:szCs w:val="24"/>
          <w:u w:val="single"/>
        </w:rPr>
        <w:t>执行通用合同条款</w:t>
      </w:r>
      <w:r>
        <w:rPr>
          <w:rFonts w:hint="eastAsia" w:ascii="宋体" w:hAnsi="宋体" w:eastAsia="宋体" w:cs="宋体"/>
          <w:color w:val="auto"/>
          <w:sz w:val="24"/>
          <w:szCs w:val="24"/>
        </w:rPr>
        <w:t>。</w:t>
      </w:r>
    </w:p>
    <w:p>
      <w:pPr>
        <w:keepLines w:val="0"/>
        <w:pageBreakBefore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（2）发包人完成支付的期限：</w:t>
      </w:r>
      <w:r>
        <w:rPr>
          <w:rFonts w:hint="eastAsia" w:ascii="宋体" w:hAnsi="宋体" w:eastAsia="宋体" w:cs="宋体"/>
          <w:b w:val="0"/>
          <w:bCs w:val="0"/>
          <w:color w:val="auto"/>
          <w:sz w:val="24"/>
          <w:szCs w:val="24"/>
          <w:u w:val="single"/>
          <w:lang w:val="en-US" w:eastAsia="zh-CN"/>
        </w:rPr>
        <w:t>执行通用合同条款。</w:t>
      </w:r>
    </w:p>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p>
      <w:pPr>
        <w:pStyle w:val="6"/>
        <w:numPr>
          <w:ilvl w:val="3"/>
          <w:numId w:val="0"/>
        </w:numPr>
        <w:spacing w:before="120" w:after="120" w:line="360" w:lineRule="auto"/>
        <w:rPr>
          <w:rFonts w:hint="eastAsia" w:ascii="宋体" w:hAnsi="宋体" w:eastAsia="宋体" w:cs="宋体"/>
          <w:b/>
          <w:bCs/>
          <w:color w:val="auto"/>
          <w:sz w:val="24"/>
          <w:szCs w:val="24"/>
        </w:rPr>
      </w:pPr>
      <w:r>
        <w:rPr>
          <w:rFonts w:hint="eastAsia" w:ascii="宋体" w:hAnsi="宋体" w:eastAsia="宋体" w:cs="宋体"/>
          <w:b/>
          <w:bCs/>
          <w:color w:val="auto"/>
          <w:sz w:val="24"/>
          <w:szCs w:val="24"/>
        </w:rPr>
        <w:t>15. 缺陷责任期与保修</w:t>
      </w:r>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15.2缺陷责任期</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缺陷责任期的具体期限：</w:t>
      </w:r>
      <w:r>
        <w:rPr>
          <w:rFonts w:hint="eastAsia" w:ascii="宋体" w:hAnsi="宋体" w:eastAsia="宋体" w:cs="宋体"/>
          <w:color w:val="auto"/>
          <w:sz w:val="24"/>
          <w:szCs w:val="24"/>
          <w:u w:val="single"/>
        </w:rPr>
        <w:t>24个月</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15.3 质量保证金</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关于是否扣留质量保证金的约定：</w:t>
      </w:r>
      <w:r>
        <w:rPr>
          <w:rFonts w:hint="eastAsia" w:ascii="宋体" w:hAnsi="宋体" w:eastAsia="宋体" w:cs="宋体"/>
          <w:color w:val="auto"/>
          <w:sz w:val="24"/>
          <w:szCs w:val="24"/>
          <w:u w:val="single"/>
        </w:rPr>
        <w:t>扣留</w:t>
      </w:r>
      <w:r>
        <w:rPr>
          <w:rFonts w:hint="eastAsia" w:ascii="宋体" w:hAnsi="宋体" w:eastAsia="宋体" w:cs="宋体"/>
          <w:color w:val="auto"/>
          <w:sz w:val="24"/>
          <w:szCs w:val="24"/>
        </w:rPr>
        <w:t>。在工程项目竣工前，承包人按专用合同条款第3.7条提供履约担保的，发包人不得同时预留工程质量保证金。</w:t>
      </w:r>
    </w:p>
    <w:p>
      <w:pPr>
        <w:keepNext w:val="0"/>
        <w:keepLines w:val="0"/>
        <w:pageBreakBefore w:val="0"/>
        <w:widowControl w:val="0"/>
        <w:kinsoku/>
        <w:wordWrap/>
        <w:overflowPunct/>
        <w:topLinePunct w:val="0"/>
        <w:bidi w:val="0"/>
        <w:snapToGrid/>
        <w:spacing w:line="360" w:lineRule="auto"/>
        <w:ind w:firstLine="480" w:firstLineChars="200"/>
        <w:jc w:val="left"/>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15.3.1 承包人提供质量保证金的方式</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质量保证金采用以下第</w:t>
      </w:r>
      <w:r>
        <w:rPr>
          <w:rFonts w:hint="eastAsia" w:ascii="宋体" w:hAnsi="宋体" w:eastAsia="宋体" w:cs="宋体"/>
          <w:color w:val="auto"/>
          <w:sz w:val="24"/>
          <w:szCs w:val="24"/>
          <w:u w:val="single"/>
        </w:rPr>
        <w:t xml:space="preserve">   2  </w:t>
      </w:r>
      <w:r>
        <w:rPr>
          <w:rFonts w:hint="eastAsia" w:ascii="宋体" w:hAnsi="宋体" w:eastAsia="宋体" w:cs="宋体"/>
          <w:color w:val="auto"/>
          <w:sz w:val="24"/>
          <w:szCs w:val="24"/>
        </w:rPr>
        <w:t>种方式：</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（1）质量保证金保函，保证金额为：</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 xml:space="preserve">； </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r>
        <w:rPr>
          <w:rFonts w:hint="eastAsia" w:ascii="宋体" w:hAnsi="宋体" w:eastAsia="宋体" w:cs="宋体"/>
          <w:color w:val="auto"/>
          <w:kern w:val="0"/>
          <w:sz w:val="24"/>
          <w:szCs w:val="24"/>
          <w:u w:val="single"/>
        </w:rPr>
        <w:t xml:space="preserve">  3  </w:t>
      </w:r>
      <w:r>
        <w:rPr>
          <w:rFonts w:hint="eastAsia" w:ascii="宋体" w:hAnsi="宋体" w:eastAsia="宋体" w:cs="宋体"/>
          <w:color w:val="auto"/>
          <w:kern w:val="0"/>
          <w:sz w:val="24"/>
          <w:szCs w:val="24"/>
        </w:rPr>
        <w:t>%的工程款；</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（3）其他方式:</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 xml:space="preserve">15.3.2 质量保证金的扣留 </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质量保证金的扣留采取以下第</w:t>
      </w:r>
      <w:r>
        <w:rPr>
          <w:rFonts w:hint="eastAsia" w:ascii="宋体" w:hAnsi="宋体" w:eastAsia="宋体" w:cs="宋体"/>
          <w:color w:val="auto"/>
          <w:sz w:val="24"/>
          <w:szCs w:val="24"/>
          <w:u w:val="single"/>
        </w:rPr>
        <w:t xml:space="preserve">  2   </w:t>
      </w:r>
      <w:r>
        <w:rPr>
          <w:rFonts w:hint="eastAsia" w:ascii="宋体" w:hAnsi="宋体" w:eastAsia="宋体" w:cs="宋体"/>
          <w:color w:val="auto"/>
          <w:sz w:val="24"/>
          <w:szCs w:val="24"/>
        </w:rPr>
        <w:t>种方式：</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（1）在支付工程进度款时逐次扣留，在此情形下，质量保证金的计算基数不包括预付款的支付、扣回以及价格调整的金额；</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outlineLvl w:val="0"/>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（2）工程竣工结算时一次性扣留质量保证金；</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（3）其他扣留方式:</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关于质量保证金的补充约定：</w:t>
      </w:r>
      <w:r>
        <w:rPr>
          <w:rFonts w:hint="eastAsia" w:ascii="宋体" w:hAnsi="宋体" w:eastAsia="宋体" w:cs="宋体"/>
          <w:color w:val="auto"/>
          <w:kern w:val="0"/>
          <w:sz w:val="24"/>
          <w:szCs w:val="24"/>
          <w:u w:val="single"/>
        </w:rPr>
        <w:t>质保金无利息</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15.4保修</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15.4.1 保修责任</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工程保修期为：</w:t>
      </w:r>
      <w:r>
        <w:rPr>
          <w:rFonts w:hint="eastAsia" w:ascii="宋体" w:hAnsi="宋体" w:eastAsia="宋体" w:cs="宋体"/>
          <w:color w:val="auto"/>
          <w:sz w:val="24"/>
          <w:szCs w:val="24"/>
          <w:u w:val="single"/>
        </w:rPr>
        <w:t>见工程质量保修书</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15.4.3 修复通知</w:t>
      </w:r>
    </w:p>
    <w:p>
      <w:pPr>
        <w:keepNext w:val="0"/>
        <w:keepLines w:val="0"/>
        <w:pageBreakBefore w:val="0"/>
        <w:widowControl w:val="0"/>
        <w:kinsoku/>
        <w:wordWrap/>
        <w:overflowPunct/>
        <w:topLinePunct w:val="0"/>
        <w:bidi w:val="0"/>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承包人收到保修通知并到达工程现场的合理时间：</w:t>
      </w:r>
      <w:r>
        <w:rPr>
          <w:rFonts w:hint="eastAsia" w:ascii="宋体" w:hAnsi="宋体" w:eastAsia="宋体" w:cs="宋体"/>
          <w:color w:val="auto"/>
          <w:kern w:val="0"/>
          <w:sz w:val="24"/>
          <w:szCs w:val="24"/>
          <w:u w:val="single"/>
        </w:rPr>
        <w:t>24小时内</w:t>
      </w:r>
      <w:r>
        <w:rPr>
          <w:rFonts w:hint="eastAsia" w:ascii="宋体" w:hAnsi="宋体" w:eastAsia="宋体" w:cs="宋体"/>
          <w:color w:val="auto"/>
          <w:kern w:val="0"/>
          <w:sz w:val="24"/>
          <w:szCs w:val="24"/>
        </w:rPr>
        <w:t>。</w:t>
      </w:r>
    </w:p>
    <w:p>
      <w:pPr>
        <w:pStyle w:val="6"/>
        <w:numPr>
          <w:ilvl w:val="3"/>
          <w:numId w:val="0"/>
        </w:numPr>
        <w:spacing w:before="120" w:after="120" w:line="360" w:lineRule="auto"/>
        <w:rPr>
          <w:rFonts w:hint="eastAsia" w:ascii="宋体" w:hAnsi="宋体" w:eastAsia="宋体" w:cs="宋体"/>
          <w:b/>
          <w:bCs/>
          <w:color w:val="auto"/>
          <w:sz w:val="24"/>
          <w:szCs w:val="24"/>
        </w:rPr>
      </w:pPr>
      <w:bookmarkStart w:id="449" w:name="_Toc351203648"/>
      <w:bookmarkStart w:id="450" w:name="_Toc280868717"/>
      <w:bookmarkStart w:id="451" w:name="_Toc280868718"/>
      <w:r>
        <w:rPr>
          <w:rFonts w:hint="eastAsia" w:ascii="宋体" w:hAnsi="宋体" w:eastAsia="宋体" w:cs="宋体"/>
          <w:b/>
          <w:bCs/>
          <w:color w:val="auto"/>
          <w:sz w:val="24"/>
          <w:szCs w:val="24"/>
        </w:rPr>
        <w:t>16. 违约</w:t>
      </w:r>
      <w:bookmarkEnd w:id="449"/>
    </w:p>
    <w:p>
      <w:pPr>
        <w:keepNext w:val="0"/>
        <w:keepLines w:val="0"/>
        <w:pageBreakBefore w:val="0"/>
        <w:widowControl w:val="0"/>
        <w:kinsoku/>
        <w:wordWrap/>
        <w:overflowPunct/>
        <w:topLinePunct w:val="0"/>
        <w:bidi w:val="0"/>
        <w:snapToGrid/>
        <w:spacing w:after="120" w:line="360" w:lineRule="auto"/>
        <w:ind w:left="0" w:leftChars="0"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16.1 发包人违约</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16.1.1发包人违约的情形</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发包人违约的其他情形：</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16.1.2 发包人违约的责任</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发包人违约责任的承担方式和计算方法：</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（1）因发包人原因未能在计划开工日期前7天内下达开工通知的违约责任：</w:t>
      </w:r>
      <w:r>
        <w:rPr>
          <w:rFonts w:hint="eastAsia" w:ascii="宋体" w:hAnsi="宋体" w:eastAsia="宋体" w:cs="宋体"/>
          <w:color w:val="auto"/>
          <w:kern w:val="0"/>
          <w:sz w:val="24"/>
          <w:szCs w:val="24"/>
          <w:u w:val="single"/>
        </w:rPr>
        <w:t>执行通用合同条款</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（2）因发包人原因未能按合同约定支付合同价款的违约责任：</w:t>
      </w:r>
      <w:r>
        <w:rPr>
          <w:rFonts w:hint="eastAsia" w:ascii="宋体" w:hAnsi="宋体" w:eastAsia="宋体" w:cs="宋体"/>
          <w:color w:val="auto"/>
          <w:kern w:val="0"/>
          <w:sz w:val="24"/>
          <w:szCs w:val="24"/>
          <w:u w:val="single"/>
        </w:rPr>
        <w:t>执行通用合同条款。</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（3）发包人违反第10.1款〔变更的范围〕第（2）项约定，自行实施被取消的工作或转由他人实施的违约责任：</w:t>
      </w:r>
      <w:r>
        <w:rPr>
          <w:rFonts w:hint="eastAsia" w:ascii="宋体" w:hAnsi="宋体" w:eastAsia="宋体" w:cs="宋体"/>
          <w:color w:val="auto"/>
          <w:kern w:val="0"/>
          <w:sz w:val="24"/>
          <w:szCs w:val="24"/>
          <w:u w:val="single"/>
        </w:rPr>
        <w:t>执行通用合同条款</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（4）发包人提供的材料、工程设备的规格、数量或质量不符合合同约定，或因发包人原因导致交货日期延误或交货地点变更等情况的违约责任：</w:t>
      </w:r>
      <w:r>
        <w:rPr>
          <w:rFonts w:hint="eastAsia" w:ascii="宋体" w:hAnsi="宋体" w:eastAsia="宋体" w:cs="宋体"/>
          <w:color w:val="auto"/>
          <w:kern w:val="0"/>
          <w:sz w:val="24"/>
          <w:szCs w:val="24"/>
          <w:u w:val="single"/>
        </w:rPr>
        <w:t>执行通用合同条款</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（5）因发包人违反合同约定造成暂停施工的违约责任：</w:t>
      </w:r>
      <w:r>
        <w:rPr>
          <w:rFonts w:hint="eastAsia" w:ascii="宋体" w:hAnsi="宋体" w:eastAsia="宋体" w:cs="宋体"/>
          <w:color w:val="auto"/>
          <w:kern w:val="0"/>
          <w:sz w:val="24"/>
          <w:szCs w:val="24"/>
          <w:u w:val="single"/>
        </w:rPr>
        <w:t>执行通用合同条款</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（6）发包人无正当理由没有在约定期限内发出复工指示，导致承包人无法复工的违约责任：</w:t>
      </w:r>
      <w:r>
        <w:rPr>
          <w:rFonts w:hint="eastAsia" w:ascii="宋体" w:hAnsi="宋体" w:eastAsia="宋体" w:cs="宋体"/>
          <w:color w:val="auto"/>
          <w:kern w:val="0"/>
          <w:sz w:val="24"/>
          <w:szCs w:val="24"/>
          <w:u w:val="single"/>
        </w:rPr>
        <w:t>执行通用合同条款</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（7）其他：</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16.1.3 因发包人违约解除合同</w:t>
      </w:r>
    </w:p>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承包人按16.1.1项〔发包人违约的情形〕约定暂停施工满</w:t>
      </w:r>
      <w:r>
        <w:rPr>
          <w:rFonts w:hint="eastAsia" w:ascii="宋体" w:hAnsi="宋体" w:eastAsia="宋体" w:cs="宋体"/>
          <w:color w:val="auto"/>
          <w:kern w:val="0"/>
          <w:sz w:val="24"/>
          <w:szCs w:val="24"/>
          <w:u w:val="single"/>
        </w:rPr>
        <w:t xml:space="preserve"> 60 </w:t>
      </w:r>
      <w:r>
        <w:rPr>
          <w:rFonts w:hint="eastAsia" w:ascii="宋体" w:hAnsi="宋体" w:eastAsia="宋体" w:cs="宋体"/>
          <w:color w:val="auto"/>
          <w:kern w:val="0"/>
          <w:sz w:val="24"/>
          <w:szCs w:val="24"/>
        </w:rPr>
        <w:t>天后发包人仍不纠正其违约行为并致使合同目的不能实现的，承包人有权解除合同。</w:t>
      </w:r>
    </w:p>
    <w:p>
      <w:pPr>
        <w:keepNext w:val="0"/>
        <w:keepLines w:val="0"/>
        <w:pageBreakBefore w:val="0"/>
        <w:widowControl w:val="0"/>
        <w:kinsoku/>
        <w:wordWrap/>
        <w:overflowPunct/>
        <w:topLinePunct w:val="0"/>
        <w:bidi w:val="0"/>
        <w:snapToGrid/>
        <w:spacing w:after="120" w:line="360" w:lineRule="auto"/>
        <w:ind w:left="0" w:leftChars="0"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16.2 承包人违约</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16.2.1 承包人违约的情形</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（1）承包人在施工过程中偷工减料的，使用不合格的建筑材料、建筑构配件和设备的，或者不按照工程设计图纸或者施工技术标准施工的其它行为的，承担合同价款百分之二以上百分之四以下的违约金。</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（2）承包人未对建筑材料、建筑构配件、设备和商品混凝土进行检验，或者未对涉及结构安全的试块、试件以及有关材料取样检测的，责令整改，并承担5万元以上20万元以下的违约金。</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16.2.2承包人违约的责任</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承包人违约责任的承担方式和计算方法：</w:t>
      </w:r>
      <w:r>
        <w:rPr>
          <w:rFonts w:hint="eastAsia" w:ascii="宋体" w:hAnsi="宋体" w:eastAsia="宋体" w:cs="宋体"/>
          <w:color w:val="auto"/>
          <w:kern w:val="0"/>
          <w:sz w:val="24"/>
          <w:szCs w:val="24"/>
          <w:u w:val="single"/>
        </w:rPr>
        <w:t>执行通用合同条款</w:t>
      </w:r>
      <w:r>
        <w:rPr>
          <w:rFonts w:hint="eastAsia" w:ascii="宋体" w:hAnsi="宋体" w:eastAsia="宋体" w:cs="宋体"/>
          <w:color w:val="auto"/>
          <w:kern w:val="0"/>
          <w:sz w:val="24"/>
          <w:szCs w:val="24"/>
        </w:rPr>
        <w:t>。</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bidi w:val="0"/>
        <w:snapToGrid/>
        <w:spacing w:line="360" w:lineRule="auto"/>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16.2.3 因承包人违约解除合同</w:t>
      </w:r>
    </w:p>
    <w:p>
      <w:pPr>
        <w:keepNext w:val="0"/>
        <w:keepLines w:val="0"/>
        <w:pageBreakBefore w:val="0"/>
        <w:widowControl w:val="0"/>
        <w:kinsoku/>
        <w:wordWrap/>
        <w:overflowPunct/>
        <w:topLinePunct w:val="0"/>
        <w:bidi w:val="0"/>
        <w:snapToGrid/>
        <w:spacing w:before="120" w:after="120" w:line="360" w:lineRule="auto"/>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关于承包人违约解除合同的特别约定：</w:t>
      </w:r>
      <w:r>
        <w:rPr>
          <w:rFonts w:hint="eastAsia" w:ascii="宋体" w:hAnsi="宋体" w:eastAsia="宋体" w:cs="宋体"/>
          <w:color w:val="auto"/>
          <w:kern w:val="0"/>
          <w:sz w:val="24"/>
          <w:szCs w:val="24"/>
          <w:u w:val="single"/>
        </w:rPr>
        <w:t>执行通用合同条款</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bidi w:val="0"/>
        <w:snapToGrid/>
        <w:spacing w:before="120" w:after="120" w:line="360" w:lineRule="auto"/>
        <w:ind w:left="0" w:leftChars="0" w:firstLine="480" w:firstLineChars="200"/>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发包人继续使用承包人在施工现场的材料、设备、临时工程、承包人文件和由承包人或以其名义编制的其他文件的费用承担方式：</w:t>
      </w:r>
      <w:r>
        <w:rPr>
          <w:rFonts w:hint="eastAsia" w:ascii="宋体" w:hAnsi="宋体" w:eastAsia="宋体" w:cs="宋体"/>
          <w:color w:val="auto"/>
          <w:kern w:val="0"/>
          <w:sz w:val="24"/>
          <w:szCs w:val="24"/>
          <w:u w:val="single"/>
        </w:rPr>
        <w:t>执行通用合同条款</w:t>
      </w:r>
      <w:r>
        <w:rPr>
          <w:rFonts w:hint="eastAsia" w:ascii="宋体" w:hAnsi="宋体" w:eastAsia="宋体" w:cs="宋体"/>
          <w:color w:val="auto"/>
          <w:kern w:val="0"/>
          <w:sz w:val="24"/>
          <w:szCs w:val="24"/>
        </w:rPr>
        <w:t>。</w:t>
      </w:r>
    </w:p>
    <w:p>
      <w:pPr>
        <w:pStyle w:val="6"/>
        <w:numPr>
          <w:ilvl w:val="3"/>
          <w:numId w:val="0"/>
        </w:numPr>
        <w:spacing w:before="120" w:after="120" w:line="360" w:lineRule="auto"/>
        <w:rPr>
          <w:rFonts w:hint="eastAsia" w:ascii="宋体" w:hAnsi="宋体" w:eastAsia="宋体" w:cs="宋体"/>
          <w:b/>
          <w:bCs/>
          <w:color w:val="auto"/>
          <w:sz w:val="24"/>
          <w:szCs w:val="24"/>
        </w:rPr>
      </w:pPr>
      <w:bookmarkStart w:id="452" w:name="_Toc351203649"/>
      <w:r>
        <w:rPr>
          <w:rFonts w:hint="eastAsia" w:ascii="宋体" w:hAnsi="宋体" w:eastAsia="宋体" w:cs="宋体"/>
          <w:b/>
          <w:bCs/>
          <w:color w:val="auto"/>
          <w:sz w:val="24"/>
          <w:szCs w:val="24"/>
        </w:rPr>
        <w:t>17. 不可抗力</w:t>
      </w:r>
      <w:bookmarkEnd w:id="452"/>
      <w:r>
        <w:rPr>
          <w:rFonts w:hint="eastAsia" w:ascii="宋体" w:hAnsi="宋体" w:eastAsia="宋体" w:cs="宋体"/>
          <w:b/>
          <w:bCs/>
          <w:color w:val="auto"/>
          <w:sz w:val="24"/>
          <w:szCs w:val="24"/>
        </w:rPr>
        <w:t xml:space="preserve"> </w:t>
      </w:r>
      <w:bookmarkEnd w:id="450"/>
    </w:p>
    <w:p>
      <w:pPr>
        <w:keepNext w:val="0"/>
        <w:keepLines w:val="0"/>
        <w:pageBreakBefore w:val="0"/>
        <w:widowControl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17.1 不可抗力的确认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u w:val="single"/>
        </w:rPr>
      </w:pPr>
      <w:r>
        <w:rPr>
          <w:rFonts w:hint="eastAsia" w:ascii="宋体" w:hAnsi="宋体" w:eastAsia="宋体" w:cs="宋体"/>
          <w:color w:val="auto"/>
          <w:sz w:val="24"/>
          <w:szCs w:val="24"/>
        </w:rPr>
        <w:t>除通用合同条款约定的不可抗力事件之外，视为不可抗力的其他情形:</w:t>
      </w:r>
      <w:r>
        <w:rPr>
          <w:rFonts w:hint="eastAsia" w:ascii="宋体" w:hAnsi="宋体" w:eastAsia="宋体" w:cs="宋体"/>
          <w:color w:val="auto"/>
          <w:sz w:val="24"/>
          <w:szCs w:val="24"/>
          <w:u w:val="single"/>
        </w:rPr>
        <w:t>(1)</w:t>
      </w:r>
      <w:r>
        <w:rPr>
          <w:rFonts w:hint="eastAsia" w:ascii="宋体" w:hAnsi="宋体" w:eastAsia="宋体" w:cs="宋体"/>
          <w:color w:val="auto"/>
          <w:kern w:val="0"/>
          <w:sz w:val="24"/>
          <w:szCs w:val="24"/>
          <w:u w:val="single"/>
        </w:rPr>
        <w:t>24小时连续雨量达到150mm以上的暴雨（以气象部门发布的公告为准）；(2)台风、里氏8.0级以上的地震、战争、动乱、洪水、空中飞行物坠落</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autoSpaceDE/>
        <w:autoSpaceDN/>
        <w:bidi w:val="0"/>
        <w:adjustRightInd/>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17.4 因不可抗力解除合同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合同解除后，发包人应在商定或确定发包人应支付款项后</w:t>
      </w:r>
      <w:r>
        <w:rPr>
          <w:rFonts w:hint="eastAsia" w:ascii="宋体" w:hAnsi="宋体" w:eastAsia="宋体" w:cs="宋体"/>
          <w:color w:val="auto"/>
          <w:sz w:val="24"/>
          <w:szCs w:val="24"/>
          <w:u w:val="single"/>
        </w:rPr>
        <w:t xml:space="preserve"> 60 </w:t>
      </w:r>
      <w:r>
        <w:rPr>
          <w:rFonts w:hint="eastAsia" w:ascii="宋体" w:hAnsi="宋体" w:eastAsia="宋体" w:cs="宋体"/>
          <w:color w:val="auto"/>
          <w:sz w:val="24"/>
          <w:szCs w:val="24"/>
        </w:rPr>
        <w:t>天内完成款项的支付。</w:t>
      </w:r>
    </w:p>
    <w:p>
      <w:pPr>
        <w:pStyle w:val="6"/>
        <w:numPr>
          <w:ilvl w:val="3"/>
          <w:numId w:val="0"/>
        </w:numPr>
        <w:spacing w:before="120" w:after="120" w:line="360" w:lineRule="auto"/>
        <w:rPr>
          <w:rFonts w:hint="eastAsia" w:ascii="宋体" w:hAnsi="宋体" w:eastAsia="宋体" w:cs="宋体"/>
          <w:b/>
          <w:bCs/>
          <w:color w:val="auto"/>
          <w:sz w:val="24"/>
          <w:szCs w:val="24"/>
        </w:rPr>
      </w:pPr>
      <w:bookmarkStart w:id="453" w:name="_Toc351203650"/>
      <w:r>
        <w:rPr>
          <w:rFonts w:hint="eastAsia" w:ascii="宋体" w:hAnsi="宋体" w:eastAsia="宋体" w:cs="宋体"/>
          <w:b/>
          <w:bCs/>
          <w:color w:val="auto"/>
          <w:sz w:val="24"/>
          <w:szCs w:val="24"/>
        </w:rPr>
        <w:t>18. 保险</w:t>
      </w:r>
      <w:bookmarkEnd w:id="453"/>
    </w:p>
    <w:bookmarkEnd w:id="451"/>
    <w:p>
      <w:pPr>
        <w:keepNext w:val="0"/>
        <w:keepLines w:val="0"/>
        <w:pageBreakBefore w:val="0"/>
        <w:widowControl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18.1 工程保险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关于工程保险的特别约定：</w:t>
      </w:r>
      <w:r>
        <w:rPr>
          <w:rFonts w:hint="eastAsia" w:ascii="宋体" w:hAnsi="宋体" w:eastAsia="宋体" w:cs="宋体"/>
          <w:color w:val="auto"/>
          <w:sz w:val="24"/>
          <w:szCs w:val="24"/>
          <w:u w:val="single"/>
        </w:rPr>
        <w:t>按通用合同条款执行</w:t>
      </w:r>
      <w:r>
        <w:rPr>
          <w:rFonts w:hint="eastAsia" w:ascii="宋体" w:hAnsi="宋体" w:eastAsia="宋体" w:cs="宋体"/>
          <w:color w:val="auto"/>
          <w:kern w:val="0"/>
          <w:sz w:val="24"/>
          <w:szCs w:val="24"/>
          <w:u w:val="single"/>
        </w:rPr>
        <w:t xml:space="preserve">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autoSpaceDE/>
        <w:autoSpaceDN/>
        <w:bidi w:val="0"/>
        <w:adjustRightInd/>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18.3 其他保险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关于其他保险的约定：</w:t>
      </w:r>
      <w:r>
        <w:rPr>
          <w:rFonts w:hint="eastAsia" w:ascii="宋体" w:hAnsi="宋体" w:eastAsia="宋体" w:cs="宋体"/>
          <w:color w:val="auto"/>
          <w:kern w:val="0"/>
          <w:sz w:val="24"/>
          <w:szCs w:val="24"/>
          <w:u w:val="single"/>
        </w:rPr>
        <w:t xml:space="preserve">  / </w:t>
      </w:r>
      <w:r>
        <w:rPr>
          <w:rFonts w:hint="eastAsia" w:ascii="宋体" w:hAnsi="宋体" w:eastAsia="宋体" w:cs="宋体"/>
          <w:color w:val="auto"/>
          <w:kern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承包人是否应为其施工设备等办理财产保险：</w:t>
      </w:r>
      <w:r>
        <w:rPr>
          <w:rFonts w:hint="eastAsia" w:ascii="宋体" w:hAnsi="宋体" w:eastAsia="宋体" w:cs="宋体"/>
          <w:color w:val="auto"/>
          <w:sz w:val="24"/>
          <w:szCs w:val="24"/>
          <w:u w:val="single"/>
        </w:rPr>
        <w:t>按通用合同条款执行</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18.7 通知义务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关于变更保险合同时的通知义务的约定：</w:t>
      </w:r>
      <w:r>
        <w:rPr>
          <w:rFonts w:hint="eastAsia" w:ascii="宋体" w:hAnsi="宋体" w:eastAsia="宋体" w:cs="宋体"/>
          <w:color w:val="auto"/>
          <w:sz w:val="24"/>
          <w:szCs w:val="24"/>
          <w:u w:val="single"/>
        </w:rPr>
        <w:t>按通用合同条款执行</w:t>
      </w:r>
      <w:r>
        <w:rPr>
          <w:rFonts w:hint="eastAsia" w:ascii="宋体" w:hAnsi="宋体" w:eastAsia="宋体" w:cs="宋体"/>
          <w:color w:val="auto"/>
          <w:sz w:val="24"/>
          <w:szCs w:val="24"/>
        </w:rPr>
        <w:t>。</w:t>
      </w:r>
    </w:p>
    <w:p>
      <w:pPr>
        <w:pStyle w:val="6"/>
        <w:numPr>
          <w:ilvl w:val="3"/>
          <w:numId w:val="0"/>
        </w:numPr>
        <w:spacing w:before="120" w:after="120" w:line="360" w:lineRule="auto"/>
        <w:rPr>
          <w:rFonts w:hint="eastAsia" w:ascii="宋体" w:hAnsi="宋体" w:eastAsia="宋体" w:cs="宋体"/>
          <w:b/>
          <w:bCs/>
          <w:color w:val="auto"/>
          <w:sz w:val="24"/>
          <w:szCs w:val="24"/>
        </w:rPr>
      </w:pPr>
      <w:bookmarkStart w:id="454" w:name="_Toc351203651"/>
      <w:r>
        <w:rPr>
          <w:rFonts w:hint="eastAsia" w:ascii="宋体" w:hAnsi="宋体" w:eastAsia="宋体" w:cs="宋体"/>
          <w:b/>
          <w:bCs/>
          <w:color w:val="auto"/>
          <w:sz w:val="24"/>
          <w:szCs w:val="24"/>
        </w:rPr>
        <w:t>20. 争议解决</w:t>
      </w:r>
      <w:bookmarkEnd w:id="454"/>
    </w:p>
    <w:p>
      <w:pPr>
        <w:keepNext w:val="0"/>
        <w:keepLines w:val="0"/>
        <w:pageBreakBefore w:val="0"/>
        <w:widowControl w:val="0"/>
        <w:kinsoku/>
        <w:wordWrap/>
        <w:overflowPunct/>
        <w:topLinePunct w:val="0"/>
        <w:autoSpaceDE/>
        <w:autoSpaceDN/>
        <w:bidi w:val="0"/>
        <w:adjustRightInd/>
        <w:snapToGrid/>
        <w:spacing w:after="120" w:line="360" w:lineRule="auto"/>
        <w:ind w:firstLine="480" w:firstLineChars="200"/>
        <w:textAlignment w:val="auto"/>
        <w:outlineLvl w:val="0"/>
        <w:rPr>
          <w:rFonts w:hint="eastAsia" w:ascii="宋体" w:hAnsi="宋体" w:eastAsia="宋体" w:cs="宋体"/>
          <w:color w:val="auto"/>
          <w:sz w:val="24"/>
          <w:szCs w:val="24"/>
        </w:rPr>
      </w:pPr>
      <w:r>
        <w:rPr>
          <w:rFonts w:hint="eastAsia" w:ascii="宋体" w:hAnsi="宋体" w:eastAsia="宋体" w:cs="宋体"/>
          <w:color w:val="auto"/>
          <w:sz w:val="24"/>
          <w:szCs w:val="24"/>
        </w:rPr>
        <w:t>20.4仲裁或诉讼</w:t>
      </w:r>
    </w:p>
    <w:p>
      <w:pPr>
        <w:keepNext w:val="0"/>
        <w:keepLines w:val="0"/>
        <w:pageBreakBefore w:val="0"/>
        <w:widowControl w:val="0"/>
        <w:kinsoku/>
        <w:wordWrap/>
        <w:overflowPunct/>
        <w:topLinePunct w:val="0"/>
        <w:autoSpaceDE/>
        <w:autoSpaceDN/>
        <w:bidi w:val="0"/>
        <w:adjustRightInd/>
        <w:snapToGrid/>
        <w:spacing w:after="120"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因合同及合同有关事项发生的争议，按下列第</w:t>
      </w:r>
      <w:r>
        <w:rPr>
          <w:rFonts w:hint="eastAsia" w:ascii="宋体" w:hAnsi="宋体" w:eastAsia="宋体" w:cs="宋体"/>
          <w:color w:val="auto"/>
          <w:sz w:val="24"/>
          <w:szCs w:val="24"/>
          <w:u w:val="single"/>
        </w:rPr>
        <w:t xml:space="preserve">  2  </w:t>
      </w:r>
      <w:r>
        <w:rPr>
          <w:rFonts w:hint="eastAsia" w:ascii="宋体" w:hAnsi="宋体" w:eastAsia="宋体" w:cs="宋体"/>
          <w:color w:val="auto"/>
          <w:sz w:val="24"/>
          <w:szCs w:val="24"/>
        </w:rPr>
        <w:t>种方式解决：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（1）向</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rPr>
        <w:t>仲裁委员会申请仲裁；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（2）向</w:t>
      </w:r>
      <w:r>
        <w:rPr>
          <w:rFonts w:hint="eastAsia" w:ascii="宋体" w:hAnsi="宋体" w:eastAsia="宋体" w:cs="宋体"/>
          <w:color w:val="auto"/>
          <w:sz w:val="24"/>
          <w:szCs w:val="24"/>
          <w:u w:val="single"/>
        </w:rPr>
        <w:t xml:space="preserve">   富平县             </w:t>
      </w:r>
      <w:r>
        <w:rPr>
          <w:rFonts w:hint="eastAsia" w:ascii="宋体" w:hAnsi="宋体" w:eastAsia="宋体" w:cs="宋体"/>
          <w:color w:val="auto"/>
          <w:sz w:val="24"/>
          <w:szCs w:val="24"/>
        </w:rPr>
        <w:t>人民法院起诉。</w:t>
      </w:r>
    </w:p>
    <w:p>
      <w:pPr>
        <w:pStyle w:val="2"/>
        <w:rPr>
          <w:rFonts w:hint="eastAsia" w:ascii="宋体" w:hAnsi="宋体" w:eastAsia="宋体" w:cs="宋体"/>
          <w:color w:val="auto"/>
        </w:rPr>
      </w:pPr>
    </w:p>
    <w:p>
      <w:pPr>
        <w:rPr>
          <w:rFonts w:hint="eastAsia" w:ascii="宋体" w:hAnsi="宋体" w:eastAsia="宋体" w:cs="宋体"/>
          <w:color w:val="auto"/>
        </w:rPr>
      </w:pPr>
    </w:p>
    <w:p>
      <w:pPr>
        <w:spacing w:before="240" w:after="120" w:line="500" w:lineRule="exact"/>
        <w:rPr>
          <w:rFonts w:hint="eastAsia" w:ascii="宋体" w:hAnsi="宋体" w:eastAsia="宋体" w:cs="宋体"/>
          <w:b/>
          <w:color w:val="auto"/>
          <w:sz w:val="28"/>
          <w:szCs w:val="28"/>
        </w:rPr>
      </w:pPr>
      <w:r>
        <w:rPr>
          <w:rFonts w:hint="eastAsia" w:ascii="宋体" w:hAnsi="宋体" w:eastAsia="宋体" w:cs="宋体"/>
          <w:b/>
          <w:color w:val="auto"/>
          <w:sz w:val="28"/>
          <w:szCs w:val="28"/>
        </w:rPr>
        <w:t>附件</w:t>
      </w:r>
      <w:r>
        <w:rPr>
          <w:rFonts w:hint="eastAsia" w:ascii="宋体" w:hAnsi="宋体" w:eastAsia="宋体" w:cs="宋体"/>
          <w:b/>
          <w:color w:val="auto"/>
          <w:sz w:val="28"/>
          <w:szCs w:val="28"/>
          <w:lang w:val="en-US" w:eastAsia="zh-CN"/>
        </w:rPr>
        <w:t>1：工程质量保修书</w:t>
      </w:r>
      <w:r>
        <w:rPr>
          <w:rFonts w:hint="eastAsia" w:ascii="宋体" w:hAnsi="宋体" w:eastAsia="宋体" w:cs="宋体"/>
          <w:b/>
          <w:color w:val="auto"/>
          <w:sz w:val="28"/>
          <w:szCs w:val="28"/>
        </w:rPr>
        <w:t xml:space="preserve">   </w:t>
      </w:r>
    </w:p>
    <w:p>
      <w:pPr>
        <w:spacing w:before="240" w:after="120" w:line="500" w:lineRule="exact"/>
        <w:rPr>
          <w:rFonts w:hint="eastAsia" w:ascii="宋体" w:hAnsi="宋体" w:eastAsia="宋体" w:cs="宋体"/>
          <w:b/>
          <w:color w:val="auto"/>
          <w:sz w:val="28"/>
          <w:szCs w:val="28"/>
        </w:rPr>
      </w:pPr>
      <w:r>
        <w:rPr>
          <w:rFonts w:hint="eastAsia" w:ascii="宋体" w:hAnsi="宋体" w:eastAsia="宋体" w:cs="宋体"/>
          <w:b/>
          <w:color w:val="auto"/>
          <w:sz w:val="28"/>
          <w:szCs w:val="28"/>
        </w:rPr>
        <w:t>附件</w:t>
      </w:r>
      <w:r>
        <w:rPr>
          <w:rFonts w:hint="eastAsia" w:ascii="宋体" w:hAnsi="宋体" w:eastAsia="宋体" w:cs="宋体"/>
          <w:b/>
          <w:color w:val="auto"/>
          <w:sz w:val="28"/>
          <w:szCs w:val="28"/>
          <w:lang w:val="en-US" w:eastAsia="zh-CN"/>
        </w:rPr>
        <w:t>2</w:t>
      </w:r>
      <w:r>
        <w:rPr>
          <w:rFonts w:hint="eastAsia" w:ascii="宋体" w:hAnsi="宋体" w:eastAsia="宋体" w:cs="宋体"/>
          <w:b/>
          <w:color w:val="auto"/>
          <w:sz w:val="28"/>
          <w:szCs w:val="28"/>
        </w:rPr>
        <w:t>：安全生产合同</w:t>
      </w:r>
    </w:p>
    <w:p>
      <w:pPr>
        <w:spacing w:before="240" w:after="120" w:line="500" w:lineRule="exact"/>
        <w:rPr>
          <w:rFonts w:hint="eastAsia" w:ascii="宋体" w:hAnsi="宋体" w:eastAsia="宋体" w:cs="宋体"/>
          <w:b/>
          <w:color w:val="auto"/>
          <w:sz w:val="28"/>
          <w:szCs w:val="28"/>
        </w:rPr>
      </w:pPr>
      <w:r>
        <w:rPr>
          <w:rFonts w:hint="eastAsia" w:ascii="宋体" w:hAnsi="宋体" w:eastAsia="宋体" w:cs="宋体"/>
          <w:b/>
          <w:color w:val="auto"/>
          <w:sz w:val="28"/>
          <w:szCs w:val="28"/>
        </w:rPr>
        <w:t>附件</w:t>
      </w:r>
      <w:r>
        <w:rPr>
          <w:rFonts w:hint="eastAsia" w:ascii="宋体" w:hAnsi="宋体" w:eastAsia="宋体" w:cs="宋体"/>
          <w:b/>
          <w:color w:val="auto"/>
          <w:sz w:val="28"/>
          <w:szCs w:val="28"/>
          <w:lang w:val="en-US" w:eastAsia="zh-CN"/>
        </w:rPr>
        <w:t>3</w:t>
      </w:r>
      <w:r>
        <w:rPr>
          <w:rFonts w:hint="eastAsia" w:ascii="宋体" w:hAnsi="宋体" w:eastAsia="宋体" w:cs="宋体"/>
          <w:b/>
          <w:color w:val="auto"/>
          <w:sz w:val="28"/>
          <w:szCs w:val="28"/>
        </w:rPr>
        <w:t>：</w:t>
      </w:r>
      <w:r>
        <w:rPr>
          <w:rFonts w:hint="eastAsia" w:ascii="宋体" w:hAnsi="宋体" w:eastAsia="宋体" w:cs="宋体"/>
          <w:b/>
          <w:color w:val="auto"/>
          <w:sz w:val="28"/>
          <w:szCs w:val="28"/>
          <w:lang w:eastAsia="zh-CN"/>
        </w:rPr>
        <w:t>工程建设项目</w:t>
      </w:r>
      <w:r>
        <w:rPr>
          <w:rFonts w:hint="eastAsia" w:ascii="宋体" w:hAnsi="宋体" w:eastAsia="宋体" w:cs="宋体"/>
          <w:b/>
          <w:color w:val="auto"/>
          <w:sz w:val="28"/>
          <w:szCs w:val="28"/>
        </w:rPr>
        <w:t>廉政责任书</w:t>
      </w:r>
    </w:p>
    <w:p>
      <w:pPr>
        <w:spacing w:before="240" w:after="120" w:line="500" w:lineRule="exact"/>
        <w:rPr>
          <w:rFonts w:hint="eastAsia" w:ascii="宋体" w:hAnsi="宋体" w:eastAsia="宋体" w:cs="宋体"/>
          <w:color w:val="auto"/>
          <w:sz w:val="24"/>
        </w:rPr>
      </w:pPr>
    </w:p>
    <w:p>
      <w:pPr>
        <w:spacing w:before="240" w:after="120" w:line="500" w:lineRule="exact"/>
        <w:rPr>
          <w:rFonts w:hint="eastAsia" w:ascii="宋体" w:hAnsi="宋体" w:eastAsia="宋体" w:cs="宋体"/>
          <w:color w:val="auto"/>
          <w:sz w:val="24"/>
        </w:rPr>
      </w:pPr>
    </w:p>
    <w:p>
      <w:pPr>
        <w:pStyle w:val="2"/>
        <w:rPr>
          <w:rFonts w:hint="eastAsia" w:ascii="宋体" w:hAnsi="宋体" w:eastAsia="宋体" w:cs="宋体"/>
          <w:color w:val="auto"/>
          <w:sz w:val="24"/>
        </w:rPr>
      </w:pPr>
    </w:p>
    <w:p>
      <w:pPr>
        <w:rPr>
          <w:rFonts w:hint="eastAsia" w:ascii="宋体" w:hAnsi="宋体" w:eastAsia="宋体" w:cs="宋体"/>
          <w:color w:val="auto"/>
          <w:sz w:val="24"/>
        </w:rPr>
      </w:pPr>
    </w:p>
    <w:p>
      <w:pPr>
        <w:pStyle w:val="2"/>
        <w:rPr>
          <w:rFonts w:hint="eastAsia" w:ascii="宋体" w:hAnsi="宋体" w:eastAsia="宋体" w:cs="宋体"/>
          <w:color w:val="auto"/>
          <w:sz w:val="24"/>
        </w:rPr>
      </w:pPr>
    </w:p>
    <w:p>
      <w:pPr>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color w:val="auto"/>
        </w:rPr>
      </w:pPr>
    </w:p>
    <w:p>
      <w:pPr>
        <w:spacing w:before="240" w:after="120" w:line="500" w:lineRule="exact"/>
        <w:rPr>
          <w:rFonts w:hint="eastAsia" w:ascii="宋体" w:hAnsi="宋体" w:eastAsia="宋体" w:cs="宋体"/>
          <w:b/>
          <w:color w:val="auto"/>
          <w:sz w:val="28"/>
          <w:szCs w:val="28"/>
        </w:rPr>
      </w:pPr>
      <w:r>
        <w:rPr>
          <w:rFonts w:hint="eastAsia" w:ascii="宋体" w:hAnsi="宋体" w:eastAsia="宋体" w:cs="宋体"/>
          <w:b/>
          <w:color w:val="auto"/>
          <w:sz w:val="28"/>
          <w:szCs w:val="28"/>
        </w:rPr>
        <w:t>附</w:t>
      </w:r>
      <w:bookmarkStart w:id="455" w:name="_Toc296891054"/>
      <w:bookmarkStart w:id="456" w:name="_Toc296347225"/>
      <w:bookmarkStart w:id="457" w:name="_Toc296891266"/>
      <w:bookmarkStart w:id="458" w:name="_Toc296503226"/>
      <w:bookmarkStart w:id="459" w:name="_Toc296944565"/>
      <w:bookmarkStart w:id="460" w:name="_Toc296346727"/>
      <w:bookmarkStart w:id="461" w:name="_Toc267261693"/>
      <w:r>
        <w:rPr>
          <w:rFonts w:hint="eastAsia" w:ascii="宋体" w:hAnsi="宋体" w:eastAsia="宋体" w:cs="宋体"/>
          <w:b/>
          <w:color w:val="auto"/>
          <w:sz w:val="28"/>
          <w:szCs w:val="28"/>
        </w:rPr>
        <w:t>件</w:t>
      </w:r>
      <w:bookmarkEnd w:id="455"/>
      <w:bookmarkEnd w:id="456"/>
      <w:bookmarkEnd w:id="457"/>
      <w:bookmarkEnd w:id="458"/>
      <w:bookmarkEnd w:id="459"/>
      <w:bookmarkEnd w:id="460"/>
      <w:bookmarkEnd w:id="461"/>
      <w:r>
        <w:rPr>
          <w:rFonts w:hint="eastAsia" w:ascii="宋体" w:hAnsi="宋体" w:eastAsia="宋体" w:cs="宋体"/>
          <w:b/>
          <w:color w:val="auto"/>
          <w:sz w:val="28"/>
          <w:szCs w:val="28"/>
          <w:lang w:val="en-US" w:eastAsia="zh-CN"/>
        </w:rPr>
        <w:t xml:space="preserve">1：工程质量保修书格式 </w:t>
      </w:r>
      <w:r>
        <w:rPr>
          <w:rFonts w:hint="eastAsia" w:ascii="宋体" w:hAnsi="宋体" w:eastAsia="宋体" w:cs="宋体"/>
          <w:b/>
          <w:color w:val="auto"/>
          <w:sz w:val="28"/>
          <w:szCs w:val="28"/>
        </w:rPr>
        <w:t xml:space="preserve">    </w:t>
      </w:r>
    </w:p>
    <w:p>
      <w:pPr>
        <w:spacing w:before="156" w:beforeLines="50" w:after="156" w:afterLines="50" w:line="44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工程质量保修书</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发包人（全称）：</w:t>
      </w:r>
      <w:r>
        <w:rPr>
          <w:rFonts w:hint="eastAsia" w:ascii="宋体" w:hAnsi="宋体" w:eastAsia="宋体" w:cs="宋体"/>
          <w:color w:val="auto"/>
          <w:sz w:val="24"/>
          <w:szCs w:val="24"/>
          <w:u w:val="single"/>
        </w:rPr>
        <w:t xml:space="preserve"> </w:t>
      </w:r>
      <w:r>
        <w:rPr>
          <w:rFonts w:hint="eastAsia" w:ascii="宋体" w:hAnsi="宋体" w:eastAsia="宋体" w:cs="宋体"/>
          <w:b/>
          <w:color w:val="auto"/>
          <w:sz w:val="24"/>
          <w:szCs w:val="24"/>
          <w:u w:val="single"/>
          <w:lang w:val="en-US" w:eastAsia="zh-CN"/>
        </w:rPr>
        <w:t>富平县住房和城乡建设局</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承包人（全称）：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462" w:name="_Toc31554"/>
      <w:bookmarkStart w:id="463" w:name="_Toc16184"/>
      <w:bookmarkStart w:id="464" w:name="_Toc9082"/>
      <w:bookmarkStart w:id="465" w:name="_Toc5097"/>
      <w:bookmarkStart w:id="466" w:name="_Toc1101"/>
      <w:r>
        <w:rPr>
          <w:rFonts w:hint="eastAsia" w:ascii="宋体" w:hAnsi="宋体" w:eastAsia="宋体" w:cs="宋体"/>
          <w:color w:val="auto"/>
          <w:sz w:val="24"/>
          <w:szCs w:val="24"/>
        </w:rPr>
        <w:t>发包人和承包人根据《中华人民共和国建筑法》和《建设工程质量管理条例》，经协商一致就</w:t>
      </w:r>
      <w:r>
        <w:rPr>
          <w:rFonts w:hint="eastAsia" w:ascii="宋体" w:hAnsi="宋体" w:eastAsia="宋体" w:cs="宋体"/>
          <w:color w:val="auto"/>
          <w:sz w:val="24"/>
          <w:szCs w:val="24"/>
          <w:u w:val="single"/>
          <w:lang w:val="en-US" w:eastAsia="zh-CN"/>
        </w:rPr>
        <w:t xml:space="preserve">   </w:t>
      </w:r>
      <w:r>
        <w:rPr>
          <w:rFonts w:hint="eastAsia" w:ascii="宋体" w:hAnsi="宋体" w:cs="宋体"/>
          <w:b/>
          <w:bCs/>
          <w:color w:val="auto"/>
          <w:sz w:val="24"/>
          <w:u w:val="single"/>
          <w:lang w:eastAsia="zh-CN"/>
        </w:rPr>
        <w:t>富平县灯饰修缮工程</w:t>
      </w:r>
      <w:r>
        <w:rPr>
          <w:rFonts w:hint="eastAsia" w:ascii="宋体" w:hAnsi="宋体" w:eastAsia="宋体" w:cs="宋体"/>
          <w:b/>
          <w:bCs/>
          <w:color w:val="auto"/>
          <w:sz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（工程全称）签订工程质量保修书。</w:t>
      </w:r>
      <w:bookmarkEnd w:id="462"/>
      <w:bookmarkEnd w:id="463"/>
      <w:bookmarkEnd w:id="464"/>
      <w:bookmarkEnd w:id="465"/>
      <w:bookmarkEnd w:id="466"/>
      <w:bookmarkStart w:id="467" w:name="_Toc6452"/>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left"/>
        <w:textAlignment w:val="auto"/>
        <w:outlineLvl w:val="0"/>
        <w:rPr>
          <w:rFonts w:hint="eastAsia" w:ascii="宋体" w:hAnsi="宋体" w:eastAsia="宋体" w:cs="宋体"/>
          <w:b/>
          <w:bCs/>
          <w:color w:val="auto"/>
          <w:sz w:val="24"/>
          <w:szCs w:val="24"/>
        </w:rPr>
      </w:pPr>
      <w:bookmarkStart w:id="468" w:name="_Toc21838"/>
      <w:bookmarkStart w:id="469" w:name="_Toc10166"/>
      <w:bookmarkStart w:id="470" w:name="_Toc23715"/>
      <w:bookmarkStart w:id="471" w:name="_Toc15911"/>
      <w:bookmarkStart w:id="472" w:name="_Toc14436"/>
      <w:r>
        <w:rPr>
          <w:rFonts w:hint="eastAsia" w:ascii="宋体" w:hAnsi="宋体" w:eastAsia="宋体" w:cs="宋体"/>
          <w:b/>
          <w:bCs/>
          <w:color w:val="auto"/>
          <w:sz w:val="24"/>
          <w:szCs w:val="24"/>
        </w:rPr>
        <w:t>一、工程质量保修范围和内容</w:t>
      </w:r>
      <w:bookmarkEnd w:id="467"/>
      <w:bookmarkEnd w:id="468"/>
      <w:bookmarkEnd w:id="469"/>
      <w:bookmarkEnd w:id="470"/>
      <w:bookmarkEnd w:id="471"/>
      <w:bookmarkEnd w:id="47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473" w:name="_Toc21642"/>
      <w:bookmarkStart w:id="474" w:name="_Toc19837"/>
      <w:bookmarkStart w:id="475" w:name="_Toc25920"/>
      <w:bookmarkStart w:id="476" w:name="_Toc4869"/>
      <w:bookmarkStart w:id="477" w:name="_Toc25926"/>
      <w:r>
        <w:rPr>
          <w:rFonts w:hint="eastAsia" w:ascii="宋体" w:hAnsi="宋体" w:eastAsia="宋体" w:cs="宋体"/>
          <w:color w:val="auto"/>
          <w:sz w:val="24"/>
          <w:szCs w:val="24"/>
        </w:rPr>
        <w:t>承包人在质量保修期内，按照有关法律规定和合同约定，承担工程质量保修责任。</w:t>
      </w:r>
      <w:bookmarkEnd w:id="473"/>
      <w:bookmarkEnd w:id="474"/>
      <w:bookmarkEnd w:id="475"/>
      <w:bookmarkEnd w:id="476"/>
      <w:bookmarkEnd w:id="477"/>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478" w:name="_Toc32660"/>
      <w:bookmarkStart w:id="479" w:name="_Toc23641"/>
      <w:bookmarkStart w:id="480" w:name="_Toc26340"/>
      <w:bookmarkStart w:id="481" w:name="_Toc714"/>
      <w:bookmarkStart w:id="482" w:name="_Toc12316"/>
      <w:r>
        <w:rPr>
          <w:rFonts w:hint="eastAsia" w:ascii="宋体" w:hAnsi="宋体" w:eastAsia="宋体" w:cs="宋体"/>
          <w:color w:val="auto"/>
          <w:sz w:val="24"/>
          <w:szCs w:val="24"/>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bookmarkEnd w:id="478"/>
      <w:bookmarkEnd w:id="479"/>
      <w:bookmarkEnd w:id="480"/>
      <w:bookmarkEnd w:id="481"/>
      <w:bookmarkEnd w:id="482"/>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left"/>
        <w:textAlignment w:val="auto"/>
        <w:outlineLvl w:val="0"/>
        <w:rPr>
          <w:rFonts w:hint="eastAsia" w:ascii="宋体" w:hAnsi="宋体" w:eastAsia="宋体" w:cs="宋体"/>
          <w:color w:val="auto"/>
          <w:sz w:val="24"/>
          <w:szCs w:val="24"/>
        </w:rPr>
      </w:pPr>
      <w:r>
        <w:rPr>
          <w:rFonts w:hint="eastAsia" w:ascii="宋体" w:hAnsi="宋体" w:eastAsia="宋体" w:cs="宋体"/>
          <w:b/>
          <w:bCs/>
          <w:color w:val="auto"/>
          <w:sz w:val="24"/>
          <w:u w:val="single"/>
          <w:lang w:eastAsia="zh-CN"/>
        </w:rPr>
        <w:t xml:space="preserve">对承包人施工的内容进行保修，凡属承包人施工质量问题引起的维修，均由承包人负责保修。因发包人或业主使用不当造成的返修费用由责任方负责 </w:t>
      </w:r>
      <w:r>
        <w:rPr>
          <w:rFonts w:hint="eastAsia" w:ascii="宋体" w:hAnsi="宋体" w:eastAsia="宋体" w:cs="宋体"/>
          <w:color w:val="auto"/>
          <w:sz w:val="24"/>
          <w:u w:val="single"/>
          <w:lang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left"/>
        <w:textAlignment w:val="auto"/>
        <w:outlineLvl w:val="0"/>
        <w:rPr>
          <w:rFonts w:hint="eastAsia" w:ascii="宋体" w:hAnsi="宋体" w:eastAsia="宋体" w:cs="宋体"/>
          <w:b/>
          <w:bCs/>
          <w:color w:val="auto"/>
          <w:sz w:val="24"/>
          <w:szCs w:val="24"/>
        </w:rPr>
      </w:pPr>
      <w:bookmarkStart w:id="483" w:name="_Toc25027"/>
      <w:bookmarkStart w:id="484" w:name="_Toc8286"/>
      <w:bookmarkStart w:id="485" w:name="_Toc29996"/>
      <w:bookmarkStart w:id="486" w:name="_Toc29594"/>
      <w:bookmarkStart w:id="487" w:name="_Toc27229"/>
      <w:bookmarkStart w:id="488" w:name="_Toc5205"/>
      <w:r>
        <w:rPr>
          <w:rFonts w:hint="eastAsia" w:ascii="宋体" w:hAnsi="宋体" w:eastAsia="宋体" w:cs="宋体"/>
          <w:b/>
          <w:bCs/>
          <w:color w:val="auto"/>
          <w:sz w:val="24"/>
          <w:szCs w:val="24"/>
        </w:rPr>
        <w:t>二、质量保修期</w:t>
      </w:r>
      <w:bookmarkEnd w:id="483"/>
      <w:bookmarkEnd w:id="484"/>
      <w:bookmarkEnd w:id="485"/>
      <w:bookmarkEnd w:id="486"/>
      <w:bookmarkEnd w:id="487"/>
      <w:bookmarkEnd w:id="488"/>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489" w:name="_Toc32495"/>
      <w:bookmarkStart w:id="490" w:name="_Toc24887"/>
      <w:bookmarkStart w:id="491" w:name="_Toc1023"/>
      <w:bookmarkStart w:id="492" w:name="_Toc2231"/>
      <w:bookmarkStart w:id="493" w:name="_Toc11755"/>
      <w:r>
        <w:rPr>
          <w:rFonts w:hint="eastAsia" w:ascii="宋体" w:hAnsi="宋体" w:eastAsia="宋体" w:cs="宋体"/>
          <w:color w:val="auto"/>
          <w:sz w:val="24"/>
          <w:szCs w:val="24"/>
        </w:rPr>
        <w:t>根据《建设工程质量管理条例》及有关规定，工程的质量保修期如下：</w:t>
      </w:r>
      <w:bookmarkEnd w:id="489"/>
      <w:bookmarkEnd w:id="490"/>
      <w:bookmarkEnd w:id="491"/>
      <w:bookmarkEnd w:id="492"/>
      <w:bookmarkEnd w:id="493"/>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494" w:name="_Toc5400"/>
      <w:bookmarkStart w:id="495" w:name="_Toc4374"/>
      <w:r>
        <w:rPr>
          <w:rFonts w:hint="eastAsia" w:ascii="宋体" w:hAnsi="宋体" w:eastAsia="宋体" w:cs="宋体"/>
          <w:color w:val="auto"/>
          <w:sz w:val="24"/>
          <w:szCs w:val="24"/>
        </w:rPr>
        <w:t>1．地基基础工程和主体结构工程为设计文件规定的工程合理使用年限；</w:t>
      </w:r>
      <w:bookmarkEnd w:id="494"/>
      <w:bookmarkEnd w:id="495"/>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496" w:name="_Toc30149"/>
      <w:bookmarkStart w:id="497" w:name="_Toc4031"/>
      <w:r>
        <w:rPr>
          <w:rFonts w:hint="eastAsia" w:ascii="宋体" w:hAnsi="宋体" w:eastAsia="宋体" w:cs="宋体"/>
          <w:color w:val="auto"/>
          <w:sz w:val="24"/>
          <w:szCs w:val="24"/>
        </w:rPr>
        <w:t>2</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屋面防水工程、有防水要求的卫生间、房间和外墙面的防渗为</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5</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bookmarkEnd w:id="496"/>
      <w:bookmarkEnd w:id="497"/>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498" w:name="_Toc26038"/>
      <w:bookmarkStart w:id="499" w:name="_Toc13179"/>
      <w:r>
        <w:rPr>
          <w:rFonts w:hint="eastAsia" w:ascii="宋体" w:hAnsi="宋体" w:eastAsia="宋体" w:cs="宋体"/>
          <w:color w:val="auto"/>
          <w:sz w:val="24"/>
          <w:szCs w:val="24"/>
        </w:rPr>
        <w:t>3．装修工程为</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2</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bookmarkEnd w:id="498"/>
      <w:bookmarkEnd w:id="499"/>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500" w:name="_Toc11692"/>
      <w:bookmarkStart w:id="501" w:name="_Toc24721"/>
      <w:r>
        <w:rPr>
          <w:rFonts w:hint="eastAsia" w:ascii="宋体" w:hAnsi="宋体" w:eastAsia="宋体" w:cs="宋体"/>
          <w:color w:val="auto"/>
          <w:sz w:val="24"/>
          <w:szCs w:val="24"/>
        </w:rPr>
        <w:t>4．电气管线、给排水管道、设备安装工程为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2</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bookmarkEnd w:id="500"/>
      <w:bookmarkEnd w:id="501"/>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502" w:name="_Toc25951"/>
      <w:bookmarkStart w:id="503" w:name="_Toc27168"/>
      <w:r>
        <w:rPr>
          <w:rFonts w:hint="eastAsia" w:ascii="宋体" w:hAnsi="宋体" w:eastAsia="宋体" w:cs="宋体"/>
          <w:color w:val="auto"/>
          <w:sz w:val="24"/>
          <w:szCs w:val="24"/>
        </w:rPr>
        <w:t>5．供热与供冷系统为</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2</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个采暖期、供冷期；</w:t>
      </w:r>
      <w:bookmarkEnd w:id="502"/>
      <w:bookmarkEnd w:id="503"/>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504" w:name="_Toc19126"/>
      <w:bookmarkStart w:id="505" w:name="_Toc19954"/>
      <w:r>
        <w:rPr>
          <w:rFonts w:hint="eastAsia" w:ascii="宋体" w:hAnsi="宋体" w:eastAsia="宋体" w:cs="宋体"/>
          <w:color w:val="auto"/>
          <w:sz w:val="24"/>
          <w:szCs w:val="24"/>
        </w:rPr>
        <w:t>6．住宅小区内的给排水设施、道路等配套工程为</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val="en-US" w:eastAsia="zh-CN"/>
        </w:rPr>
        <w:t>2</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bookmarkEnd w:id="504"/>
      <w:bookmarkEnd w:id="505"/>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left"/>
        <w:textAlignment w:val="auto"/>
        <w:outlineLvl w:val="0"/>
        <w:rPr>
          <w:rFonts w:hint="eastAsia" w:ascii="宋体" w:hAnsi="宋体" w:eastAsia="宋体" w:cs="宋体"/>
          <w:color w:val="auto"/>
          <w:sz w:val="24"/>
          <w:szCs w:val="24"/>
        </w:rPr>
      </w:pPr>
      <w:bookmarkStart w:id="506" w:name="_Toc974"/>
      <w:bookmarkStart w:id="507" w:name="_Toc18475"/>
      <w:r>
        <w:rPr>
          <w:rFonts w:hint="eastAsia" w:ascii="宋体" w:hAnsi="宋体" w:eastAsia="宋体" w:cs="宋体"/>
          <w:color w:val="auto"/>
          <w:sz w:val="24"/>
          <w:szCs w:val="24"/>
        </w:rPr>
        <w:t>7．其他项目保修期限约定如下：</w:t>
      </w:r>
      <w:r>
        <w:rPr>
          <w:rFonts w:hint="eastAsia" w:ascii="宋体" w:hAnsi="宋体" w:eastAsia="宋体" w:cs="宋体"/>
          <w:color w:val="auto"/>
          <w:sz w:val="24"/>
          <w:szCs w:val="24"/>
          <w:u w:val="single"/>
        </w:rPr>
        <w:t xml:space="preserve"> 按照第279号令《建设工程质量管理条例》相关规定执行</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w:t>
      </w:r>
      <w:bookmarkEnd w:id="506"/>
      <w:bookmarkEnd w:id="507"/>
    </w:p>
    <w:p>
      <w:pPr>
        <w:keepNext w:val="0"/>
        <w:keepLines w:val="0"/>
        <w:pageBreakBefore w:val="0"/>
        <w:widowControl w:val="0"/>
        <w:kinsoku/>
        <w:wordWrap/>
        <w:overflowPunct/>
        <w:topLinePunct w:val="0"/>
        <w:autoSpaceDE/>
        <w:autoSpaceDN/>
        <w:bidi w:val="0"/>
        <w:adjustRightInd/>
        <w:snapToGrid/>
        <w:spacing w:line="480" w:lineRule="exact"/>
        <w:ind w:left="420" w:leftChars="200" w:firstLine="120" w:firstLineChars="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质量保修期自工程竣工验收合格之日起计算。</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0"/>
        <w:rPr>
          <w:rFonts w:hint="eastAsia" w:ascii="宋体" w:hAnsi="宋体" w:eastAsia="宋体" w:cs="宋体"/>
          <w:b/>
          <w:bCs/>
          <w:color w:val="auto"/>
          <w:sz w:val="24"/>
          <w:szCs w:val="24"/>
        </w:rPr>
      </w:pPr>
      <w:bookmarkStart w:id="508" w:name="_Toc13027"/>
      <w:bookmarkStart w:id="509" w:name="_Toc27020"/>
      <w:bookmarkStart w:id="510" w:name="_Toc19431"/>
      <w:bookmarkStart w:id="511" w:name="_Toc23293"/>
      <w:bookmarkStart w:id="512" w:name="_Toc12764"/>
      <w:bookmarkStart w:id="513" w:name="_Toc1933"/>
      <w:r>
        <w:rPr>
          <w:rFonts w:hint="eastAsia" w:ascii="宋体" w:hAnsi="宋体" w:eastAsia="宋体" w:cs="宋体"/>
          <w:b/>
          <w:bCs/>
          <w:color w:val="auto"/>
          <w:sz w:val="24"/>
          <w:szCs w:val="24"/>
        </w:rPr>
        <w:t>三、缺陷责任期</w:t>
      </w:r>
      <w:bookmarkEnd w:id="508"/>
      <w:bookmarkEnd w:id="509"/>
      <w:bookmarkEnd w:id="510"/>
      <w:bookmarkEnd w:id="511"/>
      <w:bookmarkEnd w:id="512"/>
      <w:bookmarkEnd w:id="513"/>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工程缺陷责任期为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24</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个月，缺陷责任期自工程通过竣工验收之日起计算。单位工程先于全部工程进行验收，单位工程缺陷责任期自单位工程验收合格之日起算。</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缺陷责任期终止后，发包人应退还剩余的质量保证金。</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0"/>
        <w:rPr>
          <w:rFonts w:hint="eastAsia" w:ascii="宋体" w:hAnsi="宋体" w:eastAsia="宋体" w:cs="宋体"/>
          <w:b/>
          <w:bCs/>
          <w:color w:val="auto"/>
          <w:sz w:val="24"/>
          <w:szCs w:val="24"/>
        </w:rPr>
      </w:pPr>
      <w:bookmarkStart w:id="514" w:name="_Toc23382"/>
      <w:bookmarkStart w:id="515" w:name="_Toc30677"/>
      <w:bookmarkStart w:id="516" w:name="_Toc23950"/>
      <w:bookmarkStart w:id="517" w:name="_Toc8559"/>
      <w:bookmarkStart w:id="518" w:name="_Toc7579"/>
      <w:bookmarkStart w:id="519" w:name="_Toc18249"/>
      <w:r>
        <w:rPr>
          <w:rFonts w:hint="eastAsia" w:ascii="宋体" w:hAnsi="宋体" w:eastAsia="宋体" w:cs="宋体"/>
          <w:b/>
          <w:bCs/>
          <w:color w:val="auto"/>
          <w:sz w:val="24"/>
          <w:szCs w:val="24"/>
        </w:rPr>
        <w:t>四、质量保修责任</w:t>
      </w:r>
      <w:bookmarkEnd w:id="514"/>
      <w:bookmarkEnd w:id="515"/>
      <w:bookmarkEnd w:id="516"/>
      <w:bookmarkEnd w:id="517"/>
      <w:bookmarkEnd w:id="518"/>
      <w:bookmarkEnd w:id="519"/>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0"/>
        <w:rPr>
          <w:rFonts w:hint="eastAsia" w:ascii="宋体" w:hAnsi="宋体" w:eastAsia="宋体" w:cs="宋体"/>
          <w:color w:val="auto"/>
          <w:sz w:val="24"/>
          <w:szCs w:val="24"/>
        </w:rPr>
      </w:pPr>
      <w:bookmarkStart w:id="520" w:name="_Toc10841"/>
      <w:bookmarkStart w:id="521" w:name="_Toc13012"/>
      <w:bookmarkStart w:id="522" w:name="_Toc22443"/>
      <w:bookmarkStart w:id="523" w:name="_Toc14607"/>
      <w:bookmarkStart w:id="524" w:name="_Toc19793"/>
      <w:r>
        <w:rPr>
          <w:rFonts w:hint="eastAsia" w:ascii="宋体" w:hAnsi="宋体" w:eastAsia="宋体" w:cs="宋体"/>
          <w:color w:val="auto"/>
          <w:sz w:val="24"/>
          <w:szCs w:val="24"/>
        </w:rPr>
        <w:t>1．属于保修范围、内容的项目，承包人应当在接到保修通知之日起7天内派人保修。承包人不在约定期限内派人保修的，发包人可以委托他人修理。</w:t>
      </w:r>
      <w:bookmarkEnd w:id="520"/>
      <w:bookmarkEnd w:id="521"/>
      <w:bookmarkEnd w:id="522"/>
      <w:bookmarkEnd w:id="523"/>
      <w:bookmarkEnd w:id="524"/>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0"/>
        <w:rPr>
          <w:rFonts w:hint="eastAsia" w:ascii="宋体" w:hAnsi="宋体" w:eastAsia="宋体" w:cs="宋体"/>
          <w:color w:val="auto"/>
          <w:sz w:val="24"/>
          <w:szCs w:val="24"/>
        </w:rPr>
      </w:pPr>
      <w:bookmarkStart w:id="525" w:name="_Toc10564"/>
      <w:bookmarkStart w:id="526" w:name="_Toc23195"/>
      <w:bookmarkStart w:id="527" w:name="_Toc30428"/>
      <w:bookmarkStart w:id="528" w:name="_Toc31546"/>
      <w:bookmarkStart w:id="529" w:name="_Toc1679"/>
      <w:r>
        <w:rPr>
          <w:rFonts w:hint="eastAsia" w:ascii="宋体" w:hAnsi="宋体" w:eastAsia="宋体" w:cs="宋体"/>
          <w:color w:val="auto"/>
          <w:sz w:val="24"/>
          <w:szCs w:val="24"/>
        </w:rPr>
        <w:t>2．发生紧急事故需抢修的，承包人在接到事故通知后，应当立即到达事故现场抢修。</w:t>
      </w:r>
      <w:bookmarkEnd w:id="525"/>
      <w:bookmarkEnd w:id="526"/>
      <w:bookmarkEnd w:id="527"/>
      <w:bookmarkEnd w:id="528"/>
      <w:bookmarkEnd w:id="529"/>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0"/>
        <w:rPr>
          <w:rFonts w:hint="eastAsia" w:ascii="宋体" w:hAnsi="宋体" w:eastAsia="宋体" w:cs="宋体"/>
          <w:color w:val="auto"/>
          <w:sz w:val="24"/>
          <w:szCs w:val="24"/>
        </w:rPr>
      </w:pPr>
      <w:bookmarkStart w:id="530" w:name="_Toc23016"/>
      <w:bookmarkStart w:id="531" w:name="_Toc20989"/>
      <w:bookmarkStart w:id="532" w:name="_Toc10216"/>
      <w:bookmarkStart w:id="533" w:name="_Toc5515"/>
      <w:bookmarkStart w:id="534" w:name="_Toc28463"/>
      <w:r>
        <w:rPr>
          <w:rFonts w:hint="eastAsia" w:ascii="宋体" w:hAnsi="宋体" w:eastAsia="宋体" w:cs="宋体"/>
          <w:color w:val="auto"/>
          <w:sz w:val="24"/>
          <w:szCs w:val="24"/>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bookmarkEnd w:id="530"/>
      <w:bookmarkEnd w:id="531"/>
      <w:bookmarkEnd w:id="532"/>
      <w:bookmarkEnd w:id="533"/>
      <w:bookmarkEnd w:id="534"/>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0"/>
        <w:rPr>
          <w:rFonts w:hint="eastAsia" w:ascii="宋体" w:hAnsi="宋体" w:eastAsia="宋体" w:cs="宋体"/>
          <w:color w:val="auto"/>
          <w:sz w:val="24"/>
          <w:szCs w:val="24"/>
        </w:rPr>
      </w:pPr>
      <w:bookmarkStart w:id="535" w:name="_Toc15732"/>
      <w:bookmarkStart w:id="536" w:name="_Toc28632"/>
      <w:bookmarkStart w:id="537" w:name="_Toc30382"/>
      <w:bookmarkStart w:id="538" w:name="_Toc2303"/>
      <w:bookmarkStart w:id="539" w:name="_Toc21817"/>
      <w:r>
        <w:rPr>
          <w:rFonts w:hint="eastAsia" w:ascii="宋体" w:hAnsi="宋体" w:eastAsia="宋体" w:cs="宋体"/>
          <w:color w:val="auto"/>
          <w:sz w:val="24"/>
          <w:szCs w:val="24"/>
        </w:rPr>
        <w:t>4．质量保修完成后，由发包人组织验收。</w:t>
      </w:r>
      <w:bookmarkEnd w:id="535"/>
      <w:bookmarkEnd w:id="536"/>
      <w:bookmarkEnd w:id="537"/>
      <w:bookmarkEnd w:id="538"/>
      <w:bookmarkEnd w:id="539"/>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0"/>
        <w:rPr>
          <w:rFonts w:hint="eastAsia" w:ascii="宋体" w:hAnsi="宋体" w:eastAsia="宋体" w:cs="宋体"/>
          <w:b/>
          <w:bCs/>
          <w:color w:val="auto"/>
          <w:sz w:val="24"/>
          <w:szCs w:val="24"/>
        </w:rPr>
      </w:pPr>
      <w:bookmarkStart w:id="540" w:name="_Toc19277"/>
      <w:bookmarkStart w:id="541" w:name="_Toc20634"/>
      <w:bookmarkStart w:id="542" w:name="_Toc11761"/>
      <w:bookmarkStart w:id="543" w:name="_Toc1723"/>
      <w:bookmarkStart w:id="544" w:name="_Toc11674"/>
      <w:bookmarkStart w:id="545" w:name="_Toc15437"/>
      <w:r>
        <w:rPr>
          <w:rFonts w:hint="eastAsia" w:ascii="宋体" w:hAnsi="宋体" w:eastAsia="宋体" w:cs="宋体"/>
          <w:b/>
          <w:bCs/>
          <w:color w:val="auto"/>
          <w:sz w:val="24"/>
          <w:szCs w:val="24"/>
        </w:rPr>
        <w:t>五、保修费用</w:t>
      </w:r>
      <w:bookmarkEnd w:id="540"/>
      <w:bookmarkEnd w:id="541"/>
      <w:bookmarkEnd w:id="542"/>
      <w:bookmarkEnd w:id="543"/>
      <w:bookmarkEnd w:id="544"/>
      <w:bookmarkEnd w:id="545"/>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0"/>
        <w:rPr>
          <w:rFonts w:hint="eastAsia" w:ascii="宋体" w:hAnsi="宋体" w:eastAsia="宋体" w:cs="宋体"/>
          <w:color w:val="auto"/>
          <w:sz w:val="24"/>
          <w:szCs w:val="24"/>
        </w:rPr>
      </w:pPr>
      <w:bookmarkStart w:id="546" w:name="_Toc23354"/>
      <w:bookmarkStart w:id="547" w:name="_Toc415"/>
      <w:bookmarkStart w:id="548" w:name="_Toc5768"/>
      <w:bookmarkStart w:id="549" w:name="_Toc6231"/>
      <w:bookmarkStart w:id="550" w:name="_Toc4264"/>
      <w:r>
        <w:rPr>
          <w:rFonts w:hint="eastAsia" w:ascii="宋体" w:hAnsi="宋体" w:eastAsia="宋体" w:cs="宋体"/>
          <w:color w:val="auto"/>
          <w:sz w:val="24"/>
          <w:szCs w:val="24"/>
        </w:rPr>
        <w:t>保修费用由造成质量缺陷的责任方承担。</w:t>
      </w:r>
      <w:bookmarkEnd w:id="546"/>
      <w:bookmarkEnd w:id="547"/>
      <w:bookmarkEnd w:id="548"/>
      <w:bookmarkEnd w:id="549"/>
      <w:bookmarkEnd w:id="550"/>
      <w:bookmarkStart w:id="551" w:name="_Toc24986"/>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0"/>
        <w:rPr>
          <w:rFonts w:hint="eastAsia" w:ascii="宋体" w:hAnsi="宋体" w:eastAsia="宋体" w:cs="宋体"/>
          <w:color w:val="auto"/>
          <w:sz w:val="24"/>
          <w:szCs w:val="24"/>
          <w:u w:val="single"/>
        </w:rPr>
      </w:pPr>
      <w:bookmarkStart w:id="552" w:name="_Toc29593"/>
      <w:bookmarkStart w:id="553" w:name="_Toc26319"/>
      <w:bookmarkStart w:id="554" w:name="_Toc26112"/>
      <w:bookmarkStart w:id="555" w:name="_Toc6184"/>
      <w:bookmarkStart w:id="556" w:name="_Toc14150"/>
      <w:r>
        <w:rPr>
          <w:rFonts w:hint="eastAsia" w:ascii="宋体" w:hAnsi="宋体" w:eastAsia="宋体" w:cs="宋体"/>
          <w:b/>
          <w:bCs/>
          <w:color w:val="auto"/>
          <w:sz w:val="24"/>
          <w:szCs w:val="24"/>
        </w:rPr>
        <w:t>六、双方约定的其他工程质量保修事项</w:t>
      </w:r>
      <w:r>
        <w:rPr>
          <w:rFonts w:hint="eastAsia" w:ascii="宋体" w:hAnsi="宋体" w:eastAsia="宋体" w:cs="宋体"/>
          <w:color w:val="auto"/>
          <w:sz w:val="24"/>
          <w:szCs w:val="24"/>
        </w:rPr>
        <w:t>：</w:t>
      </w:r>
      <w:bookmarkEnd w:id="551"/>
      <w:r>
        <w:rPr>
          <w:rFonts w:hint="eastAsia" w:ascii="宋体" w:hAnsi="宋体" w:eastAsia="宋体" w:cs="宋体"/>
          <w:color w:val="auto"/>
          <w:sz w:val="24"/>
          <w:szCs w:val="24"/>
          <w:u w:val="single"/>
        </w:rPr>
        <w:t>（1）在国家规定的合理使用期限内，因承包人施工质量问题，致使合理使用期限内造成人身和财产损害的，承包人承担损害赔偿责任；（2）如发生承包人接到维修通知未及时予以维修，而发包人另行派人维修支付维修费用情况，该费用从承包人质量保证金中扣除，质量保证金在计算时多退少补，如发生纠纷按照合同通用条款相关规定执行。</w:t>
      </w:r>
      <w:bookmarkEnd w:id="552"/>
      <w:bookmarkEnd w:id="553"/>
      <w:bookmarkEnd w:id="554"/>
      <w:bookmarkEnd w:id="555"/>
      <w:bookmarkEnd w:id="556"/>
    </w:p>
    <w:p>
      <w:pPr>
        <w:keepNext w:val="0"/>
        <w:keepLines w:val="0"/>
        <w:pageBreakBefore w:val="0"/>
        <w:widowControl w:val="0"/>
        <w:kinsoku/>
        <w:wordWrap/>
        <w:overflowPunct/>
        <w:topLinePunct w:val="0"/>
        <w:autoSpaceDE/>
        <w:autoSpaceDN/>
        <w:bidi w:val="0"/>
        <w:adjustRightInd/>
        <w:snapToGrid/>
        <w:spacing w:line="480" w:lineRule="exact"/>
        <w:ind w:firstLine="456" w:firstLineChars="19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工程质量保修书由发包人、承包人在工程竣工验收前共同签署，作为施工合同附件，其有效期限至保修期满。</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发包人(</w:t>
      </w:r>
      <w:r>
        <w:rPr>
          <w:rFonts w:hint="eastAsia" w:ascii="宋体" w:hAnsi="宋体" w:eastAsia="宋体" w:cs="宋体"/>
          <w:color w:val="auto"/>
          <w:sz w:val="24"/>
          <w:szCs w:val="24"/>
          <w:lang w:eastAsia="zh-CN"/>
        </w:rPr>
        <w:t>盖</w:t>
      </w:r>
      <w:r>
        <w:rPr>
          <w:rFonts w:hint="eastAsia" w:ascii="宋体" w:hAnsi="宋体" w:eastAsia="宋体" w:cs="宋体"/>
          <w:color w:val="auto"/>
          <w:sz w:val="24"/>
          <w:szCs w:val="24"/>
        </w:rPr>
        <w:t>章)：</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承包人(</w:t>
      </w:r>
      <w:r>
        <w:rPr>
          <w:rFonts w:hint="eastAsia" w:ascii="宋体" w:hAnsi="宋体" w:eastAsia="宋体" w:cs="宋体"/>
          <w:color w:val="auto"/>
          <w:sz w:val="24"/>
          <w:szCs w:val="24"/>
          <w:lang w:eastAsia="zh-CN"/>
        </w:rPr>
        <w:t>盖</w:t>
      </w:r>
      <w:r>
        <w:rPr>
          <w:rFonts w:hint="eastAsia" w:ascii="宋体" w:hAnsi="宋体" w:eastAsia="宋体" w:cs="宋体"/>
          <w:color w:val="auto"/>
          <w:sz w:val="24"/>
          <w:szCs w:val="24"/>
        </w:rPr>
        <w:t>章)：</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法定代表人(签字)：</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法定代表人(签字)：</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或其授权的</w:t>
      </w:r>
      <w:r>
        <w:rPr>
          <w:rFonts w:hint="eastAsia" w:ascii="宋体" w:hAnsi="宋体" w:eastAsia="宋体" w:cs="宋体"/>
          <w:color w:val="auto"/>
          <w:sz w:val="24"/>
          <w:szCs w:val="24"/>
        </w:rPr>
        <w:t>代理人(签字)：</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lang w:eastAsia="zh-CN"/>
        </w:rPr>
        <w:t>或其授权的</w:t>
      </w:r>
      <w:r>
        <w:rPr>
          <w:rFonts w:hint="eastAsia" w:ascii="宋体" w:hAnsi="宋体" w:eastAsia="宋体" w:cs="宋体"/>
          <w:color w:val="auto"/>
          <w:sz w:val="24"/>
          <w:szCs w:val="24"/>
        </w:rPr>
        <w:t>代理人(签字)：</w:t>
      </w:r>
      <w:r>
        <w:rPr>
          <w:rFonts w:hint="eastAsia" w:ascii="宋体" w:hAnsi="宋体" w:eastAsia="宋体" w:cs="宋体"/>
          <w:color w:val="auto"/>
          <w:sz w:val="24"/>
          <w:szCs w:val="24"/>
          <w:u w:val="single"/>
          <w:lang w:eastAsia="zh-CN"/>
        </w:rPr>
        <w:t xml:space="preserve">  </w:t>
      </w:r>
      <w:r>
        <w:rPr>
          <w:rFonts w:hint="eastAsia" w:ascii="宋体" w:hAnsi="宋体" w:eastAsia="宋体" w:cs="宋体"/>
          <w:color w:val="auto"/>
          <w:sz w:val="24"/>
          <w:szCs w:val="24"/>
          <w:u w:val="single"/>
        </w:rPr>
        <w:t xml:space="preserve">       </w:t>
      </w:r>
    </w:p>
    <w:p>
      <w:pPr>
        <w:spacing w:line="440" w:lineRule="exact"/>
        <w:rPr>
          <w:rFonts w:hint="eastAsia" w:ascii="宋体" w:hAnsi="宋体" w:eastAsia="宋体" w:cs="宋体"/>
          <w:color w:val="auto"/>
          <w:sz w:val="24"/>
          <w:szCs w:val="24"/>
        </w:rPr>
      </w:pPr>
    </w:p>
    <w:p>
      <w:pPr>
        <w:spacing w:line="440" w:lineRule="exact"/>
        <w:ind w:firstLine="960" w:firstLineChars="400"/>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日</w:t>
      </w:r>
    </w:p>
    <w:p>
      <w:pPr>
        <w:spacing w:line="440" w:lineRule="exact"/>
        <w:ind w:firstLine="960" w:firstLineChars="400"/>
        <w:rPr>
          <w:rFonts w:hint="eastAsia" w:ascii="宋体" w:hAnsi="宋体" w:eastAsia="宋体" w:cs="宋体"/>
          <w:color w:val="auto"/>
          <w:sz w:val="24"/>
          <w:szCs w:val="24"/>
          <w:lang w:val="en-US" w:eastAsia="zh-CN"/>
        </w:rPr>
      </w:pPr>
    </w:p>
    <w:p>
      <w:pPr>
        <w:pStyle w:val="2"/>
        <w:rPr>
          <w:rFonts w:hint="eastAsia" w:ascii="宋体" w:hAnsi="宋体" w:eastAsia="宋体" w:cs="宋体"/>
          <w:color w:val="auto"/>
          <w:sz w:val="24"/>
          <w:szCs w:val="24"/>
          <w:lang w:val="en-US" w:eastAsia="zh-CN"/>
        </w:rPr>
      </w:pPr>
    </w:p>
    <w:p>
      <w:pPr>
        <w:rPr>
          <w:rFonts w:hint="eastAsia"/>
          <w:color w:val="auto"/>
          <w:lang w:val="en-US" w:eastAsia="zh-CN"/>
        </w:rPr>
      </w:pPr>
    </w:p>
    <w:p>
      <w:pPr>
        <w:spacing w:before="240" w:after="120" w:line="500" w:lineRule="exact"/>
        <w:rPr>
          <w:rFonts w:hint="eastAsia" w:ascii="宋体" w:hAnsi="宋体" w:eastAsia="宋体" w:cs="宋体"/>
          <w:b/>
          <w:color w:val="auto"/>
          <w:sz w:val="28"/>
          <w:szCs w:val="28"/>
        </w:rPr>
      </w:pPr>
      <w:r>
        <w:rPr>
          <w:rFonts w:hint="eastAsia" w:ascii="宋体" w:hAnsi="宋体" w:eastAsia="宋体" w:cs="宋体"/>
          <w:b/>
          <w:color w:val="auto"/>
          <w:sz w:val="28"/>
          <w:szCs w:val="28"/>
        </w:rPr>
        <w:t>附件</w:t>
      </w:r>
      <w:r>
        <w:rPr>
          <w:rFonts w:hint="eastAsia" w:ascii="宋体" w:hAnsi="宋体" w:eastAsia="宋体" w:cs="宋体"/>
          <w:b/>
          <w:color w:val="auto"/>
          <w:sz w:val="28"/>
          <w:szCs w:val="28"/>
          <w:lang w:val="en-US" w:eastAsia="zh-CN"/>
        </w:rPr>
        <w:t>2</w:t>
      </w:r>
      <w:r>
        <w:rPr>
          <w:rFonts w:hint="eastAsia" w:ascii="宋体" w:hAnsi="宋体" w:eastAsia="宋体" w:cs="宋体"/>
          <w:b/>
          <w:color w:val="auto"/>
          <w:sz w:val="28"/>
          <w:szCs w:val="28"/>
        </w:rPr>
        <w:t xml:space="preserve">：安全生产合同格式 </w:t>
      </w:r>
    </w:p>
    <w:p>
      <w:pPr>
        <w:pStyle w:val="76"/>
        <w:spacing w:before="0" w:beforeAutospacing="0" w:after="0" w:afterAutospacing="0" w:line="300" w:lineRule="auto"/>
        <w:jc w:val="center"/>
        <w:rPr>
          <w:rFonts w:hint="eastAsia" w:ascii="宋体" w:hAnsi="宋体" w:eastAsia="宋体" w:cs="宋体"/>
          <w:b/>
          <w:bCs/>
          <w:color w:val="auto"/>
          <w:sz w:val="36"/>
          <w:szCs w:val="18"/>
        </w:rPr>
      </w:pPr>
      <w:r>
        <w:rPr>
          <w:rFonts w:hint="eastAsia" w:ascii="宋体" w:hAnsi="宋体" w:eastAsia="宋体" w:cs="宋体"/>
          <w:b/>
          <w:bCs/>
          <w:color w:val="auto"/>
          <w:sz w:val="36"/>
          <w:szCs w:val="18"/>
        </w:rPr>
        <w:t>安全生产合同</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发包人（全称）：</w:t>
      </w:r>
      <w:r>
        <w:rPr>
          <w:rFonts w:hint="eastAsia" w:ascii="宋体" w:hAnsi="宋体" w:eastAsia="宋体" w:cs="宋体"/>
          <w:bCs/>
          <w:color w:val="auto"/>
          <w:sz w:val="24"/>
          <w:szCs w:val="24"/>
          <w:u w:val="single"/>
        </w:rPr>
        <w:t>富平县住房和城乡建设局</w:t>
      </w:r>
      <w:r>
        <w:rPr>
          <w:rFonts w:hint="eastAsia" w:ascii="宋体" w:hAnsi="宋体" w:eastAsia="宋体" w:cs="宋体"/>
          <w:color w:val="auto"/>
          <w:sz w:val="24"/>
          <w:szCs w:val="24"/>
          <w:u w:val="single"/>
        </w:rPr>
        <w:t xml:space="preserve"> </w:t>
      </w:r>
    </w:p>
    <w:p>
      <w:pPr>
        <w:spacing w:line="360" w:lineRule="auto"/>
        <w:rPr>
          <w:rFonts w:hint="eastAsia" w:ascii="宋体" w:hAnsi="宋体" w:eastAsia="宋体" w:cs="宋体"/>
          <w:bCs/>
          <w:color w:val="auto"/>
          <w:sz w:val="24"/>
          <w:szCs w:val="24"/>
        </w:rPr>
      </w:pPr>
      <w:r>
        <w:rPr>
          <w:rFonts w:hint="eastAsia" w:ascii="宋体" w:hAnsi="宋体" w:eastAsia="宋体" w:cs="宋体"/>
          <w:color w:val="auto"/>
          <w:sz w:val="24"/>
          <w:szCs w:val="24"/>
        </w:rPr>
        <w:t>承包人（全称）：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为了切实加强施工现场安全生产管理，确保</w:t>
      </w:r>
      <w:r>
        <w:rPr>
          <w:rFonts w:hint="eastAsia" w:ascii="宋体" w:hAnsi="宋体" w:eastAsia="宋体" w:cs="宋体"/>
          <w:color w:val="auto"/>
          <w:sz w:val="24"/>
          <w:szCs w:val="24"/>
          <w:u w:val="single"/>
          <w:lang w:val="en-US" w:eastAsia="zh-CN"/>
        </w:rPr>
        <w:t xml:space="preserve"> </w:t>
      </w:r>
      <w:r>
        <w:rPr>
          <w:rFonts w:hint="eastAsia" w:ascii="宋体" w:hAnsi="宋体" w:cs="宋体"/>
          <w:b/>
          <w:bCs/>
          <w:color w:val="auto"/>
          <w:sz w:val="24"/>
          <w:u w:val="single"/>
          <w:lang w:eastAsia="zh-CN"/>
        </w:rPr>
        <w:t>富平县灯饰修缮工程</w:t>
      </w:r>
      <w:r>
        <w:rPr>
          <w:rFonts w:hint="eastAsia" w:ascii="宋体" w:hAnsi="宋体" w:eastAsia="宋体" w:cs="宋体"/>
          <w:b/>
          <w:bCs/>
          <w:color w:val="auto"/>
          <w:sz w:val="24"/>
          <w:szCs w:val="24"/>
          <w:u w:val="single"/>
          <w:lang w:val="en-US" w:eastAsia="zh-CN"/>
        </w:rPr>
        <w:t xml:space="preserve"> </w:t>
      </w:r>
      <w:r>
        <w:rPr>
          <w:rFonts w:hint="eastAsia" w:ascii="宋体" w:hAnsi="宋体" w:eastAsia="宋体" w:cs="宋体"/>
          <w:color w:val="auto"/>
          <w:sz w:val="24"/>
          <w:szCs w:val="24"/>
        </w:rPr>
        <w:t>项目的顺利实施及相关作业人员的安全，据《中华人民共和国安全生产法》、《建设工程安全生产管理条例》等相关法规定，遵循平等、自愿、公平和诚实信用的原则，签定本合同。</w:t>
      </w:r>
    </w:p>
    <w:p>
      <w:pPr>
        <w:spacing w:line="360" w:lineRule="auto"/>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1.发包人职责</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（1）严格遵守国家有关安全生产的法律法规，认真执行工程承包合同中的有关安全要求。</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（2）按照“安全第一、预防为主”和坚持“管生产必须管安全”的原则进行安全生产管理，做到生产与安全工作同时计划、布置、检查、总结和评比。</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（3）重要的安全设施必须坚持与主体工程“三同时”的原则，即：同时设计、同时施工、同时投入使用。</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（4）定期召开安全生产调度会，及时传达中央及地方有关安全生产的精神。</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（5）组织对承包人施工现场进行安全生产检查，监督承包人及时处理发现的各种安全隐患。</w:t>
      </w:r>
    </w:p>
    <w:p>
      <w:pPr>
        <w:spacing w:line="360" w:lineRule="auto"/>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2.承包人职责</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（1）严格遵守《中华人民共和国安全生产法》、《建设工程安全生产管理条例》等国家有关安全生产的法律法规。认真执行工程承包合同中的有关安全要求。</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坚持“安全第一、预防为主”和坚持“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本合同的各项规定，做到生产与安全工作同时计划、布置、检查、总结和评比。</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建立健全安全生产责任制。从项目经理到生产工人的安全生产管理系统必须做到纵向到底，一环不漏；各职能部门、人员的安全生产责任制做到横向到边，人人有责。项目经理是安全生产的第一责任人。现场设置的安全机构，应按国家相关规定的最低数量和资质条件配备专职安全生产管理人员，专职负责所有员工的安全和治安保卫工作及预防事故的发生。安全机构人员有权按有关规定发布指令，并采取保护性措施防止事故发生。</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（4）承包人在任何时候都应采取各种合理的预防措施，防止其员工发生任何违法、违禁、暴力或妨碍治安的行为。</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承包人必须具有劳动安全管理部门颁发的安全生产考核合格证书，参加施工的人员，必须接受安全技术教育，熟知和遵守本工种的各项安全技术操作规程，定期进行安全技术考核，合格者方准上岗操作。对于从事电气、起重、建筑登高架设作业、锅炉、压力容器、焊接、潜水等特殊工种的人员，经过专业培训，获得安全操作合格证后，方准持证上岗。施工现场如出现特种作业无证操作现象时，项目经理必须承担管理责任。</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（6）对于易燃易爆的材料除应专门妥善保管之外，还应配备有足够的消防设施，所有施工人员都应熟悉消防设备的性能和使用方法；承包人不得将任何种类的爆炸物给予、易货或以其他方式转让给任何其他人。</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（7）操作人员上岗，必须按规定穿戴防护用品。施工负责人和安全员应随时检查劳动防护用品的穿戴情况，不按规定穿戴防护用品的人员不得上岗。</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（8）所有用电设备、施工机具设备和高空作业的设备均应定期检查，并有安全员的签字记录，保证其经常处于完好状态；不合格的机具、设备和劳动保护用品严禁使用。</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（9）施工中采用新技术、新工艺、新设备、新材料时，必须制定相应的安全技术措施，施工现场必须具有相关的安全标志牌。</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10）承包人必须按照本工程项目特点，组织制定本工程实施中的生产安全事故应急救援预案；如果发生安全事故，应按照《国务院关于特大安全事故行政责任追究的规定》以及其他有关规定，及时上报有关部门，并坚持“四不放过”的原则，严肃处理相关责任人。</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（11）安全生产费用按照国家相关规定使用和管理。</w:t>
      </w:r>
    </w:p>
    <w:p>
      <w:pPr>
        <w:spacing w:line="360" w:lineRule="auto"/>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3.违约责任</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如因发包人或承包人违约造成安全事故，将依法追究责任。</w:t>
      </w:r>
    </w:p>
    <w:p>
      <w:pPr>
        <w:spacing w:line="360" w:lineRule="auto"/>
        <w:ind w:firstLine="482" w:firstLineChars="200"/>
        <w:rPr>
          <w:rFonts w:hint="eastAsia" w:ascii="宋体" w:hAnsi="宋体" w:eastAsia="宋体" w:cs="宋体"/>
          <w:color w:val="auto"/>
          <w:sz w:val="24"/>
          <w:szCs w:val="24"/>
        </w:rPr>
      </w:pPr>
      <w:r>
        <w:rPr>
          <w:rFonts w:hint="eastAsia" w:ascii="宋体" w:hAnsi="宋体" w:eastAsia="宋体" w:cs="宋体"/>
          <w:b/>
          <w:color w:val="auto"/>
          <w:sz w:val="24"/>
          <w:szCs w:val="24"/>
        </w:rPr>
        <w:t>4.</w:t>
      </w:r>
      <w:r>
        <w:rPr>
          <w:rFonts w:hint="eastAsia" w:ascii="宋体" w:hAnsi="宋体" w:eastAsia="宋体" w:cs="宋体"/>
          <w:color w:val="auto"/>
          <w:sz w:val="24"/>
          <w:szCs w:val="24"/>
        </w:rPr>
        <w:t>本合同由双方法定代表人或其授权的代理人签署并加盖单位章后生效，全部工程竣工验收后失效。</w:t>
      </w:r>
    </w:p>
    <w:p>
      <w:pPr>
        <w:spacing w:line="360" w:lineRule="auto"/>
        <w:ind w:firstLine="482" w:firstLineChars="200"/>
        <w:rPr>
          <w:rFonts w:hint="eastAsia" w:ascii="宋体" w:hAnsi="宋体" w:eastAsia="宋体" w:cs="宋体"/>
          <w:bCs/>
          <w:color w:val="auto"/>
          <w:sz w:val="24"/>
          <w:szCs w:val="24"/>
        </w:rPr>
      </w:pPr>
      <w:r>
        <w:rPr>
          <w:rFonts w:hint="eastAsia" w:ascii="宋体" w:hAnsi="宋体" w:eastAsia="宋体" w:cs="宋体"/>
          <w:b/>
          <w:bCs/>
          <w:color w:val="auto"/>
          <w:sz w:val="24"/>
          <w:szCs w:val="24"/>
        </w:rPr>
        <w:t>5.</w:t>
      </w:r>
      <w:r>
        <w:rPr>
          <w:rFonts w:hint="eastAsia" w:ascii="宋体" w:hAnsi="宋体" w:eastAsia="宋体" w:cs="宋体"/>
          <w:bCs/>
          <w:color w:val="auto"/>
          <w:sz w:val="24"/>
          <w:szCs w:val="24"/>
        </w:rPr>
        <w:t>本合同正本贰份、副本陆份。合同双方各执正本壹份，副本叁份。</w:t>
      </w:r>
    </w:p>
    <w:p>
      <w:pPr>
        <w:spacing w:line="360" w:lineRule="auto"/>
        <w:rPr>
          <w:rFonts w:hint="eastAsia" w:ascii="宋体" w:hAnsi="宋体" w:eastAsia="宋体" w:cs="宋体"/>
          <w:bCs/>
          <w:color w:val="auto"/>
          <w:sz w:val="24"/>
          <w:szCs w:val="24"/>
        </w:rPr>
      </w:pPr>
    </w:p>
    <w:p>
      <w:pPr>
        <w:spacing w:line="360" w:lineRule="auto"/>
        <w:ind w:firstLine="480" w:firstLineChars="200"/>
        <w:rPr>
          <w:rFonts w:hint="eastAsia" w:ascii="宋体" w:hAnsi="宋体" w:eastAsia="宋体" w:cs="宋体"/>
          <w:color w:val="auto"/>
          <w:sz w:val="24"/>
          <w:szCs w:val="24"/>
        </w:rPr>
      </w:pPr>
    </w:p>
    <w:p>
      <w:pPr>
        <w:spacing w:line="360" w:lineRule="auto"/>
        <w:ind w:firstLine="480" w:firstLineChars="200"/>
        <w:rPr>
          <w:rFonts w:hint="eastAsia" w:ascii="宋体" w:hAnsi="宋体" w:eastAsia="宋体" w:cs="宋体"/>
          <w:color w:val="auto"/>
          <w:sz w:val="24"/>
          <w:szCs w:val="24"/>
        </w:rPr>
      </w:pPr>
    </w:p>
    <w:p>
      <w:pPr>
        <w:spacing w:line="360" w:lineRule="auto"/>
        <w:ind w:firstLine="480" w:firstLineChars="200"/>
        <w:rPr>
          <w:rFonts w:hint="eastAsia" w:ascii="宋体" w:hAnsi="宋体" w:eastAsia="宋体" w:cs="宋体"/>
          <w:color w:val="auto"/>
          <w:sz w:val="24"/>
          <w:szCs w:val="24"/>
        </w:rPr>
      </w:pP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发包人: （盖章）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承包人:（盖章）</w:t>
      </w:r>
    </w:p>
    <w:p>
      <w:pPr>
        <w:spacing w:line="360" w:lineRule="auto"/>
        <w:rPr>
          <w:rFonts w:hint="eastAsia" w:ascii="宋体" w:hAnsi="宋体" w:eastAsia="宋体" w:cs="宋体"/>
          <w:color w:val="auto"/>
          <w:sz w:val="24"/>
          <w:szCs w:val="24"/>
        </w:rPr>
      </w:pP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法定代表人签字：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法定代表人签字：</w:t>
      </w:r>
    </w:p>
    <w:p>
      <w:pPr>
        <w:spacing w:line="360" w:lineRule="auto"/>
        <w:rPr>
          <w:rFonts w:hint="eastAsia" w:ascii="宋体" w:hAnsi="宋体" w:eastAsia="宋体" w:cs="宋体"/>
          <w:color w:val="auto"/>
          <w:sz w:val="24"/>
          <w:szCs w:val="24"/>
        </w:rPr>
      </w:pP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或其授权的代理人（签字）：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或其授权的代理人（签字）：</w:t>
      </w:r>
    </w:p>
    <w:p>
      <w:pPr>
        <w:spacing w:line="360" w:lineRule="auto"/>
        <w:ind w:firstLine="240" w:firstLineChars="10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spacing w:line="360" w:lineRule="auto"/>
        <w:ind w:firstLine="240" w:firstLineChars="100"/>
        <w:rPr>
          <w:rFonts w:hint="eastAsia" w:ascii="宋体" w:hAnsi="宋体" w:eastAsia="宋体" w:cs="宋体"/>
          <w:color w:val="auto"/>
          <w:sz w:val="24"/>
          <w:szCs w:val="24"/>
        </w:rPr>
      </w:pPr>
    </w:p>
    <w:p>
      <w:pPr>
        <w:spacing w:line="360" w:lineRule="auto"/>
        <w:ind w:firstLine="240" w:firstLineChars="100"/>
        <w:rPr>
          <w:rFonts w:hint="eastAsia" w:ascii="宋体" w:hAnsi="宋体" w:eastAsia="宋体" w:cs="宋体"/>
          <w:color w:val="auto"/>
          <w:sz w:val="24"/>
          <w:szCs w:val="24"/>
        </w:rPr>
      </w:pPr>
    </w:p>
    <w:p>
      <w:pPr>
        <w:spacing w:line="360" w:lineRule="auto"/>
        <w:ind w:firstLine="1440" w:firstLineChars="600"/>
        <w:rPr>
          <w:rFonts w:hint="eastAsia" w:ascii="宋体" w:hAnsi="宋体" w:eastAsia="宋体" w:cs="宋体"/>
          <w:color w:val="auto"/>
          <w:sz w:val="24"/>
          <w:szCs w:val="24"/>
        </w:rPr>
      </w:pPr>
      <w:r>
        <w:rPr>
          <w:rFonts w:hint="eastAsia" w:ascii="宋体" w:hAnsi="宋体" w:eastAsia="宋体" w:cs="宋体"/>
          <w:color w:val="auto"/>
          <w:sz w:val="24"/>
          <w:szCs w:val="24"/>
        </w:rPr>
        <w:t>年    月   日                    年    月   日</w:t>
      </w:r>
    </w:p>
    <w:p>
      <w:pPr>
        <w:spacing w:line="360" w:lineRule="auto"/>
        <w:rPr>
          <w:rFonts w:hint="eastAsia" w:ascii="宋体" w:hAnsi="宋体" w:eastAsia="宋体" w:cs="宋体"/>
          <w:color w:val="auto"/>
          <w:sz w:val="24"/>
        </w:rPr>
      </w:pPr>
    </w:p>
    <w:p>
      <w:pPr>
        <w:pStyle w:val="2"/>
        <w:rPr>
          <w:rFonts w:hint="eastAsia" w:ascii="宋体" w:hAnsi="宋体" w:eastAsia="宋体" w:cs="宋体"/>
          <w:color w:val="auto"/>
          <w:sz w:val="24"/>
        </w:rPr>
      </w:pPr>
    </w:p>
    <w:p>
      <w:pPr>
        <w:rPr>
          <w:rFonts w:hint="eastAsia" w:ascii="宋体" w:hAnsi="宋体" w:eastAsia="宋体" w:cs="宋体"/>
          <w:color w:val="auto"/>
          <w:sz w:val="24"/>
        </w:rPr>
      </w:pPr>
    </w:p>
    <w:p>
      <w:pPr>
        <w:pStyle w:val="2"/>
        <w:rPr>
          <w:rFonts w:hint="eastAsia" w:ascii="宋体" w:hAnsi="宋体" w:eastAsia="宋体" w:cs="宋体"/>
          <w:color w:val="auto"/>
          <w:sz w:val="24"/>
        </w:rPr>
      </w:pPr>
    </w:p>
    <w:p>
      <w:pPr>
        <w:rPr>
          <w:rFonts w:hint="eastAsia" w:ascii="宋体" w:hAnsi="宋体" w:eastAsia="宋体" w:cs="宋体"/>
          <w:color w:val="auto"/>
          <w:sz w:val="24"/>
        </w:rPr>
      </w:pPr>
    </w:p>
    <w:p>
      <w:pPr>
        <w:pStyle w:val="2"/>
        <w:rPr>
          <w:rFonts w:hint="eastAsia" w:ascii="宋体" w:hAnsi="宋体" w:eastAsia="宋体" w:cs="宋体"/>
          <w:color w:val="auto"/>
          <w:sz w:val="24"/>
        </w:rPr>
      </w:pPr>
    </w:p>
    <w:p>
      <w:pPr>
        <w:rPr>
          <w:rFonts w:hint="eastAsia" w:ascii="宋体" w:hAnsi="宋体" w:eastAsia="宋体" w:cs="宋体"/>
          <w:color w:val="auto"/>
          <w:sz w:val="24"/>
        </w:rPr>
      </w:pPr>
    </w:p>
    <w:p>
      <w:pPr>
        <w:pStyle w:val="2"/>
        <w:rPr>
          <w:rFonts w:hint="eastAsia" w:ascii="宋体" w:hAnsi="宋体" w:eastAsia="宋体" w:cs="宋体"/>
          <w:color w:val="auto"/>
          <w:sz w:val="24"/>
        </w:rPr>
      </w:pPr>
    </w:p>
    <w:p>
      <w:pPr>
        <w:rPr>
          <w:rFonts w:hint="eastAsia" w:ascii="宋体" w:hAnsi="宋体" w:eastAsia="宋体" w:cs="宋体"/>
          <w:color w:val="auto"/>
          <w:sz w:val="24"/>
        </w:rPr>
      </w:pPr>
    </w:p>
    <w:p>
      <w:pPr>
        <w:pStyle w:val="2"/>
        <w:rPr>
          <w:rFonts w:hint="eastAsia"/>
          <w:color w:val="auto"/>
        </w:rPr>
      </w:pPr>
    </w:p>
    <w:p>
      <w:pPr>
        <w:pStyle w:val="2"/>
        <w:rPr>
          <w:rFonts w:hint="eastAsia" w:ascii="宋体" w:hAnsi="宋体" w:eastAsia="宋体" w:cs="宋体"/>
          <w:color w:val="auto"/>
          <w:sz w:val="24"/>
        </w:rPr>
      </w:pPr>
    </w:p>
    <w:p>
      <w:pPr>
        <w:rPr>
          <w:rFonts w:hint="eastAsia" w:ascii="宋体" w:hAnsi="宋体" w:eastAsia="宋体" w:cs="宋体"/>
          <w:color w:val="auto"/>
        </w:rPr>
      </w:pPr>
    </w:p>
    <w:p>
      <w:pPr>
        <w:spacing w:before="240" w:after="120" w:line="500" w:lineRule="exact"/>
        <w:rPr>
          <w:rFonts w:hint="eastAsia" w:ascii="宋体" w:hAnsi="宋体" w:eastAsia="宋体" w:cs="宋体"/>
          <w:b/>
          <w:color w:val="auto"/>
          <w:sz w:val="28"/>
          <w:szCs w:val="28"/>
        </w:rPr>
      </w:pPr>
      <w:r>
        <w:rPr>
          <w:rFonts w:hint="eastAsia" w:ascii="宋体" w:hAnsi="宋体" w:eastAsia="宋体" w:cs="宋体"/>
          <w:b/>
          <w:color w:val="auto"/>
          <w:sz w:val="28"/>
          <w:szCs w:val="28"/>
        </w:rPr>
        <w:t>附件</w:t>
      </w:r>
      <w:r>
        <w:rPr>
          <w:rFonts w:hint="eastAsia" w:ascii="宋体" w:hAnsi="宋体" w:eastAsia="宋体" w:cs="宋体"/>
          <w:b/>
          <w:color w:val="auto"/>
          <w:sz w:val="28"/>
          <w:szCs w:val="28"/>
          <w:lang w:val="en-US" w:eastAsia="zh-CN"/>
        </w:rPr>
        <w:t>3</w:t>
      </w:r>
      <w:r>
        <w:rPr>
          <w:rFonts w:hint="eastAsia" w:ascii="宋体" w:hAnsi="宋体" w:eastAsia="宋体" w:cs="宋体"/>
          <w:b/>
          <w:color w:val="auto"/>
          <w:sz w:val="28"/>
          <w:szCs w:val="28"/>
        </w:rPr>
        <w:t>：廉政责任书格式</w:t>
      </w:r>
    </w:p>
    <w:p>
      <w:pPr>
        <w:pStyle w:val="76"/>
        <w:spacing w:before="0" w:beforeAutospacing="0" w:after="0" w:afterAutospacing="0" w:line="300" w:lineRule="auto"/>
        <w:jc w:val="center"/>
        <w:rPr>
          <w:rFonts w:hint="eastAsia" w:ascii="宋体" w:hAnsi="宋体" w:eastAsia="宋体" w:cs="宋体"/>
          <w:b/>
          <w:bCs/>
          <w:color w:val="auto"/>
          <w:sz w:val="36"/>
          <w:szCs w:val="18"/>
        </w:rPr>
      </w:pPr>
      <w:r>
        <w:rPr>
          <w:rFonts w:hint="eastAsia" w:ascii="宋体" w:hAnsi="宋体" w:eastAsia="宋体" w:cs="宋体"/>
          <w:b/>
          <w:bCs/>
          <w:color w:val="auto"/>
          <w:sz w:val="36"/>
          <w:szCs w:val="18"/>
          <w:lang w:eastAsia="zh-CN"/>
        </w:rPr>
        <w:t>工程建设项目</w:t>
      </w:r>
      <w:r>
        <w:rPr>
          <w:rFonts w:hint="eastAsia" w:ascii="宋体" w:hAnsi="宋体" w:eastAsia="宋体" w:cs="宋体"/>
          <w:b/>
          <w:bCs/>
          <w:color w:val="auto"/>
          <w:sz w:val="36"/>
          <w:szCs w:val="18"/>
        </w:rPr>
        <w:t>廉政责任书</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发包人（全称）：</w:t>
      </w:r>
      <w:r>
        <w:rPr>
          <w:rFonts w:hint="eastAsia" w:ascii="宋体" w:hAnsi="宋体" w:eastAsia="宋体" w:cs="宋体"/>
          <w:bCs/>
          <w:color w:val="auto"/>
          <w:sz w:val="24"/>
          <w:szCs w:val="24"/>
          <w:u w:val="single"/>
        </w:rPr>
        <w:t>富平县住房和城乡建设局</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承包人（全称）：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pPr>
        <w:spacing w:line="360" w:lineRule="auto"/>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rPr>
        <w:t>第一条双方的责任</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（一）应严格遵守国家关于市场准入、项目招标投标、工程建设、施工安装和市场活动等有关法律、法规，相关政策，以及廉政建设的各项规定。</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（二）严格执行建设工程项目合同文件，自觉按合同办事。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（三）业务活动必须坚持公开、公平、公正、诚信、透明的原则，不得为获取不正当的利益，损害国家、集体和对方利益，不得违反工程建设管理、施工安装的规章制度。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（四）发现对方在业务活动中有违规、违纪、违法行为的，应及时提醒对方，情节严重的，应向其上级主管部门或纪检监察、司法等有关机关举报。</w:t>
      </w:r>
    </w:p>
    <w:p>
      <w:pPr>
        <w:spacing w:line="360" w:lineRule="auto"/>
        <w:ind w:firstLine="482" w:firstLineChars="200"/>
        <w:rPr>
          <w:rFonts w:hint="eastAsia" w:ascii="宋体" w:hAnsi="宋体" w:eastAsia="宋体" w:cs="宋体"/>
          <w:b/>
          <w:bCs/>
          <w:color w:val="auto"/>
          <w:sz w:val="24"/>
          <w:szCs w:val="24"/>
        </w:rPr>
      </w:pPr>
      <w:r>
        <w:rPr>
          <w:rFonts w:hint="eastAsia" w:ascii="宋体" w:hAnsi="宋体" w:eastAsia="宋体" w:cs="宋体"/>
          <w:b/>
          <w:bCs/>
          <w:color w:val="auto"/>
          <w:sz w:val="24"/>
          <w:szCs w:val="24"/>
        </w:rPr>
        <w:t xml:space="preserve">第二条发包人方的责任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发包人方的领导和从事该建设工程项目的工作人员，在工程建设的事前、事中、事后应遵守以下规定：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（一）不准向承包人和相关单位索要或接受回扣、礼金、有价证券、贵重物品和好处费、感谢费等。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（二）不准在承包人和相关单位报销任何应由发包人或个人支付的费用。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（三）不准要求、暗示和接受承包人和相关单位为个人装修住房、婚丧嫁娶、配偶子女的工作安排以及出国（境）、旅游等提供方便。 </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 xml:space="preserve">（四）不准参加有可能影响公正执行公务的承包人和相关单位的宴请和健身、娱乐等活动。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五）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rPr>
        <w:t xml:space="preserve">第三条承包人的责任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应与发包人保持正常的业务交往，按照有关法律法规和程序开展业务工作，严格执行工程建设的有关方针、政策，尤其是有关建筑施工安装的强制性标准和规范，并遵守以下规定：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（一）不准以任何理由向发包人、相关单位及其工作人员索要、接受或赠送礼金、有价证券、贵重物品和回扣、好处费、感谢费等。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（二）不准以任何理由为发包人和相关单位报销应由对方或个人支付的费用。</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（三）不准接受或暗示为发包人、相关单位或个人装修住房、婚丧嫁娶、配偶子女的工作安排以及出国（境）、旅游等提供方便。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（四）不准以任何理由为发包人、相关单位或个人组织有可能影响公正执行公务的宴请、健身、娱乐等活动。 </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b/>
          <w:bCs/>
          <w:color w:val="auto"/>
          <w:sz w:val="24"/>
          <w:szCs w:val="24"/>
        </w:rPr>
      </w:pPr>
      <w:r>
        <w:rPr>
          <w:rFonts w:hint="eastAsia" w:ascii="宋体" w:hAnsi="宋体" w:eastAsia="宋体" w:cs="宋体"/>
          <w:b/>
          <w:bCs/>
          <w:color w:val="auto"/>
          <w:sz w:val="24"/>
          <w:szCs w:val="24"/>
        </w:rPr>
        <w:t xml:space="preserve">第四条违约责任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 xml:space="preserve">（一）发包人工作人员有违反本责任书第一、二条责任行为的，按照管理权限，依据有关法律法规和规定给予党纪、政纪处分或组织处理；涉嫌犯罪的，移交司法机关追究刑事责任；给承包人单位造成经济损失的，应予以赔偿。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24"/>
          <w:szCs w:val="24"/>
        </w:rPr>
        <w:t>第五条</w:t>
      </w:r>
      <w:r>
        <w:rPr>
          <w:rFonts w:hint="eastAsia" w:ascii="宋体" w:hAnsi="宋体" w:eastAsia="宋体" w:cs="宋体"/>
          <w:color w:val="auto"/>
          <w:sz w:val="24"/>
          <w:szCs w:val="24"/>
        </w:rPr>
        <w:t xml:space="preserve">本责任书作为工程施工合同的附件，与工程施工合同具有同等法律效力。经双方签署后立即生效。 </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24"/>
          <w:szCs w:val="24"/>
        </w:rPr>
        <w:t>第六条</w:t>
      </w:r>
      <w:r>
        <w:rPr>
          <w:rFonts w:hint="eastAsia" w:ascii="宋体" w:hAnsi="宋体" w:eastAsia="宋体" w:cs="宋体"/>
          <w:color w:val="auto"/>
          <w:sz w:val="24"/>
          <w:szCs w:val="24"/>
        </w:rPr>
        <w:t xml:space="preserve">本责任书的有效期为双方签署之日起至该工程项目竣工验收合格时止。 </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textAlignment w:val="auto"/>
        <w:outlineLvl w:val="9"/>
        <w:rPr>
          <w:rFonts w:hint="eastAsia" w:ascii="宋体" w:hAnsi="宋体" w:eastAsia="宋体" w:cs="宋体"/>
          <w:bCs/>
          <w:color w:val="auto"/>
          <w:sz w:val="24"/>
          <w:szCs w:val="24"/>
        </w:rPr>
      </w:pPr>
      <w:r>
        <w:rPr>
          <w:rFonts w:hint="eastAsia" w:ascii="宋体" w:hAnsi="宋体" w:eastAsia="宋体" w:cs="宋体"/>
          <w:b/>
          <w:bCs/>
          <w:color w:val="auto"/>
          <w:sz w:val="24"/>
          <w:szCs w:val="24"/>
        </w:rPr>
        <w:t>第七条</w:t>
      </w:r>
      <w:r>
        <w:rPr>
          <w:rFonts w:hint="eastAsia" w:ascii="宋体" w:hAnsi="宋体" w:eastAsia="宋体" w:cs="宋体"/>
          <w:bCs/>
          <w:color w:val="auto"/>
          <w:sz w:val="24"/>
          <w:szCs w:val="24"/>
        </w:rPr>
        <w:t>本合同正本贰份、副本陆份。合同双方各执正本壹份，副本叁份。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发包人: （盖章）　              承包人:（盖章）</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法定代表人签字： 　　           法定代表人签字：</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或其授权的代理人（签字）：      或其授权的代理人（签字）：</w:t>
      </w:r>
    </w:p>
    <w:p>
      <w:pPr>
        <w:keepNext w:val="0"/>
        <w:keepLines w:val="0"/>
        <w:pageBreakBefore w:val="0"/>
        <w:widowControl w:val="0"/>
        <w:kinsoku/>
        <w:wordWrap/>
        <w:overflowPunct/>
        <w:topLinePunct w:val="0"/>
        <w:autoSpaceDE/>
        <w:autoSpaceDN/>
        <w:bidi w:val="0"/>
        <w:adjustRightInd/>
        <w:snapToGrid/>
        <w:spacing w:line="480" w:lineRule="exact"/>
        <w:ind w:firstLine="240" w:firstLineChars="100"/>
        <w:textAlignment w:val="auto"/>
        <w:outlineLvl w:val="9"/>
        <w:rPr>
          <w:rFonts w:hint="eastAsia" w:ascii="宋体" w:hAnsi="宋体" w:eastAsia="宋体" w:cs="宋体"/>
          <w:b/>
          <w:color w:val="auto"/>
          <w:kern w:val="0"/>
          <w:sz w:val="30"/>
          <w:szCs w:val="30"/>
        </w:rPr>
      </w:pPr>
      <w:r>
        <w:rPr>
          <w:rFonts w:hint="eastAsia" w:ascii="宋体" w:hAnsi="宋体" w:eastAsia="宋体" w:cs="宋体"/>
          <w:color w:val="auto"/>
          <w:sz w:val="24"/>
          <w:szCs w:val="24"/>
        </w:rPr>
        <w:t xml:space="preserve"> 年    月   日                    年    月   日</w:t>
      </w:r>
    </w:p>
    <w:p>
      <w:pPr>
        <w:pStyle w:val="211"/>
        <w:rPr>
          <w:rFonts w:hint="eastAsia" w:ascii="宋体" w:hAnsi="宋体" w:eastAsia="宋体" w:cs="宋体"/>
          <w:color w:val="auto"/>
          <w:highlight w:val="none"/>
        </w:rPr>
      </w:pPr>
      <w:bookmarkStart w:id="557" w:name="_Toc22285"/>
      <w:r>
        <w:rPr>
          <w:rFonts w:hint="eastAsia" w:ascii="宋体" w:hAnsi="宋体" w:eastAsia="宋体" w:cs="宋体"/>
          <w:color w:val="auto"/>
          <w:highlight w:val="none"/>
        </w:rPr>
        <w:t>第五章  投标文件构成及格式</w:t>
      </w:r>
      <w:bookmarkEnd w:id="557"/>
    </w:p>
    <w:p>
      <w:pPr>
        <w:spacing w:line="440" w:lineRule="exact"/>
        <w:jc w:val="center"/>
        <w:rPr>
          <w:rFonts w:hint="eastAsia" w:ascii="宋体" w:hAnsi="宋体" w:eastAsia="宋体" w:cs="宋体"/>
          <w:b/>
          <w:color w:val="auto"/>
          <w:sz w:val="30"/>
          <w:szCs w:val="30"/>
          <w:highlight w:val="none"/>
        </w:rPr>
      </w:pPr>
    </w:p>
    <w:p>
      <w:pPr>
        <w:spacing w:line="440" w:lineRule="exact"/>
        <w:jc w:val="right"/>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正本/副本</w:t>
      </w:r>
    </w:p>
    <w:p>
      <w:pPr>
        <w:tabs>
          <w:tab w:val="left" w:pos="5670"/>
        </w:tabs>
        <w:autoSpaceDE w:val="0"/>
        <w:autoSpaceDN w:val="0"/>
        <w:adjustRightInd w:val="0"/>
        <w:snapToGrid w:val="0"/>
        <w:jc w:val="center"/>
        <w:rPr>
          <w:rFonts w:hint="eastAsia" w:ascii="宋体" w:hAnsi="宋体" w:eastAsia="宋体" w:cs="宋体"/>
          <w:b/>
          <w:color w:val="auto"/>
          <w:sz w:val="48"/>
          <w:szCs w:val="48"/>
          <w:highlight w:val="none"/>
        </w:rPr>
      </w:pPr>
    </w:p>
    <w:p>
      <w:pPr>
        <w:tabs>
          <w:tab w:val="left" w:pos="5670"/>
        </w:tabs>
        <w:autoSpaceDE w:val="0"/>
        <w:autoSpaceDN w:val="0"/>
        <w:adjustRightInd w:val="0"/>
        <w:snapToGrid w:val="0"/>
        <w:jc w:val="center"/>
        <w:rPr>
          <w:rFonts w:hint="eastAsia" w:ascii="宋体" w:hAnsi="宋体" w:eastAsia="宋体" w:cs="宋体"/>
          <w:b/>
          <w:color w:val="auto"/>
          <w:sz w:val="36"/>
          <w:szCs w:val="36"/>
          <w:highlight w:val="none"/>
          <w:lang w:eastAsia="zh-CN"/>
        </w:rPr>
      </w:pPr>
      <w:r>
        <w:rPr>
          <w:rFonts w:hint="eastAsia" w:ascii="宋体" w:hAnsi="宋体" w:cs="宋体"/>
          <w:b/>
          <w:color w:val="auto"/>
          <w:sz w:val="36"/>
          <w:szCs w:val="36"/>
          <w:highlight w:val="none"/>
          <w:lang w:eastAsia="zh-CN"/>
        </w:rPr>
        <w:t>富平县灯饰修缮工程</w:t>
      </w:r>
      <w:r>
        <w:rPr>
          <w:rFonts w:hint="eastAsia" w:ascii="宋体" w:hAnsi="宋体" w:eastAsia="宋体" w:cs="宋体"/>
          <w:b/>
          <w:color w:val="auto"/>
          <w:sz w:val="36"/>
          <w:szCs w:val="36"/>
          <w:highlight w:val="none"/>
          <w:lang w:eastAsia="zh-CN"/>
        </w:rPr>
        <w:t>施工招标</w:t>
      </w:r>
    </w:p>
    <w:p>
      <w:pPr>
        <w:spacing w:line="960" w:lineRule="exact"/>
        <w:jc w:val="center"/>
        <w:rPr>
          <w:rFonts w:hint="eastAsia" w:ascii="宋体" w:hAnsi="宋体" w:eastAsia="宋体" w:cs="宋体"/>
          <w:b/>
          <w:snapToGrid w:val="0"/>
          <w:color w:val="auto"/>
          <w:kern w:val="0"/>
          <w:sz w:val="52"/>
          <w:szCs w:val="52"/>
          <w:highlight w:val="none"/>
        </w:rPr>
      </w:pPr>
    </w:p>
    <w:p>
      <w:pPr>
        <w:jc w:val="center"/>
        <w:rPr>
          <w:rFonts w:hint="eastAsia" w:ascii="宋体" w:hAnsi="宋体" w:eastAsia="宋体" w:cs="宋体"/>
          <w:b/>
          <w:color w:val="auto"/>
          <w:spacing w:val="20"/>
          <w:sz w:val="100"/>
          <w:szCs w:val="100"/>
          <w:highlight w:val="none"/>
        </w:rPr>
      </w:pPr>
      <w:r>
        <w:rPr>
          <w:rFonts w:hint="eastAsia" w:ascii="宋体" w:hAnsi="宋体" w:eastAsia="宋体" w:cs="宋体"/>
          <w:b/>
          <w:color w:val="auto"/>
          <w:spacing w:val="20"/>
          <w:sz w:val="100"/>
          <w:szCs w:val="100"/>
          <w:highlight w:val="none"/>
        </w:rPr>
        <w:t>投 标 文 件</w:t>
      </w:r>
    </w:p>
    <w:p>
      <w:pPr>
        <w:spacing w:line="440" w:lineRule="exact"/>
        <w:ind w:firstLine="2108" w:firstLineChars="700"/>
        <w:rPr>
          <w:rFonts w:hint="eastAsia" w:ascii="宋体" w:hAnsi="宋体" w:eastAsia="宋体" w:cs="宋体"/>
          <w:b/>
          <w:color w:val="auto"/>
          <w:sz w:val="30"/>
          <w:szCs w:val="30"/>
          <w:highlight w:val="none"/>
        </w:rPr>
      </w:pPr>
    </w:p>
    <w:p>
      <w:pPr>
        <w:spacing w:line="440" w:lineRule="exact"/>
        <w:ind w:firstLine="2108" w:firstLineChars="700"/>
        <w:rPr>
          <w:rFonts w:hint="eastAsia" w:ascii="宋体" w:hAnsi="宋体" w:eastAsia="宋体" w:cs="宋体"/>
          <w:b/>
          <w:color w:val="auto"/>
          <w:sz w:val="30"/>
          <w:szCs w:val="30"/>
          <w:highlight w:val="none"/>
        </w:rPr>
      </w:pPr>
    </w:p>
    <w:p>
      <w:pPr>
        <w:spacing w:line="440" w:lineRule="exact"/>
        <w:ind w:firstLine="2108" w:firstLineChars="700"/>
        <w:rPr>
          <w:rFonts w:hint="eastAsia" w:ascii="宋体" w:hAnsi="宋体" w:eastAsia="宋体" w:cs="宋体"/>
          <w:b/>
          <w:color w:val="auto"/>
          <w:sz w:val="30"/>
          <w:szCs w:val="30"/>
          <w:highlight w:val="none"/>
        </w:rPr>
      </w:pPr>
    </w:p>
    <w:p>
      <w:pPr>
        <w:spacing w:line="440" w:lineRule="exact"/>
        <w:ind w:firstLine="2108" w:firstLineChars="700"/>
        <w:rPr>
          <w:rFonts w:hint="eastAsia" w:ascii="宋体" w:hAnsi="宋体" w:eastAsia="宋体" w:cs="宋体"/>
          <w:b/>
          <w:color w:val="auto"/>
          <w:sz w:val="30"/>
          <w:szCs w:val="30"/>
          <w:highlight w:val="none"/>
        </w:rPr>
      </w:pPr>
    </w:p>
    <w:p>
      <w:pPr>
        <w:spacing w:line="440" w:lineRule="exact"/>
        <w:ind w:firstLine="2108" w:firstLineChars="700"/>
        <w:rPr>
          <w:rFonts w:hint="eastAsia" w:ascii="宋体" w:hAnsi="宋体" w:eastAsia="宋体" w:cs="宋体"/>
          <w:b/>
          <w:color w:val="auto"/>
          <w:sz w:val="30"/>
          <w:szCs w:val="30"/>
          <w:highlight w:val="none"/>
        </w:rPr>
      </w:pPr>
    </w:p>
    <w:p>
      <w:pPr>
        <w:spacing w:line="440" w:lineRule="exact"/>
        <w:ind w:firstLine="2108" w:firstLineChars="700"/>
        <w:rPr>
          <w:rFonts w:hint="eastAsia" w:ascii="宋体" w:hAnsi="宋体" w:eastAsia="宋体" w:cs="宋体"/>
          <w:b/>
          <w:color w:val="auto"/>
          <w:sz w:val="30"/>
          <w:szCs w:val="30"/>
          <w:highlight w:val="none"/>
        </w:rPr>
      </w:pPr>
    </w:p>
    <w:p>
      <w:pPr>
        <w:pStyle w:val="2"/>
        <w:rPr>
          <w:rFonts w:hint="eastAsia" w:ascii="宋体" w:hAnsi="宋体" w:eastAsia="宋体" w:cs="宋体"/>
          <w:color w:val="auto"/>
          <w:highlight w:val="none"/>
        </w:rPr>
      </w:pPr>
    </w:p>
    <w:p>
      <w:pPr>
        <w:spacing w:line="440" w:lineRule="exact"/>
        <w:ind w:firstLine="2108" w:firstLineChars="700"/>
        <w:rPr>
          <w:rFonts w:hint="eastAsia" w:ascii="宋体" w:hAnsi="宋体" w:eastAsia="宋体" w:cs="宋体"/>
          <w:b/>
          <w:color w:val="auto"/>
          <w:sz w:val="30"/>
          <w:szCs w:val="30"/>
          <w:highlight w:val="none"/>
        </w:rPr>
      </w:pPr>
    </w:p>
    <w:p>
      <w:pPr>
        <w:spacing w:after="240" w:afterLines="100" w:line="500" w:lineRule="exact"/>
        <w:ind w:firstLine="1101" w:firstLineChars="367"/>
        <w:rPr>
          <w:rFonts w:hint="eastAsia" w:ascii="宋体" w:hAnsi="宋体" w:eastAsia="宋体" w:cs="宋体"/>
          <w:color w:val="auto"/>
          <w:sz w:val="30"/>
          <w:highlight w:val="none"/>
          <w:u w:val="single"/>
        </w:rPr>
      </w:pPr>
      <w:r>
        <w:rPr>
          <w:rFonts w:hint="eastAsia" w:ascii="宋体" w:hAnsi="宋体" w:eastAsia="宋体" w:cs="宋体"/>
          <w:color w:val="auto"/>
          <w:sz w:val="30"/>
          <w:highlight w:val="none"/>
        </w:rPr>
        <w:t>采购项目编号：</w:t>
      </w:r>
      <w:r>
        <w:rPr>
          <w:rFonts w:hint="eastAsia" w:ascii="宋体" w:hAnsi="宋体" w:eastAsia="宋体" w:cs="宋体"/>
          <w:color w:val="auto"/>
          <w:sz w:val="30"/>
          <w:highlight w:val="none"/>
          <w:u w:val="single"/>
        </w:rPr>
        <w:t xml:space="preserve">         </w:t>
      </w:r>
      <w:r>
        <w:rPr>
          <w:rFonts w:hint="eastAsia" w:hAnsi="宋体" w:cs="宋体"/>
          <w:color w:val="auto"/>
          <w:sz w:val="30"/>
          <w:highlight w:val="none"/>
          <w:u w:val="single"/>
          <w:lang w:eastAsia="zh-CN"/>
        </w:rPr>
        <w:t>HMGJ-DL-2021-064</w:t>
      </w:r>
      <w:r>
        <w:rPr>
          <w:rFonts w:hint="eastAsia" w:ascii="宋体" w:hAnsi="宋体" w:eastAsia="宋体" w:cs="宋体"/>
          <w:color w:val="auto"/>
          <w:sz w:val="30"/>
          <w:highlight w:val="none"/>
          <w:u w:val="single"/>
        </w:rPr>
        <w:t xml:space="preserve">        </w:t>
      </w:r>
    </w:p>
    <w:p>
      <w:pPr>
        <w:spacing w:after="240" w:afterLines="100" w:line="500" w:lineRule="exact"/>
        <w:ind w:firstLine="1101" w:firstLineChars="367"/>
        <w:rPr>
          <w:rFonts w:hint="eastAsia" w:ascii="宋体" w:hAnsi="宋体" w:eastAsia="宋体" w:cs="宋体"/>
          <w:color w:val="auto"/>
          <w:sz w:val="30"/>
          <w:highlight w:val="none"/>
          <w:u w:val="single"/>
          <w:vertAlign w:val="subscript"/>
        </w:rPr>
      </w:pPr>
      <w:r>
        <w:rPr>
          <w:rFonts w:hint="eastAsia" w:ascii="宋体" w:hAnsi="宋体" w:cs="宋体"/>
          <w:color w:val="auto"/>
          <w:sz w:val="30"/>
          <w:highlight w:val="none"/>
          <w:lang w:eastAsia="zh-CN"/>
        </w:rPr>
        <w:t>投标人</w:t>
      </w:r>
      <w:r>
        <w:rPr>
          <w:rFonts w:hint="eastAsia" w:ascii="宋体" w:hAnsi="宋体" w:eastAsia="宋体" w:cs="宋体"/>
          <w:color w:val="auto"/>
          <w:sz w:val="30"/>
          <w:highlight w:val="none"/>
        </w:rPr>
        <w:t>全称：</w:t>
      </w:r>
      <w:r>
        <w:rPr>
          <w:rFonts w:hint="eastAsia" w:ascii="宋体" w:hAnsi="宋体" w:eastAsia="宋体" w:cs="宋体"/>
          <w:color w:val="auto"/>
          <w:sz w:val="30"/>
          <w:highlight w:val="none"/>
          <w:u w:val="single"/>
        </w:rPr>
        <w:t xml:space="preserve">                         （盖章）  </w:t>
      </w:r>
    </w:p>
    <w:p>
      <w:pPr>
        <w:spacing w:line="500" w:lineRule="exact"/>
        <w:ind w:firstLine="1101" w:firstLineChars="367"/>
        <w:rPr>
          <w:rFonts w:hint="eastAsia" w:ascii="宋体" w:hAnsi="宋体" w:eastAsia="宋体" w:cs="宋体"/>
          <w:color w:val="auto"/>
          <w:sz w:val="30"/>
          <w:highlight w:val="none"/>
        </w:rPr>
      </w:pPr>
      <w:r>
        <w:rPr>
          <w:rFonts w:hint="eastAsia" w:ascii="宋体" w:hAnsi="宋体" w:eastAsia="宋体" w:cs="宋体"/>
          <w:color w:val="auto"/>
          <w:sz w:val="30"/>
          <w:highlight w:val="none"/>
        </w:rPr>
        <w:t>法定代表人</w:t>
      </w:r>
    </w:p>
    <w:p>
      <w:pPr>
        <w:spacing w:line="500" w:lineRule="exact"/>
        <w:ind w:firstLine="1101" w:firstLineChars="367"/>
        <w:rPr>
          <w:rFonts w:hint="eastAsia" w:ascii="宋体" w:hAnsi="宋体" w:eastAsia="宋体" w:cs="宋体"/>
          <w:color w:val="auto"/>
          <w:sz w:val="30"/>
          <w:highlight w:val="none"/>
        </w:rPr>
      </w:pPr>
      <w:r>
        <w:rPr>
          <w:rFonts w:hint="eastAsia" w:ascii="宋体" w:hAnsi="宋体" w:eastAsia="宋体" w:cs="宋体"/>
          <w:color w:val="auto"/>
          <w:sz w:val="30"/>
          <w:highlight w:val="none"/>
        </w:rPr>
        <w:t>或其委托代理人：</w:t>
      </w:r>
      <w:r>
        <w:rPr>
          <w:rFonts w:hint="eastAsia" w:ascii="宋体" w:hAnsi="宋体" w:eastAsia="宋体" w:cs="宋体"/>
          <w:color w:val="auto"/>
          <w:sz w:val="30"/>
          <w:highlight w:val="none"/>
          <w:u w:val="single"/>
        </w:rPr>
        <w:t xml:space="preserve">                 （签字或盖章）</w:t>
      </w:r>
    </w:p>
    <w:p>
      <w:pPr>
        <w:spacing w:line="500" w:lineRule="exact"/>
        <w:ind w:left="8" w:leftChars="4" w:firstLine="420" w:firstLineChars="140"/>
        <w:rPr>
          <w:rFonts w:hint="eastAsia" w:ascii="宋体" w:hAnsi="宋体" w:eastAsia="宋体" w:cs="宋体"/>
          <w:color w:val="auto"/>
          <w:sz w:val="30"/>
          <w:highlight w:val="none"/>
        </w:rPr>
      </w:pPr>
      <w:r>
        <w:rPr>
          <w:rFonts w:hint="eastAsia" w:ascii="宋体" w:hAnsi="宋体" w:eastAsia="宋体" w:cs="宋体"/>
          <w:color w:val="auto"/>
          <w:sz w:val="30"/>
          <w:highlight w:val="none"/>
        </w:rPr>
        <w:t xml:space="preserve">             </w:t>
      </w:r>
    </w:p>
    <w:p>
      <w:pPr>
        <w:spacing w:line="500" w:lineRule="exact"/>
        <w:ind w:left="8" w:leftChars="4" w:firstLine="420" w:firstLineChars="140"/>
        <w:rPr>
          <w:rFonts w:hint="eastAsia" w:ascii="宋体" w:hAnsi="宋体" w:eastAsia="宋体" w:cs="宋体"/>
          <w:color w:val="auto"/>
          <w:sz w:val="30"/>
          <w:highlight w:val="none"/>
        </w:rPr>
      </w:pPr>
    </w:p>
    <w:p>
      <w:pPr>
        <w:spacing w:line="500" w:lineRule="exact"/>
        <w:ind w:left="8" w:leftChars="4" w:firstLine="420" w:firstLineChars="140"/>
        <w:jc w:val="center"/>
        <w:rPr>
          <w:rFonts w:hint="eastAsia" w:ascii="宋体" w:hAnsi="宋体" w:eastAsia="宋体" w:cs="宋体"/>
          <w:b/>
          <w:color w:val="auto"/>
          <w:sz w:val="44"/>
          <w:szCs w:val="36"/>
          <w:highlight w:val="none"/>
        </w:rPr>
      </w:pPr>
      <w:r>
        <w:rPr>
          <w:rFonts w:hint="eastAsia" w:ascii="宋体" w:hAnsi="宋体" w:eastAsia="宋体" w:cs="宋体"/>
          <w:color w:val="auto"/>
          <w:sz w:val="30"/>
          <w:highlight w:val="none"/>
        </w:rPr>
        <w:t>年    月    日</w:t>
      </w:r>
    </w:p>
    <w:p>
      <w:pPr>
        <w:pStyle w:val="2"/>
        <w:rPr>
          <w:rFonts w:hint="eastAsia" w:ascii="宋体" w:hAnsi="宋体" w:eastAsia="宋体" w:cs="宋体"/>
          <w:b/>
          <w:color w:val="auto"/>
          <w:sz w:val="48"/>
          <w:szCs w:val="48"/>
          <w:highlight w:val="none"/>
        </w:rPr>
      </w:pPr>
    </w:p>
    <w:p>
      <w:pPr>
        <w:rPr>
          <w:rFonts w:hint="eastAsia" w:ascii="宋体" w:hAnsi="宋体" w:eastAsia="宋体" w:cs="宋体"/>
          <w:color w:val="auto"/>
        </w:rPr>
      </w:pPr>
    </w:p>
    <w:p>
      <w:pPr>
        <w:spacing w:line="600" w:lineRule="auto"/>
        <w:jc w:val="center"/>
        <w:rPr>
          <w:rFonts w:hint="eastAsia" w:ascii="宋体" w:hAnsi="宋体" w:eastAsia="宋体" w:cs="宋体"/>
          <w:b/>
          <w:color w:val="auto"/>
          <w:sz w:val="52"/>
          <w:szCs w:val="52"/>
          <w:highlight w:val="none"/>
        </w:rPr>
      </w:pPr>
    </w:p>
    <w:p>
      <w:pPr>
        <w:spacing w:line="600" w:lineRule="auto"/>
        <w:jc w:val="center"/>
        <w:rPr>
          <w:rFonts w:hint="eastAsia" w:ascii="宋体" w:hAnsi="宋体" w:eastAsia="宋体" w:cs="宋体"/>
          <w:b/>
          <w:color w:val="auto"/>
          <w:sz w:val="52"/>
          <w:szCs w:val="52"/>
          <w:highlight w:val="none"/>
        </w:rPr>
      </w:pPr>
      <w:r>
        <w:rPr>
          <w:rFonts w:hint="eastAsia" w:ascii="宋体" w:hAnsi="宋体" w:eastAsia="宋体" w:cs="宋体"/>
          <w:b/>
          <w:color w:val="auto"/>
          <w:sz w:val="52"/>
          <w:szCs w:val="52"/>
          <w:highlight w:val="none"/>
        </w:rPr>
        <w:t>目 录</w:t>
      </w:r>
    </w:p>
    <w:p>
      <w:pPr>
        <w:keepNext w:val="0"/>
        <w:keepLines w:val="0"/>
        <w:pageBreakBefore w:val="0"/>
        <w:widowControl w:val="0"/>
        <w:kinsoku/>
        <w:wordWrap/>
        <w:overflowPunct/>
        <w:topLinePunct w:val="0"/>
        <w:autoSpaceDE/>
        <w:autoSpaceDN/>
        <w:bidi w:val="0"/>
        <w:adjustRightInd/>
        <w:snapToGrid/>
        <w:spacing w:line="600" w:lineRule="auto"/>
        <w:ind w:left="0" w:leftChars="0" w:firstLine="639" w:firstLineChars="195"/>
        <w:textAlignment w:val="auto"/>
        <w:rPr>
          <w:rFonts w:hint="eastAsia" w:ascii="宋体" w:hAnsi="宋体" w:eastAsia="宋体" w:cs="宋体"/>
          <w:color w:val="auto"/>
          <w:spacing w:val="4"/>
          <w:sz w:val="32"/>
          <w:szCs w:val="32"/>
          <w:highlight w:val="none"/>
        </w:rPr>
      </w:pPr>
      <w:bookmarkStart w:id="558" w:name="_Toc418933131"/>
      <w:bookmarkStart w:id="559" w:name="_Toc57904274"/>
      <w:r>
        <w:rPr>
          <w:rFonts w:hint="eastAsia" w:ascii="宋体" w:hAnsi="宋体" w:eastAsia="宋体" w:cs="宋体"/>
          <w:color w:val="auto"/>
          <w:spacing w:val="4"/>
          <w:sz w:val="32"/>
          <w:szCs w:val="32"/>
          <w:highlight w:val="none"/>
          <w:lang w:eastAsia="zh-CN"/>
        </w:rPr>
        <w:t>一、投标函及投标函附录</w:t>
      </w:r>
    </w:p>
    <w:p>
      <w:pPr>
        <w:keepNext w:val="0"/>
        <w:keepLines w:val="0"/>
        <w:pageBreakBefore w:val="0"/>
        <w:widowControl w:val="0"/>
        <w:kinsoku/>
        <w:wordWrap/>
        <w:overflowPunct/>
        <w:topLinePunct w:val="0"/>
        <w:autoSpaceDE/>
        <w:autoSpaceDN/>
        <w:bidi w:val="0"/>
        <w:adjustRightInd/>
        <w:snapToGrid/>
        <w:spacing w:line="600" w:lineRule="auto"/>
        <w:ind w:left="0" w:leftChars="0" w:firstLine="639" w:firstLineChars="195"/>
        <w:textAlignment w:val="auto"/>
        <w:rPr>
          <w:rFonts w:hint="eastAsia" w:ascii="宋体" w:hAnsi="宋体" w:eastAsia="宋体" w:cs="宋体"/>
          <w:color w:val="auto"/>
          <w:spacing w:val="4"/>
          <w:sz w:val="32"/>
          <w:szCs w:val="32"/>
          <w:highlight w:val="none"/>
        </w:rPr>
      </w:pPr>
      <w:r>
        <w:rPr>
          <w:rFonts w:hint="eastAsia" w:ascii="宋体" w:hAnsi="宋体" w:eastAsia="宋体" w:cs="宋体"/>
          <w:color w:val="auto"/>
          <w:spacing w:val="4"/>
          <w:sz w:val="32"/>
          <w:szCs w:val="32"/>
          <w:highlight w:val="none"/>
          <w:lang w:eastAsia="zh-CN"/>
        </w:rPr>
        <w:t>二、</w:t>
      </w:r>
      <w:r>
        <w:rPr>
          <w:rFonts w:hint="eastAsia" w:ascii="宋体" w:hAnsi="宋体" w:eastAsia="宋体" w:cs="宋体"/>
          <w:color w:val="auto"/>
          <w:spacing w:val="4"/>
          <w:sz w:val="32"/>
          <w:szCs w:val="32"/>
          <w:highlight w:val="none"/>
        </w:rPr>
        <w:t>法定代表人身份证明书和法定代表人授权委托书</w:t>
      </w:r>
    </w:p>
    <w:p>
      <w:pPr>
        <w:keepNext w:val="0"/>
        <w:keepLines w:val="0"/>
        <w:pageBreakBefore w:val="0"/>
        <w:widowControl w:val="0"/>
        <w:kinsoku/>
        <w:wordWrap/>
        <w:overflowPunct/>
        <w:topLinePunct w:val="0"/>
        <w:autoSpaceDE/>
        <w:autoSpaceDN/>
        <w:bidi w:val="0"/>
        <w:adjustRightInd/>
        <w:snapToGrid/>
        <w:spacing w:line="600" w:lineRule="auto"/>
        <w:ind w:left="0" w:leftChars="0" w:firstLine="639" w:firstLineChars="195"/>
        <w:textAlignment w:val="auto"/>
        <w:rPr>
          <w:rFonts w:hint="eastAsia" w:ascii="宋体" w:hAnsi="宋体" w:eastAsia="宋体" w:cs="宋体"/>
          <w:color w:val="auto"/>
          <w:spacing w:val="4"/>
          <w:sz w:val="32"/>
          <w:szCs w:val="32"/>
          <w:highlight w:val="none"/>
          <w:lang w:eastAsia="zh-CN"/>
        </w:rPr>
      </w:pPr>
      <w:r>
        <w:rPr>
          <w:rFonts w:hint="eastAsia" w:ascii="宋体" w:hAnsi="宋体" w:eastAsia="宋体" w:cs="宋体"/>
          <w:color w:val="auto"/>
          <w:spacing w:val="4"/>
          <w:sz w:val="32"/>
          <w:szCs w:val="32"/>
          <w:highlight w:val="none"/>
          <w:lang w:eastAsia="zh-CN"/>
        </w:rPr>
        <w:t>三、投标人资格证明材料</w:t>
      </w:r>
    </w:p>
    <w:p>
      <w:pPr>
        <w:keepNext w:val="0"/>
        <w:keepLines w:val="0"/>
        <w:pageBreakBefore w:val="0"/>
        <w:widowControl w:val="0"/>
        <w:kinsoku/>
        <w:wordWrap/>
        <w:overflowPunct/>
        <w:topLinePunct w:val="0"/>
        <w:autoSpaceDE/>
        <w:autoSpaceDN/>
        <w:bidi w:val="0"/>
        <w:adjustRightInd/>
        <w:snapToGrid/>
        <w:spacing w:line="600" w:lineRule="auto"/>
        <w:ind w:left="0" w:leftChars="0" w:firstLine="639" w:firstLineChars="195"/>
        <w:textAlignment w:val="auto"/>
        <w:rPr>
          <w:rFonts w:hint="eastAsia" w:ascii="宋体" w:hAnsi="宋体" w:eastAsia="宋体" w:cs="宋体"/>
          <w:color w:val="auto"/>
          <w:spacing w:val="4"/>
          <w:sz w:val="32"/>
          <w:szCs w:val="32"/>
          <w:highlight w:val="none"/>
          <w:lang w:eastAsia="zh-CN"/>
        </w:rPr>
      </w:pPr>
      <w:r>
        <w:rPr>
          <w:rFonts w:hint="eastAsia" w:ascii="宋体" w:hAnsi="宋体" w:eastAsia="宋体" w:cs="宋体"/>
          <w:color w:val="auto"/>
          <w:spacing w:val="4"/>
          <w:sz w:val="32"/>
          <w:szCs w:val="32"/>
          <w:highlight w:val="none"/>
          <w:lang w:eastAsia="zh-CN"/>
        </w:rPr>
        <w:t>四、近年</w:t>
      </w:r>
      <w:r>
        <w:rPr>
          <w:rFonts w:hint="eastAsia" w:ascii="宋体" w:hAnsi="宋体" w:eastAsia="宋体" w:cs="宋体"/>
          <w:color w:val="auto"/>
          <w:spacing w:val="4"/>
          <w:sz w:val="32"/>
          <w:szCs w:val="32"/>
          <w:highlight w:val="none"/>
        </w:rPr>
        <w:t>类似业绩</w:t>
      </w:r>
    </w:p>
    <w:p>
      <w:pPr>
        <w:keepNext w:val="0"/>
        <w:keepLines w:val="0"/>
        <w:pageBreakBefore w:val="0"/>
        <w:widowControl w:val="0"/>
        <w:kinsoku/>
        <w:wordWrap/>
        <w:overflowPunct/>
        <w:topLinePunct w:val="0"/>
        <w:autoSpaceDE/>
        <w:autoSpaceDN/>
        <w:bidi w:val="0"/>
        <w:adjustRightInd/>
        <w:snapToGrid/>
        <w:spacing w:line="600" w:lineRule="auto"/>
        <w:ind w:left="0" w:leftChars="0" w:firstLine="639" w:firstLineChars="195"/>
        <w:textAlignment w:val="auto"/>
        <w:rPr>
          <w:rFonts w:hint="eastAsia" w:ascii="宋体" w:hAnsi="宋体" w:eastAsia="宋体" w:cs="宋体"/>
          <w:color w:val="auto"/>
          <w:spacing w:val="4"/>
          <w:sz w:val="32"/>
          <w:szCs w:val="32"/>
          <w:highlight w:val="none"/>
          <w:lang w:eastAsia="zh-CN"/>
        </w:rPr>
      </w:pPr>
      <w:r>
        <w:rPr>
          <w:rFonts w:hint="eastAsia" w:ascii="宋体" w:hAnsi="宋体" w:eastAsia="宋体" w:cs="宋体"/>
          <w:color w:val="auto"/>
          <w:spacing w:val="4"/>
          <w:sz w:val="32"/>
          <w:szCs w:val="32"/>
          <w:highlight w:val="none"/>
          <w:lang w:eastAsia="zh-CN"/>
        </w:rPr>
        <w:t>五、施工组织设计</w:t>
      </w:r>
    </w:p>
    <w:p>
      <w:pPr>
        <w:keepNext w:val="0"/>
        <w:keepLines w:val="0"/>
        <w:pageBreakBefore w:val="0"/>
        <w:widowControl w:val="0"/>
        <w:kinsoku/>
        <w:wordWrap/>
        <w:overflowPunct/>
        <w:topLinePunct w:val="0"/>
        <w:autoSpaceDE/>
        <w:autoSpaceDN/>
        <w:bidi w:val="0"/>
        <w:adjustRightInd/>
        <w:snapToGrid/>
        <w:spacing w:line="600" w:lineRule="auto"/>
        <w:ind w:left="0" w:leftChars="0" w:firstLine="639" w:firstLineChars="195"/>
        <w:textAlignment w:val="auto"/>
        <w:rPr>
          <w:rFonts w:hint="eastAsia" w:ascii="宋体" w:hAnsi="宋体" w:eastAsia="宋体" w:cs="宋体"/>
          <w:color w:val="auto"/>
          <w:spacing w:val="4"/>
          <w:sz w:val="32"/>
          <w:szCs w:val="32"/>
          <w:highlight w:val="none"/>
        </w:rPr>
      </w:pPr>
      <w:r>
        <w:rPr>
          <w:rFonts w:hint="eastAsia" w:ascii="宋体" w:hAnsi="宋体" w:eastAsia="宋体" w:cs="宋体"/>
          <w:color w:val="auto"/>
          <w:spacing w:val="4"/>
          <w:sz w:val="32"/>
          <w:szCs w:val="32"/>
          <w:highlight w:val="none"/>
          <w:lang w:eastAsia="zh-CN"/>
        </w:rPr>
        <w:t>六</w:t>
      </w:r>
      <w:r>
        <w:rPr>
          <w:rFonts w:hint="eastAsia" w:ascii="宋体" w:hAnsi="宋体" w:eastAsia="宋体" w:cs="宋体"/>
          <w:color w:val="auto"/>
          <w:spacing w:val="4"/>
          <w:sz w:val="32"/>
          <w:szCs w:val="32"/>
          <w:highlight w:val="none"/>
        </w:rPr>
        <w:t>、政府采购</w:t>
      </w:r>
      <w:r>
        <w:rPr>
          <w:rFonts w:hint="eastAsia" w:ascii="宋体" w:hAnsi="宋体" w:eastAsia="宋体" w:cs="宋体"/>
          <w:color w:val="auto"/>
          <w:spacing w:val="4"/>
          <w:sz w:val="32"/>
          <w:szCs w:val="32"/>
          <w:highlight w:val="none"/>
          <w:lang w:eastAsia="zh-CN"/>
        </w:rPr>
        <w:t>投标人</w:t>
      </w:r>
      <w:r>
        <w:rPr>
          <w:rFonts w:hint="eastAsia" w:ascii="宋体" w:hAnsi="宋体" w:eastAsia="宋体" w:cs="宋体"/>
          <w:color w:val="auto"/>
          <w:spacing w:val="4"/>
          <w:sz w:val="32"/>
          <w:szCs w:val="32"/>
          <w:highlight w:val="none"/>
        </w:rPr>
        <w:t>拒绝政府采购领域商业贿赂承诺书</w:t>
      </w:r>
    </w:p>
    <w:p>
      <w:pPr>
        <w:keepNext w:val="0"/>
        <w:keepLines w:val="0"/>
        <w:pageBreakBefore w:val="0"/>
        <w:widowControl w:val="0"/>
        <w:kinsoku/>
        <w:wordWrap/>
        <w:overflowPunct/>
        <w:topLinePunct w:val="0"/>
        <w:autoSpaceDE/>
        <w:autoSpaceDN/>
        <w:bidi w:val="0"/>
        <w:adjustRightInd/>
        <w:snapToGrid/>
        <w:spacing w:line="600" w:lineRule="auto"/>
        <w:ind w:left="0" w:leftChars="0" w:firstLine="639" w:firstLineChars="195"/>
        <w:textAlignment w:val="auto"/>
        <w:rPr>
          <w:rFonts w:hint="eastAsia" w:ascii="宋体" w:hAnsi="宋体" w:eastAsia="宋体" w:cs="宋体"/>
          <w:color w:val="auto"/>
          <w:spacing w:val="4"/>
          <w:sz w:val="32"/>
          <w:szCs w:val="32"/>
          <w:highlight w:val="none"/>
        </w:rPr>
      </w:pPr>
      <w:r>
        <w:rPr>
          <w:rFonts w:hint="eastAsia" w:ascii="宋体" w:hAnsi="宋体" w:eastAsia="宋体" w:cs="宋体"/>
          <w:color w:val="auto"/>
          <w:spacing w:val="4"/>
          <w:sz w:val="32"/>
          <w:szCs w:val="32"/>
          <w:highlight w:val="none"/>
          <w:lang w:eastAsia="zh-CN"/>
        </w:rPr>
        <w:t>七、</w:t>
      </w:r>
      <w:r>
        <w:rPr>
          <w:rFonts w:hint="eastAsia" w:ascii="宋体" w:hAnsi="宋体" w:eastAsia="宋体" w:cs="宋体"/>
          <w:color w:val="auto"/>
          <w:spacing w:val="4"/>
          <w:sz w:val="32"/>
          <w:szCs w:val="32"/>
          <w:highlight w:val="none"/>
        </w:rPr>
        <w:t>企业声明函</w:t>
      </w:r>
    </w:p>
    <w:p>
      <w:pPr>
        <w:keepNext w:val="0"/>
        <w:keepLines w:val="0"/>
        <w:pageBreakBefore w:val="0"/>
        <w:widowControl w:val="0"/>
        <w:kinsoku/>
        <w:wordWrap/>
        <w:overflowPunct/>
        <w:topLinePunct w:val="0"/>
        <w:autoSpaceDE/>
        <w:autoSpaceDN/>
        <w:bidi w:val="0"/>
        <w:adjustRightInd/>
        <w:snapToGrid/>
        <w:spacing w:line="600" w:lineRule="auto"/>
        <w:ind w:left="0" w:leftChars="0" w:firstLine="639" w:firstLineChars="195"/>
        <w:textAlignment w:val="auto"/>
        <w:rPr>
          <w:rFonts w:hint="eastAsia" w:ascii="宋体" w:hAnsi="宋体" w:eastAsia="宋体" w:cs="宋体"/>
          <w:color w:val="auto"/>
          <w:spacing w:val="4"/>
          <w:sz w:val="32"/>
          <w:szCs w:val="32"/>
          <w:highlight w:val="none"/>
        </w:rPr>
      </w:pPr>
      <w:r>
        <w:rPr>
          <w:rFonts w:hint="eastAsia" w:ascii="宋体" w:hAnsi="宋体" w:eastAsia="宋体" w:cs="宋体"/>
          <w:color w:val="auto"/>
          <w:spacing w:val="4"/>
          <w:sz w:val="32"/>
          <w:szCs w:val="32"/>
          <w:highlight w:val="none"/>
          <w:lang w:eastAsia="zh-CN"/>
        </w:rPr>
        <w:t>八、</w:t>
      </w:r>
      <w:r>
        <w:rPr>
          <w:rFonts w:hint="eastAsia" w:ascii="宋体" w:hAnsi="宋体" w:eastAsia="宋体" w:cs="宋体"/>
          <w:color w:val="auto"/>
          <w:spacing w:val="4"/>
          <w:sz w:val="32"/>
          <w:szCs w:val="32"/>
          <w:highlight w:val="none"/>
        </w:rPr>
        <w:t>已标价工程量清单</w:t>
      </w:r>
    </w:p>
    <w:p>
      <w:pPr>
        <w:pStyle w:val="2"/>
        <w:rPr>
          <w:rFonts w:hint="eastAsia" w:ascii="宋体" w:hAnsi="宋体" w:eastAsia="宋体" w:cs="宋体"/>
          <w:color w:val="auto"/>
          <w:spacing w:val="4"/>
          <w:sz w:val="32"/>
          <w:szCs w:val="32"/>
          <w:highlight w:val="none"/>
        </w:rPr>
      </w:pPr>
    </w:p>
    <w:p>
      <w:pPr>
        <w:rPr>
          <w:rFonts w:hint="eastAsia" w:ascii="宋体" w:hAnsi="宋体" w:eastAsia="宋体" w:cs="宋体"/>
          <w:color w:val="auto"/>
          <w:spacing w:val="4"/>
          <w:sz w:val="32"/>
          <w:szCs w:val="32"/>
          <w:highlight w:val="none"/>
        </w:rPr>
      </w:pPr>
    </w:p>
    <w:p>
      <w:pPr>
        <w:pStyle w:val="2"/>
        <w:rPr>
          <w:rFonts w:hint="eastAsia" w:ascii="宋体" w:hAnsi="宋体" w:eastAsia="宋体" w:cs="宋体"/>
          <w:color w:val="auto"/>
          <w:spacing w:val="4"/>
          <w:sz w:val="32"/>
          <w:szCs w:val="32"/>
          <w:highlight w:val="none"/>
        </w:rPr>
      </w:pPr>
    </w:p>
    <w:p>
      <w:pPr>
        <w:rPr>
          <w:rFonts w:hint="eastAsia" w:ascii="宋体" w:hAnsi="宋体" w:eastAsia="宋体" w:cs="宋体"/>
          <w:color w:val="auto"/>
          <w:spacing w:val="4"/>
          <w:sz w:val="32"/>
          <w:szCs w:val="32"/>
          <w:highlight w:val="none"/>
        </w:rPr>
      </w:pPr>
    </w:p>
    <w:p>
      <w:pPr>
        <w:pStyle w:val="2"/>
        <w:rPr>
          <w:rFonts w:hint="eastAsia" w:ascii="宋体" w:hAnsi="宋体" w:eastAsia="宋体" w:cs="宋体"/>
          <w:color w:val="auto"/>
          <w:spacing w:val="4"/>
          <w:sz w:val="32"/>
          <w:szCs w:val="32"/>
          <w:highlight w:val="none"/>
        </w:rPr>
      </w:pPr>
    </w:p>
    <w:p>
      <w:pPr>
        <w:rPr>
          <w:rFonts w:hint="eastAsia" w:ascii="宋体" w:hAnsi="宋体" w:eastAsia="宋体" w:cs="宋体"/>
          <w:color w:val="auto"/>
          <w:spacing w:val="4"/>
          <w:sz w:val="32"/>
          <w:szCs w:val="32"/>
          <w:highlight w:val="none"/>
        </w:rPr>
      </w:pPr>
    </w:p>
    <w:p>
      <w:pPr>
        <w:pStyle w:val="2"/>
        <w:rPr>
          <w:rFonts w:hint="eastAsia" w:ascii="宋体" w:hAnsi="宋体" w:eastAsia="宋体" w:cs="宋体"/>
          <w:color w:val="auto"/>
          <w:lang w:eastAsia="zh-CN"/>
        </w:rPr>
      </w:pPr>
    </w:p>
    <w:bookmarkEnd w:id="558"/>
    <w:bookmarkEnd w:id="559"/>
    <w:p>
      <w:pPr>
        <w:pStyle w:val="3"/>
        <w:keepLines/>
        <w:spacing w:before="338" w:beforeLines="100" w:after="507" w:afterLines="150" w:line="600" w:lineRule="exact"/>
        <w:rPr>
          <w:rFonts w:hint="eastAsia" w:ascii="宋体" w:hAnsi="宋体" w:eastAsia="宋体" w:cs="宋体"/>
          <w:b/>
          <w:bCs/>
          <w:color w:val="auto"/>
          <w:kern w:val="44"/>
          <w:sz w:val="36"/>
          <w:szCs w:val="36"/>
          <w:highlight w:val="none"/>
          <w:lang w:eastAsia="zh-CN"/>
        </w:rPr>
      </w:pPr>
      <w:bookmarkStart w:id="560" w:name="_Toc198"/>
      <w:r>
        <w:rPr>
          <w:rFonts w:hint="eastAsia" w:ascii="宋体" w:hAnsi="宋体" w:eastAsia="宋体" w:cs="宋体"/>
          <w:b/>
          <w:bCs/>
          <w:color w:val="auto"/>
          <w:kern w:val="44"/>
          <w:sz w:val="36"/>
          <w:szCs w:val="36"/>
          <w:highlight w:val="none"/>
          <w:lang w:eastAsia="zh-CN"/>
        </w:rPr>
        <w:t>一、</w:t>
      </w:r>
      <w:r>
        <w:rPr>
          <w:rFonts w:hint="eastAsia" w:ascii="宋体" w:hAnsi="宋体" w:eastAsia="宋体" w:cs="宋体"/>
          <w:b/>
          <w:bCs/>
          <w:color w:val="auto"/>
          <w:kern w:val="44"/>
          <w:sz w:val="36"/>
          <w:szCs w:val="36"/>
          <w:highlight w:val="none"/>
        </w:rPr>
        <w:t>投标函</w:t>
      </w:r>
      <w:r>
        <w:rPr>
          <w:rFonts w:hint="eastAsia" w:ascii="宋体" w:hAnsi="宋体" w:eastAsia="宋体" w:cs="宋体"/>
          <w:b/>
          <w:bCs/>
          <w:color w:val="auto"/>
          <w:kern w:val="44"/>
          <w:sz w:val="36"/>
          <w:szCs w:val="36"/>
          <w:highlight w:val="none"/>
          <w:lang w:eastAsia="zh-CN"/>
        </w:rPr>
        <w:t>及投标函附录</w:t>
      </w:r>
      <w:bookmarkEnd w:id="560"/>
    </w:p>
    <w:p>
      <w:pPr>
        <w:spacing w:line="560" w:lineRule="exact"/>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（一）投标函</w:t>
      </w:r>
    </w:p>
    <w:p>
      <w:pPr>
        <w:spacing w:line="480" w:lineRule="auto"/>
        <w:rPr>
          <w:rFonts w:hint="eastAsia" w:ascii="宋体" w:hAnsi="宋体" w:eastAsia="宋体" w:cs="宋体"/>
          <w:color w:val="auto"/>
          <w:sz w:val="24"/>
          <w:lang w:eastAsia="zh-CN"/>
        </w:rPr>
      </w:pPr>
      <w:r>
        <w:rPr>
          <w:rFonts w:hint="eastAsia" w:ascii="宋体" w:hAnsi="宋体" w:eastAsia="宋体" w:cs="宋体"/>
          <w:color w:val="auto"/>
          <w:sz w:val="24"/>
          <w:u w:val="single"/>
        </w:rPr>
        <w:t xml:space="preserve">                   </w:t>
      </w:r>
      <w:r>
        <w:rPr>
          <w:rFonts w:hint="eastAsia" w:ascii="宋体" w:hAnsi="宋体" w:eastAsia="宋体" w:cs="宋体"/>
          <w:color w:val="auto"/>
          <w:sz w:val="24"/>
        </w:rPr>
        <w:t>（</w:t>
      </w:r>
      <w:r>
        <w:rPr>
          <w:rFonts w:hint="eastAsia" w:ascii="宋体" w:hAnsi="宋体" w:eastAsia="宋体" w:cs="宋体"/>
          <w:color w:val="auto"/>
          <w:sz w:val="24"/>
          <w:lang w:eastAsia="zh-CN"/>
        </w:rPr>
        <w:t>采购人</w:t>
      </w:r>
      <w:r>
        <w:rPr>
          <w:rFonts w:hint="eastAsia" w:ascii="宋体" w:hAnsi="宋体" w:eastAsia="宋体" w:cs="宋体"/>
          <w:color w:val="auto"/>
          <w:sz w:val="24"/>
        </w:rPr>
        <w:t>名称）</w:t>
      </w:r>
      <w:r>
        <w:rPr>
          <w:rFonts w:hint="eastAsia" w:ascii="宋体" w:hAnsi="宋体" w:eastAsia="宋体" w:cs="宋体"/>
          <w:color w:val="auto"/>
          <w:sz w:val="24"/>
          <w:lang w:eastAsia="zh-CN"/>
        </w:rPr>
        <w:t>：</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1.根据</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u w:val="single"/>
        </w:rPr>
        <w:t xml:space="preserve">（项目名称）         </w:t>
      </w:r>
      <w:r>
        <w:rPr>
          <w:rFonts w:hint="eastAsia" w:ascii="宋体" w:hAnsi="宋体" w:eastAsia="宋体" w:cs="宋体"/>
          <w:color w:val="auto"/>
          <w:sz w:val="24"/>
        </w:rPr>
        <w:t>招标文件，经实地踏勘现场和认真仔细的研究招标文件后，我方愿以(大写)人民币</w:t>
      </w:r>
      <w:r>
        <w:rPr>
          <w:rFonts w:hint="eastAsia" w:ascii="宋体" w:hAnsi="宋体" w:eastAsia="宋体" w:cs="宋体"/>
          <w:color w:val="auto"/>
          <w:sz w:val="24"/>
          <w:u w:val="single"/>
        </w:rPr>
        <w:t xml:space="preserve">         </w:t>
      </w:r>
      <w:r>
        <w:rPr>
          <w:rFonts w:hint="eastAsia" w:ascii="宋体" w:hAnsi="宋体" w:eastAsia="宋体" w:cs="宋体"/>
          <w:color w:val="auto"/>
          <w:sz w:val="24"/>
        </w:rPr>
        <w:t>（￥</w:t>
      </w:r>
      <w:r>
        <w:rPr>
          <w:rFonts w:hint="eastAsia" w:ascii="宋体" w:hAnsi="宋体" w:eastAsia="宋体" w:cs="宋体"/>
          <w:color w:val="auto"/>
          <w:sz w:val="24"/>
          <w:u w:val="single"/>
        </w:rPr>
        <w:t xml:space="preserve">          </w:t>
      </w:r>
      <w:r>
        <w:rPr>
          <w:rFonts w:hint="eastAsia" w:ascii="宋体" w:hAnsi="宋体" w:eastAsia="宋体" w:cs="宋体"/>
          <w:color w:val="auto"/>
          <w:sz w:val="24"/>
        </w:rPr>
        <w:t>）的投标总报价（其中：措施项目费(大写)人民币</w:t>
      </w:r>
      <w:r>
        <w:rPr>
          <w:rFonts w:hint="eastAsia" w:ascii="宋体" w:hAnsi="宋体" w:eastAsia="宋体" w:cs="宋体"/>
          <w:color w:val="auto"/>
          <w:sz w:val="24"/>
          <w:u w:val="single"/>
        </w:rPr>
        <w:t xml:space="preserve">           </w:t>
      </w:r>
      <w:r>
        <w:rPr>
          <w:rFonts w:hint="eastAsia" w:ascii="宋体" w:hAnsi="宋体" w:eastAsia="宋体" w:cs="宋体"/>
          <w:color w:val="auto"/>
          <w:sz w:val="24"/>
        </w:rPr>
        <w:t>，（￥</w:t>
      </w:r>
      <w:r>
        <w:rPr>
          <w:rFonts w:hint="eastAsia" w:ascii="宋体" w:hAnsi="宋体" w:eastAsia="宋体" w:cs="宋体"/>
          <w:color w:val="auto"/>
          <w:sz w:val="24"/>
          <w:u w:val="single"/>
        </w:rPr>
        <w:t xml:space="preserve">         </w:t>
      </w:r>
      <w:r>
        <w:rPr>
          <w:rFonts w:hint="eastAsia" w:ascii="宋体" w:hAnsi="宋体" w:eastAsia="宋体" w:cs="宋体"/>
          <w:color w:val="auto"/>
          <w:sz w:val="24"/>
        </w:rPr>
        <w:t>），安全文明施工措施费 (大写)人民币</w:t>
      </w:r>
      <w:r>
        <w:rPr>
          <w:rFonts w:hint="eastAsia" w:ascii="宋体" w:hAnsi="宋体" w:eastAsia="宋体" w:cs="宋体"/>
          <w:color w:val="auto"/>
          <w:sz w:val="24"/>
          <w:u w:val="single"/>
        </w:rPr>
        <w:t xml:space="preserve">                </w:t>
      </w:r>
      <w:r>
        <w:rPr>
          <w:rFonts w:hint="eastAsia" w:ascii="宋体" w:hAnsi="宋体" w:eastAsia="宋体" w:cs="宋体"/>
          <w:color w:val="auto"/>
          <w:sz w:val="24"/>
        </w:rPr>
        <w:t>，（￥</w:t>
      </w:r>
      <w:r>
        <w:rPr>
          <w:rFonts w:hint="eastAsia" w:ascii="宋体" w:hAnsi="宋体" w:eastAsia="宋体" w:cs="宋体"/>
          <w:color w:val="auto"/>
          <w:sz w:val="24"/>
          <w:u w:val="single"/>
        </w:rPr>
        <w:t xml:space="preserve">             </w:t>
      </w:r>
      <w:r>
        <w:rPr>
          <w:rFonts w:hint="eastAsia" w:ascii="宋体" w:hAnsi="宋体" w:eastAsia="宋体" w:cs="宋体"/>
          <w:color w:val="auto"/>
          <w:sz w:val="24"/>
        </w:rPr>
        <w:t>），工期</w:t>
      </w:r>
      <w:r>
        <w:rPr>
          <w:rFonts w:hint="eastAsia" w:ascii="宋体" w:hAnsi="宋体" w:eastAsia="宋体" w:cs="宋体"/>
          <w:color w:val="auto"/>
          <w:sz w:val="24"/>
          <w:u w:val="single"/>
        </w:rPr>
        <w:t xml:space="preserve">      </w:t>
      </w:r>
      <w:r>
        <w:rPr>
          <w:rFonts w:hint="eastAsia" w:ascii="宋体" w:hAnsi="宋体" w:eastAsia="宋体" w:cs="宋体"/>
          <w:color w:val="auto"/>
          <w:sz w:val="24"/>
        </w:rPr>
        <w:t>日历天，按合同约定实施和完成承包工程，修补工程中的任何缺陷，工程质量达到</w:t>
      </w:r>
      <w:r>
        <w:rPr>
          <w:rFonts w:hint="eastAsia" w:ascii="宋体" w:hAnsi="宋体" w:eastAsia="宋体" w:cs="宋体"/>
          <w:color w:val="auto"/>
          <w:sz w:val="24"/>
          <w:u w:val="single"/>
        </w:rPr>
        <w:t xml:space="preserve">        </w:t>
      </w:r>
      <w:r>
        <w:rPr>
          <w:rFonts w:hint="eastAsia" w:ascii="宋体" w:hAnsi="宋体" w:eastAsia="宋体" w:cs="宋体"/>
          <w:color w:val="auto"/>
          <w:sz w:val="24"/>
        </w:rPr>
        <w:t>，项目经理为</w:t>
      </w:r>
      <w:r>
        <w:rPr>
          <w:rFonts w:hint="eastAsia" w:ascii="宋体" w:hAnsi="宋体" w:eastAsia="宋体" w:cs="宋体"/>
          <w:color w:val="auto"/>
          <w:sz w:val="24"/>
          <w:u w:val="single"/>
        </w:rPr>
        <w:t xml:space="preserve">          </w:t>
      </w:r>
      <w:r>
        <w:rPr>
          <w:rFonts w:hint="eastAsia" w:ascii="宋体" w:hAnsi="宋体" w:eastAsia="宋体" w:cs="宋体"/>
          <w:color w:val="auto"/>
          <w:sz w:val="24"/>
        </w:rPr>
        <w:t>。</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2.我方承诺在投标有效期内不修改、撤销投标文件。</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3</w:t>
      </w:r>
      <w:r>
        <w:rPr>
          <w:rFonts w:hint="eastAsia" w:ascii="宋体" w:hAnsi="宋体" w:eastAsia="宋体" w:cs="宋体"/>
          <w:color w:val="auto"/>
          <w:sz w:val="24"/>
        </w:rPr>
        <w:t>.如我方中标：</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(l)我方承诺在收到中标通知书后，在中标通知书规定的期限内与你方签订合同。</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(2)随同本投标函递交的投标函附录属于合同文件的组成部分。</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(3)我方承诺按照招标文件规定向你方递交履约担保。</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(4)我方承诺在合同约定的期限内完成并移交全部合同工程。</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4</w:t>
      </w:r>
      <w:r>
        <w:rPr>
          <w:rFonts w:hint="eastAsia" w:ascii="宋体" w:hAnsi="宋体" w:eastAsia="宋体" w:cs="宋体"/>
          <w:color w:val="auto"/>
          <w:sz w:val="24"/>
        </w:rPr>
        <w:t>.我方在此声明，所递交的投标文件及有关资料内容完整、真实和准确。</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5</w:t>
      </w:r>
      <w:r>
        <w:rPr>
          <w:rFonts w:hint="eastAsia" w:ascii="宋体" w:hAnsi="宋体" w:eastAsia="宋体" w:cs="宋体"/>
          <w:color w:val="auto"/>
          <w:sz w:val="24"/>
        </w:rPr>
        <w:t>.我方已详细审核全部招标文件，包括答疑纪要及有关附件。</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6</w:t>
      </w:r>
      <w:r>
        <w:rPr>
          <w:rFonts w:hint="eastAsia" w:ascii="宋体" w:hAnsi="宋体" w:eastAsia="宋体" w:cs="宋体"/>
          <w:color w:val="auto"/>
          <w:sz w:val="24"/>
        </w:rPr>
        <w:t>.我方保证上述投标报价不低于我单位工程施工的成本价。</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7</w:t>
      </w:r>
      <w:r>
        <w:rPr>
          <w:rFonts w:hint="eastAsia" w:ascii="宋体" w:hAnsi="宋体" w:eastAsia="宋体" w:cs="宋体"/>
          <w:color w:val="auto"/>
          <w:sz w:val="24"/>
        </w:rPr>
        <w:t>.若我方中标，我方保证按投标工期完成并移交全部工程。每拖延一天，按合同约定处罚。</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8</w:t>
      </w:r>
      <w:r>
        <w:rPr>
          <w:rFonts w:hint="eastAsia" w:ascii="宋体" w:hAnsi="宋体" w:eastAsia="宋体" w:cs="宋体"/>
          <w:color w:val="auto"/>
          <w:sz w:val="24"/>
        </w:rPr>
        <w:t>.若我方中标，我方保证工程质量达到投标时质量等级，否则，按合同约定处罚。</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9</w:t>
      </w:r>
      <w:r>
        <w:rPr>
          <w:rFonts w:hint="eastAsia" w:ascii="宋体" w:hAnsi="宋体" w:eastAsia="宋体" w:cs="宋体"/>
          <w:color w:val="auto"/>
          <w:sz w:val="24"/>
        </w:rPr>
        <w:t>.我方同意所提交的投标文件在招标文件的投标须知中第3.3.1条规定的投标有效期内有效，在此期间内如果中标，我方将受此约束。</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val="en-US" w:eastAsia="zh-CN"/>
        </w:rPr>
        <w:t>10</w:t>
      </w:r>
      <w:r>
        <w:rPr>
          <w:rFonts w:hint="eastAsia" w:ascii="宋体" w:hAnsi="宋体" w:eastAsia="宋体" w:cs="宋体"/>
          <w:color w:val="auto"/>
          <w:sz w:val="24"/>
        </w:rPr>
        <w:t>.在合同协议书正式签署生效之前，你方的招标文件、答疑纪要、中标通知书和本投</w:t>
      </w:r>
      <w:r>
        <w:rPr>
          <w:rFonts w:hint="eastAsia" w:ascii="宋体" w:hAnsi="宋体" w:eastAsia="宋体" w:cs="宋体"/>
          <w:color w:val="auto"/>
          <w:spacing w:val="-6"/>
          <w:sz w:val="24"/>
        </w:rPr>
        <w:t>标文件将构成我们约束双方之间共同遵守的文件，对双方具有约束力。</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1</w:t>
      </w:r>
      <w:r>
        <w:rPr>
          <w:rFonts w:hint="eastAsia" w:ascii="宋体" w:hAnsi="宋体" w:eastAsia="宋体" w:cs="宋体"/>
          <w:color w:val="auto"/>
          <w:sz w:val="24"/>
        </w:rPr>
        <w:t>.我方理解你方不负担我们的任何投标费用，我方不要求你方对未中标原因作任何解释，也不退回投标文件。</w:t>
      </w:r>
    </w:p>
    <w:p>
      <w:pPr>
        <w:spacing w:line="48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2</w:t>
      </w:r>
      <w:r>
        <w:rPr>
          <w:rFonts w:hint="eastAsia" w:ascii="宋体" w:hAnsi="宋体" w:eastAsia="宋体" w:cs="宋体"/>
          <w:color w:val="auto"/>
          <w:sz w:val="24"/>
        </w:rPr>
        <w:t>.如果因我方原因放弃中标，我方承诺，除发包人有权没收投标保证金外，并承担因下个中标候选人中标给发包人带来的经济损失。</w:t>
      </w:r>
    </w:p>
    <w:p>
      <w:pPr>
        <w:spacing w:line="480" w:lineRule="auto"/>
        <w:ind w:firstLine="2400" w:firstLineChars="1000"/>
        <w:rPr>
          <w:rFonts w:hint="eastAsia" w:ascii="宋体" w:hAnsi="宋体" w:eastAsia="宋体" w:cs="宋体"/>
          <w:color w:val="auto"/>
          <w:sz w:val="24"/>
        </w:rPr>
      </w:pPr>
      <w:r>
        <w:rPr>
          <w:rFonts w:hint="eastAsia" w:ascii="宋体" w:hAnsi="宋体" w:eastAsia="宋体" w:cs="宋体"/>
          <w:color w:val="auto"/>
          <w:sz w:val="24"/>
        </w:rPr>
        <w:t>投标人：</w:t>
      </w:r>
      <w:r>
        <w:rPr>
          <w:rFonts w:hint="eastAsia" w:ascii="宋体" w:hAnsi="宋体" w:eastAsia="宋体" w:cs="宋体"/>
          <w:color w:val="auto"/>
          <w:sz w:val="24"/>
          <w:u w:val="single"/>
        </w:rPr>
        <w:t xml:space="preserve">                     </w:t>
      </w:r>
      <w:r>
        <w:rPr>
          <w:rFonts w:hint="eastAsia" w:ascii="宋体" w:hAnsi="宋体" w:eastAsia="宋体" w:cs="宋体"/>
          <w:color w:val="auto"/>
          <w:sz w:val="24"/>
        </w:rPr>
        <w:t>（盖单位章）</w:t>
      </w:r>
    </w:p>
    <w:p>
      <w:pPr>
        <w:spacing w:line="480" w:lineRule="auto"/>
        <w:ind w:firstLine="3043" w:firstLineChars="1268"/>
        <w:rPr>
          <w:rFonts w:hint="eastAsia" w:ascii="宋体" w:hAnsi="宋体" w:eastAsia="宋体" w:cs="宋体"/>
          <w:color w:val="auto"/>
          <w:sz w:val="24"/>
        </w:rPr>
      </w:pPr>
    </w:p>
    <w:p>
      <w:pPr>
        <w:spacing w:line="480" w:lineRule="auto"/>
        <w:ind w:firstLine="2440" w:firstLineChars="1017"/>
        <w:rPr>
          <w:rFonts w:hint="eastAsia" w:ascii="宋体" w:hAnsi="宋体" w:eastAsia="宋体" w:cs="宋体"/>
          <w:color w:val="auto"/>
          <w:sz w:val="24"/>
        </w:rPr>
      </w:pPr>
      <w:r>
        <w:rPr>
          <w:rFonts w:hint="eastAsia" w:ascii="宋体" w:hAnsi="宋体" w:eastAsia="宋体" w:cs="宋体"/>
          <w:color w:val="auto"/>
          <w:sz w:val="24"/>
        </w:rPr>
        <w:t>法定代表人或其授权代理人：</w:t>
      </w:r>
      <w:r>
        <w:rPr>
          <w:rFonts w:hint="eastAsia" w:ascii="宋体" w:hAnsi="宋体" w:eastAsia="宋体" w:cs="宋体"/>
          <w:color w:val="auto"/>
          <w:sz w:val="24"/>
          <w:u w:val="single"/>
        </w:rPr>
        <w:t xml:space="preserve">             </w:t>
      </w:r>
      <w:r>
        <w:rPr>
          <w:rFonts w:hint="eastAsia" w:ascii="宋体" w:hAnsi="宋体" w:eastAsia="宋体" w:cs="宋体"/>
          <w:color w:val="auto"/>
          <w:sz w:val="24"/>
        </w:rPr>
        <w:t>（签字）</w:t>
      </w:r>
    </w:p>
    <w:p>
      <w:pPr>
        <w:spacing w:line="480" w:lineRule="auto"/>
        <w:ind w:firstLine="3043" w:firstLineChars="1268"/>
        <w:rPr>
          <w:rFonts w:hint="eastAsia" w:ascii="宋体" w:hAnsi="宋体" w:eastAsia="宋体" w:cs="宋体"/>
          <w:color w:val="auto"/>
          <w:sz w:val="24"/>
        </w:rPr>
      </w:pPr>
    </w:p>
    <w:p>
      <w:pPr>
        <w:spacing w:line="480" w:lineRule="auto"/>
        <w:ind w:firstLine="2520" w:firstLineChars="1050"/>
        <w:rPr>
          <w:rFonts w:hint="eastAsia" w:ascii="宋体" w:hAnsi="宋体" w:eastAsia="宋体" w:cs="宋体"/>
          <w:color w:val="auto"/>
          <w:sz w:val="24"/>
          <w:u w:val="single"/>
        </w:rPr>
      </w:pPr>
      <w:r>
        <w:rPr>
          <w:rFonts w:hint="eastAsia" w:ascii="宋体" w:hAnsi="宋体" w:eastAsia="宋体" w:cs="宋体"/>
          <w:color w:val="auto"/>
          <w:sz w:val="24"/>
        </w:rPr>
        <w:t>地址：</w:t>
      </w:r>
      <w:r>
        <w:rPr>
          <w:rFonts w:hint="eastAsia" w:ascii="宋体" w:hAnsi="宋体" w:eastAsia="宋体" w:cs="宋体"/>
          <w:color w:val="auto"/>
          <w:sz w:val="24"/>
          <w:u w:val="single"/>
        </w:rPr>
        <w:t xml:space="preserve">                                 </w:t>
      </w:r>
    </w:p>
    <w:p>
      <w:pPr>
        <w:spacing w:line="480" w:lineRule="auto"/>
        <w:ind w:firstLine="2520" w:firstLineChars="1050"/>
        <w:rPr>
          <w:rFonts w:hint="eastAsia" w:ascii="宋体" w:hAnsi="宋体" w:eastAsia="宋体" w:cs="宋体"/>
          <w:color w:val="auto"/>
          <w:sz w:val="24"/>
          <w:u w:val="single"/>
        </w:rPr>
      </w:pPr>
      <w:r>
        <w:rPr>
          <w:rFonts w:hint="eastAsia" w:ascii="宋体" w:hAnsi="宋体" w:eastAsia="宋体" w:cs="宋体"/>
          <w:color w:val="auto"/>
          <w:sz w:val="24"/>
        </w:rPr>
        <w:t>网址：</w:t>
      </w:r>
      <w:r>
        <w:rPr>
          <w:rFonts w:hint="eastAsia" w:ascii="宋体" w:hAnsi="宋体" w:eastAsia="宋体" w:cs="宋体"/>
          <w:color w:val="auto"/>
          <w:sz w:val="24"/>
          <w:u w:val="single"/>
        </w:rPr>
        <w:t xml:space="preserve">                                 </w:t>
      </w:r>
    </w:p>
    <w:p>
      <w:pPr>
        <w:spacing w:line="480" w:lineRule="auto"/>
        <w:ind w:firstLine="2520" w:firstLineChars="1050"/>
        <w:rPr>
          <w:rFonts w:hint="eastAsia" w:ascii="宋体" w:hAnsi="宋体" w:eastAsia="宋体" w:cs="宋体"/>
          <w:color w:val="auto"/>
          <w:sz w:val="24"/>
          <w:u w:val="single"/>
        </w:rPr>
      </w:pPr>
      <w:r>
        <w:rPr>
          <w:rFonts w:hint="eastAsia" w:ascii="宋体" w:hAnsi="宋体" w:eastAsia="宋体" w:cs="宋体"/>
          <w:color w:val="auto"/>
          <w:sz w:val="24"/>
        </w:rPr>
        <w:t>电话：</w:t>
      </w:r>
      <w:r>
        <w:rPr>
          <w:rFonts w:hint="eastAsia" w:ascii="宋体" w:hAnsi="宋体" w:eastAsia="宋体" w:cs="宋体"/>
          <w:color w:val="auto"/>
          <w:sz w:val="24"/>
          <w:u w:val="single"/>
        </w:rPr>
        <w:t xml:space="preserve">                                 </w:t>
      </w:r>
    </w:p>
    <w:p>
      <w:pPr>
        <w:spacing w:line="480" w:lineRule="auto"/>
        <w:ind w:firstLine="2520" w:firstLineChars="1050"/>
        <w:rPr>
          <w:rFonts w:hint="eastAsia" w:ascii="宋体" w:hAnsi="宋体" w:eastAsia="宋体" w:cs="宋体"/>
          <w:color w:val="auto"/>
          <w:sz w:val="24"/>
          <w:u w:val="single"/>
        </w:rPr>
      </w:pPr>
      <w:r>
        <w:rPr>
          <w:rFonts w:hint="eastAsia" w:ascii="宋体" w:hAnsi="宋体" w:eastAsia="宋体" w:cs="宋体"/>
          <w:color w:val="auto"/>
          <w:sz w:val="24"/>
        </w:rPr>
        <w:t>传真：</w:t>
      </w:r>
      <w:r>
        <w:rPr>
          <w:rFonts w:hint="eastAsia" w:ascii="宋体" w:hAnsi="宋体" w:eastAsia="宋体" w:cs="宋体"/>
          <w:color w:val="auto"/>
          <w:sz w:val="24"/>
          <w:u w:val="single"/>
        </w:rPr>
        <w:t xml:space="preserve">                                 </w:t>
      </w:r>
    </w:p>
    <w:p>
      <w:pPr>
        <w:spacing w:line="480" w:lineRule="auto"/>
        <w:ind w:firstLine="2520" w:firstLineChars="1050"/>
        <w:rPr>
          <w:rFonts w:hint="eastAsia" w:ascii="宋体" w:hAnsi="宋体" w:eastAsia="宋体" w:cs="宋体"/>
          <w:color w:val="auto"/>
          <w:sz w:val="24"/>
          <w:u w:val="single"/>
        </w:rPr>
      </w:pPr>
      <w:r>
        <w:rPr>
          <w:rFonts w:hint="eastAsia" w:ascii="宋体" w:hAnsi="宋体" w:eastAsia="宋体" w:cs="宋体"/>
          <w:color w:val="auto"/>
          <w:sz w:val="24"/>
        </w:rPr>
        <w:t>邮政编码：</w:t>
      </w:r>
      <w:r>
        <w:rPr>
          <w:rFonts w:hint="eastAsia" w:ascii="宋体" w:hAnsi="宋体" w:eastAsia="宋体" w:cs="宋体"/>
          <w:color w:val="auto"/>
          <w:sz w:val="24"/>
          <w:u w:val="single"/>
        </w:rPr>
        <w:t xml:space="preserve">                             </w:t>
      </w:r>
    </w:p>
    <w:p>
      <w:pPr>
        <w:spacing w:line="480" w:lineRule="auto"/>
        <w:ind w:firstLine="3043" w:firstLineChars="1268"/>
        <w:rPr>
          <w:rFonts w:hint="eastAsia" w:ascii="宋体" w:hAnsi="宋体" w:eastAsia="宋体" w:cs="宋体"/>
          <w:color w:val="auto"/>
          <w:sz w:val="24"/>
        </w:rPr>
      </w:pPr>
    </w:p>
    <w:p>
      <w:pPr>
        <w:spacing w:line="480" w:lineRule="auto"/>
        <w:ind w:firstLine="4360" w:firstLineChars="1817"/>
        <w:rPr>
          <w:rFonts w:hint="eastAsia" w:ascii="宋体" w:hAnsi="宋体" w:eastAsia="宋体" w:cs="宋体"/>
          <w:color w:val="auto"/>
          <w:sz w:val="24"/>
        </w:rPr>
      </w:pPr>
      <w:r>
        <w:rPr>
          <w:rFonts w:hint="eastAsia" w:ascii="宋体" w:hAnsi="宋体" w:eastAsia="宋体" w:cs="宋体"/>
          <w:color w:val="auto"/>
          <w:sz w:val="24"/>
          <w:u w:val="single"/>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rPr>
        <w:t xml:space="preserve">    </w:t>
      </w:r>
      <w:r>
        <w:rPr>
          <w:rFonts w:hint="eastAsia" w:ascii="宋体" w:hAnsi="宋体" w:eastAsia="宋体" w:cs="宋体"/>
          <w:color w:val="auto"/>
          <w:sz w:val="24"/>
        </w:rPr>
        <w:t>日</w:t>
      </w:r>
    </w:p>
    <w:p>
      <w:pPr>
        <w:spacing w:line="560" w:lineRule="exact"/>
        <w:jc w:val="center"/>
        <w:rPr>
          <w:rFonts w:hint="eastAsia" w:ascii="宋体" w:hAnsi="宋体" w:eastAsia="宋体" w:cs="宋体"/>
          <w:b/>
          <w:color w:val="auto"/>
          <w:sz w:val="30"/>
          <w:szCs w:val="30"/>
        </w:rPr>
      </w:pPr>
      <w:r>
        <w:rPr>
          <w:rFonts w:hint="eastAsia" w:ascii="宋体" w:hAnsi="宋体" w:eastAsia="宋体" w:cs="宋体"/>
          <w:b/>
          <w:color w:val="auto"/>
          <w:sz w:val="30"/>
          <w:szCs w:val="30"/>
        </w:rPr>
        <w:t>（二）投标函附录</w:t>
      </w:r>
    </w:p>
    <w:p>
      <w:pPr>
        <w:spacing w:line="560" w:lineRule="exact"/>
        <w:jc w:val="center"/>
        <w:rPr>
          <w:rFonts w:hint="eastAsia" w:ascii="宋体" w:hAnsi="宋体" w:eastAsia="宋体" w:cs="宋体"/>
          <w:b/>
          <w:color w:val="auto"/>
          <w:sz w:val="30"/>
          <w:szCs w:val="30"/>
        </w:rPr>
      </w:pPr>
    </w:p>
    <w:tbl>
      <w:tblPr>
        <w:tblStyle w:val="97"/>
        <w:tblW w:w="88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3589"/>
        <w:gridCol w:w="1764"/>
        <w:gridCol w:w="2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序号</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条款名称</w:t>
            </w:r>
          </w:p>
        </w:tc>
        <w:tc>
          <w:tcPr>
            <w:tcW w:w="1764"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合同条款号</w:t>
            </w: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1</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施工准备时间</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2</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工期误期违约金额</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3</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工程质量违约金</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4</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预付款金额和时间</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5</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进度款付款时间</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6</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竣工结算款付款时间</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7</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质量保修金</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8</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质量保修期</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9</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安全文明施工承诺</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atLeast"/>
          <w:jc w:val="center"/>
        </w:trPr>
        <w:tc>
          <w:tcPr>
            <w:tcW w:w="930"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10</w:t>
            </w:r>
          </w:p>
        </w:tc>
        <w:tc>
          <w:tcPr>
            <w:tcW w:w="3589" w:type="dxa"/>
            <w:noWrap w:val="0"/>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履约银行保函金额</w:t>
            </w:r>
          </w:p>
        </w:tc>
        <w:tc>
          <w:tcPr>
            <w:tcW w:w="1764" w:type="dxa"/>
            <w:noWrap w:val="0"/>
            <w:vAlign w:val="center"/>
          </w:tcPr>
          <w:p>
            <w:pPr>
              <w:jc w:val="center"/>
              <w:rPr>
                <w:rFonts w:hint="eastAsia" w:ascii="宋体" w:hAnsi="宋体" w:eastAsia="宋体" w:cs="宋体"/>
                <w:color w:val="auto"/>
                <w:sz w:val="24"/>
              </w:rPr>
            </w:pPr>
          </w:p>
        </w:tc>
        <w:tc>
          <w:tcPr>
            <w:tcW w:w="2556" w:type="dxa"/>
            <w:noWrap w:val="0"/>
            <w:vAlign w:val="center"/>
          </w:tcPr>
          <w:p>
            <w:pPr>
              <w:jc w:val="center"/>
              <w:rPr>
                <w:rFonts w:hint="eastAsia" w:ascii="宋体" w:hAnsi="宋体" w:eastAsia="宋体" w:cs="宋体"/>
                <w:color w:val="auto"/>
                <w:sz w:val="24"/>
              </w:rPr>
            </w:pPr>
          </w:p>
        </w:tc>
      </w:tr>
    </w:tbl>
    <w:p>
      <w:pPr>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color w:val="auto"/>
        </w:rPr>
      </w:pPr>
    </w:p>
    <w:p>
      <w:pPr>
        <w:autoSpaceDE w:val="0"/>
        <w:autoSpaceDN w:val="0"/>
        <w:adjustRightInd w:val="0"/>
        <w:spacing w:line="360" w:lineRule="auto"/>
        <w:rPr>
          <w:rFonts w:hint="eastAsia" w:ascii="宋体" w:hAnsi="宋体" w:eastAsia="宋体" w:cs="宋体"/>
          <w:color w:val="auto"/>
          <w:kern w:val="0"/>
          <w:sz w:val="24"/>
        </w:rPr>
      </w:pPr>
      <w:r>
        <w:rPr>
          <w:rFonts w:hint="eastAsia" w:ascii="宋体" w:hAnsi="宋体" w:eastAsia="宋体" w:cs="宋体"/>
          <w:color w:val="auto"/>
          <w:kern w:val="0"/>
          <w:sz w:val="24"/>
        </w:rPr>
        <w:t>投标人：</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（盖单位章）</w:t>
      </w:r>
    </w:p>
    <w:p>
      <w:pPr>
        <w:autoSpaceDE w:val="0"/>
        <w:autoSpaceDN w:val="0"/>
        <w:adjustRightInd w:val="0"/>
        <w:spacing w:line="360" w:lineRule="auto"/>
        <w:rPr>
          <w:rFonts w:hint="eastAsia" w:ascii="宋体" w:hAnsi="宋体" w:eastAsia="宋体" w:cs="宋体"/>
          <w:color w:val="auto"/>
          <w:kern w:val="0"/>
          <w:sz w:val="24"/>
        </w:rPr>
      </w:pPr>
    </w:p>
    <w:p>
      <w:pPr>
        <w:autoSpaceDE w:val="0"/>
        <w:autoSpaceDN w:val="0"/>
        <w:adjustRightInd w:val="0"/>
        <w:spacing w:line="360" w:lineRule="auto"/>
        <w:rPr>
          <w:rFonts w:hint="eastAsia" w:ascii="宋体" w:hAnsi="宋体" w:eastAsia="宋体" w:cs="宋体"/>
          <w:color w:val="auto"/>
          <w:kern w:val="0"/>
          <w:sz w:val="24"/>
        </w:rPr>
      </w:pPr>
      <w:r>
        <w:rPr>
          <w:rFonts w:hint="eastAsia" w:ascii="宋体" w:hAnsi="宋体" w:eastAsia="宋体" w:cs="宋体"/>
          <w:color w:val="auto"/>
          <w:kern w:val="0"/>
          <w:sz w:val="24"/>
        </w:rPr>
        <w:t>法定代表人或其授权代理人：</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（签字）</w:t>
      </w:r>
    </w:p>
    <w:p>
      <w:pPr>
        <w:spacing w:line="560" w:lineRule="exact"/>
        <w:jc w:val="center"/>
        <w:rPr>
          <w:rFonts w:hint="eastAsia" w:ascii="宋体" w:hAnsi="宋体" w:eastAsia="宋体" w:cs="宋体"/>
          <w:b/>
          <w:color w:val="auto"/>
          <w:sz w:val="32"/>
          <w:szCs w:val="32"/>
        </w:rPr>
      </w:pPr>
    </w:p>
    <w:p>
      <w:pPr>
        <w:pStyle w:val="2"/>
        <w:rPr>
          <w:rFonts w:hint="eastAsia" w:ascii="宋体" w:hAnsi="宋体" w:eastAsia="宋体" w:cs="宋体"/>
          <w:b/>
          <w:color w:val="auto"/>
          <w:sz w:val="30"/>
          <w:szCs w:val="30"/>
        </w:rPr>
      </w:pPr>
    </w:p>
    <w:p>
      <w:pPr>
        <w:rPr>
          <w:rFonts w:hint="eastAsia" w:ascii="宋体" w:hAnsi="宋体" w:eastAsia="宋体" w:cs="宋体"/>
          <w:color w:val="auto"/>
        </w:rPr>
      </w:pPr>
    </w:p>
    <w:p>
      <w:pPr>
        <w:pStyle w:val="3"/>
        <w:keepLines/>
        <w:spacing w:before="338" w:beforeLines="100" w:after="507" w:afterLines="150" w:line="240" w:lineRule="auto"/>
        <w:rPr>
          <w:rFonts w:hint="eastAsia" w:ascii="宋体" w:hAnsi="宋体" w:eastAsia="宋体" w:cs="宋体"/>
          <w:b/>
          <w:bCs/>
          <w:color w:val="auto"/>
          <w:kern w:val="44"/>
          <w:sz w:val="36"/>
          <w:szCs w:val="36"/>
          <w:highlight w:val="none"/>
        </w:rPr>
      </w:pPr>
      <w:bookmarkStart w:id="561" w:name="_Toc23710"/>
      <w:r>
        <w:rPr>
          <w:rFonts w:hint="eastAsia" w:ascii="宋体" w:hAnsi="宋体" w:eastAsia="宋体" w:cs="宋体"/>
          <w:b/>
          <w:bCs/>
          <w:color w:val="auto"/>
          <w:kern w:val="44"/>
          <w:sz w:val="36"/>
          <w:szCs w:val="36"/>
          <w:highlight w:val="none"/>
          <w:lang w:eastAsia="zh-CN"/>
        </w:rPr>
        <w:t>二、</w:t>
      </w:r>
      <w:r>
        <w:rPr>
          <w:rFonts w:hint="eastAsia" w:ascii="宋体" w:hAnsi="宋体" w:eastAsia="宋体" w:cs="宋体"/>
          <w:b/>
          <w:bCs/>
          <w:color w:val="auto"/>
          <w:kern w:val="44"/>
          <w:sz w:val="36"/>
          <w:szCs w:val="36"/>
          <w:highlight w:val="none"/>
        </w:rPr>
        <w:t>法定代表人身份证明书和法定代表人授权委托书</w:t>
      </w:r>
      <w:bookmarkEnd w:id="561"/>
    </w:p>
    <w:p>
      <w:pPr>
        <w:spacing w:line="360" w:lineRule="auto"/>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lang w:val="en-US" w:eastAsia="zh-CN"/>
        </w:rPr>
        <w:t>1</w:t>
      </w:r>
      <w:r>
        <w:rPr>
          <w:rFonts w:hint="eastAsia" w:ascii="宋体" w:hAnsi="宋体" w:eastAsia="宋体" w:cs="宋体"/>
          <w:b/>
          <w:bCs/>
          <w:color w:val="auto"/>
          <w:sz w:val="28"/>
          <w:szCs w:val="28"/>
          <w:highlight w:val="none"/>
          <w:lang w:eastAsia="zh-CN"/>
        </w:rPr>
        <w:t>）</w:t>
      </w:r>
      <w:r>
        <w:rPr>
          <w:rFonts w:hint="eastAsia" w:ascii="宋体" w:hAnsi="宋体" w:eastAsia="宋体" w:cs="宋体"/>
          <w:b/>
          <w:bCs/>
          <w:color w:val="auto"/>
          <w:sz w:val="28"/>
          <w:szCs w:val="28"/>
          <w:highlight w:val="none"/>
        </w:rPr>
        <w:t>法定代表人身份证明书</w:t>
      </w:r>
    </w:p>
    <w:p>
      <w:pPr>
        <w:spacing w:before="156" w:beforeLines="50" w:after="156" w:afterLines="50" w:line="500" w:lineRule="exact"/>
        <w:ind w:left="8" w:leftChars="4" w:firstLine="392" w:firstLineChars="140"/>
        <w:rPr>
          <w:rFonts w:hint="eastAsia" w:ascii="宋体" w:hAnsi="宋体" w:eastAsia="宋体" w:cs="宋体"/>
          <w:color w:val="auto"/>
          <w:sz w:val="28"/>
          <w:lang w:eastAsia="zh-CN"/>
        </w:rPr>
      </w:pPr>
      <w:r>
        <w:rPr>
          <w:rFonts w:hint="eastAsia" w:ascii="宋体" w:hAnsi="宋体" w:eastAsia="宋体" w:cs="宋体"/>
          <w:color w:val="auto"/>
          <w:sz w:val="28"/>
        </w:rPr>
        <w:t>投标人名称：</w:t>
      </w:r>
      <w:r>
        <w:rPr>
          <w:rFonts w:hint="eastAsia" w:ascii="宋体" w:hAnsi="宋体" w:eastAsia="宋体" w:cs="宋体"/>
          <w:color w:val="auto"/>
          <w:sz w:val="28"/>
          <w:u w:val="single"/>
          <w:lang w:eastAsia="zh-CN"/>
        </w:rPr>
        <w:t xml:space="preserve">                              </w:t>
      </w:r>
    </w:p>
    <w:p>
      <w:pPr>
        <w:spacing w:before="156" w:beforeLines="50" w:after="156" w:afterLines="50" w:line="500" w:lineRule="exact"/>
        <w:ind w:left="8" w:leftChars="4" w:firstLine="392" w:firstLineChars="140"/>
        <w:rPr>
          <w:rFonts w:hint="eastAsia" w:ascii="宋体" w:hAnsi="宋体" w:eastAsia="宋体" w:cs="宋体"/>
          <w:color w:val="auto"/>
          <w:sz w:val="28"/>
          <w:u w:val="single"/>
          <w:lang w:eastAsia="zh-CN"/>
        </w:rPr>
      </w:pPr>
      <w:r>
        <w:rPr>
          <w:rFonts w:hint="eastAsia" w:ascii="宋体" w:hAnsi="宋体" w:eastAsia="宋体" w:cs="宋体"/>
          <w:color w:val="auto"/>
          <w:sz w:val="28"/>
        </w:rPr>
        <w:t>单位性质：</w:t>
      </w:r>
      <w:r>
        <w:rPr>
          <w:rFonts w:hint="eastAsia" w:ascii="宋体" w:hAnsi="宋体" w:eastAsia="宋体" w:cs="宋体"/>
          <w:color w:val="auto"/>
          <w:sz w:val="28"/>
          <w:u w:val="single"/>
          <w:lang w:eastAsia="zh-CN"/>
        </w:rPr>
        <w:t xml:space="preserve">                              </w:t>
      </w:r>
    </w:p>
    <w:p>
      <w:pPr>
        <w:spacing w:before="156" w:beforeLines="50" w:after="156" w:afterLines="50" w:line="500" w:lineRule="exact"/>
        <w:ind w:left="8" w:leftChars="4" w:firstLine="392" w:firstLineChars="140"/>
        <w:rPr>
          <w:rFonts w:hint="eastAsia" w:ascii="宋体" w:hAnsi="宋体" w:eastAsia="宋体" w:cs="宋体"/>
          <w:color w:val="auto"/>
          <w:sz w:val="28"/>
          <w:u w:val="single"/>
          <w:lang w:eastAsia="zh-CN"/>
        </w:rPr>
      </w:pPr>
      <w:r>
        <w:rPr>
          <w:rFonts w:hint="eastAsia" w:ascii="宋体" w:hAnsi="宋体" w:eastAsia="宋体" w:cs="宋体"/>
          <w:color w:val="auto"/>
          <w:sz w:val="28"/>
        </w:rPr>
        <w:t>地址：</w:t>
      </w:r>
      <w:r>
        <w:rPr>
          <w:rFonts w:hint="eastAsia" w:ascii="宋体" w:hAnsi="宋体" w:eastAsia="宋体" w:cs="宋体"/>
          <w:color w:val="auto"/>
          <w:sz w:val="28"/>
          <w:u w:val="single"/>
          <w:lang w:eastAsia="zh-CN"/>
        </w:rPr>
        <w:t xml:space="preserve">      </w:t>
      </w:r>
      <w:r>
        <w:rPr>
          <w:rFonts w:hint="eastAsia" w:ascii="宋体" w:hAnsi="宋体" w:eastAsia="宋体" w:cs="宋体"/>
          <w:color w:val="auto"/>
          <w:sz w:val="28"/>
          <w:u w:val="single"/>
        </w:rPr>
        <w:t xml:space="preserve">  </w:t>
      </w:r>
      <w:r>
        <w:rPr>
          <w:rFonts w:hint="eastAsia" w:ascii="宋体" w:hAnsi="宋体" w:eastAsia="宋体" w:cs="宋体"/>
          <w:color w:val="auto"/>
          <w:sz w:val="28"/>
          <w:u w:val="single"/>
          <w:lang w:eastAsia="zh-CN"/>
        </w:rPr>
        <w:t xml:space="preserve">         </w:t>
      </w:r>
      <w:r>
        <w:rPr>
          <w:rFonts w:hint="eastAsia" w:ascii="宋体" w:hAnsi="宋体" w:eastAsia="宋体" w:cs="宋体"/>
          <w:color w:val="auto"/>
          <w:sz w:val="28"/>
          <w:u w:val="single"/>
        </w:rPr>
        <w:t xml:space="preserve">        </w:t>
      </w:r>
      <w:r>
        <w:rPr>
          <w:rFonts w:hint="eastAsia" w:ascii="宋体" w:hAnsi="宋体" w:eastAsia="宋体" w:cs="宋体"/>
          <w:color w:val="auto"/>
          <w:sz w:val="28"/>
          <w:u w:val="single"/>
          <w:lang w:eastAsia="zh-CN"/>
        </w:rPr>
        <w:t xml:space="preserve">         </w:t>
      </w:r>
    </w:p>
    <w:p>
      <w:pPr>
        <w:spacing w:before="156" w:beforeLines="50" w:after="156" w:afterLines="50" w:line="500" w:lineRule="exact"/>
        <w:ind w:left="8" w:leftChars="4" w:firstLine="392" w:firstLineChars="140"/>
        <w:rPr>
          <w:rFonts w:hint="eastAsia" w:ascii="宋体" w:hAnsi="宋体" w:eastAsia="宋体" w:cs="宋体"/>
          <w:color w:val="auto"/>
          <w:sz w:val="28"/>
        </w:rPr>
      </w:pPr>
      <w:r>
        <w:rPr>
          <w:rFonts w:hint="eastAsia" w:ascii="宋体" w:hAnsi="宋体" w:eastAsia="宋体" w:cs="宋体"/>
          <w:color w:val="auto"/>
          <w:sz w:val="28"/>
        </w:rPr>
        <w:t>成立时间：</w:t>
      </w:r>
      <w:r>
        <w:rPr>
          <w:rFonts w:hint="eastAsia" w:ascii="宋体" w:hAnsi="宋体" w:eastAsia="宋体" w:cs="宋体"/>
          <w:color w:val="auto"/>
          <w:sz w:val="28"/>
          <w:u w:val="single"/>
        </w:rPr>
        <w:t xml:space="preserve">         </w:t>
      </w:r>
      <w:r>
        <w:rPr>
          <w:rFonts w:hint="eastAsia" w:ascii="宋体" w:hAnsi="宋体" w:eastAsia="宋体" w:cs="宋体"/>
          <w:color w:val="auto"/>
          <w:sz w:val="28"/>
        </w:rPr>
        <w:t>年</w:t>
      </w:r>
      <w:r>
        <w:rPr>
          <w:rFonts w:hint="eastAsia" w:ascii="宋体" w:hAnsi="宋体" w:eastAsia="宋体" w:cs="宋体"/>
          <w:color w:val="auto"/>
          <w:sz w:val="28"/>
          <w:u w:val="single"/>
        </w:rPr>
        <w:t xml:space="preserve">        </w:t>
      </w:r>
      <w:r>
        <w:rPr>
          <w:rFonts w:hint="eastAsia" w:ascii="宋体" w:hAnsi="宋体" w:eastAsia="宋体" w:cs="宋体"/>
          <w:color w:val="auto"/>
          <w:sz w:val="28"/>
        </w:rPr>
        <w:t>月</w:t>
      </w:r>
      <w:r>
        <w:rPr>
          <w:rFonts w:hint="eastAsia" w:ascii="宋体" w:hAnsi="宋体" w:eastAsia="宋体" w:cs="宋体"/>
          <w:color w:val="auto"/>
          <w:sz w:val="28"/>
          <w:u w:val="single"/>
        </w:rPr>
        <w:t xml:space="preserve">         </w:t>
      </w:r>
      <w:r>
        <w:rPr>
          <w:rFonts w:hint="eastAsia" w:ascii="宋体" w:hAnsi="宋体" w:eastAsia="宋体" w:cs="宋体"/>
          <w:color w:val="auto"/>
          <w:sz w:val="28"/>
        </w:rPr>
        <w:t>日</w:t>
      </w:r>
    </w:p>
    <w:p>
      <w:pPr>
        <w:spacing w:before="156" w:beforeLines="50" w:after="156" w:afterLines="50" w:line="500" w:lineRule="exact"/>
        <w:ind w:left="8" w:leftChars="4" w:firstLine="392" w:firstLineChars="140"/>
        <w:rPr>
          <w:rFonts w:hint="eastAsia" w:ascii="宋体" w:hAnsi="宋体" w:eastAsia="宋体" w:cs="宋体"/>
          <w:color w:val="auto"/>
          <w:sz w:val="28"/>
          <w:u w:val="single"/>
          <w:lang w:eastAsia="zh-CN"/>
        </w:rPr>
      </w:pPr>
      <w:r>
        <w:rPr>
          <w:rFonts w:hint="eastAsia" w:ascii="宋体" w:hAnsi="宋体" w:eastAsia="宋体" w:cs="宋体"/>
          <w:color w:val="auto"/>
          <w:sz w:val="28"/>
        </w:rPr>
        <w:t>经营期限：</w:t>
      </w:r>
      <w:r>
        <w:rPr>
          <w:rFonts w:hint="eastAsia" w:ascii="宋体" w:hAnsi="宋体" w:eastAsia="宋体" w:cs="宋体"/>
          <w:color w:val="auto"/>
          <w:sz w:val="28"/>
          <w:u w:val="single"/>
        </w:rPr>
        <w:t xml:space="preserve">                             </w:t>
      </w:r>
      <w:r>
        <w:rPr>
          <w:rFonts w:hint="eastAsia" w:ascii="宋体" w:hAnsi="宋体" w:eastAsia="宋体" w:cs="宋体"/>
          <w:color w:val="auto"/>
          <w:sz w:val="28"/>
          <w:u w:val="single"/>
          <w:lang w:eastAsia="zh-CN"/>
        </w:rPr>
        <w:t xml:space="preserve">   </w:t>
      </w:r>
    </w:p>
    <w:p>
      <w:pPr>
        <w:spacing w:before="156" w:beforeLines="50" w:after="156" w:afterLines="50" w:line="500" w:lineRule="exact"/>
        <w:ind w:left="8" w:leftChars="4" w:firstLine="392" w:firstLineChars="140"/>
        <w:rPr>
          <w:rFonts w:hint="eastAsia" w:ascii="宋体" w:hAnsi="宋体" w:eastAsia="宋体" w:cs="宋体"/>
          <w:color w:val="auto"/>
          <w:sz w:val="28"/>
          <w:u w:val="single"/>
        </w:rPr>
      </w:pPr>
      <w:r>
        <w:rPr>
          <w:rFonts w:hint="eastAsia" w:ascii="宋体" w:hAnsi="宋体" w:eastAsia="宋体" w:cs="宋体"/>
          <w:color w:val="auto"/>
          <w:sz w:val="28"/>
        </w:rPr>
        <w:t>姓名：</w:t>
      </w:r>
      <w:r>
        <w:rPr>
          <w:rFonts w:hint="eastAsia" w:ascii="宋体" w:hAnsi="宋体" w:eastAsia="宋体" w:cs="宋体"/>
          <w:color w:val="auto"/>
          <w:sz w:val="28"/>
          <w:u w:val="single"/>
        </w:rPr>
        <w:t xml:space="preserve">          </w:t>
      </w:r>
      <w:r>
        <w:rPr>
          <w:rFonts w:hint="eastAsia" w:ascii="宋体" w:hAnsi="宋体" w:eastAsia="宋体" w:cs="宋体"/>
          <w:color w:val="auto"/>
          <w:sz w:val="28"/>
        </w:rPr>
        <w:t>性别：</w:t>
      </w:r>
      <w:r>
        <w:rPr>
          <w:rFonts w:hint="eastAsia" w:ascii="宋体" w:hAnsi="宋体" w:eastAsia="宋体" w:cs="宋体"/>
          <w:color w:val="auto"/>
          <w:sz w:val="28"/>
          <w:u w:val="single"/>
        </w:rPr>
        <w:t xml:space="preserve">       </w:t>
      </w:r>
      <w:r>
        <w:rPr>
          <w:rFonts w:hint="eastAsia" w:ascii="宋体" w:hAnsi="宋体" w:eastAsia="宋体" w:cs="宋体"/>
          <w:color w:val="auto"/>
          <w:sz w:val="28"/>
        </w:rPr>
        <w:t>年龄：</w:t>
      </w:r>
      <w:r>
        <w:rPr>
          <w:rFonts w:hint="eastAsia" w:ascii="宋体" w:hAnsi="宋体" w:eastAsia="宋体" w:cs="宋体"/>
          <w:color w:val="auto"/>
          <w:sz w:val="28"/>
          <w:u w:val="single"/>
        </w:rPr>
        <w:t xml:space="preserve">       </w:t>
      </w:r>
      <w:r>
        <w:rPr>
          <w:rFonts w:hint="eastAsia" w:ascii="宋体" w:hAnsi="宋体" w:eastAsia="宋体" w:cs="宋体"/>
          <w:color w:val="auto"/>
          <w:sz w:val="28"/>
        </w:rPr>
        <w:t>职务：</w:t>
      </w:r>
      <w:r>
        <w:rPr>
          <w:rFonts w:hint="eastAsia" w:ascii="宋体" w:hAnsi="宋体" w:eastAsia="宋体" w:cs="宋体"/>
          <w:color w:val="auto"/>
          <w:sz w:val="28"/>
          <w:u w:val="single"/>
          <w:lang w:eastAsia="zh-CN"/>
        </w:rPr>
        <w:t xml:space="preserve">      </w:t>
      </w:r>
      <w:r>
        <w:rPr>
          <w:rFonts w:hint="eastAsia" w:ascii="宋体" w:hAnsi="宋体" w:eastAsia="宋体" w:cs="宋体"/>
          <w:color w:val="auto"/>
          <w:sz w:val="28"/>
          <w:u w:val="single"/>
        </w:rPr>
        <w:t xml:space="preserve">       </w:t>
      </w:r>
    </w:p>
    <w:p>
      <w:pPr>
        <w:spacing w:before="156" w:beforeLines="50" w:after="156" w:afterLines="50" w:line="500" w:lineRule="exact"/>
        <w:ind w:left="8" w:leftChars="4" w:firstLine="392" w:firstLineChars="140"/>
        <w:rPr>
          <w:rFonts w:hint="eastAsia" w:ascii="宋体" w:hAnsi="宋体" w:eastAsia="宋体" w:cs="宋体"/>
          <w:color w:val="auto"/>
          <w:sz w:val="28"/>
        </w:rPr>
      </w:pPr>
      <w:r>
        <w:rPr>
          <w:rFonts w:hint="eastAsia" w:ascii="宋体" w:hAnsi="宋体" w:eastAsia="宋体" w:cs="宋体"/>
          <w:color w:val="auto"/>
          <w:sz w:val="28"/>
        </w:rPr>
        <w:t>系</w:t>
      </w:r>
      <w:r>
        <w:rPr>
          <w:rFonts w:hint="eastAsia" w:ascii="宋体" w:hAnsi="宋体" w:eastAsia="宋体" w:cs="宋体"/>
          <w:color w:val="auto"/>
          <w:sz w:val="28"/>
          <w:u w:val="single"/>
        </w:rPr>
        <w:t xml:space="preserve">                     </w:t>
      </w:r>
      <w:r>
        <w:rPr>
          <w:rFonts w:hint="eastAsia" w:ascii="宋体" w:hAnsi="宋体" w:eastAsia="宋体" w:cs="宋体"/>
          <w:color w:val="auto"/>
          <w:sz w:val="28"/>
        </w:rPr>
        <w:t>（投标人名称）的法定代表人。</w:t>
      </w:r>
    </w:p>
    <w:p>
      <w:pPr>
        <w:spacing w:line="500" w:lineRule="exact"/>
        <w:ind w:left="8" w:leftChars="4" w:firstLine="392" w:firstLineChars="140"/>
        <w:rPr>
          <w:rFonts w:hint="eastAsia" w:ascii="宋体" w:hAnsi="宋体" w:eastAsia="宋体" w:cs="宋体"/>
          <w:color w:val="auto"/>
          <w:sz w:val="28"/>
        </w:rPr>
      </w:pPr>
    </w:p>
    <w:p>
      <w:pPr>
        <w:spacing w:line="500" w:lineRule="exact"/>
        <w:ind w:left="8" w:leftChars="4" w:firstLine="392" w:firstLineChars="140"/>
        <w:rPr>
          <w:rFonts w:hint="eastAsia" w:ascii="宋体" w:hAnsi="宋体" w:eastAsia="宋体" w:cs="宋体"/>
          <w:color w:val="auto"/>
          <w:sz w:val="28"/>
        </w:rPr>
      </w:pPr>
      <w:r>
        <w:rPr>
          <w:rFonts w:hint="eastAsia" w:ascii="宋体" w:hAnsi="宋体" w:eastAsia="宋体" w:cs="宋体"/>
          <w:color w:val="auto"/>
          <w:sz w:val="28"/>
        </w:rPr>
        <w:t>特此证明。</w:t>
      </w:r>
    </w:p>
    <w:p>
      <w:pPr>
        <w:spacing w:line="500" w:lineRule="exact"/>
        <w:ind w:left="8" w:leftChars="4" w:firstLine="392" w:firstLineChars="140"/>
        <w:rPr>
          <w:rFonts w:hint="eastAsia" w:ascii="宋体" w:hAnsi="宋体" w:eastAsia="宋体" w:cs="宋体"/>
          <w:color w:val="auto"/>
          <w:sz w:val="28"/>
        </w:rPr>
      </w:pPr>
    </w:p>
    <w:p>
      <w:pPr>
        <w:tabs>
          <w:tab w:val="left" w:pos="720"/>
          <w:tab w:val="left" w:pos="900"/>
        </w:tabs>
        <w:spacing w:line="500" w:lineRule="exact"/>
        <w:ind w:left="8" w:leftChars="4" w:firstLine="392" w:firstLineChars="140"/>
        <w:rPr>
          <w:rFonts w:hint="eastAsia" w:ascii="宋体" w:hAnsi="宋体" w:eastAsia="宋体" w:cs="宋体"/>
          <w:color w:val="auto"/>
          <w:sz w:val="28"/>
        </w:rPr>
      </w:pPr>
    </w:p>
    <w:p>
      <w:pPr>
        <w:tabs>
          <w:tab w:val="left" w:pos="720"/>
          <w:tab w:val="left" w:pos="900"/>
        </w:tabs>
        <w:spacing w:line="500" w:lineRule="exact"/>
        <w:ind w:left="8" w:leftChars="4" w:firstLine="392" w:firstLineChars="140"/>
        <w:rPr>
          <w:rFonts w:hint="eastAsia" w:ascii="宋体" w:hAnsi="宋体" w:eastAsia="宋体" w:cs="宋体"/>
          <w:color w:val="auto"/>
          <w:sz w:val="28"/>
          <w:u w:val="single"/>
        </w:rPr>
      </w:pPr>
      <w:r>
        <w:rPr>
          <w:rFonts w:hint="eastAsia" w:ascii="宋体" w:hAnsi="宋体" w:eastAsia="宋体" w:cs="宋体"/>
          <w:color w:val="auto"/>
          <w:sz w:val="28"/>
        </w:rPr>
        <w:t>投标人：</w:t>
      </w:r>
      <w:r>
        <w:rPr>
          <w:rFonts w:hint="eastAsia" w:ascii="宋体" w:hAnsi="宋体" w:eastAsia="宋体" w:cs="宋体"/>
          <w:color w:val="auto"/>
          <w:sz w:val="28"/>
          <w:u w:val="single"/>
        </w:rPr>
        <w:t xml:space="preserve">             （盖公章）</w:t>
      </w:r>
    </w:p>
    <w:p>
      <w:pPr>
        <w:tabs>
          <w:tab w:val="left" w:pos="720"/>
          <w:tab w:val="left" w:pos="900"/>
        </w:tabs>
        <w:spacing w:line="500" w:lineRule="exact"/>
        <w:ind w:left="8" w:leftChars="4" w:firstLine="392" w:firstLineChars="140"/>
        <w:rPr>
          <w:rFonts w:hint="eastAsia" w:ascii="宋体" w:hAnsi="宋体" w:eastAsia="宋体" w:cs="宋体"/>
          <w:color w:val="auto"/>
          <w:sz w:val="28"/>
        </w:rPr>
      </w:pPr>
    </w:p>
    <w:p>
      <w:pPr>
        <w:tabs>
          <w:tab w:val="left" w:pos="720"/>
          <w:tab w:val="left" w:pos="900"/>
        </w:tabs>
        <w:spacing w:line="500" w:lineRule="exact"/>
        <w:ind w:left="8" w:leftChars="4" w:firstLine="392" w:firstLineChars="140"/>
        <w:rPr>
          <w:rFonts w:hint="eastAsia" w:ascii="宋体" w:hAnsi="宋体" w:eastAsia="宋体" w:cs="宋体"/>
          <w:color w:val="auto"/>
          <w:sz w:val="28"/>
        </w:rPr>
      </w:pPr>
      <w:r>
        <w:rPr>
          <w:rFonts w:hint="eastAsia" w:ascii="宋体" w:hAnsi="宋体" w:eastAsia="宋体" w:cs="宋体"/>
          <w:color w:val="auto"/>
          <w:sz w:val="28"/>
        </w:rPr>
        <w:t>日    期：</w:t>
      </w:r>
      <w:r>
        <w:rPr>
          <w:rFonts w:hint="eastAsia" w:ascii="宋体" w:hAnsi="宋体" w:eastAsia="宋体" w:cs="宋体"/>
          <w:color w:val="auto"/>
          <w:sz w:val="28"/>
          <w:u w:val="single"/>
        </w:rPr>
        <w:t xml:space="preserve">      </w:t>
      </w:r>
      <w:r>
        <w:rPr>
          <w:rFonts w:hint="eastAsia" w:ascii="宋体" w:hAnsi="宋体" w:eastAsia="宋体" w:cs="宋体"/>
          <w:color w:val="auto"/>
          <w:sz w:val="28"/>
        </w:rPr>
        <w:t>年</w:t>
      </w:r>
      <w:r>
        <w:rPr>
          <w:rFonts w:hint="eastAsia" w:ascii="宋体" w:hAnsi="宋体" w:eastAsia="宋体" w:cs="宋体"/>
          <w:color w:val="auto"/>
          <w:sz w:val="28"/>
          <w:u w:val="single"/>
        </w:rPr>
        <w:t xml:space="preserve">     </w:t>
      </w:r>
      <w:r>
        <w:rPr>
          <w:rFonts w:hint="eastAsia" w:ascii="宋体" w:hAnsi="宋体" w:eastAsia="宋体" w:cs="宋体"/>
          <w:color w:val="auto"/>
          <w:sz w:val="28"/>
        </w:rPr>
        <w:t>月</w:t>
      </w:r>
      <w:r>
        <w:rPr>
          <w:rFonts w:hint="eastAsia" w:ascii="宋体" w:hAnsi="宋体" w:eastAsia="宋体" w:cs="宋体"/>
          <w:color w:val="auto"/>
          <w:sz w:val="28"/>
          <w:u w:val="single"/>
        </w:rPr>
        <w:t xml:space="preserve">     </w:t>
      </w:r>
      <w:r>
        <w:rPr>
          <w:rFonts w:hint="eastAsia" w:ascii="宋体" w:hAnsi="宋体" w:eastAsia="宋体" w:cs="宋体"/>
          <w:color w:val="auto"/>
          <w:sz w:val="28"/>
        </w:rPr>
        <w:t>日</w:t>
      </w:r>
    </w:p>
    <w:p>
      <w:pPr>
        <w:spacing w:line="500" w:lineRule="exact"/>
        <w:ind w:left="8" w:leftChars="4" w:firstLine="264" w:firstLineChars="140"/>
        <w:rPr>
          <w:rFonts w:hint="eastAsia" w:ascii="宋体" w:hAnsi="宋体" w:eastAsia="宋体" w:cs="宋体"/>
          <w:b/>
          <w:color w:val="auto"/>
          <w:spacing w:val="4"/>
          <w:sz w:val="18"/>
        </w:rPr>
      </w:pPr>
    </w:p>
    <w:p>
      <w:pPr>
        <w:pStyle w:val="42"/>
        <w:spacing w:line="440" w:lineRule="exact"/>
        <w:rPr>
          <w:rFonts w:hint="eastAsia" w:ascii="宋体" w:hAnsi="宋体" w:eastAsia="宋体" w:cs="宋体"/>
          <w:b/>
          <w:snapToGrid w:val="0"/>
          <w:color w:val="auto"/>
          <w:kern w:val="0"/>
          <w:highlight w:val="none"/>
        </w:rPr>
      </w:pPr>
    </w:p>
    <w:p>
      <w:pPr>
        <w:pStyle w:val="42"/>
        <w:spacing w:line="440" w:lineRule="exact"/>
        <w:rPr>
          <w:rFonts w:hint="eastAsia" w:ascii="宋体" w:hAnsi="宋体" w:eastAsia="宋体" w:cs="宋体"/>
          <w:b/>
          <w:snapToGrid w:val="0"/>
          <w:color w:val="auto"/>
          <w:kern w:val="0"/>
          <w:highlight w:val="none"/>
        </w:rPr>
      </w:pPr>
    </w:p>
    <w:p>
      <w:pPr>
        <w:pStyle w:val="42"/>
        <w:spacing w:line="440" w:lineRule="exact"/>
        <w:rPr>
          <w:rFonts w:hint="eastAsia" w:ascii="宋体" w:hAnsi="宋体" w:eastAsia="宋体" w:cs="宋体"/>
          <w:b/>
          <w:snapToGrid w:val="0"/>
          <w:color w:val="auto"/>
          <w:kern w:val="0"/>
          <w:highlight w:val="none"/>
        </w:rPr>
      </w:pPr>
    </w:p>
    <w:p>
      <w:pPr>
        <w:pStyle w:val="42"/>
        <w:spacing w:line="440" w:lineRule="exact"/>
        <w:jc w:val="center"/>
        <w:rPr>
          <w:rFonts w:hint="eastAsia" w:ascii="宋体" w:hAnsi="宋体" w:eastAsia="宋体" w:cs="宋体"/>
          <w:b/>
          <w:snapToGrid w:val="0"/>
          <w:color w:val="auto"/>
          <w:kern w:val="0"/>
          <w:sz w:val="32"/>
          <w:szCs w:val="32"/>
          <w:highlight w:val="none"/>
        </w:rPr>
      </w:pPr>
      <w:r>
        <w:rPr>
          <w:rFonts w:hint="eastAsia" w:ascii="宋体" w:hAnsi="宋体" w:eastAsia="宋体" w:cs="宋体"/>
          <w:b/>
          <w:snapToGrid w:val="0"/>
          <w:color w:val="auto"/>
          <w:kern w:val="0"/>
          <w:sz w:val="32"/>
          <w:szCs w:val="32"/>
          <w:highlight w:val="none"/>
        </w:rPr>
        <w:t>注：附法定代表人的身份证正、反面复印件加盖公章。</w:t>
      </w:r>
    </w:p>
    <w:p>
      <w:pPr>
        <w:spacing w:line="360" w:lineRule="auto"/>
        <w:rPr>
          <w:rFonts w:hint="eastAsia" w:ascii="宋体" w:hAnsi="宋体" w:eastAsia="宋体" w:cs="宋体"/>
          <w:bCs/>
          <w:color w:val="auto"/>
          <w:sz w:val="24"/>
          <w:highlight w:val="none"/>
        </w:rPr>
      </w:pPr>
    </w:p>
    <w:p>
      <w:pPr>
        <w:pStyle w:val="2"/>
        <w:rPr>
          <w:rFonts w:hint="eastAsia" w:ascii="宋体" w:hAnsi="宋体" w:eastAsia="宋体" w:cs="宋体"/>
          <w:bCs/>
          <w:color w:val="auto"/>
          <w:sz w:val="24"/>
          <w:highlight w:val="none"/>
        </w:rPr>
      </w:pPr>
    </w:p>
    <w:p>
      <w:pPr>
        <w:rPr>
          <w:rFonts w:hint="eastAsia" w:ascii="宋体" w:hAnsi="宋体" w:eastAsia="宋体" w:cs="宋体"/>
          <w:color w:val="auto"/>
        </w:rPr>
      </w:pPr>
    </w:p>
    <w:p>
      <w:pPr>
        <w:spacing w:line="440" w:lineRule="exact"/>
        <w:jc w:val="center"/>
        <w:rPr>
          <w:rFonts w:hint="eastAsia" w:ascii="宋体" w:hAnsi="宋体" w:eastAsia="宋体" w:cs="宋体"/>
          <w:b/>
          <w:bCs/>
          <w:color w:val="auto"/>
          <w:sz w:val="28"/>
          <w:highlight w:val="none"/>
        </w:rPr>
      </w:pPr>
      <w:r>
        <w:rPr>
          <w:rFonts w:hint="eastAsia" w:ascii="宋体" w:hAnsi="宋体" w:eastAsia="宋体" w:cs="宋体"/>
          <w:b/>
          <w:bCs/>
          <w:color w:val="auto"/>
          <w:sz w:val="28"/>
          <w:highlight w:val="none"/>
          <w:lang w:eastAsia="zh-CN"/>
        </w:rPr>
        <w:t>（</w:t>
      </w:r>
      <w:r>
        <w:rPr>
          <w:rFonts w:hint="eastAsia" w:ascii="宋体" w:hAnsi="宋体" w:eastAsia="宋体" w:cs="宋体"/>
          <w:b/>
          <w:bCs/>
          <w:color w:val="auto"/>
          <w:sz w:val="28"/>
          <w:highlight w:val="none"/>
          <w:lang w:val="en-US" w:eastAsia="zh-CN"/>
        </w:rPr>
        <w:t>2</w:t>
      </w:r>
      <w:r>
        <w:rPr>
          <w:rFonts w:hint="eastAsia" w:ascii="宋体" w:hAnsi="宋体" w:eastAsia="宋体" w:cs="宋体"/>
          <w:b/>
          <w:bCs/>
          <w:color w:val="auto"/>
          <w:sz w:val="28"/>
          <w:highlight w:val="none"/>
          <w:lang w:eastAsia="zh-CN"/>
        </w:rPr>
        <w:t>）</w:t>
      </w:r>
      <w:r>
        <w:rPr>
          <w:rFonts w:hint="eastAsia" w:ascii="宋体" w:hAnsi="宋体" w:eastAsia="宋体" w:cs="宋体"/>
          <w:b/>
          <w:bCs/>
          <w:color w:val="auto"/>
          <w:sz w:val="28"/>
          <w:highlight w:val="none"/>
        </w:rPr>
        <w:t>法定代表人授权委托书</w:t>
      </w:r>
    </w:p>
    <w:p>
      <w:pPr>
        <w:pStyle w:val="2"/>
        <w:rPr>
          <w:rFonts w:hint="eastAsia" w:ascii="宋体" w:hAnsi="宋体" w:eastAsia="宋体" w:cs="宋体"/>
          <w:color w:val="auto"/>
        </w:rPr>
      </w:pPr>
    </w:p>
    <w:p>
      <w:pPr>
        <w:spacing w:line="440" w:lineRule="exact"/>
        <w:rPr>
          <w:rFonts w:hint="eastAsia" w:ascii="宋体" w:hAnsi="宋体" w:eastAsia="宋体" w:cs="宋体"/>
          <w:bCs/>
          <w:color w:val="auto"/>
          <w:spacing w:val="8"/>
          <w:sz w:val="24"/>
          <w:highlight w:val="none"/>
        </w:rPr>
      </w:pPr>
      <w:r>
        <w:rPr>
          <w:rFonts w:hint="eastAsia" w:ascii="宋体" w:hAnsi="宋体" w:eastAsia="宋体" w:cs="宋体"/>
          <w:bCs/>
          <w:color w:val="auto"/>
          <w:spacing w:val="8"/>
          <w:sz w:val="24"/>
          <w:highlight w:val="none"/>
        </w:rPr>
        <w:t>致：</w:t>
      </w:r>
      <w:r>
        <w:rPr>
          <w:rFonts w:hint="eastAsia" w:ascii="宋体" w:hAnsi="宋体" w:eastAsia="宋体" w:cs="宋体"/>
          <w:color w:val="auto"/>
          <w:sz w:val="24"/>
          <w:szCs w:val="24"/>
          <w:highlight w:val="none"/>
        </w:rPr>
        <w:t>鸿民国际工程咨询有限公司</w:t>
      </w:r>
    </w:p>
    <w:p>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本授权委托书声明：我</w:t>
      </w:r>
      <w:r>
        <w:rPr>
          <w:rFonts w:hint="eastAsia" w:ascii="宋体" w:hAnsi="宋体" w:eastAsia="宋体" w:cs="宋体"/>
          <w:color w:val="auto"/>
          <w:sz w:val="24"/>
          <w:highlight w:val="none"/>
          <w:u w:val="single"/>
        </w:rPr>
        <w:t xml:space="preserve">  （姓名、身份证号码） </w:t>
      </w:r>
      <w:r>
        <w:rPr>
          <w:rFonts w:hint="eastAsia" w:ascii="宋体" w:hAnsi="宋体" w:eastAsia="宋体" w:cs="宋体"/>
          <w:color w:val="auto"/>
          <w:sz w:val="24"/>
          <w:highlight w:val="none"/>
        </w:rPr>
        <w:t>系</w:t>
      </w:r>
      <w:r>
        <w:rPr>
          <w:rFonts w:hint="eastAsia" w:ascii="宋体" w:hAnsi="宋体" w:eastAsia="宋体" w:cs="宋体"/>
          <w:color w:val="auto"/>
          <w:sz w:val="24"/>
          <w:highlight w:val="none"/>
          <w:u w:val="single"/>
        </w:rPr>
        <w:t xml:space="preserve">  （投标人名称）   </w:t>
      </w:r>
      <w:r>
        <w:rPr>
          <w:rFonts w:hint="eastAsia" w:ascii="宋体" w:hAnsi="宋体" w:eastAsia="宋体" w:cs="宋体"/>
          <w:color w:val="auto"/>
          <w:sz w:val="24"/>
          <w:highlight w:val="none"/>
        </w:rPr>
        <w:t>的法定代表人，现授权委托</w:t>
      </w:r>
      <w:r>
        <w:rPr>
          <w:rFonts w:hint="eastAsia" w:ascii="宋体" w:hAnsi="宋体" w:eastAsia="宋体" w:cs="宋体"/>
          <w:color w:val="auto"/>
          <w:sz w:val="24"/>
          <w:highlight w:val="none"/>
          <w:u w:val="single"/>
        </w:rPr>
        <w:t xml:space="preserve">  （被授权人姓名） </w:t>
      </w:r>
      <w:r>
        <w:rPr>
          <w:rFonts w:hint="eastAsia" w:ascii="宋体" w:hAnsi="宋体" w:eastAsia="宋体" w:cs="宋体"/>
          <w:color w:val="auto"/>
          <w:sz w:val="24"/>
          <w:highlight w:val="none"/>
        </w:rPr>
        <w:t>为我公司授权代表，以本公司的名义参加贵司组织的</w:t>
      </w:r>
      <w:r>
        <w:rPr>
          <w:rFonts w:hint="eastAsia" w:ascii="宋体" w:hAnsi="宋体" w:cs="宋体"/>
          <w:color w:val="auto"/>
          <w:sz w:val="24"/>
          <w:highlight w:val="none"/>
          <w:u w:val="single"/>
          <w:lang w:eastAsia="zh-CN"/>
        </w:rPr>
        <w:t>富平县灯饰修缮工程</w:t>
      </w:r>
      <w:r>
        <w:rPr>
          <w:rFonts w:hint="eastAsia" w:ascii="宋体" w:hAnsi="宋体" w:eastAsia="宋体" w:cs="宋体"/>
          <w:color w:val="auto"/>
          <w:spacing w:val="6"/>
          <w:sz w:val="24"/>
          <w:highlight w:val="none"/>
        </w:rPr>
        <w:t>（项目编号：</w:t>
      </w:r>
      <w:r>
        <w:rPr>
          <w:rFonts w:hint="eastAsia" w:ascii="宋体" w:hAnsi="宋体" w:cs="宋体"/>
          <w:color w:val="auto"/>
          <w:sz w:val="24"/>
          <w:highlight w:val="none"/>
          <w:u w:val="single"/>
          <w:lang w:eastAsia="zh-CN"/>
        </w:rPr>
        <w:t>HMGJ-DL-2021-064</w:t>
      </w:r>
      <w:r>
        <w:rPr>
          <w:rFonts w:hint="eastAsia" w:ascii="宋体" w:hAnsi="宋体" w:eastAsia="宋体" w:cs="宋体"/>
          <w:color w:val="auto"/>
          <w:spacing w:val="6"/>
          <w:sz w:val="24"/>
          <w:highlight w:val="none"/>
        </w:rPr>
        <w:t>）的招标活动</w:t>
      </w:r>
      <w:r>
        <w:rPr>
          <w:rFonts w:hint="eastAsia" w:ascii="宋体" w:hAnsi="宋体" w:eastAsia="宋体" w:cs="宋体"/>
          <w:color w:val="auto"/>
          <w:sz w:val="24"/>
          <w:highlight w:val="none"/>
        </w:rPr>
        <w:t>。授权代表在招标过程中所签署的一切文件和处理与之有关的一切事务，我方均予以承认，授权代表当场签字有效。</w:t>
      </w:r>
    </w:p>
    <w:p>
      <w:pPr>
        <w:spacing w:line="44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本授权书于_____年___月___日签字生效，有效期为</w:t>
      </w:r>
      <w:r>
        <w:rPr>
          <w:rFonts w:hint="eastAsia" w:ascii="宋体" w:hAnsi="宋体" w:eastAsia="宋体" w:cs="宋体"/>
          <w:color w:val="auto"/>
          <w:sz w:val="24"/>
          <w:highlight w:val="none"/>
          <w:u w:val="single"/>
        </w:rPr>
        <w:t xml:space="preserve">      </w:t>
      </w:r>
      <w:r>
        <w:rPr>
          <w:rFonts w:hint="eastAsia" w:ascii="宋体" w:hAnsi="宋体" w:eastAsia="宋体" w:cs="宋体"/>
          <w:color w:val="auto"/>
          <w:sz w:val="24"/>
          <w:highlight w:val="none"/>
        </w:rPr>
        <w:t>天，特此声明。</w:t>
      </w:r>
    </w:p>
    <w:p>
      <w:pPr>
        <w:spacing w:line="440" w:lineRule="exact"/>
        <w:ind w:firstLine="562" w:firstLineChars="200"/>
        <w:rPr>
          <w:rFonts w:hint="eastAsia" w:ascii="宋体" w:hAnsi="宋体" w:eastAsia="宋体" w:cs="宋体"/>
          <w:color w:val="auto"/>
          <w:sz w:val="24"/>
          <w:highlight w:val="none"/>
        </w:rPr>
      </w:pPr>
      <w:r>
        <w:rPr>
          <w:rFonts w:hint="eastAsia" w:ascii="宋体" w:hAnsi="宋体" w:eastAsia="宋体" w:cs="宋体"/>
          <w:b/>
          <w:bCs/>
          <w:color w:val="auto"/>
          <w:sz w:val="28"/>
          <w:szCs w:val="28"/>
          <w:highlight w:val="none"/>
          <w:lang w:val="zh-CN"/>
        </w:rPr>
        <w:t>（须与投标文件有效期一致，不少于</w:t>
      </w:r>
      <w:r>
        <w:rPr>
          <w:rFonts w:hint="eastAsia" w:ascii="宋体" w:hAnsi="宋体" w:eastAsia="宋体" w:cs="宋体"/>
          <w:b/>
          <w:bCs/>
          <w:color w:val="auto"/>
          <w:sz w:val="28"/>
          <w:szCs w:val="28"/>
          <w:highlight w:val="none"/>
          <w:lang w:val="en-US" w:eastAsia="zh-CN"/>
        </w:rPr>
        <w:t>90</w:t>
      </w:r>
      <w:r>
        <w:rPr>
          <w:rFonts w:hint="eastAsia" w:ascii="宋体" w:hAnsi="宋体" w:eastAsia="宋体" w:cs="宋体"/>
          <w:b/>
          <w:bCs/>
          <w:color w:val="auto"/>
          <w:sz w:val="28"/>
          <w:szCs w:val="28"/>
          <w:highlight w:val="none"/>
          <w:lang w:val="zh-CN"/>
        </w:rPr>
        <w:t>天）</w:t>
      </w:r>
    </w:p>
    <w:p>
      <w:pPr>
        <w:spacing w:line="440" w:lineRule="exact"/>
        <w:ind w:firstLine="512" w:firstLineChars="200"/>
        <w:rPr>
          <w:rFonts w:hint="eastAsia" w:ascii="宋体" w:hAnsi="宋体" w:eastAsia="宋体" w:cs="宋体"/>
          <w:color w:val="auto"/>
          <w:spacing w:val="8"/>
          <w:sz w:val="24"/>
          <w:highlight w:val="none"/>
          <w:u w:val="single"/>
        </w:rPr>
      </w:pPr>
      <w:r>
        <w:rPr>
          <w:rFonts w:hint="eastAsia" w:ascii="宋体" w:hAnsi="宋体" w:eastAsia="宋体" w:cs="宋体"/>
          <w:color w:val="auto"/>
          <w:spacing w:val="8"/>
          <w:sz w:val="24"/>
          <w:highlight w:val="none"/>
        </w:rPr>
        <w:t>授权代表：</w:t>
      </w:r>
      <w:r>
        <w:rPr>
          <w:rFonts w:hint="eastAsia" w:ascii="宋体" w:hAnsi="宋体" w:eastAsia="宋体" w:cs="宋体"/>
          <w:color w:val="auto"/>
          <w:spacing w:val="8"/>
          <w:sz w:val="24"/>
          <w:highlight w:val="none"/>
          <w:u w:val="single"/>
        </w:rPr>
        <w:t xml:space="preserve">                        </w:t>
      </w:r>
    </w:p>
    <w:p>
      <w:pPr>
        <w:spacing w:line="440" w:lineRule="exact"/>
        <w:ind w:firstLine="512" w:firstLineChars="200"/>
        <w:rPr>
          <w:rFonts w:hint="eastAsia" w:ascii="宋体" w:hAnsi="宋体" w:eastAsia="宋体" w:cs="宋体"/>
          <w:color w:val="auto"/>
          <w:spacing w:val="8"/>
          <w:sz w:val="24"/>
          <w:highlight w:val="none"/>
          <w:u w:val="single"/>
        </w:rPr>
      </w:pPr>
      <w:r>
        <w:rPr>
          <w:rFonts w:hint="eastAsia" w:ascii="宋体" w:hAnsi="宋体" w:eastAsia="宋体" w:cs="宋体"/>
          <w:color w:val="auto"/>
          <w:spacing w:val="8"/>
          <w:sz w:val="24"/>
          <w:highlight w:val="none"/>
        </w:rPr>
        <w:t>性    别：</w:t>
      </w:r>
      <w:r>
        <w:rPr>
          <w:rFonts w:hint="eastAsia" w:ascii="宋体" w:hAnsi="宋体" w:eastAsia="宋体" w:cs="宋体"/>
          <w:color w:val="auto"/>
          <w:spacing w:val="8"/>
          <w:sz w:val="24"/>
          <w:highlight w:val="none"/>
          <w:u w:val="single"/>
        </w:rPr>
        <w:t xml:space="preserve">                        </w:t>
      </w:r>
    </w:p>
    <w:p>
      <w:pPr>
        <w:spacing w:line="440" w:lineRule="exact"/>
        <w:ind w:firstLine="512" w:firstLineChars="200"/>
        <w:rPr>
          <w:rFonts w:hint="eastAsia" w:ascii="宋体" w:hAnsi="宋体" w:eastAsia="宋体" w:cs="宋体"/>
          <w:color w:val="auto"/>
          <w:spacing w:val="8"/>
          <w:sz w:val="24"/>
          <w:highlight w:val="none"/>
          <w:u w:val="single"/>
        </w:rPr>
      </w:pPr>
      <w:r>
        <w:rPr>
          <w:rFonts w:hint="eastAsia" w:ascii="宋体" w:hAnsi="宋体" w:eastAsia="宋体" w:cs="宋体"/>
          <w:color w:val="auto"/>
          <w:spacing w:val="8"/>
          <w:sz w:val="24"/>
          <w:highlight w:val="none"/>
        </w:rPr>
        <w:t>身份证号码：</w:t>
      </w:r>
      <w:r>
        <w:rPr>
          <w:rFonts w:hint="eastAsia" w:ascii="宋体" w:hAnsi="宋体" w:eastAsia="宋体" w:cs="宋体"/>
          <w:color w:val="auto"/>
          <w:spacing w:val="8"/>
          <w:sz w:val="24"/>
          <w:highlight w:val="none"/>
          <w:u w:val="single"/>
        </w:rPr>
        <w:t xml:space="preserve">                      </w:t>
      </w:r>
    </w:p>
    <w:p>
      <w:pPr>
        <w:spacing w:line="440" w:lineRule="exact"/>
        <w:ind w:firstLine="512" w:firstLineChars="200"/>
        <w:rPr>
          <w:rFonts w:hint="eastAsia" w:ascii="宋体" w:hAnsi="宋体" w:eastAsia="宋体" w:cs="宋体"/>
          <w:color w:val="auto"/>
          <w:spacing w:val="8"/>
          <w:sz w:val="24"/>
          <w:highlight w:val="none"/>
          <w:u w:val="single"/>
        </w:rPr>
      </w:pPr>
      <w:r>
        <w:rPr>
          <w:rFonts w:hint="eastAsia" w:ascii="宋体" w:hAnsi="宋体" w:eastAsia="宋体" w:cs="宋体"/>
          <w:color w:val="auto"/>
          <w:spacing w:val="8"/>
          <w:sz w:val="24"/>
          <w:highlight w:val="none"/>
        </w:rPr>
        <w:t>部门：</w:t>
      </w:r>
      <w:r>
        <w:rPr>
          <w:rFonts w:hint="eastAsia" w:ascii="宋体" w:hAnsi="宋体" w:eastAsia="宋体" w:cs="宋体"/>
          <w:color w:val="auto"/>
          <w:spacing w:val="8"/>
          <w:sz w:val="24"/>
          <w:highlight w:val="none"/>
          <w:u w:val="single"/>
        </w:rPr>
        <w:t xml:space="preserve">          </w:t>
      </w:r>
      <w:r>
        <w:rPr>
          <w:rFonts w:hint="eastAsia" w:ascii="宋体" w:hAnsi="宋体" w:eastAsia="宋体" w:cs="宋体"/>
          <w:color w:val="auto"/>
          <w:spacing w:val="8"/>
          <w:sz w:val="24"/>
          <w:highlight w:val="none"/>
        </w:rPr>
        <w:t xml:space="preserve">  职务：</w:t>
      </w:r>
      <w:r>
        <w:rPr>
          <w:rFonts w:hint="eastAsia" w:ascii="宋体" w:hAnsi="宋体" w:eastAsia="宋体" w:cs="宋体"/>
          <w:color w:val="auto"/>
          <w:spacing w:val="8"/>
          <w:sz w:val="24"/>
          <w:highlight w:val="none"/>
          <w:u w:val="single"/>
        </w:rPr>
        <w:t xml:space="preserve">          </w:t>
      </w:r>
    </w:p>
    <w:p>
      <w:pPr>
        <w:pStyle w:val="204"/>
        <w:spacing w:line="440" w:lineRule="exact"/>
        <w:rPr>
          <w:rFonts w:hint="eastAsia" w:ascii="宋体" w:hAnsi="宋体" w:eastAsia="宋体" w:cs="宋体"/>
          <w:color w:val="auto"/>
          <w:spacing w:val="8"/>
          <w:sz w:val="24"/>
          <w:szCs w:val="24"/>
          <w:highlight w:val="none"/>
        </w:rPr>
      </w:pPr>
    </w:p>
    <w:p>
      <w:pPr>
        <w:pStyle w:val="42"/>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说明：</w:t>
      </w:r>
    </w:p>
    <w:p>
      <w:pPr>
        <w:numPr>
          <w:ilvl w:val="0"/>
          <w:numId w:val="48"/>
        </w:numPr>
        <w:spacing w:line="440" w:lineRule="exact"/>
        <w:rPr>
          <w:rFonts w:hint="eastAsia" w:ascii="宋体" w:hAnsi="宋体" w:eastAsia="宋体" w:cs="宋体"/>
          <w:b/>
          <w:color w:val="auto"/>
          <w:spacing w:val="8"/>
          <w:sz w:val="24"/>
          <w:highlight w:val="none"/>
        </w:rPr>
      </w:pPr>
      <w:r>
        <w:rPr>
          <w:rFonts w:hint="eastAsia" w:ascii="宋体" w:hAnsi="宋体" w:eastAsia="宋体" w:cs="宋体"/>
          <w:b/>
          <w:color w:val="auto"/>
          <w:spacing w:val="8"/>
          <w:sz w:val="24"/>
          <w:highlight w:val="none"/>
        </w:rPr>
        <w:t>投标人代表是法定代表人并亲自签署投标文件的可不提交；</w:t>
      </w:r>
    </w:p>
    <w:p>
      <w:pPr>
        <w:pStyle w:val="42"/>
        <w:numPr>
          <w:ilvl w:val="0"/>
          <w:numId w:val="48"/>
        </w:numPr>
        <w:spacing w:line="440" w:lineRule="exact"/>
        <w:rPr>
          <w:rFonts w:hint="eastAsia" w:ascii="宋体" w:hAnsi="宋体" w:eastAsia="宋体" w:cs="宋体"/>
          <w:color w:val="auto"/>
          <w:spacing w:val="8"/>
          <w:sz w:val="24"/>
          <w:highlight w:val="none"/>
        </w:rPr>
      </w:pPr>
      <w:r>
        <w:rPr>
          <w:rFonts w:hint="eastAsia" w:ascii="宋体" w:hAnsi="宋体" w:eastAsia="宋体" w:cs="宋体"/>
          <w:color w:val="auto"/>
          <w:spacing w:val="8"/>
          <w:sz w:val="24"/>
          <w:highlight w:val="none"/>
        </w:rPr>
        <w:t>此处所述“法定代表人”须与投标人的“企业法人营业执照”上的内容一致。</w:t>
      </w:r>
    </w:p>
    <w:p>
      <w:pPr>
        <w:spacing w:line="440" w:lineRule="exact"/>
        <w:rPr>
          <w:rFonts w:hint="eastAsia" w:ascii="宋体" w:hAnsi="宋体" w:eastAsia="宋体" w:cs="宋体"/>
          <w:color w:val="auto"/>
          <w:sz w:val="24"/>
          <w:highlight w:val="none"/>
        </w:rPr>
      </w:pPr>
    </w:p>
    <w:p>
      <w:pPr>
        <w:spacing w:line="440" w:lineRule="exact"/>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被授权人（签字）：                          投标人名称（公章）： </w:t>
      </w:r>
    </w:p>
    <w:p>
      <w:pPr>
        <w:pStyle w:val="42"/>
        <w:spacing w:line="440" w:lineRule="exact"/>
        <w:ind w:firstLine="5280" w:firstLineChars="2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法定代表人（签字）：</w:t>
      </w:r>
    </w:p>
    <w:p>
      <w:pPr>
        <w:pStyle w:val="42"/>
        <w:spacing w:line="440" w:lineRule="exact"/>
        <w:ind w:firstLine="5280" w:firstLineChars="2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  期：</w:t>
      </w:r>
    </w:p>
    <w:p>
      <w:pPr>
        <w:pStyle w:val="42"/>
        <w:spacing w:line="440" w:lineRule="exact"/>
        <w:ind w:firstLine="5280" w:firstLineChars="2200"/>
        <w:rPr>
          <w:rFonts w:hint="eastAsia" w:ascii="宋体" w:hAnsi="宋体" w:eastAsia="宋体" w:cs="宋体"/>
          <w:color w:val="auto"/>
          <w:sz w:val="24"/>
          <w:szCs w:val="24"/>
          <w:highlight w:val="none"/>
        </w:rPr>
      </w:pPr>
    </w:p>
    <w:p>
      <w:pPr>
        <w:pStyle w:val="42"/>
        <w:spacing w:line="440" w:lineRule="exact"/>
        <w:jc w:val="left"/>
        <w:rPr>
          <w:rFonts w:hint="eastAsia" w:ascii="宋体" w:hAnsi="宋体" w:eastAsia="宋体" w:cs="宋体"/>
          <w:b/>
          <w:snapToGrid w:val="0"/>
          <w:color w:val="auto"/>
          <w:kern w:val="0"/>
          <w:sz w:val="32"/>
          <w:szCs w:val="32"/>
          <w:highlight w:val="none"/>
          <w:lang w:eastAsia="zh-CN"/>
        </w:rPr>
      </w:pPr>
      <w:r>
        <w:rPr>
          <w:rFonts w:hint="eastAsia" w:ascii="宋体" w:hAnsi="宋体" w:eastAsia="宋体" w:cs="宋体"/>
          <w:b/>
          <w:snapToGrid w:val="0"/>
          <w:color w:val="auto"/>
          <w:kern w:val="0"/>
          <w:sz w:val="32"/>
          <w:szCs w:val="32"/>
          <w:highlight w:val="none"/>
        </w:rPr>
        <w:t>注：</w:t>
      </w:r>
      <w:r>
        <w:rPr>
          <w:rFonts w:hint="eastAsia" w:ascii="宋体" w:hAnsi="宋体" w:eastAsia="宋体" w:cs="宋体"/>
          <w:b/>
          <w:snapToGrid w:val="0"/>
          <w:color w:val="auto"/>
          <w:kern w:val="0"/>
          <w:sz w:val="32"/>
          <w:szCs w:val="32"/>
          <w:highlight w:val="none"/>
          <w:lang w:val="en-US" w:eastAsia="zh-CN"/>
        </w:rPr>
        <w:t>1、</w:t>
      </w:r>
      <w:r>
        <w:rPr>
          <w:rFonts w:hint="eastAsia" w:ascii="宋体" w:hAnsi="宋体" w:eastAsia="宋体" w:cs="宋体"/>
          <w:b/>
          <w:snapToGrid w:val="0"/>
          <w:color w:val="auto"/>
          <w:kern w:val="0"/>
          <w:sz w:val="32"/>
          <w:szCs w:val="32"/>
          <w:highlight w:val="none"/>
        </w:rPr>
        <w:t>附授权代表的身份证正、反面复印件加盖公章</w:t>
      </w:r>
      <w:r>
        <w:rPr>
          <w:rFonts w:hint="eastAsia" w:ascii="宋体" w:hAnsi="宋体" w:eastAsia="宋体" w:cs="宋体"/>
          <w:b/>
          <w:snapToGrid w:val="0"/>
          <w:color w:val="auto"/>
          <w:kern w:val="0"/>
          <w:sz w:val="32"/>
          <w:szCs w:val="32"/>
          <w:highlight w:val="none"/>
          <w:lang w:eastAsia="zh-CN"/>
        </w:rPr>
        <w:t>；</w:t>
      </w:r>
    </w:p>
    <w:p>
      <w:pPr>
        <w:pStyle w:val="42"/>
        <w:spacing w:line="440" w:lineRule="exact"/>
        <w:ind w:firstLine="643" w:firstLineChars="200"/>
        <w:jc w:val="left"/>
        <w:rPr>
          <w:rFonts w:hint="eastAsia" w:ascii="宋体" w:hAnsi="宋体" w:eastAsia="宋体" w:cs="宋体"/>
          <w:b/>
          <w:snapToGrid w:val="0"/>
          <w:color w:val="auto"/>
          <w:kern w:val="0"/>
          <w:sz w:val="32"/>
          <w:szCs w:val="32"/>
          <w:highlight w:val="none"/>
        </w:rPr>
      </w:pPr>
      <w:r>
        <w:rPr>
          <w:rFonts w:hint="eastAsia" w:ascii="宋体" w:hAnsi="宋体" w:eastAsia="宋体" w:cs="宋体"/>
          <w:b/>
          <w:snapToGrid w:val="0"/>
          <w:color w:val="auto"/>
          <w:kern w:val="0"/>
          <w:sz w:val="32"/>
          <w:szCs w:val="32"/>
          <w:highlight w:val="none"/>
          <w:lang w:val="en-US" w:eastAsia="zh-CN"/>
        </w:rPr>
        <w:t>2、</w:t>
      </w:r>
      <w:r>
        <w:rPr>
          <w:rFonts w:hint="eastAsia" w:ascii="宋体" w:hAnsi="宋体" w:eastAsia="宋体" w:cs="宋体"/>
          <w:b/>
          <w:snapToGrid w:val="0"/>
          <w:color w:val="auto"/>
          <w:kern w:val="0"/>
          <w:sz w:val="32"/>
          <w:szCs w:val="32"/>
          <w:highlight w:val="none"/>
        </w:rPr>
        <w:t>附授权代表本单位证明（投标截止前六个月内出具的养老保险缴纳证明）。</w:t>
      </w:r>
    </w:p>
    <w:p>
      <w:pPr>
        <w:pStyle w:val="42"/>
        <w:spacing w:line="440" w:lineRule="exact"/>
        <w:ind w:firstLine="5280" w:firstLineChars="2200"/>
        <w:rPr>
          <w:rFonts w:hint="eastAsia" w:ascii="宋体" w:hAnsi="宋体" w:eastAsia="宋体" w:cs="宋体"/>
          <w:color w:val="auto"/>
          <w:sz w:val="24"/>
          <w:szCs w:val="24"/>
          <w:highlight w:val="none"/>
        </w:rPr>
      </w:pPr>
    </w:p>
    <w:p>
      <w:pPr>
        <w:pStyle w:val="42"/>
        <w:spacing w:line="440" w:lineRule="exact"/>
        <w:ind w:firstLine="5280" w:firstLineChars="2200"/>
        <w:rPr>
          <w:rFonts w:hint="eastAsia" w:ascii="宋体" w:hAnsi="宋体" w:eastAsia="宋体" w:cs="宋体"/>
          <w:color w:val="auto"/>
          <w:sz w:val="24"/>
          <w:szCs w:val="24"/>
          <w:highlight w:val="none"/>
        </w:rPr>
      </w:pPr>
    </w:p>
    <w:p>
      <w:pPr>
        <w:pStyle w:val="42"/>
        <w:spacing w:line="440" w:lineRule="exact"/>
        <w:ind w:firstLine="5280" w:firstLineChars="2200"/>
        <w:rPr>
          <w:rFonts w:hint="eastAsia" w:ascii="宋体" w:hAnsi="宋体" w:eastAsia="宋体" w:cs="宋体"/>
          <w:color w:val="auto"/>
          <w:sz w:val="24"/>
          <w:szCs w:val="24"/>
          <w:highlight w:val="none"/>
        </w:rPr>
      </w:pPr>
    </w:p>
    <w:p>
      <w:pPr>
        <w:pStyle w:val="42"/>
        <w:spacing w:line="440" w:lineRule="exact"/>
        <w:ind w:firstLine="5280" w:firstLineChars="2200"/>
        <w:rPr>
          <w:rFonts w:hint="eastAsia" w:ascii="宋体" w:hAnsi="宋体" w:eastAsia="宋体" w:cs="宋体"/>
          <w:color w:val="auto"/>
          <w:sz w:val="24"/>
          <w:szCs w:val="24"/>
          <w:highlight w:val="none"/>
        </w:rPr>
      </w:pPr>
    </w:p>
    <w:p>
      <w:pPr>
        <w:pStyle w:val="3"/>
        <w:keepLines/>
        <w:spacing w:before="338" w:beforeLines="100" w:after="507" w:afterLines="150" w:line="240" w:lineRule="auto"/>
        <w:rPr>
          <w:rFonts w:hint="eastAsia" w:ascii="宋体" w:hAnsi="宋体" w:eastAsia="宋体" w:cs="宋体"/>
          <w:b/>
          <w:bCs/>
          <w:color w:val="auto"/>
          <w:kern w:val="44"/>
          <w:sz w:val="36"/>
          <w:szCs w:val="36"/>
          <w:highlight w:val="none"/>
          <w:lang w:eastAsia="zh-CN"/>
        </w:rPr>
      </w:pPr>
      <w:bookmarkStart w:id="562" w:name="_Toc8576"/>
      <w:r>
        <w:rPr>
          <w:rFonts w:hint="eastAsia" w:ascii="宋体" w:hAnsi="宋体" w:eastAsia="宋体" w:cs="宋体"/>
          <w:b/>
          <w:bCs/>
          <w:color w:val="auto"/>
          <w:kern w:val="44"/>
          <w:sz w:val="36"/>
          <w:szCs w:val="36"/>
          <w:highlight w:val="none"/>
          <w:lang w:eastAsia="zh-CN"/>
        </w:rPr>
        <w:t>三、投标人资格证明材料</w:t>
      </w:r>
      <w:bookmarkEnd w:id="562"/>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企业法人营业执照或事业单位法人证书或其他组织合法证明文件，企业法人营业执照的需同时提供《国家企业信用信息公示系统》中的</w:t>
      </w:r>
      <w:r>
        <w:rPr>
          <w:rFonts w:hint="eastAsia" w:ascii="宋体" w:hAnsi="宋体" w:cs="宋体"/>
          <w:color w:val="auto"/>
          <w:sz w:val="24"/>
          <w:szCs w:val="24"/>
          <w:highlight w:val="none"/>
          <w:lang w:eastAsia="zh-CN"/>
        </w:rPr>
        <w:t>2020年度</w:t>
      </w:r>
      <w:r>
        <w:rPr>
          <w:rFonts w:hint="eastAsia" w:ascii="宋体" w:hAnsi="宋体" w:eastAsia="宋体" w:cs="宋体"/>
          <w:color w:val="auto"/>
          <w:sz w:val="24"/>
          <w:szCs w:val="24"/>
          <w:highlight w:val="none"/>
          <w:lang w:eastAsia="zh-CN"/>
        </w:rPr>
        <w:t>报告，复印件加盖单位公章；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投标人需</w:t>
      </w:r>
      <w:r>
        <w:rPr>
          <w:rFonts w:hint="eastAsia" w:ascii="宋体" w:hAnsi="宋体" w:eastAsia="宋体" w:cs="宋体"/>
          <w:color w:val="auto"/>
          <w:sz w:val="24"/>
          <w:szCs w:val="24"/>
          <w:highlight w:val="none"/>
          <w:lang w:val="en-US" w:eastAsia="zh-CN"/>
        </w:rPr>
        <w:t>具备建设行政主管部门颁发的</w:t>
      </w:r>
      <w:r>
        <w:rPr>
          <w:rFonts w:hint="eastAsia" w:ascii="宋体" w:hAnsi="宋体" w:cs="宋体"/>
          <w:color w:val="auto"/>
          <w:sz w:val="24"/>
          <w:szCs w:val="24"/>
          <w:highlight w:val="none"/>
          <w:lang w:val="en-US" w:eastAsia="zh-CN"/>
        </w:rPr>
        <w:t>市政公用工程施工总承包三级及以上资质或城市及道路照明工程专业承包二级</w:t>
      </w:r>
      <w:r>
        <w:rPr>
          <w:rFonts w:hint="eastAsia" w:ascii="宋体" w:hAnsi="宋体" w:eastAsia="宋体" w:cs="宋体"/>
          <w:color w:val="auto"/>
          <w:sz w:val="24"/>
          <w:szCs w:val="24"/>
          <w:highlight w:val="none"/>
          <w:lang w:val="en-US" w:eastAsia="zh-CN"/>
        </w:rPr>
        <w:t>及以上资质</w:t>
      </w:r>
      <w:r>
        <w:rPr>
          <w:rFonts w:hint="eastAsia" w:ascii="宋体" w:hAnsi="宋体" w:eastAsia="宋体" w:cs="宋体"/>
          <w:color w:val="auto"/>
          <w:sz w:val="24"/>
          <w:szCs w:val="24"/>
          <w:highlight w:val="none"/>
          <w:lang w:eastAsia="zh-CN"/>
        </w:rPr>
        <w:t>，复印件加盖单位公章；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投标人具备有效的安全生产许可证，复印件加盖单位公章；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投标人拟派项目经理具备有效的市政化用工程专业二级及以上建造师注册证书并具备有效的安全生产考核合格证书（建安</w:t>
      </w:r>
      <w:r>
        <w:rPr>
          <w:rFonts w:hint="eastAsia" w:ascii="宋体" w:hAnsi="宋体" w:eastAsia="宋体" w:cs="宋体"/>
          <w:color w:val="auto"/>
          <w:sz w:val="24"/>
          <w:szCs w:val="24"/>
          <w:highlight w:val="none"/>
          <w:lang w:val="en-US" w:eastAsia="zh-CN"/>
        </w:rPr>
        <w:t>B证</w:t>
      </w:r>
      <w:r>
        <w:rPr>
          <w:rFonts w:hint="eastAsia" w:ascii="宋体" w:hAnsi="宋体" w:eastAsia="宋体" w:cs="宋体"/>
          <w:color w:val="auto"/>
          <w:sz w:val="24"/>
          <w:szCs w:val="24"/>
          <w:highlight w:val="none"/>
          <w:lang w:eastAsia="zh-CN"/>
        </w:rPr>
        <w:t>），复印件加盖单位公章；提供无在建项目承诺，格式自拟、加盖公章；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外省企业须在“陕西省建筑市场监管与诚信信息一体化平台”备案，且无不良记录，提供网页查询截图打印件加盖单位公章；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财务状况报告：</w:t>
      </w:r>
      <w:r>
        <w:rPr>
          <w:rFonts w:hint="eastAsia" w:ascii="宋体" w:hAnsi="宋体" w:eastAsia="宋体" w:cs="宋体"/>
          <w:color w:val="auto"/>
          <w:sz w:val="24"/>
          <w:szCs w:val="24"/>
          <w:highlight w:val="none"/>
          <w:lang w:val="en-US" w:eastAsia="zh-CN"/>
        </w:rPr>
        <w:t>法人提供经会计师事务所审计的2020年度的财务报告或提交投标文件递交截止时间前六个月内其基本账户开户银行出具的资信证明；其他组织提供银行出具的资信证明或财务报表（附开户许可证或基本存款账户信息），</w:t>
      </w:r>
      <w:r>
        <w:rPr>
          <w:rFonts w:hint="eastAsia" w:ascii="宋体" w:hAnsi="宋体" w:eastAsia="宋体" w:cs="宋体"/>
          <w:color w:val="auto"/>
          <w:sz w:val="24"/>
          <w:szCs w:val="24"/>
          <w:highlight w:val="none"/>
          <w:lang w:eastAsia="zh-CN"/>
        </w:rPr>
        <w:t>复印件加盖单位公章；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lang w:eastAsia="zh-CN"/>
        </w:rPr>
        <w:t>税收缴纳证明：</w:t>
      </w:r>
      <w:r>
        <w:rPr>
          <w:rFonts w:hint="eastAsia" w:ascii="宋体" w:hAnsi="宋体" w:eastAsia="宋体" w:cs="宋体"/>
          <w:color w:val="auto"/>
          <w:sz w:val="24"/>
          <w:szCs w:val="24"/>
          <w:highlight w:val="none"/>
          <w:lang w:val="en-US" w:eastAsia="zh-CN"/>
        </w:rPr>
        <w:t>法人提供</w:t>
      </w:r>
      <w:r>
        <w:rPr>
          <w:rFonts w:hint="eastAsia" w:ascii="宋体" w:hAnsi="宋体" w:cs="宋体"/>
          <w:color w:val="auto"/>
          <w:sz w:val="24"/>
          <w:szCs w:val="24"/>
          <w:highlight w:val="none"/>
          <w:lang w:val="en-US" w:eastAsia="zh-CN"/>
        </w:rPr>
        <w:t>2021年6月以来</w:t>
      </w:r>
      <w:r>
        <w:rPr>
          <w:rFonts w:hint="eastAsia" w:ascii="宋体" w:hAnsi="宋体" w:eastAsia="宋体" w:cs="宋体"/>
          <w:color w:val="auto"/>
          <w:sz w:val="24"/>
          <w:szCs w:val="24"/>
          <w:highlight w:val="none"/>
          <w:lang w:val="en-US" w:eastAsia="zh-CN"/>
        </w:rPr>
        <w:t>任意一个月已缴纳的增值税或企业所得税的凭据；其他组织提供</w:t>
      </w:r>
      <w:r>
        <w:rPr>
          <w:rFonts w:hint="eastAsia" w:ascii="宋体" w:hAnsi="宋体" w:cs="宋体"/>
          <w:color w:val="auto"/>
          <w:sz w:val="24"/>
          <w:szCs w:val="24"/>
          <w:highlight w:val="none"/>
          <w:lang w:val="en-US" w:eastAsia="zh-CN"/>
        </w:rPr>
        <w:t>2021年6月以来</w:t>
      </w:r>
      <w:r>
        <w:rPr>
          <w:rFonts w:hint="eastAsia" w:ascii="宋体" w:hAnsi="宋体" w:eastAsia="宋体" w:cs="宋体"/>
          <w:color w:val="auto"/>
          <w:sz w:val="24"/>
          <w:szCs w:val="24"/>
          <w:highlight w:val="none"/>
          <w:lang w:val="en-US" w:eastAsia="zh-CN"/>
        </w:rPr>
        <w:t>任意一个月缴纳税收的凭据；依法免税的投标人应提供相关文件证明。</w:t>
      </w:r>
      <w:r>
        <w:rPr>
          <w:rFonts w:hint="eastAsia" w:ascii="宋体" w:hAnsi="宋体" w:eastAsia="宋体" w:cs="宋体"/>
          <w:color w:val="auto"/>
          <w:sz w:val="24"/>
          <w:szCs w:val="24"/>
          <w:highlight w:val="none"/>
          <w:lang w:eastAsia="zh-CN"/>
        </w:rPr>
        <w:t>复印件加盖单位公章；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lang w:eastAsia="zh-CN"/>
        </w:rPr>
        <w:t>社会保障资金缴纳证明：</w:t>
      </w:r>
      <w:r>
        <w:rPr>
          <w:rFonts w:hint="eastAsia" w:ascii="宋体" w:hAnsi="宋体" w:eastAsia="宋体" w:cs="宋体"/>
          <w:color w:val="auto"/>
          <w:sz w:val="24"/>
          <w:szCs w:val="24"/>
          <w:highlight w:val="none"/>
          <w:lang w:val="en-US" w:eastAsia="zh-CN"/>
        </w:rPr>
        <w:t>提供</w:t>
      </w:r>
      <w:r>
        <w:rPr>
          <w:rFonts w:hint="eastAsia" w:ascii="宋体" w:hAnsi="宋体" w:cs="宋体"/>
          <w:color w:val="auto"/>
          <w:sz w:val="24"/>
          <w:szCs w:val="24"/>
          <w:highlight w:val="none"/>
          <w:lang w:val="en-US" w:eastAsia="zh-CN"/>
        </w:rPr>
        <w:t>2021年6月以来</w:t>
      </w:r>
      <w:r>
        <w:rPr>
          <w:rFonts w:hint="eastAsia" w:ascii="宋体" w:hAnsi="宋体" w:eastAsia="宋体" w:cs="宋体"/>
          <w:color w:val="auto"/>
          <w:sz w:val="24"/>
          <w:szCs w:val="24"/>
          <w:highlight w:val="none"/>
          <w:lang w:val="en-US" w:eastAsia="zh-CN"/>
        </w:rPr>
        <w:t>任意一个月已缴纳的社会保障资金的凭据（专用收据或社会保险缴纳清单），依法不需要缴纳社会保障资金的投标人应提供相关文件证明。</w:t>
      </w:r>
      <w:r>
        <w:rPr>
          <w:rFonts w:hint="eastAsia" w:ascii="宋体" w:hAnsi="宋体" w:eastAsia="宋体" w:cs="宋体"/>
          <w:color w:val="auto"/>
          <w:sz w:val="24"/>
          <w:szCs w:val="24"/>
          <w:highlight w:val="none"/>
          <w:lang w:eastAsia="zh-CN"/>
        </w:rPr>
        <w:t>复印件加盖单位公章；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eastAsia="zh-CN"/>
        </w:rPr>
        <w:t>提供具有履行本合同所必需的设备和专业技术能力的说明及承诺，格式自拟、加盖公章；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lang w:eastAsia="zh-CN"/>
        </w:rPr>
        <w:t>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提供网页查询截图打印件加盖单位公章；</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11、</w:t>
      </w:r>
      <w:r>
        <w:rPr>
          <w:rFonts w:hint="eastAsia" w:ascii="宋体" w:hAnsi="宋体" w:eastAsia="宋体" w:cs="宋体"/>
          <w:color w:val="auto"/>
          <w:sz w:val="24"/>
          <w:szCs w:val="24"/>
          <w:highlight w:val="none"/>
          <w:lang w:eastAsia="zh-CN"/>
        </w:rPr>
        <w:t>书面声明：参加本次政府采购活动前三年内在经营活动中没有重大违纪，以及未被列入失信被执行人、重大税收违法案件当事人名单、政府采购严重违法失信行为记录名单的书面声明；见附件；</w:t>
      </w:r>
    </w:p>
    <w:p>
      <w:pPr>
        <w:keepNext w:val="0"/>
        <w:keepLines w:val="0"/>
        <w:pageBreakBefore w:val="0"/>
        <w:widowControl w:val="0"/>
        <w:kinsoku/>
        <w:wordWrap/>
        <w:overflowPunct/>
        <w:topLinePunct w:val="0"/>
        <w:autoSpaceDE/>
        <w:autoSpaceDN/>
        <w:bidi w:val="0"/>
        <w:adjustRightInd/>
        <w:snapToGrid w:val="0"/>
        <w:spacing w:line="380" w:lineRule="exact"/>
        <w:ind w:firstLine="530" w:firstLineChars="221"/>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12、</w:t>
      </w:r>
      <w:r>
        <w:rPr>
          <w:rFonts w:hint="eastAsia" w:ascii="宋体" w:hAnsi="宋体" w:eastAsia="宋体" w:cs="宋体"/>
          <w:color w:val="auto"/>
          <w:sz w:val="24"/>
          <w:szCs w:val="24"/>
          <w:highlight w:val="none"/>
          <w:lang w:eastAsia="zh-CN"/>
        </w:rPr>
        <w:t>投标保证金银行转账回单复印件加盖单位公章，或投标担保函（格式见附件，响应文件中装订复印件，原件投标时交给采购代理机构工作人员）。</w:t>
      </w:r>
    </w:p>
    <w:p>
      <w:pPr>
        <w:keepNext w:val="0"/>
        <w:keepLines w:val="0"/>
        <w:pageBreakBefore w:val="0"/>
        <w:widowControl w:val="0"/>
        <w:kinsoku/>
        <w:wordWrap/>
        <w:overflowPunct/>
        <w:topLinePunct w:val="0"/>
        <w:bidi w:val="0"/>
        <w:snapToGrid/>
        <w:spacing w:line="360" w:lineRule="exact"/>
        <w:rPr>
          <w:rFonts w:hint="eastAsia" w:ascii="宋体" w:hAnsi="宋体" w:eastAsia="宋体" w:cs="宋体"/>
          <w:color w:val="auto"/>
          <w:sz w:val="21"/>
          <w:szCs w:val="21"/>
          <w:highlight w:val="none"/>
        </w:rPr>
      </w:pPr>
    </w:p>
    <w:p>
      <w:pPr>
        <w:spacing w:line="440" w:lineRule="exact"/>
        <w:jc w:val="center"/>
        <w:rPr>
          <w:rFonts w:hint="eastAsia" w:ascii="宋体" w:hAnsi="宋体" w:eastAsia="宋体" w:cs="宋体"/>
          <w:b/>
          <w:color w:val="auto"/>
          <w:sz w:val="30"/>
          <w:szCs w:val="30"/>
          <w:highlight w:val="none"/>
        </w:rPr>
      </w:pPr>
    </w:p>
    <w:p>
      <w:pPr>
        <w:spacing w:line="440" w:lineRule="exact"/>
        <w:jc w:val="center"/>
        <w:rPr>
          <w:rFonts w:hint="eastAsia" w:ascii="宋体" w:hAnsi="宋体" w:eastAsia="宋体" w:cs="宋体"/>
          <w:b/>
          <w:color w:val="auto"/>
          <w:sz w:val="30"/>
          <w:szCs w:val="30"/>
          <w:highlight w:val="none"/>
        </w:rPr>
      </w:pPr>
    </w:p>
    <w:p>
      <w:pPr>
        <w:spacing w:line="440" w:lineRule="exact"/>
        <w:jc w:val="cente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t>无违法记录的声明</w:t>
      </w:r>
    </w:p>
    <w:p>
      <w:pPr>
        <w:spacing w:line="440" w:lineRule="exact"/>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（参考格式）</w:t>
      </w:r>
    </w:p>
    <w:p>
      <w:pPr>
        <w:spacing w:line="360" w:lineRule="auto"/>
        <w:jc w:val="center"/>
        <w:rPr>
          <w:rFonts w:hint="eastAsia" w:ascii="宋体" w:hAnsi="宋体" w:eastAsia="宋体" w:cs="宋体"/>
          <w:b/>
          <w:color w:val="auto"/>
          <w:sz w:val="24"/>
          <w:highlight w:val="none"/>
        </w:rPr>
      </w:pPr>
    </w:p>
    <w:p>
      <w:pPr>
        <w:spacing w:line="36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致：鸿民国际工程咨询有限公司</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我公司参加贵司组织的</w:t>
      </w:r>
      <w:r>
        <w:rPr>
          <w:rFonts w:hint="eastAsia" w:ascii="宋体" w:hAnsi="宋体" w:cs="宋体"/>
          <w:color w:val="auto"/>
          <w:sz w:val="28"/>
          <w:szCs w:val="28"/>
          <w:highlight w:val="none"/>
          <w:u w:val="single"/>
          <w:lang w:val="en-US" w:eastAsia="zh-CN"/>
        </w:rPr>
        <w:t xml:space="preserve">           （项目名称）      </w:t>
      </w:r>
      <w:r>
        <w:rPr>
          <w:rFonts w:hint="eastAsia" w:ascii="宋体" w:hAnsi="宋体" w:eastAsia="宋体" w:cs="宋体"/>
          <w:color w:val="auto"/>
          <w:sz w:val="28"/>
          <w:szCs w:val="28"/>
          <w:highlight w:val="none"/>
        </w:rPr>
        <w:t>（</w:t>
      </w:r>
      <w:r>
        <w:rPr>
          <w:rFonts w:hint="eastAsia" w:ascii="宋体" w:hAnsi="宋体" w:eastAsia="宋体" w:cs="宋体"/>
          <w:bCs/>
          <w:snapToGrid w:val="0"/>
          <w:color w:val="auto"/>
          <w:kern w:val="0"/>
          <w:sz w:val="28"/>
          <w:szCs w:val="28"/>
          <w:highlight w:val="none"/>
        </w:rPr>
        <w:t>项目编号：</w:t>
      </w:r>
      <w:r>
        <w:rPr>
          <w:rFonts w:hint="eastAsia" w:ascii="宋体" w:hAnsi="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rPr>
        <w:t>）</w:t>
      </w:r>
      <w:r>
        <w:rPr>
          <w:rFonts w:hint="eastAsia" w:ascii="宋体" w:hAnsi="宋体" w:eastAsia="宋体" w:cs="宋体"/>
          <w:color w:val="auto"/>
          <w:spacing w:val="5"/>
          <w:sz w:val="28"/>
          <w:szCs w:val="28"/>
          <w:highlight w:val="none"/>
        </w:rPr>
        <w:t>前</w:t>
      </w:r>
      <w:r>
        <w:rPr>
          <w:rFonts w:hint="eastAsia" w:ascii="宋体" w:hAnsi="宋体" w:eastAsia="宋体" w:cs="宋体"/>
          <w:color w:val="auto"/>
          <w:sz w:val="28"/>
          <w:szCs w:val="28"/>
          <w:highlight w:val="none"/>
        </w:rPr>
        <w:t>三年内，没有重大违纪，以及未被列入失信被执行人、重大税收违法案件当事人名单、政府采购严重违法失信行为记录名单。</w:t>
      </w:r>
    </w:p>
    <w:p>
      <w:pPr>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特此声明。</w:t>
      </w:r>
    </w:p>
    <w:p>
      <w:pPr>
        <w:spacing w:line="360" w:lineRule="auto"/>
        <w:rPr>
          <w:rFonts w:hint="eastAsia" w:ascii="宋体" w:hAnsi="宋体" w:eastAsia="宋体" w:cs="宋体"/>
          <w:color w:val="auto"/>
          <w:sz w:val="28"/>
          <w:szCs w:val="28"/>
          <w:highlight w:val="none"/>
        </w:rPr>
      </w:pPr>
    </w:p>
    <w:p>
      <w:pPr>
        <w:spacing w:line="480" w:lineRule="auto"/>
        <w:rPr>
          <w:rFonts w:hint="eastAsia" w:ascii="宋体" w:hAnsi="宋体" w:eastAsia="宋体" w:cs="宋体"/>
          <w:color w:val="auto"/>
          <w:sz w:val="28"/>
          <w:szCs w:val="28"/>
          <w:highlight w:val="none"/>
        </w:rPr>
      </w:pPr>
    </w:p>
    <w:p>
      <w:pPr>
        <w:spacing w:line="48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投标人</w:t>
      </w:r>
      <w:r>
        <w:rPr>
          <w:rFonts w:hint="eastAsia" w:ascii="宋体" w:hAnsi="宋体" w:eastAsia="宋体" w:cs="宋体"/>
          <w:color w:val="auto"/>
          <w:sz w:val="28"/>
          <w:szCs w:val="28"/>
          <w:highlight w:val="none"/>
        </w:rPr>
        <w:t xml:space="preserve">（公章）：            </w:t>
      </w:r>
    </w:p>
    <w:p>
      <w:pPr>
        <w:spacing w:line="48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法定代表人/授权代表签字：</w:t>
      </w:r>
    </w:p>
    <w:p>
      <w:pPr>
        <w:spacing w:line="480" w:lineRule="auto"/>
        <w:rPr>
          <w:rFonts w:hint="eastAsia" w:ascii="宋体" w:hAnsi="宋体" w:eastAsia="宋体" w:cs="宋体"/>
          <w:color w:val="auto"/>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spacing w:line="440" w:lineRule="exact"/>
        <w:rPr>
          <w:rFonts w:hint="eastAsia" w:ascii="宋体" w:hAnsi="宋体" w:eastAsia="宋体" w:cs="宋体"/>
          <w:b/>
          <w:color w:val="auto"/>
          <w:sz w:val="24"/>
          <w:highlight w:val="none"/>
        </w:rPr>
      </w:pPr>
    </w:p>
    <w:p>
      <w:pPr>
        <w:spacing w:line="440" w:lineRule="exact"/>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注：各</w:t>
      </w:r>
      <w:r>
        <w:rPr>
          <w:rFonts w:hint="eastAsia" w:ascii="宋体" w:hAnsi="宋体" w:eastAsia="宋体" w:cs="宋体"/>
          <w:b/>
          <w:color w:val="auto"/>
          <w:sz w:val="24"/>
          <w:highlight w:val="none"/>
          <w:lang w:eastAsia="zh-CN"/>
        </w:rPr>
        <w:t>投标人</w:t>
      </w:r>
      <w:r>
        <w:rPr>
          <w:rFonts w:hint="eastAsia" w:ascii="宋体" w:hAnsi="宋体" w:eastAsia="宋体" w:cs="宋体"/>
          <w:b/>
          <w:color w:val="auto"/>
          <w:sz w:val="24"/>
          <w:highlight w:val="none"/>
        </w:rPr>
        <w:t>应在</w:t>
      </w:r>
      <w:r>
        <w:rPr>
          <w:rFonts w:hint="eastAsia" w:ascii="宋体" w:hAnsi="宋体" w:eastAsia="宋体" w:cs="宋体"/>
          <w:b/>
          <w:color w:val="auto"/>
          <w:sz w:val="24"/>
          <w:highlight w:val="none"/>
          <w:lang w:eastAsia="zh-CN"/>
        </w:rPr>
        <w:t>响应</w:t>
      </w:r>
      <w:r>
        <w:rPr>
          <w:rFonts w:hint="eastAsia" w:ascii="宋体" w:hAnsi="宋体" w:eastAsia="宋体" w:cs="宋体"/>
          <w:b/>
          <w:color w:val="auto"/>
          <w:sz w:val="24"/>
          <w:highlight w:val="none"/>
        </w:rPr>
        <w:t>文件中主动申报</w:t>
      </w:r>
      <w:r>
        <w:rPr>
          <w:rFonts w:hint="eastAsia" w:ascii="宋体" w:hAnsi="宋体" w:eastAsia="宋体" w:cs="宋体"/>
          <w:b/>
          <w:color w:val="auto"/>
          <w:sz w:val="24"/>
          <w:highlight w:val="none"/>
          <w:lang w:eastAsia="zh-CN"/>
        </w:rPr>
        <w:t>投标</w:t>
      </w:r>
      <w:r>
        <w:rPr>
          <w:rFonts w:hint="eastAsia" w:ascii="宋体" w:hAnsi="宋体" w:eastAsia="宋体" w:cs="宋体"/>
          <w:b/>
          <w:color w:val="auto"/>
          <w:sz w:val="24"/>
          <w:highlight w:val="none"/>
        </w:rPr>
        <w:t>之前三年内有无受各级管理部门的处分或处罚（含其授权的子公司、分公司等），如果不主动申报而被事后发现的，将取消其</w:t>
      </w:r>
      <w:r>
        <w:rPr>
          <w:rFonts w:hint="eastAsia" w:ascii="宋体" w:hAnsi="宋体" w:eastAsia="宋体" w:cs="宋体"/>
          <w:b/>
          <w:color w:val="auto"/>
          <w:sz w:val="24"/>
          <w:highlight w:val="none"/>
          <w:lang w:eastAsia="zh-CN"/>
        </w:rPr>
        <w:t>投标</w:t>
      </w:r>
      <w:r>
        <w:rPr>
          <w:rFonts w:hint="eastAsia" w:ascii="宋体" w:hAnsi="宋体" w:eastAsia="宋体" w:cs="宋体"/>
          <w:b/>
          <w:color w:val="auto"/>
          <w:sz w:val="24"/>
          <w:highlight w:val="none"/>
        </w:rPr>
        <w:t>资格，并按照有关规定从重处理。</w:t>
      </w:r>
    </w:p>
    <w:p>
      <w:pPr>
        <w:pStyle w:val="46"/>
        <w:adjustRightInd w:val="0"/>
        <w:snapToGrid w:val="0"/>
        <w:spacing w:line="440" w:lineRule="exact"/>
        <w:ind w:left="5250"/>
        <w:rPr>
          <w:rFonts w:hint="eastAsia" w:ascii="宋体" w:hAnsi="宋体" w:eastAsia="宋体" w:cs="宋体"/>
          <w:b/>
          <w:color w:val="auto"/>
          <w:sz w:val="24"/>
          <w:highlight w:val="none"/>
        </w:rPr>
      </w:pPr>
    </w:p>
    <w:p>
      <w:pPr>
        <w:pStyle w:val="2"/>
        <w:rPr>
          <w:rFonts w:hint="eastAsia" w:ascii="宋体" w:hAnsi="宋体" w:eastAsia="宋体" w:cs="宋体"/>
          <w:color w:val="auto"/>
          <w:highlight w:val="none"/>
        </w:rPr>
      </w:pPr>
    </w:p>
    <w:p>
      <w:pPr>
        <w:rPr>
          <w:rFonts w:hint="eastAsia"/>
          <w:color w:val="auto"/>
        </w:rPr>
      </w:pPr>
    </w:p>
    <w:p>
      <w:pPr>
        <w:pStyle w:val="2"/>
        <w:rPr>
          <w:rFonts w:hint="eastAsia" w:ascii="宋体" w:hAnsi="宋体" w:eastAsia="宋体" w:cs="宋体"/>
          <w:color w:val="auto"/>
          <w:highlight w:val="none"/>
        </w:rPr>
      </w:pPr>
    </w:p>
    <w:p>
      <w:pPr>
        <w:rPr>
          <w:rFonts w:hint="eastAsia" w:ascii="宋体" w:hAnsi="宋体" w:eastAsia="宋体" w:cs="宋体"/>
          <w:color w:val="auto"/>
          <w:highlight w:val="none"/>
        </w:rPr>
      </w:pPr>
    </w:p>
    <w:p>
      <w:pPr>
        <w:spacing w:line="440" w:lineRule="exact"/>
        <w:jc w:val="center"/>
        <w:rPr>
          <w:rFonts w:hint="eastAsia" w:ascii="宋体" w:hAnsi="宋体" w:eastAsia="宋体" w:cs="宋体"/>
          <w:b/>
          <w:color w:val="auto"/>
          <w:sz w:val="30"/>
          <w:szCs w:val="30"/>
          <w:highlight w:val="none"/>
          <w:lang w:eastAsia="zh-CN"/>
        </w:rPr>
      </w:pPr>
      <w:r>
        <w:rPr>
          <w:rFonts w:hint="eastAsia" w:ascii="宋体" w:hAnsi="宋体" w:eastAsia="宋体" w:cs="宋体"/>
          <w:b/>
          <w:color w:val="auto"/>
          <w:sz w:val="30"/>
          <w:szCs w:val="30"/>
          <w:highlight w:val="none"/>
          <w:lang w:eastAsia="zh-CN"/>
        </w:rPr>
        <w:t>投标担保函格式</w:t>
      </w:r>
    </w:p>
    <w:p>
      <w:pPr>
        <w:spacing w:line="500" w:lineRule="exact"/>
        <w:ind w:left="8" w:leftChars="4" w:firstLine="294" w:firstLineChars="140"/>
        <w:jc w:val="right"/>
        <w:rPr>
          <w:rFonts w:hint="eastAsia" w:ascii="宋体" w:hAnsi="宋体" w:eastAsia="宋体" w:cs="宋体"/>
          <w:color w:val="auto"/>
        </w:rPr>
      </w:pPr>
    </w:p>
    <w:p>
      <w:pPr>
        <w:spacing w:line="360" w:lineRule="auto"/>
        <w:rPr>
          <w:rFonts w:hint="eastAsia" w:ascii="宋体" w:hAnsi="宋体" w:eastAsia="宋体" w:cs="宋体"/>
          <w:color w:val="auto"/>
          <w:sz w:val="24"/>
          <w:lang w:eastAsia="zh-CN"/>
        </w:rPr>
      </w:pPr>
      <w:r>
        <w:rPr>
          <w:rFonts w:hint="eastAsia" w:ascii="宋体" w:hAnsi="宋体" w:eastAsia="宋体" w:cs="宋体"/>
          <w:color w:val="auto"/>
          <w:sz w:val="24"/>
        </w:rPr>
        <w:t>若采用保函</w:t>
      </w:r>
      <w:r>
        <w:rPr>
          <w:rFonts w:hint="eastAsia" w:ascii="宋体" w:hAnsi="宋体" w:eastAsia="宋体" w:cs="宋体"/>
          <w:color w:val="auto"/>
          <w:sz w:val="24"/>
          <w:lang w:eastAsia="zh-CN"/>
        </w:rPr>
        <w:t>或保单，</w:t>
      </w:r>
      <w:r>
        <w:rPr>
          <w:rFonts w:hint="eastAsia" w:ascii="宋体" w:hAnsi="宋体" w:eastAsia="宋体" w:cs="宋体"/>
          <w:color w:val="auto"/>
          <w:sz w:val="24"/>
        </w:rPr>
        <w:t>格式</w:t>
      </w:r>
      <w:r>
        <w:rPr>
          <w:rFonts w:hint="eastAsia" w:ascii="宋体" w:hAnsi="宋体" w:eastAsia="宋体" w:cs="宋体"/>
          <w:color w:val="auto"/>
          <w:sz w:val="24"/>
          <w:lang w:eastAsia="zh-CN"/>
        </w:rPr>
        <w:t>以各担保机构经上级监管部门备案并向社会公开的文件为准，必须涵盖以下内容：</w:t>
      </w:r>
    </w:p>
    <w:p>
      <w:pPr>
        <w:spacing w:line="360" w:lineRule="auto"/>
        <w:rPr>
          <w:rFonts w:hint="eastAsia" w:ascii="宋体" w:hAnsi="宋体" w:eastAsia="宋体" w:cs="宋体"/>
          <w:color w:val="auto"/>
          <w:sz w:val="24"/>
        </w:rPr>
      </w:pP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lang w:eastAsia="zh-CN"/>
        </w:rPr>
        <w:t>采购人</w:t>
      </w:r>
      <w:r>
        <w:rPr>
          <w:rFonts w:hint="eastAsia" w:ascii="宋体" w:hAnsi="宋体" w:eastAsia="宋体" w:cs="宋体"/>
          <w:color w:val="auto"/>
          <w:sz w:val="24"/>
        </w:rPr>
        <w:t>名称</w:t>
      </w:r>
      <w:r>
        <w:rPr>
          <w:rFonts w:hint="eastAsia" w:ascii="宋体" w:hAnsi="宋体" w:eastAsia="宋体" w:cs="宋体"/>
          <w:color w:val="auto"/>
          <w:sz w:val="24"/>
          <w:lang w:eastAsia="zh-CN"/>
        </w:rPr>
        <w:t>、</w:t>
      </w:r>
      <w:r>
        <w:rPr>
          <w:rFonts w:hint="eastAsia" w:ascii="宋体" w:hAnsi="宋体" w:eastAsia="宋体" w:cs="宋体"/>
          <w:color w:val="auto"/>
          <w:sz w:val="24"/>
        </w:rPr>
        <w:t>投标人名称</w:t>
      </w:r>
      <w:r>
        <w:rPr>
          <w:rFonts w:hint="eastAsia" w:ascii="宋体" w:hAnsi="宋体" w:eastAsia="宋体" w:cs="宋体"/>
          <w:color w:val="auto"/>
          <w:sz w:val="24"/>
          <w:lang w:eastAsia="zh-CN"/>
        </w:rPr>
        <w:t>、开标时间、</w:t>
      </w:r>
      <w:r>
        <w:rPr>
          <w:rFonts w:hint="eastAsia" w:ascii="宋体" w:hAnsi="宋体" w:eastAsia="宋体" w:cs="宋体"/>
          <w:color w:val="auto"/>
          <w:sz w:val="24"/>
        </w:rPr>
        <w:t>项目名称</w:t>
      </w:r>
      <w:r>
        <w:rPr>
          <w:rFonts w:hint="eastAsia" w:ascii="宋体" w:hAnsi="宋体" w:eastAsia="宋体" w:cs="宋体"/>
          <w:color w:val="auto"/>
          <w:sz w:val="24"/>
          <w:lang w:eastAsia="zh-CN"/>
        </w:rPr>
        <w:t>、</w:t>
      </w:r>
      <w:r>
        <w:rPr>
          <w:rFonts w:hint="eastAsia" w:ascii="宋体" w:hAnsi="宋体" w:eastAsia="宋体" w:cs="宋体"/>
          <w:color w:val="auto"/>
          <w:sz w:val="24"/>
        </w:rPr>
        <w:t>担保人名称</w:t>
      </w:r>
      <w:r>
        <w:rPr>
          <w:rFonts w:hint="eastAsia" w:ascii="宋体" w:hAnsi="宋体" w:eastAsia="宋体" w:cs="宋体"/>
          <w:color w:val="auto"/>
          <w:sz w:val="24"/>
          <w:lang w:eastAsia="zh-CN"/>
        </w:rPr>
        <w:t>，并</w:t>
      </w:r>
      <w:r>
        <w:rPr>
          <w:rFonts w:hint="eastAsia" w:ascii="宋体" w:hAnsi="宋体" w:eastAsia="宋体" w:cs="宋体"/>
          <w:color w:val="auto"/>
          <w:sz w:val="24"/>
        </w:rPr>
        <w:t>无条件地、不可撤销地保证：</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若投标人在投标有效期内撤销投标文件</w:t>
      </w:r>
      <w:r>
        <w:rPr>
          <w:rFonts w:hint="eastAsia" w:ascii="宋体" w:hAnsi="宋体" w:eastAsia="宋体" w:cs="宋体"/>
          <w:color w:val="auto"/>
          <w:sz w:val="24"/>
          <w:lang w:eastAsia="zh-CN"/>
        </w:rPr>
        <w:t>，</w:t>
      </w:r>
      <w:r>
        <w:rPr>
          <w:rFonts w:hint="eastAsia" w:ascii="宋体" w:hAnsi="宋体" w:eastAsia="宋体" w:cs="宋体"/>
          <w:color w:val="auto"/>
          <w:sz w:val="24"/>
        </w:rPr>
        <w:t>中标后无正当理由不与</w:t>
      </w:r>
      <w:r>
        <w:rPr>
          <w:rFonts w:hint="eastAsia" w:ascii="宋体" w:hAnsi="宋体" w:eastAsia="宋体" w:cs="宋体"/>
          <w:color w:val="auto"/>
          <w:sz w:val="24"/>
          <w:lang w:eastAsia="zh-CN"/>
        </w:rPr>
        <w:t>采购人</w:t>
      </w:r>
      <w:r>
        <w:rPr>
          <w:rFonts w:hint="eastAsia" w:ascii="宋体" w:hAnsi="宋体" w:eastAsia="宋体" w:cs="宋体"/>
          <w:color w:val="auto"/>
          <w:sz w:val="24"/>
        </w:rPr>
        <w:t>订立合同</w:t>
      </w:r>
      <w:r>
        <w:rPr>
          <w:rFonts w:hint="eastAsia" w:ascii="宋体" w:hAnsi="宋体" w:eastAsia="宋体" w:cs="宋体"/>
          <w:color w:val="auto"/>
          <w:sz w:val="24"/>
          <w:lang w:eastAsia="zh-CN"/>
        </w:rPr>
        <w:t>，</w:t>
      </w:r>
      <w:r>
        <w:rPr>
          <w:rFonts w:hint="eastAsia" w:ascii="宋体" w:hAnsi="宋体" w:eastAsia="宋体" w:cs="宋体"/>
          <w:color w:val="auto"/>
          <w:sz w:val="24"/>
        </w:rPr>
        <w:t>在签订合同时向</w:t>
      </w:r>
      <w:r>
        <w:rPr>
          <w:rFonts w:hint="eastAsia" w:ascii="宋体" w:hAnsi="宋体" w:eastAsia="宋体" w:cs="宋体"/>
          <w:color w:val="auto"/>
          <w:sz w:val="24"/>
          <w:lang w:eastAsia="zh-CN"/>
        </w:rPr>
        <w:t>采购人</w:t>
      </w:r>
      <w:r>
        <w:rPr>
          <w:rFonts w:hint="eastAsia" w:ascii="宋体" w:hAnsi="宋体" w:eastAsia="宋体" w:cs="宋体"/>
          <w:color w:val="auto"/>
          <w:sz w:val="24"/>
        </w:rPr>
        <w:t>提出附加条件</w:t>
      </w:r>
      <w:r>
        <w:rPr>
          <w:rFonts w:hint="eastAsia" w:ascii="宋体" w:hAnsi="宋体" w:eastAsia="宋体" w:cs="宋体"/>
          <w:color w:val="auto"/>
          <w:sz w:val="24"/>
          <w:lang w:eastAsia="zh-CN"/>
        </w:rPr>
        <w:t>，</w:t>
      </w:r>
      <w:r>
        <w:rPr>
          <w:rFonts w:hint="eastAsia" w:ascii="宋体" w:hAnsi="宋体" w:eastAsia="宋体" w:cs="宋体"/>
          <w:color w:val="auto"/>
          <w:sz w:val="24"/>
        </w:rPr>
        <w:t>不按照招标文件要求提交履约保证金</w:t>
      </w:r>
      <w:r>
        <w:rPr>
          <w:rFonts w:hint="eastAsia" w:ascii="宋体" w:hAnsi="宋体" w:eastAsia="宋体" w:cs="宋体"/>
          <w:color w:val="auto"/>
          <w:sz w:val="24"/>
          <w:lang w:eastAsia="zh-CN"/>
        </w:rPr>
        <w:t>，</w:t>
      </w:r>
      <w:r>
        <w:rPr>
          <w:rFonts w:hint="eastAsia" w:ascii="宋体" w:hAnsi="宋体" w:eastAsia="宋体" w:cs="宋体"/>
          <w:color w:val="auto"/>
          <w:sz w:val="24"/>
        </w:rPr>
        <w:t>或发生招标文件明确规定可以不予退还投标保证金的其他情形</w:t>
      </w:r>
      <w:r>
        <w:rPr>
          <w:rFonts w:hint="eastAsia" w:ascii="宋体" w:hAnsi="宋体" w:eastAsia="宋体" w:cs="宋体"/>
          <w:color w:val="auto"/>
          <w:sz w:val="24"/>
          <w:lang w:eastAsia="zh-CN"/>
        </w:rPr>
        <w:t>，担保人</w:t>
      </w:r>
      <w:r>
        <w:rPr>
          <w:rFonts w:hint="eastAsia" w:ascii="宋体" w:hAnsi="宋体" w:eastAsia="宋体" w:cs="宋体"/>
          <w:color w:val="auto"/>
          <w:sz w:val="24"/>
        </w:rPr>
        <w:t>承担保证责任。收到</w:t>
      </w:r>
      <w:r>
        <w:rPr>
          <w:rFonts w:hint="eastAsia" w:ascii="宋体" w:hAnsi="宋体" w:eastAsia="宋体" w:cs="宋体"/>
          <w:color w:val="auto"/>
          <w:sz w:val="24"/>
          <w:lang w:eastAsia="zh-CN"/>
        </w:rPr>
        <w:t>采购人</w:t>
      </w:r>
      <w:r>
        <w:rPr>
          <w:rFonts w:hint="eastAsia" w:ascii="宋体" w:hAnsi="宋体" w:eastAsia="宋体" w:cs="宋体"/>
          <w:color w:val="auto"/>
          <w:sz w:val="24"/>
        </w:rPr>
        <w:t>书面通知后</w:t>
      </w:r>
      <w:r>
        <w:rPr>
          <w:rFonts w:hint="eastAsia" w:ascii="宋体" w:hAnsi="宋体" w:eastAsia="宋体" w:cs="宋体"/>
          <w:color w:val="auto"/>
          <w:sz w:val="24"/>
          <w:lang w:eastAsia="zh-CN"/>
        </w:rPr>
        <w:t>，担保人</w:t>
      </w:r>
      <w:r>
        <w:rPr>
          <w:rFonts w:hint="eastAsia" w:ascii="宋体" w:hAnsi="宋体" w:eastAsia="宋体" w:cs="宋体"/>
          <w:color w:val="auto"/>
          <w:sz w:val="24"/>
        </w:rPr>
        <w:t>在7日内向</w:t>
      </w:r>
      <w:r>
        <w:rPr>
          <w:rFonts w:hint="eastAsia" w:ascii="宋体" w:hAnsi="宋体" w:eastAsia="宋体" w:cs="宋体"/>
          <w:color w:val="auto"/>
          <w:sz w:val="24"/>
          <w:lang w:eastAsia="zh-CN"/>
        </w:rPr>
        <w:t>采购人</w:t>
      </w:r>
      <w:r>
        <w:rPr>
          <w:rFonts w:hint="eastAsia" w:ascii="宋体" w:hAnsi="宋体" w:eastAsia="宋体" w:cs="宋体"/>
          <w:color w:val="auto"/>
          <w:sz w:val="24"/>
        </w:rPr>
        <w:t>无条件支付人民币（大写）</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rPr>
        <w:t>。本保函</w:t>
      </w:r>
      <w:r>
        <w:rPr>
          <w:rFonts w:hint="eastAsia" w:ascii="宋体" w:hAnsi="宋体" w:eastAsia="宋体" w:cs="宋体"/>
          <w:color w:val="auto"/>
          <w:sz w:val="24"/>
          <w:lang w:eastAsia="zh-CN"/>
        </w:rPr>
        <w:t>（或保单</w:t>
      </w:r>
      <w:r>
        <w:rPr>
          <w:rFonts w:hint="eastAsia" w:ascii="宋体" w:hAnsi="宋体" w:eastAsia="宋体" w:cs="宋体"/>
          <w:color w:val="auto"/>
          <w:sz w:val="24"/>
          <w:lang w:val="en-US" w:eastAsia="zh-CN"/>
        </w:rPr>
        <w:t>)</w:t>
      </w:r>
      <w:r>
        <w:rPr>
          <w:rFonts w:hint="eastAsia" w:ascii="宋体" w:hAnsi="宋体" w:eastAsia="宋体" w:cs="宋体"/>
          <w:color w:val="auto"/>
          <w:sz w:val="24"/>
        </w:rPr>
        <w:t>在投标有效期或经延长的投标有效期内保持有效。</w:t>
      </w:r>
    </w:p>
    <w:p>
      <w:pPr>
        <w:spacing w:line="360" w:lineRule="auto"/>
        <w:rPr>
          <w:rFonts w:hint="eastAsia" w:ascii="宋体" w:hAnsi="宋体" w:eastAsia="宋体" w:cs="宋体"/>
          <w:color w:val="auto"/>
          <w:sz w:val="24"/>
        </w:rPr>
      </w:pPr>
    </w:p>
    <w:p>
      <w:pPr>
        <w:spacing w:line="360" w:lineRule="auto"/>
        <w:rPr>
          <w:rFonts w:hint="eastAsia" w:ascii="宋体" w:hAnsi="宋体" w:eastAsia="宋体" w:cs="宋体"/>
          <w:color w:val="auto"/>
          <w:sz w:val="24"/>
        </w:rPr>
      </w:pPr>
      <w:r>
        <w:rPr>
          <w:rFonts w:hint="eastAsia" w:ascii="宋体" w:hAnsi="宋体" w:eastAsia="宋体" w:cs="宋体"/>
          <w:color w:val="auto"/>
          <w:sz w:val="24"/>
        </w:rPr>
        <w:t>担保人名称：</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rPr>
        <w:t>（</w:t>
      </w:r>
      <w:r>
        <w:rPr>
          <w:rFonts w:hint="eastAsia" w:ascii="宋体" w:hAnsi="宋体" w:eastAsia="宋体" w:cs="宋体"/>
          <w:color w:val="auto"/>
          <w:sz w:val="24"/>
          <w:lang w:eastAsia="zh-CN"/>
        </w:rPr>
        <w:t>加盖</w:t>
      </w:r>
      <w:r>
        <w:rPr>
          <w:rFonts w:hint="eastAsia" w:ascii="宋体" w:hAnsi="宋体" w:eastAsia="宋体" w:cs="宋体"/>
          <w:color w:val="auto"/>
          <w:sz w:val="24"/>
        </w:rPr>
        <w:t>担保人</w:t>
      </w:r>
      <w:r>
        <w:rPr>
          <w:rFonts w:hint="eastAsia" w:ascii="宋体" w:hAnsi="宋体" w:eastAsia="宋体" w:cs="宋体"/>
          <w:color w:val="auto"/>
          <w:sz w:val="24"/>
          <w:lang w:eastAsia="zh-CN"/>
        </w:rPr>
        <w:t>公章</w:t>
      </w:r>
      <w:r>
        <w:rPr>
          <w:rFonts w:hint="eastAsia" w:ascii="宋体" w:hAnsi="宋体" w:eastAsia="宋体" w:cs="宋体"/>
          <w:color w:val="auto"/>
          <w:sz w:val="24"/>
        </w:rPr>
        <w:t>）</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法定代表人或其委托代理人：</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rPr>
        <w:t>（签字）</w:t>
      </w:r>
    </w:p>
    <w:p>
      <w:pPr>
        <w:spacing w:line="360" w:lineRule="auto"/>
        <w:rPr>
          <w:rFonts w:hint="eastAsia" w:ascii="宋体" w:hAnsi="宋体" w:eastAsia="宋体" w:cs="宋体"/>
          <w:color w:val="auto"/>
          <w:sz w:val="24"/>
          <w:u w:val="single"/>
          <w:lang w:val="en-US" w:eastAsia="zh-CN"/>
        </w:rPr>
      </w:pPr>
      <w:r>
        <w:rPr>
          <w:rFonts w:hint="eastAsia" w:ascii="宋体" w:hAnsi="宋体" w:eastAsia="宋体" w:cs="宋体"/>
          <w:color w:val="auto"/>
          <w:sz w:val="24"/>
        </w:rPr>
        <w:t>地址：</w:t>
      </w:r>
      <w:r>
        <w:rPr>
          <w:rFonts w:hint="eastAsia" w:ascii="宋体" w:hAnsi="宋体" w:eastAsia="宋体" w:cs="宋体"/>
          <w:color w:val="auto"/>
          <w:sz w:val="24"/>
          <w:u w:val="single"/>
          <w:lang w:val="en-US" w:eastAsia="zh-CN"/>
        </w:rPr>
        <w:t xml:space="preserve">               </w:t>
      </w:r>
    </w:p>
    <w:p>
      <w:pPr>
        <w:spacing w:line="360" w:lineRule="auto"/>
        <w:rPr>
          <w:rFonts w:hint="eastAsia" w:ascii="宋体" w:hAnsi="宋体" w:eastAsia="宋体" w:cs="宋体"/>
          <w:color w:val="auto"/>
          <w:sz w:val="24"/>
        </w:rPr>
      </w:pPr>
      <w:r>
        <w:rPr>
          <w:rFonts w:hint="eastAsia" w:ascii="宋体" w:hAnsi="宋体" w:eastAsia="宋体" w:cs="宋体"/>
          <w:color w:val="auto"/>
          <w:sz w:val="24"/>
        </w:rPr>
        <w:t>邮政编码：</w:t>
      </w:r>
      <w:r>
        <w:rPr>
          <w:rFonts w:hint="eastAsia" w:ascii="宋体" w:hAnsi="宋体" w:eastAsia="宋体" w:cs="宋体"/>
          <w:color w:val="auto"/>
          <w:sz w:val="24"/>
          <w:u w:val="single"/>
          <w:lang w:val="en-US" w:eastAsia="zh-CN"/>
        </w:rPr>
        <w:t xml:space="preserve">               </w:t>
      </w:r>
    </w:p>
    <w:p>
      <w:pPr>
        <w:spacing w:line="360" w:lineRule="auto"/>
        <w:rPr>
          <w:rFonts w:hint="eastAsia" w:ascii="宋体" w:hAnsi="宋体" w:eastAsia="宋体" w:cs="宋体"/>
          <w:color w:val="auto"/>
          <w:sz w:val="24"/>
          <w:u w:val="single"/>
          <w:lang w:val="en-US" w:eastAsia="zh-CN"/>
        </w:rPr>
      </w:pPr>
      <w:r>
        <w:rPr>
          <w:rFonts w:hint="eastAsia" w:ascii="宋体" w:hAnsi="宋体" w:eastAsia="宋体" w:cs="宋体"/>
          <w:color w:val="auto"/>
          <w:sz w:val="24"/>
        </w:rPr>
        <w:t>电话：</w:t>
      </w:r>
      <w:r>
        <w:rPr>
          <w:rFonts w:hint="eastAsia" w:ascii="宋体" w:hAnsi="宋体" w:eastAsia="宋体" w:cs="宋体"/>
          <w:color w:val="auto"/>
          <w:sz w:val="24"/>
          <w:u w:val="single"/>
          <w:lang w:val="en-US" w:eastAsia="zh-CN"/>
        </w:rPr>
        <w:t xml:space="preserve">               </w:t>
      </w:r>
    </w:p>
    <w:p>
      <w:pPr>
        <w:spacing w:line="360" w:lineRule="auto"/>
        <w:rPr>
          <w:rFonts w:hint="eastAsia" w:ascii="宋体" w:hAnsi="宋体" w:eastAsia="宋体" w:cs="宋体"/>
          <w:color w:val="auto"/>
          <w:sz w:val="24"/>
        </w:rPr>
      </w:pP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rPr>
        <w:t>年</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rPr>
        <w:t>月</w:t>
      </w:r>
      <w:r>
        <w:rPr>
          <w:rFonts w:hint="eastAsia" w:ascii="宋体" w:hAnsi="宋体" w:eastAsia="宋体" w:cs="宋体"/>
          <w:color w:val="auto"/>
          <w:sz w:val="24"/>
          <w:u w:val="single"/>
          <w:lang w:val="en-US" w:eastAsia="zh-CN"/>
        </w:rPr>
        <w:t xml:space="preserve">      </w:t>
      </w:r>
      <w:r>
        <w:rPr>
          <w:rFonts w:hint="eastAsia" w:ascii="宋体" w:hAnsi="宋体" w:eastAsia="宋体" w:cs="宋体"/>
          <w:color w:val="auto"/>
          <w:sz w:val="24"/>
        </w:rPr>
        <w:t>日</w:t>
      </w:r>
    </w:p>
    <w:p>
      <w:pPr>
        <w:pStyle w:val="2"/>
        <w:rPr>
          <w:rFonts w:hint="eastAsia" w:ascii="宋体" w:hAnsi="宋体" w:eastAsia="宋体" w:cs="宋体"/>
          <w:color w:val="auto"/>
        </w:rPr>
      </w:pPr>
    </w:p>
    <w:p>
      <w:pPr>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color w:val="auto"/>
        </w:rPr>
      </w:pPr>
    </w:p>
    <w:p>
      <w:pPr>
        <w:rPr>
          <w:rFonts w:hint="eastAsia" w:ascii="宋体" w:hAnsi="宋体" w:eastAsia="宋体" w:cs="宋体"/>
          <w:color w:val="auto"/>
        </w:rPr>
      </w:pPr>
    </w:p>
    <w:p>
      <w:pPr>
        <w:pStyle w:val="2"/>
        <w:rPr>
          <w:rFonts w:hint="eastAsia" w:ascii="宋体" w:hAnsi="宋体" w:eastAsia="宋体" w:cs="宋体"/>
          <w:color w:val="auto"/>
        </w:rPr>
      </w:pPr>
    </w:p>
    <w:p>
      <w:pPr>
        <w:rPr>
          <w:rFonts w:hint="eastAsia" w:ascii="宋体" w:hAnsi="宋体" w:eastAsia="宋体" w:cs="宋体"/>
          <w:color w:val="auto"/>
        </w:rPr>
      </w:pPr>
    </w:p>
    <w:p>
      <w:pPr>
        <w:pStyle w:val="2"/>
        <w:rPr>
          <w:rFonts w:hint="eastAsia" w:ascii="宋体" w:hAnsi="宋体" w:eastAsia="宋体" w:cs="宋体"/>
          <w:color w:val="auto"/>
        </w:rPr>
      </w:pPr>
    </w:p>
    <w:p>
      <w:pPr>
        <w:pStyle w:val="3"/>
        <w:keepLines/>
        <w:spacing w:before="338" w:beforeLines="100" w:after="507" w:afterLines="150" w:line="240" w:lineRule="auto"/>
        <w:rPr>
          <w:rFonts w:hint="eastAsia" w:ascii="宋体" w:hAnsi="宋体" w:eastAsia="宋体" w:cs="宋体"/>
          <w:b/>
          <w:bCs/>
          <w:color w:val="auto"/>
          <w:kern w:val="44"/>
          <w:sz w:val="36"/>
          <w:szCs w:val="36"/>
          <w:highlight w:val="none"/>
          <w:lang w:eastAsia="zh-CN"/>
        </w:rPr>
      </w:pPr>
      <w:bookmarkStart w:id="563" w:name="_Toc24396"/>
      <w:r>
        <w:rPr>
          <w:rFonts w:hint="eastAsia" w:ascii="宋体" w:hAnsi="宋体" w:eastAsia="宋体" w:cs="宋体"/>
          <w:b/>
          <w:bCs/>
          <w:color w:val="auto"/>
          <w:kern w:val="44"/>
          <w:sz w:val="36"/>
          <w:szCs w:val="36"/>
          <w:highlight w:val="none"/>
          <w:lang w:eastAsia="zh-CN"/>
        </w:rPr>
        <w:t>四、近年类似业绩</w:t>
      </w:r>
      <w:bookmarkEnd w:id="563"/>
    </w:p>
    <w:p>
      <w:pPr>
        <w:rPr>
          <w:rFonts w:hint="eastAsia" w:ascii="宋体" w:hAnsi="宋体" w:eastAsia="宋体" w:cs="宋体"/>
          <w:color w:val="auto"/>
          <w:highlight w:val="none"/>
        </w:rPr>
      </w:pPr>
    </w:p>
    <w:tbl>
      <w:tblPr>
        <w:tblStyle w:val="97"/>
        <w:tblW w:w="89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1394"/>
        <w:gridCol w:w="1556"/>
        <w:gridCol w:w="1136"/>
        <w:gridCol w:w="1383"/>
        <w:gridCol w:w="1451"/>
        <w:gridCol w:w="14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16" w:type="dxa"/>
            <w:noWrap w:val="0"/>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序号</w:t>
            </w:r>
          </w:p>
        </w:tc>
        <w:tc>
          <w:tcPr>
            <w:tcW w:w="1394" w:type="dxa"/>
            <w:noWrap w:val="0"/>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项目名称</w:t>
            </w:r>
          </w:p>
        </w:tc>
        <w:tc>
          <w:tcPr>
            <w:tcW w:w="1556" w:type="dxa"/>
            <w:noWrap w:val="0"/>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建设单位</w:t>
            </w:r>
          </w:p>
        </w:tc>
        <w:tc>
          <w:tcPr>
            <w:tcW w:w="1136" w:type="dxa"/>
            <w:noWrap w:val="0"/>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总投资（万元）</w:t>
            </w:r>
          </w:p>
        </w:tc>
        <w:tc>
          <w:tcPr>
            <w:tcW w:w="1383" w:type="dxa"/>
            <w:noWrap w:val="0"/>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开、竣工日期</w:t>
            </w:r>
          </w:p>
        </w:tc>
        <w:tc>
          <w:tcPr>
            <w:tcW w:w="1451" w:type="dxa"/>
            <w:noWrap w:val="0"/>
            <w:vAlign w:val="center"/>
          </w:tcPr>
          <w:p>
            <w:pPr>
              <w:jc w:val="center"/>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项目经理</w:t>
            </w:r>
          </w:p>
        </w:tc>
        <w:tc>
          <w:tcPr>
            <w:tcW w:w="1451" w:type="dxa"/>
            <w:noWrap w:val="0"/>
            <w:vAlign w:val="center"/>
          </w:tcPr>
          <w:p>
            <w:pPr>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建设</w:t>
            </w:r>
            <w:r>
              <w:rPr>
                <w:rFonts w:hint="eastAsia" w:ascii="宋体" w:hAnsi="宋体" w:eastAsia="宋体" w:cs="宋体"/>
                <w:color w:val="auto"/>
                <w:sz w:val="24"/>
                <w:highlight w:val="none"/>
              </w:rPr>
              <w:t>单位</w:t>
            </w:r>
            <w:r>
              <w:rPr>
                <w:rFonts w:hint="eastAsia" w:ascii="宋体" w:hAnsi="宋体" w:eastAsia="宋体" w:cs="宋体"/>
                <w:color w:val="auto"/>
                <w:sz w:val="24"/>
                <w:highlight w:val="none"/>
                <w:lang w:eastAsia="zh-CN"/>
              </w:rPr>
              <w:t>联系人和</w:t>
            </w:r>
            <w:r>
              <w:rPr>
                <w:rFonts w:hint="eastAsia" w:ascii="宋体" w:hAnsi="宋体" w:eastAsia="宋体" w:cs="宋体"/>
                <w:color w:val="auto"/>
                <w:sz w:val="24"/>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16" w:type="dxa"/>
            <w:noWrap w:val="0"/>
            <w:vAlign w:val="top"/>
          </w:tcPr>
          <w:p>
            <w:pPr>
              <w:jc w:val="center"/>
              <w:rPr>
                <w:rFonts w:hint="eastAsia" w:ascii="宋体" w:hAnsi="宋体" w:eastAsia="宋体" w:cs="宋体"/>
                <w:color w:val="auto"/>
                <w:sz w:val="24"/>
                <w:highlight w:val="none"/>
              </w:rPr>
            </w:pPr>
          </w:p>
        </w:tc>
        <w:tc>
          <w:tcPr>
            <w:tcW w:w="1394" w:type="dxa"/>
            <w:noWrap w:val="0"/>
            <w:vAlign w:val="top"/>
          </w:tcPr>
          <w:p>
            <w:pPr>
              <w:jc w:val="center"/>
              <w:rPr>
                <w:rFonts w:hint="eastAsia" w:ascii="宋体" w:hAnsi="宋体" w:eastAsia="宋体" w:cs="宋体"/>
                <w:color w:val="auto"/>
                <w:sz w:val="24"/>
                <w:highlight w:val="none"/>
              </w:rPr>
            </w:pPr>
          </w:p>
        </w:tc>
        <w:tc>
          <w:tcPr>
            <w:tcW w:w="1556" w:type="dxa"/>
            <w:noWrap w:val="0"/>
            <w:vAlign w:val="top"/>
          </w:tcPr>
          <w:p>
            <w:pPr>
              <w:jc w:val="center"/>
              <w:rPr>
                <w:rFonts w:hint="eastAsia" w:ascii="宋体" w:hAnsi="宋体" w:eastAsia="宋体" w:cs="宋体"/>
                <w:color w:val="auto"/>
                <w:sz w:val="24"/>
                <w:highlight w:val="none"/>
              </w:rPr>
            </w:pPr>
          </w:p>
        </w:tc>
        <w:tc>
          <w:tcPr>
            <w:tcW w:w="1136" w:type="dxa"/>
            <w:noWrap w:val="0"/>
            <w:vAlign w:val="top"/>
          </w:tcPr>
          <w:p>
            <w:pPr>
              <w:jc w:val="center"/>
              <w:rPr>
                <w:rFonts w:hint="eastAsia" w:ascii="宋体" w:hAnsi="宋体" w:eastAsia="宋体" w:cs="宋体"/>
                <w:color w:val="auto"/>
                <w:sz w:val="24"/>
                <w:highlight w:val="none"/>
              </w:rPr>
            </w:pPr>
          </w:p>
        </w:tc>
        <w:tc>
          <w:tcPr>
            <w:tcW w:w="1383" w:type="dxa"/>
            <w:noWrap w:val="0"/>
            <w:vAlign w:val="top"/>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16" w:type="dxa"/>
            <w:noWrap w:val="0"/>
            <w:vAlign w:val="top"/>
          </w:tcPr>
          <w:p>
            <w:pPr>
              <w:jc w:val="center"/>
              <w:rPr>
                <w:rFonts w:hint="eastAsia" w:ascii="宋体" w:hAnsi="宋体" w:eastAsia="宋体" w:cs="宋体"/>
                <w:color w:val="auto"/>
                <w:sz w:val="24"/>
                <w:highlight w:val="none"/>
              </w:rPr>
            </w:pPr>
          </w:p>
        </w:tc>
        <w:tc>
          <w:tcPr>
            <w:tcW w:w="1394" w:type="dxa"/>
            <w:noWrap w:val="0"/>
            <w:vAlign w:val="top"/>
          </w:tcPr>
          <w:p>
            <w:pPr>
              <w:jc w:val="center"/>
              <w:rPr>
                <w:rFonts w:hint="eastAsia" w:ascii="宋体" w:hAnsi="宋体" w:eastAsia="宋体" w:cs="宋体"/>
                <w:color w:val="auto"/>
                <w:sz w:val="24"/>
                <w:highlight w:val="none"/>
              </w:rPr>
            </w:pPr>
          </w:p>
        </w:tc>
        <w:tc>
          <w:tcPr>
            <w:tcW w:w="1556" w:type="dxa"/>
            <w:noWrap w:val="0"/>
            <w:vAlign w:val="top"/>
          </w:tcPr>
          <w:p>
            <w:pPr>
              <w:jc w:val="center"/>
              <w:rPr>
                <w:rFonts w:hint="eastAsia" w:ascii="宋体" w:hAnsi="宋体" w:eastAsia="宋体" w:cs="宋体"/>
                <w:color w:val="auto"/>
                <w:sz w:val="24"/>
                <w:highlight w:val="none"/>
              </w:rPr>
            </w:pPr>
          </w:p>
        </w:tc>
        <w:tc>
          <w:tcPr>
            <w:tcW w:w="1136" w:type="dxa"/>
            <w:noWrap w:val="0"/>
            <w:vAlign w:val="top"/>
          </w:tcPr>
          <w:p>
            <w:pPr>
              <w:jc w:val="center"/>
              <w:rPr>
                <w:rFonts w:hint="eastAsia" w:ascii="宋体" w:hAnsi="宋体" w:eastAsia="宋体" w:cs="宋体"/>
                <w:color w:val="auto"/>
                <w:sz w:val="24"/>
                <w:highlight w:val="none"/>
              </w:rPr>
            </w:pPr>
          </w:p>
        </w:tc>
        <w:tc>
          <w:tcPr>
            <w:tcW w:w="1383" w:type="dxa"/>
            <w:noWrap w:val="0"/>
            <w:vAlign w:val="top"/>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16" w:type="dxa"/>
            <w:noWrap w:val="0"/>
            <w:vAlign w:val="top"/>
          </w:tcPr>
          <w:p>
            <w:pPr>
              <w:jc w:val="center"/>
              <w:rPr>
                <w:rFonts w:hint="eastAsia" w:ascii="宋体" w:hAnsi="宋体" w:eastAsia="宋体" w:cs="宋体"/>
                <w:color w:val="auto"/>
                <w:sz w:val="24"/>
                <w:highlight w:val="none"/>
              </w:rPr>
            </w:pPr>
          </w:p>
        </w:tc>
        <w:tc>
          <w:tcPr>
            <w:tcW w:w="1394" w:type="dxa"/>
            <w:noWrap w:val="0"/>
            <w:vAlign w:val="top"/>
          </w:tcPr>
          <w:p>
            <w:pPr>
              <w:jc w:val="center"/>
              <w:rPr>
                <w:rFonts w:hint="eastAsia" w:ascii="宋体" w:hAnsi="宋体" w:eastAsia="宋体" w:cs="宋体"/>
                <w:color w:val="auto"/>
                <w:sz w:val="24"/>
                <w:highlight w:val="none"/>
              </w:rPr>
            </w:pPr>
          </w:p>
        </w:tc>
        <w:tc>
          <w:tcPr>
            <w:tcW w:w="1556" w:type="dxa"/>
            <w:noWrap w:val="0"/>
            <w:vAlign w:val="top"/>
          </w:tcPr>
          <w:p>
            <w:pPr>
              <w:jc w:val="center"/>
              <w:rPr>
                <w:rFonts w:hint="eastAsia" w:ascii="宋体" w:hAnsi="宋体" w:eastAsia="宋体" w:cs="宋体"/>
                <w:color w:val="auto"/>
                <w:sz w:val="24"/>
                <w:highlight w:val="none"/>
              </w:rPr>
            </w:pPr>
          </w:p>
        </w:tc>
        <w:tc>
          <w:tcPr>
            <w:tcW w:w="1136" w:type="dxa"/>
            <w:noWrap w:val="0"/>
            <w:vAlign w:val="top"/>
          </w:tcPr>
          <w:p>
            <w:pPr>
              <w:jc w:val="center"/>
              <w:rPr>
                <w:rFonts w:hint="eastAsia" w:ascii="宋体" w:hAnsi="宋体" w:eastAsia="宋体" w:cs="宋体"/>
                <w:color w:val="auto"/>
                <w:sz w:val="24"/>
                <w:highlight w:val="none"/>
              </w:rPr>
            </w:pPr>
          </w:p>
        </w:tc>
        <w:tc>
          <w:tcPr>
            <w:tcW w:w="1383" w:type="dxa"/>
            <w:noWrap w:val="0"/>
            <w:vAlign w:val="top"/>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16" w:type="dxa"/>
            <w:noWrap w:val="0"/>
            <w:vAlign w:val="center"/>
          </w:tcPr>
          <w:p>
            <w:pPr>
              <w:jc w:val="center"/>
              <w:rPr>
                <w:rFonts w:hint="eastAsia" w:ascii="宋体" w:hAnsi="宋体" w:eastAsia="宋体" w:cs="宋体"/>
                <w:color w:val="auto"/>
                <w:sz w:val="24"/>
                <w:highlight w:val="none"/>
              </w:rPr>
            </w:pPr>
          </w:p>
        </w:tc>
        <w:tc>
          <w:tcPr>
            <w:tcW w:w="1394" w:type="dxa"/>
            <w:noWrap w:val="0"/>
            <w:vAlign w:val="center"/>
          </w:tcPr>
          <w:p>
            <w:pPr>
              <w:jc w:val="center"/>
              <w:rPr>
                <w:rFonts w:hint="eastAsia" w:ascii="宋体" w:hAnsi="宋体" w:eastAsia="宋体" w:cs="宋体"/>
                <w:color w:val="auto"/>
                <w:sz w:val="24"/>
                <w:highlight w:val="none"/>
              </w:rPr>
            </w:pPr>
          </w:p>
        </w:tc>
        <w:tc>
          <w:tcPr>
            <w:tcW w:w="1556" w:type="dxa"/>
            <w:noWrap w:val="0"/>
            <w:vAlign w:val="center"/>
          </w:tcPr>
          <w:p>
            <w:pPr>
              <w:jc w:val="center"/>
              <w:rPr>
                <w:rFonts w:hint="eastAsia" w:ascii="宋体" w:hAnsi="宋体" w:eastAsia="宋体" w:cs="宋体"/>
                <w:color w:val="auto"/>
                <w:sz w:val="24"/>
                <w:highlight w:val="none"/>
              </w:rPr>
            </w:pPr>
          </w:p>
        </w:tc>
        <w:tc>
          <w:tcPr>
            <w:tcW w:w="1136" w:type="dxa"/>
            <w:noWrap w:val="0"/>
            <w:vAlign w:val="center"/>
          </w:tcPr>
          <w:p>
            <w:pPr>
              <w:jc w:val="center"/>
              <w:rPr>
                <w:rFonts w:hint="eastAsia" w:ascii="宋体" w:hAnsi="宋体" w:eastAsia="宋体" w:cs="宋体"/>
                <w:color w:val="auto"/>
                <w:sz w:val="24"/>
                <w:highlight w:val="none"/>
              </w:rPr>
            </w:pPr>
          </w:p>
        </w:tc>
        <w:tc>
          <w:tcPr>
            <w:tcW w:w="1383"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16" w:type="dxa"/>
            <w:noWrap w:val="0"/>
            <w:vAlign w:val="center"/>
          </w:tcPr>
          <w:p>
            <w:pPr>
              <w:jc w:val="center"/>
              <w:rPr>
                <w:rFonts w:hint="eastAsia" w:ascii="宋体" w:hAnsi="宋体" w:eastAsia="宋体" w:cs="宋体"/>
                <w:color w:val="auto"/>
                <w:sz w:val="24"/>
                <w:highlight w:val="none"/>
              </w:rPr>
            </w:pPr>
          </w:p>
        </w:tc>
        <w:tc>
          <w:tcPr>
            <w:tcW w:w="1394" w:type="dxa"/>
            <w:noWrap w:val="0"/>
            <w:vAlign w:val="center"/>
          </w:tcPr>
          <w:p>
            <w:pPr>
              <w:jc w:val="center"/>
              <w:rPr>
                <w:rFonts w:hint="eastAsia" w:ascii="宋体" w:hAnsi="宋体" w:eastAsia="宋体" w:cs="宋体"/>
                <w:color w:val="auto"/>
                <w:sz w:val="24"/>
                <w:highlight w:val="none"/>
              </w:rPr>
            </w:pPr>
          </w:p>
        </w:tc>
        <w:tc>
          <w:tcPr>
            <w:tcW w:w="1556" w:type="dxa"/>
            <w:noWrap w:val="0"/>
            <w:vAlign w:val="center"/>
          </w:tcPr>
          <w:p>
            <w:pPr>
              <w:jc w:val="center"/>
              <w:rPr>
                <w:rFonts w:hint="eastAsia" w:ascii="宋体" w:hAnsi="宋体" w:eastAsia="宋体" w:cs="宋体"/>
                <w:color w:val="auto"/>
                <w:sz w:val="24"/>
                <w:highlight w:val="none"/>
              </w:rPr>
            </w:pPr>
          </w:p>
        </w:tc>
        <w:tc>
          <w:tcPr>
            <w:tcW w:w="1136" w:type="dxa"/>
            <w:noWrap w:val="0"/>
            <w:vAlign w:val="center"/>
          </w:tcPr>
          <w:p>
            <w:pPr>
              <w:jc w:val="center"/>
              <w:rPr>
                <w:rFonts w:hint="eastAsia" w:ascii="宋体" w:hAnsi="宋体" w:eastAsia="宋体" w:cs="宋体"/>
                <w:color w:val="auto"/>
                <w:sz w:val="24"/>
                <w:highlight w:val="none"/>
              </w:rPr>
            </w:pPr>
          </w:p>
        </w:tc>
        <w:tc>
          <w:tcPr>
            <w:tcW w:w="1383"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16" w:type="dxa"/>
            <w:noWrap w:val="0"/>
            <w:vAlign w:val="center"/>
          </w:tcPr>
          <w:p>
            <w:pPr>
              <w:jc w:val="center"/>
              <w:rPr>
                <w:rFonts w:hint="eastAsia" w:ascii="宋体" w:hAnsi="宋体" w:eastAsia="宋体" w:cs="宋体"/>
                <w:color w:val="auto"/>
                <w:sz w:val="24"/>
                <w:highlight w:val="none"/>
              </w:rPr>
            </w:pPr>
          </w:p>
        </w:tc>
        <w:tc>
          <w:tcPr>
            <w:tcW w:w="1394" w:type="dxa"/>
            <w:noWrap w:val="0"/>
            <w:vAlign w:val="center"/>
          </w:tcPr>
          <w:p>
            <w:pPr>
              <w:jc w:val="center"/>
              <w:rPr>
                <w:rFonts w:hint="eastAsia" w:ascii="宋体" w:hAnsi="宋体" w:eastAsia="宋体" w:cs="宋体"/>
                <w:color w:val="auto"/>
                <w:sz w:val="24"/>
                <w:highlight w:val="none"/>
              </w:rPr>
            </w:pPr>
          </w:p>
        </w:tc>
        <w:tc>
          <w:tcPr>
            <w:tcW w:w="1556" w:type="dxa"/>
            <w:noWrap w:val="0"/>
            <w:vAlign w:val="center"/>
          </w:tcPr>
          <w:p>
            <w:pPr>
              <w:jc w:val="center"/>
              <w:rPr>
                <w:rFonts w:hint="eastAsia" w:ascii="宋体" w:hAnsi="宋体" w:eastAsia="宋体" w:cs="宋体"/>
                <w:color w:val="auto"/>
                <w:sz w:val="24"/>
                <w:highlight w:val="none"/>
              </w:rPr>
            </w:pPr>
          </w:p>
        </w:tc>
        <w:tc>
          <w:tcPr>
            <w:tcW w:w="1136" w:type="dxa"/>
            <w:noWrap w:val="0"/>
            <w:vAlign w:val="center"/>
          </w:tcPr>
          <w:p>
            <w:pPr>
              <w:jc w:val="center"/>
              <w:rPr>
                <w:rFonts w:hint="eastAsia" w:ascii="宋体" w:hAnsi="宋体" w:eastAsia="宋体" w:cs="宋体"/>
                <w:color w:val="auto"/>
                <w:sz w:val="24"/>
                <w:highlight w:val="none"/>
              </w:rPr>
            </w:pPr>
          </w:p>
        </w:tc>
        <w:tc>
          <w:tcPr>
            <w:tcW w:w="1383"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616" w:type="dxa"/>
            <w:noWrap w:val="0"/>
            <w:vAlign w:val="center"/>
          </w:tcPr>
          <w:p>
            <w:pPr>
              <w:jc w:val="center"/>
              <w:rPr>
                <w:rFonts w:hint="eastAsia" w:ascii="宋体" w:hAnsi="宋体" w:eastAsia="宋体" w:cs="宋体"/>
                <w:color w:val="auto"/>
                <w:sz w:val="24"/>
                <w:highlight w:val="none"/>
              </w:rPr>
            </w:pPr>
          </w:p>
        </w:tc>
        <w:tc>
          <w:tcPr>
            <w:tcW w:w="1394" w:type="dxa"/>
            <w:noWrap w:val="0"/>
            <w:vAlign w:val="center"/>
          </w:tcPr>
          <w:p>
            <w:pPr>
              <w:jc w:val="center"/>
              <w:rPr>
                <w:rFonts w:hint="eastAsia" w:ascii="宋体" w:hAnsi="宋体" w:eastAsia="宋体" w:cs="宋体"/>
                <w:color w:val="auto"/>
                <w:sz w:val="24"/>
                <w:highlight w:val="none"/>
              </w:rPr>
            </w:pPr>
          </w:p>
        </w:tc>
        <w:tc>
          <w:tcPr>
            <w:tcW w:w="1556" w:type="dxa"/>
            <w:noWrap w:val="0"/>
            <w:vAlign w:val="center"/>
          </w:tcPr>
          <w:p>
            <w:pPr>
              <w:jc w:val="center"/>
              <w:rPr>
                <w:rFonts w:hint="eastAsia" w:ascii="宋体" w:hAnsi="宋体" w:eastAsia="宋体" w:cs="宋体"/>
                <w:color w:val="auto"/>
                <w:sz w:val="24"/>
                <w:highlight w:val="none"/>
              </w:rPr>
            </w:pPr>
          </w:p>
        </w:tc>
        <w:tc>
          <w:tcPr>
            <w:tcW w:w="1136" w:type="dxa"/>
            <w:noWrap w:val="0"/>
            <w:vAlign w:val="center"/>
          </w:tcPr>
          <w:p>
            <w:pPr>
              <w:jc w:val="center"/>
              <w:rPr>
                <w:rFonts w:hint="eastAsia" w:ascii="宋体" w:hAnsi="宋体" w:eastAsia="宋体" w:cs="宋体"/>
                <w:color w:val="auto"/>
                <w:sz w:val="24"/>
                <w:highlight w:val="none"/>
              </w:rPr>
            </w:pPr>
          </w:p>
        </w:tc>
        <w:tc>
          <w:tcPr>
            <w:tcW w:w="1383"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c>
          <w:tcPr>
            <w:tcW w:w="1451" w:type="dxa"/>
            <w:noWrap w:val="0"/>
            <w:vAlign w:val="center"/>
          </w:tcPr>
          <w:p>
            <w:pPr>
              <w:jc w:val="center"/>
              <w:rPr>
                <w:rFonts w:hint="eastAsia" w:ascii="宋体" w:hAnsi="宋体" w:eastAsia="宋体" w:cs="宋体"/>
                <w:color w:val="auto"/>
                <w:sz w:val="24"/>
                <w:highlight w:val="none"/>
              </w:rPr>
            </w:pPr>
          </w:p>
        </w:tc>
      </w:tr>
    </w:tbl>
    <w:p>
      <w:pPr>
        <w:pStyle w:val="16"/>
        <w:rPr>
          <w:rFonts w:hint="eastAsia" w:ascii="宋体" w:hAnsi="宋体" w:eastAsia="宋体" w:cs="宋体"/>
          <w:color w:val="auto"/>
          <w:highlight w:val="none"/>
        </w:rPr>
      </w:pPr>
    </w:p>
    <w:p>
      <w:pPr>
        <w:spacing w:line="360" w:lineRule="auto"/>
        <w:ind w:right="455"/>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注：此表后附施工合同复印件加盖单位公章</w:t>
      </w:r>
    </w:p>
    <w:p>
      <w:pPr>
        <w:rPr>
          <w:rFonts w:hint="eastAsia" w:ascii="宋体" w:hAnsi="宋体" w:eastAsia="宋体" w:cs="宋体"/>
          <w:color w:val="auto"/>
          <w:highlight w:val="none"/>
        </w:rPr>
      </w:pPr>
    </w:p>
    <w:p>
      <w:pPr>
        <w:spacing w:line="48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投标人</w:t>
      </w:r>
      <w:r>
        <w:rPr>
          <w:rFonts w:hint="eastAsia" w:ascii="宋体" w:hAnsi="宋体" w:eastAsia="宋体" w:cs="宋体"/>
          <w:color w:val="auto"/>
          <w:sz w:val="28"/>
          <w:szCs w:val="28"/>
          <w:highlight w:val="none"/>
        </w:rPr>
        <w:t xml:space="preserve">（公章）：            </w:t>
      </w:r>
    </w:p>
    <w:p>
      <w:pPr>
        <w:spacing w:line="480" w:lineRule="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法定代表人/授权代表签字：</w:t>
      </w:r>
    </w:p>
    <w:p>
      <w:pPr>
        <w:spacing w:line="480" w:lineRule="auto"/>
        <w:rPr>
          <w:rFonts w:hint="eastAsia" w:ascii="宋体" w:hAnsi="宋体" w:eastAsia="宋体" w:cs="宋体"/>
          <w:color w:val="auto"/>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pStyle w:val="3"/>
        <w:keepLines/>
        <w:spacing w:before="338" w:beforeLines="100" w:after="507" w:afterLines="150" w:line="240" w:lineRule="auto"/>
        <w:rPr>
          <w:rFonts w:hint="eastAsia" w:ascii="宋体" w:hAnsi="宋体" w:eastAsia="宋体" w:cs="宋体"/>
          <w:b/>
          <w:bCs/>
          <w:color w:val="auto"/>
          <w:kern w:val="44"/>
          <w:sz w:val="36"/>
          <w:szCs w:val="36"/>
          <w:highlight w:val="none"/>
          <w:lang w:eastAsia="zh-CN"/>
        </w:rPr>
      </w:pPr>
      <w:bookmarkStart w:id="564" w:name="_Toc427916731"/>
      <w:bookmarkStart w:id="565" w:name="_Toc32638"/>
      <w:r>
        <w:rPr>
          <w:rFonts w:hint="eastAsia" w:ascii="宋体" w:hAnsi="宋体" w:eastAsia="宋体" w:cs="宋体"/>
          <w:b/>
          <w:bCs/>
          <w:color w:val="auto"/>
          <w:kern w:val="44"/>
          <w:sz w:val="36"/>
          <w:szCs w:val="36"/>
          <w:highlight w:val="none"/>
          <w:lang w:eastAsia="zh-CN"/>
        </w:rPr>
        <w:t>五、</w:t>
      </w:r>
      <w:bookmarkEnd w:id="564"/>
      <w:r>
        <w:rPr>
          <w:rFonts w:hint="eastAsia" w:ascii="宋体" w:hAnsi="宋体" w:eastAsia="宋体" w:cs="宋体"/>
          <w:b/>
          <w:bCs/>
          <w:color w:val="auto"/>
          <w:kern w:val="44"/>
          <w:sz w:val="36"/>
          <w:szCs w:val="36"/>
          <w:highlight w:val="none"/>
          <w:lang w:eastAsia="zh-CN"/>
        </w:rPr>
        <w:t>施工组织设计</w:t>
      </w:r>
      <w:bookmarkEnd w:id="565"/>
    </w:p>
    <w:p>
      <w:pPr>
        <w:autoSpaceDE w:val="0"/>
        <w:autoSpaceDN w:val="0"/>
        <w:adjustRightInd w:val="0"/>
        <w:jc w:val="center"/>
        <w:rPr>
          <w:rFonts w:hint="eastAsia" w:ascii="宋体" w:hAnsi="宋体" w:eastAsia="宋体" w:cs="宋体"/>
          <w:b/>
          <w:bCs/>
          <w:color w:val="auto"/>
          <w:sz w:val="44"/>
          <w:szCs w:val="44"/>
          <w:highlight w:val="none"/>
        </w:rPr>
      </w:pPr>
    </w:p>
    <w:p>
      <w:pPr>
        <w:pStyle w:val="22"/>
        <w:rPr>
          <w:rFonts w:hint="eastAsia" w:ascii="宋体" w:hAnsi="宋体" w:eastAsia="宋体" w:cs="宋体"/>
          <w:b/>
          <w:bCs/>
          <w:color w:val="auto"/>
          <w:sz w:val="44"/>
          <w:szCs w:val="44"/>
          <w:highlight w:val="none"/>
        </w:rPr>
      </w:pPr>
    </w:p>
    <w:p>
      <w:pPr>
        <w:pStyle w:val="22"/>
        <w:rPr>
          <w:rFonts w:hint="eastAsia" w:ascii="宋体" w:hAnsi="宋体" w:eastAsia="宋体" w:cs="宋体"/>
          <w:b/>
          <w:bCs/>
          <w:color w:val="auto"/>
          <w:sz w:val="44"/>
          <w:szCs w:val="44"/>
          <w:highlight w:val="none"/>
        </w:rPr>
      </w:pPr>
    </w:p>
    <w:p>
      <w:pPr>
        <w:autoSpaceDE w:val="0"/>
        <w:autoSpaceDN w:val="0"/>
        <w:adjustRightInd w:val="0"/>
        <w:spacing w:line="48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根根</w:t>
      </w:r>
      <w:r>
        <w:rPr>
          <w:rFonts w:hint="eastAsia" w:ascii="宋体" w:hAnsi="宋体" w:eastAsia="宋体" w:cs="宋体"/>
          <w:color w:val="auto"/>
          <w:sz w:val="28"/>
          <w:szCs w:val="28"/>
          <w:highlight w:val="none"/>
        </w:rPr>
        <w:t>施工要求及评审办法要求内容自行编制。</w:t>
      </w:r>
    </w:p>
    <w:p>
      <w:pPr>
        <w:snapToGrid w:val="0"/>
        <w:spacing w:line="480" w:lineRule="auto"/>
        <w:ind w:firstLine="562" w:firstLineChars="200"/>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22"/>
        <w:rPr>
          <w:rFonts w:hint="eastAsia" w:ascii="宋体" w:hAnsi="宋体" w:eastAsia="宋体" w:cs="宋体"/>
          <w:b/>
          <w:bCs/>
          <w:color w:val="auto"/>
          <w:sz w:val="28"/>
          <w:szCs w:val="28"/>
          <w:highlight w:val="none"/>
          <w:lang w:val="zh-CN"/>
        </w:rPr>
      </w:pPr>
    </w:p>
    <w:p>
      <w:pPr>
        <w:pStyle w:val="3"/>
        <w:keepLines/>
        <w:spacing w:before="338" w:beforeLines="100" w:after="507" w:afterLines="150" w:line="240" w:lineRule="auto"/>
        <w:rPr>
          <w:rFonts w:hint="eastAsia" w:ascii="宋体" w:hAnsi="宋体" w:eastAsia="宋体" w:cs="宋体"/>
          <w:b/>
          <w:bCs/>
          <w:color w:val="auto"/>
          <w:kern w:val="44"/>
          <w:sz w:val="36"/>
          <w:szCs w:val="36"/>
          <w:highlight w:val="none"/>
          <w:lang w:eastAsia="zh-CN"/>
        </w:rPr>
      </w:pPr>
      <w:bookmarkStart w:id="566" w:name="_Toc21844"/>
      <w:bookmarkStart w:id="567" w:name="_Toc7211"/>
      <w:bookmarkStart w:id="568" w:name="_Toc57904278"/>
      <w:bookmarkStart w:id="569" w:name="_Toc484424954"/>
      <w:bookmarkStart w:id="570" w:name="_Toc484436014"/>
      <w:r>
        <w:rPr>
          <w:rFonts w:hint="eastAsia" w:ascii="宋体" w:hAnsi="宋体" w:eastAsia="宋体" w:cs="宋体"/>
          <w:b/>
          <w:bCs/>
          <w:color w:val="auto"/>
          <w:kern w:val="44"/>
          <w:sz w:val="36"/>
          <w:szCs w:val="36"/>
          <w:highlight w:val="none"/>
          <w:lang w:eastAsia="zh-CN"/>
        </w:rPr>
        <w:t>六、政府采购投标人拒绝政府采购领域商业贿赂承诺书</w:t>
      </w:r>
      <w:bookmarkEnd w:id="566"/>
      <w:bookmarkEnd w:id="567"/>
    </w:p>
    <w:p>
      <w:pPr>
        <w:snapToGrid w:val="0"/>
        <w:spacing w:line="360" w:lineRule="auto"/>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为响应党中央、国务院关于治理政府采购领域商业贿赂行为的号召，我公司再次承诺：</w:t>
      </w:r>
    </w:p>
    <w:p>
      <w:pPr>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一、在参与政府采购活动中遵纪守法、诚信经营、公平竞标；</w:t>
      </w:r>
    </w:p>
    <w:p>
      <w:pPr>
        <w:snapToGrid w:val="0"/>
        <w:spacing w:line="360" w:lineRule="auto"/>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二、不向采购人、采购代理机构和政府采购评审专家进行任何形式的商业贿赂以谋取交易机会；</w:t>
      </w:r>
    </w:p>
    <w:p>
      <w:pPr>
        <w:snapToGrid w:val="0"/>
        <w:spacing w:line="360" w:lineRule="auto"/>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三、不向政府采购代理机构和采购人提供虚假资格证明文件或采用虚假应标方式参与政府采购市场竞争并谋取</w:t>
      </w:r>
      <w:r>
        <w:rPr>
          <w:rFonts w:hint="eastAsia" w:ascii="宋体" w:hAnsi="宋体" w:eastAsia="宋体" w:cs="宋体"/>
          <w:color w:val="auto"/>
          <w:sz w:val="28"/>
          <w:szCs w:val="28"/>
          <w:highlight w:val="none"/>
          <w:lang w:eastAsia="zh-CN"/>
        </w:rPr>
        <w:t>成交</w:t>
      </w:r>
      <w:r>
        <w:rPr>
          <w:rFonts w:hint="eastAsia" w:ascii="宋体" w:hAnsi="宋体" w:eastAsia="宋体" w:cs="宋体"/>
          <w:color w:val="auto"/>
          <w:sz w:val="28"/>
          <w:szCs w:val="28"/>
          <w:highlight w:val="none"/>
        </w:rPr>
        <w:t>、成交；</w:t>
      </w:r>
    </w:p>
    <w:p>
      <w:pPr>
        <w:snapToGrid w:val="0"/>
        <w:spacing w:line="360" w:lineRule="auto"/>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四、不采取“围标、陪标”等商业欺诈手段获取政府采购订单；</w:t>
      </w:r>
    </w:p>
    <w:p>
      <w:pPr>
        <w:snapToGrid w:val="0"/>
        <w:spacing w:line="360" w:lineRule="auto"/>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五、不采取不正当手段诋毁、排挤其他</w:t>
      </w:r>
      <w:r>
        <w:rPr>
          <w:rFonts w:hint="eastAsia" w:ascii="宋体" w:hAnsi="宋体" w:eastAsia="宋体" w:cs="宋体"/>
          <w:color w:val="auto"/>
          <w:sz w:val="28"/>
          <w:szCs w:val="28"/>
          <w:highlight w:val="none"/>
          <w:lang w:eastAsia="zh-CN"/>
        </w:rPr>
        <w:t>投标人</w:t>
      </w:r>
      <w:r>
        <w:rPr>
          <w:rFonts w:hint="eastAsia" w:ascii="宋体" w:hAnsi="宋体" w:eastAsia="宋体" w:cs="宋体"/>
          <w:color w:val="auto"/>
          <w:sz w:val="28"/>
          <w:szCs w:val="28"/>
          <w:highlight w:val="none"/>
        </w:rPr>
        <w:t>；</w:t>
      </w:r>
    </w:p>
    <w:p>
      <w:pPr>
        <w:snapToGrid w:val="0"/>
        <w:spacing w:line="360" w:lineRule="auto"/>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六、不在提供商品和服务时“偷梁换柱、以次充好”损害采购人的合法权益；</w:t>
      </w:r>
    </w:p>
    <w:p>
      <w:pPr>
        <w:snapToGrid w:val="0"/>
        <w:spacing w:line="360" w:lineRule="auto"/>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七、不与采购人、采购代理机构、政府采购评审专家或其他</w:t>
      </w:r>
      <w:r>
        <w:rPr>
          <w:rFonts w:hint="eastAsia" w:ascii="宋体" w:hAnsi="宋体" w:eastAsia="宋体" w:cs="宋体"/>
          <w:color w:val="auto"/>
          <w:sz w:val="28"/>
          <w:szCs w:val="28"/>
          <w:highlight w:val="none"/>
          <w:lang w:eastAsia="zh-CN"/>
        </w:rPr>
        <w:t>投标人</w:t>
      </w:r>
      <w:r>
        <w:rPr>
          <w:rFonts w:hint="eastAsia" w:ascii="宋体" w:hAnsi="宋体" w:eastAsia="宋体" w:cs="宋体"/>
          <w:color w:val="auto"/>
          <w:sz w:val="28"/>
          <w:szCs w:val="28"/>
          <w:highlight w:val="none"/>
        </w:rPr>
        <w:t>恶意串通，进行质疑和投诉，维护政府采购市场秩序；</w:t>
      </w:r>
    </w:p>
    <w:p>
      <w:pPr>
        <w:snapToGrid w:val="0"/>
        <w:spacing w:line="360" w:lineRule="auto"/>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八、尊重和接受政府采购监督管理部门的监督和政府采购代理机构</w:t>
      </w:r>
      <w:r>
        <w:rPr>
          <w:rFonts w:hint="eastAsia" w:ascii="宋体" w:hAnsi="宋体" w:eastAsia="宋体" w:cs="宋体"/>
          <w:color w:val="auto"/>
          <w:sz w:val="28"/>
          <w:szCs w:val="28"/>
          <w:highlight w:val="none"/>
          <w:lang w:eastAsia="zh-CN"/>
        </w:rPr>
        <w:t>投标</w:t>
      </w:r>
      <w:r>
        <w:rPr>
          <w:rFonts w:hint="eastAsia" w:ascii="宋体" w:hAnsi="宋体" w:eastAsia="宋体" w:cs="宋体"/>
          <w:color w:val="auto"/>
          <w:sz w:val="28"/>
          <w:szCs w:val="28"/>
          <w:highlight w:val="none"/>
        </w:rPr>
        <w:t>采购要求，承担因违约行为给采购人造成的损失；</w:t>
      </w:r>
    </w:p>
    <w:p>
      <w:pPr>
        <w:snapToGrid w:val="0"/>
        <w:spacing w:line="360" w:lineRule="auto"/>
        <w:ind w:firstLine="560" w:firstLineChars="200"/>
        <w:rPr>
          <w:rFonts w:hint="eastAsia" w:ascii="宋体" w:hAnsi="宋体" w:eastAsia="宋体" w:cs="宋体"/>
          <w:b/>
          <w:color w:val="auto"/>
          <w:sz w:val="28"/>
          <w:szCs w:val="28"/>
          <w:highlight w:val="none"/>
        </w:rPr>
      </w:pPr>
      <w:r>
        <w:rPr>
          <w:rFonts w:hint="eastAsia" w:ascii="宋体" w:hAnsi="宋体" w:eastAsia="宋体" w:cs="宋体"/>
          <w:color w:val="auto"/>
          <w:sz w:val="28"/>
          <w:szCs w:val="28"/>
          <w:highlight w:val="none"/>
        </w:rPr>
        <w:t>九、不发生其他有悖于政府采购公开、公平、公正和诚信原则的行为。</w:t>
      </w:r>
    </w:p>
    <w:p>
      <w:pPr>
        <w:snapToGrid w:val="0"/>
        <w:spacing w:line="360" w:lineRule="auto"/>
        <w:ind w:left="48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投标人</w:t>
      </w:r>
      <w:r>
        <w:rPr>
          <w:rFonts w:hint="eastAsia" w:ascii="宋体" w:hAnsi="宋体" w:eastAsia="宋体" w:cs="宋体"/>
          <w:color w:val="auto"/>
          <w:sz w:val="28"/>
          <w:szCs w:val="28"/>
          <w:highlight w:val="none"/>
        </w:rPr>
        <w:t xml:space="preserve">：（盖章）               </w:t>
      </w:r>
      <w:r>
        <w:rPr>
          <w:rFonts w:hint="eastAsia" w:ascii="宋体" w:hAnsi="宋体" w:eastAsia="宋体" w:cs="宋体"/>
          <w:bCs/>
          <w:color w:val="auto"/>
          <w:sz w:val="28"/>
          <w:szCs w:val="28"/>
          <w:highlight w:val="none"/>
        </w:rPr>
        <w:t>法定代表人或被授权人</w:t>
      </w:r>
      <w:r>
        <w:rPr>
          <w:rFonts w:hint="eastAsia" w:ascii="宋体" w:hAnsi="宋体" w:eastAsia="宋体" w:cs="宋体"/>
          <w:color w:val="auto"/>
          <w:sz w:val="28"/>
          <w:szCs w:val="28"/>
          <w:highlight w:val="none"/>
        </w:rPr>
        <w:t>：（签字）</w:t>
      </w:r>
    </w:p>
    <w:p>
      <w:pPr>
        <w:snapToGrid w:val="0"/>
        <w:spacing w:line="360" w:lineRule="auto"/>
        <w:ind w:left="48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地址；                             邮编：</w:t>
      </w:r>
    </w:p>
    <w:p>
      <w:pPr>
        <w:snapToGrid w:val="0"/>
        <w:spacing w:line="360" w:lineRule="auto"/>
        <w:ind w:left="48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电话：       </w:t>
      </w:r>
    </w:p>
    <w:p>
      <w:pPr>
        <w:snapToGrid w:val="0"/>
        <w:spacing w:line="360" w:lineRule="auto"/>
        <w:ind w:left="482"/>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p>
    <w:p>
      <w:pPr>
        <w:snapToGrid w:val="0"/>
        <w:spacing w:line="360" w:lineRule="auto"/>
        <w:jc w:val="righ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年  月  日</w:t>
      </w:r>
    </w:p>
    <w:p>
      <w:pPr>
        <w:snapToGrid w:val="0"/>
        <w:spacing w:line="360" w:lineRule="auto"/>
        <w:ind w:left="483" w:leftChars="230" w:firstLine="6580" w:firstLineChars="2350"/>
        <w:rPr>
          <w:rFonts w:hint="eastAsia" w:ascii="宋体" w:hAnsi="宋体" w:eastAsia="宋体" w:cs="宋体"/>
          <w:color w:val="auto"/>
          <w:sz w:val="28"/>
          <w:szCs w:val="28"/>
          <w:highlight w:val="none"/>
        </w:rPr>
      </w:pPr>
    </w:p>
    <w:p>
      <w:pPr>
        <w:pStyle w:val="3"/>
        <w:keepLines/>
        <w:spacing w:before="338" w:beforeLines="100" w:after="507" w:afterLines="150" w:line="240" w:lineRule="auto"/>
        <w:rPr>
          <w:rFonts w:hint="eastAsia" w:ascii="宋体" w:hAnsi="宋体" w:eastAsia="宋体" w:cs="宋体"/>
          <w:b/>
          <w:bCs/>
          <w:color w:val="auto"/>
          <w:kern w:val="44"/>
          <w:sz w:val="36"/>
          <w:szCs w:val="36"/>
          <w:highlight w:val="none"/>
          <w:lang w:eastAsia="zh-CN"/>
        </w:rPr>
      </w:pPr>
      <w:bookmarkStart w:id="571" w:name="_Toc9985"/>
      <w:r>
        <w:rPr>
          <w:rFonts w:hint="eastAsia" w:ascii="宋体" w:hAnsi="宋体" w:eastAsia="宋体" w:cs="宋体"/>
          <w:b/>
          <w:bCs/>
          <w:color w:val="auto"/>
          <w:kern w:val="44"/>
          <w:sz w:val="36"/>
          <w:szCs w:val="36"/>
          <w:highlight w:val="none"/>
          <w:lang w:eastAsia="zh-CN"/>
        </w:rPr>
        <w:t>七、采购项目需要落实的政府采购政策证明文件</w:t>
      </w:r>
      <w:bookmarkEnd w:id="568"/>
      <w:bookmarkEnd w:id="571"/>
    </w:p>
    <w:bookmarkEnd w:id="569"/>
    <w:bookmarkEnd w:id="570"/>
    <w:p>
      <w:pPr>
        <w:snapToGrid w:val="0"/>
        <w:spacing w:line="360" w:lineRule="auto"/>
        <w:jc w:val="center"/>
        <w:rPr>
          <w:rFonts w:hint="eastAsia" w:ascii="宋体" w:hAnsi="宋体" w:eastAsia="宋体" w:cs="宋体"/>
          <w:b/>
          <w:bCs/>
          <w:color w:val="auto"/>
          <w:sz w:val="36"/>
          <w:szCs w:val="36"/>
          <w:highlight w:val="none"/>
        </w:rPr>
      </w:pPr>
      <w:bookmarkStart w:id="572" w:name="_Toc5405"/>
      <w:bookmarkStart w:id="573" w:name="_Toc476262490"/>
      <w:r>
        <w:rPr>
          <w:rFonts w:hint="eastAsia" w:ascii="宋体" w:hAnsi="宋体" w:eastAsia="宋体" w:cs="宋体"/>
          <w:b/>
          <w:bCs/>
          <w:color w:val="auto"/>
          <w:sz w:val="36"/>
          <w:szCs w:val="36"/>
          <w:highlight w:val="none"/>
          <w:lang w:eastAsia="zh-CN"/>
        </w:rPr>
        <w:t>（一）</w:t>
      </w:r>
      <w:r>
        <w:rPr>
          <w:rFonts w:hint="eastAsia" w:ascii="宋体" w:hAnsi="宋体" w:eastAsia="宋体" w:cs="宋体"/>
          <w:b/>
          <w:bCs/>
          <w:color w:val="auto"/>
          <w:sz w:val="36"/>
          <w:szCs w:val="36"/>
          <w:highlight w:val="none"/>
        </w:rPr>
        <w:t>中小企业声明函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本公司郑重声明，根据《政府采购促进中小企业发展管理办法》（财库〔2020〕46号）的规定，本公司参加（单位名称）的（项目名称）采购活动，服务全部由符合政策要求的中小企业承接。相关企业（含联合体中的中小企业、签订分包意向协议的中小企业）的具体情况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u w:val="single"/>
          <w:lang w:val="en-US" w:eastAsia="zh-CN"/>
        </w:rPr>
        <w:t>（标的名称）</w:t>
      </w:r>
      <w:r>
        <w:rPr>
          <w:rFonts w:hint="eastAsia" w:ascii="宋体" w:hAnsi="宋体" w:eastAsia="宋体" w:cs="宋体"/>
          <w:color w:val="auto"/>
          <w:sz w:val="28"/>
          <w:szCs w:val="28"/>
          <w:highlight w:val="none"/>
          <w:lang w:val="en-US" w:eastAsia="zh-CN"/>
        </w:rPr>
        <w:t>，属于</w:t>
      </w:r>
      <w:r>
        <w:rPr>
          <w:rFonts w:hint="eastAsia" w:ascii="宋体" w:hAnsi="宋体" w:eastAsia="宋体" w:cs="宋体"/>
          <w:color w:val="auto"/>
          <w:sz w:val="28"/>
          <w:szCs w:val="28"/>
          <w:highlight w:val="none"/>
          <w:u w:val="single"/>
          <w:lang w:val="en-US" w:eastAsia="zh-CN"/>
        </w:rPr>
        <w:t>（采购文件中明确的所属行业）</w:t>
      </w:r>
      <w:r>
        <w:rPr>
          <w:rFonts w:hint="eastAsia" w:ascii="宋体" w:hAnsi="宋体" w:eastAsia="宋体" w:cs="宋体"/>
          <w:color w:val="auto"/>
          <w:sz w:val="28"/>
          <w:szCs w:val="28"/>
          <w:highlight w:val="none"/>
          <w:lang w:val="en-US" w:eastAsia="zh-CN"/>
        </w:rPr>
        <w:t>；承接企业为</w:t>
      </w:r>
      <w:r>
        <w:rPr>
          <w:rFonts w:hint="eastAsia" w:ascii="宋体" w:hAnsi="宋体" w:eastAsia="宋体" w:cs="宋体"/>
          <w:color w:val="auto"/>
          <w:sz w:val="28"/>
          <w:szCs w:val="28"/>
          <w:highlight w:val="none"/>
          <w:u w:val="single"/>
          <w:lang w:val="en-US" w:eastAsia="zh-CN"/>
        </w:rPr>
        <w:t>（企业名称）</w:t>
      </w:r>
      <w:r>
        <w:rPr>
          <w:rFonts w:hint="eastAsia" w:ascii="宋体" w:hAnsi="宋体" w:eastAsia="宋体" w:cs="宋体"/>
          <w:color w:val="auto"/>
          <w:sz w:val="28"/>
          <w:szCs w:val="28"/>
          <w:highlight w:val="none"/>
          <w:lang w:val="en-US" w:eastAsia="zh-CN"/>
        </w:rPr>
        <w:t>，从业人员</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人，营业收入为</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万元，资产总额为</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万元</w:t>
      </w:r>
      <w:r>
        <w:rPr>
          <w:rFonts w:hint="eastAsia" w:ascii="宋体" w:hAnsi="宋体" w:eastAsia="宋体" w:cs="宋体"/>
          <w:color w:val="auto"/>
          <w:kern w:val="0"/>
          <w:sz w:val="28"/>
          <w:szCs w:val="28"/>
          <w:highlight w:val="none"/>
          <w:vertAlign w:val="superscript"/>
          <w:lang w:val="en-US" w:eastAsia="zh-CN" w:bidi="ar"/>
        </w:rPr>
        <w:t>1</w:t>
      </w:r>
      <w:r>
        <w:rPr>
          <w:rFonts w:hint="eastAsia" w:ascii="宋体" w:hAnsi="宋体" w:eastAsia="宋体" w:cs="宋体"/>
          <w:color w:val="auto"/>
          <w:sz w:val="28"/>
          <w:szCs w:val="28"/>
          <w:highlight w:val="none"/>
          <w:lang w:val="en-US" w:eastAsia="zh-CN"/>
        </w:rPr>
        <w:t>，属于</w:t>
      </w:r>
      <w:r>
        <w:rPr>
          <w:rFonts w:hint="eastAsia" w:ascii="宋体" w:hAnsi="宋体" w:eastAsia="宋体" w:cs="宋体"/>
          <w:color w:val="auto"/>
          <w:sz w:val="28"/>
          <w:szCs w:val="28"/>
          <w:highlight w:val="none"/>
          <w:u w:val="single"/>
          <w:lang w:val="en-US" w:eastAsia="zh-CN"/>
        </w:rPr>
        <w:t>（中型企业、小型企业、微型企业）</w:t>
      </w:r>
      <w:r>
        <w:rPr>
          <w:rFonts w:hint="eastAsia" w:ascii="宋体" w:hAnsi="宋体" w:eastAsia="宋体" w:cs="宋体"/>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u w:val="single"/>
          <w:lang w:val="en-US" w:eastAsia="zh-CN"/>
        </w:rPr>
        <w:t>（标的名称）</w:t>
      </w:r>
      <w:r>
        <w:rPr>
          <w:rFonts w:hint="eastAsia" w:ascii="宋体" w:hAnsi="宋体" w:eastAsia="宋体" w:cs="宋体"/>
          <w:color w:val="auto"/>
          <w:sz w:val="28"/>
          <w:szCs w:val="28"/>
          <w:highlight w:val="none"/>
          <w:lang w:val="en-US" w:eastAsia="zh-CN"/>
        </w:rPr>
        <w:t>，属于</w:t>
      </w:r>
      <w:r>
        <w:rPr>
          <w:rFonts w:hint="eastAsia" w:ascii="宋体" w:hAnsi="宋体" w:eastAsia="宋体" w:cs="宋体"/>
          <w:color w:val="auto"/>
          <w:sz w:val="28"/>
          <w:szCs w:val="28"/>
          <w:highlight w:val="none"/>
          <w:u w:val="single"/>
          <w:lang w:val="en-US" w:eastAsia="zh-CN"/>
        </w:rPr>
        <w:t>（采购文件中明确的所属行业）</w:t>
      </w:r>
      <w:r>
        <w:rPr>
          <w:rFonts w:hint="eastAsia" w:ascii="宋体" w:hAnsi="宋体" w:eastAsia="宋体" w:cs="宋体"/>
          <w:color w:val="auto"/>
          <w:sz w:val="28"/>
          <w:szCs w:val="28"/>
          <w:highlight w:val="none"/>
          <w:lang w:val="en-US" w:eastAsia="zh-CN"/>
        </w:rPr>
        <w:t>；承接企业为</w:t>
      </w:r>
      <w:r>
        <w:rPr>
          <w:rFonts w:hint="eastAsia" w:ascii="宋体" w:hAnsi="宋体" w:eastAsia="宋体" w:cs="宋体"/>
          <w:color w:val="auto"/>
          <w:sz w:val="28"/>
          <w:szCs w:val="28"/>
          <w:highlight w:val="none"/>
          <w:u w:val="single"/>
          <w:lang w:val="en-US" w:eastAsia="zh-CN"/>
        </w:rPr>
        <w:t>（企业名称）</w:t>
      </w:r>
      <w:r>
        <w:rPr>
          <w:rFonts w:hint="eastAsia" w:ascii="宋体" w:hAnsi="宋体" w:eastAsia="宋体" w:cs="宋体"/>
          <w:color w:val="auto"/>
          <w:sz w:val="28"/>
          <w:szCs w:val="28"/>
          <w:highlight w:val="none"/>
          <w:lang w:val="en-US" w:eastAsia="zh-CN"/>
        </w:rPr>
        <w:t>，从业人员</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人，营业收入为</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万元，资产总额为</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万元，属于</w:t>
      </w:r>
      <w:r>
        <w:rPr>
          <w:rFonts w:hint="eastAsia" w:ascii="宋体" w:hAnsi="宋体" w:eastAsia="宋体" w:cs="宋体"/>
          <w:color w:val="auto"/>
          <w:sz w:val="28"/>
          <w:szCs w:val="28"/>
          <w:highlight w:val="none"/>
          <w:u w:val="single"/>
          <w:lang w:val="en-US" w:eastAsia="zh-CN"/>
        </w:rPr>
        <w:t>（中型企业、小型企业、微型企业）</w:t>
      </w:r>
      <w:r>
        <w:rPr>
          <w:rFonts w:hint="eastAsia" w:ascii="宋体" w:hAnsi="宋体" w:eastAsia="宋体" w:cs="宋体"/>
          <w:color w:val="auto"/>
          <w:sz w:val="28"/>
          <w:szCs w:val="28"/>
          <w:highlight w:val="none"/>
          <w:lang w:val="en-US" w:eastAsia="zh-CN"/>
        </w:rPr>
        <w:t>；</w:t>
      </w:r>
    </w:p>
    <w:p>
      <w:pPr>
        <w:pStyle w:val="16"/>
        <w:keepNext w:val="0"/>
        <w:keepLines w:val="0"/>
        <w:pageBreakBefore w:val="0"/>
        <w:widowControl w:val="0"/>
        <w:kinsoku/>
        <w:wordWrap/>
        <w:overflowPunct/>
        <w:topLinePunct w:val="0"/>
        <w:autoSpaceDE/>
        <w:autoSpaceDN/>
        <w:bidi w:val="0"/>
        <w:adjustRightInd/>
        <w:snapToGrid/>
        <w:spacing w:after="0" w:afterLines="0" w:line="500" w:lineRule="exact"/>
        <w:ind w:firstLine="560" w:firstLineChars="200"/>
        <w:textAlignment w:val="auto"/>
        <w:rPr>
          <w:rFonts w:hint="eastAsia" w:ascii="宋体" w:hAnsi="宋体" w:eastAsia="宋体" w:cs="宋体"/>
          <w:color w:val="auto"/>
          <w:highlight w:val="none"/>
          <w:lang w:val="en-US"/>
        </w:rPr>
      </w:pPr>
      <w:r>
        <w:rPr>
          <w:rFonts w:hint="eastAsia" w:ascii="宋体" w:hAnsi="宋体" w:eastAsia="宋体" w:cs="宋体"/>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val="en-US" w:eastAsia="zh-CN"/>
        </w:rPr>
        <w:t>本企业对上述声明内容的真实性负责。如有虚假，将依法承担相应责任。</w:t>
      </w:r>
    </w:p>
    <w:p>
      <w:pPr>
        <w:keepNext w:val="0"/>
        <w:keepLines w:val="0"/>
        <w:pageBreakBefore w:val="0"/>
        <w:kinsoku/>
        <w:overflowPunct/>
        <w:bidi w:val="0"/>
        <w:spacing w:line="480" w:lineRule="atLeast"/>
        <w:ind w:firstLine="560" w:firstLineChars="200"/>
        <w:jc w:val="left"/>
        <w:rPr>
          <w:rFonts w:hint="eastAsia" w:ascii="宋体" w:hAnsi="宋体" w:eastAsia="宋体" w:cs="宋体"/>
          <w:color w:val="auto"/>
          <w:sz w:val="28"/>
          <w:szCs w:val="28"/>
          <w:highlight w:val="none"/>
        </w:rPr>
      </w:pP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8"/>
          <w:highlight w:val="none"/>
          <w:lang w:val="en-US" w:eastAsia="zh-CN" w:bidi="ar"/>
        </w:rPr>
        <w:t>企业名称（盖章）：</w:t>
      </w:r>
      <w:r>
        <w:rPr>
          <w:rFonts w:hint="eastAsia" w:ascii="宋体" w:hAnsi="宋体" w:eastAsia="宋体" w:cs="宋体"/>
          <w:b/>
          <w:color w:val="auto"/>
          <w:sz w:val="28"/>
          <w:szCs w:val="28"/>
          <w:highlight w:val="none"/>
          <w:u w:val="single"/>
          <w:lang w:val="zh-CN"/>
        </w:rPr>
        <w:t xml:space="preserve">          </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u w:val="single"/>
          <w:lang w:val="zh-CN"/>
        </w:rPr>
        <w:t xml:space="preserve">      </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val="0"/>
          <w:color w:val="auto"/>
          <w:sz w:val="28"/>
          <w:szCs w:val="28"/>
          <w:highlight w:val="none"/>
          <w:u w:val="single"/>
          <w:lang w:val="en-US" w:eastAsia="zh-CN"/>
        </w:rPr>
        <w:t>.</w:t>
      </w:r>
    </w:p>
    <w:p>
      <w:pPr>
        <w:keepNext w:val="0"/>
        <w:keepLines w:val="0"/>
        <w:pageBreakBefore w:val="0"/>
        <w:kinsoku/>
        <w:wordWrap/>
        <w:overflowPunct/>
        <w:topLinePunct w:val="0"/>
        <w:autoSpaceDE/>
        <w:autoSpaceDN w:val="0"/>
        <w:bidi w:val="0"/>
        <w:adjustRightInd/>
        <w:snapToGrid/>
        <w:spacing w:line="500" w:lineRule="exact"/>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kern w:val="0"/>
          <w:sz w:val="28"/>
          <w:szCs w:val="28"/>
          <w:highlight w:val="none"/>
          <w:lang w:val="en-US" w:eastAsia="zh-CN" w:bidi="ar"/>
        </w:rPr>
        <w:t>日 期：</w:t>
      </w:r>
      <w:r>
        <w:rPr>
          <w:rFonts w:hint="eastAsia" w:ascii="宋体" w:hAnsi="宋体" w:eastAsia="宋体" w:cs="宋体"/>
          <w:color w:val="auto"/>
          <w:kern w:val="0"/>
          <w:sz w:val="28"/>
          <w:szCs w:val="28"/>
          <w:highlight w:val="none"/>
          <w:u w:val="single"/>
          <w:lang w:val="en-US" w:eastAsia="zh-CN" w:bidi="ar"/>
        </w:rPr>
        <w:t xml:space="preserve">     </w:t>
      </w:r>
      <w:r>
        <w:rPr>
          <w:rFonts w:hint="eastAsia" w:ascii="宋体" w:hAnsi="宋体" w:eastAsia="宋体" w:cs="宋体"/>
          <w:color w:val="auto"/>
          <w:kern w:val="0"/>
          <w:sz w:val="28"/>
          <w:szCs w:val="28"/>
          <w:highlight w:val="none"/>
          <w:lang w:val="en-US" w:eastAsia="zh-CN" w:bidi="ar"/>
        </w:rPr>
        <w:t>年</w:t>
      </w:r>
      <w:r>
        <w:rPr>
          <w:rFonts w:hint="eastAsia" w:ascii="宋体" w:hAnsi="宋体" w:eastAsia="宋体" w:cs="宋体"/>
          <w:color w:val="auto"/>
          <w:kern w:val="0"/>
          <w:sz w:val="28"/>
          <w:szCs w:val="28"/>
          <w:highlight w:val="none"/>
          <w:u w:val="single"/>
          <w:lang w:val="en-US" w:eastAsia="zh-CN" w:bidi="ar"/>
        </w:rPr>
        <w:t xml:space="preserve">    </w:t>
      </w:r>
      <w:r>
        <w:rPr>
          <w:rFonts w:hint="eastAsia" w:ascii="宋体" w:hAnsi="宋体" w:eastAsia="宋体" w:cs="宋体"/>
          <w:color w:val="auto"/>
          <w:kern w:val="0"/>
          <w:sz w:val="28"/>
          <w:szCs w:val="28"/>
          <w:highlight w:val="none"/>
          <w:lang w:val="en-US" w:eastAsia="zh-CN" w:bidi="ar"/>
        </w:rPr>
        <w:t>月</w:t>
      </w:r>
      <w:r>
        <w:rPr>
          <w:rFonts w:hint="eastAsia" w:ascii="宋体" w:hAnsi="宋体" w:eastAsia="宋体" w:cs="宋体"/>
          <w:color w:val="auto"/>
          <w:kern w:val="0"/>
          <w:sz w:val="28"/>
          <w:szCs w:val="28"/>
          <w:highlight w:val="none"/>
          <w:u w:val="single"/>
          <w:lang w:val="en-US" w:eastAsia="zh-CN" w:bidi="ar"/>
        </w:rPr>
        <w:t xml:space="preserve">    </w:t>
      </w:r>
      <w:r>
        <w:rPr>
          <w:rFonts w:hint="eastAsia" w:ascii="宋体" w:hAnsi="宋体" w:eastAsia="宋体" w:cs="宋体"/>
          <w:color w:val="auto"/>
          <w:kern w:val="0"/>
          <w:sz w:val="28"/>
          <w:szCs w:val="28"/>
          <w:highlight w:val="none"/>
          <w:lang w:val="en-US" w:eastAsia="zh-CN" w:bidi="ar"/>
        </w:rPr>
        <w:t>日</w:t>
      </w:r>
    </w:p>
    <w:p>
      <w:pPr>
        <w:pStyle w:val="2"/>
        <w:keepNext w:val="0"/>
        <w:keepLines w:val="0"/>
        <w:pageBreakBefore w:val="0"/>
        <w:kinsoku/>
        <w:wordWrap/>
        <w:overflowPunct/>
        <w:topLinePunct w:val="0"/>
        <w:autoSpaceDE/>
        <w:bidi w:val="0"/>
        <w:adjustRightInd/>
        <w:snapToGrid/>
        <w:spacing w:after="0" w:line="500" w:lineRule="exact"/>
        <w:textAlignment w:val="auto"/>
        <w:rPr>
          <w:rFonts w:hint="eastAsia" w:ascii="宋体" w:hAnsi="宋体" w:eastAsia="宋体" w:cs="宋体"/>
          <w:b/>
          <w:bCs/>
          <w:color w:val="auto"/>
          <w:sz w:val="28"/>
          <w:szCs w:val="28"/>
          <w:highlight w:val="none"/>
        </w:rPr>
      </w:pPr>
    </w:p>
    <w:p>
      <w:pPr>
        <w:pStyle w:val="16"/>
        <w:ind w:left="0" w:leftChars="0" w:firstLine="0" w:firstLineChars="0"/>
        <w:rPr>
          <w:rFonts w:hint="eastAsia" w:ascii="宋体" w:hAnsi="宋体" w:eastAsia="宋体" w:cs="宋体"/>
          <w:color w:val="auto"/>
          <w:highlight w:val="none"/>
        </w:rPr>
      </w:pPr>
    </w:p>
    <w:p>
      <w:pPr>
        <w:pStyle w:val="2"/>
        <w:keepNext w:val="0"/>
        <w:keepLines w:val="0"/>
        <w:pageBreakBefore w:val="0"/>
        <w:kinsoku/>
        <w:overflowPunct/>
        <w:bidi w:val="0"/>
        <w:spacing w:line="500" w:lineRule="exact"/>
        <w:rPr>
          <w:rFonts w:hint="eastAsia" w:ascii="宋体" w:hAnsi="宋体" w:eastAsia="宋体" w:cs="宋体"/>
          <w:b/>
          <w:bCs/>
          <w:color w:val="auto"/>
          <w:sz w:val="32"/>
          <w:szCs w:val="32"/>
          <w:highlight w:val="none"/>
        </w:rPr>
      </w:pPr>
      <w:r>
        <w:rPr>
          <w:rFonts w:hint="eastAsia" w:ascii="宋体" w:hAnsi="宋体" w:eastAsia="宋体" w:cs="宋体"/>
          <w:b/>
          <w:bCs/>
          <w:color w:val="auto"/>
          <w:sz w:val="28"/>
          <w:szCs w:val="28"/>
          <w:highlight w:val="none"/>
        </w:rPr>
        <w:t>注：非小型、微型企业可不填写此</w:t>
      </w:r>
      <w:r>
        <w:rPr>
          <w:rFonts w:hint="eastAsia" w:ascii="宋体" w:hAnsi="宋体" w:eastAsia="宋体" w:cs="宋体"/>
          <w:b/>
          <w:bCs/>
          <w:color w:val="auto"/>
          <w:sz w:val="28"/>
          <w:szCs w:val="28"/>
          <w:highlight w:val="none"/>
          <w:lang w:eastAsia="zh-CN"/>
        </w:rPr>
        <w:t>项</w:t>
      </w:r>
      <w:r>
        <w:rPr>
          <w:rFonts w:hint="eastAsia" w:ascii="宋体" w:hAnsi="宋体" w:eastAsia="宋体" w:cs="宋体"/>
          <w:b/>
          <w:bCs/>
          <w:color w:val="auto"/>
          <w:sz w:val="28"/>
          <w:szCs w:val="28"/>
          <w:highlight w:val="none"/>
        </w:rPr>
        <w:t>。</w:t>
      </w:r>
    </w:p>
    <w:p>
      <w:pPr>
        <w:keepNext w:val="0"/>
        <w:keepLines w:val="0"/>
        <w:widowControl/>
        <w:suppressLineNumbers w:val="0"/>
        <w:jc w:val="left"/>
        <w:rPr>
          <w:rFonts w:hint="eastAsia" w:ascii="宋体" w:hAnsi="宋体" w:eastAsia="宋体" w:cs="宋体"/>
          <w:b/>
          <w:bCs/>
          <w:color w:val="auto"/>
          <w:kern w:val="0"/>
          <w:sz w:val="22"/>
          <w:szCs w:val="22"/>
          <w:highlight w:val="none"/>
          <w:vertAlign w:val="superscript"/>
          <w:lang w:val="en-US" w:eastAsia="zh-CN" w:bidi="ar"/>
        </w:rPr>
      </w:pPr>
    </w:p>
    <w:p>
      <w:pPr>
        <w:keepNext w:val="0"/>
        <w:keepLines w:val="0"/>
        <w:widowControl/>
        <w:suppressLineNumbers w:val="0"/>
        <w:jc w:val="left"/>
        <w:rPr>
          <w:rFonts w:hint="eastAsia" w:ascii="宋体" w:hAnsi="宋体" w:eastAsia="宋体" w:cs="宋体"/>
          <w:b/>
          <w:bCs/>
          <w:color w:val="auto"/>
          <w:kern w:val="0"/>
          <w:sz w:val="22"/>
          <w:szCs w:val="22"/>
          <w:highlight w:val="none"/>
          <w:lang w:val="en-US" w:eastAsia="zh-CN" w:bidi="ar"/>
        </w:rPr>
      </w:pPr>
      <w:r>
        <w:rPr>
          <w:rFonts w:hint="eastAsia" w:ascii="宋体" w:hAnsi="宋体" w:eastAsia="宋体" w:cs="宋体"/>
          <w:b/>
          <w:bCs/>
          <w:color w:val="auto"/>
          <w:kern w:val="0"/>
          <w:sz w:val="22"/>
          <w:szCs w:val="22"/>
          <w:highlight w:val="none"/>
          <w:vertAlign w:val="superscript"/>
          <w:lang w:val="en-US" w:eastAsia="zh-CN" w:bidi="ar"/>
        </w:rPr>
        <w:t xml:space="preserve">1 </w:t>
      </w:r>
      <w:r>
        <w:rPr>
          <w:rFonts w:hint="eastAsia" w:ascii="宋体" w:hAnsi="宋体" w:eastAsia="宋体" w:cs="宋体"/>
          <w:b/>
          <w:bCs/>
          <w:color w:val="auto"/>
          <w:kern w:val="0"/>
          <w:sz w:val="22"/>
          <w:szCs w:val="22"/>
          <w:highlight w:val="none"/>
          <w:lang w:val="en-US" w:eastAsia="zh-CN" w:bidi="ar"/>
        </w:rPr>
        <w:t>从业人员、营业收入、资产总额填报上一年度数据，无上一年度数据的新成立企业可不填报。</w:t>
      </w:r>
    </w:p>
    <w:p>
      <w:pPr>
        <w:keepNext w:val="0"/>
        <w:keepLines w:val="0"/>
        <w:widowControl/>
        <w:suppressLineNumbers w:val="0"/>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eastAsia="zh-CN"/>
        </w:rPr>
        <w:t>（二）</w:t>
      </w:r>
      <w:r>
        <w:rPr>
          <w:rFonts w:hint="eastAsia" w:ascii="宋体" w:hAnsi="宋体" w:eastAsia="宋体" w:cs="宋体"/>
          <w:b/>
          <w:bCs/>
          <w:color w:val="auto"/>
          <w:sz w:val="36"/>
          <w:szCs w:val="36"/>
          <w:highlight w:val="none"/>
        </w:rPr>
        <w:t>监狱企业证明文件</w:t>
      </w:r>
    </w:p>
    <w:p>
      <w:pPr>
        <w:spacing w:line="588" w:lineRule="exact"/>
        <w:ind w:firstLine="584" w:firstLineChars="200"/>
        <w:rPr>
          <w:rFonts w:hint="eastAsia" w:ascii="宋体" w:hAnsi="宋体" w:eastAsia="宋体" w:cs="宋体"/>
          <w:color w:val="auto"/>
          <w:spacing w:val="6"/>
          <w:sz w:val="28"/>
          <w:szCs w:val="28"/>
          <w:highlight w:val="none"/>
        </w:rPr>
      </w:pPr>
    </w:p>
    <w:p>
      <w:pPr>
        <w:spacing w:line="588" w:lineRule="exact"/>
        <w:ind w:firstLine="584" w:firstLineChars="200"/>
        <w:rPr>
          <w:rFonts w:hint="eastAsia" w:ascii="宋体" w:hAnsi="宋体" w:eastAsia="宋体" w:cs="宋体"/>
          <w:color w:val="auto"/>
          <w:spacing w:val="6"/>
          <w:sz w:val="28"/>
          <w:szCs w:val="28"/>
          <w:highlight w:val="none"/>
        </w:rPr>
      </w:pPr>
    </w:p>
    <w:p>
      <w:pPr>
        <w:spacing w:line="588" w:lineRule="exact"/>
        <w:ind w:firstLine="584" w:firstLineChars="200"/>
        <w:rPr>
          <w:rFonts w:hint="eastAsia" w:ascii="宋体" w:hAnsi="宋体" w:eastAsia="宋体" w:cs="宋体"/>
          <w:color w:val="auto"/>
          <w:spacing w:val="6"/>
          <w:sz w:val="28"/>
          <w:szCs w:val="28"/>
          <w:highlight w:val="none"/>
        </w:rPr>
      </w:pPr>
      <w:r>
        <w:rPr>
          <w:rFonts w:hint="eastAsia" w:ascii="宋体" w:hAnsi="宋体" w:eastAsia="宋体" w:cs="宋体"/>
          <w:color w:val="auto"/>
          <w:spacing w:val="6"/>
          <w:sz w:val="28"/>
          <w:szCs w:val="28"/>
          <w:highlight w:val="none"/>
        </w:rPr>
        <w:t>应当提供省级以上监狱企业管理局、戒毒管理局（含新疆生产建设兵团）出具的属于监狱企业的证明文件原件或加盖公章的复印件。</w:t>
      </w:r>
    </w:p>
    <w:p>
      <w:pPr>
        <w:spacing w:line="588" w:lineRule="exact"/>
        <w:ind w:firstLine="584" w:firstLineChars="200"/>
        <w:rPr>
          <w:rFonts w:hint="eastAsia" w:ascii="宋体" w:hAnsi="宋体" w:eastAsia="宋体" w:cs="宋体"/>
          <w:color w:val="auto"/>
          <w:spacing w:val="6"/>
          <w:sz w:val="28"/>
          <w:szCs w:val="28"/>
          <w:highlight w:val="none"/>
        </w:rPr>
      </w:pPr>
      <w:r>
        <w:rPr>
          <w:rFonts w:hint="eastAsia" w:ascii="宋体" w:hAnsi="宋体" w:eastAsia="宋体" w:cs="宋体"/>
          <w:color w:val="auto"/>
          <w:spacing w:val="6"/>
          <w:sz w:val="28"/>
          <w:szCs w:val="28"/>
          <w:highlight w:val="none"/>
        </w:rPr>
        <w:t>提供复印件的带原件备查，未提供原件专家评审时不予认定。</w:t>
      </w:r>
    </w:p>
    <w:p>
      <w:pPr>
        <w:spacing w:line="400" w:lineRule="exact"/>
        <w:jc w:val="left"/>
        <w:rPr>
          <w:rFonts w:hint="eastAsia" w:ascii="仿宋" w:hAnsi="仿宋" w:eastAsia="仿宋" w:cs="仿宋"/>
          <w:b/>
          <w:color w:val="auto"/>
          <w:spacing w:val="6"/>
          <w:sz w:val="28"/>
          <w:szCs w:val="21"/>
          <w:highlight w:val="none"/>
        </w:rPr>
      </w:pPr>
    </w:p>
    <w:p>
      <w:pPr>
        <w:pStyle w:val="22"/>
        <w:rPr>
          <w:rFonts w:hint="eastAsia" w:ascii="仿宋" w:hAnsi="仿宋" w:eastAsia="仿宋" w:cs="仿宋"/>
          <w:b/>
          <w:color w:val="auto"/>
          <w:spacing w:val="6"/>
          <w:sz w:val="28"/>
          <w:szCs w:val="21"/>
          <w:highlight w:val="none"/>
        </w:rPr>
      </w:pPr>
    </w:p>
    <w:p>
      <w:pPr>
        <w:pStyle w:val="22"/>
        <w:rPr>
          <w:rFonts w:hint="eastAsia" w:ascii="仿宋" w:hAnsi="仿宋" w:eastAsia="仿宋" w:cs="仿宋"/>
          <w:b/>
          <w:color w:val="auto"/>
          <w:spacing w:val="6"/>
          <w:sz w:val="28"/>
          <w:szCs w:val="21"/>
          <w:highlight w:val="none"/>
        </w:rPr>
      </w:pPr>
    </w:p>
    <w:p>
      <w:pPr>
        <w:pStyle w:val="22"/>
        <w:rPr>
          <w:rFonts w:hint="eastAsia" w:ascii="仿宋" w:hAnsi="仿宋" w:eastAsia="仿宋" w:cs="仿宋"/>
          <w:b/>
          <w:color w:val="auto"/>
          <w:spacing w:val="6"/>
          <w:sz w:val="28"/>
          <w:szCs w:val="21"/>
          <w:highlight w:val="none"/>
        </w:rPr>
      </w:pPr>
    </w:p>
    <w:p>
      <w:pPr>
        <w:pStyle w:val="22"/>
        <w:rPr>
          <w:rFonts w:hint="eastAsia" w:ascii="仿宋" w:hAnsi="仿宋" w:eastAsia="仿宋" w:cs="仿宋"/>
          <w:b/>
          <w:color w:val="auto"/>
          <w:spacing w:val="6"/>
          <w:sz w:val="28"/>
          <w:szCs w:val="21"/>
          <w:highlight w:val="none"/>
        </w:rPr>
      </w:pPr>
    </w:p>
    <w:p>
      <w:pPr>
        <w:pStyle w:val="22"/>
        <w:rPr>
          <w:rFonts w:hint="eastAsia" w:ascii="仿宋" w:hAnsi="仿宋" w:eastAsia="仿宋" w:cs="仿宋"/>
          <w:b/>
          <w:color w:val="auto"/>
          <w:spacing w:val="6"/>
          <w:sz w:val="28"/>
          <w:szCs w:val="21"/>
          <w:highlight w:val="none"/>
        </w:rPr>
      </w:pPr>
    </w:p>
    <w:p>
      <w:pPr>
        <w:pStyle w:val="22"/>
        <w:rPr>
          <w:rFonts w:hint="eastAsia" w:ascii="仿宋" w:hAnsi="仿宋" w:eastAsia="仿宋" w:cs="仿宋"/>
          <w:b/>
          <w:color w:val="auto"/>
          <w:spacing w:val="6"/>
          <w:sz w:val="28"/>
          <w:szCs w:val="21"/>
          <w:highlight w:val="none"/>
        </w:rPr>
      </w:pPr>
    </w:p>
    <w:p>
      <w:pPr>
        <w:pStyle w:val="22"/>
        <w:rPr>
          <w:rFonts w:hint="eastAsia" w:ascii="仿宋" w:hAnsi="仿宋" w:eastAsia="仿宋" w:cs="仿宋"/>
          <w:b/>
          <w:color w:val="auto"/>
          <w:spacing w:val="6"/>
          <w:sz w:val="28"/>
          <w:szCs w:val="21"/>
          <w:highlight w:val="none"/>
        </w:rPr>
      </w:pPr>
    </w:p>
    <w:p>
      <w:pPr>
        <w:pStyle w:val="22"/>
        <w:rPr>
          <w:rFonts w:hint="eastAsia" w:ascii="仿宋" w:hAnsi="仿宋" w:eastAsia="仿宋" w:cs="仿宋"/>
          <w:b/>
          <w:color w:val="auto"/>
          <w:spacing w:val="6"/>
          <w:sz w:val="28"/>
          <w:szCs w:val="21"/>
          <w:highlight w:val="none"/>
        </w:rPr>
      </w:pPr>
    </w:p>
    <w:p>
      <w:pPr>
        <w:pStyle w:val="22"/>
        <w:rPr>
          <w:rFonts w:hint="eastAsia" w:ascii="仿宋" w:hAnsi="仿宋" w:eastAsia="仿宋" w:cs="仿宋"/>
          <w:b/>
          <w:color w:val="auto"/>
          <w:spacing w:val="6"/>
          <w:sz w:val="28"/>
          <w:szCs w:val="21"/>
          <w:highlight w:val="none"/>
        </w:rPr>
      </w:pPr>
    </w:p>
    <w:p>
      <w:pPr>
        <w:spacing w:line="400" w:lineRule="exact"/>
        <w:jc w:val="left"/>
        <w:rPr>
          <w:rFonts w:hint="eastAsia" w:ascii="宋体" w:hAnsi="宋体" w:eastAsia="宋体" w:cs="宋体"/>
          <w:b/>
          <w:color w:val="auto"/>
          <w:spacing w:val="6"/>
          <w:sz w:val="28"/>
          <w:szCs w:val="21"/>
          <w:highlight w:val="none"/>
        </w:rPr>
      </w:pPr>
      <w:r>
        <w:rPr>
          <w:rFonts w:hint="eastAsia" w:ascii="宋体" w:hAnsi="宋体" w:eastAsia="宋体" w:cs="宋体"/>
          <w:b/>
          <w:color w:val="auto"/>
          <w:spacing w:val="6"/>
          <w:sz w:val="28"/>
          <w:szCs w:val="21"/>
          <w:highlight w:val="none"/>
        </w:rPr>
        <w:t>注：非监狱企业可不填写此</w:t>
      </w:r>
      <w:r>
        <w:rPr>
          <w:rFonts w:hint="eastAsia" w:ascii="宋体" w:hAnsi="宋体" w:eastAsia="宋体" w:cs="宋体"/>
          <w:b/>
          <w:color w:val="auto"/>
          <w:spacing w:val="6"/>
          <w:sz w:val="28"/>
          <w:szCs w:val="21"/>
          <w:highlight w:val="none"/>
          <w:lang w:eastAsia="zh-CN"/>
        </w:rPr>
        <w:t>项</w:t>
      </w:r>
      <w:r>
        <w:rPr>
          <w:rFonts w:hint="eastAsia" w:ascii="宋体" w:hAnsi="宋体" w:eastAsia="宋体" w:cs="宋体"/>
          <w:b/>
          <w:color w:val="auto"/>
          <w:spacing w:val="6"/>
          <w:sz w:val="28"/>
          <w:szCs w:val="21"/>
          <w:highlight w:val="none"/>
        </w:rPr>
        <w:t>。</w:t>
      </w:r>
    </w:p>
    <w:p>
      <w:pPr>
        <w:spacing w:line="588" w:lineRule="exact"/>
        <w:ind w:firstLine="584" w:firstLineChars="200"/>
        <w:rPr>
          <w:rFonts w:hint="eastAsia" w:ascii="宋体" w:hAnsi="宋体" w:eastAsia="宋体" w:cs="宋体"/>
          <w:color w:val="auto"/>
          <w:spacing w:val="6"/>
          <w:sz w:val="28"/>
          <w:szCs w:val="28"/>
          <w:highlight w:val="none"/>
        </w:rPr>
      </w:pPr>
    </w:p>
    <w:p>
      <w:pPr>
        <w:pStyle w:val="22"/>
        <w:rPr>
          <w:rFonts w:hint="eastAsia" w:ascii="宋体" w:hAnsi="宋体" w:eastAsia="宋体" w:cs="宋体"/>
          <w:color w:val="auto"/>
          <w:spacing w:val="6"/>
          <w:sz w:val="28"/>
          <w:szCs w:val="28"/>
          <w:highlight w:val="none"/>
        </w:rPr>
      </w:pPr>
    </w:p>
    <w:p>
      <w:pPr>
        <w:pStyle w:val="22"/>
        <w:rPr>
          <w:rFonts w:hint="eastAsia" w:ascii="宋体" w:hAnsi="宋体" w:eastAsia="宋体" w:cs="宋体"/>
          <w:color w:val="auto"/>
          <w:spacing w:val="6"/>
          <w:sz w:val="28"/>
          <w:szCs w:val="28"/>
          <w:highlight w:val="none"/>
        </w:rPr>
      </w:pPr>
    </w:p>
    <w:p>
      <w:pPr>
        <w:pStyle w:val="22"/>
        <w:rPr>
          <w:rFonts w:hint="eastAsia" w:ascii="宋体" w:hAnsi="宋体" w:eastAsia="宋体" w:cs="宋体"/>
          <w:color w:val="auto"/>
          <w:spacing w:val="6"/>
          <w:sz w:val="28"/>
          <w:szCs w:val="28"/>
          <w:highlight w:val="none"/>
        </w:rPr>
      </w:pPr>
    </w:p>
    <w:p>
      <w:pPr>
        <w:pStyle w:val="22"/>
        <w:rPr>
          <w:rFonts w:hint="eastAsia" w:ascii="宋体" w:hAnsi="宋体" w:eastAsia="宋体" w:cs="宋体"/>
          <w:color w:val="auto"/>
          <w:spacing w:val="6"/>
          <w:sz w:val="28"/>
          <w:szCs w:val="28"/>
          <w:highlight w:val="none"/>
        </w:rPr>
      </w:pPr>
    </w:p>
    <w:p>
      <w:pPr>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eastAsia="zh-CN"/>
        </w:rPr>
        <w:t>（三）</w:t>
      </w:r>
      <w:r>
        <w:rPr>
          <w:rFonts w:hint="eastAsia" w:ascii="宋体" w:hAnsi="宋体" w:eastAsia="宋体" w:cs="宋体"/>
          <w:b/>
          <w:bCs/>
          <w:color w:val="auto"/>
          <w:sz w:val="36"/>
          <w:szCs w:val="36"/>
          <w:highlight w:val="none"/>
        </w:rPr>
        <w:t>残疾人福利性单位声明函</w:t>
      </w:r>
    </w:p>
    <w:p>
      <w:pPr>
        <w:spacing w:line="588" w:lineRule="exact"/>
        <w:ind w:firstLine="584" w:firstLineChars="200"/>
        <w:rPr>
          <w:rFonts w:hint="eastAsia" w:ascii="宋体" w:hAnsi="宋体" w:eastAsia="宋体" w:cs="宋体"/>
          <w:color w:val="auto"/>
          <w:spacing w:val="6"/>
          <w:sz w:val="28"/>
          <w:szCs w:val="28"/>
          <w:highlight w:val="none"/>
        </w:rPr>
      </w:pPr>
      <w:r>
        <w:rPr>
          <w:rFonts w:hint="eastAsia" w:ascii="宋体" w:hAnsi="宋体" w:eastAsia="宋体" w:cs="宋体"/>
          <w:color w:val="auto"/>
          <w:spacing w:val="6"/>
          <w:sz w:val="28"/>
          <w:szCs w:val="28"/>
          <w:highlight w:val="none"/>
        </w:rPr>
        <w:t>本单位郑重声明，根据《财政部 民政部 中国残疾人联合会关于促进残疾人就业政府采购政策的通知》（财库</w:t>
      </w:r>
      <w:r>
        <w:rPr>
          <w:rFonts w:hint="eastAsia" w:ascii="宋体" w:hAnsi="宋体" w:eastAsia="宋体" w:cs="宋体"/>
          <w:color w:val="auto"/>
          <w:sz w:val="28"/>
          <w:szCs w:val="28"/>
          <w:highlight w:val="none"/>
        </w:rPr>
        <w:t>〔2017〕 141</w:t>
      </w:r>
      <w:r>
        <w:rPr>
          <w:rFonts w:hint="eastAsia" w:ascii="宋体" w:hAnsi="宋体" w:eastAsia="宋体" w:cs="宋体"/>
          <w:color w:val="auto"/>
          <w:spacing w:val="6"/>
          <w:sz w:val="28"/>
          <w:szCs w:val="28"/>
          <w:highlight w:val="none"/>
        </w:rPr>
        <w:t>号）的规定，本单位为符合条件的残疾人福利性单位，且本单位参加</w:t>
      </w:r>
      <w:r>
        <w:rPr>
          <w:rFonts w:hint="eastAsia" w:ascii="宋体" w:hAnsi="宋体" w:eastAsia="宋体" w:cs="宋体"/>
          <w:color w:val="auto"/>
          <w:spacing w:val="6"/>
          <w:sz w:val="28"/>
          <w:szCs w:val="28"/>
          <w:highlight w:val="none"/>
          <w:u w:val="single"/>
          <w:lang w:val="en-US" w:eastAsia="zh-CN"/>
        </w:rPr>
        <w:t xml:space="preserve">       </w:t>
      </w:r>
      <w:r>
        <w:rPr>
          <w:rFonts w:hint="eastAsia" w:ascii="宋体" w:hAnsi="宋体" w:eastAsia="宋体" w:cs="宋体"/>
          <w:color w:val="auto"/>
          <w:spacing w:val="6"/>
          <w:sz w:val="28"/>
          <w:szCs w:val="28"/>
          <w:highlight w:val="none"/>
        </w:rPr>
        <w:t>单位的</w:t>
      </w:r>
      <w:r>
        <w:rPr>
          <w:rFonts w:hint="eastAsia" w:ascii="宋体" w:hAnsi="宋体" w:eastAsia="宋体" w:cs="宋体"/>
          <w:color w:val="auto"/>
          <w:spacing w:val="6"/>
          <w:sz w:val="28"/>
          <w:szCs w:val="28"/>
          <w:highlight w:val="none"/>
          <w:u w:val="single"/>
          <w:lang w:val="en-US" w:eastAsia="zh-CN"/>
        </w:rPr>
        <w:t xml:space="preserve">          </w:t>
      </w:r>
      <w:r>
        <w:rPr>
          <w:rFonts w:hint="eastAsia" w:ascii="宋体" w:hAnsi="宋体" w:eastAsia="宋体" w:cs="宋体"/>
          <w:color w:val="auto"/>
          <w:spacing w:val="6"/>
          <w:sz w:val="28"/>
          <w:szCs w:val="28"/>
          <w:highlight w:val="none"/>
        </w:rPr>
        <w:t>项目采购活动提供本单位制造的货物（由本单位承担工程/提供服务），或者提供其他残疾人福利性单位制造的货物（不包括使用非残疾人福利性单位注册商标的货物）。</w:t>
      </w:r>
    </w:p>
    <w:p>
      <w:pPr>
        <w:spacing w:line="588" w:lineRule="exact"/>
        <w:ind w:firstLine="584" w:firstLineChars="200"/>
        <w:rPr>
          <w:rFonts w:hint="eastAsia" w:ascii="宋体" w:hAnsi="宋体" w:eastAsia="宋体" w:cs="宋体"/>
          <w:color w:val="auto"/>
          <w:spacing w:val="6"/>
          <w:sz w:val="28"/>
          <w:szCs w:val="28"/>
          <w:highlight w:val="none"/>
        </w:rPr>
      </w:pPr>
      <w:r>
        <w:rPr>
          <w:rFonts w:hint="eastAsia" w:ascii="宋体" w:hAnsi="宋体" w:eastAsia="宋体" w:cs="宋体"/>
          <w:color w:val="auto"/>
          <w:spacing w:val="6"/>
          <w:sz w:val="28"/>
          <w:szCs w:val="28"/>
          <w:highlight w:val="none"/>
        </w:rPr>
        <w:t>本单位对上述声明的真实性负责。如有虚假，将依法承担相应责任。</w:t>
      </w:r>
    </w:p>
    <w:p>
      <w:pPr>
        <w:spacing w:line="588" w:lineRule="exact"/>
        <w:ind w:firstLine="584" w:firstLineChars="200"/>
        <w:rPr>
          <w:rFonts w:hint="eastAsia" w:ascii="宋体" w:hAnsi="宋体" w:eastAsia="宋体" w:cs="宋体"/>
          <w:color w:val="auto"/>
          <w:spacing w:val="6"/>
          <w:sz w:val="28"/>
          <w:szCs w:val="28"/>
          <w:highlight w:val="none"/>
        </w:rPr>
      </w:pPr>
    </w:p>
    <w:p>
      <w:pPr>
        <w:spacing w:line="588" w:lineRule="exact"/>
        <w:ind w:firstLine="584" w:firstLineChars="200"/>
        <w:rPr>
          <w:rFonts w:hint="eastAsia" w:ascii="宋体" w:hAnsi="宋体" w:eastAsia="宋体" w:cs="宋体"/>
          <w:color w:val="auto"/>
          <w:spacing w:val="6"/>
          <w:sz w:val="28"/>
          <w:szCs w:val="28"/>
          <w:highlight w:val="none"/>
        </w:rPr>
      </w:pPr>
    </w:p>
    <w:p>
      <w:pPr>
        <w:tabs>
          <w:tab w:val="left" w:pos="4860"/>
        </w:tabs>
        <w:spacing w:line="588" w:lineRule="exact"/>
        <w:ind w:right="1560" w:firstLine="584" w:firstLineChars="200"/>
        <w:jc w:val="center"/>
        <w:rPr>
          <w:rFonts w:hint="eastAsia" w:ascii="宋体" w:hAnsi="宋体" w:eastAsia="宋体" w:cs="宋体"/>
          <w:color w:val="auto"/>
          <w:spacing w:val="6"/>
          <w:sz w:val="28"/>
          <w:szCs w:val="28"/>
          <w:highlight w:val="none"/>
        </w:rPr>
      </w:pPr>
      <w:r>
        <w:rPr>
          <w:rFonts w:hint="eastAsia" w:ascii="宋体" w:hAnsi="宋体" w:eastAsia="宋体" w:cs="宋体"/>
          <w:color w:val="auto"/>
          <w:spacing w:val="6"/>
          <w:sz w:val="28"/>
          <w:szCs w:val="28"/>
          <w:highlight w:val="none"/>
        </w:rPr>
        <w:t xml:space="preserve">               单位名称（盖章）：</w:t>
      </w:r>
    </w:p>
    <w:p>
      <w:pPr>
        <w:tabs>
          <w:tab w:val="left" w:pos="4860"/>
        </w:tabs>
        <w:spacing w:line="588" w:lineRule="exact"/>
        <w:ind w:right="1560" w:firstLine="584" w:firstLineChars="200"/>
        <w:jc w:val="center"/>
        <w:rPr>
          <w:rFonts w:hint="eastAsia" w:ascii="宋体" w:hAnsi="宋体" w:eastAsia="宋体" w:cs="宋体"/>
          <w:color w:val="auto"/>
          <w:spacing w:val="6"/>
          <w:sz w:val="28"/>
          <w:szCs w:val="28"/>
          <w:highlight w:val="none"/>
        </w:rPr>
      </w:pPr>
    </w:p>
    <w:p>
      <w:pPr>
        <w:tabs>
          <w:tab w:val="left" w:pos="4860"/>
        </w:tabs>
        <w:spacing w:line="588" w:lineRule="exact"/>
        <w:ind w:right="1560" w:firstLine="584" w:firstLineChars="200"/>
        <w:jc w:val="center"/>
        <w:rPr>
          <w:rFonts w:hint="eastAsia" w:ascii="宋体" w:hAnsi="宋体" w:eastAsia="宋体" w:cs="宋体"/>
          <w:color w:val="auto"/>
          <w:spacing w:val="6"/>
          <w:sz w:val="28"/>
          <w:szCs w:val="28"/>
          <w:highlight w:val="none"/>
        </w:rPr>
      </w:pPr>
      <w:r>
        <w:rPr>
          <w:rFonts w:hint="eastAsia" w:ascii="宋体" w:hAnsi="宋体" w:eastAsia="宋体" w:cs="宋体"/>
          <w:color w:val="auto"/>
          <w:spacing w:val="6"/>
          <w:sz w:val="28"/>
          <w:szCs w:val="28"/>
          <w:highlight w:val="none"/>
        </w:rPr>
        <w:t xml:space="preserve">       日  期：</w:t>
      </w:r>
    </w:p>
    <w:p>
      <w:pPr>
        <w:spacing w:line="360" w:lineRule="auto"/>
        <w:ind w:firstLine="465"/>
        <w:rPr>
          <w:rFonts w:hint="eastAsia" w:ascii="宋体" w:hAnsi="宋体" w:eastAsia="宋体" w:cs="宋体"/>
          <w:color w:val="auto"/>
          <w:sz w:val="28"/>
          <w:szCs w:val="28"/>
          <w:highlight w:val="none"/>
        </w:rPr>
      </w:pPr>
    </w:p>
    <w:p>
      <w:pPr>
        <w:pStyle w:val="22"/>
        <w:rPr>
          <w:rFonts w:hint="eastAsia"/>
          <w:color w:val="auto"/>
        </w:rPr>
      </w:pPr>
    </w:p>
    <w:p>
      <w:pPr>
        <w:spacing w:line="400" w:lineRule="exact"/>
        <w:jc w:val="left"/>
        <w:rPr>
          <w:rFonts w:hint="eastAsia" w:ascii="宋体" w:hAnsi="宋体" w:eastAsia="宋体" w:cs="宋体"/>
          <w:b/>
          <w:color w:val="auto"/>
          <w:spacing w:val="6"/>
          <w:sz w:val="28"/>
          <w:szCs w:val="21"/>
          <w:highlight w:val="none"/>
        </w:rPr>
      </w:pPr>
      <w:r>
        <w:rPr>
          <w:rFonts w:hint="eastAsia" w:ascii="宋体" w:hAnsi="宋体" w:eastAsia="宋体" w:cs="宋体"/>
          <w:b/>
          <w:color w:val="auto"/>
          <w:spacing w:val="6"/>
          <w:sz w:val="28"/>
          <w:szCs w:val="21"/>
          <w:highlight w:val="none"/>
        </w:rPr>
        <w:t>注：非残疾人福利性单位可不填写此</w:t>
      </w:r>
      <w:r>
        <w:rPr>
          <w:rFonts w:hint="eastAsia" w:ascii="宋体" w:hAnsi="宋体" w:eastAsia="宋体" w:cs="宋体"/>
          <w:b/>
          <w:color w:val="auto"/>
          <w:spacing w:val="6"/>
          <w:sz w:val="28"/>
          <w:szCs w:val="21"/>
          <w:highlight w:val="none"/>
          <w:lang w:eastAsia="zh-CN"/>
        </w:rPr>
        <w:t>项</w:t>
      </w:r>
      <w:r>
        <w:rPr>
          <w:rFonts w:hint="eastAsia" w:ascii="宋体" w:hAnsi="宋体" w:eastAsia="宋体" w:cs="宋体"/>
          <w:b/>
          <w:color w:val="auto"/>
          <w:spacing w:val="6"/>
          <w:sz w:val="28"/>
          <w:szCs w:val="21"/>
          <w:highlight w:val="none"/>
        </w:rPr>
        <w:t>。</w:t>
      </w:r>
    </w:p>
    <w:p>
      <w:pPr>
        <w:spacing w:line="480" w:lineRule="exact"/>
        <w:jc w:val="center"/>
        <w:rPr>
          <w:rFonts w:hint="eastAsia" w:ascii="宋体" w:hAnsi="宋体" w:eastAsia="宋体" w:cs="宋体"/>
          <w:b/>
          <w:color w:val="auto"/>
          <w:sz w:val="36"/>
          <w:szCs w:val="36"/>
          <w:highlight w:val="none"/>
        </w:rPr>
      </w:pPr>
    </w:p>
    <w:p>
      <w:pPr>
        <w:pStyle w:val="22"/>
        <w:rPr>
          <w:rFonts w:hint="eastAsia" w:ascii="宋体" w:hAnsi="宋体" w:eastAsia="宋体" w:cs="宋体"/>
          <w:b/>
          <w:color w:val="auto"/>
          <w:sz w:val="36"/>
          <w:szCs w:val="36"/>
          <w:highlight w:val="none"/>
        </w:rPr>
      </w:pPr>
    </w:p>
    <w:p>
      <w:pPr>
        <w:pStyle w:val="22"/>
        <w:rPr>
          <w:rFonts w:hint="eastAsia" w:ascii="宋体" w:hAnsi="宋体" w:eastAsia="宋体" w:cs="宋体"/>
          <w:b/>
          <w:color w:val="auto"/>
          <w:sz w:val="36"/>
          <w:szCs w:val="36"/>
          <w:highlight w:val="none"/>
        </w:rPr>
      </w:pPr>
    </w:p>
    <w:p>
      <w:pPr>
        <w:pStyle w:val="22"/>
        <w:rPr>
          <w:rFonts w:hint="eastAsia" w:ascii="宋体" w:hAnsi="宋体" w:eastAsia="宋体" w:cs="宋体"/>
          <w:b/>
          <w:color w:val="auto"/>
          <w:sz w:val="36"/>
          <w:szCs w:val="36"/>
          <w:highlight w:val="none"/>
        </w:rPr>
      </w:pPr>
    </w:p>
    <w:p>
      <w:pPr>
        <w:pStyle w:val="22"/>
        <w:rPr>
          <w:rFonts w:hint="eastAsia" w:ascii="宋体" w:hAnsi="宋体" w:eastAsia="宋体" w:cs="宋体"/>
          <w:b/>
          <w:color w:val="auto"/>
          <w:sz w:val="36"/>
          <w:szCs w:val="36"/>
          <w:highlight w:val="none"/>
        </w:rPr>
      </w:pPr>
    </w:p>
    <w:p>
      <w:pPr>
        <w:pStyle w:val="3"/>
        <w:keepLines/>
        <w:spacing w:before="338" w:beforeLines="100" w:after="507" w:afterLines="150" w:line="240" w:lineRule="auto"/>
        <w:rPr>
          <w:rFonts w:hint="eastAsia" w:ascii="宋体" w:hAnsi="宋体" w:eastAsia="宋体" w:cs="宋体"/>
          <w:b/>
          <w:bCs/>
          <w:color w:val="auto"/>
          <w:kern w:val="44"/>
          <w:sz w:val="36"/>
          <w:szCs w:val="36"/>
          <w:highlight w:val="none"/>
          <w:lang w:eastAsia="zh-CN"/>
        </w:rPr>
      </w:pPr>
      <w:r>
        <w:rPr>
          <w:rFonts w:hint="eastAsia" w:ascii="宋体" w:hAnsi="宋体" w:eastAsia="宋体" w:cs="宋体"/>
          <w:b/>
          <w:bCs/>
          <w:color w:val="auto"/>
          <w:kern w:val="44"/>
          <w:sz w:val="36"/>
          <w:szCs w:val="36"/>
          <w:highlight w:val="none"/>
          <w:lang w:eastAsia="zh-CN"/>
        </w:rPr>
        <w:t>八、已标价工程量清单</w:t>
      </w:r>
      <w:bookmarkEnd w:id="572"/>
      <w:bookmarkEnd w:id="573"/>
    </w:p>
    <w:p>
      <w:pPr>
        <w:jc w:val="center"/>
        <w:rPr>
          <w:rFonts w:hint="eastAsia" w:ascii="宋体" w:hAnsi="宋体" w:eastAsia="宋体" w:cs="宋体"/>
          <w:color w:val="auto"/>
          <w:sz w:val="28"/>
          <w:highlight w:val="none"/>
        </w:rPr>
      </w:pPr>
    </w:p>
    <w:p>
      <w:pPr>
        <w:jc w:val="center"/>
        <w:rPr>
          <w:rFonts w:hint="eastAsia" w:ascii="宋体" w:hAnsi="宋体" w:eastAsia="宋体" w:cs="宋体"/>
          <w:color w:val="auto"/>
          <w:sz w:val="28"/>
          <w:highlight w:val="none"/>
        </w:rPr>
      </w:pPr>
    </w:p>
    <w:p>
      <w:pPr>
        <w:ind w:firstLine="1320" w:firstLineChars="300"/>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u w:val="single"/>
        </w:rPr>
        <w:t xml:space="preserve">                         </w:t>
      </w:r>
      <w:r>
        <w:rPr>
          <w:rFonts w:hint="eastAsia" w:ascii="宋体" w:hAnsi="宋体" w:eastAsia="宋体" w:cs="宋体"/>
          <w:color w:val="auto"/>
          <w:sz w:val="44"/>
          <w:szCs w:val="44"/>
          <w:highlight w:val="none"/>
        </w:rPr>
        <w:t>工程</w:t>
      </w:r>
    </w:p>
    <w:p>
      <w:pPr>
        <w:jc w:val="center"/>
        <w:rPr>
          <w:rFonts w:hint="eastAsia" w:ascii="宋体" w:hAnsi="宋体" w:eastAsia="宋体" w:cs="宋体"/>
          <w:b/>
          <w:color w:val="auto"/>
          <w:sz w:val="48"/>
          <w:szCs w:val="4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总 报 价(小写)：</w:t>
      </w:r>
      <w:r>
        <w:rPr>
          <w:rFonts w:hint="eastAsia" w:ascii="宋体" w:hAnsi="宋体" w:eastAsia="宋体" w:cs="宋体"/>
          <w:color w:val="auto"/>
          <w:sz w:val="28"/>
          <w:szCs w:val="28"/>
          <w:highlight w:val="none"/>
          <w:u w:val="single"/>
        </w:rPr>
        <w:t xml:space="preserve">                                             </w:t>
      </w: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 xml:space="preserve">        (大写)：</w:t>
      </w:r>
      <w:r>
        <w:rPr>
          <w:rFonts w:hint="eastAsia" w:ascii="宋体" w:hAnsi="宋体" w:eastAsia="宋体" w:cs="宋体"/>
          <w:color w:val="auto"/>
          <w:sz w:val="28"/>
          <w:szCs w:val="28"/>
          <w:highlight w:val="none"/>
          <w:u w:val="single"/>
        </w:rPr>
        <w:t xml:space="preserve">                                             </w:t>
      </w:r>
    </w:p>
    <w:p>
      <w:pPr>
        <w:rPr>
          <w:rFonts w:hint="eastAsia" w:ascii="宋体" w:hAnsi="宋体" w:eastAsia="宋体" w:cs="宋体"/>
          <w:color w:val="auto"/>
          <w:sz w:val="28"/>
          <w:szCs w:val="28"/>
          <w:highlight w:val="none"/>
          <w:u w:val="single"/>
        </w:rPr>
      </w:pPr>
    </w:p>
    <w:p>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供  应  商：</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(单位盖章)</w:t>
      </w:r>
    </w:p>
    <w:p>
      <w:pPr>
        <w:rPr>
          <w:rFonts w:hint="eastAsia" w:ascii="宋体" w:hAnsi="宋体" w:eastAsia="宋体" w:cs="宋体"/>
          <w:color w:val="auto"/>
          <w:sz w:val="28"/>
          <w:szCs w:val="28"/>
          <w:highlight w:val="none"/>
          <w:u w:val="single"/>
        </w:rPr>
      </w:pPr>
    </w:p>
    <w:p>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p>
    <w:p>
      <w:pP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或其授权人：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(签字或盖章)</w:t>
      </w:r>
    </w:p>
    <w:p>
      <w:pPr>
        <w:rPr>
          <w:rFonts w:hint="eastAsia" w:ascii="宋体" w:hAnsi="宋体" w:eastAsia="宋体" w:cs="宋体"/>
          <w:color w:val="auto"/>
          <w:sz w:val="28"/>
          <w:szCs w:val="28"/>
          <w:highlight w:val="none"/>
          <w:u w:val="single"/>
        </w:rPr>
      </w:pPr>
    </w:p>
    <w:p>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编  制  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(造价人员签字盖专用章)</w:t>
      </w:r>
    </w:p>
    <w:p>
      <w:pPr>
        <w:rPr>
          <w:rFonts w:hint="eastAsia" w:ascii="宋体" w:hAnsi="宋体" w:eastAsia="宋体" w:cs="宋体"/>
          <w:color w:val="auto"/>
          <w:sz w:val="28"/>
          <w:szCs w:val="28"/>
          <w:highlight w:val="none"/>
          <w:u w:val="single"/>
        </w:rPr>
      </w:pPr>
    </w:p>
    <w:p>
      <w:pPr>
        <w:jc w:val="center"/>
        <w:rPr>
          <w:rFonts w:hint="eastAsia" w:ascii="宋体" w:hAnsi="宋体" w:eastAsia="宋体" w:cs="宋体"/>
          <w:color w:val="auto"/>
          <w:sz w:val="28"/>
          <w:szCs w:val="28"/>
          <w:highlight w:val="none"/>
        </w:rPr>
      </w:pPr>
    </w:p>
    <w:p>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编制时间：      年   月   日</w:t>
      </w:r>
    </w:p>
    <w:p>
      <w:pPr>
        <w:spacing w:line="500" w:lineRule="exact"/>
        <w:ind w:left="8" w:leftChars="4" w:firstLine="618" w:firstLineChars="140"/>
        <w:jc w:val="center"/>
        <w:rPr>
          <w:rFonts w:hint="eastAsia" w:ascii="宋体" w:hAnsi="宋体" w:eastAsia="宋体" w:cs="宋体"/>
          <w:b/>
          <w:color w:val="auto"/>
          <w:sz w:val="44"/>
          <w:highlight w:val="none"/>
        </w:rPr>
      </w:pPr>
    </w:p>
    <w:p>
      <w:pPr>
        <w:spacing w:line="560" w:lineRule="exact"/>
        <w:jc w:val="center"/>
        <w:rPr>
          <w:rFonts w:hint="eastAsia" w:ascii="宋体" w:hAnsi="宋体" w:eastAsia="宋体" w:cs="宋体"/>
          <w:b/>
          <w:color w:val="auto"/>
          <w:kern w:val="0"/>
          <w:sz w:val="30"/>
          <w:szCs w:val="30"/>
          <w:highlight w:val="none"/>
        </w:rPr>
      </w:pPr>
    </w:p>
    <w:p>
      <w:pPr>
        <w:spacing w:line="560" w:lineRule="exact"/>
        <w:jc w:val="center"/>
        <w:rPr>
          <w:rFonts w:hint="eastAsia" w:ascii="宋体" w:hAnsi="宋体" w:eastAsia="宋体" w:cs="宋体"/>
          <w:b/>
          <w:color w:val="auto"/>
          <w:kern w:val="0"/>
          <w:sz w:val="30"/>
          <w:szCs w:val="30"/>
          <w:highlight w:val="none"/>
        </w:rPr>
      </w:pPr>
    </w:p>
    <w:p>
      <w:pPr>
        <w:spacing w:line="560" w:lineRule="exact"/>
        <w:jc w:val="center"/>
        <w:rPr>
          <w:rFonts w:hint="eastAsia" w:ascii="宋体" w:hAnsi="宋体" w:eastAsia="宋体" w:cs="宋体"/>
          <w:b/>
          <w:color w:val="auto"/>
          <w:kern w:val="0"/>
          <w:sz w:val="30"/>
          <w:szCs w:val="30"/>
          <w:highlight w:val="none"/>
        </w:rPr>
      </w:pPr>
      <w:r>
        <w:rPr>
          <w:rFonts w:hint="eastAsia" w:ascii="宋体" w:hAnsi="宋体" w:eastAsia="宋体" w:cs="宋体"/>
          <w:b/>
          <w:color w:val="auto"/>
          <w:kern w:val="0"/>
          <w:sz w:val="30"/>
          <w:szCs w:val="30"/>
          <w:highlight w:val="none"/>
        </w:rPr>
        <w:t>已标价工程量清单</w:t>
      </w:r>
    </w:p>
    <w:p>
      <w:pPr>
        <w:tabs>
          <w:tab w:val="left" w:pos="540"/>
          <w:tab w:val="left" w:pos="780"/>
        </w:tabs>
        <w:spacing w:line="480" w:lineRule="auto"/>
        <w:ind w:left="420"/>
        <w:rPr>
          <w:rFonts w:hint="eastAsia" w:ascii="宋体" w:hAnsi="宋体" w:eastAsia="宋体" w:cs="宋体"/>
          <w:color w:val="auto"/>
          <w:spacing w:val="1"/>
          <w:sz w:val="24"/>
          <w:highlight w:val="none"/>
        </w:rPr>
      </w:pPr>
    </w:p>
    <w:p>
      <w:pPr>
        <w:jc w:val="center"/>
        <w:rPr>
          <w:rFonts w:hint="eastAsia" w:ascii="宋体" w:hAnsi="宋体" w:eastAsia="宋体" w:cs="宋体"/>
          <w:color w:val="auto"/>
          <w:kern w:val="0"/>
          <w:sz w:val="30"/>
          <w:szCs w:val="30"/>
          <w:highlight w:val="none"/>
        </w:rPr>
      </w:pPr>
      <w:r>
        <w:rPr>
          <w:rFonts w:hint="eastAsia" w:ascii="宋体" w:hAnsi="宋体" w:eastAsia="宋体" w:cs="宋体"/>
          <w:color w:val="auto"/>
          <w:kern w:val="0"/>
          <w:sz w:val="30"/>
          <w:szCs w:val="30"/>
          <w:highlight w:val="none"/>
        </w:rPr>
        <w:t>（</w:t>
      </w:r>
      <w:r>
        <w:rPr>
          <w:rFonts w:hint="eastAsia" w:ascii="宋体" w:hAnsi="宋体" w:eastAsia="宋体" w:cs="宋体"/>
          <w:b/>
          <w:color w:val="auto"/>
          <w:kern w:val="0"/>
          <w:sz w:val="30"/>
          <w:szCs w:val="30"/>
          <w:highlight w:val="none"/>
        </w:rPr>
        <w:t>表格格式以软件生成为准）</w:t>
      </w:r>
    </w:p>
    <w:p>
      <w:pPr>
        <w:tabs>
          <w:tab w:val="left" w:pos="540"/>
        </w:tabs>
        <w:spacing w:line="480" w:lineRule="auto"/>
        <w:rPr>
          <w:rFonts w:hint="eastAsia" w:ascii="宋体" w:hAnsi="宋体" w:eastAsia="宋体" w:cs="宋体"/>
          <w:b/>
          <w:color w:val="auto"/>
          <w:sz w:val="24"/>
          <w:highlight w:val="none"/>
        </w:rPr>
      </w:pPr>
      <w:r>
        <w:rPr>
          <w:rFonts w:hint="eastAsia" w:ascii="宋体" w:hAnsi="宋体" w:eastAsia="宋体" w:cs="宋体"/>
          <w:b/>
          <w:color w:val="auto"/>
          <w:kern w:val="0"/>
          <w:sz w:val="24"/>
          <w:highlight w:val="none"/>
        </w:rPr>
        <w:t>要求必须具有如下内容：</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(1)工程项目总造价表；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(2)单项工程造价汇总表；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(3)单位工程造价汇总表；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(4)分部分项工程量清单计价表；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(5)措施项目清单计价表；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(6)其他项目清单计价表；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(7)规费、税金项目清单计价表；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(8)分部分项工程量清单综合单价分析表；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(9)措施项目费（综合单价）分析表</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(10)主要材料、设备单价明细表</w:t>
      </w: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p>
    <w:p>
      <w:pPr>
        <w:spacing w:line="360" w:lineRule="auto"/>
        <w:ind w:firstLine="480" w:firstLineChars="200"/>
        <w:rPr>
          <w:rFonts w:hint="eastAsia" w:ascii="宋体" w:hAnsi="宋体" w:eastAsia="宋体" w:cs="宋体"/>
          <w:color w:val="auto"/>
          <w:sz w:val="24"/>
          <w:highlight w:val="none"/>
        </w:rPr>
      </w:pPr>
    </w:p>
    <w:p>
      <w:pPr>
        <w:pStyle w:val="2"/>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pStyle w:val="2"/>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pStyle w:val="2"/>
        <w:rPr>
          <w:rFonts w:hint="eastAsia" w:ascii="宋体" w:hAnsi="宋体" w:eastAsia="宋体" w:cs="宋体"/>
          <w:color w:val="auto"/>
        </w:rPr>
      </w:pPr>
    </w:p>
    <w:p>
      <w:pPr>
        <w:spacing w:line="360" w:lineRule="auto"/>
        <w:ind w:firstLine="480" w:firstLineChars="200"/>
        <w:rPr>
          <w:rFonts w:hint="eastAsia" w:ascii="宋体" w:hAnsi="宋体" w:eastAsia="宋体" w:cs="宋体"/>
          <w:color w:val="auto"/>
          <w:sz w:val="24"/>
          <w:highlight w:val="none"/>
        </w:rPr>
      </w:pPr>
    </w:p>
    <w:p>
      <w:pPr>
        <w:pStyle w:val="3"/>
        <w:keepLines/>
        <w:spacing w:before="338" w:beforeLines="100" w:after="507" w:afterLines="150" w:line="600" w:lineRule="exact"/>
        <w:rPr>
          <w:rFonts w:hint="eastAsia" w:ascii="宋体" w:hAnsi="宋体" w:eastAsia="宋体" w:cs="宋体"/>
          <w:b/>
          <w:bCs/>
          <w:color w:val="auto"/>
          <w:kern w:val="44"/>
          <w:sz w:val="36"/>
          <w:szCs w:val="36"/>
          <w:highlight w:val="none"/>
        </w:rPr>
      </w:pPr>
      <w:bookmarkStart w:id="574" w:name="_Toc19674"/>
      <w:bookmarkStart w:id="575" w:name="_Toc19283"/>
      <w:r>
        <w:rPr>
          <w:rFonts w:hint="eastAsia" w:ascii="宋体" w:hAnsi="宋体" w:eastAsia="宋体" w:cs="宋体"/>
          <w:b/>
          <w:bCs/>
          <w:color w:val="auto"/>
          <w:kern w:val="44"/>
          <w:sz w:val="36"/>
          <w:szCs w:val="36"/>
          <w:highlight w:val="none"/>
        </w:rPr>
        <w:t>投标文件封袋正面标识式样</w:t>
      </w:r>
      <w:bookmarkEnd w:id="574"/>
      <w:bookmarkEnd w:id="575"/>
    </w:p>
    <w:p>
      <w:pPr>
        <w:spacing w:line="400" w:lineRule="exact"/>
        <w:jc w:val="center"/>
        <w:rPr>
          <w:rFonts w:hint="eastAsia" w:ascii="宋体" w:hAnsi="宋体" w:eastAsia="宋体" w:cs="宋体"/>
          <w:b/>
          <w:color w:val="auto"/>
          <w:sz w:val="36"/>
          <w:szCs w:val="36"/>
          <w:highlight w:val="none"/>
        </w:rPr>
      </w:pPr>
    </w:p>
    <w:p>
      <w:pPr>
        <w:spacing w:line="400" w:lineRule="exact"/>
        <w:jc w:val="center"/>
        <w:rPr>
          <w:rFonts w:hint="eastAsia" w:ascii="宋体" w:hAnsi="宋体" w:eastAsia="宋体" w:cs="宋体"/>
          <w:b/>
          <w:color w:val="auto"/>
          <w:sz w:val="36"/>
          <w:szCs w:val="36"/>
          <w:highlight w:val="none"/>
        </w:rPr>
      </w:pPr>
    </w:p>
    <w:p>
      <w:pPr>
        <w:spacing w:line="400" w:lineRule="exact"/>
        <w:jc w:val="center"/>
        <w:rPr>
          <w:rFonts w:hint="eastAsia" w:ascii="宋体" w:hAnsi="宋体" w:eastAsia="宋体" w:cs="宋体"/>
          <w:b/>
          <w:color w:val="auto"/>
          <w:sz w:val="36"/>
          <w:szCs w:val="36"/>
          <w:highlight w:val="none"/>
        </w:rPr>
      </w:pPr>
      <w:r>
        <w:rPr>
          <w:rFonts w:hint="eastAsia" w:ascii="宋体" w:hAnsi="宋体" w:eastAsia="宋体" w:cs="宋体"/>
          <w:b/>
          <w:color w:val="auto"/>
          <w:szCs w:val="36"/>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170180</wp:posOffset>
                </wp:positionV>
                <wp:extent cx="5656580" cy="6845935"/>
                <wp:effectExtent l="19050" t="19050" r="20320" b="31115"/>
                <wp:wrapNone/>
                <wp:docPr id="4"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5656580" cy="6845935"/>
                        </a:xfrm>
                        <a:prstGeom prst="rect">
                          <a:avLst/>
                        </a:prstGeom>
                        <a:solidFill>
                          <a:srgbClr val="FFFFFF"/>
                        </a:solidFill>
                        <a:ln w="38100" cmpd="dbl">
                          <a:solidFill>
                            <a:srgbClr val="000000"/>
                          </a:solidFill>
                          <a:miter lim="800000"/>
                        </a:ln>
                      </wps:spPr>
                      <wps:txbx>
                        <w:txbxContent>
                          <w:p>
                            <w:pPr>
                              <w:spacing w:line="360" w:lineRule="auto"/>
                              <w:rPr>
                                <w:rFonts w:hint="eastAsia" w:ascii="宋体" w:hAnsi="宋体" w:eastAsia="宋体"/>
                                <w:sz w:val="28"/>
                                <w:szCs w:val="28"/>
                                <w:lang w:eastAsia="zh-CN"/>
                              </w:rPr>
                            </w:pPr>
                            <w:r>
                              <w:rPr>
                                <w:rFonts w:hint="eastAsia" w:ascii="宋体" w:hAnsi="宋体"/>
                                <w:sz w:val="28"/>
                                <w:szCs w:val="28"/>
                              </w:rPr>
                              <w:t>致：</w:t>
                            </w:r>
                            <w:r>
                              <w:rPr>
                                <w:rFonts w:hint="eastAsia" w:ascii="宋体" w:hAnsi="宋体"/>
                                <w:sz w:val="28"/>
                                <w:szCs w:val="28"/>
                                <w:lang w:eastAsia="zh-CN"/>
                              </w:rPr>
                              <w:t>富平县住房和城乡建设局</w:t>
                            </w:r>
                          </w:p>
                          <w:p>
                            <w:pPr>
                              <w:spacing w:line="360" w:lineRule="auto"/>
                              <w:rPr>
                                <w:rFonts w:hint="eastAsia" w:ascii="宋体" w:hAnsi="宋体" w:eastAsia="宋体"/>
                                <w:sz w:val="28"/>
                                <w:szCs w:val="28"/>
                                <w:lang w:eastAsia="zh-CN"/>
                              </w:rPr>
                            </w:pPr>
                            <w:r>
                              <w:rPr>
                                <w:rFonts w:hint="eastAsia" w:ascii="宋体" w:hAnsi="宋体"/>
                                <w:sz w:val="28"/>
                                <w:szCs w:val="28"/>
                              </w:rPr>
                              <w:t>采购项目编号：</w:t>
                            </w:r>
                            <w:r>
                              <w:rPr>
                                <w:rFonts w:hint="eastAsia" w:ascii="宋体" w:hAnsi="宋体"/>
                                <w:sz w:val="28"/>
                                <w:szCs w:val="28"/>
                                <w:lang w:eastAsia="zh-CN"/>
                              </w:rPr>
                              <w:t>HMGJ-DL-2021-064</w:t>
                            </w:r>
                          </w:p>
                          <w:p>
                            <w:pPr>
                              <w:spacing w:line="360" w:lineRule="auto"/>
                              <w:rPr>
                                <w:rFonts w:hint="eastAsia" w:ascii="宋体" w:hAnsi="宋体" w:eastAsia="宋体"/>
                                <w:sz w:val="28"/>
                                <w:szCs w:val="28"/>
                                <w:lang w:eastAsia="zh-CN"/>
                              </w:rPr>
                            </w:pPr>
                            <w:r>
                              <w:rPr>
                                <w:rFonts w:hint="eastAsia" w:ascii="宋体" w:hAnsi="宋体"/>
                                <w:sz w:val="28"/>
                                <w:szCs w:val="28"/>
                              </w:rPr>
                              <w:t>项目名称：</w:t>
                            </w:r>
                            <w:r>
                              <w:rPr>
                                <w:rFonts w:hint="eastAsia" w:ascii="宋体" w:hAnsi="宋体"/>
                                <w:sz w:val="28"/>
                                <w:szCs w:val="28"/>
                                <w:lang w:eastAsia="zh-CN"/>
                              </w:rPr>
                              <w:t>富平县灯饰修缮工程</w:t>
                            </w:r>
                          </w:p>
                          <w:p>
                            <w:pPr>
                              <w:spacing w:line="360" w:lineRule="auto"/>
                              <w:ind w:firstLine="2209" w:firstLineChars="500"/>
                              <w:rPr>
                                <w:rFonts w:ascii="宋体" w:hAnsi="宋体"/>
                                <w:b/>
                                <w:sz w:val="44"/>
                                <w:szCs w:val="44"/>
                              </w:rPr>
                            </w:pPr>
                          </w:p>
                          <w:p>
                            <w:pPr>
                              <w:spacing w:line="360" w:lineRule="auto"/>
                              <w:ind w:firstLine="2209" w:firstLineChars="500"/>
                              <w:rPr>
                                <w:rFonts w:ascii="宋体" w:hAnsi="宋体"/>
                                <w:b/>
                                <w:sz w:val="44"/>
                                <w:szCs w:val="44"/>
                              </w:rPr>
                            </w:pPr>
                          </w:p>
                          <w:p>
                            <w:pPr>
                              <w:spacing w:line="360" w:lineRule="auto"/>
                              <w:jc w:val="center"/>
                              <w:rPr>
                                <w:rFonts w:ascii="宋体" w:hAnsi="宋体"/>
                                <w:b/>
                                <w:sz w:val="44"/>
                                <w:szCs w:val="44"/>
                              </w:rPr>
                            </w:pPr>
                            <w:r>
                              <w:rPr>
                                <w:rFonts w:hint="eastAsia" w:ascii="宋体" w:hAnsi="宋体"/>
                                <w:b/>
                                <w:sz w:val="44"/>
                                <w:szCs w:val="44"/>
                              </w:rPr>
                              <w:t>投标文件（正本/副本）</w:t>
                            </w:r>
                          </w:p>
                          <w:p>
                            <w:pPr>
                              <w:spacing w:line="360" w:lineRule="auto"/>
                              <w:jc w:val="center"/>
                              <w:rPr>
                                <w:rFonts w:ascii="宋体" w:hAnsi="宋体"/>
                                <w:sz w:val="28"/>
                                <w:szCs w:val="28"/>
                              </w:rPr>
                            </w:pPr>
                            <w:r>
                              <w:rPr>
                                <w:rFonts w:hint="eastAsia" w:ascii="宋体" w:hAnsi="宋体"/>
                                <w:sz w:val="28"/>
                                <w:szCs w:val="28"/>
                              </w:rPr>
                              <w:t>（在规定的开标时间前不得启封）</w:t>
                            </w:r>
                          </w:p>
                          <w:p>
                            <w:pPr>
                              <w:spacing w:line="360" w:lineRule="auto"/>
                              <w:rPr>
                                <w:rFonts w:ascii="宋体" w:hAnsi="宋体"/>
                                <w:sz w:val="28"/>
                                <w:szCs w:val="28"/>
                              </w:rPr>
                            </w:pPr>
                          </w:p>
                          <w:p>
                            <w:pPr>
                              <w:spacing w:line="360" w:lineRule="auto"/>
                              <w:rPr>
                                <w:rFonts w:ascii="宋体" w:hAnsi="宋体"/>
                                <w:sz w:val="28"/>
                                <w:szCs w:val="28"/>
                              </w:rPr>
                            </w:pPr>
                          </w:p>
                          <w:p>
                            <w:pPr>
                              <w:spacing w:line="360" w:lineRule="auto"/>
                              <w:rPr>
                                <w:rFonts w:ascii="宋体" w:hAnsi="宋体"/>
                                <w:sz w:val="28"/>
                                <w:szCs w:val="28"/>
                              </w:rPr>
                            </w:pPr>
                          </w:p>
                          <w:p>
                            <w:pPr>
                              <w:spacing w:line="360" w:lineRule="auto"/>
                              <w:rPr>
                                <w:rFonts w:ascii="宋体" w:hAnsi="宋体"/>
                                <w:sz w:val="28"/>
                                <w:szCs w:val="28"/>
                              </w:rPr>
                            </w:pPr>
                            <w:r>
                              <w:rPr>
                                <w:rFonts w:hint="eastAsia" w:ascii="宋体" w:hAnsi="宋体"/>
                                <w:sz w:val="28"/>
                                <w:szCs w:val="28"/>
                              </w:rPr>
                              <w:t>投标人名称：（公章）</w:t>
                            </w:r>
                          </w:p>
                          <w:p>
                            <w:pPr>
                              <w:spacing w:line="360" w:lineRule="auto"/>
                              <w:rPr>
                                <w:rFonts w:ascii="宋体" w:hAnsi="宋体"/>
                                <w:sz w:val="28"/>
                                <w:szCs w:val="28"/>
                              </w:rPr>
                            </w:pPr>
                          </w:p>
                          <w:p>
                            <w:pPr>
                              <w:spacing w:line="360" w:lineRule="auto"/>
                              <w:rPr>
                                <w:rFonts w:ascii="宋体" w:hAnsi="宋体"/>
                                <w:sz w:val="28"/>
                                <w:szCs w:val="28"/>
                              </w:rPr>
                            </w:pPr>
                            <w:r>
                              <w:rPr>
                                <w:rFonts w:hint="eastAsia" w:ascii="宋体" w:hAnsi="宋体"/>
                                <w:sz w:val="28"/>
                                <w:szCs w:val="28"/>
                              </w:rPr>
                              <w:t>通讯地址：                              邮编：</w:t>
                            </w:r>
                          </w:p>
                        </w:txbxContent>
                      </wps:txbx>
                      <wps:bodyPr rot="0" vert="horz" wrap="square" lIns="91440" tIns="45720" rIns="91440" bIns="45720" anchor="t" anchorCtr="0" upright="1">
                        <a:noAutofit/>
                      </wps:bodyPr>
                    </wps:wsp>
                  </a:graphicData>
                </a:graphic>
              </wp:anchor>
            </w:drawing>
          </mc:Choice>
          <mc:Fallback>
            <w:pict>
              <v:shape id="文本框 116" o:spid="_x0000_s1026" o:spt="202" type="#_x0000_t202" style="position:absolute;left:0pt;margin-left:0pt;margin-top:13.4pt;height:539.05pt;width:445.4pt;z-index:251659264;mso-width-relative:page;mso-height-relative:page;" fillcolor="#FFFFFF" filled="t" stroked="t" coordsize="21600,21600" o:gfxdata="UEsDBAoAAAAAAIdO4kAAAAAAAAAAAAAAAAAEAAAAZHJzL1BLAwQUAAAACACHTuJAR9qGgdcAAAAI&#10;AQAADwAAAGRycy9kb3ducmV2LnhtbE2PzU7DMBCE70i8g7VI3KidipY2jVMJJEQEh4rAAzjxNomw&#10;12ns/vD2LCe47WhGs98U24t34oRTHAJpyGYKBFIb7ECdhs+P57sViJgMWeMCoYZvjLAtr68Kk9tw&#10;pnc81akTXEIxNxr6lMZcytj26E2chRGJvX2YvEksp07ayZy53Ds5V2opvRmIP/RmxKce26/66DVU&#10;bw9u4auda+rs8dAu0uuLqg5a395kagMi4SX9heEXn9GhZKYmHMlG4TTwkKRhvmR+dldrxUfDsUzd&#10;r0GWhfw/oPwBUEsDBBQAAAAIAIdO4kDY7JqtLgIAAEgEAAAOAAAAZHJzL2Uyb0RvYy54bWytVM2O&#10;0zAQviPxDpbvbJpuW7pR09XS1SKk5UdaeADHcRoL22Nst0l5APYNOHHhznP1ORg73VL+LohEsjyZ&#10;8Tcz3zfO4rLXimyF8xJMSfOzESXCcKilWZf03dubJ3NKfGCmZgqMKOlOeHq5fPxo0dlCjKEFVQtH&#10;EMT4orMlbUOwRZZ53grN/BlYYdDZgNMsoOnWWe1Yh+haZePRaJZ14GrrgAvv8ev14KTLhN80gofX&#10;TeNFIKqkWFtIq0trFddsuWDF2jHbSn4og/1DFZpJg0mPUNcsMLJx8jcoLbkDD00446AzaBrJReoB&#10;u8lHv3Rz1zIrUi9IjrdHmvz/g+Wvtm8ckXVJJ5QYplGi/ef7/Zdv+6+fSJ7PIkGd9QXG3VmMDP0z&#10;6FHo1Ky3t8Dfe2Jg1TKzFlfOQdcKVmOBeTyZnRwdcHwEqbqXUGMmtgmQgPrG6cge8kEQHYXaHcUR&#10;fSAcP05n+M7RxdE3m0+mF+fTlIMVD8et8+G5AE3ipqQO1U/wbHvrQyyHFQ8hMZsHJesbqVQy3Lpa&#10;KUe2DCflJj0H9J/ClCFdSc/n+ShWoi0SV1dqYOOvcKP0/AlOy4Djr6Qu6fw0SJkDeZGvgbnQV/1B&#10;jArqHdLoYBhnvH64acF9pKTDUS6p/7BhTlCiXhiU4iKfTOLsJ2MyfTpGw516qlMPMxyhShooGbar&#10;MNyXjXVy3WKmQXwDVyhfIxOxUeehqkPdOK6J78PVivfh1E5RP34Ay+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H2oaB1wAAAAgBAAAPAAAAAAAAAAEAIAAAACIAAABkcnMvZG93bnJldi54bWxQSwEC&#10;FAAUAAAACACHTuJA2OyarS4CAABIBAAADgAAAAAAAAABACAAAAAmAQAAZHJzL2Uyb0RvYy54bWxQ&#10;SwUGAAAAAAYABgBZAQAAxgUAAAAA&#10;">
                <v:fill on="t" focussize="0,0"/>
                <v:stroke weight="3pt" color="#000000" linestyle="thinThin" miterlimit="8" joinstyle="miter"/>
                <v:imagedata o:title=""/>
                <o:lock v:ext="edit" aspectratio="f"/>
                <v:textbox>
                  <w:txbxContent>
                    <w:p>
                      <w:pPr>
                        <w:spacing w:line="360" w:lineRule="auto"/>
                        <w:rPr>
                          <w:rFonts w:hint="eastAsia" w:ascii="宋体" w:hAnsi="宋体" w:eastAsia="宋体"/>
                          <w:sz w:val="28"/>
                          <w:szCs w:val="28"/>
                          <w:lang w:eastAsia="zh-CN"/>
                        </w:rPr>
                      </w:pPr>
                      <w:r>
                        <w:rPr>
                          <w:rFonts w:hint="eastAsia" w:ascii="宋体" w:hAnsi="宋体"/>
                          <w:sz w:val="28"/>
                          <w:szCs w:val="28"/>
                        </w:rPr>
                        <w:t>致：</w:t>
                      </w:r>
                      <w:r>
                        <w:rPr>
                          <w:rFonts w:hint="eastAsia" w:ascii="宋体" w:hAnsi="宋体"/>
                          <w:sz w:val="28"/>
                          <w:szCs w:val="28"/>
                          <w:lang w:eastAsia="zh-CN"/>
                        </w:rPr>
                        <w:t>富平县住房和城乡建设局</w:t>
                      </w:r>
                    </w:p>
                    <w:p>
                      <w:pPr>
                        <w:spacing w:line="360" w:lineRule="auto"/>
                        <w:rPr>
                          <w:rFonts w:hint="eastAsia" w:ascii="宋体" w:hAnsi="宋体" w:eastAsia="宋体"/>
                          <w:sz w:val="28"/>
                          <w:szCs w:val="28"/>
                          <w:lang w:eastAsia="zh-CN"/>
                        </w:rPr>
                      </w:pPr>
                      <w:r>
                        <w:rPr>
                          <w:rFonts w:hint="eastAsia" w:ascii="宋体" w:hAnsi="宋体"/>
                          <w:sz w:val="28"/>
                          <w:szCs w:val="28"/>
                        </w:rPr>
                        <w:t>采购项目编号：</w:t>
                      </w:r>
                      <w:r>
                        <w:rPr>
                          <w:rFonts w:hint="eastAsia" w:ascii="宋体" w:hAnsi="宋体"/>
                          <w:sz w:val="28"/>
                          <w:szCs w:val="28"/>
                          <w:lang w:eastAsia="zh-CN"/>
                        </w:rPr>
                        <w:t>HMGJ-DL-2021-064</w:t>
                      </w:r>
                    </w:p>
                    <w:p>
                      <w:pPr>
                        <w:spacing w:line="360" w:lineRule="auto"/>
                        <w:rPr>
                          <w:rFonts w:hint="eastAsia" w:ascii="宋体" w:hAnsi="宋体" w:eastAsia="宋体"/>
                          <w:sz w:val="28"/>
                          <w:szCs w:val="28"/>
                          <w:lang w:eastAsia="zh-CN"/>
                        </w:rPr>
                      </w:pPr>
                      <w:r>
                        <w:rPr>
                          <w:rFonts w:hint="eastAsia" w:ascii="宋体" w:hAnsi="宋体"/>
                          <w:sz w:val="28"/>
                          <w:szCs w:val="28"/>
                        </w:rPr>
                        <w:t>项目名称：</w:t>
                      </w:r>
                      <w:r>
                        <w:rPr>
                          <w:rFonts w:hint="eastAsia" w:ascii="宋体" w:hAnsi="宋体"/>
                          <w:sz w:val="28"/>
                          <w:szCs w:val="28"/>
                          <w:lang w:eastAsia="zh-CN"/>
                        </w:rPr>
                        <w:t>富平县灯饰修缮工程</w:t>
                      </w:r>
                    </w:p>
                    <w:p>
                      <w:pPr>
                        <w:spacing w:line="360" w:lineRule="auto"/>
                        <w:ind w:firstLine="2209" w:firstLineChars="500"/>
                        <w:rPr>
                          <w:rFonts w:ascii="宋体" w:hAnsi="宋体"/>
                          <w:b/>
                          <w:sz w:val="44"/>
                          <w:szCs w:val="44"/>
                        </w:rPr>
                      </w:pPr>
                    </w:p>
                    <w:p>
                      <w:pPr>
                        <w:spacing w:line="360" w:lineRule="auto"/>
                        <w:ind w:firstLine="2209" w:firstLineChars="500"/>
                        <w:rPr>
                          <w:rFonts w:ascii="宋体" w:hAnsi="宋体"/>
                          <w:b/>
                          <w:sz w:val="44"/>
                          <w:szCs w:val="44"/>
                        </w:rPr>
                      </w:pPr>
                    </w:p>
                    <w:p>
                      <w:pPr>
                        <w:spacing w:line="360" w:lineRule="auto"/>
                        <w:jc w:val="center"/>
                        <w:rPr>
                          <w:rFonts w:ascii="宋体" w:hAnsi="宋体"/>
                          <w:b/>
                          <w:sz w:val="44"/>
                          <w:szCs w:val="44"/>
                        </w:rPr>
                      </w:pPr>
                      <w:r>
                        <w:rPr>
                          <w:rFonts w:hint="eastAsia" w:ascii="宋体" w:hAnsi="宋体"/>
                          <w:b/>
                          <w:sz w:val="44"/>
                          <w:szCs w:val="44"/>
                        </w:rPr>
                        <w:t>投标文件（正本/副本）</w:t>
                      </w:r>
                    </w:p>
                    <w:p>
                      <w:pPr>
                        <w:spacing w:line="360" w:lineRule="auto"/>
                        <w:jc w:val="center"/>
                        <w:rPr>
                          <w:rFonts w:ascii="宋体" w:hAnsi="宋体"/>
                          <w:sz w:val="28"/>
                          <w:szCs w:val="28"/>
                        </w:rPr>
                      </w:pPr>
                      <w:r>
                        <w:rPr>
                          <w:rFonts w:hint="eastAsia" w:ascii="宋体" w:hAnsi="宋体"/>
                          <w:sz w:val="28"/>
                          <w:szCs w:val="28"/>
                        </w:rPr>
                        <w:t>（在规定的开标时间前不得启封）</w:t>
                      </w:r>
                    </w:p>
                    <w:p>
                      <w:pPr>
                        <w:spacing w:line="360" w:lineRule="auto"/>
                        <w:rPr>
                          <w:rFonts w:ascii="宋体" w:hAnsi="宋体"/>
                          <w:sz w:val="28"/>
                          <w:szCs w:val="28"/>
                        </w:rPr>
                      </w:pPr>
                    </w:p>
                    <w:p>
                      <w:pPr>
                        <w:spacing w:line="360" w:lineRule="auto"/>
                        <w:rPr>
                          <w:rFonts w:ascii="宋体" w:hAnsi="宋体"/>
                          <w:sz w:val="28"/>
                          <w:szCs w:val="28"/>
                        </w:rPr>
                      </w:pPr>
                    </w:p>
                    <w:p>
                      <w:pPr>
                        <w:spacing w:line="360" w:lineRule="auto"/>
                        <w:rPr>
                          <w:rFonts w:ascii="宋体" w:hAnsi="宋体"/>
                          <w:sz w:val="28"/>
                          <w:szCs w:val="28"/>
                        </w:rPr>
                      </w:pPr>
                    </w:p>
                    <w:p>
                      <w:pPr>
                        <w:spacing w:line="360" w:lineRule="auto"/>
                        <w:rPr>
                          <w:rFonts w:ascii="宋体" w:hAnsi="宋体"/>
                          <w:sz w:val="28"/>
                          <w:szCs w:val="28"/>
                        </w:rPr>
                      </w:pPr>
                      <w:r>
                        <w:rPr>
                          <w:rFonts w:hint="eastAsia" w:ascii="宋体" w:hAnsi="宋体"/>
                          <w:sz w:val="28"/>
                          <w:szCs w:val="28"/>
                        </w:rPr>
                        <w:t>投标人名称：（公章）</w:t>
                      </w:r>
                    </w:p>
                    <w:p>
                      <w:pPr>
                        <w:spacing w:line="360" w:lineRule="auto"/>
                        <w:rPr>
                          <w:rFonts w:ascii="宋体" w:hAnsi="宋体"/>
                          <w:sz w:val="28"/>
                          <w:szCs w:val="28"/>
                        </w:rPr>
                      </w:pPr>
                    </w:p>
                    <w:p>
                      <w:pPr>
                        <w:spacing w:line="360" w:lineRule="auto"/>
                        <w:rPr>
                          <w:rFonts w:ascii="宋体" w:hAnsi="宋体"/>
                          <w:sz w:val="28"/>
                          <w:szCs w:val="28"/>
                        </w:rPr>
                      </w:pPr>
                      <w:r>
                        <w:rPr>
                          <w:rFonts w:hint="eastAsia" w:ascii="宋体" w:hAnsi="宋体"/>
                          <w:sz w:val="28"/>
                          <w:szCs w:val="28"/>
                        </w:rPr>
                        <w:t>通讯地址：                              邮编：</w:t>
                      </w:r>
                    </w:p>
                  </w:txbxContent>
                </v:textbox>
              </v:shape>
            </w:pict>
          </mc:Fallback>
        </mc:AlternateContent>
      </w: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rPr>
          <w:rFonts w:hint="eastAsia" w:ascii="宋体" w:hAnsi="宋体" w:eastAsia="宋体" w:cs="宋体"/>
          <w:color w:val="auto"/>
          <w:szCs w:val="32"/>
          <w:highlight w:val="none"/>
        </w:rPr>
      </w:pPr>
    </w:p>
    <w:p>
      <w:pPr>
        <w:spacing w:line="400" w:lineRule="exact"/>
        <w:ind w:firstLine="4725" w:firstLineChars="2250"/>
        <w:rPr>
          <w:rFonts w:hint="eastAsia" w:ascii="宋体" w:hAnsi="宋体" w:eastAsia="宋体" w:cs="宋体"/>
          <w:color w:val="auto"/>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widowControl/>
        <w:adjustRightInd w:val="0"/>
        <w:snapToGrid w:val="0"/>
        <w:spacing w:line="440" w:lineRule="exact"/>
        <w:rPr>
          <w:rFonts w:hint="eastAsia" w:ascii="宋体" w:hAnsi="宋体" w:eastAsia="宋体" w:cs="宋体"/>
          <w:color w:val="auto"/>
          <w:sz w:val="28"/>
          <w:szCs w:val="28"/>
          <w:highlight w:val="none"/>
        </w:rPr>
      </w:pPr>
    </w:p>
    <w:p>
      <w:pPr>
        <w:spacing w:line="60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w:t>
      </w:r>
    </w:p>
    <w:p>
      <w:pPr>
        <w:spacing w:line="600" w:lineRule="exact"/>
        <w:jc w:val="center"/>
        <w:rPr>
          <w:rFonts w:hint="eastAsia" w:ascii="宋体" w:hAnsi="宋体" w:eastAsia="宋体" w:cs="宋体"/>
          <w:b/>
          <w:color w:val="auto"/>
          <w:sz w:val="44"/>
          <w:szCs w:val="44"/>
          <w:highlight w:val="none"/>
        </w:rPr>
      </w:pPr>
      <w:r>
        <w:rPr>
          <w:rFonts w:hint="eastAsia" w:ascii="宋体" w:hAnsi="宋体" w:eastAsia="宋体" w:cs="宋体"/>
          <w:b/>
          <w:color w:val="auto"/>
          <w:sz w:val="44"/>
          <w:szCs w:val="44"/>
          <w:highlight w:val="none"/>
        </w:rPr>
        <w:t>开标会议现场人员健康承诺书</w:t>
      </w:r>
    </w:p>
    <w:p>
      <w:pPr>
        <w:spacing w:line="560" w:lineRule="exact"/>
        <w:rPr>
          <w:rFonts w:hint="eastAsia" w:ascii="宋体" w:hAnsi="宋体" w:eastAsia="宋体" w:cs="宋体"/>
          <w:color w:val="auto"/>
          <w:highlight w:val="none"/>
        </w:rPr>
      </w:pPr>
    </w:p>
    <w:p>
      <w:pPr>
        <w:pStyle w:val="22"/>
        <w:rPr>
          <w:rFonts w:hint="eastAsia" w:ascii="宋体" w:hAnsi="宋体" w:eastAsia="宋体" w:cs="宋体"/>
          <w:color w:val="auto"/>
          <w:highlight w:val="none"/>
        </w:rPr>
      </w:pPr>
    </w:p>
    <w:p>
      <w:pPr>
        <w:spacing w:line="56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本单位按照国家和省市关于防控新型冠状病毒肺炎疫情的有关要求，已按规定复工，现因工作需要，特派出本单位如下人员在疫情防控期间进入开标会议现场，办理相关业务：</w:t>
      </w:r>
    </w:p>
    <w:p>
      <w:pPr>
        <w:spacing w:line="56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姓名：</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，身份证号码：</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，手机号码：</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p>
    <w:p>
      <w:pPr>
        <w:spacing w:line="56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本单位承诺：所派出工作人员无发烧、咳嗽等身体不适或有与疫区、疑似病人接触者史，满足上岗条件，填写的相关信息均真实有效。</w:t>
      </w:r>
    </w:p>
    <w:p>
      <w:pPr>
        <w:spacing w:line="560" w:lineRule="exac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本单位知悉隐瞒情况造成负面影响将被追究法律责任。</w:t>
      </w:r>
    </w:p>
    <w:p>
      <w:pPr>
        <w:spacing w:line="560" w:lineRule="exact"/>
        <w:rPr>
          <w:rFonts w:hint="eastAsia" w:ascii="宋体" w:hAnsi="宋体" w:eastAsia="宋体" w:cs="宋体"/>
          <w:color w:val="auto"/>
          <w:sz w:val="28"/>
          <w:szCs w:val="28"/>
          <w:highlight w:val="none"/>
        </w:rPr>
      </w:pPr>
    </w:p>
    <w:p>
      <w:pPr>
        <w:spacing w:line="560" w:lineRule="exact"/>
        <w:rPr>
          <w:rFonts w:hint="eastAsia" w:ascii="宋体" w:hAnsi="宋体" w:eastAsia="宋体" w:cs="宋体"/>
          <w:color w:val="auto"/>
          <w:sz w:val="28"/>
          <w:szCs w:val="28"/>
          <w:highlight w:val="none"/>
        </w:rPr>
      </w:pPr>
    </w:p>
    <w:p>
      <w:pPr>
        <w:spacing w:line="560" w:lineRule="exact"/>
        <w:rPr>
          <w:rFonts w:hint="eastAsia" w:ascii="宋体" w:hAnsi="宋体" w:eastAsia="宋体" w:cs="宋体"/>
          <w:color w:val="auto"/>
          <w:sz w:val="28"/>
          <w:szCs w:val="28"/>
          <w:highlight w:val="none"/>
        </w:rPr>
      </w:pPr>
    </w:p>
    <w:p>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单位名称：</w:t>
      </w:r>
    </w:p>
    <w:p>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（加盖单位公章）</w:t>
      </w:r>
    </w:p>
    <w:p>
      <w:pPr>
        <w:spacing w:line="56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年   月   日</w:t>
      </w:r>
    </w:p>
    <w:p>
      <w:pPr>
        <w:spacing w:line="560" w:lineRule="exact"/>
        <w:rPr>
          <w:rFonts w:hint="eastAsia" w:ascii="宋体" w:hAnsi="宋体" w:eastAsia="宋体" w:cs="宋体"/>
          <w:color w:val="auto"/>
          <w:sz w:val="28"/>
          <w:szCs w:val="28"/>
          <w:highlight w:val="none"/>
        </w:rPr>
      </w:pPr>
    </w:p>
    <w:p>
      <w:pPr>
        <w:spacing w:line="560" w:lineRule="exact"/>
        <w:rPr>
          <w:rFonts w:hint="eastAsia" w:ascii="宋体" w:hAnsi="宋体" w:eastAsia="宋体" w:cs="宋体"/>
          <w:color w:val="auto"/>
          <w:highlight w:val="none"/>
        </w:rPr>
      </w:pPr>
    </w:p>
    <w:p>
      <w:pPr>
        <w:pStyle w:val="2"/>
        <w:rPr>
          <w:rFonts w:hint="eastAsia" w:ascii="宋体" w:hAnsi="宋体" w:eastAsia="宋体" w:cs="宋体"/>
          <w:color w:val="auto"/>
          <w:highlight w:val="none"/>
        </w:rPr>
      </w:pPr>
    </w:p>
    <w:p>
      <w:pPr>
        <w:pStyle w:val="2"/>
        <w:rPr>
          <w:rFonts w:hint="eastAsia" w:ascii="宋体" w:hAnsi="宋体" w:eastAsia="宋体" w:cs="宋体"/>
          <w:color w:val="auto"/>
          <w:szCs w:val="28"/>
          <w:highlight w:val="none"/>
        </w:rPr>
      </w:pPr>
    </w:p>
    <w:p>
      <w:pPr>
        <w:rPr>
          <w:rFonts w:hint="eastAsia" w:ascii="宋体" w:hAnsi="宋体" w:eastAsia="宋体" w:cs="宋体"/>
          <w:color w:val="auto"/>
          <w:highlight w:val="none"/>
        </w:rPr>
      </w:pPr>
    </w:p>
    <w:sectPr>
      <w:headerReference r:id="rId3" w:type="default"/>
      <w:footerReference r:id="rId4" w:type="default"/>
      <w:pgSz w:w="11906" w:h="16838"/>
      <w:pgMar w:top="1417" w:right="1417" w:bottom="1417" w:left="1701" w:header="851" w:footer="992" w:gutter="0"/>
      <w:cols w:space="0" w:num="1"/>
      <w:docGrid w:type="lines" w:linePitch="33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pperplate Gothic Bold">
    <w:panose1 w:val="020E0705020206020404"/>
    <w:charset w:val="00"/>
    <w:family w:val="swiss"/>
    <w:pitch w:val="default"/>
    <w:sig w:usb0="00000003" w:usb1="00000000" w:usb2="00000000" w:usb3="00000000" w:csb0="20000001" w:csb1="00000000"/>
  </w:font>
  <w:font w:name="Bookman Old Style">
    <w:panose1 w:val="02050604050505020204"/>
    <w:charset w:val="00"/>
    <w:family w:val="roman"/>
    <w:pitch w:val="default"/>
    <w:sig w:usb0="00000287" w:usb1="00000000" w:usb2="00000000" w:usb3="00000000" w:csb0="2000009F" w:csb1="DFD70000"/>
  </w:font>
  <w:font w:name="CG Times">
    <w:panose1 w:val="02020603050405020304"/>
    <w:charset w:val="00"/>
    <w:family w:val="roma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Monaco">
    <w:panose1 w:val="020B0509030404040204"/>
    <w:charset w:val="00"/>
    <w:family w:val="modern"/>
    <w:pitch w:val="default"/>
    <w:sig w:usb0="00000000" w:usb1="00000000" w:usb2="00000000" w:usb3="00000000" w:csb0="00000000" w:csb1="00000000"/>
  </w:font>
  <w:font w:name="Marlett">
    <w:panose1 w:val="00000000000000000000"/>
    <w:charset w:val="02"/>
    <w:family w:val="auto"/>
    <w:pitch w:val="default"/>
    <w:sig w:usb0="00000000" w:usb1="00000000" w:usb2="00000000" w:usb3="00000000" w:csb0="80000000" w:csb1="00000000"/>
  </w:font>
  <w:font w:name="ˎ̥">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ヒラギノ角ゴ Pro W3">
    <w:altName w:val="Times New Roman"/>
    <w:panose1 w:val="00000000000000000000"/>
    <w:charset w:val="00"/>
    <w:family w:val="roman"/>
    <w:pitch w:val="default"/>
    <w:sig w:usb0="00000000" w:usb1="00000000" w:usb2="00000000" w:usb3="00000000" w:csb0="00000000" w:csb1="00000000"/>
  </w:font>
  <w:font w:name="华文细黑">
    <w:panose1 w:val="02010600040101010101"/>
    <w:charset w:val="86"/>
    <w:family w:val="auto"/>
    <w:pitch w:val="default"/>
    <w:sig w:usb0="00000287" w:usb1="080F0000" w:usb2="00000000" w:usb3="00000000" w:csb0="0004009F" w:csb1="DFD70000"/>
  </w:font>
  <w:font w:name="PMingLiU">
    <w:panose1 w:val="02020500000000000000"/>
    <w:charset w:val="88"/>
    <w:family w:val="roman"/>
    <w:pitch w:val="default"/>
    <w:sig w:usb0="A00002FF" w:usb1="28CFFCFA" w:usb2="00000016" w:usb3="00000000" w:csb0="00100001" w:csb1="00000000"/>
  </w:font>
  <w:font w:name="Arial Narrow">
    <w:panose1 w:val="020B0606020202030204"/>
    <w:charset w:val="00"/>
    <w:family w:val="swiss"/>
    <w:pitch w:val="default"/>
    <w:sig w:usb0="00000287" w:usb1="00000800" w:usb2="00000000" w:usb3="00000000" w:csb0="2000009F" w:csb1="DFD70000"/>
  </w:font>
  <w:font w:name="Tms Rmn">
    <w:altName w:val="Segoe Print"/>
    <w:panose1 w:val="02020603040505020304"/>
    <w:charset w:val="00"/>
    <w:family w:val="roman"/>
    <w:pitch w:val="default"/>
    <w:sig w:usb0="00000000" w:usb1="00000000" w:usb2="00000000" w:usb3="00000000" w:csb0="00000001" w:csb1="00000000"/>
  </w:font>
  <w:font w:name="Courier">
    <w:panose1 w:val="02060409020205020404"/>
    <w:charset w:val="00"/>
    <w:family w:val="moder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Century Gothic">
    <w:panose1 w:val="020B0502020202020204"/>
    <w:charset w:val="00"/>
    <w:family w:val="swiss"/>
    <w:pitch w:val="default"/>
    <w:sig w:usb0="00000287" w:usb1="00000000" w:usb2="00000000" w:usb3="00000000" w:csb0="2000009F" w:csb1="DFD70000"/>
  </w:font>
  <w:font w:name="汉仪中等线简">
    <w:altName w:val="宋体"/>
    <w:panose1 w:val="00000000000000000000"/>
    <w:charset w:val="86"/>
    <w:family w:val="modern"/>
    <w:pitch w:val="default"/>
    <w:sig w:usb0="00000000" w:usb1="00000000" w:usb2="00000002" w:usb3="00000000" w:csb0="00040000" w:csb1="00000000"/>
  </w:font>
  <w:font w:name="Garamond">
    <w:panose1 w:val="02020502050306020203"/>
    <w:charset w:val="00"/>
    <w:family w:val="roman"/>
    <w:pitch w:val="default"/>
    <w:sig w:usb0="00000000" w:usb1="00000000" w:usb2="00000000" w:usb3="00000000" w:csb0="00000000" w:csb1="00000000"/>
  </w:font>
  <w:font w:name="Book Antiqua">
    <w:panose1 w:val="02040602050305030304"/>
    <w:charset w:val="00"/>
    <w:family w:val="roman"/>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Futura Hv">
    <w:altName w:val="Arial"/>
    <w:panose1 w:val="00000000000000000000"/>
    <w:charset w:val="00"/>
    <w:family w:val="swiss"/>
    <w:pitch w:val="default"/>
    <w:sig w:usb0="00000000" w:usb1="00000000" w:usb2="00000000" w:usb3="00000000" w:csb0="0000009F" w:csb1="00000000"/>
  </w:font>
  <w:font w:name="Futura Bk">
    <w:altName w:val="Times New Roman"/>
    <w:panose1 w:val="00000000000000000000"/>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Bdr>
        <w:top w:val="thickThinSmallGap" w:color="auto" w:sz="24" w:space="1"/>
      </w:pBdr>
      <w:tabs>
        <w:tab w:val="right" w:pos="8820"/>
        <w:tab w:val="clear" w:pos="8306"/>
      </w:tabs>
      <w:ind w:right="-33"/>
      <w:rPr>
        <w:b/>
        <w:kern w:val="0"/>
      </w:rPr>
    </w:pPr>
    <w:r>
      <w:rPr>
        <w:rFonts w:hint="eastAsia"/>
        <w:b/>
        <w:kern w:val="0"/>
      </w:rPr>
      <w:t>采购人：</w:t>
    </w:r>
    <w:r>
      <w:rPr>
        <w:rFonts w:hint="eastAsia"/>
        <w:b/>
        <w:kern w:val="0"/>
        <w:lang w:eastAsia="zh-CN"/>
      </w:rPr>
      <w:t>富平县住房和城乡建设局</w:t>
    </w:r>
    <w:r>
      <w:rPr>
        <w:rFonts w:hint="eastAsia"/>
        <w:b/>
        <w:kern w:val="0"/>
      </w:rPr>
      <w:t xml:space="preserve">    </w:t>
    </w:r>
    <w:r>
      <w:rPr>
        <w:rFonts w:hint="eastAsia"/>
        <w:b/>
        <w:kern w:val="0"/>
        <w:lang w:val="en-US" w:eastAsia="zh-CN"/>
      </w:rPr>
      <w:t xml:space="preserve">  </w:t>
    </w:r>
    <w:r>
      <w:rPr>
        <w:rFonts w:hint="eastAsia"/>
        <w:b/>
        <w:kern w:val="0"/>
      </w:rPr>
      <w:t xml:space="preserve">   </w:t>
    </w:r>
    <w:r>
      <w:rPr>
        <w:rFonts w:hint="eastAsia"/>
        <w:b/>
        <w:kern w:val="0"/>
        <w:szCs w:val="21"/>
      </w:rPr>
      <w:t xml:space="preserve">第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307</w:t>
    </w:r>
    <w:r>
      <w:rPr>
        <w:b/>
        <w:kern w:val="0"/>
        <w:szCs w:val="21"/>
      </w:rPr>
      <w:fldChar w:fldCharType="end"/>
    </w:r>
    <w:r>
      <w:rPr>
        <w:rFonts w:hint="eastAsia"/>
        <w:b/>
        <w:kern w:val="0"/>
        <w:szCs w:val="21"/>
      </w:rPr>
      <w:t xml:space="preserve"> 页 共 </w:t>
    </w:r>
    <w:r>
      <w:rPr>
        <w:b/>
        <w:kern w:val="0"/>
        <w:szCs w:val="21"/>
      </w:rPr>
      <w:fldChar w:fldCharType="begin"/>
    </w:r>
    <w:r>
      <w:rPr>
        <w:b/>
        <w:kern w:val="0"/>
        <w:szCs w:val="21"/>
      </w:rPr>
      <w:instrText xml:space="preserve"> NUMPAGES </w:instrText>
    </w:r>
    <w:r>
      <w:rPr>
        <w:b/>
        <w:kern w:val="0"/>
        <w:szCs w:val="21"/>
      </w:rPr>
      <w:fldChar w:fldCharType="separate"/>
    </w:r>
    <w:r>
      <w:rPr>
        <w:b/>
        <w:kern w:val="0"/>
        <w:szCs w:val="21"/>
      </w:rPr>
      <w:t>318</w:t>
    </w:r>
    <w:r>
      <w:rPr>
        <w:b/>
        <w:kern w:val="0"/>
        <w:szCs w:val="21"/>
      </w:rPr>
      <w:fldChar w:fldCharType="end"/>
    </w:r>
    <w:r>
      <w:rPr>
        <w:rFonts w:hint="eastAsia"/>
        <w:b/>
        <w:kern w:val="0"/>
        <w:szCs w:val="21"/>
      </w:rPr>
      <w:t xml:space="preserve"> 页</w:t>
    </w:r>
    <w:r>
      <w:rPr>
        <w:rFonts w:hint="eastAsia"/>
        <w:b/>
        <w:kern w:val="0"/>
      </w:rPr>
      <w:t xml:space="preserve">    采购代理机构：鸿民国际工程咨询有限公司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Bdr>
        <w:bottom w:val="thinThickSmallGap" w:color="auto" w:sz="24" w:space="1"/>
      </w:pBdr>
      <w:tabs>
        <w:tab w:val="right" w:pos="8820"/>
        <w:tab w:val="clear" w:pos="8306"/>
      </w:tabs>
      <w:rPr>
        <w:rFonts w:ascii="宋体" w:hAnsi="宋体"/>
        <w:b/>
        <w:szCs w:val="18"/>
      </w:rPr>
    </w:pPr>
    <w:r>
      <w:rPr>
        <w:rFonts w:hint="eastAsia" w:ascii="宋体" w:hAnsi="宋体"/>
        <w:b/>
        <w:szCs w:val="18"/>
        <w:lang w:eastAsia="zh-CN"/>
      </w:rPr>
      <w:t>富平县灯饰修缮工程施工招标</w:t>
    </w:r>
    <w:r>
      <w:rPr>
        <w:rFonts w:hint="eastAsia" w:ascii="宋体" w:hAnsi="宋体"/>
        <w:b/>
        <w:szCs w:val="18"/>
        <w:lang w:val="en-US" w:eastAsia="zh-CN"/>
      </w:rPr>
      <w:t xml:space="preserve">    </w:t>
    </w:r>
    <w:r>
      <w:rPr>
        <w:rFonts w:hint="eastAsia" w:ascii="宋体" w:hAnsi="宋体"/>
        <w:b/>
        <w:szCs w:val="18"/>
      </w:rPr>
      <w:t xml:space="preserve">               </w:t>
    </w:r>
    <w:r>
      <w:rPr>
        <w:rFonts w:ascii="宋体" w:hAnsi="宋体"/>
        <w:b/>
        <w:szCs w:val="18"/>
      </w:rPr>
      <w:t xml:space="preserve">  </w:t>
    </w:r>
    <w:r>
      <w:rPr>
        <w:rFonts w:hint="eastAsia" w:ascii="宋体" w:hAnsi="宋体"/>
        <w:b/>
        <w:szCs w:val="18"/>
      </w:rPr>
      <w:t xml:space="preserve">           </w:t>
    </w:r>
    <w:r>
      <w:rPr>
        <w:rFonts w:hint="eastAsia" w:ascii="宋体" w:hAnsi="宋体"/>
        <w:b/>
        <w:szCs w:val="18"/>
        <w:lang w:val="en-US" w:eastAsia="zh-CN"/>
      </w:rPr>
      <w:t xml:space="preserve">               </w:t>
    </w:r>
    <w:r>
      <w:rPr>
        <w:rFonts w:hint="eastAsia" w:ascii="宋体" w:hAnsi="宋体"/>
        <w:b/>
        <w:szCs w:val="18"/>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6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44"/>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34"/>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451"/>
      <w:lvlText w:val="%1)"/>
      <w:lvlJc w:val="left"/>
      <w:pPr>
        <w:ind w:left="620" w:hanging="420"/>
      </w:pPr>
    </w:lvl>
  </w:abstractNum>
  <w:abstractNum w:abstractNumId="4">
    <w:nsid w:val="FFFFFF82"/>
    <w:multiLevelType w:val="singleLevel"/>
    <w:tmpl w:val="FFFFFF82"/>
    <w:lvl w:ilvl="0" w:tentative="0">
      <w:start w:val="1"/>
      <w:numFmt w:val="bullet"/>
      <w:pStyle w:val="32"/>
      <w:lvlText w:val=""/>
      <w:lvlJc w:val="left"/>
      <w:pPr>
        <w:tabs>
          <w:tab w:val="left" w:pos="1200"/>
        </w:tabs>
        <w:ind w:left="1200" w:leftChars="400" w:hanging="360" w:hangingChars="200"/>
      </w:pPr>
      <w:rPr>
        <w:rFonts w:hint="default" w:ascii="Wingdings" w:hAnsi="Wingdings"/>
      </w:rPr>
    </w:lvl>
  </w:abstractNum>
  <w:abstractNum w:abstractNumId="5">
    <w:nsid w:val="FFFFFF88"/>
    <w:multiLevelType w:val="singleLevel"/>
    <w:tmpl w:val="FFFFFF88"/>
    <w:lvl w:ilvl="0" w:tentative="0">
      <w:start w:val="1"/>
      <w:numFmt w:val="decimal"/>
      <w:pStyle w:val="21"/>
      <w:lvlText w:val="%1."/>
      <w:lvlJc w:val="left"/>
      <w:pPr>
        <w:tabs>
          <w:tab w:val="left" w:pos="360"/>
        </w:tabs>
        <w:ind w:left="360" w:hanging="360" w:hangingChars="200"/>
      </w:pPr>
    </w:lvl>
  </w:abstractNum>
  <w:abstractNum w:abstractNumId="6">
    <w:nsid w:val="00000013"/>
    <w:multiLevelType w:val="singleLevel"/>
    <w:tmpl w:val="00000013"/>
    <w:lvl w:ilvl="0" w:tentative="0">
      <w:start w:val="1"/>
      <w:numFmt w:val="bullet"/>
      <w:pStyle w:val="642"/>
      <w:lvlText w:val=""/>
      <w:lvlJc w:val="left"/>
      <w:pPr>
        <w:tabs>
          <w:tab w:val="left" w:pos="360"/>
        </w:tabs>
        <w:ind w:left="284" w:hanging="284"/>
      </w:pPr>
      <w:rPr>
        <w:rFonts w:hint="default" w:ascii="Wingdings" w:hAnsi="Wingdings"/>
        <w:caps w:val="0"/>
        <w:sz w:val="20"/>
      </w:rPr>
    </w:lvl>
  </w:abstractNum>
  <w:abstractNum w:abstractNumId="7">
    <w:nsid w:val="00000038"/>
    <w:multiLevelType w:val="multilevel"/>
    <w:tmpl w:val="00000038"/>
    <w:lvl w:ilvl="0" w:tentative="0">
      <w:start w:val="1"/>
      <w:numFmt w:val="decimal"/>
      <w:pStyle w:val="640"/>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3D"/>
    <w:multiLevelType w:val="multilevel"/>
    <w:tmpl w:val="0000003D"/>
    <w:lvl w:ilvl="0" w:tentative="0">
      <w:start w:val="1"/>
      <w:numFmt w:val="decimal"/>
      <w:pStyle w:val="647"/>
      <w:lvlText w:val="%1"/>
      <w:lvlJc w:val="left"/>
      <w:pPr>
        <w:ind w:left="425" w:hanging="425"/>
      </w:pPr>
      <w:rPr>
        <w:rFonts w:hint="eastAsia"/>
      </w:rPr>
    </w:lvl>
    <w:lvl w:ilvl="1" w:tentative="0">
      <w:start w:val="1"/>
      <w:numFmt w:val="decimal"/>
      <w:lvlText w:val="%1.%2"/>
      <w:lvlJc w:val="left"/>
      <w:pPr>
        <w:ind w:left="992" w:hanging="992"/>
      </w:pPr>
      <w:rPr>
        <w:rFonts w:hint="eastAsia"/>
      </w:rPr>
    </w:lvl>
    <w:lvl w:ilvl="2" w:tentative="0">
      <w:start w:val="1"/>
      <w:numFmt w:val="decimal"/>
      <w:lvlText w:val="%1.%2.%3"/>
      <w:lvlJc w:val="left"/>
      <w:pPr>
        <w:ind w:left="425" w:hanging="425"/>
      </w:pPr>
      <w:rPr>
        <w:rFonts w:hint="eastAsia"/>
      </w:rPr>
    </w:lvl>
    <w:lvl w:ilvl="3" w:tentative="0">
      <w:start w:val="1"/>
      <w:numFmt w:val="decimal"/>
      <w:lvlText w:val="%1.%2.%3.%4"/>
      <w:lvlJc w:val="left"/>
      <w:pPr>
        <w:ind w:left="992" w:hanging="992"/>
      </w:pPr>
      <w:rPr>
        <w:rFonts w:hint="eastAsia"/>
      </w:rPr>
    </w:lvl>
    <w:lvl w:ilvl="4" w:tentative="0">
      <w:start w:val="1"/>
      <w:numFmt w:val="decimal"/>
      <w:lvlText w:val="%1.%2.%3.%4.%5"/>
      <w:lvlJc w:val="left"/>
      <w:pPr>
        <w:ind w:left="2551" w:hanging="2551"/>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9">
    <w:nsid w:val="05721531"/>
    <w:multiLevelType w:val="multilevel"/>
    <w:tmpl w:val="05721531"/>
    <w:lvl w:ilvl="0" w:tentative="0">
      <w:start w:val="1"/>
      <w:numFmt w:val="decimal"/>
      <w:pStyle w:val="661"/>
      <w:lvlText w:val="图%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05E14314"/>
    <w:multiLevelType w:val="multilevel"/>
    <w:tmpl w:val="05E14314"/>
    <w:lvl w:ilvl="0" w:tentative="0">
      <w:start w:val="1"/>
      <w:numFmt w:val="decimal"/>
      <w:pStyle w:val="548"/>
      <w:lvlText w:val="%1"/>
      <w:lvlJc w:val="left"/>
      <w:pPr>
        <w:ind w:left="1412" w:hanging="420"/>
      </w:pPr>
      <w:rPr>
        <w:rFonts w:hint="eastAsia"/>
      </w:rPr>
    </w:lvl>
    <w:lvl w:ilvl="1" w:tentative="0">
      <w:start w:val="1"/>
      <w:numFmt w:val="lowerLetter"/>
      <w:lvlText w:val="%2)"/>
      <w:lvlJc w:val="left"/>
      <w:pPr>
        <w:ind w:left="1832" w:hanging="420"/>
      </w:pPr>
    </w:lvl>
    <w:lvl w:ilvl="2" w:tentative="0">
      <w:start w:val="1"/>
      <w:numFmt w:val="lowerRoman"/>
      <w:lvlText w:val="%3."/>
      <w:lvlJc w:val="right"/>
      <w:pPr>
        <w:ind w:left="2252" w:hanging="420"/>
      </w:pPr>
    </w:lvl>
    <w:lvl w:ilvl="3" w:tentative="0">
      <w:start w:val="1"/>
      <w:numFmt w:val="decimal"/>
      <w:lvlText w:val="%4."/>
      <w:lvlJc w:val="left"/>
      <w:pPr>
        <w:ind w:left="2672" w:hanging="420"/>
      </w:pPr>
    </w:lvl>
    <w:lvl w:ilvl="4" w:tentative="0">
      <w:start w:val="1"/>
      <w:numFmt w:val="lowerLetter"/>
      <w:lvlText w:val="%5)"/>
      <w:lvlJc w:val="left"/>
      <w:pPr>
        <w:ind w:left="3092" w:hanging="420"/>
      </w:pPr>
    </w:lvl>
    <w:lvl w:ilvl="5" w:tentative="0">
      <w:start w:val="1"/>
      <w:numFmt w:val="lowerRoman"/>
      <w:lvlText w:val="%6."/>
      <w:lvlJc w:val="right"/>
      <w:pPr>
        <w:ind w:left="3512" w:hanging="420"/>
      </w:pPr>
    </w:lvl>
    <w:lvl w:ilvl="6" w:tentative="0">
      <w:start w:val="1"/>
      <w:numFmt w:val="decimal"/>
      <w:lvlText w:val="%7."/>
      <w:lvlJc w:val="left"/>
      <w:pPr>
        <w:ind w:left="3932" w:hanging="420"/>
      </w:pPr>
    </w:lvl>
    <w:lvl w:ilvl="7" w:tentative="0">
      <w:start w:val="1"/>
      <w:numFmt w:val="lowerLetter"/>
      <w:lvlText w:val="%8)"/>
      <w:lvlJc w:val="left"/>
      <w:pPr>
        <w:ind w:left="4352" w:hanging="420"/>
      </w:pPr>
    </w:lvl>
    <w:lvl w:ilvl="8" w:tentative="0">
      <w:start w:val="1"/>
      <w:numFmt w:val="lowerRoman"/>
      <w:lvlText w:val="%9."/>
      <w:lvlJc w:val="right"/>
      <w:pPr>
        <w:ind w:left="4772" w:hanging="420"/>
      </w:pPr>
    </w:lvl>
  </w:abstractNum>
  <w:abstractNum w:abstractNumId="11">
    <w:nsid w:val="06CA165B"/>
    <w:multiLevelType w:val="multilevel"/>
    <w:tmpl w:val="06CA165B"/>
    <w:lvl w:ilvl="0" w:tentative="0">
      <w:start w:val="1"/>
      <w:numFmt w:val="decimal"/>
      <w:pStyle w:val="434"/>
      <w:lvlText w:val="%1."/>
      <w:lvlJc w:val="left"/>
      <w:pPr>
        <w:tabs>
          <w:tab w:val="left" w:pos="425"/>
        </w:tabs>
        <w:ind w:left="425" w:hanging="425"/>
      </w:pPr>
      <w:rPr>
        <w:rFonts w:hint="eastAsia"/>
      </w:rPr>
    </w:lvl>
    <w:lvl w:ilvl="1" w:tentative="0">
      <w:start w:val="1"/>
      <w:numFmt w:val="decimal"/>
      <w:pStyle w:val="435"/>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2">
    <w:nsid w:val="0A760F1C"/>
    <w:multiLevelType w:val="multilevel"/>
    <w:tmpl w:val="0A760F1C"/>
    <w:lvl w:ilvl="0" w:tentative="0">
      <w:start w:val="1"/>
      <w:numFmt w:val="decimal"/>
      <w:pStyle w:val="264"/>
      <w:suff w:val="space"/>
      <w:lvlText w:val="第%1章"/>
      <w:lvlJc w:val="center"/>
      <w:pPr>
        <w:ind w:left="0" w:firstLine="288"/>
      </w:pPr>
      <w:rPr>
        <w:rFonts w:hint="eastAsia" w:ascii="黑体" w:hAnsi="黑体" w:eastAsia="黑体"/>
        <w:sz w:val="36"/>
      </w:rPr>
    </w:lvl>
    <w:lvl w:ilvl="1" w:tentative="0">
      <w:start w:val="1"/>
      <w:numFmt w:val="decimal"/>
      <w:pStyle w:val="265"/>
      <w:suff w:val="space"/>
      <w:lvlText w:val="%1.%2"/>
      <w:lvlJc w:val="left"/>
      <w:pPr>
        <w:ind w:left="0" w:firstLine="0"/>
      </w:pPr>
      <w:rPr>
        <w:rFonts w:hint="eastAsia" w:ascii="黑体" w:hAnsi="黑体" w:eastAsia="黑体"/>
        <w:sz w:val="30"/>
      </w:rPr>
    </w:lvl>
    <w:lvl w:ilvl="2" w:tentative="0">
      <w:start w:val="1"/>
      <w:numFmt w:val="decimal"/>
      <w:pStyle w:val="266"/>
      <w:suff w:val="space"/>
      <w:lvlText w:val="%1.%2.%3"/>
      <w:lvlJc w:val="left"/>
      <w:pPr>
        <w:ind w:left="426" w:firstLine="0"/>
      </w:pPr>
      <w:rPr>
        <w:rFonts w:hint="eastAsia" w:ascii="黑体" w:hAnsi="黑体" w:eastAsia="黑体"/>
        <w:sz w:val="28"/>
      </w:rPr>
    </w:lvl>
    <w:lvl w:ilvl="3" w:tentative="0">
      <w:start w:val="1"/>
      <w:numFmt w:val="decimal"/>
      <w:pStyle w:val="267"/>
      <w:suff w:val="space"/>
      <w:lvlText w:val="%1.%2.%3.%4"/>
      <w:lvlJc w:val="left"/>
      <w:pPr>
        <w:ind w:left="0" w:firstLine="0"/>
      </w:pPr>
      <w:rPr>
        <w:rFonts w:hint="eastAsia" w:ascii="黑体" w:hAnsi="黑体" w:eastAsia="黑体"/>
        <w:sz w:val="24"/>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3">
    <w:nsid w:val="0D9E06D6"/>
    <w:multiLevelType w:val="multilevel"/>
    <w:tmpl w:val="0D9E06D6"/>
    <w:lvl w:ilvl="0" w:tentative="0">
      <w:start w:val="0"/>
      <w:numFmt w:val="decimal"/>
      <w:pStyle w:val="559"/>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11157ECA"/>
    <w:multiLevelType w:val="multilevel"/>
    <w:tmpl w:val="11157ECA"/>
    <w:lvl w:ilvl="0" w:tentative="0">
      <w:start w:val="1"/>
      <w:numFmt w:val="decimal"/>
      <w:pStyle w:val="263"/>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4D902D3"/>
    <w:multiLevelType w:val="multilevel"/>
    <w:tmpl w:val="14D902D3"/>
    <w:lvl w:ilvl="0" w:tentative="0">
      <w:start w:val="1"/>
      <w:numFmt w:val="decimal"/>
      <w:pStyle w:val="576"/>
      <w:lvlText w:val="图%1"/>
      <w:lvlJc w:val="center"/>
      <w:pPr>
        <w:ind w:left="3822" w:hanging="420"/>
      </w:pPr>
      <w:rPr>
        <w:rFonts w:hint="eastAsia"/>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B055798"/>
    <w:multiLevelType w:val="multilevel"/>
    <w:tmpl w:val="1B055798"/>
    <w:lvl w:ilvl="0" w:tentative="0">
      <w:start w:val="1"/>
      <w:numFmt w:val="bullet"/>
      <w:pStyle w:val="38"/>
      <w:lvlText w:val=""/>
      <w:lvlJc w:val="left"/>
      <w:pPr>
        <w:tabs>
          <w:tab w:val="left" w:pos="780"/>
        </w:tabs>
        <w:ind w:left="704" w:hanging="284"/>
      </w:pPr>
      <w:rPr>
        <w:rFonts w:hint="default" w:ascii="Wingdings" w:hAnsi="Wingdings"/>
        <w:sz w:val="21"/>
      </w:rPr>
    </w:lvl>
    <w:lvl w:ilvl="1" w:tentative="0">
      <w:start w:val="1"/>
      <w:numFmt w:val="bullet"/>
      <w:lvlText w:val=""/>
      <w:lvlJc w:val="left"/>
      <w:pPr>
        <w:tabs>
          <w:tab w:val="left" w:pos="415"/>
        </w:tabs>
        <w:ind w:left="415" w:hanging="420"/>
      </w:pPr>
      <w:rPr>
        <w:rFonts w:hint="default" w:ascii="Wingdings" w:hAnsi="Wingdings"/>
      </w:rPr>
    </w:lvl>
    <w:lvl w:ilvl="2" w:tentative="0">
      <w:start w:val="1"/>
      <w:numFmt w:val="bullet"/>
      <w:lvlText w:val=""/>
      <w:lvlJc w:val="left"/>
      <w:pPr>
        <w:tabs>
          <w:tab w:val="left" w:pos="835"/>
        </w:tabs>
        <w:ind w:left="835" w:hanging="420"/>
      </w:pPr>
      <w:rPr>
        <w:rFonts w:hint="default" w:ascii="Wingdings" w:hAnsi="Wingdings"/>
      </w:rPr>
    </w:lvl>
    <w:lvl w:ilvl="3" w:tentative="0">
      <w:start w:val="1"/>
      <w:numFmt w:val="bullet"/>
      <w:lvlText w:val=""/>
      <w:lvlJc w:val="left"/>
      <w:pPr>
        <w:tabs>
          <w:tab w:val="left" w:pos="1255"/>
        </w:tabs>
        <w:ind w:left="1255" w:hanging="420"/>
      </w:pPr>
      <w:rPr>
        <w:rFonts w:hint="default" w:ascii="Wingdings" w:hAnsi="Wingdings"/>
      </w:rPr>
    </w:lvl>
    <w:lvl w:ilvl="4" w:tentative="0">
      <w:start w:val="1"/>
      <w:numFmt w:val="bullet"/>
      <w:lvlText w:val=""/>
      <w:lvlJc w:val="left"/>
      <w:pPr>
        <w:tabs>
          <w:tab w:val="left" w:pos="1675"/>
        </w:tabs>
        <w:ind w:left="1675" w:hanging="420"/>
      </w:pPr>
      <w:rPr>
        <w:rFonts w:hint="default" w:ascii="Wingdings" w:hAnsi="Wingdings"/>
      </w:rPr>
    </w:lvl>
    <w:lvl w:ilvl="5" w:tentative="0">
      <w:start w:val="1"/>
      <w:numFmt w:val="bullet"/>
      <w:lvlText w:val=""/>
      <w:lvlJc w:val="left"/>
      <w:pPr>
        <w:tabs>
          <w:tab w:val="left" w:pos="2095"/>
        </w:tabs>
        <w:ind w:left="2095" w:hanging="420"/>
      </w:pPr>
      <w:rPr>
        <w:rFonts w:hint="default" w:ascii="Wingdings" w:hAnsi="Wingdings"/>
      </w:rPr>
    </w:lvl>
    <w:lvl w:ilvl="6" w:tentative="0">
      <w:start w:val="1"/>
      <w:numFmt w:val="bullet"/>
      <w:lvlText w:val=""/>
      <w:lvlJc w:val="left"/>
      <w:pPr>
        <w:tabs>
          <w:tab w:val="left" w:pos="2515"/>
        </w:tabs>
        <w:ind w:left="2515" w:hanging="420"/>
      </w:pPr>
      <w:rPr>
        <w:rFonts w:hint="default" w:ascii="Wingdings" w:hAnsi="Wingdings"/>
      </w:rPr>
    </w:lvl>
    <w:lvl w:ilvl="7" w:tentative="0">
      <w:start w:val="1"/>
      <w:numFmt w:val="bullet"/>
      <w:lvlText w:val=""/>
      <w:lvlJc w:val="left"/>
      <w:pPr>
        <w:tabs>
          <w:tab w:val="left" w:pos="2935"/>
        </w:tabs>
        <w:ind w:left="2935" w:hanging="420"/>
      </w:pPr>
      <w:rPr>
        <w:rFonts w:hint="default" w:ascii="Wingdings" w:hAnsi="Wingdings"/>
      </w:rPr>
    </w:lvl>
    <w:lvl w:ilvl="8" w:tentative="0">
      <w:start w:val="1"/>
      <w:numFmt w:val="bullet"/>
      <w:lvlText w:val=""/>
      <w:lvlJc w:val="left"/>
      <w:pPr>
        <w:tabs>
          <w:tab w:val="left" w:pos="3355"/>
        </w:tabs>
        <w:ind w:left="3355" w:hanging="420"/>
      </w:pPr>
      <w:rPr>
        <w:rFonts w:hint="default" w:ascii="Wingdings" w:hAnsi="Wingdings"/>
      </w:rPr>
    </w:lvl>
  </w:abstractNum>
  <w:abstractNum w:abstractNumId="17">
    <w:nsid w:val="1D2F48D5"/>
    <w:multiLevelType w:val="multilevel"/>
    <w:tmpl w:val="1D2F48D5"/>
    <w:lvl w:ilvl="0" w:tentative="0">
      <w:start w:val="1"/>
      <w:numFmt w:val="decimal"/>
      <w:pStyle w:val="671"/>
      <w:lvlText w:val="图%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208A7ABE"/>
    <w:multiLevelType w:val="multilevel"/>
    <w:tmpl w:val="208A7ABE"/>
    <w:lvl w:ilvl="0" w:tentative="0">
      <w:start w:val="1"/>
      <w:numFmt w:val="decimal"/>
      <w:pStyle w:val="226"/>
      <w:suff w:val="space"/>
      <w:lvlText w:val="表%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9">
    <w:nsid w:val="26E421C3"/>
    <w:multiLevelType w:val="multilevel"/>
    <w:tmpl w:val="26E421C3"/>
    <w:lvl w:ilvl="0" w:tentative="0">
      <w:start w:val="1"/>
      <w:numFmt w:val="bullet"/>
      <w:pStyle w:val="476"/>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0">
    <w:nsid w:val="29D57F8F"/>
    <w:multiLevelType w:val="multilevel"/>
    <w:tmpl w:val="29D57F8F"/>
    <w:lvl w:ilvl="0" w:tentative="0">
      <w:start w:val="1"/>
      <w:numFmt w:val="decimal"/>
      <w:lvlText w:val="%1、"/>
      <w:lvlJc w:val="left"/>
      <w:pPr>
        <w:tabs>
          <w:tab w:val="left" w:pos="567"/>
        </w:tabs>
        <w:ind w:left="567" w:hanging="567"/>
      </w:pPr>
      <w:rPr>
        <w:rFonts w:hint="eastAsia"/>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3146156C"/>
    <w:multiLevelType w:val="multilevel"/>
    <w:tmpl w:val="3146156C"/>
    <w:lvl w:ilvl="0" w:tentative="0">
      <w:start w:val="1"/>
      <w:numFmt w:val="decimal"/>
      <w:pStyle w:val="241"/>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2">
    <w:nsid w:val="3321265A"/>
    <w:multiLevelType w:val="multilevel"/>
    <w:tmpl w:val="3321265A"/>
    <w:lvl w:ilvl="0" w:tentative="0">
      <w:start w:val="1"/>
      <w:numFmt w:val="decimal"/>
      <w:pStyle w:val="566"/>
      <w:lvlText w:val="（%1）"/>
      <w:lvlJc w:val="left"/>
      <w:pPr>
        <w:tabs>
          <w:tab w:val="left" w:pos="-62"/>
        </w:tabs>
        <w:ind w:left="-62" w:firstLine="482"/>
      </w:pPr>
      <w:rPr>
        <w:rFonts w:hint="eastAsia"/>
        <w:lang w:val="en-US"/>
      </w:rPr>
    </w:lvl>
    <w:lvl w:ilvl="1" w:tentative="0">
      <w:start w:val="1"/>
      <w:numFmt w:val="decimal"/>
      <w:lvlText w:val="（%2）"/>
      <w:lvlJc w:val="left"/>
      <w:pPr>
        <w:ind w:left="1620" w:hanging="720"/>
      </w:pPr>
      <w:rPr>
        <w:rFonts w:hint="default"/>
        <w:lang w:val="en-US"/>
      </w:rPr>
    </w:lvl>
    <w:lvl w:ilvl="2" w:tentative="0">
      <w:start w:val="1"/>
      <w:numFmt w:val="bullet"/>
      <w:lvlText w:val=""/>
      <w:lvlJc w:val="left"/>
      <w:pPr>
        <w:tabs>
          <w:tab w:val="left" w:pos="1740"/>
        </w:tabs>
        <w:ind w:left="1740" w:hanging="420"/>
      </w:pPr>
      <w:rPr>
        <w:rFonts w:hint="default" w:ascii="Wingdings" w:hAnsi="Wingdings"/>
      </w:rPr>
    </w:lvl>
    <w:lvl w:ilvl="3" w:tentative="0">
      <w:start w:val="1"/>
      <w:numFmt w:val="bullet"/>
      <w:lvlText w:val=""/>
      <w:lvlJc w:val="left"/>
      <w:pPr>
        <w:tabs>
          <w:tab w:val="left" w:pos="2160"/>
        </w:tabs>
        <w:ind w:left="2160" w:hanging="420"/>
      </w:pPr>
      <w:rPr>
        <w:rFonts w:hint="default" w:ascii="Wingdings" w:hAnsi="Wingdings"/>
      </w:rPr>
    </w:lvl>
    <w:lvl w:ilvl="4" w:tentative="0">
      <w:start w:val="1"/>
      <w:numFmt w:val="bullet"/>
      <w:lvlText w:val=""/>
      <w:lvlJc w:val="left"/>
      <w:pPr>
        <w:tabs>
          <w:tab w:val="left" w:pos="2580"/>
        </w:tabs>
        <w:ind w:left="2580" w:hanging="420"/>
      </w:pPr>
      <w:rPr>
        <w:rFonts w:hint="default" w:ascii="Wingdings" w:hAnsi="Wingdings"/>
      </w:rPr>
    </w:lvl>
    <w:lvl w:ilvl="5" w:tentative="0">
      <w:start w:val="1"/>
      <w:numFmt w:val="bullet"/>
      <w:lvlText w:val=""/>
      <w:lvlJc w:val="left"/>
      <w:pPr>
        <w:tabs>
          <w:tab w:val="left" w:pos="3000"/>
        </w:tabs>
        <w:ind w:left="3000" w:hanging="420"/>
      </w:pPr>
      <w:rPr>
        <w:rFonts w:hint="default" w:ascii="Wingdings" w:hAnsi="Wingdings"/>
      </w:rPr>
    </w:lvl>
    <w:lvl w:ilvl="6" w:tentative="0">
      <w:start w:val="1"/>
      <w:numFmt w:val="bullet"/>
      <w:lvlText w:val=""/>
      <w:lvlJc w:val="left"/>
      <w:pPr>
        <w:tabs>
          <w:tab w:val="left" w:pos="3420"/>
        </w:tabs>
        <w:ind w:left="3420" w:hanging="420"/>
      </w:pPr>
      <w:rPr>
        <w:rFonts w:hint="default" w:ascii="Wingdings" w:hAnsi="Wingdings"/>
      </w:rPr>
    </w:lvl>
    <w:lvl w:ilvl="7" w:tentative="0">
      <w:start w:val="1"/>
      <w:numFmt w:val="bullet"/>
      <w:lvlText w:val=""/>
      <w:lvlJc w:val="left"/>
      <w:pPr>
        <w:tabs>
          <w:tab w:val="left" w:pos="3840"/>
        </w:tabs>
        <w:ind w:left="3840" w:hanging="420"/>
      </w:pPr>
      <w:rPr>
        <w:rFonts w:hint="default" w:ascii="Wingdings" w:hAnsi="Wingdings"/>
      </w:rPr>
    </w:lvl>
    <w:lvl w:ilvl="8" w:tentative="0">
      <w:start w:val="1"/>
      <w:numFmt w:val="bullet"/>
      <w:lvlText w:val=""/>
      <w:lvlJc w:val="left"/>
      <w:pPr>
        <w:tabs>
          <w:tab w:val="left" w:pos="4260"/>
        </w:tabs>
        <w:ind w:left="4260" w:hanging="420"/>
      </w:pPr>
      <w:rPr>
        <w:rFonts w:hint="default" w:ascii="Wingdings" w:hAnsi="Wingdings"/>
      </w:rPr>
    </w:lvl>
  </w:abstractNum>
  <w:abstractNum w:abstractNumId="23">
    <w:nsid w:val="333D690F"/>
    <w:multiLevelType w:val="multilevel"/>
    <w:tmpl w:val="333D690F"/>
    <w:lvl w:ilvl="0" w:tentative="0">
      <w:start w:val="1"/>
      <w:numFmt w:val="decimal"/>
      <w:pStyle w:val="558"/>
      <w:lvlText w:val="%1"/>
      <w:lvlJc w:val="left"/>
      <w:pPr>
        <w:ind w:left="425" w:hanging="425"/>
      </w:pPr>
    </w:lvl>
    <w:lvl w:ilvl="1" w:tentative="0">
      <w:start w:val="1"/>
      <w:numFmt w:val="decimal"/>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24">
    <w:nsid w:val="335212AD"/>
    <w:multiLevelType w:val="multilevel"/>
    <w:tmpl w:val="335212AD"/>
    <w:lvl w:ilvl="0" w:tentative="0">
      <w:start w:val="1"/>
      <w:numFmt w:val="bullet"/>
      <w:pStyle w:val="459"/>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5">
    <w:nsid w:val="34001479"/>
    <w:multiLevelType w:val="multilevel"/>
    <w:tmpl w:val="34001479"/>
    <w:lvl w:ilvl="0" w:tentative="0">
      <w:start w:val="1"/>
      <w:numFmt w:val="bullet"/>
      <w:pStyle w:val="572"/>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6">
    <w:nsid w:val="36CF6F0A"/>
    <w:multiLevelType w:val="multilevel"/>
    <w:tmpl w:val="36CF6F0A"/>
    <w:lvl w:ilvl="0" w:tentative="0">
      <w:start w:val="1"/>
      <w:numFmt w:val="bullet"/>
      <w:pStyle w:val="457"/>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7">
    <w:nsid w:val="39065811"/>
    <w:multiLevelType w:val="multilevel"/>
    <w:tmpl w:val="39065811"/>
    <w:lvl w:ilvl="0" w:tentative="0">
      <w:start w:val="1"/>
      <w:numFmt w:val="chineseCountingThousand"/>
      <w:pStyle w:val="446"/>
      <w:lvlText w:val="(%1)"/>
      <w:lvlJc w:val="left"/>
      <w:pPr>
        <w:tabs>
          <w:tab w:val="left" w:pos="840"/>
        </w:tabs>
        <w:ind w:left="840" w:hanging="420"/>
      </w:p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8">
    <w:nsid w:val="3B9A336B"/>
    <w:multiLevelType w:val="multilevel"/>
    <w:tmpl w:val="3B9A336B"/>
    <w:lvl w:ilvl="0" w:tentative="0">
      <w:start w:val="1"/>
      <w:numFmt w:val="bullet"/>
      <w:pStyle w:val="299"/>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29">
    <w:nsid w:val="3E5B72AD"/>
    <w:multiLevelType w:val="multilevel"/>
    <w:tmpl w:val="3E5B72AD"/>
    <w:lvl w:ilvl="0" w:tentative="0">
      <w:start w:val="1"/>
      <w:numFmt w:val="decimal"/>
      <w:pStyle w:val="588"/>
      <w:suff w:val="space"/>
      <w:lvlText w:val="第%1章"/>
      <w:lvlJc w:val="left"/>
      <w:pPr>
        <w:ind w:left="0" w:firstLine="0"/>
      </w:pPr>
      <w:rPr>
        <w:rFonts w:hint="default" w:ascii="Arial" w:hAnsi="Arial" w:cs="Times New Roman"/>
        <w:b w:val="0"/>
        <w:bCs w:val="0"/>
        <w:i w:val="0"/>
        <w:iCs w:val="0"/>
        <w:caps w:val="0"/>
        <w:smallCaps w:val="0"/>
        <w:strike w:val="0"/>
        <w:dstrike w:val="0"/>
        <w:snapToGrid w:val="0"/>
        <w:vanish w:val="0"/>
        <w:color w:val="000000"/>
        <w:spacing w:val="0"/>
        <w:w w:val="0"/>
        <w:kern w:val="0"/>
        <w:position w:val="0"/>
        <w:sz w:val="36"/>
        <w:szCs w:val="0"/>
        <w:u w:val="none"/>
        <w:vertAlign w:val="baseline"/>
      </w:rPr>
    </w:lvl>
    <w:lvl w:ilvl="1" w:tentative="0">
      <w:start w:val="1"/>
      <w:numFmt w:val="decimal"/>
      <w:pStyle w:val="589"/>
      <w:isLgl/>
      <w:suff w:val="space"/>
      <w:lvlText w:val="%1.%2."/>
      <w:lvlJc w:val="left"/>
      <w:pPr>
        <w:ind w:left="0" w:firstLine="0"/>
      </w:pPr>
      <w:rPr>
        <w:rFonts w:hint="default" w:ascii="Arial" w:hAnsi="Arial"/>
        <w:b/>
        <w:i w:val="0"/>
        <w:sz w:val="32"/>
      </w:rPr>
    </w:lvl>
    <w:lvl w:ilvl="2" w:tentative="0">
      <w:start w:val="1"/>
      <w:numFmt w:val="decimal"/>
      <w:pStyle w:val="591"/>
      <w:isLgl/>
      <w:suff w:val="space"/>
      <w:lvlText w:val="%1.%2.%3."/>
      <w:lvlJc w:val="left"/>
      <w:pPr>
        <w:ind w:left="0" w:firstLine="0"/>
      </w:pPr>
      <w:rPr>
        <w:rFonts w:hint="default" w:cs="Times New Roman" w:asciiTheme="majorEastAsia" w:hAnsiTheme="majorEastAsia" w:eastAsiaTheme="majorEastAsia"/>
        <w:b/>
        <w:bCs w:val="0"/>
        <w:i w:val="0"/>
        <w:iCs w:val="0"/>
        <w:caps w:val="0"/>
        <w:smallCaps w:val="0"/>
        <w:strike w:val="0"/>
        <w:dstrike w:val="0"/>
        <w:snapToGrid w:val="0"/>
        <w:vanish w:val="0"/>
        <w:color w:val="000000"/>
        <w:spacing w:val="0"/>
        <w:w w:val="0"/>
        <w:kern w:val="0"/>
        <w:position w:val="0"/>
        <w:sz w:val="30"/>
        <w:szCs w:val="0"/>
        <w:u w:val="none"/>
        <w:vertAlign w:val="baseline"/>
      </w:rPr>
    </w:lvl>
    <w:lvl w:ilvl="3" w:tentative="0">
      <w:start w:val="1"/>
      <w:numFmt w:val="decimal"/>
      <w:pStyle w:val="590"/>
      <w:isLgl/>
      <w:suff w:val="space"/>
      <w:lvlText w:val="%1.%2.%3.%4."/>
      <w:lvlJc w:val="left"/>
      <w:pPr>
        <w:ind w:left="540" w:firstLine="0"/>
      </w:pPr>
      <w:rPr>
        <w:rFonts w:hint="default" w:asciiTheme="majorEastAsia" w:hAnsiTheme="majorEastAsia" w:eastAsiaTheme="majorEastAsia"/>
        <w:b/>
        <w:i w:val="0"/>
        <w:sz w:val="24"/>
        <w:szCs w:val="24"/>
      </w:rPr>
    </w:lvl>
    <w:lvl w:ilvl="4" w:tentative="0">
      <w:start w:val="1"/>
      <w:numFmt w:val="decimal"/>
      <w:lvlText w:val="%5."/>
      <w:lvlJc w:val="left"/>
      <w:pPr>
        <w:ind w:left="993" w:firstLine="0"/>
      </w:pPr>
      <w:rPr>
        <w:rFonts w:hint="eastAsia"/>
        <w:b/>
        <w:i w:val="0"/>
        <w:sz w:val="24"/>
      </w:rPr>
    </w:lvl>
    <w:lvl w:ilvl="5" w:tentative="0">
      <w:start w:val="1"/>
      <w:numFmt w:val="decimal"/>
      <w:lvlText w:val="%6)"/>
      <w:lvlJc w:val="left"/>
      <w:pPr>
        <w:ind w:left="6080" w:hanging="4820"/>
      </w:pPr>
      <w:rPr>
        <w:rFonts w:hint="default"/>
        <w:b w:val="0"/>
        <w:bCs w:val="0"/>
        <w:i w:val="0"/>
        <w:iCs w:val="0"/>
        <w:caps w:val="0"/>
        <w:smallCaps w:val="0"/>
        <w:strike w:val="0"/>
        <w:dstrike w:val="0"/>
        <w:snapToGrid w:val="0"/>
        <w:vanish w:val="0"/>
        <w:color w:val="000000"/>
        <w:spacing w:val="0"/>
        <w:w w:val="0"/>
        <w:kern w:val="0"/>
        <w:position w:val="0"/>
        <w:szCs w:val="0"/>
        <w:u w:val="none"/>
        <w:vertAlign w:val="baseline"/>
      </w:rPr>
    </w:lvl>
    <w:lvl w:ilvl="6" w:tentative="0">
      <w:start w:val="1"/>
      <w:numFmt w:val="decimal"/>
      <w:lvlText w:val="%1.%2.%3.%4.%5.%6.%7."/>
      <w:lvlJc w:val="left"/>
      <w:pPr>
        <w:tabs>
          <w:tab w:val="left" w:pos="1276"/>
        </w:tabs>
        <w:ind w:left="1276" w:hanging="1276"/>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0">
    <w:nsid w:val="3F46156F"/>
    <w:multiLevelType w:val="multilevel"/>
    <w:tmpl w:val="3F46156F"/>
    <w:lvl w:ilvl="0" w:tentative="0">
      <w:start w:val="1"/>
      <w:numFmt w:val="bullet"/>
      <w:pStyle w:val="427"/>
      <w:lvlText w:val=""/>
      <w:lvlJc w:val="left"/>
      <w:pPr>
        <w:ind w:left="828" w:hanging="420"/>
      </w:pPr>
      <w:rPr>
        <w:rFonts w:hint="default" w:ascii="Wingdings" w:hAnsi="Wingdings"/>
      </w:rPr>
    </w:lvl>
    <w:lvl w:ilvl="1" w:tentative="0">
      <w:start w:val="1"/>
      <w:numFmt w:val="bullet"/>
      <w:lvlText w:val=""/>
      <w:lvlJc w:val="left"/>
      <w:pPr>
        <w:ind w:left="1248" w:hanging="420"/>
      </w:pPr>
      <w:rPr>
        <w:rFonts w:hint="default" w:ascii="Wingdings" w:hAnsi="Wingdings"/>
      </w:rPr>
    </w:lvl>
    <w:lvl w:ilvl="2" w:tentative="0">
      <w:start w:val="1"/>
      <w:numFmt w:val="bullet"/>
      <w:lvlText w:val=""/>
      <w:lvlJc w:val="left"/>
      <w:pPr>
        <w:ind w:left="1668" w:hanging="420"/>
      </w:pPr>
      <w:rPr>
        <w:rFonts w:hint="default" w:ascii="Wingdings" w:hAnsi="Wingdings"/>
      </w:rPr>
    </w:lvl>
    <w:lvl w:ilvl="3" w:tentative="0">
      <w:start w:val="1"/>
      <w:numFmt w:val="bullet"/>
      <w:lvlText w:val=""/>
      <w:lvlJc w:val="left"/>
      <w:pPr>
        <w:ind w:left="2088" w:hanging="420"/>
      </w:pPr>
      <w:rPr>
        <w:rFonts w:hint="default" w:ascii="Wingdings" w:hAnsi="Wingdings"/>
      </w:rPr>
    </w:lvl>
    <w:lvl w:ilvl="4" w:tentative="0">
      <w:start w:val="1"/>
      <w:numFmt w:val="bullet"/>
      <w:lvlText w:val=""/>
      <w:lvlJc w:val="left"/>
      <w:pPr>
        <w:ind w:left="2508" w:hanging="420"/>
      </w:pPr>
      <w:rPr>
        <w:rFonts w:hint="default" w:ascii="Wingdings" w:hAnsi="Wingdings"/>
      </w:rPr>
    </w:lvl>
    <w:lvl w:ilvl="5" w:tentative="0">
      <w:start w:val="1"/>
      <w:numFmt w:val="bullet"/>
      <w:lvlText w:val=""/>
      <w:lvlJc w:val="left"/>
      <w:pPr>
        <w:ind w:left="2928" w:hanging="420"/>
      </w:pPr>
      <w:rPr>
        <w:rFonts w:hint="default" w:ascii="Wingdings" w:hAnsi="Wingdings"/>
      </w:rPr>
    </w:lvl>
    <w:lvl w:ilvl="6" w:tentative="0">
      <w:start w:val="1"/>
      <w:numFmt w:val="bullet"/>
      <w:lvlText w:val=""/>
      <w:lvlJc w:val="left"/>
      <w:pPr>
        <w:ind w:left="3348" w:hanging="420"/>
      </w:pPr>
      <w:rPr>
        <w:rFonts w:hint="default" w:ascii="Wingdings" w:hAnsi="Wingdings"/>
      </w:rPr>
    </w:lvl>
    <w:lvl w:ilvl="7" w:tentative="0">
      <w:start w:val="1"/>
      <w:numFmt w:val="bullet"/>
      <w:lvlText w:val=""/>
      <w:lvlJc w:val="left"/>
      <w:pPr>
        <w:ind w:left="3768" w:hanging="420"/>
      </w:pPr>
      <w:rPr>
        <w:rFonts w:hint="default" w:ascii="Wingdings" w:hAnsi="Wingdings"/>
      </w:rPr>
    </w:lvl>
    <w:lvl w:ilvl="8" w:tentative="0">
      <w:start w:val="1"/>
      <w:numFmt w:val="bullet"/>
      <w:lvlText w:val=""/>
      <w:lvlJc w:val="left"/>
      <w:pPr>
        <w:ind w:left="4188" w:hanging="420"/>
      </w:pPr>
      <w:rPr>
        <w:rFonts w:hint="default" w:ascii="Wingdings" w:hAnsi="Wingdings"/>
      </w:rPr>
    </w:lvl>
  </w:abstractNum>
  <w:abstractNum w:abstractNumId="31">
    <w:nsid w:val="40559B8E"/>
    <w:multiLevelType w:val="multilevel"/>
    <w:tmpl w:val="40559B8E"/>
    <w:lvl w:ilvl="0" w:tentative="0">
      <w:start w:val="0"/>
      <w:numFmt w:val="decimal"/>
      <w:pStyle w:val="676"/>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32">
    <w:nsid w:val="45422F9F"/>
    <w:multiLevelType w:val="multilevel"/>
    <w:tmpl w:val="45422F9F"/>
    <w:lvl w:ilvl="0" w:tentative="0">
      <w:start w:val="1"/>
      <w:numFmt w:val="decimal"/>
      <w:pStyle w:val="638"/>
      <w:lvlText w:val="%1)"/>
      <w:lvlJc w:val="left"/>
      <w:pPr>
        <w:ind w:left="420" w:hanging="420"/>
      </w:pPr>
    </w:lvl>
    <w:lvl w:ilvl="1" w:tentative="0">
      <w:start w:val="1"/>
      <w:numFmt w:val="decimal"/>
      <w:lvlText w:val="%2)"/>
      <w:lvlJc w:val="left"/>
      <w:pPr>
        <w:ind w:left="780" w:hanging="36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474D07AB"/>
    <w:multiLevelType w:val="multilevel"/>
    <w:tmpl w:val="474D07AB"/>
    <w:lvl w:ilvl="0" w:tentative="0">
      <w:start w:val="0"/>
      <w:numFmt w:val="decimal"/>
      <w:pStyle w:val="262"/>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4">
    <w:nsid w:val="47F37F83"/>
    <w:multiLevelType w:val="multilevel"/>
    <w:tmpl w:val="47F37F83"/>
    <w:lvl w:ilvl="0" w:tentative="0">
      <w:start w:val="1"/>
      <w:numFmt w:val="decimal"/>
      <w:suff w:val="space"/>
      <w:lvlText w:val="第 %1 章"/>
      <w:lvlJc w:val="center"/>
      <w:pPr>
        <w:ind w:left="0" w:firstLine="288"/>
      </w:pPr>
      <w:rPr>
        <w:rFonts w:hint="eastAsia" w:cs="Times New Roman"/>
        <w:b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1" w:tentative="0">
      <w:start w:val="1"/>
      <w:numFmt w:val="decimal"/>
      <w:isLgl/>
      <w:suff w:val="space"/>
      <w:lvlText w:val="%1.%2"/>
      <w:lvlJc w:val="left"/>
      <w:pPr>
        <w:ind w:left="2268" w:hanging="2268"/>
      </w:pPr>
      <w:rPr>
        <w:rFonts w:hint="eastAsia" w:ascii="Arial" w:hAnsi="Arial" w:eastAsia="黑体" w:cs="Times New Roman"/>
        <w:b w:val="0"/>
        <w:bCs w:val="0"/>
        <w:i w:val="0"/>
        <w:iCs w:val="0"/>
        <w:caps w:val="0"/>
        <w:smallCaps w:val="0"/>
        <w:strike w:val="0"/>
        <w:dstrike w:val="0"/>
        <w:vanish w:val="0"/>
        <w:color w:val="auto"/>
        <w:spacing w:val="0"/>
        <w:w w:val="100"/>
        <w:kern w:val="2"/>
        <w:position w:val="0"/>
        <w:sz w:val="36"/>
        <w:u w:val="none"/>
        <w:vertAlign w:val="baseline"/>
        <w14:shadow w14:blurRad="0" w14:dist="0" w14:dir="0" w14:sx="0" w14:sy="0" w14:kx="0" w14:ky="0" w14:algn="none">
          <w14:srgbClr w14:val="000000"/>
        </w14:shadow>
      </w:rPr>
    </w:lvl>
    <w:lvl w:ilvl="2" w:tentative="0">
      <w:start w:val="1"/>
      <w:numFmt w:val="decimal"/>
      <w:isLgl/>
      <w:suff w:val="space"/>
      <w:lvlText w:val="%1.%2.%3"/>
      <w:lvlJc w:val="left"/>
      <w:pPr>
        <w:ind w:left="2270" w:hanging="2270"/>
      </w:pPr>
      <w:rPr>
        <w:rFonts w:hint="eastAsia" w:cs="Times New Roman"/>
        <w:b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tentative="0">
      <w:start w:val="1"/>
      <w:numFmt w:val="decimal"/>
      <w:isLgl/>
      <w:suff w:val="space"/>
      <w:lvlText w:val="%1.%2.%3.%4"/>
      <w:lvlJc w:val="left"/>
      <w:pPr>
        <w:ind w:left="2268" w:hanging="2268"/>
      </w:pPr>
      <w:rPr>
        <w:rFonts w:hint="default" w:ascii="Arial" w:hAnsi="Arial" w:eastAsia="黑体"/>
        <w:b w:val="0"/>
        <w:i w:val="0"/>
        <w:sz w:val="30"/>
      </w:rPr>
    </w:lvl>
    <w:lvl w:ilvl="4" w:tentative="0">
      <w:start w:val="1"/>
      <w:numFmt w:val="decimal"/>
      <w:isLgl/>
      <w:suff w:val="space"/>
      <w:lvlText w:val="%1.%2.%3.%4.%5"/>
      <w:lvlJc w:val="left"/>
      <w:pPr>
        <w:ind w:left="2268" w:hanging="2268"/>
      </w:pPr>
      <w:rPr>
        <w:rFonts w:hint="default" w:ascii="Arial" w:hAnsi="Arial" w:eastAsia="黑体"/>
        <w:b w:val="0"/>
        <w:i w:val="0"/>
        <w:sz w:val="28"/>
      </w:rPr>
    </w:lvl>
    <w:lvl w:ilvl="5" w:tentative="0">
      <w:start w:val="1"/>
      <w:numFmt w:val="decimal"/>
      <w:isLgl/>
      <w:lvlText w:val="%1.%2.%3.%4.%5.%6"/>
      <w:lvlJc w:val="left"/>
      <w:pPr>
        <w:tabs>
          <w:tab w:val="left" w:pos="1992"/>
        </w:tabs>
        <w:ind w:left="2268" w:hanging="2268"/>
      </w:pPr>
      <w:rPr>
        <w:rFonts w:hint="eastAsia"/>
      </w:rPr>
    </w:lvl>
    <w:lvl w:ilvl="6" w:tentative="0">
      <w:start w:val="1"/>
      <w:numFmt w:val="decimal"/>
      <w:lvlText w:val="%1.%2.%3.%4.%5.%6.%7"/>
      <w:lvlJc w:val="left"/>
      <w:pPr>
        <w:tabs>
          <w:tab w:val="left" w:pos="2136"/>
        </w:tabs>
        <w:ind w:left="2136" w:hanging="1296"/>
      </w:pPr>
      <w:rPr>
        <w:rFonts w:hint="eastAsia"/>
      </w:rPr>
    </w:lvl>
    <w:lvl w:ilvl="7" w:tentative="0">
      <w:start w:val="1"/>
      <w:numFmt w:val="decimal"/>
      <w:pStyle w:val="231"/>
      <w:suff w:val="space"/>
      <w:lvlText w:val="%1.%2.%3.%4.%5.%6.%7.%8"/>
      <w:lvlJc w:val="left"/>
      <w:pPr>
        <w:ind w:left="2268" w:hanging="2268"/>
      </w:pPr>
      <w:rPr>
        <w:rFonts w:hint="eastAsia"/>
      </w:rPr>
    </w:lvl>
    <w:lvl w:ilvl="8" w:tentative="0">
      <w:start w:val="1"/>
      <w:numFmt w:val="decimal"/>
      <w:lvlText w:val="%1.%2.%3.%4.%5.%6.%7.%8.%9"/>
      <w:lvlJc w:val="left"/>
      <w:pPr>
        <w:tabs>
          <w:tab w:val="left" w:pos="2424"/>
        </w:tabs>
        <w:ind w:left="2424" w:hanging="1584"/>
      </w:pPr>
      <w:rPr>
        <w:rFonts w:hint="eastAsia"/>
      </w:rPr>
    </w:lvl>
  </w:abstractNum>
  <w:abstractNum w:abstractNumId="35">
    <w:nsid w:val="4BB47E97"/>
    <w:multiLevelType w:val="singleLevel"/>
    <w:tmpl w:val="4BB47E97"/>
    <w:lvl w:ilvl="0" w:tentative="0">
      <w:start w:val="1"/>
      <w:numFmt w:val="decimal"/>
      <w:pStyle w:val="623"/>
      <w:lvlText w:val="Table表%1 "/>
      <w:lvlJc w:val="left"/>
      <w:pPr>
        <w:tabs>
          <w:tab w:val="left" w:pos="2989"/>
        </w:tabs>
        <w:ind w:left="2269" w:firstLine="0"/>
      </w:pPr>
      <w:rPr>
        <w:rFonts w:hint="eastAsia"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abstractNum>
  <w:abstractNum w:abstractNumId="36">
    <w:nsid w:val="4CED56A4"/>
    <w:multiLevelType w:val="multilevel"/>
    <w:tmpl w:val="4CED56A4"/>
    <w:lvl w:ilvl="0" w:tentative="0">
      <w:start w:val="1"/>
      <w:numFmt w:val="bullet"/>
      <w:pStyle w:val="479"/>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7">
    <w:nsid w:val="4E37518A"/>
    <w:multiLevelType w:val="multilevel"/>
    <w:tmpl w:val="4E37518A"/>
    <w:lvl w:ilvl="0" w:tentative="0">
      <w:start w:val="1"/>
      <w:numFmt w:val="bullet"/>
      <w:pStyle w:val="608"/>
      <w:lvlText w:val=""/>
      <w:lvlJc w:val="left"/>
      <w:pPr>
        <w:tabs>
          <w:tab w:val="left" w:pos="1134"/>
        </w:tabs>
        <w:ind w:left="1134" w:hanging="510"/>
      </w:pPr>
      <w:rPr>
        <w:rFonts w:hint="default" w:ascii="Symbol" w:hAnsi="Symbol"/>
        <w:b/>
        <w:bCs w:val="0"/>
        <w:i w:val="0"/>
        <w:iCs w:val="0"/>
        <w:color w:val="auto"/>
        <w:sz w:val="20"/>
        <w:szCs w:val="20"/>
      </w:rPr>
    </w:lvl>
    <w:lvl w:ilvl="1" w:tentative="0">
      <w:start w:val="1"/>
      <w:numFmt w:val="bullet"/>
      <w:pStyle w:val="609"/>
      <w:lvlText w:val=""/>
      <w:lvlJc w:val="left"/>
      <w:pPr>
        <w:tabs>
          <w:tab w:val="left" w:pos="1418"/>
        </w:tabs>
        <w:ind w:left="1418" w:hanging="284"/>
      </w:pPr>
      <w:rPr>
        <w:rFonts w:hint="default" w:ascii="Wingdings" w:hAnsi="Wingdings"/>
        <w:b w:val="0"/>
        <w:bCs w:val="0"/>
        <w:i w:val="0"/>
        <w:iCs w:val="0"/>
        <w:color w:val="auto"/>
        <w:sz w:val="12"/>
        <w:szCs w:val="20"/>
      </w:rPr>
    </w:lvl>
    <w:lvl w:ilvl="2" w:tentative="0">
      <w:start w:val="1"/>
      <w:numFmt w:val="bullet"/>
      <w:pStyle w:val="610"/>
      <w:lvlText w:val=""/>
      <w:lvlJc w:val="left"/>
      <w:pPr>
        <w:tabs>
          <w:tab w:val="left" w:pos="1701"/>
        </w:tabs>
        <w:ind w:left="1701" w:hanging="283"/>
      </w:pPr>
      <w:rPr>
        <w:rFonts w:hint="default" w:ascii="Symbol" w:hAnsi="Symbol"/>
        <w:b w:val="0"/>
        <w:bCs w:val="0"/>
        <w:i w:val="0"/>
        <w:iCs w:val="0"/>
        <w:color w:val="auto"/>
        <w:sz w:val="20"/>
        <w:szCs w:val="20"/>
      </w:rPr>
    </w:lvl>
    <w:lvl w:ilvl="3" w:tentative="0">
      <w:start w:val="1"/>
      <w:numFmt w:val="bullet"/>
      <w:lvlRestart w:val="0"/>
      <w:pStyle w:val="611"/>
      <w:lvlText w:val=""/>
      <w:lvlJc w:val="left"/>
      <w:pPr>
        <w:tabs>
          <w:tab w:val="left" w:pos="284"/>
        </w:tabs>
        <w:ind w:left="284" w:hanging="284"/>
      </w:pPr>
      <w:rPr>
        <w:rFonts w:hint="default" w:ascii="Symbol" w:hAnsi="Symbol"/>
        <w:b w:val="0"/>
        <w:bCs w:val="0"/>
        <w:i w:val="0"/>
        <w:iCs w:val="0"/>
        <w:color w:val="auto"/>
        <w:sz w:val="20"/>
        <w:szCs w:val="20"/>
      </w:rPr>
    </w:lvl>
    <w:lvl w:ilvl="4" w:tentative="0">
      <w:start w:val="1"/>
      <w:numFmt w:val="bullet"/>
      <w:pStyle w:val="607"/>
      <w:lvlText w:val=""/>
      <w:lvlJc w:val="left"/>
      <w:pPr>
        <w:tabs>
          <w:tab w:val="left" w:pos="510"/>
        </w:tabs>
        <w:ind w:left="510" w:hanging="226"/>
      </w:pPr>
      <w:rPr>
        <w:rFonts w:hint="default" w:ascii="Wingdings" w:hAnsi="Wingdings"/>
        <w:b w:val="0"/>
        <w:bCs w:val="0"/>
        <w:i w:val="0"/>
        <w:iCs w:val="0"/>
        <w:color w:val="auto"/>
        <w:sz w:val="10"/>
        <w:szCs w:val="20"/>
      </w:rPr>
    </w:lvl>
    <w:lvl w:ilvl="5" w:tentative="0">
      <w:start w:val="1"/>
      <w:numFmt w:val="bullet"/>
      <w:lvlRestart w:val="0"/>
      <w:pStyle w:val="612"/>
      <w:lvlText w:val=""/>
      <w:lvlJc w:val="left"/>
      <w:pPr>
        <w:tabs>
          <w:tab w:val="left" w:pos="284"/>
        </w:tabs>
        <w:ind w:left="284" w:hanging="284"/>
      </w:pPr>
      <w:rPr>
        <w:rFonts w:hint="default" w:ascii="Symbol" w:hAnsi="Symbol"/>
        <w:color w:val="auto"/>
        <w:sz w:val="20"/>
        <w:szCs w:val="20"/>
      </w:rPr>
    </w:lvl>
    <w:lvl w:ilvl="6" w:tentative="0">
      <w:start w:val="1"/>
      <w:numFmt w:val="none"/>
      <w:lvlText w:val="%7"/>
      <w:lvlJc w:val="left"/>
      <w:pPr>
        <w:tabs>
          <w:tab w:val="left" w:pos="323"/>
        </w:tabs>
        <w:ind w:left="323" w:firstLine="920"/>
      </w:pPr>
      <w:rPr>
        <w:rFonts w:hint="default"/>
        <w:color w:val="auto"/>
      </w:rPr>
    </w:lvl>
    <w:lvl w:ilvl="7" w:tentative="0">
      <w:start w:val="1"/>
      <w:numFmt w:val="none"/>
      <w:lvlText w:val="%8"/>
      <w:lvlJc w:val="left"/>
      <w:pPr>
        <w:tabs>
          <w:tab w:val="left" w:pos="323"/>
        </w:tabs>
        <w:ind w:left="323" w:firstLine="920"/>
      </w:pPr>
      <w:rPr>
        <w:rFonts w:hint="default"/>
      </w:rPr>
    </w:lvl>
    <w:lvl w:ilvl="8" w:tentative="0">
      <w:start w:val="1"/>
      <w:numFmt w:val="none"/>
      <w:lvlText w:val="%9"/>
      <w:lvlJc w:val="left"/>
      <w:pPr>
        <w:tabs>
          <w:tab w:val="left" w:pos="323"/>
        </w:tabs>
        <w:ind w:left="323" w:firstLine="920"/>
      </w:pPr>
      <w:rPr>
        <w:rFonts w:hint="default"/>
      </w:rPr>
    </w:lvl>
  </w:abstractNum>
  <w:abstractNum w:abstractNumId="38">
    <w:nsid w:val="55FE28E9"/>
    <w:multiLevelType w:val="singleLevel"/>
    <w:tmpl w:val="55FE28E9"/>
    <w:lvl w:ilvl="0" w:tentative="0">
      <w:start w:val="1"/>
      <w:numFmt w:val="bullet"/>
      <w:pStyle w:val="333"/>
      <w:lvlText w:val=""/>
      <w:lvlJc w:val="left"/>
      <w:pPr>
        <w:tabs>
          <w:tab w:val="left" w:pos="964"/>
        </w:tabs>
        <w:ind w:left="964" w:hanging="397"/>
      </w:pPr>
      <w:rPr>
        <w:rFonts w:hint="default" w:ascii="Wingdings" w:hAnsi="Wingdings"/>
        <w:sz w:val="21"/>
      </w:rPr>
    </w:lvl>
  </w:abstractNum>
  <w:abstractNum w:abstractNumId="39">
    <w:nsid w:val="57691995"/>
    <w:multiLevelType w:val="multilevel"/>
    <w:tmpl w:val="57691995"/>
    <w:lvl w:ilvl="0" w:tentative="0">
      <w:start w:val="1"/>
      <w:numFmt w:val="decimal"/>
      <w:pStyle w:val="710"/>
      <w:suff w:val="nothing"/>
      <w:lvlText w:val="%1、"/>
      <w:lvlJc w:val="left"/>
      <w:pPr>
        <w:ind w:left="0" w:firstLine="0"/>
      </w:pPr>
      <w:rPr>
        <w:rFonts w:hint="eastAsia" w:ascii="仿宋" w:hAnsi="仿宋" w:eastAsia="仿宋"/>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0">
    <w:nsid w:val="58F0373A"/>
    <w:multiLevelType w:val="multilevel"/>
    <w:tmpl w:val="58F0373A"/>
    <w:lvl w:ilvl="0" w:tentative="0">
      <w:start w:val="1"/>
      <w:numFmt w:val="bullet"/>
      <w:pStyle w:val="560"/>
      <w:lvlText w:val=""/>
      <w:lvlJc w:val="left"/>
      <w:pPr>
        <w:ind w:left="1440" w:hanging="360"/>
      </w:pPr>
      <w:rPr>
        <w:rFonts w:hint="default" w:ascii="Wingdings" w:hAnsi="Wingdings"/>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abstractNum w:abstractNumId="41">
    <w:nsid w:val="5D9410F0"/>
    <w:multiLevelType w:val="singleLevel"/>
    <w:tmpl w:val="5D9410F0"/>
    <w:lvl w:ilvl="0" w:tentative="0">
      <w:start w:val="6"/>
      <w:numFmt w:val="chineseCounting"/>
      <w:suff w:val="nothing"/>
      <w:lvlText w:val="%1、"/>
      <w:lvlJc w:val="left"/>
      <w:rPr>
        <w:rFonts w:hint="eastAsia"/>
      </w:rPr>
    </w:lvl>
  </w:abstractNum>
  <w:abstractNum w:abstractNumId="42">
    <w:nsid w:val="66410E74"/>
    <w:multiLevelType w:val="multilevel"/>
    <w:tmpl w:val="66410E74"/>
    <w:lvl w:ilvl="0" w:tentative="0">
      <w:start w:val="1"/>
      <w:numFmt w:val="decimal"/>
      <w:suff w:val="space"/>
      <w:lvlText w:val="第 %1 章"/>
      <w:lvlJc w:val="center"/>
      <w:pPr>
        <w:ind w:left="0" w:firstLine="288"/>
      </w:pPr>
      <w:rPr>
        <w:rFonts w:hint="default" w:ascii="Times New Roman" w:hAnsi="Times New Roman" w:eastAsia="黑体"/>
        <w:b w:val="0"/>
        <w:i w:val="0"/>
        <w:sz w:val="44"/>
      </w:rPr>
    </w:lvl>
    <w:lvl w:ilvl="1" w:tentative="0">
      <w:start w:val="1"/>
      <w:numFmt w:val="decimal"/>
      <w:isLgl/>
      <w:suff w:val="space"/>
      <w:lvlText w:val="%1.%2"/>
      <w:lvlJc w:val="left"/>
      <w:pPr>
        <w:ind w:left="2268" w:hanging="2268"/>
      </w:pPr>
      <w:rPr>
        <w:rFonts w:hint="eastAsia" w:ascii="Arial" w:hAnsi="Arial" w:eastAsia="黑体" w:cs="Times New Roman"/>
        <w:b w:val="0"/>
        <w:bCs w:val="0"/>
        <w:i w:val="0"/>
        <w:iCs w:val="0"/>
        <w:caps w:val="0"/>
        <w:smallCaps w:val="0"/>
        <w:strike w:val="0"/>
        <w:dstrike w:val="0"/>
        <w:vanish w:val="0"/>
        <w:color w:val="auto"/>
        <w:spacing w:val="0"/>
        <w:w w:val="100"/>
        <w:kern w:val="2"/>
        <w:position w:val="0"/>
        <w:sz w:val="36"/>
        <w:u w:val="none"/>
        <w:shd w:val="clear" w:color="auto" w:fill="auto"/>
        <w:vertAlign w:val="baseline"/>
        <w14:shadow w14:blurRad="0" w14:dist="0" w14:dir="0" w14:sx="0" w14:sy="0" w14:kx="0" w14:ky="0" w14:algn="none">
          <w14:srgbClr w14:val="000000"/>
        </w14:shadow>
      </w:rPr>
    </w:lvl>
    <w:lvl w:ilvl="2" w:tentative="0">
      <w:start w:val="1"/>
      <w:numFmt w:val="decimal"/>
      <w:isLgl/>
      <w:suff w:val="space"/>
      <w:lvlText w:val="%1.%2.%3"/>
      <w:lvlJc w:val="left"/>
      <w:pPr>
        <w:ind w:left="2270" w:hanging="2270"/>
      </w:pPr>
      <w:rPr>
        <w:rFonts w:hint="eastAsia"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rPr>
    </w:lvl>
    <w:lvl w:ilvl="3" w:tentative="0">
      <w:start w:val="1"/>
      <w:numFmt w:val="decimal"/>
      <w:isLgl/>
      <w:suff w:val="space"/>
      <w:lvlText w:val="%1.%2.%3.%4"/>
      <w:lvlJc w:val="left"/>
      <w:pPr>
        <w:ind w:left="2268" w:hanging="2268"/>
      </w:pPr>
      <w:rPr>
        <w:rFonts w:hint="default" w:ascii="Arial" w:hAnsi="Arial" w:eastAsia="黑体"/>
        <w:b w:val="0"/>
        <w:i w:val="0"/>
        <w:sz w:val="30"/>
      </w:rPr>
    </w:lvl>
    <w:lvl w:ilvl="4" w:tentative="0">
      <w:start w:val="1"/>
      <w:numFmt w:val="decimal"/>
      <w:isLgl/>
      <w:suff w:val="space"/>
      <w:lvlText w:val="%1.%2.%3.%4.%5"/>
      <w:lvlJc w:val="left"/>
      <w:pPr>
        <w:ind w:left="2268" w:hanging="2268"/>
      </w:pPr>
      <w:rPr>
        <w:rFonts w:hint="default" w:ascii="Arial" w:hAnsi="Arial" w:eastAsia="黑体"/>
        <w:b w:val="0"/>
        <w:i w:val="0"/>
        <w:sz w:val="28"/>
      </w:rPr>
    </w:lvl>
    <w:lvl w:ilvl="5" w:tentative="0">
      <w:start w:val="1"/>
      <w:numFmt w:val="decimal"/>
      <w:isLgl/>
      <w:lvlText w:val="%1.%2.%3.%4.%5.%6"/>
      <w:lvlJc w:val="left"/>
      <w:pPr>
        <w:tabs>
          <w:tab w:val="left" w:pos="1992"/>
        </w:tabs>
        <w:ind w:left="2268" w:hanging="2268"/>
      </w:pPr>
      <w:rPr>
        <w:rFonts w:hint="eastAsia"/>
      </w:rPr>
    </w:lvl>
    <w:lvl w:ilvl="6" w:tentative="0">
      <w:start w:val="1"/>
      <w:numFmt w:val="decimal"/>
      <w:pStyle w:val="230"/>
      <w:suff w:val="space"/>
      <w:lvlText w:val="%1.%2.%3.%4.%5.%6.%7"/>
      <w:lvlJc w:val="left"/>
      <w:pPr>
        <w:ind w:left="2268" w:hanging="2268"/>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7" w:tentative="0">
      <w:start w:val="1"/>
      <w:numFmt w:val="decimal"/>
      <w:lvlText w:val="%1.%2.%3.%4.%5.%6.%7.%8"/>
      <w:lvlJc w:val="left"/>
      <w:pPr>
        <w:tabs>
          <w:tab w:val="left" w:pos="2280"/>
        </w:tabs>
        <w:ind w:left="2280" w:hanging="1440"/>
      </w:pPr>
      <w:rPr>
        <w:rFonts w:hint="eastAsia"/>
      </w:rPr>
    </w:lvl>
    <w:lvl w:ilvl="8" w:tentative="0">
      <w:start w:val="1"/>
      <w:numFmt w:val="decimal"/>
      <w:lvlText w:val="%1.%2.%3.%4.%5.%6.%7.%8.%9"/>
      <w:lvlJc w:val="left"/>
      <w:pPr>
        <w:tabs>
          <w:tab w:val="left" w:pos="2424"/>
        </w:tabs>
        <w:ind w:left="2424" w:hanging="1584"/>
      </w:pPr>
      <w:rPr>
        <w:rFonts w:hint="eastAsia"/>
      </w:rPr>
    </w:lvl>
  </w:abstractNum>
  <w:abstractNum w:abstractNumId="43">
    <w:nsid w:val="666A3C28"/>
    <w:multiLevelType w:val="multilevel"/>
    <w:tmpl w:val="666A3C28"/>
    <w:lvl w:ilvl="0" w:tentative="0">
      <w:start w:val="1"/>
      <w:numFmt w:val="decimal"/>
      <w:pStyle w:val="492"/>
      <w:lvlText w:val="%1."/>
      <w:lvlJc w:val="left"/>
      <w:pPr>
        <w:tabs>
          <w:tab w:val="left" w:pos="1560"/>
        </w:tabs>
        <w:ind w:left="1560" w:hanging="360"/>
      </w:pPr>
    </w:lvl>
    <w:lvl w:ilvl="1" w:tentative="0">
      <w:start w:val="1"/>
      <w:numFmt w:val="lowerLetter"/>
      <w:lvlText w:val="%2."/>
      <w:lvlJc w:val="left"/>
      <w:pPr>
        <w:tabs>
          <w:tab w:val="left" w:pos="2280"/>
        </w:tabs>
        <w:ind w:left="2280" w:hanging="360"/>
      </w:pPr>
    </w:lvl>
    <w:lvl w:ilvl="2" w:tentative="0">
      <w:start w:val="1"/>
      <w:numFmt w:val="lowerRoman"/>
      <w:lvlText w:val="%3."/>
      <w:lvlJc w:val="right"/>
      <w:pPr>
        <w:tabs>
          <w:tab w:val="left" w:pos="3000"/>
        </w:tabs>
        <w:ind w:left="3000" w:hanging="180"/>
      </w:pPr>
    </w:lvl>
    <w:lvl w:ilvl="3" w:tentative="0">
      <w:start w:val="1"/>
      <w:numFmt w:val="decimal"/>
      <w:lvlText w:val="%4."/>
      <w:lvlJc w:val="left"/>
      <w:pPr>
        <w:tabs>
          <w:tab w:val="left" w:pos="3720"/>
        </w:tabs>
        <w:ind w:left="3720" w:hanging="360"/>
      </w:pPr>
    </w:lvl>
    <w:lvl w:ilvl="4" w:tentative="0">
      <w:start w:val="1"/>
      <w:numFmt w:val="lowerLetter"/>
      <w:lvlText w:val="%5."/>
      <w:lvlJc w:val="left"/>
      <w:pPr>
        <w:tabs>
          <w:tab w:val="left" w:pos="4440"/>
        </w:tabs>
        <w:ind w:left="4440" w:hanging="360"/>
      </w:pPr>
    </w:lvl>
    <w:lvl w:ilvl="5" w:tentative="0">
      <w:start w:val="1"/>
      <w:numFmt w:val="lowerRoman"/>
      <w:lvlText w:val="%6."/>
      <w:lvlJc w:val="right"/>
      <w:pPr>
        <w:tabs>
          <w:tab w:val="left" w:pos="5160"/>
        </w:tabs>
        <w:ind w:left="5160" w:hanging="180"/>
      </w:pPr>
    </w:lvl>
    <w:lvl w:ilvl="6" w:tentative="0">
      <w:start w:val="1"/>
      <w:numFmt w:val="decimal"/>
      <w:lvlText w:val="%7."/>
      <w:lvlJc w:val="left"/>
      <w:pPr>
        <w:tabs>
          <w:tab w:val="left" w:pos="5880"/>
        </w:tabs>
        <w:ind w:left="5880" w:hanging="360"/>
      </w:pPr>
    </w:lvl>
    <w:lvl w:ilvl="7" w:tentative="0">
      <w:start w:val="1"/>
      <w:numFmt w:val="lowerLetter"/>
      <w:lvlText w:val="%8."/>
      <w:lvlJc w:val="left"/>
      <w:pPr>
        <w:tabs>
          <w:tab w:val="left" w:pos="6600"/>
        </w:tabs>
        <w:ind w:left="6600" w:hanging="360"/>
      </w:pPr>
    </w:lvl>
    <w:lvl w:ilvl="8" w:tentative="0">
      <w:start w:val="1"/>
      <w:numFmt w:val="lowerRoman"/>
      <w:lvlText w:val="%9."/>
      <w:lvlJc w:val="right"/>
      <w:pPr>
        <w:tabs>
          <w:tab w:val="left" w:pos="7320"/>
        </w:tabs>
        <w:ind w:left="7320" w:hanging="180"/>
      </w:pPr>
    </w:lvl>
  </w:abstractNum>
  <w:abstractNum w:abstractNumId="44">
    <w:nsid w:val="6A4D50DB"/>
    <w:multiLevelType w:val="multilevel"/>
    <w:tmpl w:val="6A4D50DB"/>
    <w:lvl w:ilvl="0" w:tentative="0">
      <w:start w:val="1"/>
      <w:numFmt w:val="decimal"/>
      <w:pStyle w:val="660"/>
      <w:lvlText w:val="表%1."/>
      <w:lvlJc w:val="left"/>
      <w:pPr>
        <w:ind w:left="382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6B8F1384"/>
    <w:multiLevelType w:val="multilevel"/>
    <w:tmpl w:val="6B8F1384"/>
    <w:lvl w:ilvl="0" w:tentative="0">
      <w:start w:val="1"/>
      <w:numFmt w:val="bullet"/>
      <w:pStyle w:val="25"/>
      <w:lvlText w:val=""/>
      <w:lvlJc w:val="left"/>
      <w:pPr>
        <w:tabs>
          <w:tab w:val="left" w:pos="624"/>
        </w:tabs>
        <w:ind w:left="624" w:hanging="397"/>
      </w:pPr>
      <w:rPr>
        <w:rFonts w:hint="default" w:ascii="Symbol" w:hAnsi="Symbol"/>
        <w:sz w:val="20"/>
      </w:rPr>
    </w:lvl>
    <w:lvl w:ilvl="1" w:tentative="0">
      <w:start w:val="1"/>
      <w:numFmt w:val="bullet"/>
      <w:lvlText w:val=""/>
      <w:lvlJc w:val="left"/>
      <w:pPr>
        <w:tabs>
          <w:tab w:val="left" w:pos="2160"/>
        </w:tabs>
        <w:ind w:left="2160" w:hanging="420"/>
      </w:pPr>
      <w:rPr>
        <w:rFonts w:hint="default" w:ascii="Wingdings" w:hAnsi="Wingdings"/>
      </w:rPr>
    </w:lvl>
    <w:lvl w:ilvl="2" w:tentative="0">
      <w:start w:val="1"/>
      <w:numFmt w:val="bullet"/>
      <w:lvlText w:val=""/>
      <w:lvlJc w:val="left"/>
      <w:pPr>
        <w:tabs>
          <w:tab w:val="left" w:pos="2580"/>
        </w:tabs>
        <w:ind w:left="2580" w:hanging="420"/>
      </w:pPr>
      <w:rPr>
        <w:rFonts w:hint="default" w:ascii="Wingdings" w:hAnsi="Wingdings"/>
      </w:rPr>
    </w:lvl>
    <w:lvl w:ilvl="3" w:tentative="0">
      <w:start w:val="1"/>
      <w:numFmt w:val="bullet"/>
      <w:lvlText w:val=""/>
      <w:lvlJc w:val="left"/>
      <w:pPr>
        <w:tabs>
          <w:tab w:val="left" w:pos="3000"/>
        </w:tabs>
        <w:ind w:left="3000" w:hanging="420"/>
      </w:pPr>
      <w:rPr>
        <w:rFonts w:hint="default" w:ascii="Wingdings" w:hAnsi="Wingdings"/>
      </w:rPr>
    </w:lvl>
    <w:lvl w:ilvl="4" w:tentative="0">
      <w:start w:val="1"/>
      <w:numFmt w:val="bullet"/>
      <w:lvlText w:val=""/>
      <w:lvlJc w:val="left"/>
      <w:pPr>
        <w:tabs>
          <w:tab w:val="left" w:pos="3420"/>
        </w:tabs>
        <w:ind w:left="3420" w:hanging="420"/>
      </w:pPr>
      <w:rPr>
        <w:rFonts w:hint="default" w:ascii="Wingdings" w:hAnsi="Wingdings"/>
      </w:rPr>
    </w:lvl>
    <w:lvl w:ilvl="5" w:tentative="0">
      <w:start w:val="1"/>
      <w:numFmt w:val="bullet"/>
      <w:lvlText w:val=""/>
      <w:lvlJc w:val="left"/>
      <w:pPr>
        <w:tabs>
          <w:tab w:val="left" w:pos="3840"/>
        </w:tabs>
        <w:ind w:left="3840" w:hanging="420"/>
      </w:pPr>
      <w:rPr>
        <w:rFonts w:hint="default" w:ascii="Wingdings" w:hAnsi="Wingdings"/>
      </w:rPr>
    </w:lvl>
    <w:lvl w:ilvl="6" w:tentative="0">
      <w:start w:val="1"/>
      <w:numFmt w:val="bullet"/>
      <w:lvlText w:val=""/>
      <w:lvlJc w:val="left"/>
      <w:pPr>
        <w:tabs>
          <w:tab w:val="left" w:pos="4260"/>
        </w:tabs>
        <w:ind w:left="4260" w:hanging="420"/>
      </w:pPr>
      <w:rPr>
        <w:rFonts w:hint="default" w:ascii="Wingdings" w:hAnsi="Wingdings"/>
      </w:rPr>
    </w:lvl>
    <w:lvl w:ilvl="7" w:tentative="0">
      <w:start w:val="1"/>
      <w:numFmt w:val="bullet"/>
      <w:lvlText w:val=""/>
      <w:lvlJc w:val="left"/>
      <w:pPr>
        <w:tabs>
          <w:tab w:val="left" w:pos="4680"/>
        </w:tabs>
        <w:ind w:left="4680" w:hanging="420"/>
      </w:pPr>
      <w:rPr>
        <w:rFonts w:hint="default" w:ascii="Wingdings" w:hAnsi="Wingdings"/>
      </w:rPr>
    </w:lvl>
    <w:lvl w:ilvl="8" w:tentative="0">
      <w:start w:val="1"/>
      <w:numFmt w:val="bullet"/>
      <w:lvlText w:val=""/>
      <w:lvlJc w:val="left"/>
      <w:pPr>
        <w:tabs>
          <w:tab w:val="left" w:pos="5100"/>
        </w:tabs>
        <w:ind w:left="5100" w:hanging="420"/>
      </w:pPr>
      <w:rPr>
        <w:rFonts w:hint="default" w:ascii="Wingdings" w:hAnsi="Wingdings"/>
      </w:rPr>
    </w:lvl>
  </w:abstractNum>
  <w:abstractNum w:abstractNumId="46">
    <w:nsid w:val="6D2504CA"/>
    <w:multiLevelType w:val="multilevel"/>
    <w:tmpl w:val="6D2504CA"/>
    <w:lvl w:ilvl="0" w:tentative="0">
      <w:start w:val="1"/>
      <w:numFmt w:val="bullet"/>
      <w:lvlText w:val=""/>
      <w:lvlJc w:val="left"/>
      <w:pPr>
        <w:ind w:left="420" w:hanging="420"/>
      </w:pPr>
      <w:rPr>
        <w:rFonts w:hint="default" w:ascii="Wingdings" w:hAnsi="Wingdings"/>
      </w:rPr>
    </w:lvl>
    <w:lvl w:ilvl="1" w:tentative="0">
      <w:start w:val="1"/>
      <w:numFmt w:val="bullet"/>
      <w:pStyle w:val="4"/>
      <w:lvlText w:val=""/>
      <w:lvlJc w:val="left"/>
      <w:pPr>
        <w:ind w:left="1320" w:hanging="420"/>
      </w:pPr>
      <w:rPr>
        <w:rFonts w:hint="default" w:ascii="Wingdings" w:hAnsi="Wingdings"/>
      </w:rPr>
    </w:lvl>
    <w:lvl w:ilvl="2" w:tentative="0">
      <w:start w:val="1"/>
      <w:numFmt w:val="bullet"/>
      <w:pStyle w:val="5"/>
      <w:lvlText w:val=""/>
      <w:lvlJc w:val="left"/>
      <w:pPr>
        <w:ind w:left="1740" w:hanging="420"/>
      </w:pPr>
      <w:rPr>
        <w:rFonts w:hint="default" w:ascii="Wingdings" w:hAnsi="Wingdings"/>
      </w:rPr>
    </w:lvl>
    <w:lvl w:ilvl="3" w:tentative="0">
      <w:start w:val="1"/>
      <w:numFmt w:val="bullet"/>
      <w:pStyle w:val="6"/>
      <w:lvlText w:val=""/>
      <w:lvlJc w:val="left"/>
      <w:pPr>
        <w:ind w:left="2160" w:hanging="420"/>
      </w:pPr>
      <w:rPr>
        <w:rFonts w:hint="default" w:ascii="Wingdings" w:hAnsi="Wingdings"/>
      </w:rPr>
    </w:lvl>
    <w:lvl w:ilvl="4" w:tentative="0">
      <w:start w:val="1"/>
      <w:numFmt w:val="bullet"/>
      <w:pStyle w:val="7"/>
      <w:lvlText w:val=""/>
      <w:lvlJc w:val="left"/>
      <w:pPr>
        <w:ind w:left="2580" w:hanging="420"/>
      </w:pPr>
      <w:rPr>
        <w:rFonts w:hint="default" w:ascii="Wingdings" w:hAnsi="Wingdings"/>
      </w:rPr>
    </w:lvl>
    <w:lvl w:ilvl="5" w:tentative="0">
      <w:start w:val="1"/>
      <w:numFmt w:val="bullet"/>
      <w:pStyle w:val="8"/>
      <w:lvlText w:val=""/>
      <w:lvlJc w:val="left"/>
      <w:pPr>
        <w:ind w:left="3000" w:hanging="420"/>
      </w:pPr>
      <w:rPr>
        <w:rFonts w:hint="default" w:ascii="Wingdings" w:hAnsi="Wingdings"/>
      </w:rPr>
    </w:lvl>
    <w:lvl w:ilvl="6" w:tentative="0">
      <w:start w:val="1"/>
      <w:numFmt w:val="bullet"/>
      <w:pStyle w:val="9"/>
      <w:lvlText w:val=""/>
      <w:lvlJc w:val="left"/>
      <w:pPr>
        <w:ind w:left="3420" w:hanging="420"/>
      </w:pPr>
      <w:rPr>
        <w:rFonts w:hint="default" w:ascii="Wingdings" w:hAnsi="Wingdings"/>
      </w:rPr>
    </w:lvl>
    <w:lvl w:ilvl="7" w:tentative="0">
      <w:start w:val="1"/>
      <w:numFmt w:val="bullet"/>
      <w:pStyle w:val="10"/>
      <w:lvlText w:val=""/>
      <w:lvlJc w:val="left"/>
      <w:pPr>
        <w:ind w:left="3840" w:hanging="420"/>
      </w:pPr>
      <w:rPr>
        <w:rFonts w:hint="default" w:ascii="Wingdings" w:hAnsi="Wingdings"/>
      </w:rPr>
    </w:lvl>
    <w:lvl w:ilvl="8" w:tentative="0">
      <w:start w:val="1"/>
      <w:numFmt w:val="bullet"/>
      <w:pStyle w:val="11"/>
      <w:lvlText w:val=""/>
      <w:lvlJc w:val="left"/>
      <w:pPr>
        <w:ind w:left="4260" w:hanging="420"/>
      </w:pPr>
      <w:rPr>
        <w:rFonts w:hint="default" w:ascii="Wingdings" w:hAnsi="Wingdings"/>
      </w:rPr>
    </w:lvl>
  </w:abstractNum>
  <w:abstractNum w:abstractNumId="47">
    <w:nsid w:val="7CFB7EA5"/>
    <w:multiLevelType w:val="multilevel"/>
    <w:tmpl w:val="7CFB7EA5"/>
    <w:lvl w:ilvl="0" w:tentative="0">
      <w:start w:val="1"/>
      <w:numFmt w:val="decimal"/>
      <w:pStyle w:val="335"/>
      <w:lvlText w:val="%1)"/>
      <w:lvlJc w:val="left"/>
      <w:pPr>
        <w:tabs>
          <w:tab w:val="left" w:pos="794"/>
        </w:tabs>
        <w:ind w:left="794" w:hanging="39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6"/>
  </w:num>
  <w:num w:numId="2">
    <w:abstractNumId w:val="5"/>
  </w:num>
  <w:num w:numId="3">
    <w:abstractNumId w:val="45"/>
  </w:num>
  <w:num w:numId="4">
    <w:abstractNumId w:val="4"/>
  </w:num>
  <w:num w:numId="5">
    <w:abstractNumId w:val="2"/>
  </w:num>
  <w:num w:numId="6">
    <w:abstractNumId w:val="16"/>
  </w:num>
  <w:num w:numId="7">
    <w:abstractNumId w:val="1"/>
  </w:num>
  <w:num w:numId="8">
    <w:abstractNumId w:val="0"/>
  </w:num>
  <w:num w:numId="9">
    <w:abstractNumId w:val="18"/>
  </w:num>
  <w:num w:numId="10">
    <w:abstractNumId w:val="42"/>
  </w:num>
  <w:num w:numId="11">
    <w:abstractNumId w:val="34"/>
  </w:num>
  <w:num w:numId="12">
    <w:abstractNumId w:val="21"/>
  </w:num>
  <w:num w:numId="13">
    <w:abstractNumId w:val="33"/>
  </w:num>
  <w:num w:numId="14">
    <w:abstractNumId w:val="14"/>
  </w:num>
  <w:num w:numId="15">
    <w:abstractNumId w:val="12"/>
  </w:num>
  <w:num w:numId="16">
    <w:abstractNumId w:val="28"/>
  </w:num>
  <w:num w:numId="17">
    <w:abstractNumId w:val="38"/>
  </w:num>
  <w:num w:numId="18">
    <w:abstractNumId w:val="47"/>
  </w:num>
  <w:num w:numId="19">
    <w:abstractNumId w:val="30"/>
  </w:num>
  <w:num w:numId="20">
    <w:abstractNumId w:val="11"/>
  </w:num>
  <w:num w:numId="21">
    <w:abstractNumId w:val="27"/>
  </w:num>
  <w:num w:numId="22">
    <w:abstractNumId w:val="3"/>
  </w:num>
  <w:num w:numId="23">
    <w:abstractNumId w:val="26"/>
  </w:num>
  <w:num w:numId="24">
    <w:abstractNumId w:val="24"/>
  </w:num>
  <w:num w:numId="25">
    <w:abstractNumId w:val="19"/>
  </w:num>
  <w:num w:numId="26">
    <w:abstractNumId w:val="36"/>
  </w:num>
  <w:num w:numId="27">
    <w:abstractNumId w:val="43"/>
  </w:num>
  <w:num w:numId="28">
    <w:abstractNumId w:val="10"/>
  </w:num>
  <w:num w:numId="29">
    <w:abstractNumId w:val="23"/>
  </w:num>
  <w:num w:numId="30">
    <w:abstractNumId w:val="13"/>
  </w:num>
  <w:num w:numId="31">
    <w:abstractNumId w:val="40"/>
  </w:num>
  <w:num w:numId="32">
    <w:abstractNumId w:val="22"/>
  </w:num>
  <w:num w:numId="33">
    <w:abstractNumId w:val="25"/>
  </w:num>
  <w:num w:numId="34">
    <w:abstractNumId w:val="15"/>
  </w:num>
  <w:num w:numId="35">
    <w:abstractNumId w:val="29"/>
  </w:num>
  <w:num w:numId="36">
    <w:abstractNumId w:val="37"/>
  </w:num>
  <w:num w:numId="37">
    <w:abstractNumId w:val="35"/>
  </w:num>
  <w:num w:numId="3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
  </w:num>
  <w:num w:numId="40">
    <w:abstractNumId w:val="6"/>
  </w:num>
  <w:num w:numId="41">
    <w:abstractNumId w:val="8"/>
  </w:num>
  <w:num w:numId="42">
    <w:abstractNumId w:val="44"/>
  </w:num>
  <w:num w:numId="43">
    <w:abstractNumId w:val="9"/>
  </w:num>
  <w:num w:numId="44">
    <w:abstractNumId w:val="17"/>
  </w:num>
  <w:num w:numId="45">
    <w:abstractNumId w:val="31"/>
  </w:num>
  <w:num w:numId="46">
    <w:abstractNumId w:val="39"/>
  </w:num>
  <w:num w:numId="47">
    <w:abstractNumId w:val="41"/>
  </w:num>
  <w:num w:numId="4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210"/>
  <w:drawingGridVerticalSpacing w:val="16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867"/>
    <w:rsid w:val="00001361"/>
    <w:rsid w:val="00001F0B"/>
    <w:rsid w:val="00003569"/>
    <w:rsid w:val="00003990"/>
    <w:rsid w:val="00003C89"/>
    <w:rsid w:val="00004A37"/>
    <w:rsid w:val="00004E5F"/>
    <w:rsid w:val="000050AC"/>
    <w:rsid w:val="00005359"/>
    <w:rsid w:val="00005B87"/>
    <w:rsid w:val="00005D94"/>
    <w:rsid w:val="00005E6F"/>
    <w:rsid w:val="00006571"/>
    <w:rsid w:val="000069E3"/>
    <w:rsid w:val="00007EEF"/>
    <w:rsid w:val="00011DEE"/>
    <w:rsid w:val="00012E29"/>
    <w:rsid w:val="00013216"/>
    <w:rsid w:val="00013760"/>
    <w:rsid w:val="000137C2"/>
    <w:rsid w:val="00014560"/>
    <w:rsid w:val="000153C4"/>
    <w:rsid w:val="00015D25"/>
    <w:rsid w:val="00016320"/>
    <w:rsid w:val="0001721B"/>
    <w:rsid w:val="000178D4"/>
    <w:rsid w:val="00017D92"/>
    <w:rsid w:val="00020045"/>
    <w:rsid w:val="000216B3"/>
    <w:rsid w:val="00021B83"/>
    <w:rsid w:val="00021F48"/>
    <w:rsid w:val="00021FF5"/>
    <w:rsid w:val="000236B9"/>
    <w:rsid w:val="00024434"/>
    <w:rsid w:val="000245DA"/>
    <w:rsid w:val="00025AC1"/>
    <w:rsid w:val="00025D2F"/>
    <w:rsid w:val="00026419"/>
    <w:rsid w:val="00026867"/>
    <w:rsid w:val="00027368"/>
    <w:rsid w:val="00027B22"/>
    <w:rsid w:val="000304FA"/>
    <w:rsid w:val="00030AEF"/>
    <w:rsid w:val="00031152"/>
    <w:rsid w:val="00031F14"/>
    <w:rsid w:val="000326BD"/>
    <w:rsid w:val="00032E90"/>
    <w:rsid w:val="00033B41"/>
    <w:rsid w:val="00034711"/>
    <w:rsid w:val="00034BB5"/>
    <w:rsid w:val="00034EDD"/>
    <w:rsid w:val="000353B4"/>
    <w:rsid w:val="000363DE"/>
    <w:rsid w:val="000365E9"/>
    <w:rsid w:val="00036854"/>
    <w:rsid w:val="000368F4"/>
    <w:rsid w:val="00036D33"/>
    <w:rsid w:val="00036D8D"/>
    <w:rsid w:val="00037D43"/>
    <w:rsid w:val="000401DE"/>
    <w:rsid w:val="00041221"/>
    <w:rsid w:val="00041291"/>
    <w:rsid w:val="00041A19"/>
    <w:rsid w:val="00041F6E"/>
    <w:rsid w:val="000423A2"/>
    <w:rsid w:val="000429C8"/>
    <w:rsid w:val="0004329D"/>
    <w:rsid w:val="000432D3"/>
    <w:rsid w:val="000450D8"/>
    <w:rsid w:val="00046BAA"/>
    <w:rsid w:val="00046D4A"/>
    <w:rsid w:val="00050A5F"/>
    <w:rsid w:val="00050B6A"/>
    <w:rsid w:val="00051798"/>
    <w:rsid w:val="00052552"/>
    <w:rsid w:val="00053458"/>
    <w:rsid w:val="00053DE8"/>
    <w:rsid w:val="00054791"/>
    <w:rsid w:val="00055185"/>
    <w:rsid w:val="00055846"/>
    <w:rsid w:val="00055A76"/>
    <w:rsid w:val="000563B2"/>
    <w:rsid w:val="00056DBD"/>
    <w:rsid w:val="000611AD"/>
    <w:rsid w:val="00061723"/>
    <w:rsid w:val="00061BFD"/>
    <w:rsid w:val="00063C68"/>
    <w:rsid w:val="00064DDE"/>
    <w:rsid w:val="00065397"/>
    <w:rsid w:val="00066F3B"/>
    <w:rsid w:val="00070A37"/>
    <w:rsid w:val="000710D1"/>
    <w:rsid w:val="0007167D"/>
    <w:rsid w:val="0007188A"/>
    <w:rsid w:val="0007202E"/>
    <w:rsid w:val="000720FD"/>
    <w:rsid w:val="0007229B"/>
    <w:rsid w:val="00072901"/>
    <w:rsid w:val="00072AB8"/>
    <w:rsid w:val="000731F7"/>
    <w:rsid w:val="0007341F"/>
    <w:rsid w:val="00075D11"/>
    <w:rsid w:val="00076C60"/>
    <w:rsid w:val="00077A33"/>
    <w:rsid w:val="00080181"/>
    <w:rsid w:val="00080DA0"/>
    <w:rsid w:val="00082542"/>
    <w:rsid w:val="000828E2"/>
    <w:rsid w:val="000834D2"/>
    <w:rsid w:val="00083E08"/>
    <w:rsid w:val="000840FE"/>
    <w:rsid w:val="00084D59"/>
    <w:rsid w:val="00085630"/>
    <w:rsid w:val="00085A54"/>
    <w:rsid w:val="000870EA"/>
    <w:rsid w:val="000871D4"/>
    <w:rsid w:val="00087D22"/>
    <w:rsid w:val="000908D0"/>
    <w:rsid w:val="00090F7F"/>
    <w:rsid w:val="00091722"/>
    <w:rsid w:val="00091A71"/>
    <w:rsid w:val="0009211B"/>
    <w:rsid w:val="00092785"/>
    <w:rsid w:val="00092E46"/>
    <w:rsid w:val="00092FAC"/>
    <w:rsid w:val="000938E7"/>
    <w:rsid w:val="00093BD8"/>
    <w:rsid w:val="0009472A"/>
    <w:rsid w:val="00094BC7"/>
    <w:rsid w:val="00095483"/>
    <w:rsid w:val="000955A7"/>
    <w:rsid w:val="00095676"/>
    <w:rsid w:val="00095FDF"/>
    <w:rsid w:val="00096811"/>
    <w:rsid w:val="00097DC3"/>
    <w:rsid w:val="000A04DE"/>
    <w:rsid w:val="000A0E8C"/>
    <w:rsid w:val="000A20D5"/>
    <w:rsid w:val="000A21B7"/>
    <w:rsid w:val="000A2232"/>
    <w:rsid w:val="000A41B0"/>
    <w:rsid w:val="000A41F3"/>
    <w:rsid w:val="000A4A26"/>
    <w:rsid w:val="000A4FBF"/>
    <w:rsid w:val="000A5021"/>
    <w:rsid w:val="000A5094"/>
    <w:rsid w:val="000A55AF"/>
    <w:rsid w:val="000A5765"/>
    <w:rsid w:val="000A5B7F"/>
    <w:rsid w:val="000A5FFD"/>
    <w:rsid w:val="000A6D67"/>
    <w:rsid w:val="000A7A91"/>
    <w:rsid w:val="000B2284"/>
    <w:rsid w:val="000B241F"/>
    <w:rsid w:val="000B2B0B"/>
    <w:rsid w:val="000B4349"/>
    <w:rsid w:val="000B585F"/>
    <w:rsid w:val="000B6A2A"/>
    <w:rsid w:val="000B71AF"/>
    <w:rsid w:val="000C0723"/>
    <w:rsid w:val="000C175E"/>
    <w:rsid w:val="000C1F00"/>
    <w:rsid w:val="000C2238"/>
    <w:rsid w:val="000C225F"/>
    <w:rsid w:val="000C3185"/>
    <w:rsid w:val="000C3A89"/>
    <w:rsid w:val="000C47A1"/>
    <w:rsid w:val="000C5931"/>
    <w:rsid w:val="000C633A"/>
    <w:rsid w:val="000C6B98"/>
    <w:rsid w:val="000C7B8D"/>
    <w:rsid w:val="000D0D0F"/>
    <w:rsid w:val="000D1419"/>
    <w:rsid w:val="000D20DA"/>
    <w:rsid w:val="000D3E8A"/>
    <w:rsid w:val="000D42CD"/>
    <w:rsid w:val="000D43D4"/>
    <w:rsid w:val="000D444C"/>
    <w:rsid w:val="000D4B75"/>
    <w:rsid w:val="000D4C57"/>
    <w:rsid w:val="000D4D1C"/>
    <w:rsid w:val="000D553A"/>
    <w:rsid w:val="000D569D"/>
    <w:rsid w:val="000D56FA"/>
    <w:rsid w:val="000D5775"/>
    <w:rsid w:val="000D58D5"/>
    <w:rsid w:val="000D5C50"/>
    <w:rsid w:val="000D695F"/>
    <w:rsid w:val="000D6B35"/>
    <w:rsid w:val="000D6E44"/>
    <w:rsid w:val="000D6EA5"/>
    <w:rsid w:val="000D7CEF"/>
    <w:rsid w:val="000E01B6"/>
    <w:rsid w:val="000E053A"/>
    <w:rsid w:val="000E0714"/>
    <w:rsid w:val="000E15F7"/>
    <w:rsid w:val="000E177E"/>
    <w:rsid w:val="000E21EF"/>
    <w:rsid w:val="000E2862"/>
    <w:rsid w:val="000E300F"/>
    <w:rsid w:val="000E349C"/>
    <w:rsid w:val="000E3F3F"/>
    <w:rsid w:val="000E4B91"/>
    <w:rsid w:val="000E556B"/>
    <w:rsid w:val="000E5B52"/>
    <w:rsid w:val="000E5FB5"/>
    <w:rsid w:val="000F0031"/>
    <w:rsid w:val="000F0416"/>
    <w:rsid w:val="000F06E7"/>
    <w:rsid w:val="000F0A6A"/>
    <w:rsid w:val="000F0A97"/>
    <w:rsid w:val="000F0B72"/>
    <w:rsid w:val="000F2297"/>
    <w:rsid w:val="000F2F4A"/>
    <w:rsid w:val="000F4309"/>
    <w:rsid w:val="000F48FD"/>
    <w:rsid w:val="000F63E3"/>
    <w:rsid w:val="000F6CEB"/>
    <w:rsid w:val="000F6E0B"/>
    <w:rsid w:val="000F746E"/>
    <w:rsid w:val="000F7558"/>
    <w:rsid w:val="000F7F26"/>
    <w:rsid w:val="001000DC"/>
    <w:rsid w:val="001001F5"/>
    <w:rsid w:val="001004F5"/>
    <w:rsid w:val="00100AE6"/>
    <w:rsid w:val="0010190F"/>
    <w:rsid w:val="00102357"/>
    <w:rsid w:val="00102B65"/>
    <w:rsid w:val="00102F82"/>
    <w:rsid w:val="001032AC"/>
    <w:rsid w:val="001034D9"/>
    <w:rsid w:val="00104550"/>
    <w:rsid w:val="0010518C"/>
    <w:rsid w:val="0010523B"/>
    <w:rsid w:val="001055AD"/>
    <w:rsid w:val="00105D6B"/>
    <w:rsid w:val="00106AD0"/>
    <w:rsid w:val="00106FF0"/>
    <w:rsid w:val="0011006A"/>
    <w:rsid w:val="00110B79"/>
    <w:rsid w:val="00111A52"/>
    <w:rsid w:val="00111FFF"/>
    <w:rsid w:val="00113BFE"/>
    <w:rsid w:val="00113E9F"/>
    <w:rsid w:val="00113F91"/>
    <w:rsid w:val="00114935"/>
    <w:rsid w:val="00114952"/>
    <w:rsid w:val="00114A7D"/>
    <w:rsid w:val="00114CBC"/>
    <w:rsid w:val="00114D03"/>
    <w:rsid w:val="00115D56"/>
    <w:rsid w:val="00115D93"/>
    <w:rsid w:val="00117B8C"/>
    <w:rsid w:val="00120974"/>
    <w:rsid w:val="0012159C"/>
    <w:rsid w:val="00121949"/>
    <w:rsid w:val="00122040"/>
    <w:rsid w:val="001220CD"/>
    <w:rsid w:val="001228FE"/>
    <w:rsid w:val="001232D0"/>
    <w:rsid w:val="001232F8"/>
    <w:rsid w:val="00123394"/>
    <w:rsid w:val="00123BDE"/>
    <w:rsid w:val="0012439F"/>
    <w:rsid w:val="001245AD"/>
    <w:rsid w:val="00124CD4"/>
    <w:rsid w:val="00125196"/>
    <w:rsid w:val="00126497"/>
    <w:rsid w:val="00126FCD"/>
    <w:rsid w:val="001272A1"/>
    <w:rsid w:val="00127836"/>
    <w:rsid w:val="00127FFE"/>
    <w:rsid w:val="001301AF"/>
    <w:rsid w:val="001317FE"/>
    <w:rsid w:val="00131B32"/>
    <w:rsid w:val="001322D0"/>
    <w:rsid w:val="00132413"/>
    <w:rsid w:val="00133312"/>
    <w:rsid w:val="00133602"/>
    <w:rsid w:val="001338E1"/>
    <w:rsid w:val="001340EB"/>
    <w:rsid w:val="0013430B"/>
    <w:rsid w:val="00134431"/>
    <w:rsid w:val="00135B99"/>
    <w:rsid w:val="00136056"/>
    <w:rsid w:val="00136A3C"/>
    <w:rsid w:val="001371AC"/>
    <w:rsid w:val="0013751D"/>
    <w:rsid w:val="00140038"/>
    <w:rsid w:val="00140DC4"/>
    <w:rsid w:val="001413B4"/>
    <w:rsid w:val="00141745"/>
    <w:rsid w:val="001420A8"/>
    <w:rsid w:val="0014214E"/>
    <w:rsid w:val="00143001"/>
    <w:rsid w:val="001449A8"/>
    <w:rsid w:val="00144AED"/>
    <w:rsid w:val="001452A7"/>
    <w:rsid w:val="00145A84"/>
    <w:rsid w:val="00145D9E"/>
    <w:rsid w:val="001466F9"/>
    <w:rsid w:val="00146C7A"/>
    <w:rsid w:val="00146D2A"/>
    <w:rsid w:val="0014760D"/>
    <w:rsid w:val="00150672"/>
    <w:rsid w:val="001511DD"/>
    <w:rsid w:val="00151DBF"/>
    <w:rsid w:val="00152470"/>
    <w:rsid w:val="001526D3"/>
    <w:rsid w:val="001533E2"/>
    <w:rsid w:val="001536C4"/>
    <w:rsid w:val="00154A0F"/>
    <w:rsid w:val="00156793"/>
    <w:rsid w:val="00156EA2"/>
    <w:rsid w:val="00156F37"/>
    <w:rsid w:val="00156F8A"/>
    <w:rsid w:val="00157988"/>
    <w:rsid w:val="00157D13"/>
    <w:rsid w:val="00160AE5"/>
    <w:rsid w:val="001618C5"/>
    <w:rsid w:val="00161AC1"/>
    <w:rsid w:val="00161B8E"/>
    <w:rsid w:val="00161F64"/>
    <w:rsid w:val="001621C7"/>
    <w:rsid w:val="0016234E"/>
    <w:rsid w:val="00162F41"/>
    <w:rsid w:val="0016398C"/>
    <w:rsid w:val="0016427D"/>
    <w:rsid w:val="00164E91"/>
    <w:rsid w:val="00165E8F"/>
    <w:rsid w:val="001665A3"/>
    <w:rsid w:val="0016660B"/>
    <w:rsid w:val="00167D00"/>
    <w:rsid w:val="0017138D"/>
    <w:rsid w:val="00171B4B"/>
    <w:rsid w:val="00171D66"/>
    <w:rsid w:val="00171DBD"/>
    <w:rsid w:val="0017206E"/>
    <w:rsid w:val="0017389A"/>
    <w:rsid w:val="0017467A"/>
    <w:rsid w:val="001774DD"/>
    <w:rsid w:val="00180158"/>
    <w:rsid w:val="0018070D"/>
    <w:rsid w:val="00181A2E"/>
    <w:rsid w:val="00182685"/>
    <w:rsid w:val="00183540"/>
    <w:rsid w:val="00183764"/>
    <w:rsid w:val="00185111"/>
    <w:rsid w:val="001854A0"/>
    <w:rsid w:val="00186DE6"/>
    <w:rsid w:val="00186F01"/>
    <w:rsid w:val="0018789F"/>
    <w:rsid w:val="00190807"/>
    <w:rsid w:val="0019096A"/>
    <w:rsid w:val="00190B11"/>
    <w:rsid w:val="001916E0"/>
    <w:rsid w:val="00192C81"/>
    <w:rsid w:val="001935F6"/>
    <w:rsid w:val="00193BBB"/>
    <w:rsid w:val="00193F23"/>
    <w:rsid w:val="001947EA"/>
    <w:rsid w:val="00194F1B"/>
    <w:rsid w:val="00195730"/>
    <w:rsid w:val="00195A43"/>
    <w:rsid w:val="00195D6F"/>
    <w:rsid w:val="001965B3"/>
    <w:rsid w:val="00197100"/>
    <w:rsid w:val="00197E29"/>
    <w:rsid w:val="001A0AAB"/>
    <w:rsid w:val="001A2AAC"/>
    <w:rsid w:val="001A3200"/>
    <w:rsid w:val="001A3A77"/>
    <w:rsid w:val="001A473C"/>
    <w:rsid w:val="001A4A0E"/>
    <w:rsid w:val="001A4D86"/>
    <w:rsid w:val="001A529E"/>
    <w:rsid w:val="001A71B3"/>
    <w:rsid w:val="001B0219"/>
    <w:rsid w:val="001B0D16"/>
    <w:rsid w:val="001B1EE6"/>
    <w:rsid w:val="001B268A"/>
    <w:rsid w:val="001B294F"/>
    <w:rsid w:val="001B4289"/>
    <w:rsid w:val="001B45FE"/>
    <w:rsid w:val="001B4975"/>
    <w:rsid w:val="001B5D07"/>
    <w:rsid w:val="001B63F9"/>
    <w:rsid w:val="001B6BC0"/>
    <w:rsid w:val="001B74E2"/>
    <w:rsid w:val="001B76BD"/>
    <w:rsid w:val="001B793B"/>
    <w:rsid w:val="001C03CD"/>
    <w:rsid w:val="001C0CA5"/>
    <w:rsid w:val="001C118F"/>
    <w:rsid w:val="001C13D5"/>
    <w:rsid w:val="001C2303"/>
    <w:rsid w:val="001C3FBD"/>
    <w:rsid w:val="001C4387"/>
    <w:rsid w:val="001C69AC"/>
    <w:rsid w:val="001C69EE"/>
    <w:rsid w:val="001C6A5C"/>
    <w:rsid w:val="001C7EE7"/>
    <w:rsid w:val="001D02DE"/>
    <w:rsid w:val="001D1070"/>
    <w:rsid w:val="001D10AB"/>
    <w:rsid w:val="001D19B7"/>
    <w:rsid w:val="001D1F8C"/>
    <w:rsid w:val="001D329E"/>
    <w:rsid w:val="001D3829"/>
    <w:rsid w:val="001D3FB1"/>
    <w:rsid w:val="001D5300"/>
    <w:rsid w:val="001D69EE"/>
    <w:rsid w:val="001D6A20"/>
    <w:rsid w:val="001D6B09"/>
    <w:rsid w:val="001D6D9E"/>
    <w:rsid w:val="001E0110"/>
    <w:rsid w:val="001E0235"/>
    <w:rsid w:val="001E02A7"/>
    <w:rsid w:val="001E033D"/>
    <w:rsid w:val="001E0544"/>
    <w:rsid w:val="001E08FA"/>
    <w:rsid w:val="001E0BE1"/>
    <w:rsid w:val="001E1556"/>
    <w:rsid w:val="001E2BF9"/>
    <w:rsid w:val="001E2C19"/>
    <w:rsid w:val="001E2EAC"/>
    <w:rsid w:val="001E40C2"/>
    <w:rsid w:val="001E472A"/>
    <w:rsid w:val="001E4C32"/>
    <w:rsid w:val="001E66B5"/>
    <w:rsid w:val="001E6D25"/>
    <w:rsid w:val="001E710C"/>
    <w:rsid w:val="001E7A84"/>
    <w:rsid w:val="001E7F88"/>
    <w:rsid w:val="001F013B"/>
    <w:rsid w:val="001F0831"/>
    <w:rsid w:val="001F16B5"/>
    <w:rsid w:val="001F1AB2"/>
    <w:rsid w:val="001F1E49"/>
    <w:rsid w:val="001F2083"/>
    <w:rsid w:val="001F37A4"/>
    <w:rsid w:val="001F4D64"/>
    <w:rsid w:val="001F59AE"/>
    <w:rsid w:val="00200BB8"/>
    <w:rsid w:val="00200F75"/>
    <w:rsid w:val="00202CB0"/>
    <w:rsid w:val="0020412F"/>
    <w:rsid w:val="00204875"/>
    <w:rsid w:val="00207A22"/>
    <w:rsid w:val="00207D47"/>
    <w:rsid w:val="00210A32"/>
    <w:rsid w:val="00210F23"/>
    <w:rsid w:val="00211D59"/>
    <w:rsid w:val="00212282"/>
    <w:rsid w:val="00213033"/>
    <w:rsid w:val="002140A7"/>
    <w:rsid w:val="0021463F"/>
    <w:rsid w:val="00215379"/>
    <w:rsid w:val="00215A4D"/>
    <w:rsid w:val="00217D67"/>
    <w:rsid w:val="00220BB7"/>
    <w:rsid w:val="00220F76"/>
    <w:rsid w:val="0022132F"/>
    <w:rsid w:val="00221A04"/>
    <w:rsid w:val="00221FCF"/>
    <w:rsid w:val="00222684"/>
    <w:rsid w:val="002229D0"/>
    <w:rsid w:val="00222E24"/>
    <w:rsid w:val="0022472D"/>
    <w:rsid w:val="002248D2"/>
    <w:rsid w:val="0022524B"/>
    <w:rsid w:val="00225CED"/>
    <w:rsid w:val="0022679D"/>
    <w:rsid w:val="002273C2"/>
    <w:rsid w:val="00227698"/>
    <w:rsid w:val="0022771C"/>
    <w:rsid w:val="002300C1"/>
    <w:rsid w:val="00230665"/>
    <w:rsid w:val="00231D64"/>
    <w:rsid w:val="00231FC5"/>
    <w:rsid w:val="00232C6B"/>
    <w:rsid w:val="00234A79"/>
    <w:rsid w:val="00235D1F"/>
    <w:rsid w:val="00235DA5"/>
    <w:rsid w:val="00237720"/>
    <w:rsid w:val="0023799F"/>
    <w:rsid w:val="00237F63"/>
    <w:rsid w:val="00240C61"/>
    <w:rsid w:val="00241DBC"/>
    <w:rsid w:val="00241DE1"/>
    <w:rsid w:val="00241DFD"/>
    <w:rsid w:val="00241E4B"/>
    <w:rsid w:val="00242ABB"/>
    <w:rsid w:val="00242E3C"/>
    <w:rsid w:val="002467B2"/>
    <w:rsid w:val="00246955"/>
    <w:rsid w:val="00246BC2"/>
    <w:rsid w:val="00246ECC"/>
    <w:rsid w:val="00246FC0"/>
    <w:rsid w:val="002476F4"/>
    <w:rsid w:val="00247F19"/>
    <w:rsid w:val="0025014C"/>
    <w:rsid w:val="002507A5"/>
    <w:rsid w:val="002515CD"/>
    <w:rsid w:val="00251923"/>
    <w:rsid w:val="00251B39"/>
    <w:rsid w:val="00252095"/>
    <w:rsid w:val="00253474"/>
    <w:rsid w:val="00253610"/>
    <w:rsid w:val="002536B9"/>
    <w:rsid w:val="00253719"/>
    <w:rsid w:val="00253DB8"/>
    <w:rsid w:val="00253DD6"/>
    <w:rsid w:val="002542DF"/>
    <w:rsid w:val="00254BE3"/>
    <w:rsid w:val="00254E1F"/>
    <w:rsid w:val="00255936"/>
    <w:rsid w:val="00255D7D"/>
    <w:rsid w:val="002569AE"/>
    <w:rsid w:val="00257C5D"/>
    <w:rsid w:val="00257CC6"/>
    <w:rsid w:val="00260A76"/>
    <w:rsid w:val="00260B95"/>
    <w:rsid w:val="002611A4"/>
    <w:rsid w:val="00261611"/>
    <w:rsid w:val="00261697"/>
    <w:rsid w:val="00261AC3"/>
    <w:rsid w:val="00261DAD"/>
    <w:rsid w:val="0026311F"/>
    <w:rsid w:val="002632D0"/>
    <w:rsid w:val="002634C4"/>
    <w:rsid w:val="00263D5D"/>
    <w:rsid w:val="00264BA7"/>
    <w:rsid w:val="0026504C"/>
    <w:rsid w:val="0026573E"/>
    <w:rsid w:val="00265CBB"/>
    <w:rsid w:val="0027269E"/>
    <w:rsid w:val="002729A4"/>
    <w:rsid w:val="0027313F"/>
    <w:rsid w:val="00273298"/>
    <w:rsid w:val="00273A66"/>
    <w:rsid w:val="00273EEC"/>
    <w:rsid w:val="00275A65"/>
    <w:rsid w:val="00275BB9"/>
    <w:rsid w:val="002761C1"/>
    <w:rsid w:val="00276F33"/>
    <w:rsid w:val="002770AB"/>
    <w:rsid w:val="002778D7"/>
    <w:rsid w:val="002800BD"/>
    <w:rsid w:val="0028069C"/>
    <w:rsid w:val="00280FC2"/>
    <w:rsid w:val="002811F5"/>
    <w:rsid w:val="00281281"/>
    <w:rsid w:val="0028133F"/>
    <w:rsid w:val="00281718"/>
    <w:rsid w:val="00281981"/>
    <w:rsid w:val="00282B8D"/>
    <w:rsid w:val="00283CC7"/>
    <w:rsid w:val="002842F7"/>
    <w:rsid w:val="00284903"/>
    <w:rsid w:val="00284D7D"/>
    <w:rsid w:val="00284FF1"/>
    <w:rsid w:val="00285231"/>
    <w:rsid w:val="0028618C"/>
    <w:rsid w:val="00286E89"/>
    <w:rsid w:val="00287641"/>
    <w:rsid w:val="0028794E"/>
    <w:rsid w:val="00291302"/>
    <w:rsid w:val="00291E61"/>
    <w:rsid w:val="00293645"/>
    <w:rsid w:val="002939DA"/>
    <w:rsid w:val="00293D79"/>
    <w:rsid w:val="0029469F"/>
    <w:rsid w:val="00294AF7"/>
    <w:rsid w:val="00295E71"/>
    <w:rsid w:val="002972D0"/>
    <w:rsid w:val="00297542"/>
    <w:rsid w:val="002978E2"/>
    <w:rsid w:val="002A02BD"/>
    <w:rsid w:val="002A03BE"/>
    <w:rsid w:val="002A0EF3"/>
    <w:rsid w:val="002A13C7"/>
    <w:rsid w:val="002A18FA"/>
    <w:rsid w:val="002A234F"/>
    <w:rsid w:val="002A23F8"/>
    <w:rsid w:val="002A28BA"/>
    <w:rsid w:val="002A29D4"/>
    <w:rsid w:val="002A2FCB"/>
    <w:rsid w:val="002A395D"/>
    <w:rsid w:val="002A3A83"/>
    <w:rsid w:val="002A4661"/>
    <w:rsid w:val="002A528A"/>
    <w:rsid w:val="002A6C35"/>
    <w:rsid w:val="002A76C0"/>
    <w:rsid w:val="002A7E6E"/>
    <w:rsid w:val="002B0951"/>
    <w:rsid w:val="002B1546"/>
    <w:rsid w:val="002B17B2"/>
    <w:rsid w:val="002B198C"/>
    <w:rsid w:val="002B1D73"/>
    <w:rsid w:val="002B1F76"/>
    <w:rsid w:val="002B2D5E"/>
    <w:rsid w:val="002B35EE"/>
    <w:rsid w:val="002B4D7C"/>
    <w:rsid w:val="002B5B49"/>
    <w:rsid w:val="002B690A"/>
    <w:rsid w:val="002B7C21"/>
    <w:rsid w:val="002C07AE"/>
    <w:rsid w:val="002C0BE1"/>
    <w:rsid w:val="002C108A"/>
    <w:rsid w:val="002C1B25"/>
    <w:rsid w:val="002C243E"/>
    <w:rsid w:val="002C2F0C"/>
    <w:rsid w:val="002C3C40"/>
    <w:rsid w:val="002C4840"/>
    <w:rsid w:val="002C4E75"/>
    <w:rsid w:val="002C5EF0"/>
    <w:rsid w:val="002C6133"/>
    <w:rsid w:val="002D028E"/>
    <w:rsid w:val="002D1041"/>
    <w:rsid w:val="002D1E07"/>
    <w:rsid w:val="002D36D8"/>
    <w:rsid w:val="002D42A8"/>
    <w:rsid w:val="002D43BF"/>
    <w:rsid w:val="002D4E05"/>
    <w:rsid w:val="002D579A"/>
    <w:rsid w:val="002D57BF"/>
    <w:rsid w:val="002D6172"/>
    <w:rsid w:val="002D63A3"/>
    <w:rsid w:val="002D64B8"/>
    <w:rsid w:val="002D6583"/>
    <w:rsid w:val="002D6788"/>
    <w:rsid w:val="002D7044"/>
    <w:rsid w:val="002D7170"/>
    <w:rsid w:val="002D7E3B"/>
    <w:rsid w:val="002E1353"/>
    <w:rsid w:val="002E16F2"/>
    <w:rsid w:val="002E18D1"/>
    <w:rsid w:val="002E191A"/>
    <w:rsid w:val="002E1C57"/>
    <w:rsid w:val="002E1D11"/>
    <w:rsid w:val="002E2008"/>
    <w:rsid w:val="002E2361"/>
    <w:rsid w:val="002E3295"/>
    <w:rsid w:val="002E3FDD"/>
    <w:rsid w:val="002E42D2"/>
    <w:rsid w:val="002E43F7"/>
    <w:rsid w:val="002E5D01"/>
    <w:rsid w:val="002E6452"/>
    <w:rsid w:val="002E677C"/>
    <w:rsid w:val="002F1567"/>
    <w:rsid w:val="002F19B6"/>
    <w:rsid w:val="002F1D72"/>
    <w:rsid w:val="002F215A"/>
    <w:rsid w:val="002F2864"/>
    <w:rsid w:val="002F2A0F"/>
    <w:rsid w:val="002F37D3"/>
    <w:rsid w:val="002F3B19"/>
    <w:rsid w:val="002F3CCA"/>
    <w:rsid w:val="002F3D70"/>
    <w:rsid w:val="002F4F6D"/>
    <w:rsid w:val="002F5E35"/>
    <w:rsid w:val="002F612E"/>
    <w:rsid w:val="002F6B10"/>
    <w:rsid w:val="002F79F0"/>
    <w:rsid w:val="002F7E50"/>
    <w:rsid w:val="002F7F0B"/>
    <w:rsid w:val="00301689"/>
    <w:rsid w:val="00302DBC"/>
    <w:rsid w:val="00303136"/>
    <w:rsid w:val="003034F5"/>
    <w:rsid w:val="00304F78"/>
    <w:rsid w:val="00306802"/>
    <w:rsid w:val="00306E9D"/>
    <w:rsid w:val="0030754C"/>
    <w:rsid w:val="003076A1"/>
    <w:rsid w:val="003077BB"/>
    <w:rsid w:val="003077CD"/>
    <w:rsid w:val="00307C85"/>
    <w:rsid w:val="00307D8F"/>
    <w:rsid w:val="00310364"/>
    <w:rsid w:val="00311E3C"/>
    <w:rsid w:val="003126FF"/>
    <w:rsid w:val="00312A73"/>
    <w:rsid w:val="0031340B"/>
    <w:rsid w:val="00313AC5"/>
    <w:rsid w:val="00314443"/>
    <w:rsid w:val="003144B5"/>
    <w:rsid w:val="00314ABF"/>
    <w:rsid w:val="00315458"/>
    <w:rsid w:val="00315F58"/>
    <w:rsid w:val="003160D5"/>
    <w:rsid w:val="0031633A"/>
    <w:rsid w:val="0031644D"/>
    <w:rsid w:val="0031644F"/>
    <w:rsid w:val="00316AF8"/>
    <w:rsid w:val="00316B07"/>
    <w:rsid w:val="00317757"/>
    <w:rsid w:val="00317D7C"/>
    <w:rsid w:val="00320680"/>
    <w:rsid w:val="00320FEF"/>
    <w:rsid w:val="00321AED"/>
    <w:rsid w:val="00322E33"/>
    <w:rsid w:val="00323858"/>
    <w:rsid w:val="00323A37"/>
    <w:rsid w:val="0032472F"/>
    <w:rsid w:val="003247AE"/>
    <w:rsid w:val="00325066"/>
    <w:rsid w:val="003250D5"/>
    <w:rsid w:val="003254E7"/>
    <w:rsid w:val="00326299"/>
    <w:rsid w:val="003265B5"/>
    <w:rsid w:val="00326A1D"/>
    <w:rsid w:val="00330705"/>
    <w:rsid w:val="00331035"/>
    <w:rsid w:val="00332255"/>
    <w:rsid w:val="00332FC8"/>
    <w:rsid w:val="00334545"/>
    <w:rsid w:val="003355C4"/>
    <w:rsid w:val="003358F5"/>
    <w:rsid w:val="00340510"/>
    <w:rsid w:val="00341A44"/>
    <w:rsid w:val="00341B34"/>
    <w:rsid w:val="003428C6"/>
    <w:rsid w:val="00342E31"/>
    <w:rsid w:val="0034304F"/>
    <w:rsid w:val="003447B5"/>
    <w:rsid w:val="00344904"/>
    <w:rsid w:val="00344AB5"/>
    <w:rsid w:val="00344D7B"/>
    <w:rsid w:val="0034512B"/>
    <w:rsid w:val="003452A5"/>
    <w:rsid w:val="00345534"/>
    <w:rsid w:val="00345FE8"/>
    <w:rsid w:val="00346863"/>
    <w:rsid w:val="0034740E"/>
    <w:rsid w:val="003515F2"/>
    <w:rsid w:val="00351789"/>
    <w:rsid w:val="00351EF5"/>
    <w:rsid w:val="003525A2"/>
    <w:rsid w:val="00352C4B"/>
    <w:rsid w:val="00353642"/>
    <w:rsid w:val="003537E9"/>
    <w:rsid w:val="003545EF"/>
    <w:rsid w:val="00354A57"/>
    <w:rsid w:val="003551B7"/>
    <w:rsid w:val="003568C1"/>
    <w:rsid w:val="00356E2F"/>
    <w:rsid w:val="00356ED5"/>
    <w:rsid w:val="003575C5"/>
    <w:rsid w:val="00360695"/>
    <w:rsid w:val="00360D02"/>
    <w:rsid w:val="00362D6F"/>
    <w:rsid w:val="003634FC"/>
    <w:rsid w:val="00363CF7"/>
    <w:rsid w:val="0036446F"/>
    <w:rsid w:val="00364481"/>
    <w:rsid w:val="003649F3"/>
    <w:rsid w:val="00364E48"/>
    <w:rsid w:val="00366770"/>
    <w:rsid w:val="003671D2"/>
    <w:rsid w:val="00367433"/>
    <w:rsid w:val="003674D0"/>
    <w:rsid w:val="00367BE7"/>
    <w:rsid w:val="00370D4F"/>
    <w:rsid w:val="003710EA"/>
    <w:rsid w:val="00371A44"/>
    <w:rsid w:val="0037239A"/>
    <w:rsid w:val="00372DE5"/>
    <w:rsid w:val="00373BD1"/>
    <w:rsid w:val="00374A92"/>
    <w:rsid w:val="00374C07"/>
    <w:rsid w:val="00375158"/>
    <w:rsid w:val="003765AE"/>
    <w:rsid w:val="0037677C"/>
    <w:rsid w:val="003769C1"/>
    <w:rsid w:val="00376E26"/>
    <w:rsid w:val="00377049"/>
    <w:rsid w:val="00377E69"/>
    <w:rsid w:val="003808CA"/>
    <w:rsid w:val="003813A6"/>
    <w:rsid w:val="00381ECA"/>
    <w:rsid w:val="003828CA"/>
    <w:rsid w:val="003839D0"/>
    <w:rsid w:val="00383C5C"/>
    <w:rsid w:val="00383E6A"/>
    <w:rsid w:val="003841C9"/>
    <w:rsid w:val="003845C7"/>
    <w:rsid w:val="0038476C"/>
    <w:rsid w:val="00384BC6"/>
    <w:rsid w:val="00384D8B"/>
    <w:rsid w:val="00384DFD"/>
    <w:rsid w:val="00385A5A"/>
    <w:rsid w:val="00385B03"/>
    <w:rsid w:val="00386B8D"/>
    <w:rsid w:val="00387AD6"/>
    <w:rsid w:val="00387CBD"/>
    <w:rsid w:val="00390B48"/>
    <w:rsid w:val="00390EF3"/>
    <w:rsid w:val="0039235C"/>
    <w:rsid w:val="003932BC"/>
    <w:rsid w:val="0039330D"/>
    <w:rsid w:val="00394C59"/>
    <w:rsid w:val="00394D6A"/>
    <w:rsid w:val="00394FB7"/>
    <w:rsid w:val="00395B13"/>
    <w:rsid w:val="00396951"/>
    <w:rsid w:val="003972D7"/>
    <w:rsid w:val="00397C36"/>
    <w:rsid w:val="003A025D"/>
    <w:rsid w:val="003A02A0"/>
    <w:rsid w:val="003A0DFA"/>
    <w:rsid w:val="003A1268"/>
    <w:rsid w:val="003A1614"/>
    <w:rsid w:val="003A20E8"/>
    <w:rsid w:val="003A21C1"/>
    <w:rsid w:val="003A21F8"/>
    <w:rsid w:val="003A2572"/>
    <w:rsid w:val="003A289A"/>
    <w:rsid w:val="003A316C"/>
    <w:rsid w:val="003A34BC"/>
    <w:rsid w:val="003A3992"/>
    <w:rsid w:val="003A3E1F"/>
    <w:rsid w:val="003A4B1F"/>
    <w:rsid w:val="003A4BBE"/>
    <w:rsid w:val="003A4EAF"/>
    <w:rsid w:val="003A5EB8"/>
    <w:rsid w:val="003A6619"/>
    <w:rsid w:val="003A6762"/>
    <w:rsid w:val="003A6E6D"/>
    <w:rsid w:val="003A73E4"/>
    <w:rsid w:val="003A7CE3"/>
    <w:rsid w:val="003B04C4"/>
    <w:rsid w:val="003B1244"/>
    <w:rsid w:val="003B1620"/>
    <w:rsid w:val="003B19B7"/>
    <w:rsid w:val="003B326B"/>
    <w:rsid w:val="003B34E8"/>
    <w:rsid w:val="003B396C"/>
    <w:rsid w:val="003B43C2"/>
    <w:rsid w:val="003B5806"/>
    <w:rsid w:val="003B6F6D"/>
    <w:rsid w:val="003B7330"/>
    <w:rsid w:val="003C0293"/>
    <w:rsid w:val="003C0703"/>
    <w:rsid w:val="003C0889"/>
    <w:rsid w:val="003C0D51"/>
    <w:rsid w:val="003C1002"/>
    <w:rsid w:val="003C1C00"/>
    <w:rsid w:val="003C2147"/>
    <w:rsid w:val="003C36B2"/>
    <w:rsid w:val="003C5459"/>
    <w:rsid w:val="003C54EA"/>
    <w:rsid w:val="003C58F6"/>
    <w:rsid w:val="003C6FC3"/>
    <w:rsid w:val="003C7525"/>
    <w:rsid w:val="003C7B6D"/>
    <w:rsid w:val="003D38E0"/>
    <w:rsid w:val="003D408B"/>
    <w:rsid w:val="003D4478"/>
    <w:rsid w:val="003D4848"/>
    <w:rsid w:val="003D59FF"/>
    <w:rsid w:val="003D5B96"/>
    <w:rsid w:val="003D5FAE"/>
    <w:rsid w:val="003D62A8"/>
    <w:rsid w:val="003D655D"/>
    <w:rsid w:val="003D69BB"/>
    <w:rsid w:val="003D732C"/>
    <w:rsid w:val="003E018D"/>
    <w:rsid w:val="003E0CA7"/>
    <w:rsid w:val="003E0CC6"/>
    <w:rsid w:val="003E0E35"/>
    <w:rsid w:val="003E3994"/>
    <w:rsid w:val="003E44E0"/>
    <w:rsid w:val="003E4D21"/>
    <w:rsid w:val="003E727A"/>
    <w:rsid w:val="003E7547"/>
    <w:rsid w:val="003F0197"/>
    <w:rsid w:val="003F10F2"/>
    <w:rsid w:val="003F1307"/>
    <w:rsid w:val="003F1F50"/>
    <w:rsid w:val="003F2436"/>
    <w:rsid w:val="003F554E"/>
    <w:rsid w:val="003F5DFB"/>
    <w:rsid w:val="003F631A"/>
    <w:rsid w:val="003F6E55"/>
    <w:rsid w:val="003F7D65"/>
    <w:rsid w:val="004002EA"/>
    <w:rsid w:val="004004EB"/>
    <w:rsid w:val="004006CC"/>
    <w:rsid w:val="004029AA"/>
    <w:rsid w:val="0040484B"/>
    <w:rsid w:val="00405F9B"/>
    <w:rsid w:val="00406B70"/>
    <w:rsid w:val="00406D76"/>
    <w:rsid w:val="00407A40"/>
    <w:rsid w:val="00410A95"/>
    <w:rsid w:val="00411A45"/>
    <w:rsid w:val="00412B62"/>
    <w:rsid w:val="0041384E"/>
    <w:rsid w:val="00414EC9"/>
    <w:rsid w:val="00414EE4"/>
    <w:rsid w:val="004151D9"/>
    <w:rsid w:val="004153F8"/>
    <w:rsid w:val="004157E3"/>
    <w:rsid w:val="004160A4"/>
    <w:rsid w:val="00417796"/>
    <w:rsid w:val="004203D9"/>
    <w:rsid w:val="004206BE"/>
    <w:rsid w:val="004207FB"/>
    <w:rsid w:val="00420BAC"/>
    <w:rsid w:val="00420C62"/>
    <w:rsid w:val="00420E8F"/>
    <w:rsid w:val="0042145A"/>
    <w:rsid w:val="00421A41"/>
    <w:rsid w:val="0042216E"/>
    <w:rsid w:val="004229E4"/>
    <w:rsid w:val="00422F79"/>
    <w:rsid w:val="00424B83"/>
    <w:rsid w:val="0042662F"/>
    <w:rsid w:val="0042669C"/>
    <w:rsid w:val="00426B58"/>
    <w:rsid w:val="00427954"/>
    <w:rsid w:val="004305BF"/>
    <w:rsid w:val="00431A66"/>
    <w:rsid w:val="0043288F"/>
    <w:rsid w:val="00432FE4"/>
    <w:rsid w:val="00433C52"/>
    <w:rsid w:val="004346ED"/>
    <w:rsid w:val="00434E4D"/>
    <w:rsid w:val="00435686"/>
    <w:rsid w:val="0043724F"/>
    <w:rsid w:val="0044025F"/>
    <w:rsid w:val="004404AA"/>
    <w:rsid w:val="00440F67"/>
    <w:rsid w:val="0044119C"/>
    <w:rsid w:val="004413B5"/>
    <w:rsid w:val="00442846"/>
    <w:rsid w:val="00442AD4"/>
    <w:rsid w:val="00442F48"/>
    <w:rsid w:val="004451E7"/>
    <w:rsid w:val="00445A49"/>
    <w:rsid w:val="00445C54"/>
    <w:rsid w:val="00445CC1"/>
    <w:rsid w:val="0044643B"/>
    <w:rsid w:val="004500C4"/>
    <w:rsid w:val="004506DA"/>
    <w:rsid w:val="0045083A"/>
    <w:rsid w:val="00451325"/>
    <w:rsid w:val="00451467"/>
    <w:rsid w:val="00452D58"/>
    <w:rsid w:val="00453F84"/>
    <w:rsid w:val="00454A12"/>
    <w:rsid w:val="00457006"/>
    <w:rsid w:val="00457084"/>
    <w:rsid w:val="0046025D"/>
    <w:rsid w:val="00461AB8"/>
    <w:rsid w:val="004631F5"/>
    <w:rsid w:val="00463240"/>
    <w:rsid w:val="00467B0A"/>
    <w:rsid w:val="00467B6E"/>
    <w:rsid w:val="00467CB8"/>
    <w:rsid w:val="004708BD"/>
    <w:rsid w:val="00471850"/>
    <w:rsid w:val="0047190B"/>
    <w:rsid w:val="00472B02"/>
    <w:rsid w:val="00473530"/>
    <w:rsid w:val="00473723"/>
    <w:rsid w:val="0047421A"/>
    <w:rsid w:val="00474D73"/>
    <w:rsid w:val="00475CA4"/>
    <w:rsid w:val="00476483"/>
    <w:rsid w:val="004766FF"/>
    <w:rsid w:val="00480C1A"/>
    <w:rsid w:val="00480C21"/>
    <w:rsid w:val="00481DE4"/>
    <w:rsid w:val="00481F22"/>
    <w:rsid w:val="00482C49"/>
    <w:rsid w:val="0048457E"/>
    <w:rsid w:val="0048469F"/>
    <w:rsid w:val="004846D4"/>
    <w:rsid w:val="00485744"/>
    <w:rsid w:val="004858D6"/>
    <w:rsid w:val="00485EFD"/>
    <w:rsid w:val="004862FD"/>
    <w:rsid w:val="00487765"/>
    <w:rsid w:val="00487C74"/>
    <w:rsid w:val="00487D11"/>
    <w:rsid w:val="00490E97"/>
    <w:rsid w:val="004926A3"/>
    <w:rsid w:val="00492A9E"/>
    <w:rsid w:val="00492D0F"/>
    <w:rsid w:val="00492E2D"/>
    <w:rsid w:val="00493D0B"/>
    <w:rsid w:val="0049444C"/>
    <w:rsid w:val="00495078"/>
    <w:rsid w:val="00495173"/>
    <w:rsid w:val="004954A9"/>
    <w:rsid w:val="00495AA7"/>
    <w:rsid w:val="004966BA"/>
    <w:rsid w:val="004A0063"/>
    <w:rsid w:val="004A3286"/>
    <w:rsid w:val="004A3E3F"/>
    <w:rsid w:val="004A49E9"/>
    <w:rsid w:val="004A4E1F"/>
    <w:rsid w:val="004A5D8B"/>
    <w:rsid w:val="004A5F86"/>
    <w:rsid w:val="004A6716"/>
    <w:rsid w:val="004A6801"/>
    <w:rsid w:val="004A69C0"/>
    <w:rsid w:val="004A6A1C"/>
    <w:rsid w:val="004A6BDC"/>
    <w:rsid w:val="004A6DE4"/>
    <w:rsid w:val="004A7610"/>
    <w:rsid w:val="004B148E"/>
    <w:rsid w:val="004B16C2"/>
    <w:rsid w:val="004B19E5"/>
    <w:rsid w:val="004B2C16"/>
    <w:rsid w:val="004B2E95"/>
    <w:rsid w:val="004B2EEF"/>
    <w:rsid w:val="004B30C3"/>
    <w:rsid w:val="004B3218"/>
    <w:rsid w:val="004B37B8"/>
    <w:rsid w:val="004B3A15"/>
    <w:rsid w:val="004B3C2E"/>
    <w:rsid w:val="004B3D18"/>
    <w:rsid w:val="004B4F44"/>
    <w:rsid w:val="004B5ECA"/>
    <w:rsid w:val="004B5FBB"/>
    <w:rsid w:val="004B6ED8"/>
    <w:rsid w:val="004B7002"/>
    <w:rsid w:val="004B7290"/>
    <w:rsid w:val="004B7A41"/>
    <w:rsid w:val="004C118C"/>
    <w:rsid w:val="004C1DB6"/>
    <w:rsid w:val="004C39FD"/>
    <w:rsid w:val="004C55DB"/>
    <w:rsid w:val="004C5AB3"/>
    <w:rsid w:val="004C5E74"/>
    <w:rsid w:val="004C6864"/>
    <w:rsid w:val="004C6B30"/>
    <w:rsid w:val="004C7022"/>
    <w:rsid w:val="004C74C2"/>
    <w:rsid w:val="004C7677"/>
    <w:rsid w:val="004D01BB"/>
    <w:rsid w:val="004D143D"/>
    <w:rsid w:val="004D21B9"/>
    <w:rsid w:val="004D3A48"/>
    <w:rsid w:val="004D3D93"/>
    <w:rsid w:val="004D4A9B"/>
    <w:rsid w:val="004D4FAE"/>
    <w:rsid w:val="004D5C7F"/>
    <w:rsid w:val="004D60C9"/>
    <w:rsid w:val="004D635F"/>
    <w:rsid w:val="004D6CD9"/>
    <w:rsid w:val="004D7383"/>
    <w:rsid w:val="004D7488"/>
    <w:rsid w:val="004D781A"/>
    <w:rsid w:val="004E0353"/>
    <w:rsid w:val="004E0DF1"/>
    <w:rsid w:val="004E1958"/>
    <w:rsid w:val="004E2F81"/>
    <w:rsid w:val="004E4274"/>
    <w:rsid w:val="004E4D08"/>
    <w:rsid w:val="004E5033"/>
    <w:rsid w:val="004E5210"/>
    <w:rsid w:val="004E5D5D"/>
    <w:rsid w:val="004E6746"/>
    <w:rsid w:val="004E6D16"/>
    <w:rsid w:val="004E6D49"/>
    <w:rsid w:val="004E74B3"/>
    <w:rsid w:val="004F01E2"/>
    <w:rsid w:val="004F118F"/>
    <w:rsid w:val="004F12C6"/>
    <w:rsid w:val="004F2F0C"/>
    <w:rsid w:val="004F3F5D"/>
    <w:rsid w:val="004F4971"/>
    <w:rsid w:val="004F5C17"/>
    <w:rsid w:val="004F63B7"/>
    <w:rsid w:val="004F7902"/>
    <w:rsid w:val="005010A1"/>
    <w:rsid w:val="0050130B"/>
    <w:rsid w:val="00501DE0"/>
    <w:rsid w:val="0050289D"/>
    <w:rsid w:val="005029F7"/>
    <w:rsid w:val="00503634"/>
    <w:rsid w:val="0050511A"/>
    <w:rsid w:val="00505F84"/>
    <w:rsid w:val="00506E3A"/>
    <w:rsid w:val="00507019"/>
    <w:rsid w:val="00507C7E"/>
    <w:rsid w:val="0051027F"/>
    <w:rsid w:val="00510E5B"/>
    <w:rsid w:val="005119AA"/>
    <w:rsid w:val="00512145"/>
    <w:rsid w:val="00512CB5"/>
    <w:rsid w:val="00512F05"/>
    <w:rsid w:val="0051378E"/>
    <w:rsid w:val="00515691"/>
    <w:rsid w:val="00515DE4"/>
    <w:rsid w:val="005166CC"/>
    <w:rsid w:val="00516A0E"/>
    <w:rsid w:val="00517655"/>
    <w:rsid w:val="00517840"/>
    <w:rsid w:val="005204F7"/>
    <w:rsid w:val="005210CA"/>
    <w:rsid w:val="005219DF"/>
    <w:rsid w:val="00521C7E"/>
    <w:rsid w:val="00522161"/>
    <w:rsid w:val="005231FE"/>
    <w:rsid w:val="00523825"/>
    <w:rsid w:val="0052411F"/>
    <w:rsid w:val="0052462F"/>
    <w:rsid w:val="005246C0"/>
    <w:rsid w:val="00524DD5"/>
    <w:rsid w:val="00524E31"/>
    <w:rsid w:val="005250A3"/>
    <w:rsid w:val="00525166"/>
    <w:rsid w:val="005251F2"/>
    <w:rsid w:val="00525A26"/>
    <w:rsid w:val="00526913"/>
    <w:rsid w:val="00527510"/>
    <w:rsid w:val="005276BA"/>
    <w:rsid w:val="00530D29"/>
    <w:rsid w:val="00530FC6"/>
    <w:rsid w:val="005311C6"/>
    <w:rsid w:val="00531242"/>
    <w:rsid w:val="0053147D"/>
    <w:rsid w:val="00531487"/>
    <w:rsid w:val="0053231D"/>
    <w:rsid w:val="00532552"/>
    <w:rsid w:val="00533AE8"/>
    <w:rsid w:val="00534347"/>
    <w:rsid w:val="00534436"/>
    <w:rsid w:val="005346F0"/>
    <w:rsid w:val="0053480C"/>
    <w:rsid w:val="005358E7"/>
    <w:rsid w:val="00535BB5"/>
    <w:rsid w:val="00536893"/>
    <w:rsid w:val="0054032F"/>
    <w:rsid w:val="00540441"/>
    <w:rsid w:val="00540C79"/>
    <w:rsid w:val="0054186A"/>
    <w:rsid w:val="0054202E"/>
    <w:rsid w:val="005420AC"/>
    <w:rsid w:val="00543989"/>
    <w:rsid w:val="00543A55"/>
    <w:rsid w:val="00544905"/>
    <w:rsid w:val="00545A2D"/>
    <w:rsid w:val="00546328"/>
    <w:rsid w:val="00546CA8"/>
    <w:rsid w:val="00551BEE"/>
    <w:rsid w:val="00552887"/>
    <w:rsid w:val="00553122"/>
    <w:rsid w:val="00556974"/>
    <w:rsid w:val="00557142"/>
    <w:rsid w:val="00557621"/>
    <w:rsid w:val="005577FD"/>
    <w:rsid w:val="005604A9"/>
    <w:rsid w:val="0056073F"/>
    <w:rsid w:val="00560935"/>
    <w:rsid w:val="00560D19"/>
    <w:rsid w:val="00562071"/>
    <w:rsid w:val="0056209D"/>
    <w:rsid w:val="00563568"/>
    <w:rsid w:val="00563C65"/>
    <w:rsid w:val="00563E24"/>
    <w:rsid w:val="0056571E"/>
    <w:rsid w:val="00565A4B"/>
    <w:rsid w:val="00566226"/>
    <w:rsid w:val="0056753D"/>
    <w:rsid w:val="005678E7"/>
    <w:rsid w:val="005707BF"/>
    <w:rsid w:val="00571666"/>
    <w:rsid w:val="005723D2"/>
    <w:rsid w:val="00572934"/>
    <w:rsid w:val="00572A71"/>
    <w:rsid w:val="0057370B"/>
    <w:rsid w:val="00574632"/>
    <w:rsid w:val="00574ACC"/>
    <w:rsid w:val="005753F2"/>
    <w:rsid w:val="005755A0"/>
    <w:rsid w:val="00575723"/>
    <w:rsid w:val="00575E00"/>
    <w:rsid w:val="005774EB"/>
    <w:rsid w:val="00577C62"/>
    <w:rsid w:val="005808A3"/>
    <w:rsid w:val="00580B18"/>
    <w:rsid w:val="00580ED5"/>
    <w:rsid w:val="00581257"/>
    <w:rsid w:val="005816C5"/>
    <w:rsid w:val="00581C99"/>
    <w:rsid w:val="00583F53"/>
    <w:rsid w:val="00584E1B"/>
    <w:rsid w:val="00585A5E"/>
    <w:rsid w:val="0058610D"/>
    <w:rsid w:val="00586141"/>
    <w:rsid w:val="00587307"/>
    <w:rsid w:val="00587C62"/>
    <w:rsid w:val="0059088E"/>
    <w:rsid w:val="00590895"/>
    <w:rsid w:val="0059117B"/>
    <w:rsid w:val="00592503"/>
    <w:rsid w:val="005938B2"/>
    <w:rsid w:val="00594765"/>
    <w:rsid w:val="00594D9A"/>
    <w:rsid w:val="00595DC0"/>
    <w:rsid w:val="005968EC"/>
    <w:rsid w:val="00596951"/>
    <w:rsid w:val="00597059"/>
    <w:rsid w:val="005A08ED"/>
    <w:rsid w:val="005A0988"/>
    <w:rsid w:val="005A0B1D"/>
    <w:rsid w:val="005A15B7"/>
    <w:rsid w:val="005A1669"/>
    <w:rsid w:val="005A1AA1"/>
    <w:rsid w:val="005A1EBA"/>
    <w:rsid w:val="005A2294"/>
    <w:rsid w:val="005A248D"/>
    <w:rsid w:val="005A32DE"/>
    <w:rsid w:val="005A391F"/>
    <w:rsid w:val="005A4F64"/>
    <w:rsid w:val="005A6673"/>
    <w:rsid w:val="005A793A"/>
    <w:rsid w:val="005B052A"/>
    <w:rsid w:val="005B0D50"/>
    <w:rsid w:val="005B1B46"/>
    <w:rsid w:val="005B2B77"/>
    <w:rsid w:val="005B319E"/>
    <w:rsid w:val="005B36A8"/>
    <w:rsid w:val="005B3AE5"/>
    <w:rsid w:val="005B41FD"/>
    <w:rsid w:val="005B435C"/>
    <w:rsid w:val="005B43A3"/>
    <w:rsid w:val="005B5023"/>
    <w:rsid w:val="005B64EA"/>
    <w:rsid w:val="005B7601"/>
    <w:rsid w:val="005B7CEF"/>
    <w:rsid w:val="005B7E87"/>
    <w:rsid w:val="005C0027"/>
    <w:rsid w:val="005C00A3"/>
    <w:rsid w:val="005C03BB"/>
    <w:rsid w:val="005C0E38"/>
    <w:rsid w:val="005C26E3"/>
    <w:rsid w:val="005C2FF2"/>
    <w:rsid w:val="005C3FF0"/>
    <w:rsid w:val="005C4B7F"/>
    <w:rsid w:val="005C5625"/>
    <w:rsid w:val="005C5D5E"/>
    <w:rsid w:val="005D16C9"/>
    <w:rsid w:val="005D180A"/>
    <w:rsid w:val="005D1D6D"/>
    <w:rsid w:val="005D21AE"/>
    <w:rsid w:val="005D3D74"/>
    <w:rsid w:val="005D4F7A"/>
    <w:rsid w:val="005D590B"/>
    <w:rsid w:val="005D5A9E"/>
    <w:rsid w:val="005D5BF7"/>
    <w:rsid w:val="005D5C84"/>
    <w:rsid w:val="005D70C1"/>
    <w:rsid w:val="005D7C4F"/>
    <w:rsid w:val="005E0A2F"/>
    <w:rsid w:val="005E119C"/>
    <w:rsid w:val="005E158B"/>
    <w:rsid w:val="005E20AE"/>
    <w:rsid w:val="005E25CC"/>
    <w:rsid w:val="005E28BA"/>
    <w:rsid w:val="005E393A"/>
    <w:rsid w:val="005E3EF4"/>
    <w:rsid w:val="005E4052"/>
    <w:rsid w:val="005E4DD6"/>
    <w:rsid w:val="005E5E74"/>
    <w:rsid w:val="005E6121"/>
    <w:rsid w:val="005E6C6B"/>
    <w:rsid w:val="005E704E"/>
    <w:rsid w:val="005E70E2"/>
    <w:rsid w:val="005E7470"/>
    <w:rsid w:val="005E77E8"/>
    <w:rsid w:val="005F0B4F"/>
    <w:rsid w:val="005F0CF6"/>
    <w:rsid w:val="005F1360"/>
    <w:rsid w:val="005F1F96"/>
    <w:rsid w:val="005F293D"/>
    <w:rsid w:val="005F3EE3"/>
    <w:rsid w:val="005F4722"/>
    <w:rsid w:val="005F6B9D"/>
    <w:rsid w:val="005F78BD"/>
    <w:rsid w:val="005F7BC5"/>
    <w:rsid w:val="0060085D"/>
    <w:rsid w:val="006012B3"/>
    <w:rsid w:val="006019BF"/>
    <w:rsid w:val="00601F06"/>
    <w:rsid w:val="006027D5"/>
    <w:rsid w:val="00603131"/>
    <w:rsid w:val="006036EF"/>
    <w:rsid w:val="00603BEF"/>
    <w:rsid w:val="00604037"/>
    <w:rsid w:val="006047E1"/>
    <w:rsid w:val="00604A6A"/>
    <w:rsid w:val="00605280"/>
    <w:rsid w:val="00605471"/>
    <w:rsid w:val="00605A09"/>
    <w:rsid w:val="006060B6"/>
    <w:rsid w:val="00606A31"/>
    <w:rsid w:val="00606FE6"/>
    <w:rsid w:val="006078D3"/>
    <w:rsid w:val="006105F7"/>
    <w:rsid w:val="00610B5C"/>
    <w:rsid w:val="00611141"/>
    <w:rsid w:val="00611832"/>
    <w:rsid w:val="006119C8"/>
    <w:rsid w:val="00611A77"/>
    <w:rsid w:val="00611DEF"/>
    <w:rsid w:val="0061295C"/>
    <w:rsid w:val="00613B71"/>
    <w:rsid w:val="00613C43"/>
    <w:rsid w:val="00614410"/>
    <w:rsid w:val="00614519"/>
    <w:rsid w:val="0061540B"/>
    <w:rsid w:val="006154F8"/>
    <w:rsid w:val="0061552F"/>
    <w:rsid w:val="00615802"/>
    <w:rsid w:val="00615849"/>
    <w:rsid w:val="0061610B"/>
    <w:rsid w:val="00617469"/>
    <w:rsid w:val="0061785D"/>
    <w:rsid w:val="006178B5"/>
    <w:rsid w:val="006179B5"/>
    <w:rsid w:val="00620604"/>
    <w:rsid w:val="0062084F"/>
    <w:rsid w:val="00620FF1"/>
    <w:rsid w:val="00621449"/>
    <w:rsid w:val="00621D53"/>
    <w:rsid w:val="00621F02"/>
    <w:rsid w:val="00622543"/>
    <w:rsid w:val="00622A98"/>
    <w:rsid w:val="00622BD8"/>
    <w:rsid w:val="006240DD"/>
    <w:rsid w:val="00624C93"/>
    <w:rsid w:val="00624E26"/>
    <w:rsid w:val="00625379"/>
    <w:rsid w:val="00625E41"/>
    <w:rsid w:val="0062610B"/>
    <w:rsid w:val="0062656C"/>
    <w:rsid w:val="006267F2"/>
    <w:rsid w:val="00626B34"/>
    <w:rsid w:val="0062723D"/>
    <w:rsid w:val="00627D0C"/>
    <w:rsid w:val="0063060A"/>
    <w:rsid w:val="0063090A"/>
    <w:rsid w:val="00630CA2"/>
    <w:rsid w:val="00631B7E"/>
    <w:rsid w:val="0063231E"/>
    <w:rsid w:val="00633A02"/>
    <w:rsid w:val="00635730"/>
    <w:rsid w:val="0063583D"/>
    <w:rsid w:val="006358F2"/>
    <w:rsid w:val="00635C2D"/>
    <w:rsid w:val="00636140"/>
    <w:rsid w:val="006368B4"/>
    <w:rsid w:val="00636EA4"/>
    <w:rsid w:val="006372A7"/>
    <w:rsid w:val="006373C2"/>
    <w:rsid w:val="00637762"/>
    <w:rsid w:val="00637BDB"/>
    <w:rsid w:val="006408C6"/>
    <w:rsid w:val="00640A11"/>
    <w:rsid w:val="00640C5F"/>
    <w:rsid w:val="00642CF6"/>
    <w:rsid w:val="00642F0E"/>
    <w:rsid w:val="006437BA"/>
    <w:rsid w:val="006443D2"/>
    <w:rsid w:val="00645AC3"/>
    <w:rsid w:val="00646C55"/>
    <w:rsid w:val="00646F18"/>
    <w:rsid w:val="006478BB"/>
    <w:rsid w:val="00647BC5"/>
    <w:rsid w:val="00650F50"/>
    <w:rsid w:val="006511FB"/>
    <w:rsid w:val="00651B2E"/>
    <w:rsid w:val="00653F86"/>
    <w:rsid w:val="006542A4"/>
    <w:rsid w:val="006542AE"/>
    <w:rsid w:val="006550B1"/>
    <w:rsid w:val="0065556A"/>
    <w:rsid w:val="00655689"/>
    <w:rsid w:val="00655ED9"/>
    <w:rsid w:val="006571E8"/>
    <w:rsid w:val="00657D96"/>
    <w:rsid w:val="00660627"/>
    <w:rsid w:val="00660A0C"/>
    <w:rsid w:val="00660B45"/>
    <w:rsid w:val="0066146A"/>
    <w:rsid w:val="006616CA"/>
    <w:rsid w:val="0066281D"/>
    <w:rsid w:val="00662DF7"/>
    <w:rsid w:val="00664034"/>
    <w:rsid w:val="0066492F"/>
    <w:rsid w:val="00664D56"/>
    <w:rsid w:val="006652FE"/>
    <w:rsid w:val="00665DDE"/>
    <w:rsid w:val="00665F92"/>
    <w:rsid w:val="0066606E"/>
    <w:rsid w:val="006661D4"/>
    <w:rsid w:val="00666E07"/>
    <w:rsid w:val="00666F24"/>
    <w:rsid w:val="00670347"/>
    <w:rsid w:val="00670578"/>
    <w:rsid w:val="0067101D"/>
    <w:rsid w:val="006710F1"/>
    <w:rsid w:val="0067117F"/>
    <w:rsid w:val="00671F6F"/>
    <w:rsid w:val="0067274A"/>
    <w:rsid w:val="00673616"/>
    <w:rsid w:val="00673B36"/>
    <w:rsid w:val="00674700"/>
    <w:rsid w:val="00674925"/>
    <w:rsid w:val="00674F64"/>
    <w:rsid w:val="00681715"/>
    <w:rsid w:val="00681904"/>
    <w:rsid w:val="00681D89"/>
    <w:rsid w:val="00682070"/>
    <w:rsid w:val="00682483"/>
    <w:rsid w:val="00682794"/>
    <w:rsid w:val="0068339F"/>
    <w:rsid w:val="0068384A"/>
    <w:rsid w:val="006843D9"/>
    <w:rsid w:val="006844B0"/>
    <w:rsid w:val="006850BD"/>
    <w:rsid w:val="00686007"/>
    <w:rsid w:val="00687315"/>
    <w:rsid w:val="0069059A"/>
    <w:rsid w:val="006905A6"/>
    <w:rsid w:val="00690CB5"/>
    <w:rsid w:val="006914BA"/>
    <w:rsid w:val="00691BFC"/>
    <w:rsid w:val="00693054"/>
    <w:rsid w:val="006939B8"/>
    <w:rsid w:val="00693AF1"/>
    <w:rsid w:val="006943A1"/>
    <w:rsid w:val="006943AD"/>
    <w:rsid w:val="0069484F"/>
    <w:rsid w:val="0069524B"/>
    <w:rsid w:val="0069526B"/>
    <w:rsid w:val="00695DD8"/>
    <w:rsid w:val="00696ABC"/>
    <w:rsid w:val="00696FD3"/>
    <w:rsid w:val="006A050C"/>
    <w:rsid w:val="006A0F6F"/>
    <w:rsid w:val="006A152E"/>
    <w:rsid w:val="006A1B9F"/>
    <w:rsid w:val="006A29FF"/>
    <w:rsid w:val="006A2DDF"/>
    <w:rsid w:val="006A2DE4"/>
    <w:rsid w:val="006A3AC3"/>
    <w:rsid w:val="006A448C"/>
    <w:rsid w:val="006A46B3"/>
    <w:rsid w:val="006A46C1"/>
    <w:rsid w:val="006A52E2"/>
    <w:rsid w:val="006A67F4"/>
    <w:rsid w:val="006A7638"/>
    <w:rsid w:val="006B008B"/>
    <w:rsid w:val="006B0BE5"/>
    <w:rsid w:val="006B1186"/>
    <w:rsid w:val="006B15DE"/>
    <w:rsid w:val="006B1F7C"/>
    <w:rsid w:val="006B24FB"/>
    <w:rsid w:val="006B2BFE"/>
    <w:rsid w:val="006B395B"/>
    <w:rsid w:val="006B4D2F"/>
    <w:rsid w:val="006B5B2B"/>
    <w:rsid w:val="006B6A53"/>
    <w:rsid w:val="006B7A0B"/>
    <w:rsid w:val="006C0605"/>
    <w:rsid w:val="006C0696"/>
    <w:rsid w:val="006C1318"/>
    <w:rsid w:val="006C15E8"/>
    <w:rsid w:val="006C17BA"/>
    <w:rsid w:val="006C1F46"/>
    <w:rsid w:val="006C2999"/>
    <w:rsid w:val="006C3A47"/>
    <w:rsid w:val="006C3B17"/>
    <w:rsid w:val="006C3C94"/>
    <w:rsid w:val="006C4533"/>
    <w:rsid w:val="006C5061"/>
    <w:rsid w:val="006C532E"/>
    <w:rsid w:val="006C5C20"/>
    <w:rsid w:val="006C6216"/>
    <w:rsid w:val="006C754A"/>
    <w:rsid w:val="006D139D"/>
    <w:rsid w:val="006D2F31"/>
    <w:rsid w:val="006D411A"/>
    <w:rsid w:val="006D44A3"/>
    <w:rsid w:val="006D4F22"/>
    <w:rsid w:val="006D5321"/>
    <w:rsid w:val="006D5D30"/>
    <w:rsid w:val="006D5F5C"/>
    <w:rsid w:val="006D5FBD"/>
    <w:rsid w:val="006D6BB8"/>
    <w:rsid w:val="006D6E21"/>
    <w:rsid w:val="006D707A"/>
    <w:rsid w:val="006D7286"/>
    <w:rsid w:val="006D7606"/>
    <w:rsid w:val="006E02E3"/>
    <w:rsid w:val="006E0AA7"/>
    <w:rsid w:val="006E172C"/>
    <w:rsid w:val="006E1EC7"/>
    <w:rsid w:val="006E213D"/>
    <w:rsid w:val="006E3BC9"/>
    <w:rsid w:val="006E57B1"/>
    <w:rsid w:val="006E5B45"/>
    <w:rsid w:val="006E62FE"/>
    <w:rsid w:val="006E6859"/>
    <w:rsid w:val="006E6D1A"/>
    <w:rsid w:val="006F03D3"/>
    <w:rsid w:val="006F0A03"/>
    <w:rsid w:val="006F0E35"/>
    <w:rsid w:val="006F0EAB"/>
    <w:rsid w:val="006F11C4"/>
    <w:rsid w:val="006F1BA2"/>
    <w:rsid w:val="006F2126"/>
    <w:rsid w:val="006F23F5"/>
    <w:rsid w:val="006F257A"/>
    <w:rsid w:val="006F2650"/>
    <w:rsid w:val="006F28B4"/>
    <w:rsid w:val="006F2B17"/>
    <w:rsid w:val="006F2C5A"/>
    <w:rsid w:val="006F362C"/>
    <w:rsid w:val="006F3BED"/>
    <w:rsid w:val="006F4399"/>
    <w:rsid w:val="006F4E90"/>
    <w:rsid w:val="006F4FCC"/>
    <w:rsid w:val="006F5002"/>
    <w:rsid w:val="007008A0"/>
    <w:rsid w:val="0070324B"/>
    <w:rsid w:val="007035A3"/>
    <w:rsid w:val="007038B7"/>
    <w:rsid w:val="00703AF4"/>
    <w:rsid w:val="007046D0"/>
    <w:rsid w:val="0070669A"/>
    <w:rsid w:val="00706B0E"/>
    <w:rsid w:val="007071C9"/>
    <w:rsid w:val="00707E23"/>
    <w:rsid w:val="007106C4"/>
    <w:rsid w:val="00710E91"/>
    <w:rsid w:val="00711282"/>
    <w:rsid w:val="007114F2"/>
    <w:rsid w:val="00711F64"/>
    <w:rsid w:val="00712468"/>
    <w:rsid w:val="007128C3"/>
    <w:rsid w:val="007132AD"/>
    <w:rsid w:val="00713518"/>
    <w:rsid w:val="00713D24"/>
    <w:rsid w:val="00714357"/>
    <w:rsid w:val="0071492C"/>
    <w:rsid w:val="007152A3"/>
    <w:rsid w:val="007153EA"/>
    <w:rsid w:val="0071639B"/>
    <w:rsid w:val="00716DC3"/>
    <w:rsid w:val="00721533"/>
    <w:rsid w:val="00723A01"/>
    <w:rsid w:val="00723B3F"/>
    <w:rsid w:val="00723D41"/>
    <w:rsid w:val="00724CE6"/>
    <w:rsid w:val="00724F0B"/>
    <w:rsid w:val="0072501B"/>
    <w:rsid w:val="00726CE5"/>
    <w:rsid w:val="0073059D"/>
    <w:rsid w:val="007310DC"/>
    <w:rsid w:val="0073138F"/>
    <w:rsid w:val="007316DC"/>
    <w:rsid w:val="00731A5D"/>
    <w:rsid w:val="00731A98"/>
    <w:rsid w:val="00731CB3"/>
    <w:rsid w:val="00731DA3"/>
    <w:rsid w:val="00732453"/>
    <w:rsid w:val="00732D74"/>
    <w:rsid w:val="00732EB7"/>
    <w:rsid w:val="00732FF7"/>
    <w:rsid w:val="0073324C"/>
    <w:rsid w:val="007338D0"/>
    <w:rsid w:val="00734360"/>
    <w:rsid w:val="007369C8"/>
    <w:rsid w:val="0073799E"/>
    <w:rsid w:val="00737E19"/>
    <w:rsid w:val="007409B9"/>
    <w:rsid w:val="00740E9F"/>
    <w:rsid w:val="007419F0"/>
    <w:rsid w:val="00741FA5"/>
    <w:rsid w:val="007420BD"/>
    <w:rsid w:val="007428F8"/>
    <w:rsid w:val="0074440D"/>
    <w:rsid w:val="00744F08"/>
    <w:rsid w:val="00745416"/>
    <w:rsid w:val="00745442"/>
    <w:rsid w:val="007458A1"/>
    <w:rsid w:val="00745CDF"/>
    <w:rsid w:val="00746688"/>
    <w:rsid w:val="0074725D"/>
    <w:rsid w:val="00747FED"/>
    <w:rsid w:val="0075015D"/>
    <w:rsid w:val="00750406"/>
    <w:rsid w:val="007506A5"/>
    <w:rsid w:val="0075099C"/>
    <w:rsid w:val="00750C97"/>
    <w:rsid w:val="0075123B"/>
    <w:rsid w:val="00751FA3"/>
    <w:rsid w:val="00752AEE"/>
    <w:rsid w:val="0075418F"/>
    <w:rsid w:val="00754354"/>
    <w:rsid w:val="00754B07"/>
    <w:rsid w:val="007557A9"/>
    <w:rsid w:val="0075703F"/>
    <w:rsid w:val="00760830"/>
    <w:rsid w:val="0076086E"/>
    <w:rsid w:val="00760EF8"/>
    <w:rsid w:val="00762E14"/>
    <w:rsid w:val="00763D66"/>
    <w:rsid w:val="0076422F"/>
    <w:rsid w:val="007643BF"/>
    <w:rsid w:val="00765304"/>
    <w:rsid w:val="00765610"/>
    <w:rsid w:val="00765BDC"/>
    <w:rsid w:val="00766FA4"/>
    <w:rsid w:val="007670E7"/>
    <w:rsid w:val="0077008E"/>
    <w:rsid w:val="00770DC2"/>
    <w:rsid w:val="00771162"/>
    <w:rsid w:val="0077192D"/>
    <w:rsid w:val="00772FAB"/>
    <w:rsid w:val="00773593"/>
    <w:rsid w:val="0077429F"/>
    <w:rsid w:val="0077439B"/>
    <w:rsid w:val="00774B08"/>
    <w:rsid w:val="00774D12"/>
    <w:rsid w:val="007751C5"/>
    <w:rsid w:val="00775414"/>
    <w:rsid w:val="00776300"/>
    <w:rsid w:val="0077663D"/>
    <w:rsid w:val="007772E3"/>
    <w:rsid w:val="0077754B"/>
    <w:rsid w:val="00777E04"/>
    <w:rsid w:val="0078088E"/>
    <w:rsid w:val="00782BFF"/>
    <w:rsid w:val="007840C5"/>
    <w:rsid w:val="0078540F"/>
    <w:rsid w:val="00785448"/>
    <w:rsid w:val="00785FB5"/>
    <w:rsid w:val="00786D52"/>
    <w:rsid w:val="00790457"/>
    <w:rsid w:val="00790882"/>
    <w:rsid w:val="0079170C"/>
    <w:rsid w:val="00791715"/>
    <w:rsid w:val="00791C27"/>
    <w:rsid w:val="00791D31"/>
    <w:rsid w:val="007923C6"/>
    <w:rsid w:val="00792A64"/>
    <w:rsid w:val="007932D3"/>
    <w:rsid w:val="0079356F"/>
    <w:rsid w:val="007935E8"/>
    <w:rsid w:val="00793A03"/>
    <w:rsid w:val="00793A9B"/>
    <w:rsid w:val="00794D93"/>
    <w:rsid w:val="00794FF8"/>
    <w:rsid w:val="00795216"/>
    <w:rsid w:val="0079606A"/>
    <w:rsid w:val="00796743"/>
    <w:rsid w:val="00796E36"/>
    <w:rsid w:val="007A04B9"/>
    <w:rsid w:val="007A0B96"/>
    <w:rsid w:val="007A13F4"/>
    <w:rsid w:val="007A1873"/>
    <w:rsid w:val="007A1F4F"/>
    <w:rsid w:val="007A25A0"/>
    <w:rsid w:val="007A34BD"/>
    <w:rsid w:val="007A3719"/>
    <w:rsid w:val="007A39B3"/>
    <w:rsid w:val="007A3B4B"/>
    <w:rsid w:val="007A3EEC"/>
    <w:rsid w:val="007A442A"/>
    <w:rsid w:val="007A4B77"/>
    <w:rsid w:val="007A55DB"/>
    <w:rsid w:val="007B0F11"/>
    <w:rsid w:val="007B1CE3"/>
    <w:rsid w:val="007B2107"/>
    <w:rsid w:val="007B24D1"/>
    <w:rsid w:val="007B2601"/>
    <w:rsid w:val="007B28D8"/>
    <w:rsid w:val="007B2E2B"/>
    <w:rsid w:val="007B3C50"/>
    <w:rsid w:val="007B519E"/>
    <w:rsid w:val="007B7899"/>
    <w:rsid w:val="007B7B62"/>
    <w:rsid w:val="007C0BBB"/>
    <w:rsid w:val="007C0CA8"/>
    <w:rsid w:val="007C0E6C"/>
    <w:rsid w:val="007C1598"/>
    <w:rsid w:val="007C1719"/>
    <w:rsid w:val="007C1F08"/>
    <w:rsid w:val="007C2616"/>
    <w:rsid w:val="007C27A6"/>
    <w:rsid w:val="007C38D9"/>
    <w:rsid w:val="007C44D1"/>
    <w:rsid w:val="007C5342"/>
    <w:rsid w:val="007C582F"/>
    <w:rsid w:val="007C5D05"/>
    <w:rsid w:val="007C73CF"/>
    <w:rsid w:val="007C7630"/>
    <w:rsid w:val="007D0022"/>
    <w:rsid w:val="007D14F3"/>
    <w:rsid w:val="007D2014"/>
    <w:rsid w:val="007D39A1"/>
    <w:rsid w:val="007D4E02"/>
    <w:rsid w:val="007D5437"/>
    <w:rsid w:val="007D58EC"/>
    <w:rsid w:val="007D5AAE"/>
    <w:rsid w:val="007D6113"/>
    <w:rsid w:val="007D6ECC"/>
    <w:rsid w:val="007D6FA9"/>
    <w:rsid w:val="007D7D71"/>
    <w:rsid w:val="007E0F18"/>
    <w:rsid w:val="007E17D6"/>
    <w:rsid w:val="007E237E"/>
    <w:rsid w:val="007E24DB"/>
    <w:rsid w:val="007E338C"/>
    <w:rsid w:val="007E3FC6"/>
    <w:rsid w:val="007E467F"/>
    <w:rsid w:val="007E52F8"/>
    <w:rsid w:val="007E5B04"/>
    <w:rsid w:val="007E5B4D"/>
    <w:rsid w:val="007E5F02"/>
    <w:rsid w:val="007E65FE"/>
    <w:rsid w:val="007E6AD1"/>
    <w:rsid w:val="007E6D60"/>
    <w:rsid w:val="007E782A"/>
    <w:rsid w:val="007F0291"/>
    <w:rsid w:val="007F03A5"/>
    <w:rsid w:val="007F118F"/>
    <w:rsid w:val="007F1AAD"/>
    <w:rsid w:val="007F1C07"/>
    <w:rsid w:val="007F2124"/>
    <w:rsid w:val="007F27EF"/>
    <w:rsid w:val="007F2BD2"/>
    <w:rsid w:val="007F4CC1"/>
    <w:rsid w:val="007F50C7"/>
    <w:rsid w:val="007F5194"/>
    <w:rsid w:val="007F558E"/>
    <w:rsid w:val="007F5CD6"/>
    <w:rsid w:val="007F735C"/>
    <w:rsid w:val="007F753A"/>
    <w:rsid w:val="007F7E3C"/>
    <w:rsid w:val="0080019F"/>
    <w:rsid w:val="00801218"/>
    <w:rsid w:val="00801FB8"/>
    <w:rsid w:val="0080231D"/>
    <w:rsid w:val="0080240E"/>
    <w:rsid w:val="00802AAD"/>
    <w:rsid w:val="00802C36"/>
    <w:rsid w:val="0080338F"/>
    <w:rsid w:val="00803BA1"/>
    <w:rsid w:val="00803E79"/>
    <w:rsid w:val="00804062"/>
    <w:rsid w:val="008048D9"/>
    <w:rsid w:val="00804CC8"/>
    <w:rsid w:val="00804F55"/>
    <w:rsid w:val="00805274"/>
    <w:rsid w:val="0080569B"/>
    <w:rsid w:val="00805CE3"/>
    <w:rsid w:val="00805D6F"/>
    <w:rsid w:val="008068CC"/>
    <w:rsid w:val="00807802"/>
    <w:rsid w:val="0081037B"/>
    <w:rsid w:val="00810AE4"/>
    <w:rsid w:val="008127C4"/>
    <w:rsid w:val="00812F5C"/>
    <w:rsid w:val="00812F70"/>
    <w:rsid w:val="0081329C"/>
    <w:rsid w:val="0081364F"/>
    <w:rsid w:val="00813845"/>
    <w:rsid w:val="00813DF4"/>
    <w:rsid w:val="00815174"/>
    <w:rsid w:val="00815397"/>
    <w:rsid w:val="00815B75"/>
    <w:rsid w:val="00815C90"/>
    <w:rsid w:val="00816BC1"/>
    <w:rsid w:val="00817104"/>
    <w:rsid w:val="00817C42"/>
    <w:rsid w:val="00820747"/>
    <w:rsid w:val="0082085D"/>
    <w:rsid w:val="00821128"/>
    <w:rsid w:val="0082115B"/>
    <w:rsid w:val="00821228"/>
    <w:rsid w:val="008212E4"/>
    <w:rsid w:val="00821346"/>
    <w:rsid w:val="008216CF"/>
    <w:rsid w:val="00821935"/>
    <w:rsid w:val="00821DC6"/>
    <w:rsid w:val="0082298C"/>
    <w:rsid w:val="00822B9E"/>
    <w:rsid w:val="00822DB0"/>
    <w:rsid w:val="008231E4"/>
    <w:rsid w:val="00823D1E"/>
    <w:rsid w:val="00827525"/>
    <w:rsid w:val="008275D5"/>
    <w:rsid w:val="00827EBF"/>
    <w:rsid w:val="00827F11"/>
    <w:rsid w:val="00830DDB"/>
    <w:rsid w:val="00831A18"/>
    <w:rsid w:val="0083205D"/>
    <w:rsid w:val="0083292D"/>
    <w:rsid w:val="00832937"/>
    <w:rsid w:val="00833E08"/>
    <w:rsid w:val="0083412E"/>
    <w:rsid w:val="0083490D"/>
    <w:rsid w:val="00834A32"/>
    <w:rsid w:val="00835838"/>
    <w:rsid w:val="00835CB8"/>
    <w:rsid w:val="00836346"/>
    <w:rsid w:val="0083635E"/>
    <w:rsid w:val="00836419"/>
    <w:rsid w:val="008369A6"/>
    <w:rsid w:val="00836CB6"/>
    <w:rsid w:val="00837E30"/>
    <w:rsid w:val="00840296"/>
    <w:rsid w:val="00840472"/>
    <w:rsid w:val="00840C52"/>
    <w:rsid w:val="008420D4"/>
    <w:rsid w:val="00842576"/>
    <w:rsid w:val="00842CCD"/>
    <w:rsid w:val="00844202"/>
    <w:rsid w:val="00844222"/>
    <w:rsid w:val="008450A2"/>
    <w:rsid w:val="008450FD"/>
    <w:rsid w:val="00845352"/>
    <w:rsid w:val="00845797"/>
    <w:rsid w:val="00845B69"/>
    <w:rsid w:val="00845D7B"/>
    <w:rsid w:val="00845E5B"/>
    <w:rsid w:val="00845E70"/>
    <w:rsid w:val="00846E6A"/>
    <w:rsid w:val="00846F77"/>
    <w:rsid w:val="0084702F"/>
    <w:rsid w:val="00847624"/>
    <w:rsid w:val="00847B49"/>
    <w:rsid w:val="00847D5F"/>
    <w:rsid w:val="0085104B"/>
    <w:rsid w:val="00851633"/>
    <w:rsid w:val="0085204B"/>
    <w:rsid w:val="008524A0"/>
    <w:rsid w:val="00853771"/>
    <w:rsid w:val="00853C69"/>
    <w:rsid w:val="00853E41"/>
    <w:rsid w:val="00854ABC"/>
    <w:rsid w:val="00854B8B"/>
    <w:rsid w:val="00855958"/>
    <w:rsid w:val="00855A3D"/>
    <w:rsid w:val="0086050D"/>
    <w:rsid w:val="00861913"/>
    <w:rsid w:val="00861F9B"/>
    <w:rsid w:val="00862585"/>
    <w:rsid w:val="0086381F"/>
    <w:rsid w:val="00863AA0"/>
    <w:rsid w:val="00865CAD"/>
    <w:rsid w:val="00865F27"/>
    <w:rsid w:val="00866E4A"/>
    <w:rsid w:val="00867FCE"/>
    <w:rsid w:val="00870C7C"/>
    <w:rsid w:val="00870C85"/>
    <w:rsid w:val="00871F1F"/>
    <w:rsid w:val="00872635"/>
    <w:rsid w:val="00872849"/>
    <w:rsid w:val="00873A25"/>
    <w:rsid w:val="00873F54"/>
    <w:rsid w:val="00874A84"/>
    <w:rsid w:val="00874F60"/>
    <w:rsid w:val="00876350"/>
    <w:rsid w:val="00876EC3"/>
    <w:rsid w:val="00877072"/>
    <w:rsid w:val="00877CD8"/>
    <w:rsid w:val="00881114"/>
    <w:rsid w:val="008829F3"/>
    <w:rsid w:val="008842B7"/>
    <w:rsid w:val="008844CB"/>
    <w:rsid w:val="00884A86"/>
    <w:rsid w:val="00885197"/>
    <w:rsid w:val="0088547A"/>
    <w:rsid w:val="0088600F"/>
    <w:rsid w:val="00886D98"/>
    <w:rsid w:val="00887F2B"/>
    <w:rsid w:val="008900E2"/>
    <w:rsid w:val="00890B06"/>
    <w:rsid w:val="00891641"/>
    <w:rsid w:val="00892326"/>
    <w:rsid w:val="00892410"/>
    <w:rsid w:val="00893616"/>
    <w:rsid w:val="00893689"/>
    <w:rsid w:val="00893D64"/>
    <w:rsid w:val="0089445B"/>
    <w:rsid w:val="00894BCB"/>
    <w:rsid w:val="00894C3E"/>
    <w:rsid w:val="008951FE"/>
    <w:rsid w:val="0089581F"/>
    <w:rsid w:val="00896D30"/>
    <w:rsid w:val="00896FFE"/>
    <w:rsid w:val="00897A6C"/>
    <w:rsid w:val="008A0235"/>
    <w:rsid w:val="008A0B5B"/>
    <w:rsid w:val="008A0C15"/>
    <w:rsid w:val="008A1AAF"/>
    <w:rsid w:val="008A1F90"/>
    <w:rsid w:val="008A2092"/>
    <w:rsid w:val="008A3256"/>
    <w:rsid w:val="008A3671"/>
    <w:rsid w:val="008A4570"/>
    <w:rsid w:val="008A48EF"/>
    <w:rsid w:val="008A4FB8"/>
    <w:rsid w:val="008A5132"/>
    <w:rsid w:val="008A5A97"/>
    <w:rsid w:val="008A6238"/>
    <w:rsid w:val="008A76FF"/>
    <w:rsid w:val="008A7A7A"/>
    <w:rsid w:val="008B03B2"/>
    <w:rsid w:val="008B0D41"/>
    <w:rsid w:val="008B298F"/>
    <w:rsid w:val="008B3626"/>
    <w:rsid w:val="008B423A"/>
    <w:rsid w:val="008B48E7"/>
    <w:rsid w:val="008B5FC9"/>
    <w:rsid w:val="008B6859"/>
    <w:rsid w:val="008B6B1C"/>
    <w:rsid w:val="008B754E"/>
    <w:rsid w:val="008B7B90"/>
    <w:rsid w:val="008C0D1F"/>
    <w:rsid w:val="008C1AB5"/>
    <w:rsid w:val="008C281D"/>
    <w:rsid w:val="008C2BF4"/>
    <w:rsid w:val="008C43BE"/>
    <w:rsid w:val="008C472B"/>
    <w:rsid w:val="008C473C"/>
    <w:rsid w:val="008C4864"/>
    <w:rsid w:val="008C4DFC"/>
    <w:rsid w:val="008C529E"/>
    <w:rsid w:val="008C699E"/>
    <w:rsid w:val="008C6F35"/>
    <w:rsid w:val="008D0FCE"/>
    <w:rsid w:val="008D1C13"/>
    <w:rsid w:val="008D2447"/>
    <w:rsid w:val="008D2B16"/>
    <w:rsid w:val="008D330B"/>
    <w:rsid w:val="008D410B"/>
    <w:rsid w:val="008D6D51"/>
    <w:rsid w:val="008D6D86"/>
    <w:rsid w:val="008D7BB8"/>
    <w:rsid w:val="008E09EF"/>
    <w:rsid w:val="008E1354"/>
    <w:rsid w:val="008E2C70"/>
    <w:rsid w:val="008E33CE"/>
    <w:rsid w:val="008E3ABB"/>
    <w:rsid w:val="008E3EB6"/>
    <w:rsid w:val="008E4017"/>
    <w:rsid w:val="008E4D1D"/>
    <w:rsid w:val="008E5493"/>
    <w:rsid w:val="008E56BE"/>
    <w:rsid w:val="008E5720"/>
    <w:rsid w:val="008E634E"/>
    <w:rsid w:val="008E6A12"/>
    <w:rsid w:val="008E7A9C"/>
    <w:rsid w:val="008E7D26"/>
    <w:rsid w:val="008F0389"/>
    <w:rsid w:val="008F0FB3"/>
    <w:rsid w:val="008F2CB6"/>
    <w:rsid w:val="008F3922"/>
    <w:rsid w:val="008F42D9"/>
    <w:rsid w:val="008F46A6"/>
    <w:rsid w:val="008F4733"/>
    <w:rsid w:val="008F4795"/>
    <w:rsid w:val="008F491F"/>
    <w:rsid w:val="008F597A"/>
    <w:rsid w:val="008F606C"/>
    <w:rsid w:val="008F6134"/>
    <w:rsid w:val="008F6842"/>
    <w:rsid w:val="00900EAB"/>
    <w:rsid w:val="00901F94"/>
    <w:rsid w:val="0090270D"/>
    <w:rsid w:val="00903A4A"/>
    <w:rsid w:val="00904566"/>
    <w:rsid w:val="009048D3"/>
    <w:rsid w:val="009055AF"/>
    <w:rsid w:val="00905F84"/>
    <w:rsid w:val="009067EA"/>
    <w:rsid w:val="0090778C"/>
    <w:rsid w:val="00907883"/>
    <w:rsid w:val="009121C4"/>
    <w:rsid w:val="00912B23"/>
    <w:rsid w:val="00912DC9"/>
    <w:rsid w:val="00913C51"/>
    <w:rsid w:val="00913DF4"/>
    <w:rsid w:val="009158DD"/>
    <w:rsid w:val="00915985"/>
    <w:rsid w:val="00915E92"/>
    <w:rsid w:val="009165AA"/>
    <w:rsid w:val="00916DFF"/>
    <w:rsid w:val="00916EE5"/>
    <w:rsid w:val="0092071D"/>
    <w:rsid w:val="00920793"/>
    <w:rsid w:val="00920CFC"/>
    <w:rsid w:val="00923403"/>
    <w:rsid w:val="00923424"/>
    <w:rsid w:val="00924546"/>
    <w:rsid w:val="009246D4"/>
    <w:rsid w:val="00925368"/>
    <w:rsid w:val="0092567B"/>
    <w:rsid w:val="009257CB"/>
    <w:rsid w:val="009258B4"/>
    <w:rsid w:val="0092590E"/>
    <w:rsid w:val="00925BF9"/>
    <w:rsid w:val="00925C52"/>
    <w:rsid w:val="00926953"/>
    <w:rsid w:val="00930425"/>
    <w:rsid w:val="0093090D"/>
    <w:rsid w:val="00930C45"/>
    <w:rsid w:val="009311B2"/>
    <w:rsid w:val="00931346"/>
    <w:rsid w:val="0093601C"/>
    <w:rsid w:val="009368FC"/>
    <w:rsid w:val="00941DAD"/>
    <w:rsid w:val="00942697"/>
    <w:rsid w:val="00942E5E"/>
    <w:rsid w:val="009437B5"/>
    <w:rsid w:val="00943B99"/>
    <w:rsid w:val="00944EC7"/>
    <w:rsid w:val="00945ACA"/>
    <w:rsid w:val="00945E38"/>
    <w:rsid w:val="00946AD4"/>
    <w:rsid w:val="009473CC"/>
    <w:rsid w:val="00947760"/>
    <w:rsid w:val="00947A89"/>
    <w:rsid w:val="00947C1E"/>
    <w:rsid w:val="00950400"/>
    <w:rsid w:val="00953B7C"/>
    <w:rsid w:val="00953DC1"/>
    <w:rsid w:val="0095406F"/>
    <w:rsid w:val="009543DC"/>
    <w:rsid w:val="00954EF3"/>
    <w:rsid w:val="00955854"/>
    <w:rsid w:val="00956126"/>
    <w:rsid w:val="00956196"/>
    <w:rsid w:val="009568E9"/>
    <w:rsid w:val="00957AA2"/>
    <w:rsid w:val="009602E2"/>
    <w:rsid w:val="00960F03"/>
    <w:rsid w:val="009611C0"/>
    <w:rsid w:val="00962CC7"/>
    <w:rsid w:val="00962D8C"/>
    <w:rsid w:val="00963662"/>
    <w:rsid w:val="00966C7E"/>
    <w:rsid w:val="00967EEE"/>
    <w:rsid w:val="0097000A"/>
    <w:rsid w:val="00972668"/>
    <w:rsid w:val="0097317A"/>
    <w:rsid w:val="0097338D"/>
    <w:rsid w:val="00973565"/>
    <w:rsid w:val="009739D4"/>
    <w:rsid w:val="00973B5F"/>
    <w:rsid w:val="009744A2"/>
    <w:rsid w:val="009754D7"/>
    <w:rsid w:val="0097553F"/>
    <w:rsid w:val="0097558B"/>
    <w:rsid w:val="00975E4A"/>
    <w:rsid w:val="00975EF2"/>
    <w:rsid w:val="00976684"/>
    <w:rsid w:val="00977102"/>
    <w:rsid w:val="00977255"/>
    <w:rsid w:val="009802D0"/>
    <w:rsid w:val="0098037F"/>
    <w:rsid w:val="009816F1"/>
    <w:rsid w:val="00981739"/>
    <w:rsid w:val="00982794"/>
    <w:rsid w:val="00982E4A"/>
    <w:rsid w:val="00983BFC"/>
    <w:rsid w:val="00983D02"/>
    <w:rsid w:val="00986DA3"/>
    <w:rsid w:val="009905D5"/>
    <w:rsid w:val="00990828"/>
    <w:rsid w:val="00992A92"/>
    <w:rsid w:val="00992C04"/>
    <w:rsid w:val="0099316D"/>
    <w:rsid w:val="00993360"/>
    <w:rsid w:val="009933FD"/>
    <w:rsid w:val="00994182"/>
    <w:rsid w:val="00994793"/>
    <w:rsid w:val="009953E4"/>
    <w:rsid w:val="00995B9A"/>
    <w:rsid w:val="00996CB1"/>
    <w:rsid w:val="00997976"/>
    <w:rsid w:val="009A0286"/>
    <w:rsid w:val="009A0C27"/>
    <w:rsid w:val="009A1327"/>
    <w:rsid w:val="009A24BC"/>
    <w:rsid w:val="009A2950"/>
    <w:rsid w:val="009A2C5A"/>
    <w:rsid w:val="009A43BD"/>
    <w:rsid w:val="009A454B"/>
    <w:rsid w:val="009A4ADF"/>
    <w:rsid w:val="009A5346"/>
    <w:rsid w:val="009A5591"/>
    <w:rsid w:val="009A55D2"/>
    <w:rsid w:val="009A6175"/>
    <w:rsid w:val="009A629D"/>
    <w:rsid w:val="009A693F"/>
    <w:rsid w:val="009A6DCB"/>
    <w:rsid w:val="009A71E6"/>
    <w:rsid w:val="009A7977"/>
    <w:rsid w:val="009B1F98"/>
    <w:rsid w:val="009B2FCE"/>
    <w:rsid w:val="009B391C"/>
    <w:rsid w:val="009B3C76"/>
    <w:rsid w:val="009B4145"/>
    <w:rsid w:val="009B54E7"/>
    <w:rsid w:val="009B5A4F"/>
    <w:rsid w:val="009B62D8"/>
    <w:rsid w:val="009B741E"/>
    <w:rsid w:val="009B7682"/>
    <w:rsid w:val="009B7C76"/>
    <w:rsid w:val="009C007F"/>
    <w:rsid w:val="009C0D94"/>
    <w:rsid w:val="009C2224"/>
    <w:rsid w:val="009C2567"/>
    <w:rsid w:val="009C2984"/>
    <w:rsid w:val="009C2ED6"/>
    <w:rsid w:val="009C30F1"/>
    <w:rsid w:val="009C32A3"/>
    <w:rsid w:val="009C3964"/>
    <w:rsid w:val="009C3969"/>
    <w:rsid w:val="009C3BC8"/>
    <w:rsid w:val="009C42BC"/>
    <w:rsid w:val="009C43B3"/>
    <w:rsid w:val="009C6AA3"/>
    <w:rsid w:val="009C72B3"/>
    <w:rsid w:val="009D23DA"/>
    <w:rsid w:val="009D38D3"/>
    <w:rsid w:val="009D3942"/>
    <w:rsid w:val="009D3A59"/>
    <w:rsid w:val="009D44BE"/>
    <w:rsid w:val="009D5A04"/>
    <w:rsid w:val="009D6634"/>
    <w:rsid w:val="009D6DAE"/>
    <w:rsid w:val="009D6DD3"/>
    <w:rsid w:val="009D70F4"/>
    <w:rsid w:val="009D7196"/>
    <w:rsid w:val="009D7592"/>
    <w:rsid w:val="009E1461"/>
    <w:rsid w:val="009E14A9"/>
    <w:rsid w:val="009E1AD3"/>
    <w:rsid w:val="009E1C4A"/>
    <w:rsid w:val="009E1C54"/>
    <w:rsid w:val="009E1F13"/>
    <w:rsid w:val="009E217D"/>
    <w:rsid w:val="009E24CB"/>
    <w:rsid w:val="009E2C8B"/>
    <w:rsid w:val="009E3890"/>
    <w:rsid w:val="009E393D"/>
    <w:rsid w:val="009E40F6"/>
    <w:rsid w:val="009E417D"/>
    <w:rsid w:val="009E4DAA"/>
    <w:rsid w:val="009E5A66"/>
    <w:rsid w:val="009E62E4"/>
    <w:rsid w:val="009E72F2"/>
    <w:rsid w:val="009F2AC2"/>
    <w:rsid w:val="009F328E"/>
    <w:rsid w:val="009F455D"/>
    <w:rsid w:val="009F47BF"/>
    <w:rsid w:val="009F66A7"/>
    <w:rsid w:val="009F7B82"/>
    <w:rsid w:val="00A00B60"/>
    <w:rsid w:val="00A00FC5"/>
    <w:rsid w:val="00A01294"/>
    <w:rsid w:val="00A02474"/>
    <w:rsid w:val="00A02635"/>
    <w:rsid w:val="00A03537"/>
    <w:rsid w:val="00A03801"/>
    <w:rsid w:val="00A04DF6"/>
    <w:rsid w:val="00A04FC4"/>
    <w:rsid w:val="00A05629"/>
    <w:rsid w:val="00A05B8F"/>
    <w:rsid w:val="00A06292"/>
    <w:rsid w:val="00A06415"/>
    <w:rsid w:val="00A10090"/>
    <w:rsid w:val="00A10DC9"/>
    <w:rsid w:val="00A11372"/>
    <w:rsid w:val="00A14DF8"/>
    <w:rsid w:val="00A1629C"/>
    <w:rsid w:val="00A16D33"/>
    <w:rsid w:val="00A17020"/>
    <w:rsid w:val="00A17877"/>
    <w:rsid w:val="00A201CC"/>
    <w:rsid w:val="00A207C9"/>
    <w:rsid w:val="00A22DC4"/>
    <w:rsid w:val="00A23959"/>
    <w:rsid w:val="00A24ECA"/>
    <w:rsid w:val="00A250FD"/>
    <w:rsid w:val="00A252F7"/>
    <w:rsid w:val="00A25487"/>
    <w:rsid w:val="00A2676D"/>
    <w:rsid w:val="00A27CF8"/>
    <w:rsid w:val="00A31779"/>
    <w:rsid w:val="00A32455"/>
    <w:rsid w:val="00A32D3E"/>
    <w:rsid w:val="00A33923"/>
    <w:rsid w:val="00A33B2C"/>
    <w:rsid w:val="00A346EA"/>
    <w:rsid w:val="00A35EA4"/>
    <w:rsid w:val="00A3632D"/>
    <w:rsid w:val="00A36594"/>
    <w:rsid w:val="00A365A5"/>
    <w:rsid w:val="00A36B72"/>
    <w:rsid w:val="00A37AF5"/>
    <w:rsid w:val="00A37DE1"/>
    <w:rsid w:val="00A40061"/>
    <w:rsid w:val="00A40234"/>
    <w:rsid w:val="00A402EC"/>
    <w:rsid w:val="00A40B97"/>
    <w:rsid w:val="00A40ED6"/>
    <w:rsid w:val="00A41812"/>
    <w:rsid w:val="00A41CF4"/>
    <w:rsid w:val="00A429CA"/>
    <w:rsid w:val="00A4339F"/>
    <w:rsid w:val="00A43825"/>
    <w:rsid w:val="00A43975"/>
    <w:rsid w:val="00A43DF6"/>
    <w:rsid w:val="00A43E45"/>
    <w:rsid w:val="00A442F9"/>
    <w:rsid w:val="00A44BA6"/>
    <w:rsid w:val="00A44BF3"/>
    <w:rsid w:val="00A44EFE"/>
    <w:rsid w:val="00A45421"/>
    <w:rsid w:val="00A45867"/>
    <w:rsid w:val="00A45A5B"/>
    <w:rsid w:val="00A4620E"/>
    <w:rsid w:val="00A471EB"/>
    <w:rsid w:val="00A50627"/>
    <w:rsid w:val="00A50705"/>
    <w:rsid w:val="00A50D07"/>
    <w:rsid w:val="00A53CBE"/>
    <w:rsid w:val="00A542B2"/>
    <w:rsid w:val="00A54DA1"/>
    <w:rsid w:val="00A55441"/>
    <w:rsid w:val="00A558FC"/>
    <w:rsid w:val="00A55E2C"/>
    <w:rsid w:val="00A562B0"/>
    <w:rsid w:val="00A56347"/>
    <w:rsid w:val="00A568FB"/>
    <w:rsid w:val="00A579E2"/>
    <w:rsid w:val="00A60D29"/>
    <w:rsid w:val="00A613EA"/>
    <w:rsid w:val="00A6167F"/>
    <w:rsid w:val="00A6188A"/>
    <w:rsid w:val="00A622D3"/>
    <w:rsid w:val="00A64ACA"/>
    <w:rsid w:val="00A64AFF"/>
    <w:rsid w:val="00A663AF"/>
    <w:rsid w:val="00A668CC"/>
    <w:rsid w:val="00A67EE6"/>
    <w:rsid w:val="00A720C4"/>
    <w:rsid w:val="00A721E9"/>
    <w:rsid w:val="00A72F9B"/>
    <w:rsid w:val="00A73C53"/>
    <w:rsid w:val="00A74A75"/>
    <w:rsid w:val="00A74A8B"/>
    <w:rsid w:val="00A75C8F"/>
    <w:rsid w:val="00A76468"/>
    <w:rsid w:val="00A7677D"/>
    <w:rsid w:val="00A8124B"/>
    <w:rsid w:val="00A81FBA"/>
    <w:rsid w:val="00A8289D"/>
    <w:rsid w:val="00A82EA3"/>
    <w:rsid w:val="00A83ABF"/>
    <w:rsid w:val="00A83CB5"/>
    <w:rsid w:val="00A84A02"/>
    <w:rsid w:val="00A85216"/>
    <w:rsid w:val="00A8636C"/>
    <w:rsid w:val="00A87161"/>
    <w:rsid w:val="00A902E5"/>
    <w:rsid w:val="00A909F4"/>
    <w:rsid w:val="00A9118E"/>
    <w:rsid w:val="00A92C20"/>
    <w:rsid w:val="00A93E58"/>
    <w:rsid w:val="00A94DEB"/>
    <w:rsid w:val="00A94E33"/>
    <w:rsid w:val="00A95644"/>
    <w:rsid w:val="00A961A9"/>
    <w:rsid w:val="00A9795B"/>
    <w:rsid w:val="00AA0685"/>
    <w:rsid w:val="00AA152D"/>
    <w:rsid w:val="00AA15AC"/>
    <w:rsid w:val="00AA1844"/>
    <w:rsid w:val="00AA1B6E"/>
    <w:rsid w:val="00AA1FDE"/>
    <w:rsid w:val="00AA2B69"/>
    <w:rsid w:val="00AA2C6C"/>
    <w:rsid w:val="00AA2D23"/>
    <w:rsid w:val="00AA3306"/>
    <w:rsid w:val="00AA3E1D"/>
    <w:rsid w:val="00AA3EE7"/>
    <w:rsid w:val="00AA4328"/>
    <w:rsid w:val="00AA4693"/>
    <w:rsid w:val="00AA59DD"/>
    <w:rsid w:val="00AA608C"/>
    <w:rsid w:val="00AA6CB0"/>
    <w:rsid w:val="00AA72DC"/>
    <w:rsid w:val="00AA7921"/>
    <w:rsid w:val="00AA7FA6"/>
    <w:rsid w:val="00AB0CF8"/>
    <w:rsid w:val="00AB0F52"/>
    <w:rsid w:val="00AB206D"/>
    <w:rsid w:val="00AB2C6C"/>
    <w:rsid w:val="00AB309E"/>
    <w:rsid w:val="00AB348D"/>
    <w:rsid w:val="00AB37D3"/>
    <w:rsid w:val="00AB4447"/>
    <w:rsid w:val="00AB4791"/>
    <w:rsid w:val="00AB54F7"/>
    <w:rsid w:val="00AB5A9E"/>
    <w:rsid w:val="00AB5FFF"/>
    <w:rsid w:val="00AB602C"/>
    <w:rsid w:val="00AB6943"/>
    <w:rsid w:val="00AB6C28"/>
    <w:rsid w:val="00AB7270"/>
    <w:rsid w:val="00AC16A7"/>
    <w:rsid w:val="00AC2BDD"/>
    <w:rsid w:val="00AC2FCB"/>
    <w:rsid w:val="00AC31D8"/>
    <w:rsid w:val="00AC3C2A"/>
    <w:rsid w:val="00AC41D8"/>
    <w:rsid w:val="00AC4F8A"/>
    <w:rsid w:val="00AC5056"/>
    <w:rsid w:val="00AC54A1"/>
    <w:rsid w:val="00AC560A"/>
    <w:rsid w:val="00AC61F8"/>
    <w:rsid w:val="00AC68F2"/>
    <w:rsid w:val="00AC6F9D"/>
    <w:rsid w:val="00AC76A5"/>
    <w:rsid w:val="00AC76BF"/>
    <w:rsid w:val="00AC7809"/>
    <w:rsid w:val="00AD01FD"/>
    <w:rsid w:val="00AD081F"/>
    <w:rsid w:val="00AD10CE"/>
    <w:rsid w:val="00AD18C2"/>
    <w:rsid w:val="00AD210F"/>
    <w:rsid w:val="00AD239D"/>
    <w:rsid w:val="00AD335C"/>
    <w:rsid w:val="00AD3987"/>
    <w:rsid w:val="00AD3DD7"/>
    <w:rsid w:val="00AD4252"/>
    <w:rsid w:val="00AD5214"/>
    <w:rsid w:val="00AD57FB"/>
    <w:rsid w:val="00AD6FAD"/>
    <w:rsid w:val="00AD7EDD"/>
    <w:rsid w:val="00AE0B8B"/>
    <w:rsid w:val="00AE1C8F"/>
    <w:rsid w:val="00AE2AC5"/>
    <w:rsid w:val="00AE38BA"/>
    <w:rsid w:val="00AE3B46"/>
    <w:rsid w:val="00AE3E77"/>
    <w:rsid w:val="00AE3FB8"/>
    <w:rsid w:val="00AE57F5"/>
    <w:rsid w:val="00AE6462"/>
    <w:rsid w:val="00AE6EFC"/>
    <w:rsid w:val="00AE7576"/>
    <w:rsid w:val="00AE7590"/>
    <w:rsid w:val="00AE7DDC"/>
    <w:rsid w:val="00AE7EE4"/>
    <w:rsid w:val="00AF0499"/>
    <w:rsid w:val="00AF1055"/>
    <w:rsid w:val="00AF1592"/>
    <w:rsid w:val="00AF34B3"/>
    <w:rsid w:val="00AF47E6"/>
    <w:rsid w:val="00AF4E7A"/>
    <w:rsid w:val="00AF528D"/>
    <w:rsid w:val="00AF7533"/>
    <w:rsid w:val="00AF79E0"/>
    <w:rsid w:val="00AF7A36"/>
    <w:rsid w:val="00B00A00"/>
    <w:rsid w:val="00B0191B"/>
    <w:rsid w:val="00B01C7C"/>
    <w:rsid w:val="00B02E34"/>
    <w:rsid w:val="00B03025"/>
    <w:rsid w:val="00B0321A"/>
    <w:rsid w:val="00B03ED6"/>
    <w:rsid w:val="00B04185"/>
    <w:rsid w:val="00B042AA"/>
    <w:rsid w:val="00B04CBC"/>
    <w:rsid w:val="00B05B92"/>
    <w:rsid w:val="00B077E3"/>
    <w:rsid w:val="00B109E3"/>
    <w:rsid w:val="00B10E94"/>
    <w:rsid w:val="00B117FD"/>
    <w:rsid w:val="00B120DB"/>
    <w:rsid w:val="00B1227D"/>
    <w:rsid w:val="00B12538"/>
    <w:rsid w:val="00B1295A"/>
    <w:rsid w:val="00B14726"/>
    <w:rsid w:val="00B15089"/>
    <w:rsid w:val="00B156FA"/>
    <w:rsid w:val="00B1610F"/>
    <w:rsid w:val="00B164F9"/>
    <w:rsid w:val="00B17DF0"/>
    <w:rsid w:val="00B206C4"/>
    <w:rsid w:val="00B226A4"/>
    <w:rsid w:val="00B22936"/>
    <w:rsid w:val="00B22A5F"/>
    <w:rsid w:val="00B232CA"/>
    <w:rsid w:val="00B235AD"/>
    <w:rsid w:val="00B23F0A"/>
    <w:rsid w:val="00B24D6E"/>
    <w:rsid w:val="00B24EFF"/>
    <w:rsid w:val="00B24F00"/>
    <w:rsid w:val="00B2505B"/>
    <w:rsid w:val="00B25729"/>
    <w:rsid w:val="00B26CF0"/>
    <w:rsid w:val="00B27C5D"/>
    <w:rsid w:val="00B303DD"/>
    <w:rsid w:val="00B31AA8"/>
    <w:rsid w:val="00B31D99"/>
    <w:rsid w:val="00B337C7"/>
    <w:rsid w:val="00B33D17"/>
    <w:rsid w:val="00B344BB"/>
    <w:rsid w:val="00B35609"/>
    <w:rsid w:val="00B35D85"/>
    <w:rsid w:val="00B37C2F"/>
    <w:rsid w:val="00B37C46"/>
    <w:rsid w:val="00B40CE3"/>
    <w:rsid w:val="00B41B33"/>
    <w:rsid w:val="00B41E12"/>
    <w:rsid w:val="00B423EB"/>
    <w:rsid w:val="00B4326E"/>
    <w:rsid w:val="00B43BDC"/>
    <w:rsid w:val="00B448FB"/>
    <w:rsid w:val="00B454E2"/>
    <w:rsid w:val="00B456D3"/>
    <w:rsid w:val="00B457F3"/>
    <w:rsid w:val="00B45AB4"/>
    <w:rsid w:val="00B46C56"/>
    <w:rsid w:val="00B46CD4"/>
    <w:rsid w:val="00B47123"/>
    <w:rsid w:val="00B47708"/>
    <w:rsid w:val="00B500AD"/>
    <w:rsid w:val="00B505B8"/>
    <w:rsid w:val="00B50F1C"/>
    <w:rsid w:val="00B51348"/>
    <w:rsid w:val="00B513A4"/>
    <w:rsid w:val="00B514F1"/>
    <w:rsid w:val="00B51EE2"/>
    <w:rsid w:val="00B527E8"/>
    <w:rsid w:val="00B53168"/>
    <w:rsid w:val="00B5334D"/>
    <w:rsid w:val="00B54AD2"/>
    <w:rsid w:val="00B56681"/>
    <w:rsid w:val="00B56D6A"/>
    <w:rsid w:val="00B56DB9"/>
    <w:rsid w:val="00B57F17"/>
    <w:rsid w:val="00B600DB"/>
    <w:rsid w:val="00B61512"/>
    <w:rsid w:val="00B61B7F"/>
    <w:rsid w:val="00B638D9"/>
    <w:rsid w:val="00B647B9"/>
    <w:rsid w:val="00B64D9C"/>
    <w:rsid w:val="00B64EAE"/>
    <w:rsid w:val="00B6608F"/>
    <w:rsid w:val="00B664C1"/>
    <w:rsid w:val="00B66840"/>
    <w:rsid w:val="00B6740B"/>
    <w:rsid w:val="00B703BC"/>
    <w:rsid w:val="00B7133B"/>
    <w:rsid w:val="00B72180"/>
    <w:rsid w:val="00B723F3"/>
    <w:rsid w:val="00B728A0"/>
    <w:rsid w:val="00B72CBD"/>
    <w:rsid w:val="00B73786"/>
    <w:rsid w:val="00B739B4"/>
    <w:rsid w:val="00B758F2"/>
    <w:rsid w:val="00B76171"/>
    <w:rsid w:val="00B775AD"/>
    <w:rsid w:val="00B80F78"/>
    <w:rsid w:val="00B813DF"/>
    <w:rsid w:val="00B82A41"/>
    <w:rsid w:val="00B82C5F"/>
    <w:rsid w:val="00B84878"/>
    <w:rsid w:val="00B84EE8"/>
    <w:rsid w:val="00B84FAD"/>
    <w:rsid w:val="00B85DF6"/>
    <w:rsid w:val="00B86AF6"/>
    <w:rsid w:val="00B8762E"/>
    <w:rsid w:val="00B9113B"/>
    <w:rsid w:val="00B92E10"/>
    <w:rsid w:val="00B9353F"/>
    <w:rsid w:val="00B93B7D"/>
    <w:rsid w:val="00B94482"/>
    <w:rsid w:val="00B94851"/>
    <w:rsid w:val="00B94E33"/>
    <w:rsid w:val="00B951F4"/>
    <w:rsid w:val="00B95797"/>
    <w:rsid w:val="00B9603D"/>
    <w:rsid w:val="00B9669A"/>
    <w:rsid w:val="00BA05EE"/>
    <w:rsid w:val="00BA191E"/>
    <w:rsid w:val="00BA1929"/>
    <w:rsid w:val="00BA3E54"/>
    <w:rsid w:val="00BA51AB"/>
    <w:rsid w:val="00BA60EE"/>
    <w:rsid w:val="00BA7132"/>
    <w:rsid w:val="00BA7696"/>
    <w:rsid w:val="00BA7993"/>
    <w:rsid w:val="00BB024A"/>
    <w:rsid w:val="00BB04AD"/>
    <w:rsid w:val="00BB04F7"/>
    <w:rsid w:val="00BB079D"/>
    <w:rsid w:val="00BB0D6F"/>
    <w:rsid w:val="00BB0F76"/>
    <w:rsid w:val="00BB2F08"/>
    <w:rsid w:val="00BB3CF8"/>
    <w:rsid w:val="00BB49FA"/>
    <w:rsid w:val="00BB60E1"/>
    <w:rsid w:val="00BB6A34"/>
    <w:rsid w:val="00BB6D6B"/>
    <w:rsid w:val="00BB7308"/>
    <w:rsid w:val="00BB75B0"/>
    <w:rsid w:val="00BB7692"/>
    <w:rsid w:val="00BB79E3"/>
    <w:rsid w:val="00BB7F6C"/>
    <w:rsid w:val="00BC307E"/>
    <w:rsid w:val="00BC3110"/>
    <w:rsid w:val="00BC4385"/>
    <w:rsid w:val="00BC44FD"/>
    <w:rsid w:val="00BC5E5C"/>
    <w:rsid w:val="00BC6757"/>
    <w:rsid w:val="00BC6E6D"/>
    <w:rsid w:val="00BC7805"/>
    <w:rsid w:val="00BD1043"/>
    <w:rsid w:val="00BD10F8"/>
    <w:rsid w:val="00BD1274"/>
    <w:rsid w:val="00BD305D"/>
    <w:rsid w:val="00BD445F"/>
    <w:rsid w:val="00BD4B61"/>
    <w:rsid w:val="00BD4B95"/>
    <w:rsid w:val="00BD53E4"/>
    <w:rsid w:val="00BD54C8"/>
    <w:rsid w:val="00BD5A3F"/>
    <w:rsid w:val="00BD6450"/>
    <w:rsid w:val="00BD67CC"/>
    <w:rsid w:val="00BD718F"/>
    <w:rsid w:val="00BD76DF"/>
    <w:rsid w:val="00BD7B5E"/>
    <w:rsid w:val="00BD7E0C"/>
    <w:rsid w:val="00BD7FB9"/>
    <w:rsid w:val="00BE2451"/>
    <w:rsid w:val="00BE25B1"/>
    <w:rsid w:val="00BE3E81"/>
    <w:rsid w:val="00BE51ED"/>
    <w:rsid w:val="00BE595F"/>
    <w:rsid w:val="00BE6666"/>
    <w:rsid w:val="00BE69F0"/>
    <w:rsid w:val="00BE7479"/>
    <w:rsid w:val="00BF04C6"/>
    <w:rsid w:val="00BF093E"/>
    <w:rsid w:val="00BF0A75"/>
    <w:rsid w:val="00BF194E"/>
    <w:rsid w:val="00BF1AB4"/>
    <w:rsid w:val="00BF2DBC"/>
    <w:rsid w:val="00BF709C"/>
    <w:rsid w:val="00C01AB3"/>
    <w:rsid w:val="00C01FC7"/>
    <w:rsid w:val="00C02802"/>
    <w:rsid w:val="00C02EE4"/>
    <w:rsid w:val="00C031C2"/>
    <w:rsid w:val="00C05302"/>
    <w:rsid w:val="00C060A8"/>
    <w:rsid w:val="00C073DB"/>
    <w:rsid w:val="00C07D12"/>
    <w:rsid w:val="00C07D66"/>
    <w:rsid w:val="00C10F89"/>
    <w:rsid w:val="00C12595"/>
    <w:rsid w:val="00C12C87"/>
    <w:rsid w:val="00C12E6D"/>
    <w:rsid w:val="00C130B7"/>
    <w:rsid w:val="00C1324A"/>
    <w:rsid w:val="00C132DA"/>
    <w:rsid w:val="00C13DB4"/>
    <w:rsid w:val="00C14694"/>
    <w:rsid w:val="00C147DC"/>
    <w:rsid w:val="00C14E1D"/>
    <w:rsid w:val="00C15653"/>
    <w:rsid w:val="00C16254"/>
    <w:rsid w:val="00C169D9"/>
    <w:rsid w:val="00C2059A"/>
    <w:rsid w:val="00C20E97"/>
    <w:rsid w:val="00C215C5"/>
    <w:rsid w:val="00C21C9F"/>
    <w:rsid w:val="00C21EAC"/>
    <w:rsid w:val="00C220AC"/>
    <w:rsid w:val="00C22397"/>
    <w:rsid w:val="00C2499D"/>
    <w:rsid w:val="00C24DB6"/>
    <w:rsid w:val="00C25BEB"/>
    <w:rsid w:val="00C25C1A"/>
    <w:rsid w:val="00C2693E"/>
    <w:rsid w:val="00C26D9C"/>
    <w:rsid w:val="00C2768D"/>
    <w:rsid w:val="00C27C94"/>
    <w:rsid w:val="00C27F8D"/>
    <w:rsid w:val="00C3060A"/>
    <w:rsid w:val="00C319B7"/>
    <w:rsid w:val="00C31F46"/>
    <w:rsid w:val="00C32023"/>
    <w:rsid w:val="00C33DD4"/>
    <w:rsid w:val="00C34C31"/>
    <w:rsid w:val="00C37642"/>
    <w:rsid w:val="00C37CA6"/>
    <w:rsid w:val="00C40105"/>
    <w:rsid w:val="00C40993"/>
    <w:rsid w:val="00C417B2"/>
    <w:rsid w:val="00C418D0"/>
    <w:rsid w:val="00C41980"/>
    <w:rsid w:val="00C41FD0"/>
    <w:rsid w:val="00C429EF"/>
    <w:rsid w:val="00C42B4F"/>
    <w:rsid w:val="00C43219"/>
    <w:rsid w:val="00C439AF"/>
    <w:rsid w:val="00C46966"/>
    <w:rsid w:val="00C469CD"/>
    <w:rsid w:val="00C474A5"/>
    <w:rsid w:val="00C50C03"/>
    <w:rsid w:val="00C50CAE"/>
    <w:rsid w:val="00C5113B"/>
    <w:rsid w:val="00C51E83"/>
    <w:rsid w:val="00C52939"/>
    <w:rsid w:val="00C52A68"/>
    <w:rsid w:val="00C52D09"/>
    <w:rsid w:val="00C52D40"/>
    <w:rsid w:val="00C538F4"/>
    <w:rsid w:val="00C538FB"/>
    <w:rsid w:val="00C54151"/>
    <w:rsid w:val="00C5492F"/>
    <w:rsid w:val="00C54DAE"/>
    <w:rsid w:val="00C550E5"/>
    <w:rsid w:val="00C554FC"/>
    <w:rsid w:val="00C556A8"/>
    <w:rsid w:val="00C56C1B"/>
    <w:rsid w:val="00C57122"/>
    <w:rsid w:val="00C57BC2"/>
    <w:rsid w:val="00C57F68"/>
    <w:rsid w:val="00C61271"/>
    <w:rsid w:val="00C62402"/>
    <w:rsid w:val="00C62E01"/>
    <w:rsid w:val="00C62F75"/>
    <w:rsid w:val="00C63332"/>
    <w:rsid w:val="00C634B6"/>
    <w:rsid w:val="00C6365A"/>
    <w:rsid w:val="00C63C0B"/>
    <w:rsid w:val="00C644A5"/>
    <w:rsid w:val="00C65919"/>
    <w:rsid w:val="00C709EA"/>
    <w:rsid w:val="00C714C2"/>
    <w:rsid w:val="00C7242D"/>
    <w:rsid w:val="00C73154"/>
    <w:rsid w:val="00C7473A"/>
    <w:rsid w:val="00C74A9B"/>
    <w:rsid w:val="00C756E2"/>
    <w:rsid w:val="00C757F4"/>
    <w:rsid w:val="00C803E5"/>
    <w:rsid w:val="00C81C07"/>
    <w:rsid w:val="00C81CD9"/>
    <w:rsid w:val="00C83515"/>
    <w:rsid w:val="00C84294"/>
    <w:rsid w:val="00C845DA"/>
    <w:rsid w:val="00C8502F"/>
    <w:rsid w:val="00C857F4"/>
    <w:rsid w:val="00C85D3B"/>
    <w:rsid w:val="00C86053"/>
    <w:rsid w:val="00C86176"/>
    <w:rsid w:val="00C86E3D"/>
    <w:rsid w:val="00C913BB"/>
    <w:rsid w:val="00C9173B"/>
    <w:rsid w:val="00C92713"/>
    <w:rsid w:val="00C92CEC"/>
    <w:rsid w:val="00C92FDC"/>
    <w:rsid w:val="00C9400C"/>
    <w:rsid w:val="00C94141"/>
    <w:rsid w:val="00C94F23"/>
    <w:rsid w:val="00C95188"/>
    <w:rsid w:val="00C9519A"/>
    <w:rsid w:val="00C955BC"/>
    <w:rsid w:val="00C95805"/>
    <w:rsid w:val="00C95E0F"/>
    <w:rsid w:val="00C9694D"/>
    <w:rsid w:val="00C97E19"/>
    <w:rsid w:val="00CA03F0"/>
    <w:rsid w:val="00CA0596"/>
    <w:rsid w:val="00CA0B9E"/>
    <w:rsid w:val="00CA0C38"/>
    <w:rsid w:val="00CA2F8C"/>
    <w:rsid w:val="00CA38D3"/>
    <w:rsid w:val="00CA428E"/>
    <w:rsid w:val="00CA42E9"/>
    <w:rsid w:val="00CA4502"/>
    <w:rsid w:val="00CA52DF"/>
    <w:rsid w:val="00CA5CD6"/>
    <w:rsid w:val="00CA5F11"/>
    <w:rsid w:val="00CA763E"/>
    <w:rsid w:val="00CA7793"/>
    <w:rsid w:val="00CA7A1D"/>
    <w:rsid w:val="00CA7DF8"/>
    <w:rsid w:val="00CB0C01"/>
    <w:rsid w:val="00CB152A"/>
    <w:rsid w:val="00CB1D6D"/>
    <w:rsid w:val="00CB2743"/>
    <w:rsid w:val="00CB4CE5"/>
    <w:rsid w:val="00CB50AE"/>
    <w:rsid w:val="00CB5229"/>
    <w:rsid w:val="00CB55A4"/>
    <w:rsid w:val="00CB5D3A"/>
    <w:rsid w:val="00CB5F5C"/>
    <w:rsid w:val="00CB6EFD"/>
    <w:rsid w:val="00CB737F"/>
    <w:rsid w:val="00CB7A8D"/>
    <w:rsid w:val="00CB7FA7"/>
    <w:rsid w:val="00CC10B1"/>
    <w:rsid w:val="00CC150F"/>
    <w:rsid w:val="00CC1FEF"/>
    <w:rsid w:val="00CC29FA"/>
    <w:rsid w:val="00CC2FC6"/>
    <w:rsid w:val="00CC5E4B"/>
    <w:rsid w:val="00CC7E12"/>
    <w:rsid w:val="00CC7ECF"/>
    <w:rsid w:val="00CD1692"/>
    <w:rsid w:val="00CD26C4"/>
    <w:rsid w:val="00CD3F9C"/>
    <w:rsid w:val="00CD4CA7"/>
    <w:rsid w:val="00CD4E81"/>
    <w:rsid w:val="00CD518B"/>
    <w:rsid w:val="00CD5390"/>
    <w:rsid w:val="00CD5392"/>
    <w:rsid w:val="00CD599B"/>
    <w:rsid w:val="00CD6875"/>
    <w:rsid w:val="00CD6CEF"/>
    <w:rsid w:val="00CD7329"/>
    <w:rsid w:val="00CE08D3"/>
    <w:rsid w:val="00CE1858"/>
    <w:rsid w:val="00CE3E81"/>
    <w:rsid w:val="00CE4B11"/>
    <w:rsid w:val="00CE4D3C"/>
    <w:rsid w:val="00CE56AA"/>
    <w:rsid w:val="00CE6020"/>
    <w:rsid w:val="00CE6655"/>
    <w:rsid w:val="00CE6DDA"/>
    <w:rsid w:val="00CE776D"/>
    <w:rsid w:val="00CE7EC5"/>
    <w:rsid w:val="00CF03D0"/>
    <w:rsid w:val="00CF116E"/>
    <w:rsid w:val="00CF12B8"/>
    <w:rsid w:val="00CF2160"/>
    <w:rsid w:val="00CF225A"/>
    <w:rsid w:val="00CF2E16"/>
    <w:rsid w:val="00CF306F"/>
    <w:rsid w:val="00CF412F"/>
    <w:rsid w:val="00CF4212"/>
    <w:rsid w:val="00CF6F57"/>
    <w:rsid w:val="00CF7305"/>
    <w:rsid w:val="00CF73CB"/>
    <w:rsid w:val="00CF79CF"/>
    <w:rsid w:val="00CF7F40"/>
    <w:rsid w:val="00D00163"/>
    <w:rsid w:val="00D0092E"/>
    <w:rsid w:val="00D00D40"/>
    <w:rsid w:val="00D00FD1"/>
    <w:rsid w:val="00D01397"/>
    <w:rsid w:val="00D034A5"/>
    <w:rsid w:val="00D03BD3"/>
    <w:rsid w:val="00D04FB6"/>
    <w:rsid w:val="00D053E3"/>
    <w:rsid w:val="00D05643"/>
    <w:rsid w:val="00D056E2"/>
    <w:rsid w:val="00D05DA9"/>
    <w:rsid w:val="00D06834"/>
    <w:rsid w:val="00D079F5"/>
    <w:rsid w:val="00D11A65"/>
    <w:rsid w:val="00D124EC"/>
    <w:rsid w:val="00D12D6A"/>
    <w:rsid w:val="00D137B2"/>
    <w:rsid w:val="00D14183"/>
    <w:rsid w:val="00D144CC"/>
    <w:rsid w:val="00D147C6"/>
    <w:rsid w:val="00D14DA2"/>
    <w:rsid w:val="00D15637"/>
    <w:rsid w:val="00D158BB"/>
    <w:rsid w:val="00D15A85"/>
    <w:rsid w:val="00D15B9D"/>
    <w:rsid w:val="00D1661D"/>
    <w:rsid w:val="00D166B5"/>
    <w:rsid w:val="00D167AB"/>
    <w:rsid w:val="00D1741D"/>
    <w:rsid w:val="00D17964"/>
    <w:rsid w:val="00D17C28"/>
    <w:rsid w:val="00D208E1"/>
    <w:rsid w:val="00D21CFC"/>
    <w:rsid w:val="00D22F93"/>
    <w:rsid w:val="00D22FAC"/>
    <w:rsid w:val="00D2338F"/>
    <w:rsid w:val="00D24535"/>
    <w:rsid w:val="00D249BF"/>
    <w:rsid w:val="00D24B26"/>
    <w:rsid w:val="00D25C7F"/>
    <w:rsid w:val="00D25D9B"/>
    <w:rsid w:val="00D26068"/>
    <w:rsid w:val="00D26978"/>
    <w:rsid w:val="00D27961"/>
    <w:rsid w:val="00D30404"/>
    <w:rsid w:val="00D30CA2"/>
    <w:rsid w:val="00D331DE"/>
    <w:rsid w:val="00D3393C"/>
    <w:rsid w:val="00D344F4"/>
    <w:rsid w:val="00D35117"/>
    <w:rsid w:val="00D352D2"/>
    <w:rsid w:val="00D36136"/>
    <w:rsid w:val="00D379DB"/>
    <w:rsid w:val="00D37E40"/>
    <w:rsid w:val="00D400D9"/>
    <w:rsid w:val="00D409CC"/>
    <w:rsid w:val="00D413BD"/>
    <w:rsid w:val="00D41B92"/>
    <w:rsid w:val="00D43D4D"/>
    <w:rsid w:val="00D45E0B"/>
    <w:rsid w:val="00D4626B"/>
    <w:rsid w:val="00D467A8"/>
    <w:rsid w:val="00D479F0"/>
    <w:rsid w:val="00D50316"/>
    <w:rsid w:val="00D534D2"/>
    <w:rsid w:val="00D53E2A"/>
    <w:rsid w:val="00D547AF"/>
    <w:rsid w:val="00D5491C"/>
    <w:rsid w:val="00D54F49"/>
    <w:rsid w:val="00D554D1"/>
    <w:rsid w:val="00D5568F"/>
    <w:rsid w:val="00D56ED2"/>
    <w:rsid w:val="00D57568"/>
    <w:rsid w:val="00D57D17"/>
    <w:rsid w:val="00D6231B"/>
    <w:rsid w:val="00D62DA3"/>
    <w:rsid w:val="00D637D2"/>
    <w:rsid w:val="00D64363"/>
    <w:rsid w:val="00D645C8"/>
    <w:rsid w:val="00D64A67"/>
    <w:rsid w:val="00D65477"/>
    <w:rsid w:val="00D66445"/>
    <w:rsid w:val="00D66504"/>
    <w:rsid w:val="00D66B85"/>
    <w:rsid w:val="00D66C7E"/>
    <w:rsid w:val="00D6717F"/>
    <w:rsid w:val="00D678F3"/>
    <w:rsid w:val="00D67EC4"/>
    <w:rsid w:val="00D710E1"/>
    <w:rsid w:val="00D715BC"/>
    <w:rsid w:val="00D71B5B"/>
    <w:rsid w:val="00D7202B"/>
    <w:rsid w:val="00D724D2"/>
    <w:rsid w:val="00D72757"/>
    <w:rsid w:val="00D72D92"/>
    <w:rsid w:val="00D749F9"/>
    <w:rsid w:val="00D7563C"/>
    <w:rsid w:val="00D75905"/>
    <w:rsid w:val="00D75B55"/>
    <w:rsid w:val="00D7602D"/>
    <w:rsid w:val="00D763F9"/>
    <w:rsid w:val="00D810B6"/>
    <w:rsid w:val="00D81309"/>
    <w:rsid w:val="00D81349"/>
    <w:rsid w:val="00D81462"/>
    <w:rsid w:val="00D818D3"/>
    <w:rsid w:val="00D82317"/>
    <w:rsid w:val="00D823B7"/>
    <w:rsid w:val="00D826E8"/>
    <w:rsid w:val="00D82F46"/>
    <w:rsid w:val="00D856E1"/>
    <w:rsid w:val="00D85E5A"/>
    <w:rsid w:val="00D86060"/>
    <w:rsid w:val="00D869D1"/>
    <w:rsid w:val="00D86B91"/>
    <w:rsid w:val="00D872CD"/>
    <w:rsid w:val="00D876CF"/>
    <w:rsid w:val="00D87765"/>
    <w:rsid w:val="00D90526"/>
    <w:rsid w:val="00D912EB"/>
    <w:rsid w:val="00D91335"/>
    <w:rsid w:val="00D914DC"/>
    <w:rsid w:val="00D915F7"/>
    <w:rsid w:val="00D9389B"/>
    <w:rsid w:val="00D94401"/>
    <w:rsid w:val="00D9450E"/>
    <w:rsid w:val="00D95290"/>
    <w:rsid w:val="00D959CB"/>
    <w:rsid w:val="00D95EAF"/>
    <w:rsid w:val="00D96179"/>
    <w:rsid w:val="00D967AC"/>
    <w:rsid w:val="00DA02CB"/>
    <w:rsid w:val="00DA069F"/>
    <w:rsid w:val="00DA09A6"/>
    <w:rsid w:val="00DA15E9"/>
    <w:rsid w:val="00DA1E2F"/>
    <w:rsid w:val="00DA23B9"/>
    <w:rsid w:val="00DA24A0"/>
    <w:rsid w:val="00DA31E4"/>
    <w:rsid w:val="00DA3330"/>
    <w:rsid w:val="00DA35A8"/>
    <w:rsid w:val="00DA391C"/>
    <w:rsid w:val="00DA3F9D"/>
    <w:rsid w:val="00DA44D7"/>
    <w:rsid w:val="00DA5111"/>
    <w:rsid w:val="00DA5990"/>
    <w:rsid w:val="00DA5B42"/>
    <w:rsid w:val="00DA7B97"/>
    <w:rsid w:val="00DB00D5"/>
    <w:rsid w:val="00DB144E"/>
    <w:rsid w:val="00DB1DA3"/>
    <w:rsid w:val="00DB1F1A"/>
    <w:rsid w:val="00DB2444"/>
    <w:rsid w:val="00DB29D0"/>
    <w:rsid w:val="00DB2BBD"/>
    <w:rsid w:val="00DB3593"/>
    <w:rsid w:val="00DB3FFB"/>
    <w:rsid w:val="00DB404B"/>
    <w:rsid w:val="00DB4523"/>
    <w:rsid w:val="00DB46FF"/>
    <w:rsid w:val="00DB5532"/>
    <w:rsid w:val="00DB6A3D"/>
    <w:rsid w:val="00DB6C6B"/>
    <w:rsid w:val="00DB6CF4"/>
    <w:rsid w:val="00DB7112"/>
    <w:rsid w:val="00DB724F"/>
    <w:rsid w:val="00DC04A5"/>
    <w:rsid w:val="00DC0BD3"/>
    <w:rsid w:val="00DC1936"/>
    <w:rsid w:val="00DC1B90"/>
    <w:rsid w:val="00DC2B15"/>
    <w:rsid w:val="00DC33DD"/>
    <w:rsid w:val="00DC348B"/>
    <w:rsid w:val="00DC405A"/>
    <w:rsid w:val="00DC4CFF"/>
    <w:rsid w:val="00DC5150"/>
    <w:rsid w:val="00DC6E4E"/>
    <w:rsid w:val="00DC701B"/>
    <w:rsid w:val="00DC7467"/>
    <w:rsid w:val="00DC7B5E"/>
    <w:rsid w:val="00DD07A7"/>
    <w:rsid w:val="00DD108D"/>
    <w:rsid w:val="00DD2168"/>
    <w:rsid w:val="00DD23ED"/>
    <w:rsid w:val="00DD2619"/>
    <w:rsid w:val="00DD28AF"/>
    <w:rsid w:val="00DD33D7"/>
    <w:rsid w:val="00DD3578"/>
    <w:rsid w:val="00DD43F8"/>
    <w:rsid w:val="00DD5016"/>
    <w:rsid w:val="00DD5134"/>
    <w:rsid w:val="00DD7067"/>
    <w:rsid w:val="00DD7982"/>
    <w:rsid w:val="00DE000B"/>
    <w:rsid w:val="00DE068F"/>
    <w:rsid w:val="00DE17B3"/>
    <w:rsid w:val="00DE1E97"/>
    <w:rsid w:val="00DE36BA"/>
    <w:rsid w:val="00DE3B69"/>
    <w:rsid w:val="00DE3BE4"/>
    <w:rsid w:val="00DE3E6D"/>
    <w:rsid w:val="00DE3F14"/>
    <w:rsid w:val="00DE4750"/>
    <w:rsid w:val="00DE5637"/>
    <w:rsid w:val="00DE6664"/>
    <w:rsid w:val="00DE6C43"/>
    <w:rsid w:val="00DE6E4C"/>
    <w:rsid w:val="00DE753A"/>
    <w:rsid w:val="00DE755E"/>
    <w:rsid w:val="00DE7B12"/>
    <w:rsid w:val="00DF1C68"/>
    <w:rsid w:val="00DF2BA1"/>
    <w:rsid w:val="00DF3790"/>
    <w:rsid w:val="00DF398A"/>
    <w:rsid w:val="00DF47C1"/>
    <w:rsid w:val="00DF4E22"/>
    <w:rsid w:val="00DF5648"/>
    <w:rsid w:val="00DF5F49"/>
    <w:rsid w:val="00DF605C"/>
    <w:rsid w:val="00DF6261"/>
    <w:rsid w:val="00DF6346"/>
    <w:rsid w:val="00DF72B1"/>
    <w:rsid w:val="00DF789B"/>
    <w:rsid w:val="00DF7C9C"/>
    <w:rsid w:val="00E00189"/>
    <w:rsid w:val="00E0086B"/>
    <w:rsid w:val="00E01811"/>
    <w:rsid w:val="00E021FE"/>
    <w:rsid w:val="00E027C6"/>
    <w:rsid w:val="00E028AB"/>
    <w:rsid w:val="00E02B59"/>
    <w:rsid w:val="00E03100"/>
    <w:rsid w:val="00E03675"/>
    <w:rsid w:val="00E03C54"/>
    <w:rsid w:val="00E04D85"/>
    <w:rsid w:val="00E05578"/>
    <w:rsid w:val="00E06480"/>
    <w:rsid w:val="00E066E9"/>
    <w:rsid w:val="00E0676E"/>
    <w:rsid w:val="00E070AA"/>
    <w:rsid w:val="00E07458"/>
    <w:rsid w:val="00E104D0"/>
    <w:rsid w:val="00E1097A"/>
    <w:rsid w:val="00E10CC7"/>
    <w:rsid w:val="00E10D49"/>
    <w:rsid w:val="00E10FA3"/>
    <w:rsid w:val="00E110EA"/>
    <w:rsid w:val="00E11381"/>
    <w:rsid w:val="00E116B7"/>
    <w:rsid w:val="00E11C6A"/>
    <w:rsid w:val="00E11FF9"/>
    <w:rsid w:val="00E13425"/>
    <w:rsid w:val="00E140B7"/>
    <w:rsid w:val="00E1461F"/>
    <w:rsid w:val="00E14A83"/>
    <w:rsid w:val="00E14D77"/>
    <w:rsid w:val="00E1545A"/>
    <w:rsid w:val="00E15602"/>
    <w:rsid w:val="00E168A5"/>
    <w:rsid w:val="00E1693B"/>
    <w:rsid w:val="00E178AD"/>
    <w:rsid w:val="00E179E2"/>
    <w:rsid w:val="00E2010B"/>
    <w:rsid w:val="00E209B3"/>
    <w:rsid w:val="00E20A23"/>
    <w:rsid w:val="00E22D32"/>
    <w:rsid w:val="00E23631"/>
    <w:rsid w:val="00E23B51"/>
    <w:rsid w:val="00E24982"/>
    <w:rsid w:val="00E24CEC"/>
    <w:rsid w:val="00E2537C"/>
    <w:rsid w:val="00E264A5"/>
    <w:rsid w:val="00E268CA"/>
    <w:rsid w:val="00E30704"/>
    <w:rsid w:val="00E30AE7"/>
    <w:rsid w:val="00E322BA"/>
    <w:rsid w:val="00E33F39"/>
    <w:rsid w:val="00E3442F"/>
    <w:rsid w:val="00E34697"/>
    <w:rsid w:val="00E34891"/>
    <w:rsid w:val="00E35300"/>
    <w:rsid w:val="00E353C2"/>
    <w:rsid w:val="00E3545A"/>
    <w:rsid w:val="00E356B1"/>
    <w:rsid w:val="00E35915"/>
    <w:rsid w:val="00E359B3"/>
    <w:rsid w:val="00E36784"/>
    <w:rsid w:val="00E36C60"/>
    <w:rsid w:val="00E36D34"/>
    <w:rsid w:val="00E3751B"/>
    <w:rsid w:val="00E376DD"/>
    <w:rsid w:val="00E412F0"/>
    <w:rsid w:val="00E424E6"/>
    <w:rsid w:val="00E4260A"/>
    <w:rsid w:val="00E43034"/>
    <w:rsid w:val="00E43190"/>
    <w:rsid w:val="00E43354"/>
    <w:rsid w:val="00E445A8"/>
    <w:rsid w:val="00E44F17"/>
    <w:rsid w:val="00E451A4"/>
    <w:rsid w:val="00E45227"/>
    <w:rsid w:val="00E4540F"/>
    <w:rsid w:val="00E458A5"/>
    <w:rsid w:val="00E45E21"/>
    <w:rsid w:val="00E463BE"/>
    <w:rsid w:val="00E465F8"/>
    <w:rsid w:val="00E46B06"/>
    <w:rsid w:val="00E508AA"/>
    <w:rsid w:val="00E518F1"/>
    <w:rsid w:val="00E521DB"/>
    <w:rsid w:val="00E531EF"/>
    <w:rsid w:val="00E536D2"/>
    <w:rsid w:val="00E538A6"/>
    <w:rsid w:val="00E53FC1"/>
    <w:rsid w:val="00E541C8"/>
    <w:rsid w:val="00E542EE"/>
    <w:rsid w:val="00E54BDD"/>
    <w:rsid w:val="00E557CE"/>
    <w:rsid w:val="00E57353"/>
    <w:rsid w:val="00E57818"/>
    <w:rsid w:val="00E5786F"/>
    <w:rsid w:val="00E57B38"/>
    <w:rsid w:val="00E61685"/>
    <w:rsid w:val="00E6357F"/>
    <w:rsid w:val="00E63988"/>
    <w:rsid w:val="00E639B5"/>
    <w:rsid w:val="00E63B1C"/>
    <w:rsid w:val="00E64268"/>
    <w:rsid w:val="00E649F0"/>
    <w:rsid w:val="00E65B93"/>
    <w:rsid w:val="00E662A4"/>
    <w:rsid w:val="00E704DC"/>
    <w:rsid w:val="00E71695"/>
    <w:rsid w:val="00E71815"/>
    <w:rsid w:val="00E71EF7"/>
    <w:rsid w:val="00E726ED"/>
    <w:rsid w:val="00E72FFE"/>
    <w:rsid w:val="00E740DD"/>
    <w:rsid w:val="00E74C20"/>
    <w:rsid w:val="00E75F99"/>
    <w:rsid w:val="00E76F6D"/>
    <w:rsid w:val="00E77DB5"/>
    <w:rsid w:val="00E80722"/>
    <w:rsid w:val="00E80A1F"/>
    <w:rsid w:val="00E80C2D"/>
    <w:rsid w:val="00E81051"/>
    <w:rsid w:val="00E81374"/>
    <w:rsid w:val="00E823A2"/>
    <w:rsid w:val="00E827AB"/>
    <w:rsid w:val="00E83726"/>
    <w:rsid w:val="00E83FBB"/>
    <w:rsid w:val="00E8418E"/>
    <w:rsid w:val="00E86C67"/>
    <w:rsid w:val="00E87FEB"/>
    <w:rsid w:val="00E901BE"/>
    <w:rsid w:val="00E9038E"/>
    <w:rsid w:val="00E90B46"/>
    <w:rsid w:val="00E910AD"/>
    <w:rsid w:val="00E91727"/>
    <w:rsid w:val="00E91798"/>
    <w:rsid w:val="00E921E7"/>
    <w:rsid w:val="00E92579"/>
    <w:rsid w:val="00E92C93"/>
    <w:rsid w:val="00E93CC5"/>
    <w:rsid w:val="00E952C6"/>
    <w:rsid w:val="00E959E3"/>
    <w:rsid w:val="00E95B75"/>
    <w:rsid w:val="00E96300"/>
    <w:rsid w:val="00E96B59"/>
    <w:rsid w:val="00E96EAB"/>
    <w:rsid w:val="00E975C1"/>
    <w:rsid w:val="00E976ED"/>
    <w:rsid w:val="00E97703"/>
    <w:rsid w:val="00E978BA"/>
    <w:rsid w:val="00E97D47"/>
    <w:rsid w:val="00E97F4B"/>
    <w:rsid w:val="00EA0E0A"/>
    <w:rsid w:val="00EA0EA8"/>
    <w:rsid w:val="00EA1D9B"/>
    <w:rsid w:val="00EA2C6D"/>
    <w:rsid w:val="00EA3274"/>
    <w:rsid w:val="00EA327F"/>
    <w:rsid w:val="00EA3890"/>
    <w:rsid w:val="00EA4554"/>
    <w:rsid w:val="00EA5DB5"/>
    <w:rsid w:val="00EA5E2E"/>
    <w:rsid w:val="00EA610C"/>
    <w:rsid w:val="00EA6336"/>
    <w:rsid w:val="00EA79AB"/>
    <w:rsid w:val="00EA7E62"/>
    <w:rsid w:val="00EB0571"/>
    <w:rsid w:val="00EB1AE3"/>
    <w:rsid w:val="00EB1D0E"/>
    <w:rsid w:val="00EB2924"/>
    <w:rsid w:val="00EB2AB2"/>
    <w:rsid w:val="00EB2B5B"/>
    <w:rsid w:val="00EB2CF2"/>
    <w:rsid w:val="00EB2D9E"/>
    <w:rsid w:val="00EB304F"/>
    <w:rsid w:val="00EB3301"/>
    <w:rsid w:val="00EB3CB2"/>
    <w:rsid w:val="00EB4E3C"/>
    <w:rsid w:val="00EB51F4"/>
    <w:rsid w:val="00EB6897"/>
    <w:rsid w:val="00EB6B7F"/>
    <w:rsid w:val="00EB6D49"/>
    <w:rsid w:val="00EB6ED6"/>
    <w:rsid w:val="00EC0017"/>
    <w:rsid w:val="00EC04FA"/>
    <w:rsid w:val="00EC09A2"/>
    <w:rsid w:val="00EC0F32"/>
    <w:rsid w:val="00EC287A"/>
    <w:rsid w:val="00EC28CD"/>
    <w:rsid w:val="00EC3B8B"/>
    <w:rsid w:val="00EC3EAD"/>
    <w:rsid w:val="00EC43AE"/>
    <w:rsid w:val="00EC46D0"/>
    <w:rsid w:val="00EC47FA"/>
    <w:rsid w:val="00EC4941"/>
    <w:rsid w:val="00EC4A50"/>
    <w:rsid w:val="00EC6D96"/>
    <w:rsid w:val="00EC6E3E"/>
    <w:rsid w:val="00EC74EF"/>
    <w:rsid w:val="00EC7B8B"/>
    <w:rsid w:val="00ED01C1"/>
    <w:rsid w:val="00ED198E"/>
    <w:rsid w:val="00ED243A"/>
    <w:rsid w:val="00ED263D"/>
    <w:rsid w:val="00ED2658"/>
    <w:rsid w:val="00ED28C4"/>
    <w:rsid w:val="00ED2C89"/>
    <w:rsid w:val="00ED352C"/>
    <w:rsid w:val="00ED4DA5"/>
    <w:rsid w:val="00ED5A4C"/>
    <w:rsid w:val="00ED5E7A"/>
    <w:rsid w:val="00ED5F71"/>
    <w:rsid w:val="00ED6743"/>
    <w:rsid w:val="00ED690D"/>
    <w:rsid w:val="00ED7344"/>
    <w:rsid w:val="00ED7946"/>
    <w:rsid w:val="00ED79DB"/>
    <w:rsid w:val="00ED7B43"/>
    <w:rsid w:val="00EE07BA"/>
    <w:rsid w:val="00EE18E8"/>
    <w:rsid w:val="00EE1DCE"/>
    <w:rsid w:val="00EE1F50"/>
    <w:rsid w:val="00EE23C1"/>
    <w:rsid w:val="00EE2DF2"/>
    <w:rsid w:val="00EE42E8"/>
    <w:rsid w:val="00EE534A"/>
    <w:rsid w:val="00EE59EA"/>
    <w:rsid w:val="00EE7118"/>
    <w:rsid w:val="00EE740D"/>
    <w:rsid w:val="00EE76DC"/>
    <w:rsid w:val="00EE7A09"/>
    <w:rsid w:val="00EF2943"/>
    <w:rsid w:val="00EF3315"/>
    <w:rsid w:val="00EF40E1"/>
    <w:rsid w:val="00EF428F"/>
    <w:rsid w:val="00EF431A"/>
    <w:rsid w:val="00EF53E8"/>
    <w:rsid w:val="00EF5F6C"/>
    <w:rsid w:val="00EF60B4"/>
    <w:rsid w:val="00EF6B03"/>
    <w:rsid w:val="00EF7087"/>
    <w:rsid w:val="00EF74FD"/>
    <w:rsid w:val="00F007B8"/>
    <w:rsid w:val="00F00EA6"/>
    <w:rsid w:val="00F01C1E"/>
    <w:rsid w:val="00F01E74"/>
    <w:rsid w:val="00F02157"/>
    <w:rsid w:val="00F02388"/>
    <w:rsid w:val="00F026E6"/>
    <w:rsid w:val="00F0273E"/>
    <w:rsid w:val="00F036C3"/>
    <w:rsid w:val="00F03AC9"/>
    <w:rsid w:val="00F04B93"/>
    <w:rsid w:val="00F04C0F"/>
    <w:rsid w:val="00F0558E"/>
    <w:rsid w:val="00F056C5"/>
    <w:rsid w:val="00F058BB"/>
    <w:rsid w:val="00F05C43"/>
    <w:rsid w:val="00F0617C"/>
    <w:rsid w:val="00F061F9"/>
    <w:rsid w:val="00F06C61"/>
    <w:rsid w:val="00F07094"/>
    <w:rsid w:val="00F07652"/>
    <w:rsid w:val="00F076EB"/>
    <w:rsid w:val="00F100A3"/>
    <w:rsid w:val="00F1011C"/>
    <w:rsid w:val="00F10DF3"/>
    <w:rsid w:val="00F11F0C"/>
    <w:rsid w:val="00F12601"/>
    <w:rsid w:val="00F12A97"/>
    <w:rsid w:val="00F132C4"/>
    <w:rsid w:val="00F1358B"/>
    <w:rsid w:val="00F13AB9"/>
    <w:rsid w:val="00F146F2"/>
    <w:rsid w:val="00F14ABA"/>
    <w:rsid w:val="00F14AD6"/>
    <w:rsid w:val="00F14EA9"/>
    <w:rsid w:val="00F15472"/>
    <w:rsid w:val="00F15CDE"/>
    <w:rsid w:val="00F15DBE"/>
    <w:rsid w:val="00F15FDD"/>
    <w:rsid w:val="00F16FC0"/>
    <w:rsid w:val="00F17812"/>
    <w:rsid w:val="00F20457"/>
    <w:rsid w:val="00F2112F"/>
    <w:rsid w:val="00F2126A"/>
    <w:rsid w:val="00F214CB"/>
    <w:rsid w:val="00F215C2"/>
    <w:rsid w:val="00F21D9E"/>
    <w:rsid w:val="00F22155"/>
    <w:rsid w:val="00F2370E"/>
    <w:rsid w:val="00F24227"/>
    <w:rsid w:val="00F244D3"/>
    <w:rsid w:val="00F24DF4"/>
    <w:rsid w:val="00F2564B"/>
    <w:rsid w:val="00F26713"/>
    <w:rsid w:val="00F26D51"/>
    <w:rsid w:val="00F26FF9"/>
    <w:rsid w:val="00F276D7"/>
    <w:rsid w:val="00F30A59"/>
    <w:rsid w:val="00F322FA"/>
    <w:rsid w:val="00F32917"/>
    <w:rsid w:val="00F331D3"/>
    <w:rsid w:val="00F33744"/>
    <w:rsid w:val="00F338B2"/>
    <w:rsid w:val="00F33C60"/>
    <w:rsid w:val="00F3441F"/>
    <w:rsid w:val="00F3458A"/>
    <w:rsid w:val="00F34722"/>
    <w:rsid w:val="00F34A29"/>
    <w:rsid w:val="00F366E6"/>
    <w:rsid w:val="00F36A1E"/>
    <w:rsid w:val="00F36E04"/>
    <w:rsid w:val="00F372F2"/>
    <w:rsid w:val="00F37557"/>
    <w:rsid w:val="00F37A20"/>
    <w:rsid w:val="00F37E4F"/>
    <w:rsid w:val="00F40335"/>
    <w:rsid w:val="00F413C5"/>
    <w:rsid w:val="00F424E6"/>
    <w:rsid w:val="00F4260C"/>
    <w:rsid w:val="00F43262"/>
    <w:rsid w:val="00F435EE"/>
    <w:rsid w:val="00F44A4C"/>
    <w:rsid w:val="00F45466"/>
    <w:rsid w:val="00F456B3"/>
    <w:rsid w:val="00F4596E"/>
    <w:rsid w:val="00F4740E"/>
    <w:rsid w:val="00F47460"/>
    <w:rsid w:val="00F47844"/>
    <w:rsid w:val="00F50103"/>
    <w:rsid w:val="00F50E94"/>
    <w:rsid w:val="00F514E8"/>
    <w:rsid w:val="00F51D9B"/>
    <w:rsid w:val="00F5209C"/>
    <w:rsid w:val="00F52BDC"/>
    <w:rsid w:val="00F53BAE"/>
    <w:rsid w:val="00F546ED"/>
    <w:rsid w:val="00F553FD"/>
    <w:rsid w:val="00F5556B"/>
    <w:rsid w:val="00F5599F"/>
    <w:rsid w:val="00F567CE"/>
    <w:rsid w:val="00F56CC3"/>
    <w:rsid w:val="00F56F88"/>
    <w:rsid w:val="00F57075"/>
    <w:rsid w:val="00F570ED"/>
    <w:rsid w:val="00F575F2"/>
    <w:rsid w:val="00F578F3"/>
    <w:rsid w:val="00F60A9F"/>
    <w:rsid w:val="00F61556"/>
    <w:rsid w:val="00F62089"/>
    <w:rsid w:val="00F62929"/>
    <w:rsid w:val="00F63907"/>
    <w:rsid w:val="00F648E2"/>
    <w:rsid w:val="00F65030"/>
    <w:rsid w:val="00F651E3"/>
    <w:rsid w:val="00F665DB"/>
    <w:rsid w:val="00F67AA4"/>
    <w:rsid w:val="00F7062F"/>
    <w:rsid w:val="00F70909"/>
    <w:rsid w:val="00F714A5"/>
    <w:rsid w:val="00F72979"/>
    <w:rsid w:val="00F72C3C"/>
    <w:rsid w:val="00F73458"/>
    <w:rsid w:val="00F73543"/>
    <w:rsid w:val="00F759C0"/>
    <w:rsid w:val="00F776B2"/>
    <w:rsid w:val="00F80074"/>
    <w:rsid w:val="00F802E3"/>
    <w:rsid w:val="00F80E07"/>
    <w:rsid w:val="00F812DF"/>
    <w:rsid w:val="00F81833"/>
    <w:rsid w:val="00F81DB7"/>
    <w:rsid w:val="00F8235F"/>
    <w:rsid w:val="00F82BEC"/>
    <w:rsid w:val="00F831E9"/>
    <w:rsid w:val="00F83898"/>
    <w:rsid w:val="00F83E14"/>
    <w:rsid w:val="00F84143"/>
    <w:rsid w:val="00F8437E"/>
    <w:rsid w:val="00F8490C"/>
    <w:rsid w:val="00F850A2"/>
    <w:rsid w:val="00F85A64"/>
    <w:rsid w:val="00F86130"/>
    <w:rsid w:val="00F869BA"/>
    <w:rsid w:val="00F86AA1"/>
    <w:rsid w:val="00F871A3"/>
    <w:rsid w:val="00F87DA5"/>
    <w:rsid w:val="00F901B3"/>
    <w:rsid w:val="00F90C06"/>
    <w:rsid w:val="00F914AB"/>
    <w:rsid w:val="00F92828"/>
    <w:rsid w:val="00F929C9"/>
    <w:rsid w:val="00F93BFF"/>
    <w:rsid w:val="00F9419B"/>
    <w:rsid w:val="00F95003"/>
    <w:rsid w:val="00F9799B"/>
    <w:rsid w:val="00FA03CC"/>
    <w:rsid w:val="00FA03DD"/>
    <w:rsid w:val="00FA1377"/>
    <w:rsid w:val="00FA19CF"/>
    <w:rsid w:val="00FA2434"/>
    <w:rsid w:val="00FA2D75"/>
    <w:rsid w:val="00FA3600"/>
    <w:rsid w:val="00FA43C6"/>
    <w:rsid w:val="00FA482C"/>
    <w:rsid w:val="00FA4A64"/>
    <w:rsid w:val="00FA4ABB"/>
    <w:rsid w:val="00FA5026"/>
    <w:rsid w:val="00FA72EF"/>
    <w:rsid w:val="00FA731B"/>
    <w:rsid w:val="00FA7856"/>
    <w:rsid w:val="00FA7FE1"/>
    <w:rsid w:val="00FB0358"/>
    <w:rsid w:val="00FB0D68"/>
    <w:rsid w:val="00FB1479"/>
    <w:rsid w:val="00FB258C"/>
    <w:rsid w:val="00FB394D"/>
    <w:rsid w:val="00FB3F88"/>
    <w:rsid w:val="00FB66D9"/>
    <w:rsid w:val="00FB6B05"/>
    <w:rsid w:val="00FC0F8E"/>
    <w:rsid w:val="00FC1191"/>
    <w:rsid w:val="00FC172A"/>
    <w:rsid w:val="00FC1EFD"/>
    <w:rsid w:val="00FC329A"/>
    <w:rsid w:val="00FC3B22"/>
    <w:rsid w:val="00FC4FB3"/>
    <w:rsid w:val="00FC51FA"/>
    <w:rsid w:val="00FC675B"/>
    <w:rsid w:val="00FC6A3F"/>
    <w:rsid w:val="00FC79DE"/>
    <w:rsid w:val="00FD001B"/>
    <w:rsid w:val="00FD12A1"/>
    <w:rsid w:val="00FD24D7"/>
    <w:rsid w:val="00FD298F"/>
    <w:rsid w:val="00FD2EEB"/>
    <w:rsid w:val="00FD2F40"/>
    <w:rsid w:val="00FD37D4"/>
    <w:rsid w:val="00FD3CF7"/>
    <w:rsid w:val="00FD3E7B"/>
    <w:rsid w:val="00FD48CD"/>
    <w:rsid w:val="00FD577E"/>
    <w:rsid w:val="00FD5910"/>
    <w:rsid w:val="00FD62BD"/>
    <w:rsid w:val="00FD6819"/>
    <w:rsid w:val="00FE0122"/>
    <w:rsid w:val="00FE0486"/>
    <w:rsid w:val="00FE055D"/>
    <w:rsid w:val="00FE06C6"/>
    <w:rsid w:val="00FE06E8"/>
    <w:rsid w:val="00FE0C65"/>
    <w:rsid w:val="00FE0F8B"/>
    <w:rsid w:val="00FE195C"/>
    <w:rsid w:val="00FE2A51"/>
    <w:rsid w:val="00FE4EB0"/>
    <w:rsid w:val="00FE5903"/>
    <w:rsid w:val="00FE7506"/>
    <w:rsid w:val="00FE7E2A"/>
    <w:rsid w:val="00FF03D6"/>
    <w:rsid w:val="00FF0AFD"/>
    <w:rsid w:val="00FF122A"/>
    <w:rsid w:val="00FF1299"/>
    <w:rsid w:val="00FF13ED"/>
    <w:rsid w:val="00FF1689"/>
    <w:rsid w:val="00FF1A2C"/>
    <w:rsid w:val="00FF1B80"/>
    <w:rsid w:val="00FF1C71"/>
    <w:rsid w:val="00FF2B14"/>
    <w:rsid w:val="00FF2B25"/>
    <w:rsid w:val="00FF380E"/>
    <w:rsid w:val="00FF4CEC"/>
    <w:rsid w:val="00FF62E9"/>
    <w:rsid w:val="00FF6ADF"/>
    <w:rsid w:val="00FF7560"/>
    <w:rsid w:val="010618D9"/>
    <w:rsid w:val="01255270"/>
    <w:rsid w:val="01794FD1"/>
    <w:rsid w:val="01E477A4"/>
    <w:rsid w:val="02261FF1"/>
    <w:rsid w:val="02AE326F"/>
    <w:rsid w:val="02D9023D"/>
    <w:rsid w:val="02DB4E2B"/>
    <w:rsid w:val="03205481"/>
    <w:rsid w:val="03223A0C"/>
    <w:rsid w:val="034557FF"/>
    <w:rsid w:val="034956A4"/>
    <w:rsid w:val="039A0EAE"/>
    <w:rsid w:val="03A9569B"/>
    <w:rsid w:val="03AD2AE2"/>
    <w:rsid w:val="03BA571D"/>
    <w:rsid w:val="04092635"/>
    <w:rsid w:val="046D176A"/>
    <w:rsid w:val="04A1571C"/>
    <w:rsid w:val="04AD1066"/>
    <w:rsid w:val="04AF4D5A"/>
    <w:rsid w:val="04B21131"/>
    <w:rsid w:val="0501572B"/>
    <w:rsid w:val="05085FEE"/>
    <w:rsid w:val="050C1567"/>
    <w:rsid w:val="05515918"/>
    <w:rsid w:val="05AC0354"/>
    <w:rsid w:val="05D17934"/>
    <w:rsid w:val="05F05D62"/>
    <w:rsid w:val="06060C4A"/>
    <w:rsid w:val="06262C13"/>
    <w:rsid w:val="06374D1E"/>
    <w:rsid w:val="06747EC3"/>
    <w:rsid w:val="068F68EA"/>
    <w:rsid w:val="06A340CA"/>
    <w:rsid w:val="06D940E8"/>
    <w:rsid w:val="07175658"/>
    <w:rsid w:val="079169D2"/>
    <w:rsid w:val="07A03699"/>
    <w:rsid w:val="07A84F50"/>
    <w:rsid w:val="07AA0DBC"/>
    <w:rsid w:val="07B379ED"/>
    <w:rsid w:val="07E86AEF"/>
    <w:rsid w:val="08311B3F"/>
    <w:rsid w:val="083A517F"/>
    <w:rsid w:val="0863028E"/>
    <w:rsid w:val="08AF758B"/>
    <w:rsid w:val="08B833A1"/>
    <w:rsid w:val="08E61431"/>
    <w:rsid w:val="08FF14D4"/>
    <w:rsid w:val="091A4264"/>
    <w:rsid w:val="0A1F3703"/>
    <w:rsid w:val="0A9029F1"/>
    <w:rsid w:val="0AAB3488"/>
    <w:rsid w:val="0ADE4027"/>
    <w:rsid w:val="0B475D62"/>
    <w:rsid w:val="0B4C10A8"/>
    <w:rsid w:val="0B7056D7"/>
    <w:rsid w:val="0B73007E"/>
    <w:rsid w:val="0B955CB1"/>
    <w:rsid w:val="0BB13108"/>
    <w:rsid w:val="0BB55B9E"/>
    <w:rsid w:val="0C4B396B"/>
    <w:rsid w:val="0C631EE2"/>
    <w:rsid w:val="0C9A1B6C"/>
    <w:rsid w:val="0CA6669B"/>
    <w:rsid w:val="0CA80F2A"/>
    <w:rsid w:val="0CAA0303"/>
    <w:rsid w:val="0CB52CE8"/>
    <w:rsid w:val="0D1E2C0A"/>
    <w:rsid w:val="0D2320DD"/>
    <w:rsid w:val="0D9B531B"/>
    <w:rsid w:val="0DAC6C4A"/>
    <w:rsid w:val="0DCA4D08"/>
    <w:rsid w:val="0E07102C"/>
    <w:rsid w:val="0E2C5AB1"/>
    <w:rsid w:val="0EAE2AF1"/>
    <w:rsid w:val="0EF31852"/>
    <w:rsid w:val="0F0C0F1C"/>
    <w:rsid w:val="0F6D0636"/>
    <w:rsid w:val="0F7134CA"/>
    <w:rsid w:val="0F7D5AAC"/>
    <w:rsid w:val="10136D05"/>
    <w:rsid w:val="104B430E"/>
    <w:rsid w:val="106813B9"/>
    <w:rsid w:val="10A73CA5"/>
    <w:rsid w:val="114233DF"/>
    <w:rsid w:val="116B1E39"/>
    <w:rsid w:val="119A0F67"/>
    <w:rsid w:val="11A24B13"/>
    <w:rsid w:val="11DE5182"/>
    <w:rsid w:val="12403FBF"/>
    <w:rsid w:val="127C0753"/>
    <w:rsid w:val="12887969"/>
    <w:rsid w:val="12D62875"/>
    <w:rsid w:val="12DB223C"/>
    <w:rsid w:val="12DC2DAD"/>
    <w:rsid w:val="12F1610F"/>
    <w:rsid w:val="133349C6"/>
    <w:rsid w:val="133D0AFE"/>
    <w:rsid w:val="13492404"/>
    <w:rsid w:val="135724D2"/>
    <w:rsid w:val="13800216"/>
    <w:rsid w:val="13EB6F14"/>
    <w:rsid w:val="141A7C09"/>
    <w:rsid w:val="14263671"/>
    <w:rsid w:val="14310FA9"/>
    <w:rsid w:val="14A16EC2"/>
    <w:rsid w:val="14AF28C1"/>
    <w:rsid w:val="14C908CC"/>
    <w:rsid w:val="154F363B"/>
    <w:rsid w:val="15A37B76"/>
    <w:rsid w:val="15D271F6"/>
    <w:rsid w:val="15E25C30"/>
    <w:rsid w:val="161E2294"/>
    <w:rsid w:val="1620689B"/>
    <w:rsid w:val="168A14F7"/>
    <w:rsid w:val="1691533F"/>
    <w:rsid w:val="16BB42D4"/>
    <w:rsid w:val="176C0964"/>
    <w:rsid w:val="17786B35"/>
    <w:rsid w:val="17F57222"/>
    <w:rsid w:val="18856EAF"/>
    <w:rsid w:val="18B15D84"/>
    <w:rsid w:val="18F65D76"/>
    <w:rsid w:val="19114CBF"/>
    <w:rsid w:val="192421BF"/>
    <w:rsid w:val="1941082D"/>
    <w:rsid w:val="19684D91"/>
    <w:rsid w:val="19725A18"/>
    <w:rsid w:val="198320E9"/>
    <w:rsid w:val="19E23E99"/>
    <w:rsid w:val="19FA2F50"/>
    <w:rsid w:val="1A061484"/>
    <w:rsid w:val="1A384407"/>
    <w:rsid w:val="1A4E26D7"/>
    <w:rsid w:val="1A6F7BCA"/>
    <w:rsid w:val="1A8955F9"/>
    <w:rsid w:val="1A956E72"/>
    <w:rsid w:val="1ACA3F7A"/>
    <w:rsid w:val="1B432BF4"/>
    <w:rsid w:val="1B505A44"/>
    <w:rsid w:val="1BD628B5"/>
    <w:rsid w:val="1BF52A57"/>
    <w:rsid w:val="1BFB7262"/>
    <w:rsid w:val="1C3F36FD"/>
    <w:rsid w:val="1C6A7502"/>
    <w:rsid w:val="1C7D5214"/>
    <w:rsid w:val="1C884153"/>
    <w:rsid w:val="1CA92D52"/>
    <w:rsid w:val="1D770168"/>
    <w:rsid w:val="1DC75CB5"/>
    <w:rsid w:val="1DEA2816"/>
    <w:rsid w:val="1E397A6F"/>
    <w:rsid w:val="1E611F4D"/>
    <w:rsid w:val="1E820CBA"/>
    <w:rsid w:val="1E8D6324"/>
    <w:rsid w:val="1EF30308"/>
    <w:rsid w:val="1F1F4500"/>
    <w:rsid w:val="1F9015CB"/>
    <w:rsid w:val="1FF90060"/>
    <w:rsid w:val="200E4AFC"/>
    <w:rsid w:val="201D7DE3"/>
    <w:rsid w:val="209D713F"/>
    <w:rsid w:val="20AA71B8"/>
    <w:rsid w:val="20B32993"/>
    <w:rsid w:val="20F22BAC"/>
    <w:rsid w:val="213434A8"/>
    <w:rsid w:val="21691B40"/>
    <w:rsid w:val="218F0124"/>
    <w:rsid w:val="21BB1E52"/>
    <w:rsid w:val="21D078D4"/>
    <w:rsid w:val="222F72C3"/>
    <w:rsid w:val="22DA48B9"/>
    <w:rsid w:val="230B6F87"/>
    <w:rsid w:val="230C5842"/>
    <w:rsid w:val="237E4F03"/>
    <w:rsid w:val="23A17EBC"/>
    <w:rsid w:val="244A4C10"/>
    <w:rsid w:val="24630E1A"/>
    <w:rsid w:val="24722FC4"/>
    <w:rsid w:val="24731178"/>
    <w:rsid w:val="24C846DF"/>
    <w:rsid w:val="24FA7D81"/>
    <w:rsid w:val="253C60E7"/>
    <w:rsid w:val="25832254"/>
    <w:rsid w:val="25AD5054"/>
    <w:rsid w:val="25B46B6B"/>
    <w:rsid w:val="25C04CA3"/>
    <w:rsid w:val="25C73A6B"/>
    <w:rsid w:val="26320E68"/>
    <w:rsid w:val="264A74DB"/>
    <w:rsid w:val="26915550"/>
    <w:rsid w:val="26A72C5E"/>
    <w:rsid w:val="26AD1183"/>
    <w:rsid w:val="26B1254F"/>
    <w:rsid w:val="26B5263A"/>
    <w:rsid w:val="26B66BA1"/>
    <w:rsid w:val="26EC7A29"/>
    <w:rsid w:val="270534B3"/>
    <w:rsid w:val="276005C8"/>
    <w:rsid w:val="276F1F3E"/>
    <w:rsid w:val="27BE431E"/>
    <w:rsid w:val="282C2C28"/>
    <w:rsid w:val="282C429D"/>
    <w:rsid w:val="284A7925"/>
    <w:rsid w:val="28EE1A88"/>
    <w:rsid w:val="297D59F1"/>
    <w:rsid w:val="297F5B08"/>
    <w:rsid w:val="29FF7546"/>
    <w:rsid w:val="2A132067"/>
    <w:rsid w:val="2A386EC7"/>
    <w:rsid w:val="2A67058F"/>
    <w:rsid w:val="2AA22E62"/>
    <w:rsid w:val="2B015A63"/>
    <w:rsid w:val="2B472622"/>
    <w:rsid w:val="2B490206"/>
    <w:rsid w:val="2BCD1A45"/>
    <w:rsid w:val="2CB17907"/>
    <w:rsid w:val="2CF03568"/>
    <w:rsid w:val="2D014845"/>
    <w:rsid w:val="2D54239B"/>
    <w:rsid w:val="2D775663"/>
    <w:rsid w:val="2D955A56"/>
    <w:rsid w:val="2DAA2BF5"/>
    <w:rsid w:val="2E054F10"/>
    <w:rsid w:val="2E0B37B0"/>
    <w:rsid w:val="2E0D3E94"/>
    <w:rsid w:val="2F3538E8"/>
    <w:rsid w:val="2F550C4D"/>
    <w:rsid w:val="301451AD"/>
    <w:rsid w:val="301619FF"/>
    <w:rsid w:val="30817C16"/>
    <w:rsid w:val="30B808F0"/>
    <w:rsid w:val="30BE63E4"/>
    <w:rsid w:val="30C04B92"/>
    <w:rsid w:val="31C27A2A"/>
    <w:rsid w:val="323E0AE7"/>
    <w:rsid w:val="3241346A"/>
    <w:rsid w:val="3246242B"/>
    <w:rsid w:val="32925FD2"/>
    <w:rsid w:val="32B33346"/>
    <w:rsid w:val="32CE39F9"/>
    <w:rsid w:val="32CE4D10"/>
    <w:rsid w:val="32EC25FD"/>
    <w:rsid w:val="33085AD6"/>
    <w:rsid w:val="33262FF4"/>
    <w:rsid w:val="334B3D25"/>
    <w:rsid w:val="337F37F1"/>
    <w:rsid w:val="33A1249C"/>
    <w:rsid w:val="35562492"/>
    <w:rsid w:val="356615AD"/>
    <w:rsid w:val="35897582"/>
    <w:rsid w:val="35BE4A9A"/>
    <w:rsid w:val="36161A1D"/>
    <w:rsid w:val="364E6406"/>
    <w:rsid w:val="365642D8"/>
    <w:rsid w:val="367D22C5"/>
    <w:rsid w:val="36C9632D"/>
    <w:rsid w:val="36CE126A"/>
    <w:rsid w:val="376A638B"/>
    <w:rsid w:val="37721AFF"/>
    <w:rsid w:val="37A769A7"/>
    <w:rsid w:val="37AF66D0"/>
    <w:rsid w:val="3845367D"/>
    <w:rsid w:val="38CF1774"/>
    <w:rsid w:val="38F41192"/>
    <w:rsid w:val="38F81812"/>
    <w:rsid w:val="3927623F"/>
    <w:rsid w:val="3936709F"/>
    <w:rsid w:val="395E292B"/>
    <w:rsid w:val="396B1F1F"/>
    <w:rsid w:val="398E1255"/>
    <w:rsid w:val="39F02583"/>
    <w:rsid w:val="3A7B1AD5"/>
    <w:rsid w:val="3A8B5CFB"/>
    <w:rsid w:val="3B03512B"/>
    <w:rsid w:val="3B041D62"/>
    <w:rsid w:val="3B326952"/>
    <w:rsid w:val="3B5C7B77"/>
    <w:rsid w:val="3C014722"/>
    <w:rsid w:val="3C297DD9"/>
    <w:rsid w:val="3C3E55F5"/>
    <w:rsid w:val="3C64573A"/>
    <w:rsid w:val="3C6D7BA8"/>
    <w:rsid w:val="3C9F0D46"/>
    <w:rsid w:val="3CA73DC2"/>
    <w:rsid w:val="3CAE05BD"/>
    <w:rsid w:val="3CB63105"/>
    <w:rsid w:val="3D073D93"/>
    <w:rsid w:val="3D1C1D65"/>
    <w:rsid w:val="3D3F073F"/>
    <w:rsid w:val="3D6E0F5D"/>
    <w:rsid w:val="3D80636F"/>
    <w:rsid w:val="3D9929B6"/>
    <w:rsid w:val="3E1B2756"/>
    <w:rsid w:val="3E8C1529"/>
    <w:rsid w:val="3EBF7E15"/>
    <w:rsid w:val="3EDE2983"/>
    <w:rsid w:val="3F472B79"/>
    <w:rsid w:val="3F797E0E"/>
    <w:rsid w:val="3F7D4532"/>
    <w:rsid w:val="3F9349F4"/>
    <w:rsid w:val="3FA149CD"/>
    <w:rsid w:val="3FAD3C6C"/>
    <w:rsid w:val="3FB92FB4"/>
    <w:rsid w:val="3FE01431"/>
    <w:rsid w:val="400728BB"/>
    <w:rsid w:val="4043650F"/>
    <w:rsid w:val="404F58EA"/>
    <w:rsid w:val="405D5E44"/>
    <w:rsid w:val="40786019"/>
    <w:rsid w:val="40B62077"/>
    <w:rsid w:val="40D73F82"/>
    <w:rsid w:val="41170DDB"/>
    <w:rsid w:val="41173902"/>
    <w:rsid w:val="411D4323"/>
    <w:rsid w:val="414E23E1"/>
    <w:rsid w:val="4154737E"/>
    <w:rsid w:val="41A6228C"/>
    <w:rsid w:val="42222BD5"/>
    <w:rsid w:val="422F15E0"/>
    <w:rsid w:val="423C7288"/>
    <w:rsid w:val="42735550"/>
    <w:rsid w:val="429D3165"/>
    <w:rsid w:val="42A5072C"/>
    <w:rsid w:val="42E223A4"/>
    <w:rsid w:val="42E7620C"/>
    <w:rsid w:val="42F475FE"/>
    <w:rsid w:val="435962F6"/>
    <w:rsid w:val="43B64DE0"/>
    <w:rsid w:val="442A4294"/>
    <w:rsid w:val="44B34F35"/>
    <w:rsid w:val="44E43AAE"/>
    <w:rsid w:val="45031A84"/>
    <w:rsid w:val="45065918"/>
    <w:rsid w:val="45067A76"/>
    <w:rsid w:val="45117FDD"/>
    <w:rsid w:val="451672A4"/>
    <w:rsid w:val="459D4E6E"/>
    <w:rsid w:val="45DE1E54"/>
    <w:rsid w:val="45F91DDD"/>
    <w:rsid w:val="463D5C28"/>
    <w:rsid w:val="46BF1549"/>
    <w:rsid w:val="46DA191D"/>
    <w:rsid w:val="46EF0329"/>
    <w:rsid w:val="47675D9B"/>
    <w:rsid w:val="47712C75"/>
    <w:rsid w:val="481B27CA"/>
    <w:rsid w:val="48AC7D3E"/>
    <w:rsid w:val="492963D0"/>
    <w:rsid w:val="49353220"/>
    <w:rsid w:val="495F44D8"/>
    <w:rsid w:val="49EF4EC5"/>
    <w:rsid w:val="4A2D00A6"/>
    <w:rsid w:val="4A2F3394"/>
    <w:rsid w:val="4AB27186"/>
    <w:rsid w:val="4AC32365"/>
    <w:rsid w:val="4AC9071E"/>
    <w:rsid w:val="4ACA68B2"/>
    <w:rsid w:val="4B631F09"/>
    <w:rsid w:val="4B865F62"/>
    <w:rsid w:val="4B9272D5"/>
    <w:rsid w:val="4B9959D0"/>
    <w:rsid w:val="4BB83C16"/>
    <w:rsid w:val="4BD81EBA"/>
    <w:rsid w:val="4C077E4A"/>
    <w:rsid w:val="4C171216"/>
    <w:rsid w:val="4C3A7C52"/>
    <w:rsid w:val="4C7D1120"/>
    <w:rsid w:val="4CB142DB"/>
    <w:rsid w:val="4CF136D0"/>
    <w:rsid w:val="4D982C23"/>
    <w:rsid w:val="4DEF36F7"/>
    <w:rsid w:val="4DF93BDC"/>
    <w:rsid w:val="4E1E0947"/>
    <w:rsid w:val="4E217D2F"/>
    <w:rsid w:val="4E820F22"/>
    <w:rsid w:val="4EAF3C6D"/>
    <w:rsid w:val="4EEA50F1"/>
    <w:rsid w:val="4F801D6F"/>
    <w:rsid w:val="4FA25168"/>
    <w:rsid w:val="4FB47043"/>
    <w:rsid w:val="4FDB090C"/>
    <w:rsid w:val="4FF41149"/>
    <w:rsid w:val="50061A6B"/>
    <w:rsid w:val="503C3FD7"/>
    <w:rsid w:val="508E4492"/>
    <w:rsid w:val="508F4A5D"/>
    <w:rsid w:val="50AD1630"/>
    <w:rsid w:val="50BC0346"/>
    <w:rsid w:val="51007B5F"/>
    <w:rsid w:val="514F7FAE"/>
    <w:rsid w:val="515B6503"/>
    <w:rsid w:val="521347D9"/>
    <w:rsid w:val="52287666"/>
    <w:rsid w:val="5233031B"/>
    <w:rsid w:val="52576014"/>
    <w:rsid w:val="526C4A61"/>
    <w:rsid w:val="52913746"/>
    <w:rsid w:val="52AD7414"/>
    <w:rsid w:val="52BB4A25"/>
    <w:rsid w:val="52F569D3"/>
    <w:rsid w:val="52F63562"/>
    <w:rsid w:val="5356027C"/>
    <w:rsid w:val="53AD759D"/>
    <w:rsid w:val="53D566C9"/>
    <w:rsid w:val="53D91259"/>
    <w:rsid w:val="53E17BFB"/>
    <w:rsid w:val="54050FFE"/>
    <w:rsid w:val="544E02F4"/>
    <w:rsid w:val="545D7FF0"/>
    <w:rsid w:val="5461507A"/>
    <w:rsid w:val="54C4118E"/>
    <w:rsid w:val="54FA57A9"/>
    <w:rsid w:val="550822B9"/>
    <w:rsid w:val="55087B57"/>
    <w:rsid w:val="552D659A"/>
    <w:rsid w:val="55512113"/>
    <w:rsid w:val="559F0038"/>
    <w:rsid w:val="55A41827"/>
    <w:rsid w:val="55FC2841"/>
    <w:rsid w:val="56892345"/>
    <w:rsid w:val="568A6514"/>
    <w:rsid w:val="569B0619"/>
    <w:rsid w:val="56CC5D29"/>
    <w:rsid w:val="56D616E8"/>
    <w:rsid w:val="56E8058A"/>
    <w:rsid w:val="5703393F"/>
    <w:rsid w:val="571E48A4"/>
    <w:rsid w:val="5723412E"/>
    <w:rsid w:val="576F6B7F"/>
    <w:rsid w:val="57707664"/>
    <w:rsid w:val="57AE48DB"/>
    <w:rsid w:val="57C46917"/>
    <w:rsid w:val="57F22475"/>
    <w:rsid w:val="57F65026"/>
    <w:rsid w:val="581204B4"/>
    <w:rsid w:val="58A07F3E"/>
    <w:rsid w:val="58B757CC"/>
    <w:rsid w:val="58CD2F65"/>
    <w:rsid w:val="58D955C4"/>
    <w:rsid w:val="59194401"/>
    <w:rsid w:val="59A11A17"/>
    <w:rsid w:val="59BE3BB1"/>
    <w:rsid w:val="59D61B21"/>
    <w:rsid w:val="5A1F3157"/>
    <w:rsid w:val="5A3D4005"/>
    <w:rsid w:val="5A45692B"/>
    <w:rsid w:val="5A4D1678"/>
    <w:rsid w:val="5A5C09F5"/>
    <w:rsid w:val="5A696A60"/>
    <w:rsid w:val="5A697C62"/>
    <w:rsid w:val="5B39769F"/>
    <w:rsid w:val="5B562F6F"/>
    <w:rsid w:val="5B65043F"/>
    <w:rsid w:val="5BCB1B23"/>
    <w:rsid w:val="5C1C2350"/>
    <w:rsid w:val="5C897063"/>
    <w:rsid w:val="5CDF5B61"/>
    <w:rsid w:val="5D2F5C3B"/>
    <w:rsid w:val="5D7C02A2"/>
    <w:rsid w:val="5DF03FE5"/>
    <w:rsid w:val="5DF907A1"/>
    <w:rsid w:val="5E19256C"/>
    <w:rsid w:val="5E21108D"/>
    <w:rsid w:val="5E5E50E5"/>
    <w:rsid w:val="5E716E50"/>
    <w:rsid w:val="5E731838"/>
    <w:rsid w:val="5E7E1194"/>
    <w:rsid w:val="5E8122F6"/>
    <w:rsid w:val="5E9C5B51"/>
    <w:rsid w:val="5EC755C6"/>
    <w:rsid w:val="5F0C7171"/>
    <w:rsid w:val="5F0F1836"/>
    <w:rsid w:val="5F2B3DAB"/>
    <w:rsid w:val="5F694AB8"/>
    <w:rsid w:val="5F6A0474"/>
    <w:rsid w:val="5FE630DA"/>
    <w:rsid w:val="5FF960DE"/>
    <w:rsid w:val="60041423"/>
    <w:rsid w:val="608571FA"/>
    <w:rsid w:val="60D70C47"/>
    <w:rsid w:val="60D749F7"/>
    <w:rsid w:val="60EE68D0"/>
    <w:rsid w:val="61152B0C"/>
    <w:rsid w:val="61861EE4"/>
    <w:rsid w:val="61BA37FB"/>
    <w:rsid w:val="61C27809"/>
    <w:rsid w:val="61CA5168"/>
    <w:rsid w:val="62004CEA"/>
    <w:rsid w:val="62090525"/>
    <w:rsid w:val="623E1E8E"/>
    <w:rsid w:val="62540EA9"/>
    <w:rsid w:val="62663482"/>
    <w:rsid w:val="62B67DEE"/>
    <w:rsid w:val="62C136C3"/>
    <w:rsid w:val="62D440B7"/>
    <w:rsid w:val="632D1BCD"/>
    <w:rsid w:val="63694B79"/>
    <w:rsid w:val="63724D6C"/>
    <w:rsid w:val="63C766C3"/>
    <w:rsid w:val="640A1F86"/>
    <w:rsid w:val="641F18E4"/>
    <w:rsid w:val="6432108D"/>
    <w:rsid w:val="644C128F"/>
    <w:rsid w:val="64612323"/>
    <w:rsid w:val="64677A61"/>
    <w:rsid w:val="646E1490"/>
    <w:rsid w:val="646E5B99"/>
    <w:rsid w:val="64725437"/>
    <w:rsid w:val="64E32549"/>
    <w:rsid w:val="64E66FDF"/>
    <w:rsid w:val="64E951B4"/>
    <w:rsid w:val="64F94B9A"/>
    <w:rsid w:val="6554084D"/>
    <w:rsid w:val="657C6909"/>
    <w:rsid w:val="65B901A1"/>
    <w:rsid w:val="65EF2988"/>
    <w:rsid w:val="662B53F2"/>
    <w:rsid w:val="67DC318D"/>
    <w:rsid w:val="683D3E97"/>
    <w:rsid w:val="688021B1"/>
    <w:rsid w:val="688554BD"/>
    <w:rsid w:val="6914728C"/>
    <w:rsid w:val="69374410"/>
    <w:rsid w:val="69575EF3"/>
    <w:rsid w:val="69793397"/>
    <w:rsid w:val="697A58FD"/>
    <w:rsid w:val="69841E3D"/>
    <w:rsid w:val="699A3F69"/>
    <w:rsid w:val="6A2825A9"/>
    <w:rsid w:val="6A3E6ACE"/>
    <w:rsid w:val="6A5C2E0F"/>
    <w:rsid w:val="6A7C1159"/>
    <w:rsid w:val="6AAF4BEE"/>
    <w:rsid w:val="6AD57715"/>
    <w:rsid w:val="6AF356BA"/>
    <w:rsid w:val="6B96601B"/>
    <w:rsid w:val="6C071B88"/>
    <w:rsid w:val="6C080947"/>
    <w:rsid w:val="6C275B4F"/>
    <w:rsid w:val="6C2E1E0C"/>
    <w:rsid w:val="6C3154BE"/>
    <w:rsid w:val="6C3E5D29"/>
    <w:rsid w:val="6C424153"/>
    <w:rsid w:val="6C4735C4"/>
    <w:rsid w:val="6C507405"/>
    <w:rsid w:val="6C775500"/>
    <w:rsid w:val="6C884D66"/>
    <w:rsid w:val="6CB16F9D"/>
    <w:rsid w:val="6CBC407D"/>
    <w:rsid w:val="6CEE3B30"/>
    <w:rsid w:val="6D240005"/>
    <w:rsid w:val="6D6A64EE"/>
    <w:rsid w:val="6D9A129E"/>
    <w:rsid w:val="6DA73628"/>
    <w:rsid w:val="6DCE0F98"/>
    <w:rsid w:val="6E1D6ECE"/>
    <w:rsid w:val="6E221797"/>
    <w:rsid w:val="6E491175"/>
    <w:rsid w:val="6E736B7E"/>
    <w:rsid w:val="6E7E35BD"/>
    <w:rsid w:val="6EBF0308"/>
    <w:rsid w:val="6EC15622"/>
    <w:rsid w:val="6F2C0004"/>
    <w:rsid w:val="6F7738F2"/>
    <w:rsid w:val="6FC916A8"/>
    <w:rsid w:val="6FE007D4"/>
    <w:rsid w:val="6FEF274F"/>
    <w:rsid w:val="701F3726"/>
    <w:rsid w:val="70833684"/>
    <w:rsid w:val="709A6EA9"/>
    <w:rsid w:val="70E8493A"/>
    <w:rsid w:val="719D3484"/>
    <w:rsid w:val="719D7F5B"/>
    <w:rsid w:val="71A3434E"/>
    <w:rsid w:val="71B341AF"/>
    <w:rsid w:val="71B94B1B"/>
    <w:rsid w:val="71E66EEA"/>
    <w:rsid w:val="72006297"/>
    <w:rsid w:val="722F19CA"/>
    <w:rsid w:val="725774F6"/>
    <w:rsid w:val="72697957"/>
    <w:rsid w:val="72766270"/>
    <w:rsid w:val="72A60307"/>
    <w:rsid w:val="72A80CEB"/>
    <w:rsid w:val="72D9104F"/>
    <w:rsid w:val="730839CA"/>
    <w:rsid w:val="734B0115"/>
    <w:rsid w:val="73925C05"/>
    <w:rsid w:val="73AC05B9"/>
    <w:rsid w:val="73B91F2A"/>
    <w:rsid w:val="73C5457E"/>
    <w:rsid w:val="73FC0EFD"/>
    <w:rsid w:val="74193645"/>
    <w:rsid w:val="74D0608B"/>
    <w:rsid w:val="74D25E39"/>
    <w:rsid w:val="74E22A80"/>
    <w:rsid w:val="74EC26E0"/>
    <w:rsid w:val="751634C1"/>
    <w:rsid w:val="756F54D2"/>
    <w:rsid w:val="75703AE0"/>
    <w:rsid w:val="757B00F9"/>
    <w:rsid w:val="76632E11"/>
    <w:rsid w:val="76B701A5"/>
    <w:rsid w:val="77137AEF"/>
    <w:rsid w:val="777B61D6"/>
    <w:rsid w:val="77AE165F"/>
    <w:rsid w:val="77CC70B5"/>
    <w:rsid w:val="77D30ECE"/>
    <w:rsid w:val="78194B81"/>
    <w:rsid w:val="78817D91"/>
    <w:rsid w:val="79477732"/>
    <w:rsid w:val="79607BC5"/>
    <w:rsid w:val="796F2B84"/>
    <w:rsid w:val="79FD01C7"/>
    <w:rsid w:val="7A0E75EF"/>
    <w:rsid w:val="7A12224C"/>
    <w:rsid w:val="7A1B31DC"/>
    <w:rsid w:val="7AA33E1D"/>
    <w:rsid w:val="7AC72048"/>
    <w:rsid w:val="7ADE7749"/>
    <w:rsid w:val="7B81470B"/>
    <w:rsid w:val="7B8C1AD4"/>
    <w:rsid w:val="7B953FFF"/>
    <w:rsid w:val="7B9B405C"/>
    <w:rsid w:val="7BA21C74"/>
    <w:rsid w:val="7BC71605"/>
    <w:rsid w:val="7C194BB5"/>
    <w:rsid w:val="7C4639F1"/>
    <w:rsid w:val="7C5458BD"/>
    <w:rsid w:val="7C637096"/>
    <w:rsid w:val="7CAC7549"/>
    <w:rsid w:val="7D0E2FE0"/>
    <w:rsid w:val="7D2237FF"/>
    <w:rsid w:val="7D4A58D6"/>
    <w:rsid w:val="7D6370F0"/>
    <w:rsid w:val="7D6D07EF"/>
    <w:rsid w:val="7D81570D"/>
    <w:rsid w:val="7D9B7D3C"/>
    <w:rsid w:val="7DD57AF9"/>
    <w:rsid w:val="7DF13171"/>
    <w:rsid w:val="7E19029B"/>
    <w:rsid w:val="7E2A07F2"/>
    <w:rsid w:val="7E4639AF"/>
    <w:rsid w:val="7EAA1F9D"/>
    <w:rsid w:val="7ECF7A0C"/>
    <w:rsid w:val="7F0D3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9"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iPriority="99"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99" w:semiHidden="0" w:name="table of figures"/>
    <w:lsdException w:qFormat="1" w:unhideWhenUsed="0" w:uiPriority="0" w:semiHidden="0" w:name="envelope address"/>
    <w:lsdException w:qFormat="1" w:unhideWhenUsed="0" w:uiPriority="0" w:semiHidden="0" w:name="envelope return"/>
    <w:lsdException w:qFormat="1" w:uiPriority="99"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11" w:semiHidden="0" w:name="Subtitle"/>
    <w:lsdException w:qFormat="1" w:unhideWhenUsed="0" w:uiPriority="0" w:semiHidden="0" w:name="Salutation"/>
    <w:lsdException w:qFormat="1" w:unhideWhenUsed="0" w:uiPriority="99" w:semiHidden="0" w:name="Date"/>
    <w:lsdException w:qFormat="1" w:uiPriority="0" w:semiHidden="0" w:name="Body Text First Indent"/>
    <w:lsdException w:qFormat="1" w:uiPriority="0" w:semiHidden="0" w:name="Body Text First Indent 2"/>
    <w:lsdException w:qFormat="1" w:unhideWhenUsed="0" w:uiPriority="0" w:semiHidden="0"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99" w:semiHidden="0" w:name="Balloon Text"/>
    <w:lsdException w:qFormat="1" w:unhideWhenUsed="0" w:uiPriority="0" w:semiHidden="0" w:name="Table Grid"/>
    <w:lsdException w:qFormat="1" w:unhideWhenUsed="0" w:uiPriority="0" w:semiHidden="0"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qFormat="1"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qFormat="1"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168"/>
    <w:qFormat/>
    <w:uiPriority w:val="0"/>
    <w:pPr>
      <w:keepNext/>
      <w:jc w:val="center"/>
      <w:outlineLvl w:val="0"/>
    </w:pPr>
    <w:rPr>
      <w:rFonts w:ascii="黑体" w:hAnsi="黑体" w:eastAsia="黑体"/>
      <w:sz w:val="28"/>
      <w:szCs w:val="20"/>
    </w:rPr>
  </w:style>
  <w:style w:type="paragraph" w:styleId="4">
    <w:name w:val="heading 2"/>
    <w:basedOn w:val="1"/>
    <w:next w:val="1"/>
    <w:link w:val="159"/>
    <w:qFormat/>
    <w:uiPriority w:val="0"/>
    <w:pPr>
      <w:keepNext/>
      <w:numPr>
        <w:ilvl w:val="1"/>
        <w:numId w:val="1"/>
      </w:numPr>
      <w:jc w:val="center"/>
      <w:outlineLvl w:val="1"/>
    </w:pPr>
    <w:rPr>
      <w:rFonts w:ascii="宋体" w:hAnsi="Copperplate Gothic Bold"/>
      <w:b/>
      <w:sz w:val="32"/>
      <w:szCs w:val="20"/>
    </w:rPr>
  </w:style>
  <w:style w:type="paragraph" w:styleId="5">
    <w:name w:val="heading 3"/>
    <w:basedOn w:val="1"/>
    <w:next w:val="1"/>
    <w:link w:val="164"/>
    <w:qFormat/>
    <w:uiPriority w:val="0"/>
    <w:pPr>
      <w:widowControl/>
      <w:numPr>
        <w:ilvl w:val="2"/>
        <w:numId w:val="1"/>
      </w:numPr>
      <w:pBdr>
        <w:top w:val="single" w:color="800000" w:sz="4" w:space="1"/>
      </w:pBdr>
      <w:spacing w:after="50" w:afterLines="50" w:line="300" w:lineRule="auto"/>
      <w:jc w:val="left"/>
      <w:outlineLvl w:val="2"/>
    </w:pPr>
    <w:rPr>
      <w:rFonts w:ascii="Arial" w:hAnsi="Arial"/>
      <w:kern w:val="0"/>
      <w:sz w:val="30"/>
      <w:szCs w:val="20"/>
    </w:rPr>
  </w:style>
  <w:style w:type="paragraph" w:styleId="6">
    <w:name w:val="heading 4"/>
    <w:basedOn w:val="1"/>
    <w:next w:val="1"/>
    <w:link w:val="183"/>
    <w:qFormat/>
    <w:uiPriority w:val="0"/>
    <w:pPr>
      <w:keepNext/>
      <w:widowControl/>
      <w:numPr>
        <w:ilvl w:val="3"/>
        <w:numId w:val="1"/>
      </w:numPr>
      <w:spacing w:after="50" w:afterLines="50" w:line="300" w:lineRule="auto"/>
      <w:jc w:val="left"/>
      <w:outlineLvl w:val="3"/>
    </w:pPr>
    <w:rPr>
      <w:rFonts w:ascii="Arial" w:hAnsi="Arial"/>
      <w:smallCaps/>
      <w:color w:val="000080"/>
      <w:kern w:val="0"/>
      <w:sz w:val="28"/>
      <w:szCs w:val="20"/>
    </w:rPr>
  </w:style>
  <w:style w:type="paragraph" w:styleId="7">
    <w:name w:val="heading 5"/>
    <w:basedOn w:val="1"/>
    <w:next w:val="1"/>
    <w:link w:val="188"/>
    <w:qFormat/>
    <w:uiPriority w:val="0"/>
    <w:pPr>
      <w:widowControl/>
      <w:numPr>
        <w:ilvl w:val="4"/>
        <w:numId w:val="1"/>
      </w:numPr>
      <w:spacing w:before="120" w:after="156" w:afterLines="50" w:line="288" w:lineRule="auto"/>
      <w:jc w:val="left"/>
      <w:outlineLvl w:val="4"/>
    </w:pPr>
    <w:rPr>
      <w:rFonts w:ascii="Bookman Old Style" w:hAnsi="Bookman Old Style"/>
      <w:b/>
      <w:color w:val="800000"/>
      <w:kern w:val="0"/>
      <w:sz w:val="24"/>
      <w:szCs w:val="20"/>
    </w:rPr>
  </w:style>
  <w:style w:type="paragraph" w:styleId="8">
    <w:name w:val="heading 6"/>
    <w:basedOn w:val="1"/>
    <w:next w:val="1"/>
    <w:link w:val="149"/>
    <w:qFormat/>
    <w:uiPriority w:val="9"/>
    <w:pPr>
      <w:widowControl/>
      <w:numPr>
        <w:ilvl w:val="5"/>
        <w:numId w:val="1"/>
      </w:numPr>
      <w:spacing w:before="120" w:after="156" w:afterLines="50" w:line="288" w:lineRule="auto"/>
      <w:jc w:val="left"/>
      <w:outlineLvl w:val="5"/>
    </w:pPr>
    <w:rPr>
      <w:rFonts w:ascii="Bookman Old Style" w:hAnsi="Bookman Old Style"/>
      <w:color w:val="800000"/>
      <w:kern w:val="0"/>
      <w:sz w:val="24"/>
      <w:szCs w:val="20"/>
    </w:rPr>
  </w:style>
  <w:style w:type="paragraph" w:styleId="9">
    <w:name w:val="heading 7"/>
    <w:basedOn w:val="1"/>
    <w:next w:val="1"/>
    <w:link w:val="153"/>
    <w:qFormat/>
    <w:uiPriority w:val="9"/>
    <w:pPr>
      <w:widowControl/>
      <w:numPr>
        <w:ilvl w:val="6"/>
        <w:numId w:val="1"/>
      </w:numPr>
      <w:spacing w:before="120" w:after="156" w:afterLines="50" w:line="288" w:lineRule="auto"/>
      <w:jc w:val="left"/>
      <w:outlineLvl w:val="6"/>
    </w:pPr>
    <w:rPr>
      <w:rFonts w:ascii="Bookman Old Style" w:hAnsi="Bookman Old Style"/>
      <w:b/>
      <w:i/>
      <w:kern w:val="0"/>
      <w:sz w:val="22"/>
      <w:szCs w:val="20"/>
    </w:rPr>
  </w:style>
  <w:style w:type="paragraph" w:styleId="10">
    <w:name w:val="heading 8"/>
    <w:basedOn w:val="1"/>
    <w:next w:val="1"/>
    <w:link w:val="152"/>
    <w:qFormat/>
    <w:uiPriority w:val="0"/>
    <w:pPr>
      <w:widowControl/>
      <w:numPr>
        <w:ilvl w:val="7"/>
        <w:numId w:val="1"/>
      </w:numPr>
      <w:spacing w:before="120" w:after="156" w:afterLines="50" w:line="288" w:lineRule="auto"/>
      <w:jc w:val="left"/>
      <w:outlineLvl w:val="7"/>
    </w:pPr>
    <w:rPr>
      <w:rFonts w:ascii="Bookman Old Style" w:hAnsi="Bookman Old Style"/>
      <w:b/>
      <w:i/>
      <w:kern w:val="0"/>
      <w:sz w:val="18"/>
      <w:szCs w:val="20"/>
    </w:rPr>
  </w:style>
  <w:style w:type="paragraph" w:styleId="11">
    <w:name w:val="heading 9"/>
    <w:basedOn w:val="1"/>
    <w:next w:val="1"/>
    <w:link w:val="156"/>
    <w:qFormat/>
    <w:uiPriority w:val="0"/>
    <w:pPr>
      <w:widowControl/>
      <w:numPr>
        <w:ilvl w:val="8"/>
        <w:numId w:val="1"/>
      </w:numPr>
      <w:spacing w:before="120" w:after="156" w:afterLines="50" w:line="288" w:lineRule="auto"/>
      <w:jc w:val="left"/>
      <w:outlineLvl w:val="8"/>
    </w:pPr>
    <w:rPr>
      <w:rFonts w:ascii="CG Times" w:hAnsi="CG Times"/>
      <w:i/>
      <w:kern w:val="0"/>
      <w:sz w:val="18"/>
      <w:szCs w:val="20"/>
    </w:rPr>
  </w:style>
  <w:style w:type="character" w:default="1" w:styleId="79">
    <w:name w:val="Default Paragraph Font"/>
    <w:semiHidden/>
    <w:unhideWhenUsed/>
    <w:qFormat/>
    <w:uiPriority w:val="1"/>
  </w:style>
  <w:style w:type="table" w:default="1" w:styleId="9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link w:val="223"/>
    <w:qFormat/>
    <w:uiPriority w:val="0"/>
    <w:pPr>
      <w:jc w:val="left"/>
    </w:pPr>
    <w:rPr>
      <w:rFonts w:ascii="Copperplate Gothic Bold" w:hAnsi="Copperplate Gothic Bold"/>
      <w:sz w:val="28"/>
      <w:szCs w:val="20"/>
    </w:rPr>
  </w:style>
  <w:style w:type="paragraph" w:styleId="12">
    <w:name w:val="List 3"/>
    <w:basedOn w:val="1"/>
    <w:qFormat/>
    <w:uiPriority w:val="0"/>
    <w:pPr>
      <w:spacing w:line="360" w:lineRule="auto"/>
      <w:ind w:left="100" w:leftChars="400" w:hanging="200" w:hangingChars="200"/>
    </w:pPr>
    <w:rPr>
      <w:rFonts w:eastAsia="仿宋_GB2312"/>
      <w:sz w:val="24"/>
      <w:szCs w:val="24"/>
    </w:rPr>
  </w:style>
  <w:style w:type="paragraph" w:styleId="13">
    <w:name w:val="annotation subject"/>
    <w:basedOn w:val="14"/>
    <w:next w:val="14"/>
    <w:link w:val="184"/>
    <w:qFormat/>
    <w:uiPriority w:val="0"/>
    <w:rPr>
      <w:b/>
      <w:bCs/>
      <w:szCs w:val="21"/>
    </w:rPr>
  </w:style>
  <w:style w:type="paragraph" w:styleId="14">
    <w:name w:val="annotation text"/>
    <w:basedOn w:val="1"/>
    <w:link w:val="144"/>
    <w:qFormat/>
    <w:uiPriority w:val="0"/>
    <w:pPr>
      <w:jc w:val="left"/>
    </w:pPr>
    <w:rPr>
      <w:szCs w:val="20"/>
    </w:rPr>
  </w:style>
  <w:style w:type="paragraph" w:styleId="15">
    <w:name w:val="toc 7"/>
    <w:basedOn w:val="1"/>
    <w:next w:val="1"/>
    <w:unhideWhenUsed/>
    <w:qFormat/>
    <w:uiPriority w:val="39"/>
    <w:pPr>
      <w:spacing w:line="360" w:lineRule="auto"/>
      <w:ind w:left="1440" w:firstLine="200" w:firstLineChars="200"/>
      <w:jc w:val="left"/>
    </w:pPr>
    <w:rPr>
      <w:rFonts w:asciiTheme="minorHAnsi" w:hAnsiTheme="minorHAnsi" w:cstheme="minorHAnsi"/>
      <w:sz w:val="18"/>
      <w:szCs w:val="18"/>
    </w:rPr>
  </w:style>
  <w:style w:type="paragraph" w:styleId="16">
    <w:name w:val="Body Text First Indent"/>
    <w:basedOn w:val="2"/>
    <w:link w:val="252"/>
    <w:unhideWhenUsed/>
    <w:qFormat/>
    <w:uiPriority w:val="0"/>
    <w:pPr>
      <w:spacing w:after="120"/>
      <w:ind w:firstLine="420" w:firstLineChars="100"/>
    </w:pPr>
    <w:rPr>
      <w:rFonts w:ascii="Times New Roman" w:hAnsi="Times New Roman"/>
      <w:sz w:val="18"/>
      <w:szCs w:val="18"/>
    </w:rPr>
  </w:style>
  <w:style w:type="paragraph" w:styleId="17">
    <w:name w:val="List Number 2"/>
    <w:basedOn w:val="1"/>
    <w:qFormat/>
    <w:uiPriority w:val="0"/>
    <w:pPr>
      <w:tabs>
        <w:tab w:val="left" w:pos="420"/>
      </w:tabs>
      <w:spacing w:after="100" w:afterAutospacing="1" w:line="300" w:lineRule="auto"/>
      <w:ind w:left="420" w:hanging="420" w:firstLineChars="200"/>
    </w:pPr>
    <w:rPr>
      <w:rFonts w:eastAsia="仿宋_GB2312"/>
      <w:sz w:val="24"/>
      <w:szCs w:val="24"/>
    </w:rPr>
  </w:style>
  <w:style w:type="paragraph" w:styleId="18">
    <w:name w:val="table of authorities"/>
    <w:basedOn w:val="1"/>
    <w:next w:val="1"/>
    <w:qFormat/>
    <w:uiPriority w:val="0"/>
    <w:pPr>
      <w:spacing w:line="360" w:lineRule="auto"/>
      <w:ind w:left="420" w:leftChars="200" w:firstLine="200" w:firstLineChars="200"/>
    </w:pPr>
    <w:rPr>
      <w:rFonts w:eastAsia="仿宋_GB2312"/>
      <w:sz w:val="24"/>
      <w:szCs w:val="24"/>
    </w:rPr>
  </w:style>
  <w:style w:type="paragraph" w:styleId="19">
    <w:name w:val="Note Heading"/>
    <w:basedOn w:val="1"/>
    <w:next w:val="1"/>
    <w:link w:val="455"/>
    <w:qFormat/>
    <w:uiPriority w:val="0"/>
    <w:pPr>
      <w:spacing w:line="360" w:lineRule="auto"/>
      <w:ind w:firstLine="200" w:firstLineChars="200"/>
      <w:jc w:val="center"/>
    </w:pPr>
    <w:rPr>
      <w:rFonts w:eastAsia="仿宋_GB2312"/>
      <w:sz w:val="24"/>
      <w:szCs w:val="24"/>
    </w:rPr>
  </w:style>
  <w:style w:type="paragraph" w:styleId="20">
    <w:name w:val="E-mail Signature"/>
    <w:basedOn w:val="1"/>
    <w:link w:val="449"/>
    <w:qFormat/>
    <w:uiPriority w:val="0"/>
    <w:pPr>
      <w:spacing w:line="360" w:lineRule="auto"/>
      <w:ind w:firstLine="200" w:firstLineChars="200"/>
    </w:pPr>
    <w:rPr>
      <w:rFonts w:eastAsia="仿宋_GB2312"/>
      <w:sz w:val="24"/>
      <w:szCs w:val="24"/>
    </w:rPr>
  </w:style>
  <w:style w:type="paragraph" w:styleId="21">
    <w:name w:val="List Number"/>
    <w:basedOn w:val="1"/>
    <w:qFormat/>
    <w:uiPriority w:val="0"/>
    <w:pPr>
      <w:numPr>
        <w:ilvl w:val="0"/>
        <w:numId w:val="2"/>
      </w:numPr>
      <w:spacing w:line="360" w:lineRule="auto"/>
      <w:contextualSpacing/>
    </w:pPr>
    <w:rPr>
      <w:rFonts w:eastAsia="仿宋_GB2312"/>
      <w:sz w:val="24"/>
      <w:szCs w:val="24"/>
    </w:rPr>
  </w:style>
  <w:style w:type="paragraph" w:styleId="22">
    <w:name w:val="Normal Indent"/>
    <w:basedOn w:val="1"/>
    <w:link w:val="154"/>
    <w:qFormat/>
    <w:uiPriority w:val="99"/>
    <w:pPr>
      <w:ind w:firstLine="420"/>
    </w:pPr>
    <w:rPr>
      <w:szCs w:val="20"/>
    </w:rPr>
  </w:style>
  <w:style w:type="paragraph" w:styleId="23">
    <w:name w:val="caption"/>
    <w:basedOn w:val="1"/>
    <w:next w:val="1"/>
    <w:link w:val="242"/>
    <w:qFormat/>
    <w:uiPriority w:val="0"/>
    <w:pPr>
      <w:ind w:left="1843"/>
      <w:jc w:val="center"/>
    </w:pPr>
    <w:rPr>
      <w:rFonts w:ascii="Arial Unicode MS" w:hAnsi="Arial Unicode MS"/>
    </w:rPr>
  </w:style>
  <w:style w:type="paragraph" w:styleId="24">
    <w:name w:val="index 5"/>
    <w:basedOn w:val="1"/>
    <w:next w:val="1"/>
    <w:unhideWhenUsed/>
    <w:qFormat/>
    <w:uiPriority w:val="0"/>
    <w:pPr>
      <w:spacing w:line="360" w:lineRule="auto"/>
      <w:ind w:left="800" w:leftChars="800" w:firstLine="200" w:firstLineChars="200"/>
    </w:pPr>
    <w:rPr>
      <w:rFonts w:ascii="Arial" w:hAnsi="Arial" w:cs="宋体"/>
      <w:sz w:val="24"/>
      <w:szCs w:val="20"/>
    </w:rPr>
  </w:style>
  <w:style w:type="paragraph" w:styleId="25">
    <w:name w:val="List Bullet"/>
    <w:basedOn w:val="1"/>
    <w:qFormat/>
    <w:uiPriority w:val="0"/>
    <w:pPr>
      <w:numPr>
        <w:ilvl w:val="0"/>
        <w:numId w:val="3"/>
      </w:numPr>
      <w:ind w:hanging="200" w:hangingChars="200"/>
    </w:pPr>
    <w:rPr>
      <w:rFonts w:eastAsia="仿宋_GB2312"/>
      <w:szCs w:val="24"/>
    </w:rPr>
  </w:style>
  <w:style w:type="paragraph" w:styleId="26">
    <w:name w:val="envelope address"/>
    <w:basedOn w:val="1"/>
    <w:qFormat/>
    <w:uiPriority w:val="0"/>
    <w:pPr>
      <w:framePr w:w="7920" w:h="1980" w:hRule="exact" w:hSpace="180" w:wrap="around" w:vAnchor="margin" w:hAnchor="page" w:xAlign="center" w:yAlign="bottom"/>
      <w:snapToGrid w:val="0"/>
      <w:spacing w:line="360" w:lineRule="auto"/>
      <w:ind w:left="100" w:leftChars="1400" w:firstLine="200" w:firstLineChars="200"/>
    </w:pPr>
    <w:rPr>
      <w:rFonts w:ascii="Arial" w:hAnsi="Arial" w:eastAsia="仿宋_GB2312" w:cs="Arial"/>
      <w:sz w:val="24"/>
      <w:szCs w:val="24"/>
    </w:rPr>
  </w:style>
  <w:style w:type="paragraph" w:styleId="27">
    <w:name w:val="Document Map"/>
    <w:basedOn w:val="1"/>
    <w:link w:val="221"/>
    <w:semiHidden/>
    <w:qFormat/>
    <w:uiPriority w:val="0"/>
    <w:pPr>
      <w:shd w:val="clear" w:color="auto" w:fill="000080"/>
    </w:pPr>
    <w:rPr>
      <w:szCs w:val="20"/>
    </w:rPr>
  </w:style>
  <w:style w:type="paragraph" w:styleId="28">
    <w:name w:val="toa heading"/>
    <w:basedOn w:val="1"/>
    <w:next w:val="1"/>
    <w:qFormat/>
    <w:uiPriority w:val="0"/>
    <w:pPr>
      <w:tabs>
        <w:tab w:val="left" w:pos="3240"/>
      </w:tabs>
      <w:spacing w:before="120"/>
      <w:ind w:left="-117" w:firstLine="200" w:firstLineChars="200"/>
    </w:pPr>
    <w:rPr>
      <w:rFonts w:ascii="Arial" w:hAnsi="Arial" w:eastAsia="仿宋_GB2312" w:cs="Arial"/>
      <w:sz w:val="24"/>
      <w:szCs w:val="24"/>
    </w:rPr>
  </w:style>
  <w:style w:type="paragraph" w:styleId="29">
    <w:name w:val="Salutation"/>
    <w:basedOn w:val="1"/>
    <w:next w:val="1"/>
    <w:link w:val="448"/>
    <w:qFormat/>
    <w:uiPriority w:val="0"/>
    <w:rPr>
      <w:sz w:val="24"/>
      <w:szCs w:val="20"/>
    </w:rPr>
  </w:style>
  <w:style w:type="paragraph" w:styleId="30">
    <w:name w:val="Body Text 3"/>
    <w:basedOn w:val="1"/>
    <w:link w:val="337"/>
    <w:qFormat/>
    <w:uiPriority w:val="0"/>
    <w:pPr>
      <w:spacing w:line="500" w:lineRule="exact"/>
    </w:pPr>
    <w:rPr>
      <w:rFonts w:eastAsia="楷体_GB2312"/>
      <w:sz w:val="28"/>
      <w:szCs w:val="20"/>
    </w:rPr>
  </w:style>
  <w:style w:type="paragraph" w:styleId="31">
    <w:name w:val="Closing"/>
    <w:basedOn w:val="1"/>
    <w:link w:val="450"/>
    <w:qFormat/>
    <w:uiPriority w:val="0"/>
    <w:pPr>
      <w:spacing w:line="360" w:lineRule="auto"/>
      <w:ind w:left="100" w:leftChars="2100" w:firstLine="200" w:firstLineChars="200"/>
    </w:pPr>
    <w:rPr>
      <w:rFonts w:eastAsia="仿宋_GB2312"/>
      <w:sz w:val="24"/>
      <w:szCs w:val="24"/>
    </w:rPr>
  </w:style>
  <w:style w:type="paragraph" w:styleId="32">
    <w:name w:val="List Bullet 3"/>
    <w:basedOn w:val="1"/>
    <w:qFormat/>
    <w:uiPriority w:val="0"/>
    <w:pPr>
      <w:numPr>
        <w:ilvl w:val="0"/>
        <w:numId w:val="4"/>
      </w:numPr>
      <w:spacing w:line="360" w:lineRule="auto"/>
    </w:pPr>
    <w:rPr>
      <w:sz w:val="24"/>
    </w:rPr>
  </w:style>
  <w:style w:type="paragraph" w:styleId="33">
    <w:name w:val="Body Text Indent"/>
    <w:basedOn w:val="1"/>
    <w:link w:val="182"/>
    <w:qFormat/>
    <w:uiPriority w:val="0"/>
    <w:pPr>
      <w:spacing w:line="540" w:lineRule="exact"/>
      <w:ind w:firstLine="630"/>
    </w:pPr>
    <w:rPr>
      <w:rFonts w:eastAsia="楷体_GB2312"/>
      <w:sz w:val="32"/>
      <w:szCs w:val="20"/>
    </w:rPr>
  </w:style>
  <w:style w:type="paragraph" w:styleId="34">
    <w:name w:val="List Number 3"/>
    <w:basedOn w:val="1"/>
    <w:qFormat/>
    <w:uiPriority w:val="0"/>
    <w:pPr>
      <w:numPr>
        <w:ilvl w:val="0"/>
        <w:numId w:val="5"/>
      </w:numPr>
      <w:spacing w:line="312" w:lineRule="auto"/>
    </w:pPr>
    <w:rPr>
      <w:szCs w:val="24"/>
    </w:rPr>
  </w:style>
  <w:style w:type="paragraph" w:styleId="35">
    <w:name w:val="List 2"/>
    <w:basedOn w:val="1"/>
    <w:qFormat/>
    <w:uiPriority w:val="0"/>
    <w:pPr>
      <w:spacing w:line="360" w:lineRule="auto"/>
      <w:ind w:left="100" w:leftChars="200" w:hanging="200" w:hangingChars="200"/>
    </w:pPr>
    <w:rPr>
      <w:rFonts w:eastAsia="仿宋_GB2312"/>
      <w:sz w:val="24"/>
      <w:szCs w:val="24"/>
    </w:rPr>
  </w:style>
  <w:style w:type="paragraph" w:styleId="36">
    <w:name w:val="List Continue"/>
    <w:basedOn w:val="1"/>
    <w:qFormat/>
    <w:uiPriority w:val="0"/>
    <w:pPr>
      <w:spacing w:after="120" w:line="360" w:lineRule="auto"/>
      <w:ind w:left="420" w:leftChars="200" w:firstLine="200" w:firstLineChars="200"/>
    </w:pPr>
    <w:rPr>
      <w:rFonts w:eastAsia="仿宋_GB2312"/>
      <w:sz w:val="24"/>
      <w:szCs w:val="24"/>
    </w:rPr>
  </w:style>
  <w:style w:type="paragraph" w:styleId="37">
    <w:name w:val="Block Text"/>
    <w:basedOn w:val="1"/>
    <w:qFormat/>
    <w:uiPriority w:val="99"/>
    <w:pPr>
      <w:autoSpaceDE w:val="0"/>
      <w:autoSpaceDN w:val="0"/>
      <w:adjustRightInd w:val="0"/>
      <w:ind w:left="256" w:right="6" w:firstLine="624" w:firstLineChars="200"/>
    </w:pPr>
    <w:rPr>
      <w:rFonts w:eastAsia="仿宋_GB2312"/>
      <w:kern w:val="0"/>
      <w:sz w:val="28"/>
      <w:szCs w:val="20"/>
    </w:rPr>
  </w:style>
  <w:style w:type="paragraph" w:styleId="38">
    <w:name w:val="List Bullet 2"/>
    <w:basedOn w:val="1"/>
    <w:qFormat/>
    <w:uiPriority w:val="0"/>
    <w:pPr>
      <w:numPr>
        <w:ilvl w:val="0"/>
        <w:numId w:val="6"/>
      </w:numPr>
      <w:spacing w:after="100" w:afterAutospacing="1" w:line="300" w:lineRule="auto"/>
      <w:ind w:firstLine="200" w:firstLineChars="200"/>
    </w:pPr>
    <w:rPr>
      <w:rFonts w:eastAsia="仿宋_GB2312"/>
      <w:sz w:val="24"/>
      <w:szCs w:val="24"/>
    </w:rPr>
  </w:style>
  <w:style w:type="paragraph" w:styleId="39">
    <w:name w:val="HTML Address"/>
    <w:basedOn w:val="1"/>
    <w:link w:val="447"/>
    <w:qFormat/>
    <w:uiPriority w:val="0"/>
    <w:pPr>
      <w:spacing w:line="360" w:lineRule="auto"/>
      <w:ind w:firstLine="200" w:firstLineChars="200"/>
    </w:pPr>
    <w:rPr>
      <w:rFonts w:eastAsia="仿宋_GB2312"/>
      <w:i/>
      <w:iCs/>
      <w:sz w:val="24"/>
      <w:szCs w:val="24"/>
    </w:rPr>
  </w:style>
  <w:style w:type="paragraph" w:styleId="40">
    <w:name w:val="toc 5"/>
    <w:basedOn w:val="1"/>
    <w:next w:val="1"/>
    <w:qFormat/>
    <w:uiPriority w:val="39"/>
    <w:pPr>
      <w:spacing w:line="360" w:lineRule="auto"/>
      <w:ind w:left="400" w:leftChars="400" w:firstLine="200" w:firstLineChars="200"/>
    </w:pPr>
    <w:rPr>
      <w:rFonts w:ascii="Arial" w:hAnsi="Arial" w:cs="宋体"/>
      <w:sz w:val="24"/>
      <w:szCs w:val="20"/>
    </w:rPr>
  </w:style>
  <w:style w:type="paragraph" w:styleId="41">
    <w:name w:val="toc 3"/>
    <w:basedOn w:val="1"/>
    <w:next w:val="1"/>
    <w:link w:val="462"/>
    <w:qFormat/>
    <w:uiPriority w:val="39"/>
    <w:pPr>
      <w:ind w:left="840" w:leftChars="400"/>
    </w:pPr>
  </w:style>
  <w:style w:type="paragraph" w:styleId="42">
    <w:name w:val="Plain Text"/>
    <w:basedOn w:val="1"/>
    <w:link w:val="187"/>
    <w:qFormat/>
    <w:uiPriority w:val="0"/>
    <w:rPr>
      <w:rFonts w:ascii="宋体" w:hAnsi="Courier New" w:cs="Courier New"/>
    </w:rPr>
  </w:style>
  <w:style w:type="paragraph" w:styleId="43">
    <w:name w:val="List Bullet 5"/>
    <w:basedOn w:val="1"/>
    <w:qFormat/>
    <w:uiPriority w:val="0"/>
    <w:pPr>
      <w:ind w:left="2559" w:hanging="432" w:firstLineChars="200"/>
    </w:pPr>
    <w:rPr>
      <w:rFonts w:eastAsia="仿宋_GB2312"/>
      <w:szCs w:val="20"/>
    </w:rPr>
  </w:style>
  <w:style w:type="paragraph" w:styleId="44">
    <w:name w:val="List Number 4"/>
    <w:basedOn w:val="1"/>
    <w:qFormat/>
    <w:uiPriority w:val="0"/>
    <w:pPr>
      <w:numPr>
        <w:ilvl w:val="0"/>
        <w:numId w:val="7"/>
      </w:numPr>
      <w:spacing w:line="360" w:lineRule="auto"/>
    </w:pPr>
    <w:rPr>
      <w:rFonts w:eastAsia="仿宋_GB2312"/>
      <w:sz w:val="24"/>
      <w:szCs w:val="24"/>
    </w:rPr>
  </w:style>
  <w:style w:type="paragraph" w:styleId="45">
    <w:name w:val="toc 8"/>
    <w:basedOn w:val="1"/>
    <w:next w:val="1"/>
    <w:unhideWhenUsed/>
    <w:qFormat/>
    <w:uiPriority w:val="39"/>
    <w:pPr>
      <w:spacing w:line="360" w:lineRule="auto"/>
      <w:ind w:left="1680" w:firstLine="200" w:firstLineChars="200"/>
      <w:jc w:val="left"/>
    </w:pPr>
    <w:rPr>
      <w:rFonts w:asciiTheme="minorHAnsi" w:hAnsiTheme="minorHAnsi" w:cstheme="minorHAnsi"/>
      <w:sz w:val="18"/>
      <w:szCs w:val="18"/>
    </w:rPr>
  </w:style>
  <w:style w:type="paragraph" w:styleId="46">
    <w:name w:val="Date"/>
    <w:basedOn w:val="1"/>
    <w:next w:val="1"/>
    <w:link w:val="178"/>
    <w:qFormat/>
    <w:uiPriority w:val="99"/>
    <w:pPr>
      <w:ind w:left="100" w:leftChars="2500"/>
    </w:pPr>
  </w:style>
  <w:style w:type="paragraph" w:styleId="47">
    <w:name w:val="Body Text Indent 2"/>
    <w:basedOn w:val="1"/>
    <w:link w:val="310"/>
    <w:qFormat/>
    <w:uiPriority w:val="0"/>
    <w:pPr>
      <w:spacing w:line="520" w:lineRule="exact"/>
      <w:ind w:firstLine="624"/>
    </w:pPr>
    <w:rPr>
      <w:rFonts w:ascii="楷体_GB2312" w:eastAsia="楷体_GB2312"/>
      <w:sz w:val="32"/>
      <w:szCs w:val="20"/>
    </w:rPr>
  </w:style>
  <w:style w:type="paragraph" w:styleId="48">
    <w:name w:val="endnote text"/>
    <w:basedOn w:val="1"/>
    <w:link w:val="359"/>
    <w:qFormat/>
    <w:uiPriority w:val="0"/>
    <w:pPr>
      <w:snapToGrid w:val="0"/>
      <w:ind w:firstLine="200" w:firstLineChars="200"/>
      <w:jc w:val="left"/>
    </w:pPr>
    <w:rPr>
      <w:rFonts w:eastAsia="仿宋_GB2312"/>
      <w:szCs w:val="24"/>
    </w:rPr>
  </w:style>
  <w:style w:type="paragraph" w:styleId="49">
    <w:name w:val="List Continue 5"/>
    <w:basedOn w:val="1"/>
    <w:qFormat/>
    <w:uiPriority w:val="0"/>
    <w:pPr>
      <w:spacing w:after="120" w:line="360" w:lineRule="auto"/>
      <w:ind w:left="2100" w:leftChars="1000" w:firstLine="200" w:firstLineChars="200"/>
    </w:pPr>
    <w:rPr>
      <w:rFonts w:eastAsia="仿宋_GB2312"/>
      <w:sz w:val="24"/>
      <w:szCs w:val="24"/>
    </w:rPr>
  </w:style>
  <w:style w:type="paragraph" w:styleId="50">
    <w:name w:val="Balloon Text"/>
    <w:basedOn w:val="1"/>
    <w:link w:val="161"/>
    <w:qFormat/>
    <w:uiPriority w:val="99"/>
    <w:rPr>
      <w:sz w:val="18"/>
      <w:szCs w:val="18"/>
    </w:rPr>
  </w:style>
  <w:style w:type="paragraph" w:styleId="51">
    <w:name w:val="footer"/>
    <w:basedOn w:val="1"/>
    <w:link w:val="175"/>
    <w:qFormat/>
    <w:uiPriority w:val="99"/>
    <w:pPr>
      <w:tabs>
        <w:tab w:val="center" w:pos="4153"/>
        <w:tab w:val="right" w:pos="8306"/>
      </w:tabs>
      <w:snapToGrid w:val="0"/>
      <w:jc w:val="left"/>
    </w:pPr>
    <w:rPr>
      <w:sz w:val="18"/>
      <w:szCs w:val="20"/>
    </w:rPr>
  </w:style>
  <w:style w:type="paragraph" w:styleId="52">
    <w:name w:val="envelope return"/>
    <w:basedOn w:val="1"/>
    <w:qFormat/>
    <w:uiPriority w:val="0"/>
    <w:pPr>
      <w:snapToGrid w:val="0"/>
      <w:spacing w:line="360" w:lineRule="auto"/>
      <w:ind w:firstLine="200" w:firstLineChars="200"/>
    </w:pPr>
    <w:rPr>
      <w:rFonts w:ascii="Arial" w:hAnsi="Arial" w:eastAsia="仿宋_GB2312" w:cs="Arial"/>
      <w:sz w:val="24"/>
      <w:szCs w:val="24"/>
    </w:rPr>
  </w:style>
  <w:style w:type="paragraph" w:styleId="53">
    <w:name w:val="Body Text First Indent 2"/>
    <w:basedOn w:val="33"/>
    <w:link w:val="280"/>
    <w:unhideWhenUsed/>
    <w:qFormat/>
    <w:uiPriority w:val="0"/>
    <w:pPr>
      <w:spacing w:after="120" w:line="240" w:lineRule="auto"/>
      <w:ind w:left="420" w:leftChars="200" w:firstLine="420" w:firstLineChars="200"/>
    </w:pPr>
    <w:rPr>
      <w:rFonts w:eastAsia="宋体"/>
      <w:sz w:val="21"/>
    </w:rPr>
  </w:style>
  <w:style w:type="paragraph" w:styleId="54">
    <w:name w:val="header"/>
    <w:basedOn w:val="1"/>
    <w:link w:val="163"/>
    <w:qFormat/>
    <w:uiPriority w:val="0"/>
    <w:pPr>
      <w:pBdr>
        <w:bottom w:val="single" w:color="auto" w:sz="6" w:space="1"/>
      </w:pBdr>
      <w:tabs>
        <w:tab w:val="center" w:pos="4153"/>
        <w:tab w:val="right" w:pos="8306"/>
      </w:tabs>
      <w:snapToGrid w:val="0"/>
      <w:jc w:val="center"/>
    </w:pPr>
    <w:rPr>
      <w:sz w:val="18"/>
      <w:szCs w:val="20"/>
    </w:rPr>
  </w:style>
  <w:style w:type="paragraph" w:styleId="55">
    <w:name w:val="Signature"/>
    <w:basedOn w:val="1"/>
    <w:link w:val="453"/>
    <w:qFormat/>
    <w:uiPriority w:val="0"/>
    <w:pPr>
      <w:spacing w:line="360" w:lineRule="auto"/>
      <w:ind w:left="100" w:leftChars="2100" w:firstLine="200" w:firstLineChars="200"/>
    </w:pPr>
    <w:rPr>
      <w:rFonts w:eastAsia="仿宋_GB2312"/>
      <w:sz w:val="24"/>
      <w:szCs w:val="24"/>
    </w:rPr>
  </w:style>
  <w:style w:type="paragraph" w:styleId="56">
    <w:name w:val="toc 1"/>
    <w:basedOn w:val="1"/>
    <w:next w:val="1"/>
    <w:link w:val="461"/>
    <w:qFormat/>
    <w:uiPriority w:val="39"/>
  </w:style>
  <w:style w:type="paragraph" w:styleId="57">
    <w:name w:val="List Continue 4"/>
    <w:basedOn w:val="1"/>
    <w:qFormat/>
    <w:uiPriority w:val="0"/>
    <w:pPr>
      <w:spacing w:after="120" w:line="360" w:lineRule="auto"/>
      <w:ind w:left="1680" w:leftChars="800" w:firstLine="200" w:firstLineChars="200"/>
    </w:pPr>
    <w:rPr>
      <w:rFonts w:eastAsia="仿宋_GB2312"/>
      <w:sz w:val="24"/>
      <w:szCs w:val="24"/>
    </w:rPr>
  </w:style>
  <w:style w:type="paragraph" w:styleId="58">
    <w:name w:val="toc 4"/>
    <w:basedOn w:val="1"/>
    <w:next w:val="1"/>
    <w:qFormat/>
    <w:uiPriority w:val="39"/>
    <w:pPr>
      <w:spacing w:line="360" w:lineRule="auto"/>
      <w:ind w:left="300" w:leftChars="300" w:firstLine="200" w:firstLineChars="200"/>
    </w:pPr>
    <w:rPr>
      <w:rFonts w:ascii="Arial" w:hAnsi="Arial" w:cs="宋体"/>
      <w:sz w:val="24"/>
      <w:szCs w:val="20"/>
    </w:rPr>
  </w:style>
  <w:style w:type="paragraph" w:styleId="59">
    <w:name w:val="index heading"/>
    <w:basedOn w:val="1"/>
    <w:next w:val="60"/>
    <w:qFormat/>
    <w:uiPriority w:val="0"/>
    <w:pPr>
      <w:spacing w:line="460" w:lineRule="exact"/>
      <w:ind w:firstLine="420" w:firstLineChars="200"/>
    </w:pPr>
    <w:rPr>
      <w:rFonts w:ascii="新宋体" w:eastAsia="新宋体"/>
      <w:spacing w:val="20"/>
      <w:sz w:val="26"/>
      <w:szCs w:val="20"/>
    </w:rPr>
  </w:style>
  <w:style w:type="paragraph" w:styleId="60">
    <w:name w:val="index 1"/>
    <w:basedOn w:val="1"/>
    <w:next w:val="1"/>
    <w:qFormat/>
    <w:uiPriority w:val="0"/>
    <w:rPr>
      <w:szCs w:val="20"/>
    </w:rPr>
  </w:style>
  <w:style w:type="paragraph" w:styleId="61">
    <w:name w:val="Subtitle"/>
    <w:basedOn w:val="1"/>
    <w:next w:val="1"/>
    <w:link w:val="150"/>
    <w:qFormat/>
    <w:uiPriority w:val="11"/>
    <w:pPr>
      <w:spacing w:before="240" w:after="60" w:line="312" w:lineRule="auto"/>
      <w:jc w:val="center"/>
      <w:outlineLvl w:val="1"/>
    </w:pPr>
    <w:rPr>
      <w:rFonts w:ascii="Calibri Light" w:hAnsi="Calibri Light"/>
      <w:b/>
      <w:bCs/>
      <w:kern w:val="28"/>
      <w:sz w:val="32"/>
      <w:szCs w:val="32"/>
    </w:rPr>
  </w:style>
  <w:style w:type="paragraph" w:styleId="62">
    <w:name w:val="List Number 5"/>
    <w:basedOn w:val="1"/>
    <w:qFormat/>
    <w:uiPriority w:val="0"/>
    <w:pPr>
      <w:numPr>
        <w:ilvl w:val="0"/>
        <w:numId w:val="8"/>
      </w:numPr>
      <w:spacing w:line="360" w:lineRule="auto"/>
    </w:pPr>
    <w:rPr>
      <w:rFonts w:eastAsia="仿宋_GB2312"/>
      <w:sz w:val="24"/>
      <w:szCs w:val="24"/>
    </w:rPr>
  </w:style>
  <w:style w:type="paragraph" w:styleId="63">
    <w:name w:val="List"/>
    <w:basedOn w:val="1"/>
    <w:qFormat/>
    <w:uiPriority w:val="0"/>
    <w:pPr>
      <w:spacing w:line="360" w:lineRule="auto"/>
      <w:ind w:left="200" w:hanging="200" w:hangingChars="200"/>
    </w:pPr>
    <w:rPr>
      <w:rFonts w:eastAsia="仿宋_GB2312"/>
      <w:sz w:val="24"/>
      <w:szCs w:val="24"/>
    </w:rPr>
  </w:style>
  <w:style w:type="paragraph" w:styleId="64">
    <w:name w:val="footnote text"/>
    <w:basedOn w:val="1"/>
    <w:link w:val="293"/>
    <w:unhideWhenUsed/>
    <w:qFormat/>
    <w:uiPriority w:val="99"/>
    <w:pPr>
      <w:snapToGrid w:val="0"/>
      <w:spacing w:line="360" w:lineRule="auto"/>
      <w:ind w:firstLine="200" w:firstLineChars="200"/>
      <w:jc w:val="left"/>
    </w:pPr>
    <w:rPr>
      <w:sz w:val="18"/>
      <w:szCs w:val="18"/>
    </w:rPr>
  </w:style>
  <w:style w:type="paragraph" w:styleId="65">
    <w:name w:val="toc 6"/>
    <w:basedOn w:val="1"/>
    <w:next w:val="1"/>
    <w:unhideWhenUsed/>
    <w:qFormat/>
    <w:uiPriority w:val="39"/>
    <w:pPr>
      <w:spacing w:line="360" w:lineRule="auto"/>
      <w:ind w:left="1200" w:firstLine="200" w:firstLineChars="200"/>
      <w:jc w:val="left"/>
    </w:pPr>
    <w:rPr>
      <w:rFonts w:asciiTheme="minorHAnsi" w:hAnsiTheme="minorHAnsi" w:cstheme="minorHAnsi"/>
      <w:sz w:val="18"/>
      <w:szCs w:val="18"/>
    </w:rPr>
  </w:style>
  <w:style w:type="paragraph" w:styleId="66">
    <w:name w:val="List 5"/>
    <w:basedOn w:val="1"/>
    <w:qFormat/>
    <w:uiPriority w:val="0"/>
    <w:pPr>
      <w:spacing w:line="360" w:lineRule="auto"/>
      <w:ind w:left="100" w:leftChars="800" w:hanging="200" w:hangingChars="200"/>
    </w:pPr>
    <w:rPr>
      <w:rFonts w:eastAsia="仿宋_GB2312"/>
      <w:sz w:val="24"/>
      <w:szCs w:val="24"/>
    </w:rPr>
  </w:style>
  <w:style w:type="paragraph" w:styleId="67">
    <w:name w:val="Body Text Indent 3"/>
    <w:basedOn w:val="1"/>
    <w:link w:val="181"/>
    <w:qFormat/>
    <w:uiPriority w:val="0"/>
    <w:pPr>
      <w:spacing w:line="640" w:lineRule="exact"/>
      <w:ind w:firstLine="640" w:firstLineChars="200"/>
    </w:pPr>
    <w:rPr>
      <w:rFonts w:ascii="楷体_GB2312" w:hAnsi="Copperplate Gothic Bold" w:eastAsia="楷体_GB2312"/>
      <w:sz w:val="32"/>
      <w:szCs w:val="20"/>
    </w:rPr>
  </w:style>
  <w:style w:type="paragraph" w:styleId="68">
    <w:name w:val="table of figures"/>
    <w:basedOn w:val="1"/>
    <w:next w:val="1"/>
    <w:link w:val="464"/>
    <w:qFormat/>
    <w:uiPriority w:val="99"/>
    <w:pPr>
      <w:spacing w:line="360" w:lineRule="auto"/>
      <w:ind w:left="840" w:leftChars="200" w:hanging="420" w:hangingChars="200"/>
    </w:pPr>
    <w:rPr>
      <w:rFonts w:ascii="Arial" w:hAnsi="Arial" w:cs="宋体"/>
      <w:sz w:val="24"/>
      <w:szCs w:val="20"/>
    </w:rPr>
  </w:style>
  <w:style w:type="paragraph" w:styleId="69">
    <w:name w:val="toc 2"/>
    <w:basedOn w:val="1"/>
    <w:next w:val="1"/>
    <w:link w:val="463"/>
    <w:qFormat/>
    <w:uiPriority w:val="39"/>
    <w:pPr>
      <w:ind w:left="420" w:leftChars="200"/>
    </w:pPr>
  </w:style>
  <w:style w:type="paragraph" w:styleId="70">
    <w:name w:val="toc 9"/>
    <w:basedOn w:val="1"/>
    <w:next w:val="1"/>
    <w:unhideWhenUsed/>
    <w:qFormat/>
    <w:uiPriority w:val="39"/>
    <w:pPr>
      <w:spacing w:line="360" w:lineRule="auto"/>
      <w:ind w:left="1920" w:firstLine="200" w:firstLineChars="200"/>
      <w:jc w:val="left"/>
    </w:pPr>
    <w:rPr>
      <w:rFonts w:asciiTheme="minorHAnsi" w:hAnsiTheme="minorHAnsi" w:cstheme="minorHAnsi"/>
      <w:sz w:val="18"/>
      <w:szCs w:val="18"/>
    </w:rPr>
  </w:style>
  <w:style w:type="paragraph" w:styleId="71">
    <w:name w:val="Body Text 2"/>
    <w:basedOn w:val="1"/>
    <w:link w:val="336"/>
    <w:qFormat/>
    <w:uiPriority w:val="99"/>
    <w:pPr>
      <w:spacing w:line="480" w:lineRule="exact"/>
    </w:pPr>
    <w:rPr>
      <w:rFonts w:eastAsia="黑体"/>
      <w:b/>
      <w:sz w:val="44"/>
      <w:szCs w:val="20"/>
    </w:rPr>
  </w:style>
  <w:style w:type="paragraph" w:styleId="72">
    <w:name w:val="List 4"/>
    <w:basedOn w:val="1"/>
    <w:qFormat/>
    <w:uiPriority w:val="0"/>
    <w:pPr>
      <w:spacing w:line="360" w:lineRule="auto"/>
      <w:ind w:left="100" w:leftChars="600" w:hanging="200" w:hangingChars="200"/>
    </w:pPr>
    <w:rPr>
      <w:rFonts w:eastAsia="仿宋_GB2312"/>
      <w:sz w:val="24"/>
      <w:szCs w:val="24"/>
    </w:rPr>
  </w:style>
  <w:style w:type="paragraph" w:styleId="73">
    <w:name w:val="List Continue 2"/>
    <w:basedOn w:val="1"/>
    <w:qFormat/>
    <w:uiPriority w:val="0"/>
    <w:pPr>
      <w:spacing w:after="120" w:line="360" w:lineRule="auto"/>
      <w:ind w:left="840" w:leftChars="400" w:firstLine="200" w:firstLineChars="200"/>
    </w:pPr>
    <w:rPr>
      <w:rFonts w:eastAsia="仿宋_GB2312"/>
      <w:sz w:val="24"/>
      <w:szCs w:val="24"/>
    </w:rPr>
  </w:style>
  <w:style w:type="paragraph" w:styleId="74">
    <w:name w:val="Message Header"/>
    <w:basedOn w:val="1"/>
    <w:link w:val="454"/>
    <w:qFormat/>
    <w:uiPriority w:val="0"/>
    <w:pPr>
      <w:pBdr>
        <w:top w:val="single" w:color="auto" w:sz="6" w:space="1"/>
        <w:left w:val="single" w:color="auto" w:sz="6" w:space="1"/>
        <w:bottom w:val="single" w:color="auto" w:sz="6" w:space="1"/>
        <w:right w:val="single" w:color="auto" w:sz="6" w:space="1"/>
      </w:pBdr>
      <w:shd w:val="pct20" w:color="auto" w:fill="auto"/>
      <w:spacing w:line="360" w:lineRule="auto"/>
      <w:ind w:left="1080" w:leftChars="500" w:hanging="1080" w:hangingChars="500"/>
    </w:pPr>
    <w:rPr>
      <w:rFonts w:ascii="Arial" w:hAnsi="Arial" w:eastAsia="仿宋_GB2312" w:cs="Arial"/>
      <w:sz w:val="24"/>
      <w:szCs w:val="24"/>
    </w:rPr>
  </w:style>
  <w:style w:type="paragraph" w:styleId="75">
    <w:name w:val="HTML Preformatted"/>
    <w:basedOn w:val="1"/>
    <w:link w:val="35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200" w:firstLineChars="200"/>
      <w:jc w:val="left"/>
    </w:pPr>
    <w:rPr>
      <w:rFonts w:ascii="Arial Unicode MS" w:hAnsi="Arial Unicode MS" w:eastAsia="Arial Unicode MS"/>
      <w:kern w:val="0"/>
      <w:sz w:val="20"/>
      <w:szCs w:val="20"/>
    </w:rPr>
  </w:style>
  <w:style w:type="paragraph" w:styleId="7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77">
    <w:name w:val="List Continue 3"/>
    <w:basedOn w:val="1"/>
    <w:qFormat/>
    <w:uiPriority w:val="0"/>
    <w:pPr>
      <w:spacing w:after="120" w:line="360" w:lineRule="auto"/>
      <w:ind w:left="1260" w:leftChars="600" w:firstLine="200" w:firstLineChars="200"/>
    </w:pPr>
    <w:rPr>
      <w:rFonts w:eastAsia="仿宋_GB2312"/>
      <w:sz w:val="24"/>
      <w:szCs w:val="24"/>
    </w:rPr>
  </w:style>
  <w:style w:type="paragraph" w:styleId="78">
    <w:name w:val="Title"/>
    <w:basedOn w:val="1"/>
    <w:next w:val="1"/>
    <w:link w:val="174"/>
    <w:qFormat/>
    <w:uiPriority w:val="0"/>
    <w:pPr>
      <w:spacing w:before="60" w:after="60"/>
      <w:jc w:val="center"/>
      <w:outlineLvl w:val="0"/>
    </w:pPr>
    <w:rPr>
      <w:rFonts w:ascii="Cambria" w:hAnsi="Cambria"/>
      <w:b/>
      <w:bCs/>
      <w:kern w:val="0"/>
      <w:sz w:val="20"/>
      <w:szCs w:val="32"/>
    </w:rPr>
  </w:style>
  <w:style w:type="character" w:styleId="80">
    <w:name w:val="Strong"/>
    <w:basedOn w:val="79"/>
    <w:qFormat/>
    <w:uiPriority w:val="0"/>
    <w:rPr>
      <w:b/>
    </w:rPr>
  </w:style>
  <w:style w:type="character" w:styleId="81">
    <w:name w:val="endnote reference"/>
    <w:qFormat/>
    <w:uiPriority w:val="0"/>
    <w:rPr>
      <w:vertAlign w:val="superscript"/>
    </w:rPr>
  </w:style>
  <w:style w:type="character" w:styleId="82">
    <w:name w:val="page number"/>
    <w:basedOn w:val="79"/>
    <w:qFormat/>
    <w:uiPriority w:val="0"/>
  </w:style>
  <w:style w:type="character" w:styleId="83">
    <w:name w:val="FollowedHyperlink"/>
    <w:qFormat/>
    <w:uiPriority w:val="99"/>
    <w:rPr>
      <w:color w:val="333333"/>
      <w:u w:val="none"/>
    </w:rPr>
  </w:style>
  <w:style w:type="character" w:styleId="84">
    <w:name w:val="Emphasis"/>
    <w:qFormat/>
    <w:uiPriority w:val="20"/>
  </w:style>
  <w:style w:type="character" w:styleId="85">
    <w:name w:val="line number"/>
    <w:qFormat/>
    <w:uiPriority w:val="0"/>
  </w:style>
  <w:style w:type="character" w:styleId="86">
    <w:name w:val="HTML Definition"/>
    <w:basedOn w:val="79"/>
    <w:qFormat/>
    <w:uiPriority w:val="0"/>
    <w:rPr>
      <w:i/>
      <w:color w:val="555555"/>
      <w:sz w:val="21"/>
      <w:szCs w:val="21"/>
      <w:bdr w:val="single" w:color="CCCCCC" w:sz="6" w:space="0"/>
      <w:shd w:val="clear" w:color="auto" w:fill="EEEEEE"/>
    </w:rPr>
  </w:style>
  <w:style w:type="character" w:styleId="87">
    <w:name w:val="HTML Typewriter"/>
    <w:qFormat/>
    <w:uiPriority w:val="0"/>
    <w:rPr>
      <w:rFonts w:ascii="Courier New" w:hAnsi="Courier New" w:cs="Courier New"/>
      <w:sz w:val="20"/>
      <w:szCs w:val="20"/>
    </w:rPr>
  </w:style>
  <w:style w:type="character" w:styleId="88">
    <w:name w:val="HTML Acronym"/>
    <w:qFormat/>
    <w:uiPriority w:val="0"/>
  </w:style>
  <w:style w:type="character" w:styleId="89">
    <w:name w:val="HTML Variable"/>
    <w:qFormat/>
    <w:uiPriority w:val="0"/>
    <w:rPr>
      <w:i/>
      <w:iCs/>
    </w:rPr>
  </w:style>
  <w:style w:type="character" w:styleId="90">
    <w:name w:val="Hyperlink"/>
    <w:qFormat/>
    <w:uiPriority w:val="99"/>
    <w:rPr>
      <w:color w:val="000000"/>
      <w:sz w:val="18"/>
      <w:szCs w:val="18"/>
      <w:u w:val="none"/>
    </w:rPr>
  </w:style>
  <w:style w:type="character" w:styleId="91">
    <w:name w:val="HTML Code"/>
    <w:qFormat/>
    <w:uiPriority w:val="0"/>
    <w:rPr>
      <w:rFonts w:hint="default" w:ascii="Monaco" w:hAnsi="Monaco" w:eastAsia="Monaco" w:cs="Monaco"/>
      <w:color w:val="C7254E"/>
      <w:sz w:val="21"/>
      <w:szCs w:val="21"/>
      <w:shd w:val="clear" w:color="auto" w:fill="F9F2F4"/>
    </w:rPr>
  </w:style>
  <w:style w:type="character" w:styleId="92">
    <w:name w:val="annotation reference"/>
    <w:qFormat/>
    <w:uiPriority w:val="0"/>
    <w:rPr>
      <w:sz w:val="21"/>
      <w:szCs w:val="21"/>
    </w:rPr>
  </w:style>
  <w:style w:type="character" w:styleId="93">
    <w:name w:val="HTML Cite"/>
    <w:qFormat/>
    <w:uiPriority w:val="0"/>
    <w:rPr>
      <w:i/>
      <w:iCs/>
    </w:rPr>
  </w:style>
  <w:style w:type="character" w:styleId="94">
    <w:name w:val="footnote reference"/>
    <w:unhideWhenUsed/>
    <w:qFormat/>
    <w:uiPriority w:val="99"/>
    <w:rPr>
      <w:vertAlign w:val="superscript"/>
    </w:rPr>
  </w:style>
  <w:style w:type="character" w:styleId="95">
    <w:name w:val="HTML Keyboard"/>
    <w:qFormat/>
    <w:uiPriority w:val="0"/>
    <w:rPr>
      <w:rFonts w:hint="default" w:ascii="Monaco" w:hAnsi="Monaco" w:eastAsia="Monaco" w:cs="Monaco"/>
      <w:color w:val="FFFFFF"/>
      <w:sz w:val="21"/>
      <w:szCs w:val="21"/>
      <w:shd w:val="clear" w:color="auto" w:fill="333333"/>
    </w:rPr>
  </w:style>
  <w:style w:type="character" w:styleId="96">
    <w:name w:val="HTML Sample"/>
    <w:qFormat/>
    <w:uiPriority w:val="0"/>
    <w:rPr>
      <w:rFonts w:ascii="Monaco" w:hAnsi="Monaco" w:eastAsia="Monaco" w:cs="Monaco"/>
      <w:sz w:val="21"/>
      <w:szCs w:val="21"/>
    </w:rPr>
  </w:style>
  <w:style w:type="table" w:styleId="98">
    <w:name w:val="Table Grid"/>
    <w:basedOn w:val="9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styleId="99">
    <w:name w:val="Table Theme"/>
    <w:basedOn w:val="9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styleId="100">
    <w:name w:val="Table Colorful 1"/>
    <w:basedOn w:val="97"/>
    <w:qFormat/>
    <w:uiPriority w:val="0"/>
    <w:pPr>
      <w:widowControl w:val="0"/>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Layout w:type="fixed"/>
    </w:tblPr>
    <w:tcPr>
      <w:shd w:val="solid" w:color="008080" w:fill="FFFFFF"/>
    </w:tcPr>
    <w:tblStylePr w:type="firstRow">
      <w:rPr>
        <w:b/>
        <w:bCs/>
        <w:i/>
        <w:iCs/>
      </w:rPr>
      <w:tblPr>
        <w:tblLayout w:type="fixed"/>
      </w:tblPr>
      <w:tcPr>
        <w:tcBorders>
          <w:tl2br w:val="nil"/>
          <w:tr2bl w:val="nil"/>
        </w:tcBorders>
        <w:shd w:val="solid" w:color="000000" w:fill="FFFFFF"/>
      </w:tcPr>
    </w:tblStylePr>
    <w:tblStylePr w:type="firstCol">
      <w:rPr>
        <w:b/>
        <w:bCs/>
        <w:i/>
        <w:iCs/>
      </w:rPr>
      <w:tblPr>
        <w:tblLayout w:type="fixed"/>
      </w:tblPr>
      <w:tcPr>
        <w:tcBorders>
          <w:tl2br w:val="nil"/>
          <w:tr2bl w:val="nil"/>
        </w:tcBorders>
        <w:shd w:val="solid" w:color="000080" w:fill="FFFFFF"/>
      </w:tcPr>
    </w:tblStylePr>
    <w:tblStylePr w:type="nwCell">
      <w:tblPr>
        <w:tblLayout w:type="fixed"/>
      </w:tblPr>
      <w:tcPr>
        <w:tcBorders>
          <w:tl2br w:val="nil"/>
          <w:tr2bl w:val="nil"/>
        </w:tcBorders>
        <w:shd w:val="solid" w:color="000000" w:fill="FFFFFF"/>
      </w:tcPr>
    </w:tblStylePr>
    <w:tblStylePr w:type="swCell">
      <w:rPr>
        <w:b/>
        <w:bCs/>
        <w:i w:val="0"/>
        <w:iCs w:val="0"/>
      </w:rPr>
      <w:tblPr>
        <w:tblLayout w:type="fixed"/>
      </w:tblPr>
      <w:tcPr>
        <w:tcBorders>
          <w:tl2br w:val="nil"/>
          <w:tr2bl w:val="nil"/>
        </w:tcBorders>
      </w:tcPr>
    </w:tblStylePr>
  </w:style>
  <w:style w:type="table" w:styleId="101">
    <w:name w:val="Table Colorful 2"/>
    <w:basedOn w:val="97"/>
    <w:qFormat/>
    <w:uiPriority w:val="0"/>
    <w:pPr>
      <w:widowControl w:val="0"/>
    </w:pPr>
    <w:tblPr>
      <w:tblBorders>
        <w:bottom w:val="single" w:color="000000" w:sz="12" w:space="0"/>
      </w:tblBorders>
      <w:tblLayout w:type="fixed"/>
    </w:tblPr>
    <w:tcPr>
      <w:shd w:val="pct20" w:color="FFFF00" w:fill="FFFFFF"/>
    </w:tcPr>
    <w:tblStylePr w:type="firstRow">
      <w:rPr>
        <w:b/>
        <w:bCs/>
        <w:i/>
        <w:iCs/>
        <w:color w:val="FFFFFF"/>
      </w:rPr>
      <w:tblPr>
        <w:tblLayout w:type="fixed"/>
      </w:tblPr>
      <w:tcPr>
        <w:tcBorders>
          <w:bottom w:val="single" w:color="000000" w:sz="12" w:space="0"/>
          <w:tl2br w:val="nil"/>
          <w:tr2bl w:val="nil"/>
        </w:tcBorders>
        <w:shd w:val="solid" w:color="800000" w:fill="FFFFFF"/>
      </w:tcPr>
    </w:tblStylePr>
    <w:tblStylePr w:type="firstCol">
      <w:rPr>
        <w:b/>
        <w:bCs/>
        <w:i/>
        <w:iCs/>
      </w:rPr>
      <w:tblPr>
        <w:tblLayout w:type="fixed"/>
      </w:tblPr>
      <w:tcPr>
        <w:tcBorders>
          <w:tl2br w:val="nil"/>
          <w:tr2bl w:val="nil"/>
        </w:tcBorders>
      </w:tcPr>
    </w:tblStylePr>
    <w:tblStylePr w:type="lastCol">
      <w:tblPr>
        <w:tblLayout w:type="fixed"/>
      </w:tblPr>
      <w:tcPr>
        <w:tcBorders>
          <w:tl2br w:val="nil"/>
          <w:tr2bl w:val="nil"/>
        </w:tcBorders>
        <w:shd w:val="solid" w:color="C0C0C0" w:fill="FFFFFF"/>
      </w:tcPr>
    </w:tblStylePr>
    <w:tblStylePr w:type="swCell">
      <w:rPr>
        <w:b/>
        <w:bCs/>
        <w:i w:val="0"/>
        <w:iCs w:val="0"/>
      </w:rPr>
      <w:tblPr>
        <w:tblLayout w:type="fixed"/>
      </w:tblPr>
      <w:tcPr>
        <w:tcBorders>
          <w:tl2br w:val="nil"/>
          <w:tr2bl w:val="nil"/>
        </w:tcBorders>
      </w:tcPr>
    </w:tblStylePr>
  </w:style>
  <w:style w:type="table" w:styleId="102">
    <w:name w:val="Table Colorful 3"/>
    <w:basedOn w:val="97"/>
    <w:qFormat/>
    <w:uiPriority w:val="0"/>
    <w:pPr>
      <w:widowControl w:val="0"/>
    </w:pPr>
    <w:tblPr>
      <w:tblBorders>
        <w:top w:val="single" w:color="000000" w:sz="18" w:space="0"/>
        <w:left w:val="single" w:color="000000" w:sz="18" w:space="0"/>
        <w:bottom w:val="single" w:color="000000" w:sz="18" w:space="0"/>
        <w:right w:val="single" w:color="000000" w:sz="18" w:space="0"/>
        <w:insideH w:val="single" w:color="C0C0C0" w:sz="6" w:space="0"/>
      </w:tblBorders>
      <w:tblLayout w:type="fixed"/>
    </w:tblPr>
    <w:tcPr>
      <w:shd w:val="pct25" w:color="008080" w:fill="FFFFFF"/>
    </w:tcPr>
    <w:tblStylePr w:type="firstRow">
      <w:tblPr>
        <w:tblLayout w:type="fixed"/>
      </w:tblPr>
      <w:tcPr>
        <w:tcBorders>
          <w:bottom w:val="single" w:color="000000" w:sz="6" w:space="0"/>
          <w:tl2br w:val="nil"/>
          <w:tr2bl w:val="nil"/>
        </w:tcBorders>
        <w:shd w:val="solid" w:color="008080" w:fill="FFFFFF"/>
      </w:tcPr>
    </w:tblStylePr>
    <w:tblStylePr w:type="firstCol">
      <w:tblPr>
        <w:tblLayout w:type="fixed"/>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blLayout w:type="fixed"/>
      </w:tblPr>
      <w:tcPr>
        <w:tcBorders>
          <w:tl2br w:val="nil"/>
          <w:tr2bl w:val="nil"/>
        </w:tcBorders>
        <w:shd w:val="solid" w:color="000000" w:fill="FFFFFF"/>
      </w:tcPr>
    </w:tblStylePr>
  </w:style>
  <w:style w:type="table" w:styleId="103">
    <w:name w:val="Table Elegant"/>
    <w:basedOn w:val="97"/>
    <w:qFormat/>
    <w:uiPriority w:val="0"/>
    <w:pPr>
      <w:widowControl w:val="0"/>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Pr>
    <w:tcPr>
      <w:shd w:val="clear" w:color="auto" w:fill="auto"/>
    </w:tcPr>
    <w:tblStylePr w:type="firstRow">
      <w:rPr>
        <w:caps/>
        <w:color w:val="auto"/>
      </w:rPr>
      <w:tblPr>
        <w:tblLayout w:type="fixed"/>
      </w:tblPr>
      <w:tcPr>
        <w:tcBorders>
          <w:tl2br w:val="nil"/>
          <w:tr2bl w:val="nil"/>
        </w:tcBorders>
      </w:tcPr>
    </w:tblStylePr>
  </w:style>
  <w:style w:type="table" w:styleId="104">
    <w:name w:val="Table Classic 1"/>
    <w:basedOn w:val="97"/>
    <w:qFormat/>
    <w:uiPriority w:val="0"/>
    <w:pPr>
      <w:widowControl w:val="0"/>
    </w:pPr>
    <w:tblPr>
      <w:tblBorders>
        <w:top w:val="single" w:color="000000" w:sz="12" w:space="0"/>
        <w:bottom w:val="single" w:color="000000" w:sz="12" w:space="0"/>
      </w:tblBorders>
      <w:tblLayout w:type="fixed"/>
    </w:tblPr>
    <w:tcPr>
      <w:shd w:val="clear" w:color="auto" w:fill="auto"/>
    </w:tcPr>
    <w:tblStylePr w:type="firstRow">
      <w:rPr>
        <w:i/>
        <w:iCs/>
      </w:rPr>
      <w:tblPr>
        <w:tblLayout w:type="fixed"/>
      </w:tblPr>
      <w:tcPr>
        <w:tcBorders>
          <w:bottom w:val="single" w:color="000000" w:sz="6" w:space="0"/>
          <w:tl2br w:val="nil"/>
          <w:tr2bl w:val="nil"/>
        </w:tcBorders>
      </w:tcPr>
    </w:tblStylePr>
    <w:tblStylePr w:type="lastRow">
      <w:rPr>
        <w:color w:val="auto"/>
      </w:rPr>
      <w:tblPr>
        <w:tblLayout w:type="fixed"/>
      </w:tblPr>
      <w:tcPr>
        <w:tcBorders>
          <w:top w:val="single" w:color="000000" w:sz="6" w:space="0"/>
          <w:tl2br w:val="nil"/>
          <w:tr2bl w:val="nil"/>
        </w:tcBorders>
      </w:tcPr>
    </w:tblStylePr>
    <w:tblStylePr w:type="firstCol">
      <w:tblPr>
        <w:tblLayout w:type="fixed"/>
      </w:tblPr>
      <w:tcPr>
        <w:tcBorders>
          <w:right w:val="single" w:color="000000" w:sz="6" w:space="0"/>
          <w:tl2br w:val="nil"/>
          <w:tr2bl w:val="nil"/>
        </w:tcBorders>
      </w:tcPr>
    </w:tblStylePr>
    <w:tblStylePr w:type="neCell">
      <w:rPr>
        <w:b/>
        <w:bCs/>
        <w:i w:val="0"/>
        <w:iCs w:val="0"/>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05">
    <w:name w:val="Table Classic 2"/>
    <w:basedOn w:val="97"/>
    <w:qFormat/>
    <w:uiPriority w:val="0"/>
    <w:pPr>
      <w:widowControl w:val="0"/>
    </w:pPr>
    <w:tblPr>
      <w:tblBorders>
        <w:top w:val="single" w:color="000000" w:sz="12" w:space="0"/>
        <w:bottom w:val="single" w:color="000000" w:sz="12" w:space="0"/>
      </w:tblBorders>
      <w:tblLayout w:type="fixed"/>
    </w:tblPr>
    <w:tcPr>
      <w:shd w:val="clear" w:color="auto" w:fill="auto"/>
    </w:tcPr>
    <w:tblStylePr w:type="firstRow">
      <w:rPr>
        <w:color w:val="FFFFFF"/>
      </w:rPr>
      <w:tblPr>
        <w:tblLayout w:type="fixed"/>
      </w:tblPr>
      <w:tcPr>
        <w:tcBorders>
          <w:bottom w:val="single" w:color="000000" w:sz="6" w:space="0"/>
          <w:tl2br w:val="nil"/>
          <w:tr2bl w:val="nil"/>
        </w:tcBorders>
        <w:shd w:val="solid" w:color="800080" w:fill="FFFFFF"/>
      </w:tcPr>
    </w:tblStylePr>
    <w:tblStylePr w:type="lastRow">
      <w:tblPr>
        <w:tblLayout w:type="fixed"/>
      </w:tblPr>
      <w:tcPr>
        <w:tcBorders>
          <w:top w:val="single" w:color="000000" w:sz="6" w:space="0"/>
          <w:tl2br w:val="nil"/>
          <w:tr2bl w:val="nil"/>
        </w:tcBorders>
      </w:tcPr>
    </w:tblStylePr>
    <w:tblStylePr w:type="firstCol">
      <w:rPr>
        <w:b/>
        <w:bCs/>
      </w:rPr>
      <w:tblPr>
        <w:tblLayout w:type="fixed"/>
      </w:tblPr>
      <w:tcPr>
        <w:tcBorders>
          <w:tl2br w:val="nil"/>
          <w:tr2bl w:val="nil"/>
        </w:tcBorders>
        <w:shd w:val="solid" w:color="C0C0C0" w:fill="FFFFFF"/>
      </w:tcPr>
    </w:tblStylePr>
    <w:tblStylePr w:type="neCell">
      <w:rPr>
        <w:b/>
        <w:bCs/>
      </w:rPr>
      <w:tblPr>
        <w:tblLayout w:type="fixed"/>
      </w:tblPr>
      <w:tcPr>
        <w:tcBorders>
          <w:tl2br w:val="nil"/>
          <w:tr2bl w:val="nil"/>
        </w:tcBorders>
      </w:tcPr>
    </w:tblStylePr>
    <w:tblStylePr w:type="nwCell">
      <w:tblPr>
        <w:tblLayout w:type="fixed"/>
      </w:tblPr>
      <w:tcPr>
        <w:tcBorders>
          <w:tl2br w:val="nil"/>
          <w:tr2bl w:val="nil"/>
        </w:tcBorders>
        <w:shd w:val="solid" w:color="800080" w:fill="FFFFFF"/>
      </w:tcPr>
    </w:tblStylePr>
    <w:tblStylePr w:type="swCell">
      <w:rPr>
        <w:color w:val="000080"/>
      </w:rPr>
      <w:tblPr>
        <w:tblLayout w:type="fixed"/>
      </w:tblPr>
      <w:tcPr>
        <w:tcBorders>
          <w:tl2br w:val="nil"/>
          <w:tr2bl w:val="nil"/>
        </w:tcBorders>
      </w:tcPr>
    </w:tblStylePr>
  </w:style>
  <w:style w:type="table" w:styleId="106">
    <w:name w:val="Table Classic 3"/>
    <w:basedOn w:val="97"/>
    <w:qFormat/>
    <w:uiPriority w:val="0"/>
    <w:pPr>
      <w:widowControl w:val="0"/>
    </w:pPr>
    <w:rPr>
      <w:color w:val="000080"/>
    </w:rPr>
    <w:tblPr>
      <w:tblBorders>
        <w:top w:val="single" w:color="000000" w:sz="12" w:space="0"/>
        <w:left w:val="single" w:color="000000" w:sz="12" w:space="0"/>
        <w:bottom w:val="single" w:color="000000" w:sz="12" w:space="0"/>
        <w:right w:val="single" w:color="000000" w:sz="12" w:space="0"/>
      </w:tblBorders>
      <w:tblLayout w:type="fixed"/>
    </w:tblPr>
    <w:tcPr>
      <w:shd w:val="solid" w:color="C0C0C0" w:fill="FFFFFF"/>
    </w:tcPr>
    <w:tblStylePr w:type="firstRow">
      <w:rPr>
        <w:b/>
        <w:bCs/>
        <w:i/>
        <w:iCs/>
        <w:color w:val="FFFFFF"/>
      </w:rPr>
      <w:tblPr>
        <w:tblLayout w:type="fixed"/>
      </w:tblPr>
      <w:tcPr>
        <w:tcBorders>
          <w:bottom w:val="single" w:color="000000" w:sz="6" w:space="0"/>
          <w:tl2br w:val="nil"/>
          <w:tr2bl w:val="nil"/>
        </w:tcBorders>
        <w:shd w:val="solid" w:color="000080" w:fill="FFFFFF"/>
      </w:tcPr>
    </w:tblStylePr>
    <w:tblStylePr w:type="lastRow">
      <w:rPr>
        <w:color w:val="000080"/>
      </w:rPr>
      <w:tblPr>
        <w:tblLayout w:type="fixed"/>
      </w:tblPr>
      <w:tcPr>
        <w:tcBorders>
          <w:top w:val="single" w:color="000000" w:sz="12" w:space="0"/>
          <w:tl2br w:val="nil"/>
          <w:tr2bl w:val="nil"/>
        </w:tcBorders>
        <w:shd w:val="solid" w:color="FFFFFF" w:fill="FFFFFF"/>
      </w:tcPr>
    </w:tblStylePr>
    <w:tblStylePr w:type="firstCol">
      <w:rPr>
        <w:b/>
        <w:bCs/>
        <w:color w:val="000000"/>
      </w:rPr>
      <w:tblPr>
        <w:tblLayout w:type="fixed"/>
      </w:tblPr>
      <w:tcPr>
        <w:tcBorders>
          <w:tl2br w:val="nil"/>
          <w:tr2bl w:val="nil"/>
        </w:tcBorders>
      </w:tcPr>
    </w:tblStylePr>
  </w:style>
  <w:style w:type="table" w:styleId="107">
    <w:name w:val="Table Classic 4"/>
    <w:basedOn w:val="97"/>
    <w:qFormat/>
    <w:uiPriority w:val="0"/>
    <w:pPr>
      <w:widowControl w:val="0"/>
    </w:pPr>
    <w:tblPr>
      <w:tblBorders>
        <w:top w:val="single" w:color="000000" w:sz="12" w:space="0"/>
        <w:left w:val="single" w:color="000000" w:sz="6" w:space="0"/>
        <w:bottom w:val="single" w:color="000000" w:sz="12" w:space="0"/>
        <w:right w:val="single" w:color="000000" w:sz="6" w:space="0"/>
      </w:tblBorders>
      <w:tblLayout w:type="fixed"/>
    </w:tblPr>
    <w:tcPr>
      <w:shd w:val="clear" w:color="auto" w:fill="auto"/>
    </w:tcPr>
    <w:tblStylePr w:type="firstRow">
      <w:rPr>
        <w:b/>
        <w:bCs/>
        <w:i/>
        <w:iCs/>
        <w:color w:val="FFFFFF"/>
      </w:rPr>
      <w:tblPr>
        <w:tblLayout w:type="fixed"/>
      </w:tblPr>
      <w:tcPr>
        <w:tcBorders>
          <w:bottom w:val="single" w:color="000000" w:sz="6" w:space="0"/>
          <w:tl2br w:val="nil"/>
          <w:tr2bl w:val="nil"/>
        </w:tcBorders>
        <w:shd w:val="pct50" w:color="000080" w:fill="FFFFFF"/>
      </w:tcPr>
    </w:tblStylePr>
    <w:tblStylePr w:type="lastRow">
      <w:rPr>
        <w:color w:val="000080"/>
      </w:rPr>
      <w:tblPr>
        <w:tblLayout w:type="fixed"/>
      </w:tblPr>
      <w:tcPr>
        <w:tcBorders>
          <w:bottom w:val="single" w:color="000000" w:sz="6" w:space="0"/>
          <w:tl2br w:val="nil"/>
          <w:tr2bl w:val="nil"/>
        </w:tcBorders>
        <w:shd w:val="pct50" w:color="000000" w:fill="FFFFFF"/>
      </w:tcPr>
    </w:tblStylePr>
    <w:tblStylePr w:type="firstCol">
      <w:rPr>
        <w:b/>
        <w:bCs/>
      </w:rPr>
      <w:tblPr>
        <w:tblLayout w:type="fixed"/>
      </w:tblPr>
      <w:tcPr>
        <w:tcBorders>
          <w:tl2br w:val="nil"/>
          <w:tr2bl w:val="nil"/>
        </w:tcBorders>
      </w:tcPr>
    </w:tblStylePr>
    <w:tblStylePr w:type="nwCell">
      <w:rPr>
        <w:b/>
        <w:bCs/>
      </w:rPr>
      <w:tblPr>
        <w:tblLayout w:type="fixed"/>
      </w:tblPr>
      <w:tcPr>
        <w:tcBorders>
          <w:tl2br w:val="nil"/>
          <w:tr2bl w:val="nil"/>
        </w:tcBorders>
      </w:tcPr>
    </w:tblStylePr>
    <w:tblStylePr w:type="swCell">
      <w:rPr>
        <w:color w:val="000080"/>
      </w:rPr>
      <w:tblPr>
        <w:tblLayout w:type="fixed"/>
      </w:tblPr>
      <w:tcPr>
        <w:tcBorders>
          <w:tl2br w:val="nil"/>
          <w:tr2bl w:val="nil"/>
        </w:tcBorders>
      </w:tcPr>
    </w:tblStylePr>
  </w:style>
  <w:style w:type="table" w:styleId="108">
    <w:name w:val="Table Simple 1"/>
    <w:basedOn w:val="97"/>
    <w:qFormat/>
    <w:uiPriority w:val="0"/>
    <w:pPr>
      <w:widowControl w:val="0"/>
    </w:pPr>
    <w:tblPr>
      <w:tblBorders>
        <w:top w:val="single" w:color="008000" w:sz="12" w:space="0"/>
        <w:bottom w:val="single" w:color="008000" w:sz="12" w:space="0"/>
      </w:tblBorders>
      <w:tblLayout w:type="fixed"/>
    </w:tblPr>
    <w:tcPr>
      <w:shd w:val="clear" w:color="auto" w:fill="auto"/>
    </w:tcPr>
    <w:tblStylePr w:type="firstRow">
      <w:tblPr>
        <w:tblLayout w:type="fixed"/>
      </w:tblPr>
      <w:tcPr>
        <w:tcBorders>
          <w:bottom w:val="single" w:color="008000" w:sz="6" w:space="0"/>
          <w:tl2br w:val="nil"/>
          <w:tr2bl w:val="nil"/>
        </w:tcBorders>
      </w:tcPr>
    </w:tblStylePr>
    <w:tblStylePr w:type="lastRow">
      <w:tblPr>
        <w:tblLayout w:type="fixed"/>
      </w:tblPr>
      <w:tcPr>
        <w:tcBorders>
          <w:top w:val="single" w:color="008000" w:sz="6" w:space="0"/>
          <w:tl2br w:val="nil"/>
          <w:tr2bl w:val="nil"/>
        </w:tcBorders>
      </w:tcPr>
    </w:tblStylePr>
  </w:style>
  <w:style w:type="table" w:styleId="109">
    <w:name w:val="Table Simple 2"/>
    <w:basedOn w:val="97"/>
    <w:qFormat/>
    <w:uiPriority w:val="0"/>
    <w:pPr>
      <w:widowControl w:val="0"/>
    </w:pPr>
    <w:tblPr>
      <w:tblLayout w:type="fixed"/>
    </w:tblPr>
    <w:tblStylePr w:type="firstRow">
      <w:rPr>
        <w:b/>
        <w:bCs/>
      </w:rPr>
      <w:tblPr>
        <w:tblLayout w:type="fixed"/>
      </w:tblPr>
      <w:tcPr>
        <w:tcBorders>
          <w:bottom w:val="single" w:color="000000" w:sz="12" w:space="0"/>
          <w:tl2br w:val="nil"/>
          <w:tr2bl w:val="nil"/>
        </w:tcBorders>
      </w:tcPr>
    </w:tblStylePr>
    <w:tblStylePr w:type="lastRow">
      <w:rPr>
        <w:b/>
        <w:bCs/>
        <w:color w:val="auto"/>
      </w:rPr>
      <w:tblPr>
        <w:tblLayout w:type="fixed"/>
      </w:tblPr>
      <w:tcPr>
        <w:tcBorders>
          <w:top w:val="single" w:color="000000" w:sz="6" w:space="0"/>
          <w:tl2br w:val="nil"/>
          <w:tr2bl w:val="nil"/>
        </w:tcBorders>
      </w:tcPr>
    </w:tblStylePr>
    <w:tblStylePr w:type="firstCol">
      <w:rPr>
        <w:b/>
        <w:bCs/>
      </w:rPr>
      <w:tblPr>
        <w:tblLayout w:type="fixed"/>
      </w:tblPr>
      <w:tcPr>
        <w:tcBorders>
          <w:right w:val="single" w:color="000000" w:sz="12" w:space="0"/>
          <w:tl2br w:val="nil"/>
          <w:tr2bl w:val="nil"/>
        </w:tcBorders>
      </w:tcPr>
    </w:tblStylePr>
    <w:tblStylePr w:type="lastCol">
      <w:rPr>
        <w:b/>
        <w:bCs/>
      </w:rPr>
      <w:tblPr>
        <w:tblLayout w:type="fixed"/>
      </w:tblPr>
      <w:tcPr>
        <w:tcBorders>
          <w:left w:val="single" w:color="000000" w:sz="6" w:space="0"/>
          <w:tl2br w:val="nil"/>
          <w:tr2bl w:val="nil"/>
        </w:tcBorders>
      </w:tcPr>
    </w:tblStylePr>
    <w:tblStylePr w:type="neCell">
      <w:rPr>
        <w:b/>
        <w:bCs/>
      </w:rPr>
      <w:tblPr>
        <w:tblLayout w:type="fixed"/>
      </w:tblPr>
      <w:tcPr>
        <w:tcBorders>
          <w:left w:val="nil"/>
          <w:tl2br w:val="nil"/>
          <w:tr2bl w:val="nil"/>
        </w:tcBorders>
      </w:tcPr>
    </w:tblStylePr>
    <w:tblStylePr w:type="swCell">
      <w:rPr>
        <w:b/>
        <w:bCs/>
      </w:rPr>
      <w:tblPr>
        <w:tblLayout w:type="fixed"/>
      </w:tblPr>
      <w:tcPr>
        <w:tcBorders>
          <w:top w:val="nil"/>
          <w:tl2br w:val="nil"/>
          <w:tr2bl w:val="nil"/>
        </w:tcBorders>
      </w:tcPr>
    </w:tblStylePr>
  </w:style>
  <w:style w:type="table" w:styleId="110">
    <w:name w:val="Table Simple 3"/>
    <w:basedOn w:val="97"/>
    <w:qFormat/>
    <w:uiPriority w:val="0"/>
    <w:pPr>
      <w:widowControl w:val="0"/>
    </w:pPr>
    <w:tblPr>
      <w:tblBorders>
        <w:top w:val="single" w:color="000000" w:sz="12" w:space="0"/>
        <w:left w:val="single" w:color="000000" w:sz="12" w:space="0"/>
        <w:bottom w:val="single" w:color="000000" w:sz="12" w:space="0"/>
        <w:right w:val="single" w:color="000000" w:sz="12" w:space="0"/>
      </w:tblBorders>
      <w:tblLayout w:type="fixed"/>
    </w:tblPr>
    <w:tcPr>
      <w:shd w:val="clear" w:color="auto" w:fill="auto"/>
    </w:tcPr>
    <w:tblStylePr w:type="firstRow">
      <w:rPr>
        <w:b/>
        <w:bCs/>
        <w:color w:val="FFFFFF"/>
      </w:rPr>
      <w:tblPr>
        <w:tblLayout w:type="fixed"/>
      </w:tblPr>
      <w:tcPr>
        <w:tcBorders>
          <w:tl2br w:val="nil"/>
          <w:tr2bl w:val="nil"/>
        </w:tcBorders>
        <w:shd w:val="solid" w:color="000000" w:fill="FFFFFF"/>
      </w:tcPr>
    </w:tblStylePr>
  </w:style>
  <w:style w:type="table" w:styleId="111">
    <w:name w:val="Table Subtle 1"/>
    <w:basedOn w:val="97"/>
    <w:qFormat/>
    <w:uiPriority w:val="0"/>
    <w:pPr>
      <w:widowControl w:val="0"/>
    </w:pPr>
    <w:tblPr>
      <w:tblLayout w:type="fixed"/>
    </w:tblPr>
    <w:tblStylePr w:type="firstRow">
      <w:tblPr>
        <w:tblLayout w:type="fixed"/>
      </w:tblPr>
      <w:tcPr>
        <w:tcBorders>
          <w:top w:val="single" w:color="000000" w:sz="6" w:space="0"/>
          <w:bottom w:val="single" w:color="000000" w:sz="12" w:space="0"/>
          <w:tl2br w:val="nil"/>
          <w:tr2bl w:val="nil"/>
        </w:tcBorders>
      </w:tcPr>
    </w:tblStylePr>
    <w:tblStylePr w:type="lastRow">
      <w:tblPr>
        <w:tblLayout w:type="fixed"/>
      </w:tblPr>
      <w:tcPr>
        <w:tcBorders>
          <w:top w:val="single" w:color="000000" w:sz="12" w:space="0"/>
          <w:tl2br w:val="nil"/>
          <w:tr2bl w:val="nil"/>
        </w:tcBorders>
        <w:shd w:val="pct25" w:color="800080" w:fill="FFFFFF"/>
      </w:tcPr>
    </w:tblStylePr>
    <w:tblStylePr w:type="firstCol">
      <w:tblPr>
        <w:tblLayout w:type="fixed"/>
      </w:tblPr>
      <w:tcPr>
        <w:tcBorders>
          <w:right w:val="single" w:color="000000" w:sz="12" w:space="0"/>
          <w:tl2br w:val="nil"/>
          <w:tr2bl w:val="nil"/>
        </w:tcBorders>
      </w:tcPr>
    </w:tblStylePr>
    <w:tblStylePr w:type="lastCol">
      <w:tblPr>
        <w:tblLayout w:type="fixed"/>
      </w:tblPr>
      <w:tcPr>
        <w:tcBorders>
          <w:left w:val="single" w:color="000000" w:sz="12" w:space="0"/>
          <w:tl2br w:val="nil"/>
          <w:tr2bl w:val="nil"/>
        </w:tcBorders>
      </w:tcPr>
    </w:tblStylePr>
    <w:tblStylePr w:type="band1Horz">
      <w:tblPr>
        <w:tblLayout w:type="fixed"/>
      </w:tblPr>
      <w:tcPr>
        <w:tcBorders>
          <w:bottom w:val="single" w:color="000000" w:sz="6" w:space="0"/>
          <w:tl2br w:val="nil"/>
          <w:tr2bl w:val="nil"/>
        </w:tcBorders>
        <w:shd w:val="pct25" w:color="808000" w:fill="FFFFFF"/>
      </w:tcPr>
    </w:tblStylePr>
    <w:tblStylePr w:type="neCell">
      <w:rPr>
        <w:b/>
        <w:bCs/>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12">
    <w:name w:val="Table Subtle 2"/>
    <w:basedOn w:val="97"/>
    <w:qFormat/>
    <w:uiPriority w:val="0"/>
    <w:pPr>
      <w:widowControl w:val="0"/>
    </w:pPr>
    <w:tblPr>
      <w:tblBorders>
        <w:left w:val="single" w:color="000000" w:sz="6" w:space="0"/>
        <w:right w:val="single" w:color="000000" w:sz="6" w:space="0"/>
      </w:tblBorders>
      <w:tblLayout w:type="fixed"/>
    </w:tblPr>
    <w:tblStylePr w:type="firstRow">
      <w:tblPr>
        <w:tblLayout w:type="fixed"/>
      </w:tblPr>
      <w:tcPr>
        <w:tcBorders>
          <w:bottom w:val="single" w:color="000000" w:sz="12" w:space="0"/>
          <w:tl2br w:val="nil"/>
          <w:tr2bl w:val="nil"/>
        </w:tcBorders>
      </w:tcPr>
    </w:tblStylePr>
    <w:tblStylePr w:type="lastRow">
      <w:tblPr>
        <w:tblLayout w:type="fixed"/>
      </w:tblPr>
      <w:tcPr>
        <w:tcBorders>
          <w:top w:val="single" w:color="000000" w:sz="12" w:space="0"/>
          <w:tl2br w:val="nil"/>
          <w:tr2bl w:val="nil"/>
        </w:tcBorders>
      </w:tcPr>
    </w:tblStylePr>
    <w:tblStylePr w:type="firstCol">
      <w:tblPr>
        <w:tblLayout w:type="fixed"/>
      </w:tblPr>
      <w:tcPr>
        <w:tcBorders>
          <w:right w:val="single" w:color="000000" w:sz="12" w:space="0"/>
          <w:tl2br w:val="nil"/>
          <w:tr2bl w:val="nil"/>
        </w:tcBorders>
        <w:shd w:val="pct25" w:color="008000" w:fill="FFFFFF"/>
      </w:tcPr>
    </w:tblStylePr>
    <w:tblStylePr w:type="lastCol">
      <w:tblPr>
        <w:tblLayout w:type="fixed"/>
      </w:tblPr>
      <w:tcPr>
        <w:tcBorders>
          <w:left w:val="single" w:color="000000" w:sz="12" w:space="0"/>
          <w:tl2br w:val="nil"/>
          <w:tr2bl w:val="nil"/>
        </w:tcBorders>
        <w:shd w:val="pct25" w:color="808000" w:fill="FFFFFF"/>
      </w:tcPr>
    </w:tblStylePr>
    <w:tblStylePr w:type="neCell">
      <w:rPr>
        <w:b/>
        <w:bCs/>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13">
    <w:name w:val="Table 3D effects 1"/>
    <w:basedOn w:val="97"/>
    <w:qFormat/>
    <w:uiPriority w:val="0"/>
    <w:pPr>
      <w:widowControl w:val="0"/>
    </w:pPr>
    <w:tblPr>
      <w:tblLayout w:type="fixed"/>
    </w:tblPr>
    <w:tcPr>
      <w:shd w:val="solid" w:color="C0C0C0" w:fill="FFFFFF"/>
    </w:tcPr>
    <w:tblStylePr w:type="firstRow">
      <w:rPr>
        <w:b/>
        <w:bCs/>
        <w:color w:val="800080"/>
      </w:rPr>
      <w:tblPr>
        <w:tblLayout w:type="fixed"/>
      </w:tblPr>
      <w:tcPr>
        <w:tcBorders>
          <w:bottom w:val="single" w:color="808080" w:sz="6" w:space="0"/>
          <w:tl2br w:val="nil"/>
          <w:tr2bl w:val="nil"/>
        </w:tcBorders>
      </w:tcPr>
    </w:tblStylePr>
    <w:tblStylePr w:type="lastRow">
      <w:tblPr>
        <w:tblLayout w:type="fixed"/>
      </w:tblPr>
      <w:tcPr>
        <w:tcBorders>
          <w:top w:val="single" w:color="FFFFFF" w:sz="6" w:space="0"/>
          <w:tl2br w:val="nil"/>
          <w:tr2bl w:val="nil"/>
        </w:tcBorders>
      </w:tcPr>
    </w:tblStylePr>
    <w:tblStylePr w:type="firstCol">
      <w:rPr>
        <w:b/>
        <w:bCs/>
      </w:rPr>
      <w:tblPr>
        <w:tblLayout w:type="fixed"/>
      </w:tblPr>
      <w:tcPr>
        <w:tcBorders>
          <w:right w:val="single" w:color="808080" w:sz="6" w:space="0"/>
          <w:tl2br w:val="nil"/>
          <w:tr2bl w:val="nil"/>
        </w:tcBorders>
      </w:tcPr>
    </w:tblStylePr>
    <w:tblStylePr w:type="lastCol">
      <w:tblPr>
        <w:tblLayout w:type="fixed"/>
      </w:tblPr>
      <w:tcPr>
        <w:tcBorders>
          <w:left w:val="single" w:color="FFFFFF" w:sz="6" w:space="0"/>
          <w:tl2br w:val="nil"/>
          <w:tr2bl w:val="nil"/>
        </w:tcBorders>
      </w:tcPr>
    </w:tblStylePr>
    <w:tblStylePr w:type="neCell">
      <w:tblPr>
        <w:tblLayout w:type="fixed"/>
      </w:tblPr>
      <w:tcPr>
        <w:tcBorders>
          <w:left w:val="nil"/>
          <w:bottom w:val="nil"/>
          <w:tl2br w:val="nil"/>
          <w:tr2bl w:val="nil"/>
        </w:tcBorders>
      </w:tcPr>
    </w:tblStylePr>
    <w:tblStylePr w:type="nwCell">
      <w:tblPr>
        <w:tblLayout w:type="fixed"/>
      </w:tblPr>
      <w:tcPr>
        <w:tcBorders>
          <w:bottom w:val="nil"/>
          <w:right w:val="nil"/>
          <w:tl2br w:val="nil"/>
          <w:tr2bl w:val="nil"/>
        </w:tcBorders>
      </w:tcPr>
    </w:tblStylePr>
    <w:tblStylePr w:type="seCell">
      <w:tblPr>
        <w:tblLayout w:type="fixed"/>
      </w:tblPr>
      <w:tcPr>
        <w:tcBorders>
          <w:top w:val="nil"/>
          <w:left w:val="nil"/>
          <w:tl2br w:val="nil"/>
          <w:tr2bl w:val="nil"/>
        </w:tcBorders>
      </w:tcPr>
    </w:tblStylePr>
    <w:tblStylePr w:type="swCell">
      <w:rPr>
        <w:color w:val="000080"/>
      </w:rPr>
      <w:tblPr>
        <w:tblLayout w:type="fixed"/>
      </w:tblPr>
      <w:tcPr>
        <w:tcBorders>
          <w:top w:val="nil"/>
          <w:right w:val="nil"/>
          <w:tl2br w:val="nil"/>
          <w:tr2bl w:val="nil"/>
        </w:tcBorders>
      </w:tcPr>
    </w:tblStylePr>
  </w:style>
  <w:style w:type="table" w:styleId="114">
    <w:name w:val="Table 3D effects 2"/>
    <w:basedOn w:val="97"/>
    <w:qFormat/>
    <w:uiPriority w:val="0"/>
    <w:pPr>
      <w:widowControl w:val="0"/>
    </w:pPr>
    <w:tblPr>
      <w:tblLayout w:type="fixed"/>
    </w:tblPr>
    <w:tcPr>
      <w:shd w:val="solid" w:color="C0C0C0" w:fill="FFFFFF"/>
    </w:tcPr>
    <w:tblStylePr w:type="firstRow">
      <w:rPr>
        <w:b/>
        <w:bCs/>
      </w:rPr>
      <w:tblPr>
        <w:tblLayout w:type="fixed"/>
      </w:tblPr>
      <w:tcPr>
        <w:tcBorders>
          <w:tl2br w:val="nil"/>
          <w:tr2bl w:val="nil"/>
        </w:tcBorders>
      </w:tcPr>
    </w:tblStylePr>
    <w:tblStylePr w:type="firstCol">
      <w:tblPr>
        <w:tblLayout w:type="fixed"/>
      </w:tblPr>
      <w:tcPr>
        <w:tcBorders>
          <w:top w:val="nil"/>
          <w:bottom w:val="nil"/>
          <w:right w:val="single" w:color="808080" w:sz="6" w:space="0"/>
          <w:tl2br w:val="nil"/>
          <w:tr2bl w:val="nil"/>
        </w:tcBorders>
      </w:tcPr>
    </w:tblStylePr>
    <w:tblStylePr w:type="lastCol">
      <w:tblPr>
        <w:tblLayout w:type="fixed"/>
      </w:tblPr>
      <w:tcPr>
        <w:tcBorders>
          <w:right w:val="single" w:color="FFFFFF" w:sz="6" w:space="0"/>
          <w:tl2br w:val="nil"/>
          <w:tr2bl w:val="nil"/>
        </w:tcBorders>
      </w:tcPr>
    </w:tblStylePr>
    <w:tblStylePr w:type="band1Horz">
      <w:tblPr>
        <w:tblLayout w:type="fixed"/>
      </w:tblPr>
      <w:tcPr>
        <w:tcBorders>
          <w:top w:val="single" w:color="808080" w:sz="6" w:space="0"/>
          <w:bottom w:val="single" w:color="FFFFFF" w:sz="6" w:space="0"/>
          <w:tl2br w:val="nil"/>
          <w:tr2bl w:val="nil"/>
        </w:tcBorders>
      </w:tcPr>
    </w:tblStylePr>
    <w:tblStylePr w:type="swCell">
      <w:rPr>
        <w:b/>
        <w:bCs/>
      </w:rPr>
      <w:tblPr>
        <w:tblLayout w:type="fixed"/>
      </w:tblPr>
      <w:tcPr>
        <w:tcBorders>
          <w:tl2br w:val="nil"/>
          <w:tr2bl w:val="nil"/>
        </w:tcBorders>
      </w:tcPr>
    </w:tblStylePr>
  </w:style>
  <w:style w:type="table" w:styleId="115">
    <w:name w:val="Table 3D effects 3"/>
    <w:basedOn w:val="97"/>
    <w:qFormat/>
    <w:uiPriority w:val="0"/>
    <w:pPr>
      <w:widowControl w:val="0"/>
    </w:pPr>
    <w:tblPr>
      <w:tblLayout w:type="fixed"/>
    </w:tblPr>
    <w:tblStylePr w:type="firstRow">
      <w:rPr>
        <w:b/>
        <w:bCs/>
      </w:rPr>
      <w:tblPr>
        <w:tblLayout w:type="fixed"/>
      </w:tblPr>
      <w:tcPr>
        <w:tcBorders>
          <w:tl2br w:val="nil"/>
          <w:tr2bl w:val="nil"/>
        </w:tcBorders>
      </w:tcPr>
    </w:tblStylePr>
    <w:tblStylePr w:type="firstCol">
      <w:tblPr>
        <w:tblLayout w:type="fixed"/>
      </w:tblPr>
      <w:tcPr>
        <w:tcBorders>
          <w:top w:val="nil"/>
          <w:bottom w:val="nil"/>
          <w:right w:val="single" w:color="808080" w:sz="6" w:space="0"/>
          <w:tl2br w:val="nil"/>
          <w:tr2bl w:val="nil"/>
        </w:tcBorders>
      </w:tcPr>
    </w:tblStylePr>
    <w:tblStylePr w:type="lastCol">
      <w:tblPr>
        <w:tblLayout w:type="fixed"/>
      </w:tblPr>
      <w:tcPr>
        <w:tcBorders>
          <w:right w:val="single" w:color="FFFFFF" w:sz="6" w:space="0"/>
          <w:tl2br w:val="nil"/>
          <w:tr2bl w:val="nil"/>
        </w:tcBorders>
      </w:tcPr>
    </w:tblStylePr>
    <w:tblStylePr w:type="band1Vert">
      <w:rPr>
        <w:color w:val="auto"/>
      </w:rPr>
      <w:tblPr>
        <w:tblLayout w:type="fixed"/>
      </w:tblPr>
      <w:tcPr>
        <w:shd w:val="solid" w:color="C0C0C0" w:fill="FFFFFF"/>
      </w:tcPr>
    </w:tblStylePr>
    <w:tblStylePr w:type="band2Vert">
      <w:rPr>
        <w:color w:val="auto"/>
      </w:rPr>
      <w:tblPr>
        <w:tblLayout w:type="fixed"/>
      </w:tblPr>
      <w:tcPr>
        <w:shd w:val="pct50" w:color="C0C0C0" w:fill="FFFFFF"/>
      </w:tcPr>
    </w:tblStylePr>
    <w:tblStylePr w:type="band1Horz">
      <w:tblPr>
        <w:tblLayout w:type="fixed"/>
      </w:tblPr>
      <w:tcPr>
        <w:tcBorders>
          <w:top w:val="single" w:color="808080" w:sz="6" w:space="0"/>
          <w:bottom w:val="single" w:color="FFFFFF" w:sz="6" w:space="0"/>
          <w:tl2br w:val="nil"/>
          <w:tr2bl w:val="nil"/>
        </w:tcBorders>
      </w:tcPr>
    </w:tblStylePr>
    <w:tblStylePr w:type="swCell">
      <w:rPr>
        <w:b/>
        <w:bCs/>
      </w:rPr>
      <w:tblPr>
        <w:tblLayout w:type="fixed"/>
      </w:tblPr>
      <w:tcPr>
        <w:tcBorders>
          <w:tl2br w:val="nil"/>
          <w:tr2bl w:val="nil"/>
        </w:tcBorders>
      </w:tcPr>
    </w:tblStylePr>
  </w:style>
  <w:style w:type="table" w:styleId="116">
    <w:name w:val="Table List 1"/>
    <w:basedOn w:val="97"/>
    <w:qFormat/>
    <w:uiPriority w:val="0"/>
    <w:pPr>
      <w:widowControl w:val="0"/>
    </w:pPr>
    <w:tblPr>
      <w:tblBorders>
        <w:top w:val="single" w:color="008080" w:sz="12" w:space="0"/>
        <w:left w:val="single" w:color="008080" w:sz="6" w:space="0"/>
        <w:bottom w:val="single" w:color="008080" w:sz="12" w:space="0"/>
        <w:right w:val="single" w:color="008080" w:sz="6" w:space="0"/>
      </w:tblBorders>
      <w:tblLayout w:type="fixed"/>
    </w:tblPr>
    <w:tblStylePr w:type="firstRow">
      <w:rPr>
        <w:b/>
        <w:bCs/>
        <w:i/>
        <w:iCs/>
        <w:color w:val="800000"/>
      </w:rPr>
      <w:tblPr>
        <w:tblLayout w:type="fixed"/>
      </w:tblPr>
      <w:tcPr>
        <w:tcBorders>
          <w:bottom w:val="single" w:color="000000" w:sz="6" w:space="0"/>
          <w:tl2br w:val="nil"/>
          <w:tr2bl w:val="nil"/>
        </w:tcBorders>
        <w:shd w:val="solid" w:color="C0C0C0" w:fill="FFFFFF"/>
      </w:tcPr>
    </w:tblStylePr>
    <w:tblStylePr w:type="lastRow">
      <w:tblPr>
        <w:tblLayout w:type="fixed"/>
      </w:tblPr>
      <w:tcPr>
        <w:tcBorders>
          <w:top w:val="single" w:color="000000" w:sz="6" w:space="0"/>
          <w:tl2br w:val="nil"/>
          <w:tr2bl w:val="nil"/>
        </w:tcBorders>
      </w:tcPr>
    </w:tblStylePr>
    <w:tblStylePr w:type="band1Horz">
      <w:rPr>
        <w:color w:val="auto"/>
      </w:rPr>
      <w:tblPr>
        <w:tblLayout w:type="fixed"/>
      </w:tblPr>
      <w:tcPr>
        <w:tcBorders>
          <w:tl2br w:val="nil"/>
          <w:tr2bl w:val="nil"/>
        </w:tcBorders>
        <w:shd w:val="solid" w:color="C0C0C0" w:fill="FFFFFF"/>
      </w:tcPr>
    </w:tblStylePr>
    <w:tblStylePr w:type="band2Horz">
      <w:rPr>
        <w:color w:val="auto"/>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17">
    <w:name w:val="Table List 2"/>
    <w:basedOn w:val="97"/>
    <w:qFormat/>
    <w:uiPriority w:val="0"/>
    <w:pPr>
      <w:widowControl w:val="0"/>
    </w:pPr>
    <w:tblPr>
      <w:tblBorders>
        <w:bottom w:val="single" w:color="808080" w:sz="12" w:space="0"/>
      </w:tblBorders>
      <w:tblLayout w:type="fixed"/>
    </w:tblPr>
    <w:tblStylePr w:type="firstRow">
      <w:rPr>
        <w:b/>
        <w:bCs/>
        <w:color w:val="FFFFFF"/>
      </w:rPr>
      <w:tblPr>
        <w:tblLayout w:type="fixed"/>
      </w:tblPr>
      <w:tcPr>
        <w:tcBorders>
          <w:bottom w:val="single" w:color="000000" w:sz="6" w:space="0"/>
          <w:tl2br w:val="nil"/>
          <w:tr2bl w:val="nil"/>
        </w:tcBorders>
        <w:shd w:val="pct75" w:color="008080" w:fill="008000"/>
      </w:tcPr>
    </w:tblStylePr>
    <w:tblStylePr w:type="lastRow">
      <w:tblPr>
        <w:tblLayout w:type="fixed"/>
      </w:tblPr>
      <w:tcPr>
        <w:tcBorders>
          <w:top w:val="single" w:color="000000" w:sz="6" w:space="0"/>
          <w:tl2br w:val="nil"/>
          <w:tr2bl w:val="nil"/>
        </w:tcBorders>
      </w:tcPr>
    </w:tblStylePr>
    <w:tblStylePr w:type="band1Horz">
      <w:rPr>
        <w:color w:val="auto"/>
      </w:rPr>
      <w:tblPr>
        <w:tblLayout w:type="fixed"/>
      </w:tblPr>
      <w:tcPr>
        <w:tcBorders>
          <w:tl2br w:val="nil"/>
          <w:tr2bl w:val="nil"/>
        </w:tcBorders>
        <w:shd w:val="pct20" w:color="00FF00" w:fill="FFFFFF"/>
      </w:tcPr>
    </w:tblStylePr>
    <w:tblStylePr w:type="band2Horz">
      <w:rPr>
        <w:color w:val="auto"/>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18">
    <w:name w:val="Table List 3"/>
    <w:basedOn w:val="97"/>
    <w:qFormat/>
    <w:uiPriority w:val="0"/>
    <w:pPr>
      <w:widowControl w:val="0"/>
    </w:pPr>
    <w:tblPr>
      <w:tblBorders>
        <w:top w:val="single" w:color="000000" w:sz="12" w:space="0"/>
        <w:bottom w:val="single" w:color="000000" w:sz="12" w:space="0"/>
        <w:insideH w:val="single" w:color="000000" w:sz="6" w:space="0"/>
      </w:tblBorders>
      <w:tblLayout w:type="fixed"/>
    </w:tblPr>
    <w:tcPr>
      <w:shd w:val="clear" w:color="auto" w:fill="auto"/>
    </w:tcPr>
    <w:tblStylePr w:type="firstRow">
      <w:rPr>
        <w:b/>
        <w:bCs/>
        <w:color w:val="000080"/>
      </w:rPr>
      <w:tblPr>
        <w:tblLayout w:type="fixed"/>
      </w:tblPr>
      <w:tcPr>
        <w:tcBorders>
          <w:bottom w:val="single" w:color="000000" w:sz="12" w:space="0"/>
          <w:tl2br w:val="nil"/>
          <w:tr2bl w:val="nil"/>
        </w:tcBorders>
      </w:tcPr>
    </w:tblStylePr>
    <w:tblStylePr w:type="lastRow">
      <w:tblPr>
        <w:tblLayout w:type="fixed"/>
      </w:tblPr>
      <w:tcPr>
        <w:tcBorders>
          <w:top w:val="single" w:color="000000" w:sz="12" w:space="0"/>
          <w:tl2br w:val="nil"/>
          <w:tr2bl w:val="nil"/>
        </w:tcBorders>
      </w:tcPr>
    </w:tblStylePr>
    <w:tblStylePr w:type="swCell">
      <w:rPr>
        <w:i/>
        <w:iCs/>
        <w:color w:val="000080"/>
      </w:rPr>
      <w:tblPr>
        <w:tblLayout w:type="fixed"/>
      </w:tblPr>
      <w:tcPr>
        <w:tcBorders>
          <w:tl2br w:val="nil"/>
          <w:tr2bl w:val="nil"/>
        </w:tcBorders>
      </w:tcPr>
    </w:tblStylePr>
  </w:style>
  <w:style w:type="table" w:styleId="119">
    <w:name w:val="Table List 4"/>
    <w:basedOn w:val="97"/>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tblBorders>
      <w:tblLayout w:type="fixed"/>
    </w:tblPr>
    <w:tcPr>
      <w:shd w:val="clear" w:color="auto" w:fill="auto"/>
    </w:tcPr>
    <w:tblStylePr w:type="firstRow">
      <w:rPr>
        <w:b/>
        <w:bCs/>
        <w:color w:val="FFFFFF"/>
      </w:rPr>
      <w:tblPr>
        <w:tblLayout w:type="fixed"/>
      </w:tblPr>
      <w:tcPr>
        <w:tcBorders>
          <w:bottom w:val="single" w:color="000000" w:sz="12" w:space="0"/>
          <w:tl2br w:val="nil"/>
          <w:tr2bl w:val="nil"/>
        </w:tcBorders>
        <w:shd w:val="solid" w:color="808080" w:fill="FFFFFF"/>
      </w:tcPr>
    </w:tblStylePr>
  </w:style>
  <w:style w:type="table" w:styleId="120">
    <w:name w:val="Table List 5"/>
    <w:basedOn w:val="9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tblBorders>
      <w:tblLayout w:type="fixed"/>
    </w:tblPr>
    <w:tcPr>
      <w:shd w:val="clear" w:color="auto" w:fill="auto"/>
    </w:tcPr>
    <w:tblStylePr w:type="firstRow">
      <w:rPr>
        <w:b/>
        <w:bCs/>
      </w:rPr>
      <w:tblPr>
        <w:tblLayout w:type="fixed"/>
      </w:tblPr>
      <w:tcPr>
        <w:tcBorders>
          <w:bottom w:val="single" w:color="000000" w:sz="12" w:space="0"/>
          <w:tl2br w:val="nil"/>
          <w:tr2bl w:val="nil"/>
        </w:tcBorders>
      </w:tcPr>
    </w:tblStylePr>
    <w:tblStylePr w:type="firstCol">
      <w:rPr>
        <w:b/>
        <w:bCs/>
      </w:rPr>
      <w:tblPr>
        <w:tblLayout w:type="fixed"/>
      </w:tblPr>
      <w:tcPr>
        <w:tcBorders>
          <w:tl2br w:val="nil"/>
          <w:tr2bl w:val="nil"/>
        </w:tcBorders>
      </w:tcPr>
    </w:tblStylePr>
  </w:style>
  <w:style w:type="table" w:styleId="121">
    <w:name w:val="Table List 6"/>
    <w:basedOn w:val="97"/>
    <w:qFormat/>
    <w:uiPriority w:val="0"/>
    <w:pPr>
      <w:widowControl w:val="0"/>
    </w:pPr>
    <w:tblPr>
      <w:tblBorders>
        <w:top w:val="single" w:color="000000" w:sz="6" w:space="0"/>
        <w:left w:val="single" w:color="000000" w:sz="6" w:space="0"/>
        <w:bottom w:val="single" w:color="000000" w:sz="6" w:space="0"/>
        <w:right w:val="single" w:color="000000" w:sz="6" w:space="0"/>
      </w:tblBorders>
      <w:tblLayout w:type="fixed"/>
    </w:tblPr>
    <w:tcPr>
      <w:shd w:val="pct50" w:color="000000" w:fill="FFFFFF"/>
    </w:tcPr>
    <w:tblStylePr w:type="firstRow">
      <w:rPr>
        <w:b/>
        <w:bCs/>
      </w:rPr>
      <w:tblPr>
        <w:tblLayout w:type="fixed"/>
      </w:tblPr>
      <w:tcPr>
        <w:tcBorders>
          <w:bottom w:val="single" w:color="000000" w:sz="12" w:space="0"/>
          <w:tl2br w:val="nil"/>
          <w:tr2bl w:val="nil"/>
        </w:tcBorders>
      </w:tcPr>
    </w:tblStylePr>
    <w:tblStylePr w:type="firstCol">
      <w:rPr>
        <w:b/>
        <w:bCs/>
      </w:rPr>
      <w:tblPr>
        <w:tblLayout w:type="fixed"/>
      </w:tblPr>
      <w:tcPr>
        <w:tcBorders>
          <w:right w:val="single" w:color="000000" w:sz="12" w:space="0"/>
          <w:tl2br w:val="nil"/>
          <w:tr2bl w:val="nil"/>
        </w:tcBorders>
      </w:tcPr>
    </w:tblStylePr>
    <w:tblStylePr w:type="band1Horz">
      <w:tblPr>
        <w:tblLayout w:type="fixed"/>
      </w:tblPr>
      <w:tcPr>
        <w:tcBorders>
          <w:tl2br w:val="nil"/>
          <w:tr2bl w:val="nil"/>
        </w:tcBorders>
        <w:shd w:val="pct25" w:color="000000" w:fill="FFFFFF"/>
      </w:tcPr>
    </w:tblStylePr>
    <w:tblStylePr w:type="nwCell">
      <w:tblPr>
        <w:tblLayout w:type="fixed"/>
      </w:tblPr>
      <w:tcPr>
        <w:tcBorders>
          <w:tl2br w:val="single" w:color="000000" w:sz="6" w:space="0"/>
          <w:tr2bl w:val="nil"/>
        </w:tcBorders>
      </w:tcPr>
    </w:tblStylePr>
  </w:style>
  <w:style w:type="table" w:styleId="122">
    <w:name w:val="Table List 7"/>
    <w:basedOn w:val="97"/>
    <w:qFormat/>
    <w:uiPriority w:val="0"/>
    <w:pPr>
      <w:widowControl w:val="0"/>
    </w:pPr>
    <w:tblPr>
      <w:tblBorders>
        <w:top w:val="single" w:color="008000" w:sz="12" w:space="0"/>
        <w:left w:val="single" w:color="008000" w:sz="6" w:space="0"/>
        <w:bottom w:val="single" w:color="008000" w:sz="12" w:space="0"/>
        <w:right w:val="single" w:color="008000" w:sz="6" w:space="0"/>
        <w:insideH w:val="single" w:color="000000" w:sz="6" w:space="0"/>
      </w:tblBorders>
      <w:tblLayout w:type="fixed"/>
    </w:tblPr>
    <w:tblStylePr w:type="firstRow">
      <w:rPr>
        <w:b/>
        <w:bCs/>
      </w:rPr>
      <w:tblPr>
        <w:tblLayout w:type="fixed"/>
      </w:tblPr>
      <w:tcPr>
        <w:tcBorders>
          <w:bottom w:val="single" w:color="008000" w:sz="12" w:space="0"/>
          <w:tl2br w:val="nil"/>
          <w:tr2bl w:val="nil"/>
        </w:tcBorders>
        <w:shd w:val="solid" w:color="C0C0C0" w:fill="FFFFFF"/>
      </w:tcPr>
    </w:tblStylePr>
    <w:tblStylePr w:type="lastRow">
      <w:rPr>
        <w:b/>
        <w:bCs/>
      </w:rPr>
      <w:tblPr>
        <w:tblLayout w:type="fixed"/>
      </w:tblPr>
      <w:tcPr>
        <w:tcBorders>
          <w:top w:val="single" w:color="008000" w:sz="12" w:space="0"/>
          <w:tl2br w:val="nil"/>
          <w:tr2bl w:val="nil"/>
        </w:tcBorders>
      </w:tcPr>
    </w:tblStylePr>
    <w:tblStylePr w:type="firstCol">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band1Horz">
      <w:rPr>
        <w:color w:val="auto"/>
      </w:rPr>
      <w:tblPr>
        <w:tblLayout w:type="fixed"/>
      </w:tblPr>
      <w:tcPr>
        <w:tcBorders>
          <w:tl2br w:val="nil"/>
          <w:tr2bl w:val="nil"/>
        </w:tcBorders>
        <w:shd w:val="pct20" w:color="000000" w:fill="FFFFFF"/>
      </w:tcPr>
    </w:tblStylePr>
    <w:tblStylePr w:type="band2Horz">
      <w:tblPr>
        <w:tblLayout w:type="fixed"/>
      </w:tblPr>
      <w:tcPr>
        <w:tcBorders>
          <w:tl2br w:val="nil"/>
          <w:tr2bl w:val="nil"/>
        </w:tcBorders>
        <w:shd w:val="pct25" w:color="FFFF00" w:fill="FFFFFF"/>
      </w:tcPr>
    </w:tblStylePr>
  </w:style>
  <w:style w:type="table" w:styleId="123">
    <w:name w:val="Table List 8"/>
    <w:basedOn w:val="97"/>
    <w:qFormat/>
    <w:uiPriority w:val="0"/>
    <w:pPr>
      <w:widowControl w:val="0"/>
    </w:pPr>
    <w:tblPr>
      <w:tblBorders>
        <w:top w:val="single" w:color="000000" w:sz="6" w:space="0"/>
        <w:left w:val="single" w:color="000000" w:sz="6" w:space="0"/>
        <w:bottom w:val="single" w:color="000000" w:sz="6" w:space="0"/>
        <w:right w:val="single" w:color="000000" w:sz="6" w:space="0"/>
        <w:insideV w:val="single" w:color="000000" w:sz="6" w:space="0"/>
      </w:tblBorders>
      <w:tblLayout w:type="fixed"/>
    </w:tblPr>
    <w:tblStylePr w:type="firstRow">
      <w:rPr>
        <w:b/>
        <w:bCs/>
        <w:i/>
        <w:iCs/>
      </w:rPr>
      <w:tblPr>
        <w:tblLayout w:type="fixed"/>
      </w:tblPr>
      <w:tcPr>
        <w:tcBorders>
          <w:bottom w:val="single" w:color="000000" w:sz="6" w:space="0"/>
          <w:tl2br w:val="nil"/>
          <w:tr2bl w:val="nil"/>
        </w:tcBorders>
        <w:shd w:val="solid" w:color="FFFF00" w:fill="FFFFFF"/>
      </w:tcPr>
    </w:tblStylePr>
    <w:tblStylePr w:type="lastRow">
      <w:rPr>
        <w:b/>
        <w:bCs/>
      </w:rPr>
      <w:tblPr>
        <w:tblLayout w:type="fixed"/>
      </w:tblPr>
      <w:tcPr>
        <w:tcBorders>
          <w:top w:val="single" w:color="000000" w:sz="6" w:space="0"/>
          <w:tl2br w:val="nil"/>
          <w:tr2bl w:val="nil"/>
        </w:tcBorders>
      </w:tcPr>
    </w:tblStylePr>
    <w:tblStylePr w:type="firstCol">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band1Horz">
      <w:rPr>
        <w:color w:val="auto"/>
      </w:rPr>
      <w:tblPr>
        <w:tblLayout w:type="fixed"/>
      </w:tblPr>
      <w:tcPr>
        <w:tcBorders>
          <w:tl2br w:val="nil"/>
          <w:tr2bl w:val="nil"/>
        </w:tcBorders>
        <w:shd w:val="pct25" w:color="FFFF00" w:fill="FFFFFF"/>
      </w:tcPr>
    </w:tblStylePr>
    <w:tblStylePr w:type="band2Horz">
      <w:tblPr>
        <w:tblLayout w:type="fixed"/>
      </w:tblPr>
      <w:tcPr>
        <w:tcBorders>
          <w:tl2br w:val="nil"/>
          <w:tr2bl w:val="nil"/>
        </w:tcBorders>
        <w:shd w:val="pct50" w:color="FF0000" w:fill="FFFFFF"/>
      </w:tcPr>
    </w:tblStylePr>
    <w:tblStylePr w:type="nwCell">
      <w:tblPr>
        <w:tblLayout w:type="fixed"/>
      </w:tblPr>
      <w:tcPr>
        <w:tcBorders>
          <w:tl2br w:val="single" w:color="auto" w:sz="6" w:space="0"/>
          <w:tr2bl w:val="nil"/>
        </w:tcBorders>
      </w:tcPr>
    </w:tblStylePr>
  </w:style>
  <w:style w:type="table" w:styleId="124">
    <w:name w:val="Table Contemporary"/>
    <w:basedOn w:val="97"/>
    <w:qFormat/>
    <w:uiPriority w:val="0"/>
    <w:pPr>
      <w:widowControl w:val="0"/>
    </w:pPr>
    <w:tblPr>
      <w:tblBorders>
        <w:insideH w:val="single" w:color="FFFFFF" w:sz="18" w:space="0"/>
        <w:insideV w:val="single" w:color="FFFFFF" w:sz="18" w:space="0"/>
      </w:tblBorders>
      <w:tblLayout w:type="fixed"/>
    </w:tblPr>
    <w:tblStylePr w:type="firstRow">
      <w:rPr>
        <w:b/>
        <w:bCs/>
        <w:color w:val="auto"/>
      </w:rPr>
      <w:tblPr>
        <w:tblLayout w:type="fixed"/>
      </w:tblPr>
      <w:tcPr>
        <w:tcBorders>
          <w:tl2br w:val="nil"/>
          <w:tr2bl w:val="nil"/>
        </w:tcBorders>
        <w:shd w:val="pct20" w:color="000000" w:fill="FFFFFF"/>
      </w:tcPr>
    </w:tblStylePr>
    <w:tblStylePr w:type="band1Horz">
      <w:rPr>
        <w:color w:val="auto"/>
      </w:rPr>
      <w:tblPr>
        <w:tblLayout w:type="fixed"/>
      </w:tblPr>
      <w:tcPr>
        <w:tcBorders>
          <w:tl2br w:val="nil"/>
          <w:tr2bl w:val="nil"/>
        </w:tcBorders>
        <w:shd w:val="pct5" w:color="000000" w:fill="FFFFFF"/>
      </w:tcPr>
    </w:tblStylePr>
    <w:tblStylePr w:type="band2Horz">
      <w:rPr>
        <w:color w:val="auto"/>
      </w:rPr>
      <w:tblPr>
        <w:tblLayout w:type="fixed"/>
      </w:tblPr>
      <w:tcPr>
        <w:tcBorders>
          <w:tl2br w:val="nil"/>
          <w:tr2bl w:val="nil"/>
        </w:tcBorders>
        <w:shd w:val="pct20" w:color="000000" w:fill="FFFFFF"/>
      </w:tcPr>
    </w:tblStylePr>
  </w:style>
  <w:style w:type="table" w:styleId="125">
    <w:name w:val="Table Columns 1"/>
    <w:basedOn w:val="97"/>
    <w:qFormat/>
    <w:uiPriority w:val="0"/>
    <w:pPr>
      <w:widowControl w:val="0"/>
    </w:pPr>
    <w:rPr>
      <w:b/>
      <w:bCs/>
    </w:rPr>
    <w:tblPr>
      <w:tblBorders>
        <w:top w:val="single" w:color="000000" w:sz="12" w:space="0"/>
        <w:left w:val="single" w:color="000000" w:sz="12" w:space="0"/>
        <w:bottom w:val="single" w:color="000000" w:sz="12" w:space="0"/>
        <w:right w:val="single" w:color="000000" w:sz="12" w:space="0"/>
      </w:tblBorders>
      <w:tblLayout w:type="fixed"/>
    </w:tblPr>
    <w:tblStylePr w:type="firstRow">
      <w:rPr>
        <w:b w:val="0"/>
        <w:bCs w:val="0"/>
      </w:rPr>
      <w:tblPr>
        <w:tblLayout w:type="fixed"/>
      </w:tblPr>
      <w:tcPr>
        <w:tcBorders>
          <w:bottom w:val="double" w:color="000000" w:sz="6" w:space="0"/>
          <w:tl2br w:val="nil"/>
          <w:tr2bl w:val="nil"/>
        </w:tcBorders>
      </w:tcPr>
    </w:tblStylePr>
    <w:tblStylePr w:type="lastRow">
      <w:rPr>
        <w:b w:val="0"/>
        <w:bCs w:val="0"/>
      </w:rPr>
      <w:tblPr>
        <w:tblLayout w:type="fixed"/>
      </w:tblPr>
      <w:tcPr>
        <w:tcBorders>
          <w:tl2br w:val="nil"/>
          <w:tr2bl w:val="nil"/>
        </w:tcBorders>
      </w:tcPr>
    </w:tblStylePr>
    <w:tblStylePr w:type="firstCol">
      <w:rPr>
        <w:b w:val="0"/>
        <w:bCs w:val="0"/>
      </w:rPr>
      <w:tblPr>
        <w:tblLayout w:type="fixed"/>
      </w:tblPr>
      <w:tcPr>
        <w:tcBorders>
          <w:tl2br w:val="nil"/>
          <w:tr2bl w:val="nil"/>
        </w:tcBorders>
      </w:tcPr>
    </w:tblStylePr>
    <w:tblStylePr w:type="lastCol">
      <w:rPr>
        <w:b w:val="0"/>
        <w:bCs w:val="0"/>
      </w:rPr>
      <w:tblPr>
        <w:tblLayout w:type="fixed"/>
      </w:tblPr>
      <w:tcPr>
        <w:tcBorders>
          <w:tl2br w:val="nil"/>
          <w:tr2bl w:val="nil"/>
        </w:tcBorders>
      </w:tcPr>
    </w:tblStylePr>
    <w:tblStylePr w:type="band1Vert">
      <w:rPr>
        <w:color w:val="auto"/>
      </w:rPr>
      <w:tblPr>
        <w:tblLayout w:type="fixed"/>
      </w:tblPr>
      <w:tcPr>
        <w:shd w:val="pct25" w:color="000000" w:fill="FFFFFF"/>
      </w:tcPr>
    </w:tblStylePr>
    <w:tblStylePr w:type="band2Vert">
      <w:rPr>
        <w:color w:val="auto"/>
      </w:rPr>
      <w:tblPr>
        <w:tblLayout w:type="fixed"/>
      </w:tblPr>
      <w:tcPr>
        <w:shd w:val="pct25" w:color="FFFF00" w:fill="FFFFFF"/>
      </w:tcPr>
    </w:tblStylePr>
    <w:tblStylePr w:type="neCell">
      <w:rPr>
        <w:b/>
        <w:bCs/>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26">
    <w:name w:val="Table Columns 2"/>
    <w:basedOn w:val="97"/>
    <w:qFormat/>
    <w:uiPriority w:val="0"/>
    <w:pPr>
      <w:widowControl w:val="0"/>
    </w:pPr>
    <w:rPr>
      <w:b/>
      <w:bCs/>
    </w:rPr>
    <w:tblPr>
      <w:tblLayout w:type="fixed"/>
    </w:tblPr>
    <w:tblStylePr w:type="firstRow">
      <w:rPr>
        <w:color w:val="FFFFFF"/>
      </w:rPr>
      <w:tblPr>
        <w:tblLayout w:type="fixed"/>
      </w:tblPr>
      <w:tcPr>
        <w:tcBorders>
          <w:tl2br w:val="nil"/>
          <w:tr2bl w:val="nil"/>
        </w:tcBorders>
        <w:shd w:val="solid" w:color="000080" w:fill="FFFFFF"/>
      </w:tcPr>
    </w:tblStylePr>
    <w:tblStylePr w:type="lastRow">
      <w:rPr>
        <w:b w:val="0"/>
        <w:bCs w:val="0"/>
      </w:rPr>
      <w:tblPr>
        <w:tblLayout w:type="fixed"/>
      </w:tblPr>
      <w:tcPr>
        <w:tcBorders>
          <w:tl2br w:val="nil"/>
          <w:tr2bl w:val="nil"/>
        </w:tcBorders>
      </w:tcPr>
    </w:tblStylePr>
    <w:tblStylePr w:type="firstCol">
      <w:rPr>
        <w:b w:val="0"/>
        <w:bCs w:val="0"/>
        <w:color w:val="000000"/>
      </w:rPr>
      <w:tblPr>
        <w:tblLayout w:type="fixed"/>
      </w:tblPr>
      <w:tcPr>
        <w:tcBorders>
          <w:tl2br w:val="nil"/>
          <w:tr2bl w:val="nil"/>
        </w:tcBorders>
      </w:tcPr>
    </w:tblStylePr>
    <w:tblStylePr w:type="lastCol">
      <w:rPr>
        <w:b w:val="0"/>
        <w:bCs w:val="0"/>
      </w:rPr>
      <w:tblPr>
        <w:tblLayout w:type="fixed"/>
      </w:tblPr>
      <w:tcPr>
        <w:tcBorders>
          <w:tl2br w:val="nil"/>
          <w:tr2bl w:val="nil"/>
        </w:tcBorders>
      </w:tcPr>
    </w:tblStylePr>
    <w:tblStylePr w:type="band1Vert">
      <w:rPr>
        <w:color w:val="auto"/>
      </w:rPr>
      <w:tblPr>
        <w:tblLayout w:type="fixed"/>
      </w:tblPr>
      <w:tcPr>
        <w:shd w:val="pct30" w:color="000000" w:fill="FFFFFF"/>
      </w:tcPr>
    </w:tblStylePr>
    <w:tblStylePr w:type="band2Vert">
      <w:rPr>
        <w:color w:val="auto"/>
      </w:rPr>
      <w:tblPr>
        <w:tblLayout w:type="fixed"/>
      </w:tblPr>
      <w:tcPr>
        <w:shd w:val="pct25" w:color="00FF00" w:fill="FFFFFF"/>
      </w:tcPr>
    </w:tblStylePr>
    <w:tblStylePr w:type="neCell">
      <w:rPr>
        <w:b/>
        <w:bCs/>
      </w:rPr>
      <w:tblPr>
        <w:tblLayout w:type="fixed"/>
      </w:tblPr>
      <w:tcPr>
        <w:tcBorders>
          <w:tl2br w:val="nil"/>
          <w:tr2bl w:val="nil"/>
        </w:tcBorders>
      </w:tcPr>
    </w:tblStylePr>
    <w:tblStylePr w:type="swCell">
      <w:rPr>
        <w:b/>
        <w:bCs/>
      </w:rPr>
      <w:tblPr>
        <w:tblLayout w:type="fixed"/>
      </w:tblPr>
      <w:tcPr>
        <w:tcBorders>
          <w:tl2br w:val="nil"/>
          <w:tr2bl w:val="nil"/>
        </w:tcBorders>
      </w:tcPr>
    </w:tblStylePr>
  </w:style>
  <w:style w:type="table" w:styleId="127">
    <w:name w:val="Table Columns 3"/>
    <w:basedOn w:val="97"/>
    <w:qFormat/>
    <w:uiPriority w:val="0"/>
    <w:pPr>
      <w:widowControl w:val="0"/>
    </w:pPr>
    <w:rPr>
      <w:b/>
      <w:bCs/>
    </w:rPr>
    <w:tblPr>
      <w:tblBorders>
        <w:top w:val="single" w:color="000080" w:sz="6" w:space="0"/>
        <w:left w:val="single" w:color="000080" w:sz="6" w:space="0"/>
        <w:bottom w:val="single" w:color="000080" w:sz="6" w:space="0"/>
        <w:right w:val="single" w:color="000080" w:sz="6" w:space="0"/>
        <w:insideV w:val="single" w:color="000080" w:sz="6" w:space="0"/>
      </w:tblBorders>
      <w:tblLayout w:type="fixed"/>
    </w:tblPr>
    <w:tblStylePr w:type="firstRow">
      <w:rPr>
        <w:color w:val="FFFFFF"/>
      </w:rPr>
      <w:tblPr>
        <w:tblLayout w:type="fixed"/>
      </w:tblPr>
      <w:tcPr>
        <w:tcBorders>
          <w:tl2br w:val="nil"/>
          <w:tr2bl w:val="nil"/>
        </w:tcBorders>
        <w:shd w:val="solid" w:color="000080" w:fill="FFFFFF"/>
      </w:tcPr>
    </w:tblStylePr>
    <w:tblStylePr w:type="lastRow">
      <w:rPr>
        <w:b w:val="0"/>
        <w:bCs w:val="0"/>
      </w:rPr>
      <w:tblPr>
        <w:tblLayout w:type="fixed"/>
      </w:tblPr>
      <w:tcPr>
        <w:tcBorders>
          <w:top w:val="single" w:color="000080" w:sz="6" w:space="0"/>
          <w:tl2br w:val="nil"/>
          <w:tr2bl w:val="nil"/>
        </w:tcBorders>
      </w:tcPr>
    </w:tblStylePr>
    <w:tblStylePr w:type="firstCol">
      <w:rPr>
        <w:b w:val="0"/>
        <w:bCs w:val="0"/>
      </w:rPr>
      <w:tblPr>
        <w:tblLayout w:type="fixed"/>
      </w:tblPr>
      <w:tcPr>
        <w:tcBorders>
          <w:tl2br w:val="nil"/>
          <w:tr2bl w:val="nil"/>
        </w:tcBorders>
      </w:tcPr>
    </w:tblStylePr>
    <w:tblStylePr w:type="lastCol">
      <w:rPr>
        <w:b w:val="0"/>
        <w:bCs w:val="0"/>
      </w:rPr>
      <w:tblPr>
        <w:tblLayout w:type="fixed"/>
      </w:tblPr>
      <w:tcPr>
        <w:tcBorders>
          <w:tl2br w:val="nil"/>
          <w:tr2bl w:val="nil"/>
        </w:tcBorders>
      </w:tcPr>
    </w:tblStylePr>
    <w:tblStylePr w:type="band1Vert">
      <w:rPr>
        <w:color w:val="auto"/>
      </w:rPr>
      <w:tblPr>
        <w:tblLayout w:type="fixed"/>
      </w:tblPr>
      <w:tcPr>
        <w:shd w:val="solid" w:color="C0C0C0" w:fill="FFFFFF"/>
      </w:tcPr>
    </w:tblStylePr>
    <w:tblStylePr w:type="band2Vert">
      <w:rPr>
        <w:color w:val="auto"/>
      </w:rPr>
      <w:tblPr>
        <w:tblLayout w:type="fixed"/>
      </w:tblPr>
      <w:tcPr>
        <w:shd w:val="pct10" w:color="000000" w:fill="FFFFFF"/>
      </w:tcPr>
    </w:tblStylePr>
    <w:tblStylePr w:type="neCell">
      <w:rPr>
        <w:b/>
        <w:bCs/>
      </w:rPr>
      <w:tblPr>
        <w:tblLayout w:type="fixed"/>
      </w:tblPr>
      <w:tcPr>
        <w:tcBorders>
          <w:tl2br w:val="nil"/>
          <w:tr2bl w:val="nil"/>
        </w:tcBorders>
      </w:tcPr>
    </w:tblStylePr>
  </w:style>
  <w:style w:type="table" w:styleId="128">
    <w:name w:val="Table Columns 4"/>
    <w:basedOn w:val="97"/>
    <w:qFormat/>
    <w:uiPriority w:val="0"/>
    <w:pPr>
      <w:widowControl w:val="0"/>
    </w:pPr>
    <w:tblPr>
      <w:tblLayout w:type="fixed"/>
    </w:tblPr>
    <w:tblStylePr w:type="firstRow">
      <w:rPr>
        <w:color w:val="FFFFFF"/>
      </w:rPr>
      <w:tblPr>
        <w:tblLayout w:type="fixed"/>
      </w:tblPr>
      <w:tcPr>
        <w:tcBorders>
          <w:tl2br w:val="nil"/>
          <w:tr2bl w:val="nil"/>
        </w:tcBorders>
        <w:shd w:val="solid" w:color="000000" w:fill="FFFFFF"/>
      </w:tcPr>
    </w:tblStylePr>
    <w:tblStylePr w:type="lastRow">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band1Vert">
      <w:rPr>
        <w:color w:val="auto"/>
      </w:rPr>
      <w:tblPr>
        <w:tblLayout w:type="fixed"/>
      </w:tblPr>
      <w:tcPr>
        <w:shd w:val="pct50" w:color="008080" w:fill="FFFFFF"/>
      </w:tcPr>
    </w:tblStylePr>
    <w:tblStylePr w:type="band2Vert">
      <w:rPr>
        <w:color w:val="auto"/>
      </w:rPr>
      <w:tblPr>
        <w:tblLayout w:type="fixed"/>
      </w:tblPr>
      <w:tcPr>
        <w:shd w:val="pct10" w:color="000000" w:fill="FFFFFF"/>
      </w:tcPr>
    </w:tblStylePr>
  </w:style>
  <w:style w:type="table" w:styleId="129">
    <w:name w:val="Table Columns 5"/>
    <w:basedOn w:val="97"/>
    <w:qFormat/>
    <w:uiPriority w:val="0"/>
    <w:pPr>
      <w:widowControl w:val="0"/>
    </w:pPr>
    <w:tblPr>
      <w:tblBorders>
        <w:top w:val="single" w:color="808080" w:sz="12" w:space="0"/>
        <w:left w:val="single" w:color="808080" w:sz="12" w:space="0"/>
        <w:bottom w:val="single" w:color="808080" w:sz="12" w:space="0"/>
        <w:right w:val="single" w:color="808080" w:sz="12" w:space="0"/>
        <w:insideV w:val="single" w:color="C0C0C0" w:sz="6" w:space="0"/>
      </w:tblBorders>
      <w:tblLayout w:type="fixed"/>
    </w:tblPr>
    <w:tblStylePr w:type="firstRow">
      <w:rPr>
        <w:b/>
        <w:bCs/>
        <w:i/>
        <w:iCs/>
      </w:rPr>
      <w:tblPr>
        <w:tblLayout w:type="fixed"/>
      </w:tblPr>
      <w:tcPr>
        <w:tcBorders>
          <w:bottom w:val="single" w:color="808080" w:sz="6" w:space="0"/>
          <w:tl2br w:val="nil"/>
          <w:tr2bl w:val="nil"/>
        </w:tcBorders>
      </w:tcPr>
    </w:tblStylePr>
    <w:tblStylePr w:type="lastRow">
      <w:rPr>
        <w:b/>
        <w:bCs/>
      </w:rPr>
      <w:tblPr>
        <w:tblLayout w:type="fixed"/>
      </w:tblPr>
      <w:tcPr>
        <w:tcBorders>
          <w:top w:val="single" w:color="808080" w:sz="6" w:space="0"/>
          <w:tl2br w:val="nil"/>
          <w:tr2bl w:val="nil"/>
        </w:tcBorders>
      </w:tcPr>
    </w:tblStylePr>
    <w:tblStylePr w:type="firstCol">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band1Vert">
      <w:rPr>
        <w:color w:val="auto"/>
      </w:rPr>
      <w:tblPr>
        <w:tblLayout w:type="fixed"/>
      </w:tblPr>
      <w:tcPr>
        <w:shd w:val="solid" w:color="C0C0C0" w:fill="FFFFFF"/>
      </w:tcPr>
    </w:tblStylePr>
    <w:tblStylePr w:type="band2Vert">
      <w:rPr>
        <w:color w:val="auto"/>
      </w:rPr>
    </w:tblStylePr>
  </w:style>
  <w:style w:type="table" w:styleId="130">
    <w:name w:val="Table Grid 1"/>
    <w:basedOn w:val="9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
    <w:tcPr>
      <w:shd w:val="clear" w:color="auto" w:fill="auto"/>
    </w:tcPr>
    <w:tblStylePr w:type="lastRow">
      <w:rPr>
        <w:i/>
        <w:iCs/>
      </w:rPr>
      <w:tblPr>
        <w:tblLayout w:type="fixed"/>
      </w:tblPr>
      <w:tcPr>
        <w:tcBorders>
          <w:tl2br w:val="nil"/>
          <w:tr2bl w:val="nil"/>
        </w:tcBorders>
      </w:tcPr>
    </w:tblStylePr>
    <w:tblStylePr w:type="lastCol">
      <w:rPr>
        <w:i/>
        <w:iCs/>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31">
    <w:name w:val="Table Grid 2"/>
    <w:basedOn w:val="97"/>
    <w:qFormat/>
    <w:uiPriority w:val="0"/>
    <w:pPr>
      <w:widowControl w:val="0"/>
    </w:pPr>
    <w:tblPr>
      <w:tblBorders>
        <w:insideH w:val="single" w:color="000000" w:sz="6" w:space="0"/>
        <w:insideV w:val="single" w:color="000000" w:sz="6" w:space="0"/>
      </w:tblBorders>
      <w:tblLayout w:type="fixed"/>
    </w:tblPr>
    <w:tcPr>
      <w:shd w:val="clear" w:color="auto" w:fill="auto"/>
    </w:tcPr>
    <w:tblStylePr w:type="firstRow">
      <w:rPr>
        <w:b/>
        <w:bCs/>
      </w:rPr>
      <w:tblPr>
        <w:tblLayout w:type="fixed"/>
      </w:tblPr>
      <w:tcPr>
        <w:tcBorders>
          <w:tl2br w:val="nil"/>
          <w:tr2bl w:val="nil"/>
        </w:tcBorders>
      </w:tcPr>
    </w:tblStylePr>
    <w:tblStylePr w:type="lastRow">
      <w:rPr>
        <w:b/>
        <w:bCs/>
      </w:rPr>
      <w:tblPr>
        <w:tblLayout w:type="fixed"/>
      </w:tblPr>
      <w:tcPr>
        <w:tcBorders>
          <w:top w:val="single" w:color="000000" w:sz="6" w:space="0"/>
          <w:tl2br w:val="nil"/>
          <w:tr2bl w:val="nil"/>
        </w:tcBorders>
      </w:tcPr>
    </w:tblStylePr>
    <w:tblStylePr w:type="firstCol">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style>
  <w:style w:type="table" w:styleId="132">
    <w:name w:val="Table Grid 3"/>
    <w:basedOn w:val="97"/>
    <w:qFormat/>
    <w:uiPriority w:val="0"/>
    <w:pPr>
      <w:widowControl w:val="0"/>
    </w:pPr>
    <w:tblPr>
      <w:tblBorders>
        <w:top w:val="single" w:color="000000" w:sz="6" w:space="0"/>
        <w:left w:val="single" w:color="000000" w:sz="12" w:space="0"/>
        <w:bottom w:val="single" w:color="000000" w:sz="6" w:space="0"/>
        <w:right w:val="single" w:color="000000" w:sz="12" w:space="0"/>
        <w:insideV w:val="single" w:color="000000" w:sz="6" w:space="0"/>
      </w:tblBorders>
      <w:tblLayout w:type="fixed"/>
    </w:tblPr>
    <w:tcPr>
      <w:shd w:val="clear" w:color="auto" w:fill="auto"/>
    </w:tcPr>
    <w:tblStylePr w:type="firstRow">
      <w:tblPr>
        <w:tblLayout w:type="fixed"/>
      </w:tblPr>
      <w:tcPr>
        <w:tcBorders>
          <w:bottom w:val="single" w:color="000000" w:sz="6" w:space="0"/>
          <w:tl2br w:val="nil"/>
          <w:tr2bl w:val="nil"/>
        </w:tcBorders>
        <w:shd w:val="pct30" w:color="FFFF00" w:fill="FFFFFF"/>
      </w:tcPr>
    </w:tblStylePr>
    <w:tblStylePr w:type="lastRow">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33">
    <w:name w:val="Table Grid 4"/>
    <w:basedOn w:val="97"/>
    <w:qFormat/>
    <w:uiPriority w:val="0"/>
    <w:pPr>
      <w:widowControl w:val="0"/>
    </w:pPr>
    <w:tblPr>
      <w:tblBorders>
        <w:left w:val="single" w:color="000000" w:sz="12" w:space="0"/>
        <w:right w:val="single" w:color="000000" w:sz="12" w:space="0"/>
        <w:insideH w:val="single" w:color="000000" w:sz="6" w:space="0"/>
        <w:insideV w:val="single" w:color="000000" w:sz="6" w:space="0"/>
      </w:tblBorders>
      <w:tblLayout w:type="fixed"/>
    </w:tblPr>
    <w:tcPr>
      <w:shd w:val="clear" w:color="auto" w:fill="auto"/>
    </w:tcPr>
    <w:tblStylePr w:type="firstRow">
      <w:rPr>
        <w:color w:val="auto"/>
      </w:rPr>
      <w:tblPr>
        <w:tblLayout w:type="fixed"/>
      </w:tblPr>
      <w:tcPr>
        <w:tcBorders>
          <w:bottom w:val="single" w:color="000000" w:sz="6" w:space="0"/>
          <w:tl2br w:val="nil"/>
          <w:tr2bl w:val="nil"/>
        </w:tcBorders>
        <w:shd w:val="pct30" w:color="FFFF00" w:fill="FFFFFF"/>
      </w:tcPr>
    </w:tblStylePr>
    <w:tblStylePr w:type="lastRow">
      <w:rPr>
        <w:b/>
        <w:bCs/>
        <w:color w:val="auto"/>
      </w:rPr>
      <w:tblPr>
        <w:tblLayout w:type="fixed"/>
      </w:tblPr>
      <w:tcPr>
        <w:tcBorders>
          <w:top w:val="single" w:color="000000" w:sz="6" w:space="0"/>
          <w:tl2br w:val="nil"/>
          <w:tr2bl w:val="nil"/>
        </w:tcBorders>
        <w:shd w:val="pct30" w:color="FFFF00" w:fill="FFFFFF"/>
      </w:tcPr>
    </w:tblStylePr>
    <w:tblStylePr w:type="lastCol">
      <w:rPr>
        <w:b/>
        <w:bCs/>
        <w:color w:val="auto"/>
      </w:rPr>
      <w:tblPr>
        <w:tblLayout w:type="fixed"/>
      </w:tblPr>
      <w:tcPr>
        <w:tcBorders>
          <w:tl2br w:val="nil"/>
          <w:tr2bl w:val="nil"/>
        </w:tcBorders>
      </w:tcPr>
    </w:tblStylePr>
  </w:style>
  <w:style w:type="table" w:styleId="134">
    <w:name w:val="Table Grid 5"/>
    <w:basedOn w:val="97"/>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Pr>
    <w:tcPr>
      <w:shd w:val="clear" w:color="auto" w:fill="auto"/>
    </w:tcPr>
    <w:tblStylePr w:type="firstRow">
      <w:tblPr>
        <w:tblLayout w:type="fixed"/>
      </w:tblPr>
      <w:tcPr>
        <w:tcBorders>
          <w:bottom w:val="single" w:color="000000" w:sz="12" w:space="0"/>
          <w:tl2br w:val="nil"/>
          <w:tr2bl w:val="nil"/>
        </w:tcBorders>
      </w:tcPr>
    </w:tblStylePr>
    <w:tblStylePr w:type="lastRow">
      <w:rPr>
        <w:b/>
        <w:bCs/>
      </w:rPr>
      <w:tblPr>
        <w:tblLayout w:type="fixed"/>
      </w:tblPr>
      <w:tcPr>
        <w:tcBorders>
          <w:tl2br w:val="nil"/>
          <w:tr2bl w:val="nil"/>
        </w:tcBorders>
      </w:tcPr>
    </w:tblStylePr>
    <w:tblStylePr w:type="lastCol">
      <w:rPr>
        <w:b/>
        <w:bCs/>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35">
    <w:name w:val="Table Grid 6"/>
    <w:basedOn w:val="97"/>
    <w:qFormat/>
    <w:uiPriority w:val="0"/>
    <w:pPr>
      <w:widowControl w:val="0"/>
    </w:pPr>
    <w:tblPr>
      <w:tblBorders>
        <w:top w:val="single" w:color="000000" w:sz="12" w:space="0"/>
        <w:left w:val="single" w:color="000000" w:sz="12" w:space="0"/>
        <w:bottom w:val="single" w:color="000000" w:sz="12" w:space="0"/>
        <w:right w:val="single" w:color="000000" w:sz="12" w:space="0"/>
        <w:insideV w:val="single" w:color="000000" w:sz="6" w:space="0"/>
      </w:tblBorders>
      <w:tblLayout w:type="fixed"/>
    </w:tblPr>
    <w:tcPr>
      <w:shd w:val="clear" w:color="auto" w:fill="auto"/>
    </w:tcPr>
    <w:tblStylePr w:type="firstRow">
      <w:rPr>
        <w:b/>
        <w:bCs/>
      </w:rPr>
      <w:tblPr>
        <w:tblLayout w:type="fixed"/>
      </w:tblPr>
      <w:tcPr>
        <w:tcBorders>
          <w:bottom w:val="single" w:color="000000" w:sz="6" w:space="0"/>
          <w:tl2br w:val="nil"/>
          <w:tr2bl w:val="nil"/>
        </w:tcBorders>
      </w:tcPr>
    </w:tblStylePr>
    <w:tblStylePr w:type="lastRow">
      <w:rPr>
        <w:color w:val="auto"/>
      </w:rPr>
      <w:tblPr>
        <w:tblLayout w:type="fixed"/>
      </w:tblPr>
      <w:tcPr>
        <w:tcBorders>
          <w:top w:val="single" w:color="000000" w:sz="6" w:space="0"/>
          <w:tl2br w:val="nil"/>
          <w:tr2bl w:val="nil"/>
        </w:tcBorders>
      </w:tcPr>
    </w:tblStylePr>
    <w:tblStylePr w:type="firstCol">
      <w:rPr>
        <w:b/>
        <w:bCs/>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36">
    <w:name w:val="Table Grid 7"/>
    <w:basedOn w:val="97"/>
    <w:qFormat/>
    <w:uiPriority w:val="0"/>
    <w:pPr>
      <w:widowControl w:val="0"/>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Pr>
    <w:tcPr>
      <w:shd w:val="clear" w:color="auto" w:fill="auto"/>
    </w:tcPr>
    <w:tblStylePr w:type="firstRow">
      <w:rPr>
        <w:b w:val="0"/>
        <w:bCs w:val="0"/>
      </w:rPr>
      <w:tblPr>
        <w:tblLayout w:type="fixed"/>
      </w:tblPr>
      <w:tcPr>
        <w:tcBorders>
          <w:bottom w:val="single" w:color="000000" w:sz="12" w:space="0"/>
          <w:tl2br w:val="nil"/>
          <w:tr2bl w:val="nil"/>
        </w:tcBorders>
      </w:tcPr>
    </w:tblStylePr>
    <w:tblStylePr w:type="lastRow">
      <w:rPr>
        <w:b w:val="0"/>
        <w:bCs w:val="0"/>
      </w:rPr>
      <w:tblPr>
        <w:tblLayout w:type="fixed"/>
      </w:tblPr>
      <w:tcPr>
        <w:tcBorders>
          <w:top w:val="single" w:color="000000" w:sz="6" w:space="0"/>
          <w:tl2br w:val="nil"/>
          <w:tr2bl w:val="nil"/>
        </w:tcBorders>
      </w:tcPr>
    </w:tblStylePr>
    <w:tblStylePr w:type="firstCol">
      <w:rPr>
        <w:b w:val="0"/>
        <w:bCs w:val="0"/>
      </w:rPr>
      <w:tblPr>
        <w:tblLayout w:type="fixed"/>
      </w:tblPr>
      <w:tcPr>
        <w:tcBorders>
          <w:tl2br w:val="nil"/>
          <w:tr2bl w:val="nil"/>
        </w:tcBorders>
      </w:tcPr>
    </w:tblStylePr>
    <w:tblStylePr w:type="lastCol">
      <w:rPr>
        <w:b w:val="0"/>
        <w:bCs w:val="0"/>
      </w:rPr>
      <w:tblPr>
        <w:tblLayout w:type="fixed"/>
      </w:tblPr>
      <w:tcPr>
        <w:tcBorders>
          <w:tl2br w:val="nil"/>
          <w:tr2bl w:val="nil"/>
        </w:tcBorders>
      </w:tcPr>
    </w:tblStylePr>
    <w:tblStylePr w:type="nwCell">
      <w:tblPr>
        <w:tblLayout w:type="fixed"/>
      </w:tblPr>
      <w:tcPr>
        <w:tcBorders>
          <w:tl2br w:val="single" w:color="000000" w:sz="6" w:space="0"/>
          <w:tr2bl w:val="nil"/>
        </w:tcBorders>
      </w:tcPr>
    </w:tblStylePr>
  </w:style>
  <w:style w:type="table" w:styleId="137">
    <w:name w:val="Table Grid 8"/>
    <w:basedOn w:val="97"/>
    <w:qFormat/>
    <w:uiPriority w:val="0"/>
    <w:pPr>
      <w:widowControl w:val="0"/>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fixed"/>
    </w:tblPr>
    <w:tcPr>
      <w:shd w:val="clear" w:color="auto" w:fill="auto"/>
    </w:tcPr>
    <w:tblStylePr w:type="firstRow">
      <w:rPr>
        <w:b/>
        <w:bCs/>
        <w:color w:val="FFFFFF"/>
      </w:rPr>
      <w:tblPr>
        <w:tblLayout w:type="fixed"/>
      </w:tblPr>
      <w:tcPr>
        <w:tcBorders>
          <w:tl2br w:val="nil"/>
          <w:tr2bl w:val="nil"/>
        </w:tcBorders>
        <w:shd w:val="solid" w:color="000080" w:fill="FFFFFF"/>
      </w:tcPr>
    </w:tblStylePr>
    <w:tblStylePr w:type="lastRow">
      <w:rPr>
        <w:b/>
        <w:bCs/>
        <w:color w:val="auto"/>
      </w:rPr>
      <w:tblPr>
        <w:tblLayout w:type="fixed"/>
      </w:tblPr>
      <w:tcPr>
        <w:tcBorders>
          <w:tl2br w:val="nil"/>
          <w:tr2bl w:val="nil"/>
        </w:tcBorders>
      </w:tcPr>
    </w:tblStylePr>
    <w:tblStylePr w:type="lastCol">
      <w:rPr>
        <w:b/>
        <w:bCs/>
        <w:color w:val="auto"/>
      </w:rPr>
      <w:tblPr>
        <w:tblLayout w:type="fixed"/>
      </w:tblPr>
      <w:tcPr>
        <w:tcBorders>
          <w:tl2br w:val="nil"/>
          <w:tr2bl w:val="nil"/>
        </w:tcBorders>
      </w:tcPr>
    </w:tblStylePr>
  </w:style>
  <w:style w:type="table" w:styleId="138">
    <w:name w:val="Table Web 1"/>
    <w:basedOn w:val="97"/>
    <w:qFormat/>
    <w:uiPriority w:val="0"/>
    <w:pPr>
      <w:widowControl w:val="0"/>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
    <w:trPr>
      <w:tblCellSpacing w:w="20" w:type="dxa"/>
    </w:trPr>
    <w:tcPr>
      <w:shd w:val="clear" w:color="auto" w:fill="auto"/>
    </w:tcPr>
    <w:tblStylePr w:type="firstRow">
      <w:rPr>
        <w:color w:val="auto"/>
      </w:rPr>
      <w:tblPr>
        <w:tblLayout w:type="fixed"/>
      </w:tblPr>
      <w:tcPr>
        <w:tcBorders>
          <w:tl2br w:val="nil"/>
          <w:tr2bl w:val="nil"/>
        </w:tcBorders>
      </w:tcPr>
    </w:tblStylePr>
  </w:style>
  <w:style w:type="table" w:styleId="139">
    <w:name w:val="Table Web 2"/>
    <w:basedOn w:val="97"/>
    <w:qFormat/>
    <w:uiPriority w:val="0"/>
    <w:pPr>
      <w:widowControl w:val="0"/>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Pr>
    <w:trPr>
      <w:tblCellSpacing w:w="20" w:type="dxa"/>
    </w:trPr>
    <w:tcPr>
      <w:shd w:val="clear" w:color="auto" w:fill="auto"/>
    </w:tcPr>
    <w:tblStylePr w:type="firstRow">
      <w:rPr>
        <w:color w:val="auto"/>
      </w:rPr>
      <w:tblPr>
        <w:tblLayout w:type="fixed"/>
      </w:tblPr>
      <w:tcPr>
        <w:tcBorders>
          <w:tl2br w:val="nil"/>
          <w:tr2bl w:val="nil"/>
        </w:tcBorders>
      </w:tcPr>
    </w:tblStylePr>
  </w:style>
  <w:style w:type="table" w:styleId="140">
    <w:name w:val="Table Web 3"/>
    <w:basedOn w:val="97"/>
    <w:qFormat/>
    <w:uiPriority w:val="0"/>
    <w:pPr>
      <w:widowControl w:val="0"/>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Layout w:type="fixed"/>
    </w:tblPr>
    <w:trPr>
      <w:tblCellSpacing w:w="20" w:type="dxa"/>
    </w:trPr>
    <w:tcPr>
      <w:shd w:val="clear" w:color="auto" w:fill="auto"/>
    </w:tcPr>
    <w:tblStylePr w:type="firstRow">
      <w:rPr>
        <w:color w:val="auto"/>
      </w:rPr>
      <w:tblPr>
        <w:tblLayout w:type="fixed"/>
      </w:tblPr>
      <w:tcPr>
        <w:tcBorders>
          <w:tl2br w:val="nil"/>
          <w:tr2bl w:val="nil"/>
        </w:tcBorders>
      </w:tcPr>
    </w:tblStylePr>
  </w:style>
  <w:style w:type="table" w:styleId="141">
    <w:name w:val="Table Professional"/>
    <w:basedOn w:val="9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
    <w:tcPr>
      <w:shd w:val="clear" w:color="auto" w:fill="auto"/>
    </w:tcPr>
    <w:tblStylePr w:type="firstRow">
      <w:rPr>
        <w:b/>
        <w:bCs/>
        <w:color w:val="auto"/>
      </w:rPr>
      <w:tblPr>
        <w:tblLayout w:type="fixed"/>
      </w:tblPr>
      <w:tcPr>
        <w:tcBorders>
          <w:tl2br w:val="nil"/>
          <w:tr2bl w:val="nil"/>
        </w:tcBorders>
        <w:shd w:val="solid" w:color="000000" w:fill="FFFFFF"/>
      </w:tcPr>
    </w:tblStylePr>
  </w:style>
  <w:style w:type="table" w:styleId="142">
    <w:name w:val="Light Grid"/>
    <w:basedOn w:val="97"/>
    <w:qFormat/>
    <w:uiPriority w:val="62"/>
    <w:rPr>
      <w:rFonts w:ascii="Calibri" w:hAnsi="Calibri"/>
      <w:kern w:val="2"/>
      <w:sz w:val="21"/>
      <w:szCs w:val="22"/>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
    <w:tblStylePr w:type="firstRow">
      <w:pPr>
        <w:spacing w:before="0" w:after="0" w:line="240" w:lineRule="auto"/>
      </w:pPr>
      <w:rPr>
        <w:rFonts w:ascii="Marlett" w:hAnsi="Marlett" w:eastAsia="宋体" w:cs="Times New Roman"/>
        <w:b/>
        <w:bCs/>
      </w:rPr>
      <w:tblPr>
        <w:tblLayout w:type="fixed"/>
      </w:tblPr>
      <w:tcPr>
        <w:tcBorders>
          <w:top w:val="single" w:color="000000" w:sz="8" w:space="0"/>
          <w:left w:val="single" w:color="000000" w:sz="8" w:space="0"/>
          <w:bottom w:val="single" w:color="000000" w:sz="18" w:space="0"/>
          <w:right w:val="single" w:color="000000" w:sz="8" w:space="0"/>
          <w:insideH w:val="nil"/>
          <w:insideV w:val="single" w:sz="8" w:space="0"/>
        </w:tcBorders>
      </w:tcPr>
    </w:tblStylePr>
    <w:tblStylePr w:type="lastRow">
      <w:pPr>
        <w:spacing w:before="0" w:after="0" w:line="240" w:lineRule="auto"/>
      </w:pPr>
      <w:rPr>
        <w:rFonts w:ascii="Marlett" w:hAnsi="Marlett" w:eastAsia="宋体" w:cs="Times New Roman"/>
        <w:b/>
        <w:bCs/>
      </w:rPr>
      <w:tblPr>
        <w:tblLayout w:type="fixed"/>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ascii="Marlett" w:hAnsi="Marlett" w:eastAsia="宋体" w:cs="Times New Roman"/>
        <w:b/>
        <w:bCs/>
      </w:rPr>
    </w:tblStylePr>
    <w:tblStylePr w:type="lastCol">
      <w:rPr>
        <w:rFonts w:ascii="Marlett" w:hAnsi="Marlett" w:eastAsia="宋体" w:cs="Times New Roman"/>
        <w:b/>
        <w:bCs/>
      </w:rPr>
      <w:tblPr>
        <w:tblLayout w:type="fixed"/>
      </w:tblPr>
      <w:tcPr>
        <w:tcBorders>
          <w:top w:val="single" w:color="000000" w:sz="8" w:space="0"/>
          <w:left w:val="single" w:color="000000" w:sz="8" w:space="0"/>
          <w:bottom w:val="single" w:color="000000" w:sz="8" w:space="0"/>
          <w:right w:val="single" w:color="000000" w:sz="8" w:space="0"/>
        </w:tcBorders>
      </w:tcPr>
    </w:tblStylePr>
    <w:tblStylePr w:type="band1Vert">
      <w:tblPr>
        <w:tblLayout w:type="fixed"/>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blLayout w:type="fixed"/>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blLayout w:type="fixed"/>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43">
    <w:name w:val="Colorful Shading Accent 4"/>
    <w:basedOn w:val="97"/>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Layout w:type="fixed"/>
    </w:tblPr>
    <w:tcPr>
      <w:shd w:val="clear" w:color="auto" w:fill="F2EFF6"/>
    </w:tcPr>
    <w:tblStylePr w:type="firstRow">
      <w:rPr>
        <w:b/>
        <w:bCs/>
      </w:rPr>
      <w:tblPr>
        <w:tblLayout w:type="fixed"/>
      </w:tblPr>
      <w:tcPr>
        <w:tcBorders>
          <w:top w:val="nil"/>
          <w:left w:val="nil"/>
          <w:bottom w:val="single" w:color="9BBB59" w:sz="24" w:space="0"/>
          <w:right w:val="nil"/>
          <w:insideH w:val="nil"/>
          <w:insideV w:val="nil"/>
        </w:tcBorders>
        <w:shd w:val="clear" w:color="auto" w:fill="FFFFFF"/>
      </w:tcPr>
    </w:tblStylePr>
    <w:tblStylePr w:type="lastRow">
      <w:rPr>
        <w:b/>
        <w:bCs/>
        <w:color w:val="FFFFFF"/>
      </w:rPr>
      <w:tblPr>
        <w:tblLayout w:type="fixed"/>
      </w:tblPr>
      <w:tcPr>
        <w:tcBorders>
          <w:top w:val="single" w:color="FFFFFF" w:sz="6" w:space="0"/>
        </w:tcBorders>
        <w:shd w:val="clear" w:color="auto" w:fill="4C3B62"/>
      </w:tcPr>
    </w:tblStylePr>
    <w:tblStylePr w:type="firstCol">
      <w:rPr>
        <w:color w:val="FFFFFF"/>
      </w:rPr>
      <w:tblPr>
        <w:tblLayout w:type="fixed"/>
      </w:tblPr>
      <w:tcPr>
        <w:tcBorders>
          <w:top w:val="nil"/>
          <w:left w:val="nil"/>
          <w:bottom w:val="nil"/>
          <w:right w:val="nil"/>
          <w:insideH w:val="single" w:sz="4" w:space="0"/>
          <w:insideV w:val="nil"/>
        </w:tcBorders>
        <w:shd w:val="clear" w:color="auto" w:fill="4C3B62"/>
      </w:tcPr>
    </w:tblStylePr>
    <w:tblStylePr w:type="lastCol">
      <w:rPr>
        <w:color w:val="FFFFFF"/>
      </w:rPr>
      <w:tblPr>
        <w:tblLayout w:type="fixed"/>
      </w:tblPr>
      <w:tcPr>
        <w:tcBorders>
          <w:top w:val="nil"/>
          <w:left w:val="nil"/>
          <w:bottom w:val="nil"/>
          <w:right w:val="nil"/>
          <w:insideH w:val="nil"/>
          <w:insideV w:val="nil"/>
        </w:tcBorders>
        <w:shd w:val="clear" w:color="auto" w:fill="4C3B62"/>
      </w:tcPr>
    </w:tblStylePr>
    <w:tblStylePr w:type="band1Vert">
      <w:tblPr>
        <w:tblLayout w:type="fixed"/>
      </w:tblPr>
      <w:tcPr>
        <w:shd w:val="clear" w:color="auto" w:fill="CCC0D9"/>
      </w:tcPr>
    </w:tblStylePr>
    <w:tblStylePr w:type="band1Horz">
      <w:tblPr>
        <w:tblLayout w:type="fixed"/>
      </w:tblPr>
      <w:tcPr>
        <w:shd w:val="clear" w:color="auto" w:fill="BFB1D0"/>
      </w:tcPr>
    </w:tblStylePr>
    <w:tblStylePr w:type="neCell">
      <w:rPr>
        <w:color w:val="000000"/>
      </w:rPr>
    </w:tblStylePr>
    <w:tblStylePr w:type="nwCell">
      <w:rPr>
        <w:color w:val="000000"/>
      </w:rPr>
    </w:tblStylePr>
  </w:style>
  <w:style w:type="character" w:customStyle="1" w:styleId="144">
    <w:name w:val="批注文字 字符"/>
    <w:link w:val="14"/>
    <w:qFormat/>
    <w:uiPriority w:val="0"/>
    <w:rPr>
      <w:rFonts w:eastAsia="宋体"/>
      <w:kern w:val="2"/>
      <w:sz w:val="21"/>
      <w:lang w:val="en-US" w:eastAsia="zh-CN" w:bidi="ar-SA"/>
    </w:rPr>
  </w:style>
  <w:style w:type="character" w:customStyle="1" w:styleId="145">
    <w:name w:val="title_emph1"/>
    <w:qFormat/>
    <w:uiPriority w:val="0"/>
    <w:rPr>
      <w:rFonts w:hint="default" w:ascii="Arial" w:hAnsi="Arial" w:cs="Arial"/>
      <w:b/>
      <w:bCs/>
      <w:sz w:val="20"/>
      <w:szCs w:val="20"/>
    </w:rPr>
  </w:style>
  <w:style w:type="character" w:customStyle="1" w:styleId="146">
    <w:name w:val="spantable1"/>
    <w:qFormat/>
    <w:uiPriority w:val="0"/>
    <w:rPr>
      <w:rFonts w:hint="default" w:ascii="ˎ̥" w:hAnsi="ˎ̥"/>
      <w:sz w:val="18"/>
      <w:szCs w:val="18"/>
    </w:rPr>
  </w:style>
  <w:style w:type="character" w:customStyle="1" w:styleId="147">
    <w:name w:val="font111"/>
    <w:basedOn w:val="79"/>
    <w:qFormat/>
    <w:uiPriority w:val="0"/>
    <w:rPr>
      <w:rFonts w:hint="default" w:ascii="Arial" w:hAnsi="Arial" w:cs="Arial"/>
      <w:color w:val="000000"/>
      <w:sz w:val="18"/>
      <w:szCs w:val="18"/>
      <w:u w:val="none"/>
    </w:rPr>
  </w:style>
  <w:style w:type="character" w:customStyle="1" w:styleId="148">
    <w:name w:val="font51"/>
    <w:basedOn w:val="79"/>
    <w:qFormat/>
    <w:uiPriority w:val="0"/>
    <w:rPr>
      <w:rFonts w:hint="eastAsia" w:ascii="宋体" w:hAnsi="宋体" w:eastAsia="宋体" w:cs="宋体"/>
      <w:color w:val="000000"/>
      <w:sz w:val="20"/>
      <w:szCs w:val="20"/>
      <w:u w:val="none"/>
      <w:vertAlign w:val="superscript"/>
    </w:rPr>
  </w:style>
  <w:style w:type="character" w:customStyle="1" w:styleId="149">
    <w:name w:val="标题 6 字符"/>
    <w:link w:val="8"/>
    <w:qFormat/>
    <w:uiPriority w:val="9"/>
    <w:rPr>
      <w:rFonts w:ascii="Bookman Old Style" w:hAnsi="Bookman Old Style"/>
      <w:color w:val="800000"/>
      <w:sz w:val="24"/>
    </w:rPr>
  </w:style>
  <w:style w:type="character" w:customStyle="1" w:styleId="150">
    <w:name w:val="副标题 字符"/>
    <w:link w:val="61"/>
    <w:qFormat/>
    <w:uiPriority w:val="11"/>
    <w:rPr>
      <w:rFonts w:ascii="Calibri Light" w:hAnsi="Calibri Light"/>
      <w:b/>
      <w:bCs/>
      <w:kern w:val="28"/>
      <w:sz w:val="32"/>
      <w:szCs w:val="32"/>
    </w:rPr>
  </w:style>
  <w:style w:type="character" w:customStyle="1" w:styleId="151">
    <w:name w:val="hour_pm"/>
    <w:basedOn w:val="79"/>
    <w:qFormat/>
    <w:uiPriority w:val="0"/>
  </w:style>
  <w:style w:type="character" w:customStyle="1" w:styleId="152">
    <w:name w:val="标题 8 字符"/>
    <w:link w:val="10"/>
    <w:qFormat/>
    <w:uiPriority w:val="0"/>
    <w:rPr>
      <w:rFonts w:ascii="Bookman Old Style" w:hAnsi="Bookman Old Style"/>
      <w:b/>
      <w:i/>
      <w:sz w:val="18"/>
    </w:rPr>
  </w:style>
  <w:style w:type="character" w:customStyle="1" w:styleId="153">
    <w:name w:val="标题 7 字符"/>
    <w:link w:val="9"/>
    <w:qFormat/>
    <w:uiPriority w:val="9"/>
    <w:rPr>
      <w:rFonts w:ascii="Bookman Old Style" w:hAnsi="Bookman Old Style"/>
      <w:b/>
      <w:i/>
      <w:sz w:val="22"/>
    </w:rPr>
  </w:style>
  <w:style w:type="character" w:customStyle="1" w:styleId="154">
    <w:name w:val="正文缩进 字符"/>
    <w:link w:val="22"/>
    <w:qFormat/>
    <w:locked/>
    <w:uiPriority w:val="0"/>
    <w:rPr>
      <w:rFonts w:eastAsia="宋体"/>
      <w:kern w:val="2"/>
      <w:sz w:val="21"/>
      <w:lang w:val="en-US" w:eastAsia="zh-CN" w:bidi="ar-SA"/>
    </w:rPr>
  </w:style>
  <w:style w:type="character" w:customStyle="1" w:styleId="155">
    <w:name w:val="hour_am"/>
    <w:basedOn w:val="79"/>
    <w:qFormat/>
    <w:uiPriority w:val="0"/>
  </w:style>
  <w:style w:type="character" w:customStyle="1" w:styleId="156">
    <w:name w:val="标题 9 字符"/>
    <w:link w:val="11"/>
    <w:qFormat/>
    <w:uiPriority w:val="0"/>
    <w:rPr>
      <w:rFonts w:ascii="CG Times" w:hAnsi="CG Times"/>
      <w:i/>
      <w:sz w:val="18"/>
    </w:rPr>
  </w:style>
  <w:style w:type="character" w:customStyle="1" w:styleId="157">
    <w:name w:val="font21"/>
    <w:basedOn w:val="79"/>
    <w:qFormat/>
    <w:uiPriority w:val="0"/>
    <w:rPr>
      <w:rFonts w:hint="eastAsia" w:ascii="宋体" w:hAnsi="宋体" w:eastAsia="宋体" w:cs="宋体"/>
      <w:color w:val="000000"/>
      <w:sz w:val="18"/>
      <w:szCs w:val="18"/>
      <w:u w:val="none"/>
    </w:rPr>
  </w:style>
  <w:style w:type="character" w:customStyle="1" w:styleId="158">
    <w:name w:val="style1"/>
    <w:basedOn w:val="79"/>
    <w:qFormat/>
    <w:uiPriority w:val="0"/>
  </w:style>
  <w:style w:type="character" w:customStyle="1" w:styleId="159">
    <w:name w:val="标题 2 字符"/>
    <w:link w:val="4"/>
    <w:qFormat/>
    <w:uiPriority w:val="0"/>
    <w:rPr>
      <w:rFonts w:ascii="宋体" w:hAnsi="Copperplate Gothic Bold"/>
      <w:b/>
      <w:kern w:val="2"/>
      <w:sz w:val="32"/>
    </w:rPr>
  </w:style>
  <w:style w:type="character" w:customStyle="1" w:styleId="160">
    <w:name w:val="标题 2 Char"/>
    <w:qFormat/>
    <w:uiPriority w:val="0"/>
    <w:rPr>
      <w:sz w:val="30"/>
    </w:rPr>
  </w:style>
  <w:style w:type="character" w:customStyle="1" w:styleId="161">
    <w:name w:val="批注框文本 字符"/>
    <w:link w:val="50"/>
    <w:qFormat/>
    <w:uiPriority w:val="99"/>
    <w:rPr>
      <w:rFonts w:eastAsia="宋体"/>
      <w:kern w:val="2"/>
      <w:sz w:val="18"/>
      <w:szCs w:val="18"/>
      <w:lang w:val="en-US" w:eastAsia="zh-CN" w:bidi="ar-SA"/>
    </w:rPr>
  </w:style>
  <w:style w:type="character" w:customStyle="1" w:styleId="162">
    <w:name w:val="indent"/>
    <w:basedOn w:val="79"/>
    <w:qFormat/>
    <w:uiPriority w:val="0"/>
  </w:style>
  <w:style w:type="character" w:customStyle="1" w:styleId="163">
    <w:name w:val="页眉 字符"/>
    <w:link w:val="54"/>
    <w:qFormat/>
    <w:uiPriority w:val="0"/>
    <w:rPr>
      <w:rFonts w:eastAsia="宋体"/>
      <w:kern w:val="2"/>
      <w:sz w:val="18"/>
      <w:lang w:val="en-US" w:eastAsia="zh-CN" w:bidi="ar-SA"/>
    </w:rPr>
  </w:style>
  <w:style w:type="character" w:customStyle="1" w:styleId="164">
    <w:name w:val="标题 3 字符"/>
    <w:link w:val="5"/>
    <w:qFormat/>
    <w:uiPriority w:val="0"/>
    <w:rPr>
      <w:rFonts w:ascii="Arial" w:hAnsi="Arial" w:eastAsia="宋体"/>
      <w:color w:val="auto"/>
      <w:sz w:val="30"/>
    </w:rPr>
  </w:style>
  <w:style w:type="character" w:customStyle="1" w:styleId="165">
    <w:name w:val="font61"/>
    <w:basedOn w:val="79"/>
    <w:qFormat/>
    <w:uiPriority w:val="0"/>
    <w:rPr>
      <w:rFonts w:hint="eastAsia" w:ascii="宋体" w:hAnsi="宋体" w:eastAsia="宋体" w:cs="宋体"/>
      <w:b/>
      <w:color w:val="000000"/>
      <w:sz w:val="18"/>
      <w:szCs w:val="18"/>
      <w:u w:val="none"/>
    </w:rPr>
  </w:style>
  <w:style w:type="character" w:customStyle="1" w:styleId="166">
    <w:name w:val="tmpztreemove_arrow"/>
    <w:qFormat/>
    <w:uiPriority w:val="0"/>
    <w:rPr>
      <w:shd w:val="clear" w:color="auto" w:fill="FFFFFF"/>
    </w:rPr>
  </w:style>
  <w:style w:type="character" w:customStyle="1" w:styleId="167">
    <w:name w:val="font71"/>
    <w:basedOn w:val="79"/>
    <w:qFormat/>
    <w:uiPriority w:val="0"/>
    <w:rPr>
      <w:rFonts w:hint="eastAsia" w:ascii="等线" w:hAnsi="等线" w:eastAsia="等线" w:cs="等线"/>
      <w:color w:val="000000"/>
      <w:sz w:val="20"/>
      <w:szCs w:val="20"/>
      <w:u w:val="none"/>
    </w:rPr>
  </w:style>
  <w:style w:type="character" w:customStyle="1" w:styleId="168">
    <w:name w:val="标题 1 字符"/>
    <w:link w:val="3"/>
    <w:qFormat/>
    <w:uiPriority w:val="0"/>
    <w:rPr>
      <w:rFonts w:ascii="黑体" w:hAnsi="黑体" w:eastAsia="黑体"/>
      <w:kern w:val="2"/>
      <w:sz w:val="28"/>
    </w:rPr>
  </w:style>
  <w:style w:type="character" w:customStyle="1" w:styleId="169">
    <w:name w:val="正文缩进2格 Char"/>
    <w:link w:val="170"/>
    <w:qFormat/>
    <w:uiPriority w:val="0"/>
    <w:rPr>
      <w:rFonts w:ascii="仿宋_GB2312" w:hAnsi="宋体" w:eastAsia="仿宋_GB2312"/>
      <w:kern w:val="2"/>
      <w:sz w:val="31"/>
      <w:szCs w:val="28"/>
      <w:lang w:val="en-US" w:eastAsia="zh-CN" w:bidi="ar-SA"/>
    </w:rPr>
  </w:style>
  <w:style w:type="paragraph" w:customStyle="1" w:styleId="170">
    <w:name w:val="正文缩进2格"/>
    <w:basedOn w:val="1"/>
    <w:link w:val="169"/>
    <w:qFormat/>
    <w:uiPriority w:val="0"/>
    <w:pPr>
      <w:spacing w:line="600" w:lineRule="exact"/>
      <w:ind w:firstLine="639" w:firstLineChars="206"/>
    </w:pPr>
    <w:rPr>
      <w:rFonts w:ascii="仿宋_GB2312" w:hAnsi="宋体" w:eastAsia="仿宋_GB2312"/>
      <w:sz w:val="31"/>
      <w:szCs w:val="28"/>
    </w:rPr>
  </w:style>
  <w:style w:type="character" w:customStyle="1" w:styleId="171">
    <w:name w:val="Char Char"/>
    <w:qFormat/>
    <w:locked/>
    <w:uiPriority w:val="0"/>
    <w:rPr>
      <w:rFonts w:ascii="宋体" w:hAnsi="宋体" w:eastAsia="宋体"/>
      <w:kern w:val="2"/>
      <w:sz w:val="21"/>
      <w:szCs w:val="21"/>
      <w:lang w:val="en-US" w:eastAsia="zh-CN" w:bidi="ar-SA"/>
    </w:rPr>
  </w:style>
  <w:style w:type="character" w:customStyle="1" w:styleId="172">
    <w:name w:val="列表段落 字符"/>
    <w:link w:val="173"/>
    <w:qFormat/>
    <w:uiPriority w:val="34"/>
    <w:rPr>
      <w:rFonts w:eastAsia="宋体"/>
      <w:sz w:val="24"/>
      <w:szCs w:val="24"/>
      <w:lang w:val="en-AU" w:eastAsia="en-US" w:bidi="ar-SA"/>
    </w:rPr>
  </w:style>
  <w:style w:type="paragraph" w:styleId="173">
    <w:name w:val="List Paragraph"/>
    <w:basedOn w:val="1"/>
    <w:next w:val="1"/>
    <w:link w:val="172"/>
    <w:qFormat/>
    <w:uiPriority w:val="34"/>
    <w:pPr>
      <w:widowControl/>
      <w:ind w:firstLine="420" w:firstLineChars="200"/>
      <w:jc w:val="left"/>
    </w:pPr>
    <w:rPr>
      <w:kern w:val="0"/>
      <w:sz w:val="24"/>
      <w:szCs w:val="24"/>
      <w:lang w:val="en-AU" w:eastAsia="en-US"/>
    </w:rPr>
  </w:style>
  <w:style w:type="character" w:customStyle="1" w:styleId="174">
    <w:name w:val="标题 字符"/>
    <w:link w:val="78"/>
    <w:qFormat/>
    <w:uiPriority w:val="0"/>
    <w:rPr>
      <w:rFonts w:ascii="Cambria" w:hAnsi="Cambria"/>
      <w:b/>
      <w:bCs/>
      <w:kern w:val="0"/>
      <w:sz w:val="20"/>
      <w:szCs w:val="32"/>
    </w:rPr>
  </w:style>
  <w:style w:type="character" w:customStyle="1" w:styleId="175">
    <w:name w:val="页脚 字符"/>
    <w:link w:val="51"/>
    <w:qFormat/>
    <w:uiPriority w:val="99"/>
    <w:rPr>
      <w:rFonts w:eastAsia="宋体"/>
      <w:kern w:val="2"/>
      <w:sz w:val="18"/>
      <w:lang w:val="en-US" w:eastAsia="zh-CN" w:bidi="ar-SA"/>
    </w:rPr>
  </w:style>
  <w:style w:type="character" w:customStyle="1" w:styleId="176">
    <w:name w:val="hover3"/>
    <w:qFormat/>
    <w:uiPriority w:val="0"/>
    <w:rPr>
      <w:shd w:val="clear" w:color="auto" w:fill="EEEEEE"/>
    </w:rPr>
  </w:style>
  <w:style w:type="character" w:customStyle="1" w:styleId="177">
    <w:name w:val="old"/>
    <w:qFormat/>
    <w:uiPriority w:val="0"/>
    <w:rPr>
      <w:color w:val="999999"/>
    </w:rPr>
  </w:style>
  <w:style w:type="character" w:customStyle="1" w:styleId="178">
    <w:name w:val="日期 字符"/>
    <w:link w:val="46"/>
    <w:qFormat/>
    <w:uiPriority w:val="99"/>
    <w:rPr>
      <w:rFonts w:eastAsia="宋体"/>
      <w:kern w:val="2"/>
      <w:sz w:val="21"/>
      <w:szCs w:val="21"/>
      <w:lang w:val="en-US" w:eastAsia="zh-CN" w:bidi="ar-SA"/>
    </w:rPr>
  </w:style>
  <w:style w:type="character" w:customStyle="1" w:styleId="179">
    <w:name w:val="font101"/>
    <w:basedOn w:val="79"/>
    <w:qFormat/>
    <w:uiPriority w:val="0"/>
    <w:rPr>
      <w:rFonts w:hint="default" w:ascii="Arial" w:hAnsi="Arial" w:cs="Arial"/>
      <w:b/>
      <w:color w:val="000000"/>
      <w:sz w:val="18"/>
      <w:szCs w:val="18"/>
      <w:u w:val="none"/>
    </w:rPr>
  </w:style>
  <w:style w:type="character" w:customStyle="1" w:styleId="180">
    <w:name w:val="15"/>
    <w:qFormat/>
    <w:uiPriority w:val="0"/>
    <w:rPr>
      <w:rFonts w:hint="default" w:ascii="Times New Roman" w:hAnsi="Times New Roman" w:cs="Times New Roman"/>
      <w:color w:val="464445"/>
      <w:u w:val="none"/>
    </w:rPr>
  </w:style>
  <w:style w:type="character" w:customStyle="1" w:styleId="181">
    <w:name w:val="正文文本缩进 3 字符"/>
    <w:link w:val="67"/>
    <w:qFormat/>
    <w:uiPriority w:val="0"/>
    <w:rPr>
      <w:rFonts w:ascii="楷体_GB2312" w:hAnsi="Copperplate Gothic Bold" w:eastAsia="楷体_GB2312"/>
      <w:kern w:val="2"/>
      <w:sz w:val="32"/>
      <w:lang w:val="en-US" w:eastAsia="zh-CN" w:bidi="ar-SA"/>
    </w:rPr>
  </w:style>
  <w:style w:type="character" w:customStyle="1" w:styleId="182">
    <w:name w:val="正文文本缩进 字符"/>
    <w:link w:val="33"/>
    <w:qFormat/>
    <w:uiPriority w:val="0"/>
    <w:rPr>
      <w:rFonts w:eastAsia="楷体_GB2312"/>
      <w:kern w:val="2"/>
      <w:sz w:val="32"/>
      <w:lang w:val="en-US" w:eastAsia="zh-CN" w:bidi="ar-SA"/>
    </w:rPr>
  </w:style>
  <w:style w:type="character" w:customStyle="1" w:styleId="183">
    <w:name w:val="标题 4 字符"/>
    <w:link w:val="6"/>
    <w:qFormat/>
    <w:uiPriority w:val="0"/>
    <w:rPr>
      <w:rFonts w:ascii="Arial" w:hAnsi="Arial"/>
      <w:smallCaps/>
      <w:color w:val="000080"/>
      <w:sz w:val="28"/>
    </w:rPr>
  </w:style>
  <w:style w:type="character" w:customStyle="1" w:styleId="184">
    <w:name w:val="批注主题 字符"/>
    <w:link w:val="13"/>
    <w:qFormat/>
    <w:uiPriority w:val="0"/>
    <w:rPr>
      <w:rFonts w:eastAsia="宋体"/>
      <w:b/>
      <w:bCs/>
      <w:kern w:val="2"/>
      <w:sz w:val="21"/>
      <w:szCs w:val="21"/>
      <w:lang w:val="en-US" w:eastAsia="zh-CN" w:bidi="ar-SA"/>
    </w:rPr>
  </w:style>
  <w:style w:type="character" w:customStyle="1" w:styleId="185">
    <w:name w:val="button"/>
    <w:basedOn w:val="79"/>
    <w:qFormat/>
    <w:uiPriority w:val="0"/>
  </w:style>
  <w:style w:type="character" w:customStyle="1" w:styleId="186">
    <w:name w:val="glyphicon4"/>
    <w:basedOn w:val="79"/>
    <w:qFormat/>
    <w:uiPriority w:val="0"/>
  </w:style>
  <w:style w:type="character" w:customStyle="1" w:styleId="187">
    <w:name w:val="纯文本 字符"/>
    <w:link w:val="42"/>
    <w:qFormat/>
    <w:uiPriority w:val="0"/>
    <w:rPr>
      <w:rFonts w:ascii="宋体" w:hAnsi="Courier New" w:eastAsia="宋体" w:cs="Courier New"/>
      <w:kern w:val="2"/>
      <w:sz w:val="21"/>
      <w:szCs w:val="21"/>
      <w:lang w:val="en-US" w:eastAsia="zh-CN" w:bidi="ar-SA"/>
    </w:rPr>
  </w:style>
  <w:style w:type="character" w:customStyle="1" w:styleId="188">
    <w:name w:val="标题 5 字符"/>
    <w:link w:val="7"/>
    <w:qFormat/>
    <w:uiPriority w:val="0"/>
    <w:rPr>
      <w:rFonts w:ascii="Bookman Old Style" w:hAnsi="Bookman Old Style"/>
      <w:b/>
      <w:color w:val="800000"/>
      <w:sz w:val="24"/>
    </w:rPr>
  </w:style>
  <w:style w:type="character" w:customStyle="1" w:styleId="189">
    <w:name w:val="font81"/>
    <w:basedOn w:val="79"/>
    <w:qFormat/>
    <w:uiPriority w:val="0"/>
    <w:rPr>
      <w:rFonts w:ascii="宋体" w:hAnsi="宋体" w:eastAsia="宋体" w:cs="宋体"/>
      <w:color w:val="000000"/>
      <w:sz w:val="20"/>
      <w:szCs w:val="20"/>
      <w:u w:val="none"/>
    </w:rPr>
  </w:style>
  <w:style w:type="paragraph" w:customStyle="1" w:styleId="190">
    <w:name w:val="样式 标题 1h11st levelSec1H1app heading 1l1HuvudrubrikHead 1..."/>
    <w:basedOn w:val="3"/>
    <w:qFormat/>
    <w:uiPriority w:val="0"/>
    <w:pPr>
      <w:keepLines/>
      <w:spacing w:line="620" w:lineRule="exact"/>
      <w:ind w:firstLine="562" w:firstLineChars="200"/>
      <w:jc w:val="both"/>
    </w:pPr>
    <w:rPr>
      <w:rFonts w:ascii="宋体" w:hAnsi="宋体" w:eastAsia="宋体" w:cs="宋体"/>
      <w:b/>
      <w:bCs/>
    </w:rPr>
  </w:style>
  <w:style w:type="paragraph" w:customStyle="1" w:styleId="191">
    <w:name w:val="Char Char1 Char"/>
    <w:basedOn w:val="1"/>
    <w:qFormat/>
    <w:uiPriority w:val="0"/>
    <w:pPr>
      <w:widowControl/>
      <w:jc w:val="left"/>
    </w:pPr>
    <w:rPr>
      <w:rFonts w:ascii="仿宋_GB2312" w:hAnsi="Arial" w:eastAsia="仿宋_GB2312"/>
      <w:b/>
      <w:spacing w:val="-5"/>
      <w:kern w:val="0"/>
      <w:sz w:val="32"/>
      <w:szCs w:val="32"/>
    </w:rPr>
  </w:style>
  <w:style w:type="paragraph" w:customStyle="1" w:styleId="192">
    <w:name w:val="（空）多级符号 Char Char"/>
    <w:basedOn w:val="1"/>
    <w:qFormat/>
    <w:uiPriority w:val="0"/>
    <w:pPr>
      <w:adjustRightInd w:val="0"/>
      <w:snapToGrid w:val="0"/>
      <w:spacing w:line="360" w:lineRule="auto"/>
      <w:ind w:firstLine="540" w:firstLineChars="225"/>
    </w:pPr>
    <w:rPr>
      <w:rFonts w:ascii="宋体" w:hAnsi="宋体"/>
      <w:sz w:val="24"/>
      <w:szCs w:val="24"/>
    </w:rPr>
  </w:style>
  <w:style w:type="paragraph" w:customStyle="1" w:styleId="193">
    <w:name w:val="xl48"/>
    <w:basedOn w:val="1"/>
    <w:qFormat/>
    <w:uiPriority w:val="0"/>
    <w:pPr>
      <w:widowControl/>
      <w:pBdr>
        <w:bottom w:val="single" w:color="auto" w:sz="4" w:space="0"/>
      </w:pBdr>
      <w:spacing w:before="100" w:beforeAutospacing="1" w:after="100" w:afterAutospacing="1"/>
      <w:jc w:val="center"/>
    </w:pPr>
    <w:rPr>
      <w:rFonts w:eastAsia="Arial Unicode MS"/>
      <w:kern w:val="0"/>
      <w:sz w:val="24"/>
      <w:szCs w:val="20"/>
    </w:rPr>
  </w:style>
  <w:style w:type="paragraph" w:customStyle="1" w:styleId="194">
    <w:name w:val="Char Char1 Char Char Char Char Char Char"/>
    <w:basedOn w:val="1"/>
    <w:qFormat/>
    <w:uiPriority w:val="0"/>
    <w:pPr>
      <w:widowControl/>
      <w:spacing w:after="160" w:line="240" w:lineRule="exact"/>
      <w:jc w:val="center"/>
    </w:pPr>
    <w:rPr>
      <w:rFonts w:ascii="黑体" w:hAnsi="Verdana" w:eastAsia="黑体"/>
      <w:kern w:val="0"/>
      <w:sz w:val="36"/>
      <w:szCs w:val="36"/>
    </w:rPr>
  </w:style>
  <w:style w:type="paragraph" w:customStyle="1" w:styleId="19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196">
    <w:name w:val="Default"/>
    <w:link w:val="227"/>
    <w:qFormat/>
    <w:uiPriority w:val="0"/>
    <w:pPr>
      <w:widowControl w:val="0"/>
      <w:autoSpaceDE w:val="0"/>
      <w:autoSpaceDN w:val="0"/>
      <w:adjustRightInd w:val="0"/>
    </w:pPr>
    <w:rPr>
      <w:rFonts w:ascii="Times New Roman" w:hAnsi="Times New Roman" w:eastAsia="宋体" w:cs="Times New Roman"/>
      <w:lang w:val="en-US" w:eastAsia="zh-CN" w:bidi="ar-SA"/>
    </w:rPr>
  </w:style>
  <w:style w:type="paragraph" w:customStyle="1" w:styleId="197">
    <w:name w:val="元正正文标题2"/>
    <w:basedOn w:val="6"/>
    <w:qFormat/>
    <w:uiPriority w:val="0"/>
    <w:pPr>
      <w:keepNext w:val="0"/>
      <w:widowControl w:val="0"/>
      <w:numPr>
        <w:numId w:val="0"/>
      </w:numPr>
      <w:adjustRightInd w:val="0"/>
      <w:snapToGrid w:val="0"/>
      <w:spacing w:after="0" w:afterLines="0"/>
      <w:jc w:val="center"/>
      <w:outlineLvl w:val="9"/>
    </w:pPr>
    <w:rPr>
      <w:rFonts w:ascii="Times New Roman" w:hAnsi="Times New Roman"/>
      <w:b/>
      <w:smallCaps w:val="0"/>
      <w:color w:val="auto"/>
      <w:kern w:val="2"/>
      <w:szCs w:val="28"/>
    </w:rPr>
  </w:style>
  <w:style w:type="paragraph" w:customStyle="1" w:styleId="198">
    <w:name w:val="样式 标题 1 + 宋体 小二 居中 段前: 15.6 磅 段后: 23.4 磅 行距: 单倍行距"/>
    <w:basedOn w:val="3"/>
    <w:qFormat/>
    <w:uiPriority w:val="0"/>
    <w:rPr>
      <w:rFonts w:ascii="宋体" w:hAnsi="宋体" w:cs="宋体"/>
      <w:sz w:val="36"/>
    </w:rPr>
  </w:style>
  <w:style w:type="paragraph" w:customStyle="1" w:styleId="199">
    <w:name w:val="Char"/>
    <w:basedOn w:val="1"/>
    <w:qFormat/>
    <w:uiPriority w:val="0"/>
    <w:pPr>
      <w:adjustRightInd w:val="0"/>
      <w:spacing w:line="360" w:lineRule="auto"/>
    </w:pPr>
    <w:rPr>
      <w:kern w:val="0"/>
      <w:sz w:val="24"/>
      <w:szCs w:val="20"/>
    </w:rPr>
  </w:style>
  <w:style w:type="paragraph" w:customStyle="1" w:styleId="200">
    <w:name w:val="_Style 371"/>
    <w:basedOn w:val="1"/>
    <w:qFormat/>
    <w:uiPriority w:val="0"/>
    <w:pPr>
      <w:widowControl/>
      <w:spacing w:after="160" w:line="240" w:lineRule="exact"/>
      <w:jc w:val="left"/>
    </w:pPr>
    <w:rPr>
      <w:sz w:val="28"/>
      <w:szCs w:val="20"/>
    </w:rPr>
  </w:style>
  <w:style w:type="paragraph" w:customStyle="1" w:styleId="201">
    <w:name w:val="1.1 多级符号 Char Char"/>
    <w:basedOn w:val="1"/>
    <w:qFormat/>
    <w:uiPriority w:val="0"/>
    <w:pPr>
      <w:tabs>
        <w:tab w:val="left" w:pos="1440"/>
      </w:tabs>
      <w:spacing w:beforeLines="50" w:line="480" w:lineRule="auto"/>
      <w:outlineLvl w:val="1"/>
    </w:pPr>
    <w:rPr>
      <w:rFonts w:ascii="宋体" w:hAnsi="宋体"/>
      <w:b/>
      <w:sz w:val="28"/>
      <w:szCs w:val="28"/>
    </w:rPr>
  </w:style>
  <w:style w:type="paragraph" w:customStyle="1" w:styleId="202">
    <w:name w:val="_Style 37"/>
    <w:basedOn w:val="1"/>
    <w:qFormat/>
    <w:uiPriority w:val="0"/>
    <w:pPr>
      <w:widowControl/>
      <w:spacing w:after="160" w:line="240" w:lineRule="exact"/>
      <w:jc w:val="left"/>
    </w:pPr>
    <w:rPr>
      <w:sz w:val="28"/>
      <w:szCs w:val="20"/>
    </w:rPr>
  </w:style>
  <w:style w:type="paragraph" w:customStyle="1" w:styleId="20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4">
    <w:name w:val="1"/>
    <w:basedOn w:val="1"/>
    <w:next w:val="42"/>
    <w:qFormat/>
    <w:uiPriority w:val="0"/>
    <w:rPr>
      <w:rFonts w:ascii="宋体" w:hAnsi="Courier New"/>
      <w:szCs w:val="20"/>
    </w:rPr>
  </w:style>
  <w:style w:type="paragraph" w:customStyle="1" w:styleId="205">
    <w:name w:val="样式 首行缩进:  0 字符"/>
    <w:basedOn w:val="1"/>
    <w:link w:val="585"/>
    <w:qFormat/>
    <w:uiPriority w:val="0"/>
  </w:style>
  <w:style w:type="paragraph" w:customStyle="1" w:styleId="206">
    <w:name w:val="p0"/>
    <w:basedOn w:val="1"/>
    <w:qFormat/>
    <w:uiPriority w:val="0"/>
  </w:style>
  <w:style w:type="paragraph" w:customStyle="1" w:styleId="207">
    <w:name w:val="cr3"/>
    <w:basedOn w:val="5"/>
    <w:next w:val="1"/>
    <w:qFormat/>
    <w:uiPriority w:val="0"/>
    <w:pPr>
      <w:keepLines/>
      <w:widowControl w:val="0"/>
      <w:pBdr>
        <w:top w:val="none" w:color="auto" w:sz="0" w:space="0"/>
      </w:pBdr>
      <w:spacing w:after="0" w:afterLines="0" w:line="390" w:lineRule="atLeast"/>
      <w:jc w:val="both"/>
    </w:pPr>
    <w:rPr>
      <w:rFonts w:ascii="宋体" w:hAnsi="宋体"/>
      <w:b/>
      <w:bCs/>
      <w:kern w:val="2"/>
      <w:sz w:val="21"/>
      <w:szCs w:val="21"/>
    </w:rPr>
  </w:style>
  <w:style w:type="paragraph" w:customStyle="1" w:styleId="208">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sz w:val="28"/>
      <w:szCs w:val="20"/>
    </w:rPr>
  </w:style>
  <w:style w:type="paragraph" w:customStyle="1" w:styleId="209">
    <w:name w:val="Char Char Char Char Char Char Char Char Char Char Char Char1 Char"/>
    <w:basedOn w:val="1"/>
    <w:qFormat/>
    <w:uiPriority w:val="0"/>
    <w:pPr>
      <w:snapToGrid w:val="0"/>
      <w:spacing w:line="360" w:lineRule="auto"/>
      <w:ind w:firstLine="200" w:firstLineChars="200"/>
    </w:pPr>
    <w:rPr>
      <w:rFonts w:eastAsia="仿宋_GB2312"/>
      <w:sz w:val="24"/>
      <w:szCs w:val="24"/>
    </w:rPr>
  </w:style>
  <w:style w:type="paragraph" w:customStyle="1" w:styleId="210">
    <w:name w:val="Text"/>
    <w:basedOn w:val="1"/>
    <w:qFormat/>
    <w:uiPriority w:val="0"/>
    <w:pPr>
      <w:widowControl/>
      <w:jc w:val="left"/>
    </w:pPr>
    <w:rPr>
      <w:rFonts w:ascii="Arial" w:hAnsi="Arial" w:cs="Courier New"/>
      <w:kern w:val="0"/>
    </w:rPr>
  </w:style>
  <w:style w:type="paragraph" w:customStyle="1" w:styleId="211">
    <w:name w:val="样式 标题 1h11st levelSec1H1app heading 1l1HuvudrubrikHead 1...1"/>
    <w:basedOn w:val="3"/>
    <w:qFormat/>
    <w:uiPriority w:val="0"/>
    <w:pPr>
      <w:keepLines/>
      <w:spacing w:line="600" w:lineRule="exact"/>
    </w:pPr>
    <w:rPr>
      <w:rFonts w:ascii="宋体" w:hAnsi="宋体" w:eastAsia="宋体" w:cs="宋体"/>
      <w:b/>
      <w:bCs/>
      <w:sz w:val="44"/>
    </w:rPr>
  </w:style>
  <w:style w:type="paragraph" w:customStyle="1" w:styleId="212">
    <w:name w:val="List Paragraph1"/>
    <w:basedOn w:val="1"/>
    <w:qFormat/>
    <w:uiPriority w:val="0"/>
    <w:pPr>
      <w:spacing w:line="240" w:lineRule="atLeast"/>
      <w:ind w:firstLine="420" w:firstLineChars="200"/>
    </w:pPr>
    <w:rPr>
      <w:szCs w:val="24"/>
    </w:rPr>
  </w:style>
  <w:style w:type="paragraph" w:customStyle="1" w:styleId="213">
    <w:name w:val="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4">
    <w:name w:val="yiv2047259363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15">
    <w:name w:val="Char Char1 Char Char Char Char Char Char1"/>
    <w:basedOn w:val="1"/>
    <w:qFormat/>
    <w:uiPriority w:val="0"/>
    <w:pPr>
      <w:widowControl/>
      <w:spacing w:after="160" w:line="240" w:lineRule="exact"/>
      <w:jc w:val="center"/>
    </w:pPr>
    <w:rPr>
      <w:rFonts w:ascii="黑体" w:hAnsi="Verdana" w:eastAsia="黑体"/>
      <w:kern w:val="0"/>
      <w:sz w:val="36"/>
      <w:szCs w:val="36"/>
    </w:rPr>
  </w:style>
  <w:style w:type="paragraph" w:customStyle="1" w:styleId="216">
    <w:name w:val="Default Paragraph Char Char Char Char"/>
    <w:basedOn w:val="1"/>
    <w:next w:val="1"/>
    <w:qFormat/>
    <w:uiPriority w:val="0"/>
    <w:pPr>
      <w:widowControl/>
      <w:spacing w:line="360" w:lineRule="auto"/>
      <w:jc w:val="left"/>
    </w:pPr>
    <w:rPr>
      <w:kern w:val="0"/>
      <w:szCs w:val="20"/>
      <w:lang w:eastAsia="en-US"/>
    </w:rPr>
  </w:style>
  <w:style w:type="paragraph" w:customStyle="1" w:styleId="217">
    <w:name w:val="title11"/>
    <w:basedOn w:val="1"/>
    <w:qFormat/>
    <w:uiPriority w:val="0"/>
    <w:pPr>
      <w:spacing w:before="150" w:line="450" w:lineRule="atLeast"/>
      <w:jc w:val="left"/>
    </w:pPr>
    <w:rPr>
      <w:b/>
      <w:kern w:val="0"/>
      <w:sz w:val="24"/>
      <w:szCs w:val="24"/>
    </w:rPr>
  </w:style>
  <w:style w:type="paragraph" w:customStyle="1" w:styleId="218">
    <w:name w:val="表格文字"/>
    <w:basedOn w:val="1"/>
    <w:qFormat/>
    <w:uiPriority w:val="0"/>
    <w:pPr>
      <w:spacing w:before="25" w:after="25"/>
      <w:jc w:val="left"/>
    </w:pPr>
    <w:rPr>
      <w:bCs/>
      <w:spacing w:val="10"/>
      <w:kern w:val="0"/>
      <w:sz w:val="24"/>
      <w:szCs w:val="20"/>
    </w:rPr>
  </w:style>
  <w:style w:type="character" w:customStyle="1" w:styleId="219">
    <w:name w:val="标题 1 字符1"/>
    <w:basedOn w:val="79"/>
    <w:qFormat/>
    <w:uiPriority w:val="0"/>
    <w:rPr>
      <w:rFonts w:ascii="Arial" w:hAnsi="Arial" w:eastAsia="黑体" w:cs="宋体"/>
      <w:bCs/>
      <w:kern w:val="0"/>
      <w:sz w:val="44"/>
      <w:szCs w:val="44"/>
    </w:rPr>
  </w:style>
  <w:style w:type="paragraph" w:customStyle="1" w:styleId="220">
    <w:name w:val="编号，小四"/>
    <w:basedOn w:val="1"/>
    <w:link w:val="243"/>
    <w:qFormat/>
    <w:uiPriority w:val="0"/>
    <w:pPr>
      <w:spacing w:line="360" w:lineRule="auto"/>
    </w:pPr>
    <w:rPr>
      <w:rFonts w:ascii="Arial" w:hAnsi="Arial" w:cs="宋体"/>
      <w:sz w:val="24"/>
      <w:szCs w:val="20"/>
    </w:rPr>
  </w:style>
  <w:style w:type="character" w:customStyle="1" w:styleId="221">
    <w:name w:val="文档结构图 字符"/>
    <w:basedOn w:val="79"/>
    <w:link w:val="27"/>
    <w:semiHidden/>
    <w:qFormat/>
    <w:uiPriority w:val="0"/>
    <w:rPr>
      <w:kern w:val="2"/>
      <w:sz w:val="21"/>
      <w:shd w:val="clear" w:color="auto" w:fill="000080"/>
    </w:rPr>
  </w:style>
  <w:style w:type="paragraph" w:customStyle="1" w:styleId="222">
    <w:name w:val="样式 标题 7 +"/>
    <w:basedOn w:val="9"/>
    <w:qFormat/>
    <w:uiPriority w:val="0"/>
    <w:pPr>
      <w:keepNext/>
      <w:keepLines/>
      <w:widowControl w:val="0"/>
      <w:spacing w:after="64" w:afterLines="0" w:line="360" w:lineRule="auto"/>
      <w:ind w:left="0" w:firstLine="0"/>
      <w:jc w:val="center"/>
    </w:pPr>
    <w:rPr>
      <w:rFonts w:ascii="Arial" w:hAnsi="Arial" w:cs="宋体"/>
      <w:bCs/>
      <w:i w:val="0"/>
      <w:kern w:val="2"/>
      <w:sz w:val="24"/>
      <w:szCs w:val="24"/>
      <w:lang w:eastAsia="en-US"/>
    </w:rPr>
  </w:style>
  <w:style w:type="character" w:customStyle="1" w:styleId="223">
    <w:name w:val="正文文本 字符"/>
    <w:basedOn w:val="79"/>
    <w:link w:val="2"/>
    <w:qFormat/>
    <w:uiPriority w:val="0"/>
    <w:rPr>
      <w:rFonts w:ascii="Copperplate Gothic Bold" w:hAnsi="Copperplate Gothic Bold"/>
      <w:kern w:val="2"/>
      <w:sz w:val="28"/>
    </w:rPr>
  </w:style>
  <w:style w:type="paragraph" w:customStyle="1" w:styleId="224">
    <w:name w:val="表格表头"/>
    <w:basedOn w:val="1"/>
    <w:qFormat/>
    <w:uiPriority w:val="0"/>
    <w:pPr>
      <w:spacing w:line="360" w:lineRule="auto"/>
      <w:jc w:val="center"/>
      <w:outlineLvl w:val="0"/>
    </w:pPr>
    <w:rPr>
      <w:rFonts w:ascii="宋体" w:hAnsi="宋体" w:eastAsia="黑体" w:cs="宋体"/>
      <w:sz w:val="24"/>
    </w:rPr>
  </w:style>
  <w:style w:type="paragraph" w:customStyle="1" w:styleId="225">
    <w:name w:val="表格正文"/>
    <w:basedOn w:val="1"/>
    <w:link w:val="554"/>
    <w:qFormat/>
    <w:uiPriority w:val="0"/>
    <w:pPr>
      <w:spacing w:line="360" w:lineRule="auto"/>
      <w:jc w:val="left"/>
    </w:pPr>
    <w:rPr>
      <w:rFonts w:ascii="Arial" w:hAnsi="Arial" w:cs="宋体"/>
      <w:szCs w:val="20"/>
    </w:rPr>
  </w:style>
  <w:style w:type="paragraph" w:customStyle="1" w:styleId="226">
    <w:name w:val="表1"/>
    <w:basedOn w:val="1"/>
    <w:qFormat/>
    <w:uiPriority w:val="0"/>
    <w:pPr>
      <w:numPr>
        <w:ilvl w:val="0"/>
        <w:numId w:val="9"/>
      </w:numPr>
      <w:spacing w:line="360" w:lineRule="auto"/>
      <w:ind w:left="0" w:firstLine="0"/>
      <w:jc w:val="center"/>
    </w:pPr>
    <w:rPr>
      <w:rFonts w:ascii="Arial" w:hAnsi="Arial" w:cs="宋体"/>
      <w:szCs w:val="20"/>
    </w:rPr>
  </w:style>
  <w:style w:type="character" w:customStyle="1" w:styleId="227">
    <w:name w:val="Default Char"/>
    <w:link w:val="196"/>
    <w:qFormat/>
    <w:uiPriority w:val="0"/>
  </w:style>
  <w:style w:type="paragraph" w:customStyle="1" w:styleId="228">
    <w:name w:val="CM51"/>
    <w:basedOn w:val="196"/>
    <w:next w:val="196"/>
    <w:qFormat/>
    <w:uiPriority w:val="0"/>
  </w:style>
  <w:style w:type="paragraph" w:customStyle="1" w:styleId="229">
    <w:name w:val="标题6"/>
    <w:basedOn w:val="8"/>
    <w:next w:val="1"/>
    <w:qFormat/>
    <w:uiPriority w:val="0"/>
    <w:pPr>
      <w:keepNext/>
      <w:keepLines/>
      <w:widowControl w:val="0"/>
      <w:spacing w:before="240" w:after="64" w:afterLines="0" w:line="320" w:lineRule="auto"/>
      <w:ind w:left="0" w:firstLine="0"/>
      <w:jc w:val="both"/>
    </w:pPr>
    <w:rPr>
      <w:rFonts w:ascii="Arial" w:hAnsi="Arial" w:eastAsia="黑体" w:cs="宋体"/>
      <w:b/>
      <w:bCs/>
      <w:color w:val="auto"/>
      <w:kern w:val="2"/>
    </w:rPr>
  </w:style>
  <w:style w:type="paragraph" w:customStyle="1" w:styleId="230">
    <w:name w:val="标题7"/>
    <w:basedOn w:val="9"/>
    <w:next w:val="1"/>
    <w:qFormat/>
    <w:uiPriority w:val="0"/>
    <w:pPr>
      <w:keepNext/>
      <w:keepLines/>
      <w:widowControl w:val="0"/>
      <w:numPr>
        <w:numId w:val="10"/>
      </w:numPr>
      <w:spacing w:before="50" w:beforeLines="50" w:after="50" w:line="360" w:lineRule="auto"/>
    </w:pPr>
    <w:rPr>
      <w:rFonts w:ascii="Arial" w:hAnsi="Arial" w:eastAsia="黑体" w:cs="宋体"/>
      <w:bCs/>
      <w:i w:val="0"/>
      <w:kern w:val="2"/>
      <w:sz w:val="24"/>
    </w:rPr>
  </w:style>
  <w:style w:type="paragraph" w:customStyle="1" w:styleId="231">
    <w:name w:val="标题8"/>
    <w:basedOn w:val="10"/>
    <w:next w:val="1"/>
    <w:qFormat/>
    <w:uiPriority w:val="0"/>
    <w:pPr>
      <w:keepNext/>
      <w:keepLines/>
      <w:widowControl w:val="0"/>
      <w:numPr>
        <w:numId w:val="11"/>
      </w:numPr>
      <w:spacing w:before="50" w:beforeLines="50" w:after="50" w:line="360" w:lineRule="auto"/>
    </w:pPr>
    <w:rPr>
      <w:rFonts w:ascii="Arial" w:hAnsi="Arial" w:eastAsia="黑体"/>
      <w:b w:val="0"/>
      <w:i w:val="0"/>
      <w:kern w:val="2"/>
      <w:sz w:val="21"/>
    </w:rPr>
  </w:style>
  <w:style w:type="paragraph" w:customStyle="1" w:styleId="232">
    <w:name w:val="标题9"/>
    <w:basedOn w:val="11"/>
    <w:next w:val="1"/>
    <w:qFormat/>
    <w:uiPriority w:val="0"/>
    <w:pPr>
      <w:keepNext/>
      <w:keepLines/>
      <w:widowControl w:val="0"/>
      <w:spacing w:before="240" w:after="64" w:afterLines="0" w:line="320" w:lineRule="auto"/>
      <w:ind w:left="0" w:firstLine="0"/>
      <w:jc w:val="both"/>
    </w:pPr>
    <w:rPr>
      <w:rFonts w:ascii="Cambria" w:hAnsi="Cambria"/>
      <w:i w:val="0"/>
      <w:kern w:val="2"/>
      <w:sz w:val="21"/>
      <w:szCs w:val="21"/>
      <w:lang w:eastAsia="en-US"/>
    </w:rPr>
  </w:style>
  <w:style w:type="paragraph" w:customStyle="1" w:styleId="233">
    <w:name w:val="正文黑体"/>
    <w:basedOn w:val="205"/>
    <w:qFormat/>
    <w:uiPriority w:val="0"/>
    <w:pPr>
      <w:spacing w:line="360" w:lineRule="auto"/>
      <w:ind w:firstLine="480" w:firstLineChars="200"/>
    </w:pPr>
    <w:rPr>
      <w:rFonts w:ascii="黑体" w:hAnsi="黑体" w:eastAsia="黑体" w:cs="宋体"/>
      <w:sz w:val="24"/>
      <w:szCs w:val="20"/>
    </w:rPr>
  </w:style>
  <w:style w:type="paragraph" w:customStyle="1" w:styleId="234">
    <w:name w:val="样式 标题6 + 左"/>
    <w:basedOn w:val="229"/>
    <w:qFormat/>
    <w:uiPriority w:val="0"/>
    <w:pPr>
      <w:spacing w:line="319" w:lineRule="auto"/>
      <w:jc w:val="left"/>
    </w:pPr>
  </w:style>
  <w:style w:type="paragraph" w:customStyle="1" w:styleId="235">
    <w:name w:val="样式 标题 8 + 左"/>
    <w:basedOn w:val="10"/>
    <w:qFormat/>
    <w:uiPriority w:val="0"/>
    <w:pPr>
      <w:keepNext/>
      <w:keepLines/>
      <w:widowControl w:val="0"/>
      <w:spacing w:before="240" w:after="64" w:afterLines="0" w:line="319" w:lineRule="auto"/>
      <w:ind w:left="0" w:firstLine="0"/>
    </w:pPr>
    <w:rPr>
      <w:rFonts w:ascii="Cambria" w:hAnsi="Cambria" w:cs="宋体"/>
      <w:b w:val="0"/>
      <w:i w:val="0"/>
      <w:kern w:val="2"/>
      <w:sz w:val="24"/>
      <w:lang w:eastAsia="en-US"/>
    </w:rPr>
  </w:style>
  <w:style w:type="paragraph" w:customStyle="1" w:styleId="236">
    <w:name w:val="样式 标题8 + 段前: 0.5 行 段后: 0.5 行"/>
    <w:basedOn w:val="231"/>
    <w:next w:val="1"/>
    <w:qFormat/>
    <w:uiPriority w:val="0"/>
    <w:pPr>
      <w:ind w:left="0" w:firstLine="0"/>
    </w:pPr>
    <w:rPr>
      <w:rFonts w:cs="宋体"/>
    </w:rPr>
  </w:style>
  <w:style w:type="paragraph" w:customStyle="1" w:styleId="237">
    <w:name w:val="样式 标题 8 +"/>
    <w:basedOn w:val="10"/>
    <w:qFormat/>
    <w:uiPriority w:val="0"/>
    <w:pPr>
      <w:keepNext/>
      <w:keepLines/>
      <w:widowControl w:val="0"/>
      <w:spacing w:before="240" w:after="64" w:afterLines="0" w:line="319" w:lineRule="auto"/>
      <w:ind w:left="0" w:firstLine="0"/>
    </w:pPr>
    <w:rPr>
      <w:rFonts w:ascii="Cambria" w:hAnsi="Cambria"/>
      <w:b w:val="0"/>
      <w:i w:val="0"/>
      <w:kern w:val="2"/>
      <w:sz w:val="24"/>
      <w:szCs w:val="24"/>
      <w:lang w:eastAsia="en-US"/>
    </w:rPr>
  </w:style>
  <w:style w:type="paragraph" w:customStyle="1" w:styleId="238">
    <w:name w:val="样式 标题 9 +"/>
    <w:basedOn w:val="232"/>
    <w:qFormat/>
    <w:uiPriority w:val="0"/>
  </w:style>
  <w:style w:type="paragraph" w:customStyle="1" w:styleId="239">
    <w:name w:val="标准正文"/>
    <w:basedOn w:val="1"/>
    <w:link w:val="249"/>
    <w:qFormat/>
    <w:uiPriority w:val="0"/>
    <w:pPr>
      <w:spacing w:before="156" w:after="156" w:line="360" w:lineRule="auto"/>
      <w:ind w:firstLine="480" w:firstLineChars="200"/>
    </w:pPr>
    <w:rPr>
      <w:rFonts w:cs="宋体"/>
      <w:sz w:val="24"/>
      <w:szCs w:val="20"/>
    </w:rPr>
  </w:style>
  <w:style w:type="paragraph" w:customStyle="1" w:styleId="240">
    <w:name w:val="TOC 标题1"/>
    <w:basedOn w:val="3"/>
    <w:next w:val="1"/>
    <w:unhideWhenUsed/>
    <w:qFormat/>
    <w:uiPriority w:val="39"/>
    <w:pPr>
      <w:keepLines/>
      <w:widowControl/>
      <w:tabs>
        <w:tab w:val="center" w:pos="0"/>
        <w:tab w:val="left" w:pos="3402"/>
        <w:tab w:val="left" w:pos="3828"/>
      </w:tabs>
      <w:spacing w:before="480" w:line="276" w:lineRule="auto"/>
      <w:outlineLvl w:val="9"/>
    </w:pPr>
    <w:rPr>
      <w:rFonts w:ascii="Cambria" w:hAnsi="Cambria" w:eastAsia="宋体"/>
      <w:bCs/>
      <w:color w:val="365F91"/>
      <w:kern w:val="0"/>
      <w:szCs w:val="28"/>
    </w:rPr>
  </w:style>
  <w:style w:type="paragraph" w:customStyle="1" w:styleId="241">
    <w:name w:val="编号，四号"/>
    <w:basedOn w:val="220"/>
    <w:qFormat/>
    <w:uiPriority w:val="0"/>
    <w:pPr>
      <w:numPr>
        <w:ilvl w:val="0"/>
        <w:numId w:val="12"/>
      </w:numPr>
      <w:tabs>
        <w:tab w:val="left" w:pos="420"/>
      </w:tabs>
      <w:ind w:left="420"/>
    </w:pPr>
    <w:rPr>
      <w:rFonts w:ascii="Verdana" w:hAnsi="Verdana"/>
      <w:sz w:val="28"/>
    </w:rPr>
  </w:style>
  <w:style w:type="character" w:customStyle="1" w:styleId="242">
    <w:name w:val="题注 字符"/>
    <w:link w:val="23"/>
    <w:qFormat/>
    <w:uiPriority w:val="0"/>
    <w:rPr>
      <w:rFonts w:ascii="Arial Unicode MS" w:hAnsi="Arial Unicode MS"/>
      <w:kern w:val="2"/>
      <w:sz w:val="21"/>
      <w:szCs w:val="21"/>
    </w:rPr>
  </w:style>
  <w:style w:type="character" w:customStyle="1" w:styleId="243">
    <w:name w:val="编号，小四 Char"/>
    <w:link w:val="220"/>
    <w:qFormat/>
    <w:uiPriority w:val="0"/>
    <w:rPr>
      <w:rFonts w:ascii="Arial" w:hAnsi="Arial" w:cs="宋体"/>
      <w:kern w:val="2"/>
      <w:sz w:val="24"/>
    </w:rPr>
  </w:style>
  <w:style w:type="paragraph" w:customStyle="1" w:styleId="244">
    <w:name w:val="样式 标题 5 + 段前: 0.5 行"/>
    <w:basedOn w:val="7"/>
    <w:qFormat/>
    <w:uiPriority w:val="0"/>
    <w:pPr>
      <w:keepNext/>
      <w:keepLines/>
      <w:widowControl w:val="0"/>
      <w:numPr>
        <w:ilvl w:val="0"/>
        <w:numId w:val="0"/>
      </w:numPr>
      <w:snapToGrid w:val="0"/>
      <w:spacing w:before="163" w:beforeLines="50" w:after="0" w:afterLines="0" w:line="360" w:lineRule="auto"/>
      <w:ind w:left="1680" w:hanging="420"/>
    </w:pPr>
    <w:rPr>
      <w:rFonts w:ascii="Arial" w:hAnsi="Arial" w:eastAsia="黑体" w:cs="宋体"/>
      <w:b w:val="0"/>
      <w:color w:val="auto"/>
      <w:kern w:val="2"/>
      <w:sz w:val="28"/>
    </w:rPr>
  </w:style>
  <w:style w:type="paragraph" w:customStyle="1" w:styleId="245">
    <w:name w:val="样式 首行缩进:  0.74 厘米"/>
    <w:basedOn w:val="1"/>
    <w:qFormat/>
    <w:uiPriority w:val="0"/>
    <w:pPr>
      <w:spacing w:line="360" w:lineRule="auto"/>
      <w:ind w:firstLine="200" w:firstLineChars="200"/>
    </w:pPr>
    <w:rPr>
      <w:rFonts w:eastAsia="仿宋" w:cs="宋体"/>
      <w:sz w:val="24"/>
      <w:szCs w:val="20"/>
    </w:rPr>
  </w:style>
  <w:style w:type="paragraph" w:customStyle="1" w:styleId="246">
    <w:name w:val="GP正文(首行缩进)"/>
    <w:basedOn w:val="1"/>
    <w:link w:val="636"/>
    <w:qFormat/>
    <w:uiPriority w:val="0"/>
    <w:pPr>
      <w:spacing w:line="440" w:lineRule="exact"/>
      <w:ind w:firstLine="200" w:firstLineChars="200"/>
      <w:jc w:val="left"/>
    </w:pPr>
    <w:rPr>
      <w:sz w:val="24"/>
    </w:rPr>
  </w:style>
  <w:style w:type="paragraph" w:styleId="247">
    <w:name w:val="No Spacing"/>
    <w:link w:val="248"/>
    <w:qFormat/>
    <w:uiPriority w:val="1"/>
    <w:rPr>
      <w:rFonts w:ascii="Times New Roman" w:hAnsi="Times New Roman" w:eastAsia="宋体" w:cs="Times New Roman"/>
      <w:lang w:val="en-US" w:eastAsia="zh-CN" w:bidi="ar-SA"/>
    </w:rPr>
  </w:style>
  <w:style w:type="character" w:customStyle="1" w:styleId="248">
    <w:name w:val="无间隔 字符"/>
    <w:link w:val="247"/>
    <w:qFormat/>
    <w:uiPriority w:val="1"/>
  </w:style>
  <w:style w:type="character" w:customStyle="1" w:styleId="249">
    <w:name w:val="标准正文 Char"/>
    <w:link w:val="239"/>
    <w:qFormat/>
    <w:uiPriority w:val="0"/>
    <w:rPr>
      <w:rFonts w:cs="宋体"/>
      <w:kern w:val="2"/>
      <w:sz w:val="24"/>
    </w:rPr>
  </w:style>
  <w:style w:type="paragraph" w:customStyle="1" w:styleId="250">
    <w:name w:val="内容文本"/>
    <w:basedOn w:val="173"/>
    <w:link w:val="251"/>
    <w:qFormat/>
    <w:uiPriority w:val="0"/>
    <w:pPr>
      <w:widowControl w:val="0"/>
      <w:spacing w:line="360" w:lineRule="auto"/>
      <w:ind w:firstLine="200"/>
      <w:contextualSpacing/>
    </w:pPr>
    <w:rPr>
      <w:rFonts w:ascii="宋体" w:hAnsi="宋体"/>
      <w:lang w:val="zh-CN" w:bidi="en-US"/>
    </w:rPr>
  </w:style>
  <w:style w:type="character" w:customStyle="1" w:styleId="251">
    <w:name w:val="内容文本 Char"/>
    <w:link w:val="250"/>
    <w:qFormat/>
    <w:uiPriority w:val="0"/>
    <w:rPr>
      <w:rFonts w:ascii="宋体" w:hAnsi="宋体"/>
      <w:sz w:val="24"/>
      <w:szCs w:val="24"/>
      <w:lang w:val="zh-CN" w:eastAsia="en-US" w:bidi="en-US"/>
    </w:rPr>
  </w:style>
  <w:style w:type="character" w:customStyle="1" w:styleId="252">
    <w:name w:val="正文文本首行缩进 字符"/>
    <w:basedOn w:val="223"/>
    <w:link w:val="16"/>
    <w:qFormat/>
    <w:uiPriority w:val="0"/>
    <w:rPr>
      <w:rFonts w:ascii="Copperplate Gothic Bold" w:hAnsi="Copperplate Gothic Bold"/>
      <w:kern w:val="2"/>
      <w:sz w:val="18"/>
      <w:szCs w:val="18"/>
    </w:rPr>
  </w:style>
  <w:style w:type="paragraph" w:customStyle="1" w:styleId="253">
    <w:name w:val="正文四号"/>
    <w:basedOn w:val="1"/>
    <w:link w:val="257"/>
    <w:qFormat/>
    <w:uiPriority w:val="0"/>
    <w:pPr>
      <w:spacing w:line="360" w:lineRule="auto"/>
      <w:ind w:firstLine="200" w:firstLineChars="200"/>
    </w:pPr>
    <w:rPr>
      <w:rFonts w:ascii="Verdana" w:hAnsi="Verdana" w:cs="宋体"/>
      <w:sz w:val="28"/>
      <w:szCs w:val="20"/>
    </w:rPr>
  </w:style>
  <w:style w:type="paragraph" w:customStyle="1" w:styleId="254">
    <w:name w:val="*正文"/>
    <w:basedOn w:val="1"/>
    <w:link w:val="255"/>
    <w:qFormat/>
    <w:uiPriority w:val="0"/>
    <w:pPr>
      <w:spacing w:line="360" w:lineRule="auto"/>
      <w:ind w:firstLine="200" w:firstLineChars="200"/>
    </w:pPr>
    <w:rPr>
      <w:rFonts w:ascii="宋体" w:hAnsi="宋体"/>
      <w:sz w:val="22"/>
      <w:szCs w:val="24"/>
    </w:rPr>
  </w:style>
  <w:style w:type="character" w:customStyle="1" w:styleId="255">
    <w:name w:val="*正文 Char"/>
    <w:link w:val="254"/>
    <w:qFormat/>
    <w:uiPriority w:val="0"/>
    <w:rPr>
      <w:rFonts w:ascii="宋体" w:hAnsi="宋体"/>
      <w:kern w:val="2"/>
      <w:sz w:val="22"/>
      <w:szCs w:val="24"/>
      <w:lang w:eastAsia="zh-CN"/>
    </w:rPr>
  </w:style>
  <w:style w:type="paragraph" w:customStyle="1" w:styleId="256">
    <w:name w:val="正文缩进1"/>
    <w:basedOn w:val="1"/>
    <w:link w:val="621"/>
    <w:qFormat/>
    <w:uiPriority w:val="0"/>
    <w:pPr>
      <w:spacing w:before="156" w:beforeLines="50" w:after="156" w:afterLines="50" w:line="300" w:lineRule="auto"/>
      <w:ind w:firstLine="480" w:firstLineChars="200"/>
    </w:pPr>
    <w:rPr>
      <w:rFonts w:eastAsia="仿宋_GB2312"/>
      <w:kern w:val="0"/>
      <w:sz w:val="24"/>
      <w:szCs w:val="24"/>
      <w:lang w:val="zh-CN"/>
    </w:rPr>
  </w:style>
  <w:style w:type="character" w:customStyle="1" w:styleId="257">
    <w:name w:val="正文四号 Char"/>
    <w:link w:val="253"/>
    <w:qFormat/>
    <w:uiPriority w:val="0"/>
    <w:rPr>
      <w:rFonts w:ascii="Verdana" w:hAnsi="Verdana" w:cs="宋体"/>
      <w:kern w:val="2"/>
      <w:sz w:val="28"/>
    </w:rPr>
  </w:style>
  <w:style w:type="paragraph" w:customStyle="1" w:styleId="258">
    <w:name w:val="H4-2"/>
    <w:basedOn w:val="1"/>
    <w:link w:val="260"/>
    <w:qFormat/>
    <w:uiPriority w:val="0"/>
    <w:pPr>
      <w:keepNext/>
      <w:keepLines/>
      <w:widowControl/>
      <w:spacing w:before="156" w:beforeLines="50" w:after="156" w:afterLines="50" w:line="360" w:lineRule="auto"/>
      <w:ind w:left="141"/>
      <w:jc w:val="left"/>
      <w:outlineLvl w:val="3"/>
    </w:pPr>
    <w:rPr>
      <w:rFonts w:ascii="宋体" w:hAnsi="宋体"/>
      <w:b/>
      <w:bCs/>
      <w:sz w:val="24"/>
      <w:szCs w:val="28"/>
      <w:lang w:val="zh-CN"/>
    </w:rPr>
  </w:style>
  <w:style w:type="paragraph" w:customStyle="1" w:styleId="259">
    <w:name w:val="H3-2"/>
    <w:basedOn w:val="1"/>
    <w:link w:val="261"/>
    <w:qFormat/>
    <w:uiPriority w:val="0"/>
    <w:pPr>
      <w:keepNext/>
      <w:keepLines/>
      <w:widowControl/>
      <w:spacing w:before="240" w:after="120" w:line="360" w:lineRule="auto"/>
      <w:ind w:left="425"/>
      <w:jc w:val="left"/>
      <w:outlineLvl w:val="2"/>
    </w:pPr>
    <w:rPr>
      <w:rFonts w:ascii="宋体" w:hAnsi="宋体"/>
      <w:b/>
      <w:bCs/>
      <w:sz w:val="28"/>
      <w:szCs w:val="32"/>
      <w:lang w:val="zh-CN"/>
    </w:rPr>
  </w:style>
  <w:style w:type="character" w:customStyle="1" w:styleId="260">
    <w:name w:val="H4-2 Char"/>
    <w:link w:val="258"/>
    <w:qFormat/>
    <w:uiPriority w:val="0"/>
    <w:rPr>
      <w:rFonts w:ascii="宋体" w:hAnsi="宋体"/>
      <w:b/>
      <w:bCs/>
      <w:kern w:val="2"/>
      <w:sz w:val="24"/>
      <w:szCs w:val="28"/>
      <w:lang w:val="zh-CN" w:eastAsia="zh-CN"/>
    </w:rPr>
  </w:style>
  <w:style w:type="character" w:customStyle="1" w:styleId="261">
    <w:name w:val="H3-2 Char"/>
    <w:link w:val="259"/>
    <w:qFormat/>
    <w:uiPriority w:val="0"/>
    <w:rPr>
      <w:rFonts w:ascii="宋体" w:hAnsi="宋体"/>
      <w:b/>
      <w:bCs/>
      <w:kern w:val="2"/>
      <w:sz w:val="28"/>
      <w:szCs w:val="32"/>
      <w:lang w:val="zh-CN" w:eastAsia="zh-CN"/>
    </w:rPr>
  </w:style>
  <w:style w:type="paragraph" w:customStyle="1" w:styleId="262">
    <w:name w:val="样式 正文缩进正文顶格悬挂表正文正文非缩进标题4正文1四号小四正文不缩进段1特点正文双线水上软件缩进...2"/>
    <w:basedOn w:val="22"/>
    <w:qFormat/>
    <w:uiPriority w:val="0"/>
    <w:pPr>
      <w:numPr>
        <w:ilvl w:val="0"/>
        <w:numId w:val="13"/>
      </w:numPr>
      <w:adjustRightInd w:val="0"/>
      <w:snapToGrid w:val="0"/>
      <w:spacing w:before="50" w:beforeLines="50" w:after="50" w:afterLines="50" w:line="360" w:lineRule="auto"/>
      <w:ind w:left="1107" w:hanging="200" w:hangingChars="200"/>
    </w:pPr>
    <w:rPr>
      <w:rFonts w:cs="宋体"/>
      <w:sz w:val="22"/>
      <w:lang w:val="zh-CN"/>
    </w:rPr>
  </w:style>
  <w:style w:type="paragraph" w:customStyle="1" w:styleId="263">
    <w:name w:val="样式3"/>
    <w:basedOn w:val="1"/>
    <w:link w:val="319"/>
    <w:qFormat/>
    <w:uiPriority w:val="0"/>
    <w:pPr>
      <w:numPr>
        <w:ilvl w:val="0"/>
        <w:numId w:val="14"/>
      </w:numPr>
      <w:spacing w:line="360" w:lineRule="auto"/>
      <w:ind w:firstLine="0"/>
    </w:pPr>
    <w:rPr>
      <w:rFonts w:eastAsia="仿宋"/>
      <w:sz w:val="24"/>
      <w:szCs w:val="24"/>
    </w:rPr>
  </w:style>
  <w:style w:type="paragraph" w:customStyle="1" w:styleId="264">
    <w:name w:val="1级标题"/>
    <w:basedOn w:val="173"/>
    <w:link w:val="675"/>
    <w:qFormat/>
    <w:uiPriority w:val="0"/>
    <w:pPr>
      <w:keepLines/>
      <w:widowControl w:val="0"/>
      <w:numPr>
        <w:ilvl w:val="0"/>
        <w:numId w:val="15"/>
      </w:numPr>
      <w:spacing w:before="240" w:after="240" w:line="360" w:lineRule="auto"/>
      <w:ind w:firstLine="0" w:firstLineChars="0"/>
      <w:contextualSpacing/>
      <w:outlineLvl w:val="0"/>
    </w:pPr>
    <w:rPr>
      <w:rFonts w:ascii="黑体" w:hAnsi="黑体" w:eastAsia="黑体"/>
      <w:sz w:val="36"/>
      <w:szCs w:val="36"/>
      <w:lang w:val="en-US" w:bidi="en-US"/>
    </w:rPr>
  </w:style>
  <w:style w:type="paragraph" w:customStyle="1" w:styleId="265">
    <w:name w:val="2级标题"/>
    <w:basedOn w:val="173"/>
    <w:link w:val="564"/>
    <w:qFormat/>
    <w:uiPriority w:val="0"/>
    <w:pPr>
      <w:keepLines/>
      <w:widowControl w:val="0"/>
      <w:numPr>
        <w:ilvl w:val="1"/>
        <w:numId w:val="15"/>
      </w:numPr>
      <w:spacing w:before="240" w:after="120" w:line="360" w:lineRule="auto"/>
      <w:ind w:firstLineChars="0"/>
      <w:contextualSpacing/>
      <w:outlineLvl w:val="1"/>
    </w:pPr>
    <w:rPr>
      <w:rFonts w:ascii="黑体" w:hAnsi="黑体" w:eastAsia="黑体"/>
      <w:sz w:val="32"/>
      <w:szCs w:val="36"/>
      <w:lang w:val="en-US" w:bidi="en-US"/>
    </w:rPr>
  </w:style>
  <w:style w:type="paragraph" w:customStyle="1" w:styleId="266">
    <w:name w:val="3级标题"/>
    <w:basedOn w:val="173"/>
    <w:link w:val="561"/>
    <w:qFormat/>
    <w:uiPriority w:val="0"/>
    <w:pPr>
      <w:keepLines/>
      <w:widowControl w:val="0"/>
      <w:numPr>
        <w:ilvl w:val="2"/>
        <w:numId w:val="15"/>
      </w:numPr>
      <w:spacing w:before="120" w:after="120" w:line="360" w:lineRule="auto"/>
      <w:ind w:firstLineChars="0"/>
      <w:contextualSpacing/>
      <w:outlineLvl w:val="2"/>
    </w:pPr>
    <w:rPr>
      <w:rFonts w:ascii="黑体" w:hAnsi="黑体" w:eastAsia="黑体"/>
      <w:sz w:val="28"/>
      <w:szCs w:val="36"/>
      <w:lang w:val="en-US" w:bidi="en-US"/>
    </w:rPr>
  </w:style>
  <w:style w:type="paragraph" w:customStyle="1" w:styleId="267">
    <w:name w:val="4级标题"/>
    <w:basedOn w:val="173"/>
    <w:link w:val="268"/>
    <w:qFormat/>
    <w:uiPriority w:val="0"/>
    <w:pPr>
      <w:keepLines/>
      <w:widowControl w:val="0"/>
      <w:numPr>
        <w:ilvl w:val="3"/>
        <w:numId w:val="15"/>
      </w:numPr>
      <w:spacing w:line="360" w:lineRule="auto"/>
      <w:ind w:firstLineChars="0"/>
      <w:contextualSpacing/>
      <w:outlineLvl w:val="3"/>
    </w:pPr>
    <w:rPr>
      <w:rFonts w:ascii="黑体" w:hAnsi="黑体" w:eastAsia="黑体"/>
      <w:lang w:val="en-US" w:bidi="en-US"/>
    </w:rPr>
  </w:style>
  <w:style w:type="character" w:customStyle="1" w:styleId="268">
    <w:name w:val="4级标题 Char"/>
    <w:link w:val="267"/>
    <w:qFormat/>
    <w:locked/>
    <w:uiPriority w:val="0"/>
    <w:rPr>
      <w:rFonts w:ascii="黑体" w:hAnsi="黑体" w:eastAsia="黑体"/>
      <w:sz w:val="24"/>
      <w:szCs w:val="24"/>
      <w:lang w:eastAsia="en-US" w:bidi="en-US"/>
    </w:rPr>
  </w:style>
  <w:style w:type="paragraph" w:customStyle="1" w:styleId="269">
    <w:name w:val="样式 首行缩进:  2.25 字符"/>
    <w:basedOn w:val="1"/>
    <w:link w:val="270"/>
    <w:qFormat/>
    <w:uiPriority w:val="0"/>
    <w:pPr>
      <w:spacing w:line="360" w:lineRule="auto"/>
      <w:ind w:firstLine="540" w:firstLineChars="225"/>
    </w:pPr>
    <w:rPr>
      <w:rFonts w:ascii="Arial" w:hAnsi="Arial" w:cs="宋体"/>
      <w:sz w:val="24"/>
      <w:szCs w:val="24"/>
      <w:lang w:val="zh-CN"/>
    </w:rPr>
  </w:style>
  <w:style w:type="character" w:customStyle="1" w:styleId="270">
    <w:name w:val="样式 首行缩进:  2.25 字符 Char"/>
    <w:link w:val="269"/>
    <w:qFormat/>
    <w:uiPriority w:val="0"/>
    <w:rPr>
      <w:rFonts w:ascii="Arial" w:hAnsi="Arial" w:cs="宋体"/>
      <w:kern w:val="2"/>
      <w:sz w:val="24"/>
      <w:szCs w:val="24"/>
      <w:lang w:val="zh-CN"/>
    </w:rPr>
  </w:style>
  <w:style w:type="paragraph" w:customStyle="1" w:styleId="271">
    <w:name w:val="Normal Indent3"/>
    <w:basedOn w:val="1"/>
    <w:link w:val="272"/>
    <w:qFormat/>
    <w:uiPriority w:val="0"/>
    <w:pPr>
      <w:spacing w:before="156" w:beforeLines="50" w:after="156" w:afterLines="50" w:line="300" w:lineRule="auto"/>
      <w:ind w:left="100" w:leftChars="100" w:right="100" w:rightChars="100" w:firstLine="480" w:firstLineChars="200"/>
      <w:jc w:val="left"/>
    </w:pPr>
    <w:rPr>
      <w:rFonts w:eastAsia="仿宋_GB2312"/>
      <w:kern w:val="0"/>
      <w:sz w:val="24"/>
      <w:szCs w:val="24"/>
      <w:lang w:val="zh-CN"/>
    </w:rPr>
  </w:style>
  <w:style w:type="character" w:customStyle="1" w:styleId="272">
    <w:name w:val="Normal Indent3 Char"/>
    <w:link w:val="271"/>
    <w:qFormat/>
    <w:uiPriority w:val="0"/>
    <w:rPr>
      <w:rFonts w:eastAsia="仿宋_GB2312"/>
      <w:sz w:val="24"/>
      <w:szCs w:val="24"/>
      <w:lang w:val="zh-CN" w:eastAsia="zh-CN"/>
    </w:rPr>
  </w:style>
  <w:style w:type="character" w:customStyle="1" w:styleId="273">
    <w:name w:val="Char Char27"/>
    <w:qFormat/>
    <w:uiPriority w:val="0"/>
    <w:rPr>
      <w:kern w:val="2"/>
      <w:sz w:val="18"/>
      <w:szCs w:val="24"/>
    </w:rPr>
  </w:style>
  <w:style w:type="paragraph" w:customStyle="1" w:styleId="274">
    <w:name w:val="文字"/>
    <w:basedOn w:val="1"/>
    <w:link w:val="275"/>
    <w:qFormat/>
    <w:uiPriority w:val="0"/>
    <w:pPr>
      <w:tabs>
        <w:tab w:val="left" w:pos="8520"/>
      </w:tabs>
      <w:spacing w:line="312" w:lineRule="auto"/>
      <w:ind w:right="-210" w:firstLine="556"/>
    </w:pPr>
    <w:rPr>
      <w:rFonts w:ascii="楷体_GB2312" w:eastAsia="楷体_GB2312"/>
      <w:sz w:val="28"/>
      <w:szCs w:val="20"/>
      <w:lang w:val="zh-CN"/>
    </w:rPr>
  </w:style>
  <w:style w:type="character" w:customStyle="1" w:styleId="275">
    <w:name w:val="文字 Char"/>
    <w:link w:val="274"/>
    <w:qFormat/>
    <w:locked/>
    <w:uiPriority w:val="0"/>
    <w:rPr>
      <w:rFonts w:ascii="楷体_GB2312" w:eastAsia="楷体_GB2312"/>
      <w:kern w:val="2"/>
      <w:sz w:val="28"/>
      <w:lang w:val="zh-CN" w:eastAsia="zh-CN"/>
    </w:rPr>
  </w:style>
  <w:style w:type="paragraph" w:customStyle="1" w:styleId="276">
    <w:name w:val="标题2"/>
    <w:basedOn w:val="1"/>
    <w:link w:val="277"/>
    <w:qFormat/>
    <w:uiPriority w:val="0"/>
    <w:pPr>
      <w:spacing w:beforeLines="50" w:afterLines="50" w:line="360" w:lineRule="auto"/>
      <w:ind w:left="567" w:hanging="567"/>
      <w:outlineLvl w:val="1"/>
    </w:pPr>
    <w:rPr>
      <w:rFonts w:hAnsi="宋体"/>
      <w:b/>
      <w:sz w:val="30"/>
      <w:szCs w:val="30"/>
      <w:lang w:val="zh-CN"/>
    </w:rPr>
  </w:style>
  <w:style w:type="character" w:customStyle="1" w:styleId="277">
    <w:name w:val="标题2 Char"/>
    <w:link w:val="276"/>
    <w:qFormat/>
    <w:uiPriority w:val="0"/>
    <w:rPr>
      <w:rFonts w:hAnsi="宋体"/>
      <w:b/>
      <w:kern w:val="2"/>
      <w:sz w:val="30"/>
      <w:szCs w:val="30"/>
      <w:lang w:val="zh-CN" w:eastAsia="zh-CN"/>
    </w:rPr>
  </w:style>
  <w:style w:type="paragraph" w:customStyle="1" w:styleId="278">
    <w:name w:val="标题样式"/>
    <w:basedOn w:val="1"/>
    <w:qFormat/>
    <w:uiPriority w:val="0"/>
    <w:pPr>
      <w:spacing w:beforeLines="50" w:afterLines="50"/>
      <w:ind w:firstLine="200" w:firstLineChars="200"/>
    </w:pPr>
    <w:rPr>
      <w:b/>
      <w:sz w:val="24"/>
      <w:szCs w:val="20"/>
    </w:rPr>
  </w:style>
  <w:style w:type="paragraph" w:customStyle="1" w:styleId="279">
    <w:name w:val="缩进"/>
    <w:next w:val="1"/>
    <w:qFormat/>
    <w:uiPriority w:val="0"/>
    <w:pPr>
      <w:spacing w:after="50"/>
      <w:ind w:firstLine="200" w:firstLineChars="200"/>
    </w:pPr>
    <w:rPr>
      <w:rFonts w:asciiTheme="minorHAnsi" w:hAnsiTheme="minorHAnsi" w:eastAsiaTheme="minorEastAsia" w:cstheme="minorBidi"/>
      <w:kern w:val="2"/>
      <w:sz w:val="21"/>
      <w:szCs w:val="18"/>
      <w:lang w:val="en-US" w:eastAsia="zh-CN" w:bidi="ar-SA"/>
    </w:rPr>
  </w:style>
  <w:style w:type="character" w:customStyle="1" w:styleId="280">
    <w:name w:val="正文文本首行缩进 2 字符"/>
    <w:basedOn w:val="182"/>
    <w:link w:val="53"/>
    <w:qFormat/>
    <w:uiPriority w:val="0"/>
    <w:rPr>
      <w:rFonts w:eastAsia="楷体_GB2312"/>
      <w:kern w:val="2"/>
      <w:sz w:val="21"/>
      <w:lang w:val="en-US" w:eastAsia="zh-CN" w:bidi="ar-SA"/>
    </w:rPr>
  </w:style>
  <w:style w:type="paragraph" w:customStyle="1" w:styleId="281">
    <w:name w:val="样式 标题 2 + 宋体 小五 段前: 0 磅 段后: 0 磅 行距: 1.5 倍行距"/>
    <w:basedOn w:val="4"/>
    <w:qFormat/>
    <w:uiPriority w:val="0"/>
    <w:pPr>
      <w:keepLines/>
      <w:widowControl/>
      <w:numPr>
        <w:ilvl w:val="0"/>
        <w:numId w:val="0"/>
      </w:numPr>
      <w:spacing w:line="360" w:lineRule="auto"/>
      <w:jc w:val="both"/>
    </w:pPr>
    <w:rPr>
      <w:rFonts w:hAnsi="宋体" w:cs="宋体"/>
      <w:bCs/>
    </w:rPr>
  </w:style>
  <w:style w:type="character" w:customStyle="1" w:styleId="282">
    <w:name w:val="明显参考1"/>
    <w:qFormat/>
    <w:uiPriority w:val="32"/>
    <w:rPr>
      <w:b/>
      <w:bCs/>
      <w:smallCaps/>
      <w:color w:val="C0504D"/>
      <w:spacing w:val="5"/>
      <w:u w:val="single"/>
    </w:rPr>
  </w:style>
  <w:style w:type="character" w:customStyle="1" w:styleId="283">
    <w:name w:val="def正文 Char"/>
    <w:link w:val="284"/>
    <w:qFormat/>
    <w:uiPriority w:val="0"/>
    <w:rPr>
      <w:szCs w:val="21"/>
    </w:rPr>
  </w:style>
  <w:style w:type="paragraph" w:customStyle="1" w:styleId="284">
    <w:name w:val="def正文"/>
    <w:basedOn w:val="2"/>
    <w:link w:val="283"/>
    <w:qFormat/>
    <w:uiPriority w:val="0"/>
    <w:pPr>
      <w:widowControl/>
      <w:spacing w:line="276" w:lineRule="auto"/>
      <w:jc w:val="center"/>
    </w:pPr>
    <w:rPr>
      <w:rFonts w:ascii="Times New Roman" w:hAnsi="Times New Roman"/>
      <w:kern w:val="0"/>
      <w:sz w:val="20"/>
      <w:szCs w:val="21"/>
    </w:rPr>
  </w:style>
  <w:style w:type="character" w:customStyle="1" w:styleId="285">
    <w:name w:val="正文文本缩进 3 字符1"/>
    <w:basedOn w:val="79"/>
    <w:semiHidden/>
    <w:qFormat/>
    <w:uiPriority w:val="99"/>
    <w:rPr>
      <w:rFonts w:ascii="Arial" w:hAnsi="Arial" w:eastAsia="宋体" w:cs="宋体"/>
      <w:sz w:val="16"/>
      <w:szCs w:val="16"/>
    </w:rPr>
  </w:style>
  <w:style w:type="character" w:customStyle="1" w:styleId="286">
    <w:name w:val="正文文本缩进 3 Char1"/>
    <w:basedOn w:val="79"/>
    <w:qFormat/>
    <w:uiPriority w:val="0"/>
    <w:rPr>
      <w:rFonts w:ascii="Arial" w:hAnsi="Arial" w:eastAsia="宋体" w:cs="宋体"/>
      <w:sz w:val="16"/>
      <w:szCs w:val="16"/>
    </w:rPr>
  </w:style>
  <w:style w:type="paragraph" w:customStyle="1" w:styleId="287">
    <w:name w:val="Char11"/>
    <w:basedOn w:val="1"/>
    <w:qFormat/>
    <w:uiPriority w:val="0"/>
    <w:rPr>
      <w:rFonts w:ascii="仿宋_GB2312" w:eastAsia="仿宋_GB2312"/>
      <w:b/>
      <w:sz w:val="32"/>
      <w:szCs w:val="32"/>
    </w:rPr>
  </w:style>
  <w:style w:type="paragraph" w:customStyle="1" w:styleId="288">
    <w:name w:val="正文（首行缩进2字符）"/>
    <w:basedOn w:val="1"/>
    <w:qFormat/>
    <w:uiPriority w:val="0"/>
    <w:pPr>
      <w:spacing w:line="360" w:lineRule="auto"/>
      <w:ind w:firstLine="480" w:firstLineChars="200"/>
    </w:pPr>
    <w:rPr>
      <w:sz w:val="24"/>
      <w:szCs w:val="24"/>
    </w:rPr>
  </w:style>
  <w:style w:type="character" w:customStyle="1" w:styleId="289">
    <w:name w:val="html_txt1"/>
    <w:qFormat/>
    <w:uiPriority w:val="0"/>
    <w:rPr>
      <w:color w:val="000000"/>
    </w:rPr>
  </w:style>
  <w:style w:type="paragraph" w:customStyle="1" w:styleId="290">
    <w:name w:val="正文1"/>
    <w:link w:val="617"/>
    <w:qFormat/>
    <w:uiPriority w:val="0"/>
    <w:pPr>
      <w:widowControl w:val="0"/>
      <w:adjustRightInd w:val="0"/>
      <w:snapToGrid w:val="0"/>
      <w:spacing w:line="360" w:lineRule="auto"/>
      <w:ind w:left="840" w:hanging="420"/>
      <w:jc w:val="both"/>
      <w:textAlignment w:val="baseline"/>
    </w:pPr>
    <w:rPr>
      <w:rFonts w:ascii="黑体" w:hAnsi="黑体" w:eastAsia="黑体" w:cs="Times New Roman"/>
      <w:sz w:val="24"/>
      <w:lang w:val="en-US" w:eastAsia="zh-CN" w:bidi="ar-SA"/>
    </w:rPr>
  </w:style>
  <w:style w:type="paragraph" w:customStyle="1" w:styleId="291">
    <w:name w:val="段"/>
    <w:link w:val="300"/>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92">
    <w:name w:val="正文小四"/>
    <w:basedOn w:val="1"/>
    <w:qFormat/>
    <w:uiPriority w:val="0"/>
    <w:pPr>
      <w:spacing w:beforeLines="50" w:afterLines="50" w:line="360" w:lineRule="auto"/>
      <w:ind w:firstLine="360" w:firstLineChars="200"/>
      <w:jc w:val="left"/>
    </w:pPr>
    <w:rPr>
      <w:sz w:val="18"/>
      <w:szCs w:val="18"/>
    </w:rPr>
  </w:style>
  <w:style w:type="character" w:customStyle="1" w:styleId="293">
    <w:name w:val="脚注文本 字符"/>
    <w:basedOn w:val="79"/>
    <w:link w:val="64"/>
    <w:qFormat/>
    <w:uiPriority w:val="99"/>
    <w:rPr>
      <w:kern w:val="2"/>
      <w:sz w:val="18"/>
      <w:szCs w:val="18"/>
    </w:rPr>
  </w:style>
  <w:style w:type="paragraph" w:customStyle="1" w:styleId="294">
    <w:name w:val="01 标题-封面"/>
    <w:next w:val="42"/>
    <w:qFormat/>
    <w:uiPriority w:val="0"/>
    <w:rPr>
      <w:rFonts w:ascii="Arial" w:hAnsi="Arial" w:eastAsia="黑体" w:cs="Arial"/>
      <w:b/>
      <w:bCs/>
      <w:color w:val="800000"/>
      <w:kern w:val="2"/>
      <w:sz w:val="72"/>
      <w:szCs w:val="32"/>
      <w:lang w:val="en-US" w:eastAsia="zh-CN" w:bidi="ar-SA"/>
    </w:rPr>
  </w:style>
  <w:style w:type="paragraph" w:customStyle="1" w:styleId="295">
    <w:name w:val="02 副标题-封面"/>
    <w:next w:val="42"/>
    <w:qFormat/>
    <w:uiPriority w:val="0"/>
    <w:rPr>
      <w:rFonts w:ascii="Arial" w:hAnsi="Arial" w:eastAsia="黑体" w:cs="Arial"/>
      <w:b/>
      <w:bCs/>
      <w:color w:val="4D4D4D"/>
      <w:kern w:val="28"/>
      <w:sz w:val="40"/>
      <w:szCs w:val="32"/>
      <w:lang w:val="en-US" w:eastAsia="zh-CN" w:bidi="ar-SA"/>
    </w:rPr>
  </w:style>
  <w:style w:type="paragraph" w:customStyle="1" w:styleId="296">
    <w:name w:val="03 阅读提示"/>
    <w:basedOn w:val="1"/>
    <w:qFormat/>
    <w:uiPriority w:val="0"/>
    <w:pPr>
      <w:spacing w:line="312" w:lineRule="auto"/>
      <w:jc w:val="center"/>
    </w:pPr>
    <w:rPr>
      <w:b/>
      <w:sz w:val="44"/>
      <w:szCs w:val="24"/>
    </w:rPr>
  </w:style>
  <w:style w:type="paragraph" w:customStyle="1" w:styleId="297">
    <w:name w:val="列出段落1"/>
    <w:qFormat/>
    <w:uiPriority w:val="34"/>
    <w:pPr>
      <w:widowControl w:val="0"/>
      <w:spacing w:line="360" w:lineRule="auto"/>
      <w:ind w:firstLine="420"/>
      <w:jc w:val="both"/>
    </w:pPr>
    <w:rPr>
      <w:rFonts w:ascii="Times New Roman" w:hAnsi="Times New Roman" w:eastAsia="ヒラギノ角ゴ Pro W3" w:cs="Times New Roman"/>
      <w:color w:val="000000"/>
      <w:kern w:val="2"/>
      <w:sz w:val="24"/>
      <w:lang w:val="en-US" w:eastAsia="zh-CN" w:bidi="ar-SA"/>
    </w:rPr>
  </w:style>
  <w:style w:type="paragraph" w:customStyle="1" w:styleId="298">
    <w:name w:val="封面"/>
    <w:basedOn w:val="1"/>
    <w:qFormat/>
    <w:uiPriority w:val="0"/>
    <w:pPr>
      <w:adjustRightInd w:val="0"/>
      <w:spacing w:before="100" w:after="40" w:line="288" w:lineRule="auto"/>
      <w:jc w:val="right"/>
      <w:textAlignment w:val="baseline"/>
    </w:pPr>
    <w:rPr>
      <w:rFonts w:eastAsia="仿宋_GB2312" w:cs="宋体"/>
      <w:b/>
      <w:snapToGrid w:val="0"/>
      <w:kern w:val="0"/>
      <w:sz w:val="52"/>
      <w:szCs w:val="20"/>
    </w:rPr>
  </w:style>
  <w:style w:type="paragraph" w:customStyle="1" w:styleId="299">
    <w:name w:val="正文11"/>
    <w:qFormat/>
    <w:uiPriority w:val="99"/>
    <w:pPr>
      <w:widowControl w:val="0"/>
      <w:numPr>
        <w:ilvl w:val="0"/>
        <w:numId w:val="16"/>
      </w:numPr>
      <w:adjustRightInd w:val="0"/>
      <w:snapToGrid w:val="0"/>
      <w:spacing w:line="360" w:lineRule="auto"/>
      <w:jc w:val="both"/>
      <w:textAlignment w:val="baseline"/>
    </w:pPr>
    <w:rPr>
      <w:rFonts w:ascii="宋体" w:hAnsi="宋体" w:eastAsia="宋体" w:cs="Times New Roman"/>
      <w:b/>
      <w:sz w:val="24"/>
      <w:szCs w:val="24"/>
      <w:lang w:val="en-US" w:eastAsia="zh-CN" w:bidi="ar-SA"/>
    </w:rPr>
  </w:style>
  <w:style w:type="character" w:customStyle="1" w:styleId="300">
    <w:name w:val="段 Char"/>
    <w:link w:val="291"/>
    <w:qFormat/>
    <w:uiPriority w:val="0"/>
    <w:rPr>
      <w:rFonts w:ascii="宋体"/>
      <w:sz w:val="21"/>
    </w:rPr>
  </w:style>
  <w:style w:type="paragraph" w:customStyle="1" w:styleId="301">
    <w:name w:val="Char Char Char Char Char Char Char Char"/>
    <w:basedOn w:val="1"/>
    <w:qFormat/>
    <w:uiPriority w:val="0"/>
    <w:pPr>
      <w:tabs>
        <w:tab w:val="left" w:pos="360"/>
      </w:tabs>
    </w:pPr>
    <w:rPr>
      <w:sz w:val="24"/>
      <w:szCs w:val="24"/>
    </w:rPr>
  </w:style>
  <w:style w:type="paragraph" w:customStyle="1" w:styleId="302">
    <w:name w:val="方案正文"/>
    <w:basedOn w:val="1"/>
    <w:link w:val="303"/>
    <w:qFormat/>
    <w:uiPriority w:val="0"/>
    <w:pPr>
      <w:widowControl/>
      <w:suppressAutoHyphens/>
      <w:spacing w:line="360" w:lineRule="auto"/>
      <w:ind w:firstLine="420" w:firstLineChars="200"/>
    </w:pPr>
    <w:rPr>
      <w:kern w:val="1"/>
      <w:sz w:val="24"/>
      <w:szCs w:val="20"/>
      <w:lang w:val="en-GB" w:eastAsia="ar-SA" w:bidi="en-US"/>
    </w:rPr>
  </w:style>
  <w:style w:type="character" w:customStyle="1" w:styleId="303">
    <w:name w:val="方案正文 Char"/>
    <w:link w:val="302"/>
    <w:qFormat/>
    <w:uiPriority w:val="0"/>
    <w:rPr>
      <w:kern w:val="1"/>
      <w:sz w:val="24"/>
      <w:lang w:val="en-GB" w:eastAsia="ar-SA" w:bidi="en-US"/>
    </w:rPr>
  </w:style>
  <w:style w:type="paragraph" w:customStyle="1" w:styleId="304">
    <w:name w:val="正文 小四 首缩"/>
    <w:qFormat/>
    <w:uiPriority w:val="0"/>
    <w:pPr>
      <w:snapToGrid w:val="0"/>
      <w:spacing w:line="360" w:lineRule="auto"/>
      <w:ind w:firstLine="482"/>
    </w:pPr>
    <w:rPr>
      <w:rFonts w:ascii="Times New Roman" w:hAnsi="Times New Roman" w:eastAsia="宋体" w:cs="Times New Roman"/>
      <w:kern w:val="2"/>
      <w:sz w:val="24"/>
      <w:lang w:val="en-US" w:eastAsia="zh-CN" w:bidi="ar-SA"/>
    </w:rPr>
  </w:style>
  <w:style w:type="paragraph" w:customStyle="1" w:styleId="305">
    <w:name w:val="5"/>
    <w:basedOn w:val="1"/>
    <w:qFormat/>
    <w:uiPriority w:val="99"/>
    <w:pPr>
      <w:spacing w:line="360" w:lineRule="auto"/>
      <w:ind w:firstLine="200" w:firstLineChars="200"/>
    </w:pPr>
    <w:rPr>
      <w:rFonts w:eastAsia="仿宋_GB2312"/>
      <w:sz w:val="24"/>
      <w:szCs w:val="24"/>
    </w:rPr>
  </w:style>
  <w:style w:type="paragraph" w:customStyle="1" w:styleId="306">
    <w:name w:val="附件标题"/>
    <w:basedOn w:val="1"/>
    <w:qFormat/>
    <w:uiPriority w:val="0"/>
    <w:pPr>
      <w:spacing w:line="360" w:lineRule="auto"/>
      <w:ind w:firstLine="200" w:firstLineChars="200"/>
      <w:jc w:val="center"/>
    </w:pPr>
    <w:rPr>
      <w:rFonts w:ascii="Arial" w:hAnsi="Arial" w:eastAsia="黑体"/>
      <w:sz w:val="24"/>
      <w:szCs w:val="24"/>
    </w:rPr>
  </w:style>
  <w:style w:type="paragraph" w:customStyle="1" w:styleId="307">
    <w:name w:val="附件(1)"/>
    <w:basedOn w:val="1"/>
    <w:qFormat/>
    <w:uiPriority w:val="0"/>
    <w:pPr>
      <w:tabs>
        <w:tab w:val="left" w:pos="840"/>
      </w:tabs>
      <w:spacing w:line="360" w:lineRule="auto"/>
      <w:ind w:left="840" w:hanging="420" w:firstLineChars="200"/>
    </w:pPr>
    <w:rPr>
      <w:rFonts w:eastAsia="仿宋_GB2312"/>
      <w:sz w:val="24"/>
      <w:szCs w:val="24"/>
    </w:rPr>
  </w:style>
  <w:style w:type="paragraph" w:customStyle="1" w:styleId="308">
    <w:name w:val="附件1."/>
    <w:basedOn w:val="3"/>
    <w:qFormat/>
    <w:uiPriority w:val="0"/>
    <w:pPr>
      <w:keepNext w:val="0"/>
      <w:tabs>
        <w:tab w:val="left" w:pos="360"/>
        <w:tab w:val="left" w:pos="420"/>
      </w:tabs>
      <w:spacing w:line="360" w:lineRule="auto"/>
      <w:ind w:left="567" w:hanging="567"/>
      <w:jc w:val="both"/>
    </w:pPr>
    <w:rPr>
      <w:rFonts w:ascii="Times New Roman" w:eastAsia="宋体"/>
      <w:b/>
      <w:bCs/>
      <w:kern w:val="44"/>
      <w:sz w:val="24"/>
      <w:szCs w:val="44"/>
    </w:rPr>
  </w:style>
  <w:style w:type="paragraph" w:customStyle="1" w:styleId="309">
    <w:name w:val="附件圈"/>
    <w:basedOn w:val="307"/>
    <w:qFormat/>
    <w:uiPriority w:val="0"/>
    <w:pPr>
      <w:tabs>
        <w:tab w:val="left" w:pos="980"/>
        <w:tab w:val="clear" w:pos="840"/>
      </w:tabs>
      <w:ind w:left="980"/>
    </w:pPr>
  </w:style>
  <w:style w:type="character" w:customStyle="1" w:styleId="310">
    <w:name w:val="正文文本缩进 2 字符"/>
    <w:basedOn w:val="79"/>
    <w:link w:val="47"/>
    <w:qFormat/>
    <w:uiPriority w:val="0"/>
    <w:rPr>
      <w:rFonts w:ascii="楷体_GB2312" w:eastAsia="楷体_GB2312"/>
      <w:kern w:val="2"/>
      <w:sz w:val="32"/>
    </w:rPr>
  </w:style>
  <w:style w:type="paragraph" w:customStyle="1" w:styleId="311">
    <w:name w:val="样式 标题 2H2Heading 2 HiddenHeading 2 CCBSheading 22nd levelh..."/>
    <w:basedOn w:val="4"/>
    <w:qFormat/>
    <w:uiPriority w:val="0"/>
    <w:pPr>
      <w:keepLines/>
      <w:widowControl/>
      <w:numPr>
        <w:numId w:val="0"/>
      </w:numPr>
      <w:spacing w:before="120" w:beforeAutospacing="1" w:after="100" w:afterAutospacing="1"/>
      <w:ind w:left="576" w:hanging="576"/>
      <w:jc w:val="both"/>
    </w:pPr>
    <w:rPr>
      <w:rFonts w:hAnsi="黑体" w:eastAsia="黑体" w:cs="宋体"/>
      <w:sz w:val="28"/>
      <w:szCs w:val="28"/>
    </w:rPr>
  </w:style>
  <w:style w:type="paragraph" w:customStyle="1" w:styleId="312">
    <w:name w:val="样式 标题 2H2Heading 2 HiddenHeading 2 CCBSheading 22nd levelh...1"/>
    <w:basedOn w:val="4"/>
    <w:qFormat/>
    <w:uiPriority w:val="0"/>
    <w:pPr>
      <w:keepLines/>
      <w:widowControl/>
      <w:numPr>
        <w:numId w:val="0"/>
      </w:numPr>
      <w:spacing w:before="100" w:beforeAutospacing="1" w:after="240" w:afterAutospacing="1"/>
      <w:ind w:left="576" w:hanging="576"/>
      <w:jc w:val="both"/>
    </w:pPr>
    <w:rPr>
      <w:rFonts w:hAnsi="宋体"/>
      <w:sz w:val="28"/>
      <w:szCs w:val="28"/>
    </w:rPr>
  </w:style>
  <w:style w:type="character" w:customStyle="1" w:styleId="313">
    <w:name w:val="已访问的超链接1"/>
    <w:qFormat/>
    <w:uiPriority w:val="0"/>
    <w:rPr>
      <w:color w:val="800080"/>
      <w:u w:val="single"/>
    </w:rPr>
  </w:style>
  <w:style w:type="paragraph" w:customStyle="1" w:styleId="314">
    <w:name w:val="Char Char Char Char1"/>
    <w:basedOn w:val="1"/>
    <w:qFormat/>
    <w:uiPriority w:val="0"/>
    <w:pPr>
      <w:widowControl/>
      <w:spacing w:after="160" w:line="240" w:lineRule="exact"/>
      <w:ind w:firstLine="200" w:firstLineChars="200"/>
      <w:jc w:val="left"/>
    </w:pPr>
    <w:rPr>
      <w:rFonts w:ascii="Verdana" w:hAnsi="Verdana" w:eastAsia="仿宋_GB2312"/>
      <w:kern w:val="0"/>
      <w:sz w:val="24"/>
      <w:szCs w:val="20"/>
      <w:lang w:eastAsia="en-US"/>
    </w:rPr>
  </w:style>
  <w:style w:type="character" w:customStyle="1" w:styleId="315">
    <w:name w:val="样式1 Char"/>
    <w:qFormat/>
    <w:uiPriority w:val="0"/>
    <w:rPr>
      <w:rFonts w:ascii="宋体" w:hAnsi="宋体" w:eastAsia="仿宋_GB2312"/>
      <w:kern w:val="2"/>
      <w:sz w:val="24"/>
      <w:szCs w:val="24"/>
    </w:rPr>
  </w:style>
  <w:style w:type="character" w:customStyle="1" w:styleId="316">
    <w:name w:val="exp1"/>
    <w:qFormat/>
    <w:uiPriority w:val="0"/>
    <w:rPr>
      <w:color w:val="3E3E3E"/>
    </w:rPr>
  </w:style>
  <w:style w:type="paragraph" w:customStyle="1" w:styleId="317">
    <w:name w:val="样式 def正文 + 首行缩进:  2 字符"/>
    <w:basedOn w:val="1"/>
    <w:qFormat/>
    <w:uiPriority w:val="0"/>
    <w:pPr>
      <w:widowControl/>
      <w:spacing w:line="360" w:lineRule="auto"/>
      <w:ind w:firstLine="480" w:firstLineChars="200"/>
      <w:jc w:val="left"/>
    </w:pPr>
    <w:rPr>
      <w:rFonts w:eastAsia="仿宋_GB2312" w:cs="宋体"/>
      <w:kern w:val="0"/>
      <w:sz w:val="24"/>
      <w:szCs w:val="20"/>
    </w:rPr>
  </w:style>
  <w:style w:type="paragraph" w:customStyle="1" w:styleId="318">
    <w:name w:val="Char1"/>
    <w:basedOn w:val="1"/>
    <w:qFormat/>
    <w:uiPriority w:val="0"/>
    <w:pPr>
      <w:spacing w:line="360" w:lineRule="auto"/>
      <w:ind w:firstLine="200" w:firstLineChars="200"/>
    </w:pPr>
    <w:rPr>
      <w:rFonts w:eastAsia="仿宋_GB2312"/>
      <w:sz w:val="24"/>
      <w:szCs w:val="24"/>
    </w:rPr>
  </w:style>
  <w:style w:type="character" w:customStyle="1" w:styleId="319">
    <w:name w:val="样式3 Char"/>
    <w:link w:val="263"/>
    <w:qFormat/>
    <w:uiPriority w:val="0"/>
    <w:rPr>
      <w:rFonts w:eastAsia="仿宋"/>
      <w:kern w:val="2"/>
      <w:sz w:val="24"/>
      <w:szCs w:val="24"/>
    </w:rPr>
  </w:style>
  <w:style w:type="paragraph" w:customStyle="1" w:styleId="320">
    <w:name w:val="CM12"/>
    <w:basedOn w:val="1"/>
    <w:next w:val="1"/>
    <w:qFormat/>
    <w:uiPriority w:val="0"/>
    <w:pPr>
      <w:autoSpaceDE w:val="0"/>
      <w:autoSpaceDN w:val="0"/>
      <w:adjustRightInd w:val="0"/>
      <w:spacing w:line="468" w:lineRule="atLeast"/>
      <w:ind w:firstLine="200" w:firstLineChars="200"/>
      <w:jc w:val="left"/>
    </w:pPr>
    <w:rPr>
      <w:rFonts w:ascii="宋体" w:eastAsia="仿宋_GB2312"/>
      <w:kern w:val="0"/>
      <w:sz w:val="24"/>
      <w:szCs w:val="24"/>
    </w:rPr>
  </w:style>
  <w:style w:type="paragraph" w:customStyle="1" w:styleId="321">
    <w:name w:val="1样式1"/>
    <w:basedOn w:val="1"/>
    <w:qFormat/>
    <w:uiPriority w:val="0"/>
    <w:pPr>
      <w:widowControl/>
      <w:tabs>
        <w:tab w:val="left" w:pos="420"/>
      </w:tabs>
      <w:adjustRightInd w:val="0"/>
      <w:snapToGrid w:val="0"/>
      <w:spacing w:line="288" w:lineRule="auto"/>
      <w:ind w:left="420" w:firstLine="200" w:firstLineChars="200"/>
      <w:jc w:val="left"/>
    </w:pPr>
    <w:rPr>
      <w:rFonts w:eastAsia="仿宋_GB2312"/>
    </w:rPr>
  </w:style>
  <w:style w:type="paragraph" w:customStyle="1" w:styleId="322">
    <w:name w:val="前言、引言标题"/>
    <w:next w:val="1"/>
    <w:qFormat/>
    <w:uiPriority w:val="0"/>
    <w:pPr>
      <w:shd w:val="clear" w:color="FFFFFF" w:fill="FFFFFF"/>
      <w:spacing w:before="640" w:after="560" w:line="360" w:lineRule="auto"/>
      <w:ind w:firstLine="147" w:firstLineChars="147"/>
      <w:jc w:val="center"/>
      <w:outlineLvl w:val="0"/>
    </w:pPr>
    <w:rPr>
      <w:rFonts w:ascii="黑体" w:hAnsi="Times New Roman" w:eastAsia="黑体" w:cs="Times New Roman"/>
      <w:sz w:val="32"/>
      <w:lang w:val="en-US" w:eastAsia="zh-CN" w:bidi="ar-SA"/>
    </w:rPr>
  </w:style>
  <w:style w:type="paragraph" w:customStyle="1" w:styleId="323">
    <w:name w:val="章标题"/>
    <w:next w:val="291"/>
    <w:qFormat/>
    <w:uiPriority w:val="0"/>
    <w:pPr>
      <w:spacing w:beforeLines="50" w:afterLines="50" w:line="360" w:lineRule="auto"/>
      <w:ind w:firstLine="147" w:firstLineChars="147"/>
      <w:jc w:val="both"/>
      <w:outlineLvl w:val="1"/>
    </w:pPr>
    <w:rPr>
      <w:rFonts w:ascii="黑体" w:hAnsi="Times New Roman" w:eastAsia="黑体" w:cs="Times New Roman"/>
      <w:sz w:val="21"/>
      <w:lang w:val="en-US" w:eastAsia="zh-CN" w:bidi="ar-SA"/>
    </w:rPr>
  </w:style>
  <w:style w:type="paragraph" w:customStyle="1" w:styleId="324">
    <w:name w:val="一级条标题"/>
    <w:basedOn w:val="323"/>
    <w:next w:val="291"/>
    <w:link w:val="325"/>
    <w:qFormat/>
    <w:uiPriority w:val="0"/>
    <w:pPr>
      <w:spacing w:beforeLines="0" w:afterLines="0"/>
      <w:ind w:left="420"/>
      <w:outlineLvl w:val="2"/>
    </w:pPr>
  </w:style>
  <w:style w:type="character" w:customStyle="1" w:styleId="325">
    <w:name w:val="一级条标题 Char"/>
    <w:link w:val="324"/>
    <w:qFormat/>
    <w:uiPriority w:val="0"/>
    <w:rPr>
      <w:rFonts w:ascii="黑体" w:eastAsia="黑体"/>
      <w:sz w:val="21"/>
    </w:rPr>
  </w:style>
  <w:style w:type="paragraph" w:customStyle="1" w:styleId="326">
    <w:name w:val="Char1 Char Char Char"/>
    <w:basedOn w:val="1"/>
    <w:qFormat/>
    <w:uiPriority w:val="0"/>
    <w:pPr>
      <w:ind w:firstLine="200" w:firstLineChars="200"/>
    </w:pPr>
    <w:rPr>
      <w:rFonts w:eastAsia="仿宋_GB2312"/>
      <w:szCs w:val="24"/>
    </w:rPr>
  </w:style>
  <w:style w:type="paragraph" w:customStyle="1" w:styleId="327">
    <w:name w:val="Char2"/>
    <w:basedOn w:val="1"/>
    <w:qFormat/>
    <w:uiPriority w:val="0"/>
    <w:pPr>
      <w:ind w:firstLine="288" w:firstLineChars="200"/>
    </w:pPr>
    <w:rPr>
      <w:rFonts w:eastAsia="仿宋_GB2312"/>
      <w:sz w:val="24"/>
      <w:szCs w:val="24"/>
    </w:rPr>
  </w:style>
  <w:style w:type="paragraph" w:customStyle="1" w:styleId="328">
    <w:name w:val="二级条标题"/>
    <w:basedOn w:val="324"/>
    <w:next w:val="291"/>
    <w:qFormat/>
    <w:uiPriority w:val="0"/>
    <w:pPr>
      <w:spacing w:line="240" w:lineRule="auto"/>
      <w:jc w:val="left"/>
      <w:outlineLvl w:val="3"/>
    </w:pPr>
    <w:rPr>
      <w:sz w:val="24"/>
    </w:rPr>
  </w:style>
  <w:style w:type="paragraph" w:customStyle="1" w:styleId="329">
    <w:name w:val="缺省文本"/>
    <w:basedOn w:val="1"/>
    <w:qFormat/>
    <w:uiPriority w:val="0"/>
    <w:pPr>
      <w:tabs>
        <w:tab w:val="left" w:pos="4841"/>
      </w:tabs>
      <w:autoSpaceDE w:val="0"/>
      <w:autoSpaceDN w:val="0"/>
      <w:adjustRightInd w:val="0"/>
      <w:spacing w:before="60" w:after="60" w:line="360" w:lineRule="auto"/>
      <w:ind w:firstLine="482" w:firstLineChars="200"/>
      <w:jc w:val="left"/>
    </w:pPr>
    <w:rPr>
      <w:rFonts w:ascii="宋体" w:hAnsi="Arial" w:eastAsia="仿宋_GB2312"/>
      <w:color w:val="0000FF"/>
      <w:kern w:val="0"/>
      <w:sz w:val="24"/>
      <w:szCs w:val="20"/>
      <w:lang w:val="en-GB"/>
    </w:rPr>
  </w:style>
  <w:style w:type="paragraph" w:customStyle="1" w:styleId="330">
    <w:name w:val="Char Char Char Char Char Char Char Char Char Char Char Char Char Char Char Char"/>
    <w:basedOn w:val="1"/>
    <w:qFormat/>
    <w:uiPriority w:val="0"/>
    <w:pPr>
      <w:tabs>
        <w:tab w:val="left" w:pos="360"/>
      </w:tabs>
      <w:spacing w:line="360" w:lineRule="auto"/>
      <w:ind w:left="482" w:firstLine="200" w:firstLineChars="200"/>
    </w:pPr>
    <w:rPr>
      <w:rFonts w:ascii="宋体" w:eastAsia="仿宋_GB2312"/>
      <w:sz w:val="24"/>
      <w:szCs w:val="24"/>
    </w:rPr>
  </w:style>
  <w:style w:type="paragraph" w:customStyle="1" w:styleId="331">
    <w:name w:val="文本框正文"/>
    <w:basedOn w:val="1"/>
    <w:qFormat/>
    <w:uiPriority w:val="0"/>
    <w:pPr>
      <w:ind w:firstLine="200" w:firstLineChars="200"/>
      <w:jc w:val="center"/>
    </w:pPr>
    <w:rPr>
      <w:rFonts w:eastAsia="仿宋_GB2312"/>
      <w:b/>
      <w:szCs w:val="24"/>
    </w:rPr>
  </w:style>
  <w:style w:type="paragraph" w:customStyle="1" w:styleId="332">
    <w:name w:val="正文格式"/>
    <w:basedOn w:val="1"/>
    <w:link w:val="465"/>
    <w:qFormat/>
    <w:uiPriority w:val="0"/>
    <w:pPr>
      <w:widowControl/>
      <w:adjustRightInd w:val="0"/>
      <w:snapToGrid w:val="0"/>
      <w:spacing w:line="440" w:lineRule="exact"/>
      <w:ind w:firstLine="482" w:firstLineChars="200"/>
      <w:textAlignment w:val="baseline"/>
    </w:pPr>
    <w:rPr>
      <w:rFonts w:eastAsia="仿宋_GB2312"/>
      <w:kern w:val="0"/>
      <w:sz w:val="24"/>
      <w:szCs w:val="20"/>
    </w:rPr>
  </w:style>
  <w:style w:type="paragraph" w:customStyle="1" w:styleId="333">
    <w:name w:val="罗列项目"/>
    <w:basedOn w:val="1"/>
    <w:qFormat/>
    <w:uiPriority w:val="0"/>
    <w:pPr>
      <w:widowControl/>
      <w:numPr>
        <w:ilvl w:val="0"/>
        <w:numId w:val="17"/>
      </w:numPr>
      <w:adjustRightInd w:val="0"/>
      <w:snapToGrid w:val="0"/>
      <w:spacing w:line="440" w:lineRule="exact"/>
      <w:ind w:firstLine="200" w:firstLineChars="200"/>
      <w:textAlignment w:val="baseline"/>
    </w:pPr>
    <w:rPr>
      <w:rFonts w:eastAsia="仿宋_GB2312"/>
      <w:kern w:val="0"/>
      <w:sz w:val="24"/>
      <w:szCs w:val="20"/>
    </w:rPr>
  </w:style>
  <w:style w:type="paragraph" w:customStyle="1" w:styleId="334">
    <w:name w:val="附录2层"/>
    <w:basedOn w:val="1"/>
    <w:next w:val="332"/>
    <w:qFormat/>
    <w:uiPriority w:val="0"/>
    <w:pPr>
      <w:widowControl/>
      <w:adjustRightInd w:val="0"/>
      <w:snapToGrid w:val="0"/>
      <w:spacing w:line="360" w:lineRule="atLeast"/>
      <w:ind w:firstLine="200" w:firstLineChars="200"/>
      <w:textAlignment w:val="baseline"/>
    </w:pPr>
    <w:rPr>
      <w:rFonts w:ascii="黑体" w:eastAsia="黑体"/>
      <w:kern w:val="0"/>
      <w:sz w:val="24"/>
      <w:szCs w:val="20"/>
    </w:rPr>
  </w:style>
  <w:style w:type="paragraph" w:customStyle="1" w:styleId="335">
    <w:name w:val="数字编号并列项目"/>
    <w:basedOn w:val="1"/>
    <w:next w:val="332"/>
    <w:qFormat/>
    <w:uiPriority w:val="0"/>
    <w:pPr>
      <w:widowControl/>
      <w:numPr>
        <w:ilvl w:val="0"/>
        <w:numId w:val="18"/>
      </w:numPr>
      <w:adjustRightInd w:val="0"/>
      <w:snapToGrid w:val="0"/>
      <w:spacing w:line="440" w:lineRule="exact"/>
      <w:ind w:firstLine="200" w:firstLineChars="200"/>
      <w:textAlignment w:val="baseline"/>
    </w:pPr>
    <w:rPr>
      <w:rFonts w:eastAsia="仿宋_GB2312"/>
      <w:kern w:val="0"/>
      <w:sz w:val="24"/>
      <w:szCs w:val="20"/>
    </w:rPr>
  </w:style>
  <w:style w:type="character" w:customStyle="1" w:styleId="336">
    <w:name w:val="正文文本 2 字符"/>
    <w:basedOn w:val="79"/>
    <w:link w:val="71"/>
    <w:qFormat/>
    <w:uiPriority w:val="99"/>
    <w:rPr>
      <w:rFonts w:eastAsia="黑体"/>
      <w:b/>
      <w:kern w:val="2"/>
      <w:sz w:val="44"/>
    </w:rPr>
  </w:style>
  <w:style w:type="character" w:customStyle="1" w:styleId="337">
    <w:name w:val="正文文本 3 字符"/>
    <w:basedOn w:val="79"/>
    <w:link w:val="30"/>
    <w:qFormat/>
    <w:uiPriority w:val="0"/>
    <w:rPr>
      <w:rFonts w:eastAsia="楷体_GB2312"/>
      <w:kern w:val="2"/>
      <w:sz w:val="28"/>
    </w:rPr>
  </w:style>
  <w:style w:type="paragraph" w:customStyle="1" w:styleId="338">
    <w:name w:val="小正文"/>
    <w:basedOn w:val="1"/>
    <w:qFormat/>
    <w:uiPriority w:val="0"/>
    <w:pPr>
      <w:widowControl/>
      <w:adjustRightInd w:val="0"/>
      <w:snapToGrid w:val="0"/>
      <w:spacing w:line="240" w:lineRule="atLeast"/>
      <w:ind w:firstLine="200" w:firstLineChars="200"/>
      <w:jc w:val="center"/>
      <w:textAlignment w:val="baseline"/>
    </w:pPr>
    <w:rPr>
      <w:rFonts w:ascii="Arial" w:hAnsi="Arial" w:eastAsia="仿宋_GB2312"/>
      <w:kern w:val="0"/>
      <w:szCs w:val="20"/>
    </w:rPr>
  </w:style>
  <w:style w:type="paragraph" w:customStyle="1" w:styleId="339">
    <w:name w:val="样式 四号 左侧:  1.51 厘米 首行缩进:  1.01 厘米"/>
    <w:basedOn w:val="1"/>
    <w:qFormat/>
    <w:uiPriority w:val="0"/>
    <w:pPr>
      <w:ind w:firstLine="573" w:firstLineChars="200"/>
    </w:pPr>
    <w:rPr>
      <w:rFonts w:ascii="仿宋_GB2312" w:eastAsia="仿宋_GB2312"/>
      <w:szCs w:val="20"/>
    </w:rPr>
  </w:style>
  <w:style w:type="paragraph" w:customStyle="1" w:styleId="340">
    <w:name w:val="样式2"/>
    <w:basedOn w:val="1"/>
    <w:qFormat/>
    <w:uiPriority w:val="0"/>
    <w:pPr>
      <w:tabs>
        <w:tab w:val="left" w:pos="420"/>
        <w:tab w:val="left" w:pos="560"/>
      </w:tabs>
      <w:spacing w:line="300" w:lineRule="auto"/>
      <w:ind w:left="560" w:hanging="360" w:firstLineChars="200"/>
    </w:pPr>
    <w:rPr>
      <w:rFonts w:eastAsia="仿宋_GB2312"/>
      <w:sz w:val="24"/>
      <w:szCs w:val="24"/>
    </w:rPr>
  </w:style>
  <w:style w:type="paragraph" w:customStyle="1" w:styleId="341">
    <w:name w:val="样式4"/>
    <w:basedOn w:val="22"/>
    <w:qFormat/>
    <w:uiPriority w:val="0"/>
    <w:pPr>
      <w:spacing w:line="300" w:lineRule="auto"/>
      <w:ind w:firstLine="200" w:firstLineChars="200"/>
    </w:pPr>
    <w:rPr>
      <w:rFonts w:eastAsia="仿宋_GB2312"/>
      <w:sz w:val="24"/>
      <w:szCs w:val="24"/>
    </w:rPr>
  </w:style>
  <w:style w:type="character" w:customStyle="1" w:styleId="342">
    <w:name w:val="样式4 Char"/>
    <w:qFormat/>
    <w:uiPriority w:val="0"/>
    <w:rPr>
      <w:rFonts w:eastAsia="宋体"/>
      <w:kern w:val="2"/>
      <w:sz w:val="24"/>
      <w:szCs w:val="24"/>
      <w:lang w:val="en-US" w:eastAsia="zh-CN" w:bidi="ar-SA"/>
    </w:rPr>
  </w:style>
  <w:style w:type="paragraph" w:customStyle="1" w:styleId="343">
    <w:name w:val="标准模式"/>
    <w:basedOn w:val="1"/>
    <w:qFormat/>
    <w:uiPriority w:val="0"/>
    <w:pPr>
      <w:ind w:firstLine="200" w:firstLineChars="200"/>
    </w:pPr>
    <w:rPr>
      <w:rFonts w:eastAsia="仿宋_GB2312"/>
      <w:szCs w:val="24"/>
    </w:rPr>
  </w:style>
  <w:style w:type="paragraph" w:customStyle="1" w:styleId="344">
    <w:name w:val="Normal Bullet"/>
    <w:basedOn w:val="1"/>
    <w:qFormat/>
    <w:uiPriority w:val="0"/>
    <w:pPr>
      <w:widowControl/>
      <w:spacing w:before="120"/>
      <w:ind w:left="900" w:hanging="420" w:firstLineChars="200"/>
    </w:pPr>
    <w:rPr>
      <w:rFonts w:eastAsia="仿宋_GB2312"/>
      <w:kern w:val="0"/>
      <w:sz w:val="22"/>
      <w:szCs w:val="20"/>
      <w:lang w:eastAsia="en-US"/>
    </w:rPr>
  </w:style>
  <w:style w:type="paragraph" w:customStyle="1" w:styleId="345">
    <w:name w:val="标题3"/>
    <w:basedOn w:val="6"/>
    <w:qFormat/>
    <w:uiPriority w:val="0"/>
    <w:pPr>
      <w:keepLines/>
      <w:widowControl w:val="0"/>
      <w:tabs>
        <w:tab w:val="left" w:pos="14"/>
        <w:tab w:val="left" w:pos="964"/>
        <w:tab w:val="left" w:pos="2977"/>
      </w:tabs>
      <w:spacing w:after="0" w:afterLines="0" w:line="377" w:lineRule="auto"/>
      <w:ind w:left="14" w:firstLine="0"/>
      <w:jc w:val="both"/>
    </w:pPr>
    <w:rPr>
      <w:rFonts w:ascii="宋体" w:hAnsi="黑体"/>
      <w:bCs/>
      <w:smallCaps w:val="0"/>
      <w:color w:val="auto"/>
      <w:kern w:val="2"/>
    </w:rPr>
  </w:style>
  <w:style w:type="paragraph" w:customStyle="1" w:styleId="346">
    <w:name w:val="图表目录0"/>
    <w:basedOn w:val="1"/>
    <w:next w:val="1"/>
    <w:qFormat/>
    <w:uiPriority w:val="0"/>
    <w:pPr>
      <w:widowControl/>
      <w:tabs>
        <w:tab w:val="left" w:pos="1440"/>
        <w:tab w:val="left" w:pos="3240"/>
      </w:tabs>
      <w:adjustRightInd w:val="0"/>
      <w:snapToGrid w:val="0"/>
      <w:ind w:left="432" w:hanging="432" w:firstLineChars="200"/>
      <w:jc w:val="left"/>
      <w:textAlignment w:val="baseline"/>
    </w:pPr>
    <w:rPr>
      <w:rFonts w:ascii="Arial" w:hAnsi="Arial" w:eastAsia="仿宋_GB2312"/>
      <w:color w:val="FFFFFF"/>
      <w:kern w:val="0"/>
      <w:sz w:val="24"/>
      <w:szCs w:val="20"/>
    </w:rPr>
  </w:style>
  <w:style w:type="paragraph" w:customStyle="1" w:styleId="347">
    <w:name w:val="图表二级"/>
    <w:basedOn w:val="1"/>
    <w:next w:val="1"/>
    <w:qFormat/>
    <w:uiPriority w:val="0"/>
    <w:pPr>
      <w:widowControl/>
      <w:tabs>
        <w:tab w:val="left" w:pos="720"/>
        <w:tab w:val="left" w:pos="3240"/>
      </w:tabs>
      <w:adjustRightInd w:val="0"/>
      <w:snapToGrid w:val="0"/>
      <w:ind w:left="576" w:hanging="576" w:firstLineChars="200"/>
      <w:jc w:val="center"/>
      <w:textAlignment w:val="baseline"/>
    </w:pPr>
    <w:rPr>
      <w:rFonts w:ascii="Arial" w:hAnsi="Arial" w:eastAsia="仿宋_GB2312"/>
      <w:kern w:val="0"/>
      <w:sz w:val="24"/>
      <w:szCs w:val="20"/>
    </w:rPr>
  </w:style>
  <w:style w:type="paragraph" w:customStyle="1" w:styleId="348">
    <w:name w:val="并列项-点"/>
    <w:basedOn w:val="1"/>
    <w:qFormat/>
    <w:uiPriority w:val="0"/>
    <w:pPr>
      <w:widowControl/>
      <w:tabs>
        <w:tab w:val="left" w:pos="851"/>
        <w:tab w:val="left" w:pos="927"/>
        <w:tab w:val="left" w:pos="3240"/>
      </w:tabs>
      <w:adjustRightInd w:val="0"/>
      <w:snapToGrid w:val="0"/>
      <w:spacing w:before="25" w:beforeLines="25"/>
      <w:ind w:left="851" w:hanging="284" w:firstLineChars="200"/>
      <w:textAlignment w:val="baseline"/>
    </w:pPr>
    <w:rPr>
      <w:rFonts w:ascii="Arial" w:hAnsi="Arial" w:eastAsia="仿宋_GB2312"/>
      <w:kern w:val="0"/>
      <w:sz w:val="24"/>
      <w:szCs w:val="20"/>
    </w:rPr>
  </w:style>
  <w:style w:type="paragraph" w:customStyle="1" w:styleId="349">
    <w:name w:val="bodycopy"/>
    <w:basedOn w:val="1"/>
    <w:qFormat/>
    <w:uiPriority w:val="0"/>
    <w:pPr>
      <w:widowControl/>
      <w:spacing w:before="100" w:beforeAutospacing="1" w:after="100" w:afterAutospacing="1"/>
      <w:ind w:firstLine="200" w:firstLineChars="200"/>
      <w:jc w:val="left"/>
    </w:pPr>
    <w:rPr>
      <w:rFonts w:ascii="Arial Unicode MS" w:hAnsi="Arial Unicode MS" w:eastAsia="仿宋_GB2312"/>
      <w:kern w:val="0"/>
      <w:sz w:val="24"/>
      <w:szCs w:val="24"/>
    </w:rPr>
  </w:style>
  <w:style w:type="paragraph" w:customStyle="1" w:styleId="350">
    <w:name w:val="para_small"/>
    <w:basedOn w:val="1"/>
    <w:qFormat/>
    <w:uiPriority w:val="0"/>
    <w:pPr>
      <w:widowControl/>
      <w:spacing w:before="100" w:beforeAutospacing="1" w:after="100" w:afterAutospacing="1"/>
      <w:ind w:firstLine="200" w:firstLineChars="200"/>
      <w:jc w:val="left"/>
    </w:pPr>
    <w:rPr>
      <w:rFonts w:ascii="宋体" w:hAnsi="宋体" w:eastAsia="仿宋_GB2312"/>
      <w:color w:val="000000"/>
      <w:kern w:val="0"/>
      <w:sz w:val="24"/>
      <w:szCs w:val="24"/>
    </w:rPr>
  </w:style>
  <w:style w:type="paragraph" w:customStyle="1" w:styleId="351">
    <w:name w:val="ystem"/>
    <w:basedOn w:val="1"/>
    <w:qFormat/>
    <w:uiPriority w:val="0"/>
    <w:pPr>
      <w:widowControl/>
      <w:spacing w:before="120"/>
      <w:ind w:firstLine="200" w:firstLineChars="200"/>
    </w:pPr>
    <w:rPr>
      <w:rFonts w:eastAsia="仿宋_GB2312"/>
      <w:color w:val="000000"/>
      <w:kern w:val="0"/>
      <w:sz w:val="24"/>
      <w:szCs w:val="20"/>
      <w:lang w:eastAsia="en-US"/>
    </w:rPr>
  </w:style>
  <w:style w:type="paragraph" w:customStyle="1" w:styleId="352">
    <w:name w:val="Body"/>
    <w:basedOn w:val="1"/>
    <w:qFormat/>
    <w:uiPriority w:val="0"/>
    <w:pPr>
      <w:widowControl/>
      <w:tabs>
        <w:tab w:val="left" w:pos="3240"/>
      </w:tabs>
      <w:spacing w:before="120"/>
      <w:ind w:left="-117" w:firstLine="200" w:firstLineChars="200"/>
    </w:pPr>
    <w:rPr>
      <w:rFonts w:ascii="Arial" w:hAnsi="Arial" w:eastAsia="仿宋_GB2312"/>
      <w:kern w:val="0"/>
      <w:sz w:val="24"/>
      <w:szCs w:val="20"/>
      <w:lang w:val="en-GB" w:eastAsia="en-US"/>
    </w:rPr>
  </w:style>
  <w:style w:type="character" w:customStyle="1" w:styleId="353">
    <w:name w:val="HTML 预设格式 字符"/>
    <w:basedOn w:val="79"/>
    <w:link w:val="75"/>
    <w:qFormat/>
    <w:uiPriority w:val="0"/>
    <w:rPr>
      <w:rFonts w:ascii="Arial Unicode MS" w:hAnsi="Arial Unicode MS" w:eastAsia="Arial Unicode MS"/>
    </w:rPr>
  </w:style>
  <w:style w:type="paragraph" w:customStyle="1" w:styleId="354">
    <w:name w:val="文档正文"/>
    <w:basedOn w:val="1"/>
    <w:qFormat/>
    <w:uiPriority w:val="0"/>
    <w:pPr>
      <w:autoSpaceDE w:val="0"/>
      <w:autoSpaceDN w:val="0"/>
      <w:adjustRightInd w:val="0"/>
      <w:spacing w:before="100" w:beforeAutospacing="1" w:after="100" w:afterAutospacing="1"/>
      <w:ind w:firstLine="480" w:firstLineChars="200"/>
    </w:pPr>
    <w:rPr>
      <w:rFonts w:ascii="宋体" w:hAnsi="宋体" w:eastAsia="仿宋_GB2312"/>
      <w:bCs/>
      <w:color w:val="000000"/>
      <w:sz w:val="24"/>
      <w:szCs w:val="20"/>
    </w:rPr>
  </w:style>
  <w:style w:type="character" w:customStyle="1" w:styleId="355">
    <w:name w:val="文档正文 Char"/>
    <w:qFormat/>
    <w:uiPriority w:val="0"/>
    <w:rPr>
      <w:rFonts w:ascii="宋体" w:eastAsia="宋体"/>
      <w:color w:val="000000"/>
      <w:kern w:val="2"/>
      <w:sz w:val="24"/>
      <w:lang w:val="en-US" w:eastAsia="zh-CN" w:bidi="ar-SA"/>
    </w:rPr>
  </w:style>
  <w:style w:type="character" w:customStyle="1" w:styleId="356">
    <w:name w:val="zi"/>
    <w:qFormat/>
    <w:uiPriority w:val="0"/>
  </w:style>
  <w:style w:type="paragraph" w:customStyle="1" w:styleId="357">
    <w:name w:val="SubSection Title"/>
    <w:basedOn w:val="1"/>
    <w:next w:val="3"/>
    <w:qFormat/>
    <w:uiPriority w:val="0"/>
    <w:pPr>
      <w:keepNext/>
      <w:widowControl/>
      <w:spacing w:before="240"/>
      <w:ind w:firstLine="200" w:firstLineChars="200"/>
      <w:jc w:val="left"/>
    </w:pPr>
    <w:rPr>
      <w:rFonts w:eastAsia="仿宋_GB2312"/>
      <w:b/>
      <w:kern w:val="0"/>
      <w:sz w:val="26"/>
      <w:szCs w:val="20"/>
      <w:lang w:val="en-GB"/>
    </w:rPr>
  </w:style>
  <w:style w:type="paragraph" w:customStyle="1" w:styleId="358">
    <w:name w:val="textinden"/>
    <w:basedOn w:val="1"/>
    <w:qFormat/>
    <w:uiPriority w:val="0"/>
    <w:pPr>
      <w:widowControl/>
      <w:spacing w:before="100" w:beforeAutospacing="1" w:after="100" w:afterAutospacing="1" w:line="360" w:lineRule="auto"/>
      <w:ind w:firstLine="480" w:firstLineChars="200"/>
      <w:jc w:val="left"/>
    </w:pPr>
    <w:rPr>
      <w:rFonts w:ascii="Arial" w:hAnsi="Arial" w:eastAsia="仿宋_GB2312" w:cs="Arial"/>
      <w:kern w:val="0"/>
      <w:sz w:val="24"/>
      <w:szCs w:val="24"/>
    </w:rPr>
  </w:style>
  <w:style w:type="character" w:customStyle="1" w:styleId="359">
    <w:name w:val="尾注文本 字符"/>
    <w:basedOn w:val="79"/>
    <w:link w:val="48"/>
    <w:qFormat/>
    <w:uiPriority w:val="0"/>
    <w:rPr>
      <w:rFonts w:eastAsia="仿宋_GB2312"/>
      <w:kern w:val="2"/>
      <w:sz w:val="21"/>
      <w:szCs w:val="24"/>
    </w:rPr>
  </w:style>
  <w:style w:type="paragraph" w:customStyle="1" w:styleId="360">
    <w:name w:val="点序列"/>
    <w:basedOn w:val="1"/>
    <w:qFormat/>
    <w:uiPriority w:val="0"/>
    <w:pPr>
      <w:tabs>
        <w:tab w:val="left" w:pos="425"/>
      </w:tabs>
      <w:adjustRightInd w:val="0"/>
      <w:spacing w:before="60" w:after="60" w:line="300" w:lineRule="auto"/>
      <w:ind w:left="425" w:hanging="425" w:firstLineChars="200"/>
      <w:textAlignment w:val="baseline"/>
    </w:pPr>
    <w:rPr>
      <w:rFonts w:eastAsia="仿宋_GB2312"/>
      <w:kern w:val="0"/>
      <w:sz w:val="24"/>
      <w:szCs w:val="20"/>
    </w:rPr>
  </w:style>
  <w:style w:type="character" w:customStyle="1" w:styleId="361">
    <w:name w:val="atitle2"/>
    <w:qFormat/>
    <w:uiPriority w:val="0"/>
  </w:style>
  <w:style w:type="paragraph" w:customStyle="1" w:styleId="362">
    <w:name w:val="Disclaimer"/>
    <w:basedOn w:val="1"/>
    <w:qFormat/>
    <w:uiPriority w:val="0"/>
    <w:pPr>
      <w:spacing w:after="120" w:line="360" w:lineRule="auto"/>
      <w:ind w:firstLine="200" w:firstLineChars="200"/>
    </w:pPr>
    <w:rPr>
      <w:rFonts w:eastAsia="仿宋_GB2312"/>
      <w:szCs w:val="20"/>
    </w:rPr>
  </w:style>
  <w:style w:type="paragraph" w:customStyle="1" w:styleId="363">
    <w:name w:val="KX正文"/>
    <w:basedOn w:val="1"/>
    <w:qFormat/>
    <w:uiPriority w:val="0"/>
    <w:pPr>
      <w:spacing w:line="440" w:lineRule="exact"/>
      <w:ind w:firstLine="200" w:firstLineChars="200"/>
      <w:jc w:val="left"/>
    </w:pPr>
    <w:rPr>
      <w:rFonts w:ascii="仿宋_GB2312" w:eastAsia="仿宋_GB2312"/>
      <w:kern w:val="0"/>
      <w:sz w:val="28"/>
      <w:szCs w:val="20"/>
    </w:rPr>
  </w:style>
  <w:style w:type="paragraph" w:customStyle="1" w:styleId="364">
    <w:name w:val="样式 正文缩进正文（首行缩进两字）表正文正文非缩进首行缩进特点段1标题4四号正文不缩进 + 宋体 段前: 7..."/>
    <w:basedOn w:val="22"/>
    <w:qFormat/>
    <w:uiPriority w:val="0"/>
    <w:pPr>
      <w:tabs>
        <w:tab w:val="left" w:pos="360"/>
        <w:tab w:val="left" w:pos="1320"/>
      </w:tabs>
      <w:adjustRightInd w:val="0"/>
      <w:snapToGrid w:val="0"/>
      <w:spacing w:before="156" w:after="156" w:line="360" w:lineRule="auto"/>
      <w:ind w:left="200" w:leftChars="200" w:hanging="420" w:firstLineChars="200"/>
    </w:pPr>
    <w:rPr>
      <w:rFonts w:ascii="宋体" w:hAnsi="宋体" w:eastAsia="仿宋_GB2312"/>
      <w:kern w:val="24"/>
      <w:sz w:val="24"/>
    </w:rPr>
  </w:style>
  <w:style w:type="paragraph" w:customStyle="1" w:styleId="365">
    <w:name w:val="xl25"/>
    <w:basedOn w:val="1"/>
    <w:qFormat/>
    <w:uiPriority w:val="0"/>
    <w:pPr>
      <w:widowControl/>
      <w:pBdr>
        <w:right w:val="single" w:color="auto" w:sz="8" w:space="0"/>
      </w:pBdr>
      <w:tabs>
        <w:tab w:val="left" w:pos="360"/>
      </w:tabs>
      <w:adjustRightInd w:val="0"/>
      <w:snapToGrid w:val="0"/>
      <w:spacing w:before="100" w:beforeAutospacing="1" w:after="100" w:afterAutospacing="1" w:line="360" w:lineRule="auto"/>
      <w:ind w:left="480" w:firstLine="480" w:firstLineChars="200"/>
      <w:textAlignment w:val="top"/>
    </w:pPr>
    <w:rPr>
      <w:rFonts w:ascii="Arial Unicode MS" w:hAnsi="Arial Unicode MS" w:eastAsia="Arial Unicode MS" w:cs="Arial Unicode MS"/>
      <w:kern w:val="0"/>
      <w:sz w:val="24"/>
    </w:rPr>
  </w:style>
  <w:style w:type="paragraph" w:customStyle="1" w:styleId="366">
    <w:name w:val="表格"/>
    <w:basedOn w:val="1"/>
    <w:link w:val="473"/>
    <w:qFormat/>
    <w:uiPriority w:val="0"/>
    <w:pPr>
      <w:adjustRightInd w:val="0"/>
      <w:snapToGrid w:val="0"/>
      <w:spacing w:line="240" w:lineRule="atLeast"/>
      <w:ind w:firstLine="200" w:firstLineChars="200"/>
      <w:jc w:val="left"/>
      <w:textAlignment w:val="top"/>
    </w:pPr>
    <w:rPr>
      <w:rFonts w:ascii="宋体" w:hAnsi="宋体" w:eastAsia="仿宋_GB2312"/>
      <w:kern w:val="24"/>
      <w:szCs w:val="28"/>
    </w:rPr>
  </w:style>
  <w:style w:type="paragraph" w:customStyle="1" w:styleId="367">
    <w:name w:val="样式 标题 1H1正文一级标题h1l1Head 1 (Chapter heading)Head 1Head 11..."/>
    <w:basedOn w:val="3"/>
    <w:qFormat/>
    <w:uiPriority w:val="0"/>
    <w:pPr>
      <w:keepLines/>
      <w:tabs>
        <w:tab w:val="left" w:pos="360"/>
      </w:tabs>
      <w:adjustRightInd w:val="0"/>
      <w:snapToGrid w:val="0"/>
      <w:spacing w:before="340" w:after="330" w:line="360" w:lineRule="auto"/>
      <w:ind w:left="2559" w:hanging="432"/>
      <w:jc w:val="both"/>
    </w:pPr>
    <w:rPr>
      <w:rFonts w:ascii="宋体" w:hAnsi="宋体"/>
      <w:bCs/>
      <w:kern w:val="44"/>
      <w:sz w:val="30"/>
      <w:szCs w:val="44"/>
    </w:rPr>
  </w:style>
  <w:style w:type="paragraph" w:customStyle="1" w:styleId="368">
    <w:name w:val="样式 标题 2H2TopicHeading 2 HiddenHeading 2 CCBSheading 2Titre...2"/>
    <w:basedOn w:val="4"/>
    <w:qFormat/>
    <w:uiPriority w:val="0"/>
    <w:pPr>
      <w:keepLines/>
      <w:widowControl/>
      <w:numPr>
        <w:ilvl w:val="0"/>
        <w:numId w:val="0"/>
      </w:numPr>
      <w:tabs>
        <w:tab w:val="left" w:pos="360"/>
      </w:tabs>
      <w:adjustRightInd w:val="0"/>
      <w:snapToGrid w:val="0"/>
      <w:spacing w:before="100" w:beforeAutospacing="1" w:after="100" w:afterAutospacing="1" w:line="400" w:lineRule="atLeast"/>
      <w:jc w:val="left"/>
    </w:pPr>
    <w:rPr>
      <w:rFonts w:hAnsi="黑体" w:eastAsia="黑体"/>
      <w:b w:val="0"/>
      <w:bCs/>
      <w:kern w:val="24"/>
      <w:sz w:val="28"/>
    </w:rPr>
  </w:style>
  <w:style w:type="paragraph" w:customStyle="1" w:styleId="369">
    <w:name w:val="样式 标题 3H3h33rd levelHeading 3 - oldlevel_3PIM 3Level 3 He...1"/>
    <w:basedOn w:val="5"/>
    <w:qFormat/>
    <w:uiPriority w:val="0"/>
    <w:pPr>
      <w:keepNext/>
      <w:keepLines/>
      <w:numPr>
        <w:ilvl w:val="0"/>
        <w:numId w:val="0"/>
      </w:numPr>
      <w:pBdr>
        <w:top w:val="none" w:color="auto" w:sz="0" w:space="0"/>
      </w:pBdr>
      <w:tabs>
        <w:tab w:val="left" w:pos="360"/>
        <w:tab w:val="left" w:pos="426"/>
      </w:tabs>
      <w:topLinePunct/>
      <w:adjustRightInd w:val="0"/>
      <w:snapToGrid w:val="0"/>
      <w:spacing w:before="240" w:after="0" w:afterLines="0" w:line="416" w:lineRule="atLeast"/>
      <w:jc w:val="both"/>
    </w:pPr>
    <w:rPr>
      <w:rFonts w:ascii="楷体_GB2312" w:hAnsi="宋体" w:eastAsia="黑体"/>
      <w:kern w:val="24"/>
      <w:sz w:val="24"/>
    </w:rPr>
  </w:style>
  <w:style w:type="paragraph" w:customStyle="1" w:styleId="370">
    <w:name w:val="样式 标题 4H4PIM 4h4heading 4 + Indent: Left 0.5 in4 dashddas..."/>
    <w:basedOn w:val="6"/>
    <w:qFormat/>
    <w:uiPriority w:val="0"/>
    <w:pPr>
      <w:keepLines/>
      <w:widowControl w:val="0"/>
      <w:tabs>
        <w:tab w:val="left" w:pos="14"/>
        <w:tab w:val="left" w:pos="360"/>
        <w:tab w:val="left" w:pos="2977"/>
      </w:tabs>
      <w:adjustRightInd w:val="0"/>
      <w:snapToGrid w:val="0"/>
      <w:spacing w:after="120" w:afterLines="0" w:line="360" w:lineRule="auto"/>
      <w:ind w:left="14" w:firstLine="0"/>
    </w:pPr>
    <w:rPr>
      <w:rFonts w:ascii="仿宋_GB2312" w:hAnsi="黑体"/>
      <w:bCs/>
      <w:smallCaps w:val="0"/>
      <w:color w:val="auto"/>
      <w:kern w:val="24"/>
    </w:rPr>
  </w:style>
  <w:style w:type="paragraph" w:customStyle="1" w:styleId="371">
    <w:name w:val="项目符号2"/>
    <w:basedOn w:val="1"/>
    <w:qFormat/>
    <w:uiPriority w:val="0"/>
    <w:pPr>
      <w:adjustRightInd w:val="0"/>
      <w:spacing w:line="360" w:lineRule="auto"/>
      <w:ind w:firstLine="200" w:firstLineChars="200"/>
      <w:textAlignment w:val="baseline"/>
    </w:pPr>
    <w:rPr>
      <w:rFonts w:eastAsia="仿宋_GB2312"/>
      <w:kern w:val="24"/>
      <w:sz w:val="24"/>
      <w:szCs w:val="20"/>
    </w:rPr>
  </w:style>
  <w:style w:type="paragraph" w:customStyle="1" w:styleId="372">
    <w:name w:val="参考文献"/>
    <w:basedOn w:val="1"/>
    <w:qFormat/>
    <w:uiPriority w:val="0"/>
    <w:pPr>
      <w:widowControl/>
      <w:adjustRightInd w:val="0"/>
      <w:snapToGrid w:val="0"/>
      <w:spacing w:before="120" w:after="240" w:line="360" w:lineRule="atLeast"/>
      <w:ind w:firstLine="200" w:firstLineChars="200"/>
      <w:jc w:val="center"/>
      <w:textAlignment w:val="baseline"/>
    </w:pPr>
    <w:rPr>
      <w:rFonts w:eastAsia="黑体"/>
      <w:spacing w:val="120"/>
      <w:kern w:val="0"/>
      <w:sz w:val="24"/>
      <w:szCs w:val="20"/>
    </w:rPr>
  </w:style>
  <w:style w:type="paragraph" w:customStyle="1" w:styleId="373">
    <w:name w:val="标题1，章节第一层"/>
    <w:basedOn w:val="1"/>
    <w:next w:val="332"/>
    <w:qFormat/>
    <w:uiPriority w:val="0"/>
    <w:pPr>
      <w:tabs>
        <w:tab w:val="left" w:pos="360"/>
        <w:tab w:val="left" w:pos="693"/>
      </w:tabs>
      <w:spacing w:before="624" w:beforeLines="200" w:after="624" w:afterLines="200" w:line="300" w:lineRule="auto"/>
      <w:ind w:left="-425" w:firstLine="425" w:firstLineChars="200"/>
      <w:outlineLvl w:val="0"/>
    </w:pPr>
    <w:rPr>
      <w:rFonts w:ascii="Arial" w:hAnsi="Arial" w:eastAsia="黑体"/>
      <w:sz w:val="36"/>
      <w:szCs w:val="24"/>
    </w:rPr>
  </w:style>
  <w:style w:type="paragraph" w:customStyle="1" w:styleId="374">
    <w:name w:val="标题2，章节第二层"/>
    <w:basedOn w:val="1"/>
    <w:next w:val="332"/>
    <w:qFormat/>
    <w:uiPriority w:val="0"/>
    <w:pPr>
      <w:tabs>
        <w:tab w:val="left" w:pos="630"/>
        <w:tab w:val="left" w:pos="720"/>
      </w:tabs>
      <w:adjustRightInd w:val="0"/>
      <w:snapToGrid w:val="0"/>
      <w:spacing w:before="312" w:beforeLines="100" w:after="312" w:afterLines="100" w:line="300" w:lineRule="auto"/>
      <w:ind w:left="142" w:hanging="142" w:firstLineChars="200"/>
      <w:outlineLvl w:val="1"/>
    </w:pPr>
    <w:rPr>
      <w:rFonts w:ascii="Arial" w:hAnsi="Arial" w:eastAsia="黑体"/>
      <w:sz w:val="32"/>
      <w:szCs w:val="24"/>
    </w:rPr>
  </w:style>
  <w:style w:type="paragraph" w:customStyle="1" w:styleId="375">
    <w:name w:val="标题3，章节第三层"/>
    <w:basedOn w:val="1"/>
    <w:next w:val="332"/>
    <w:qFormat/>
    <w:uiPriority w:val="0"/>
    <w:pPr>
      <w:tabs>
        <w:tab w:val="left" w:pos="1080"/>
        <w:tab w:val="left" w:pos="2160"/>
      </w:tabs>
      <w:adjustRightInd w:val="0"/>
      <w:snapToGrid w:val="0"/>
      <w:spacing w:before="78" w:line="300" w:lineRule="auto"/>
      <w:ind w:left="567" w:hanging="567" w:firstLineChars="200"/>
      <w:outlineLvl w:val="2"/>
    </w:pPr>
    <w:rPr>
      <w:rFonts w:ascii="Arial" w:hAnsi="Arial" w:eastAsia="华文细黑"/>
      <w:sz w:val="30"/>
      <w:szCs w:val="24"/>
    </w:rPr>
  </w:style>
  <w:style w:type="paragraph" w:customStyle="1" w:styleId="376">
    <w:name w:val="标题4，章节第四层"/>
    <w:basedOn w:val="1"/>
    <w:next w:val="332"/>
    <w:qFormat/>
    <w:uiPriority w:val="0"/>
    <w:pPr>
      <w:tabs>
        <w:tab w:val="left" w:pos="630"/>
      </w:tabs>
      <w:ind w:left="709" w:hanging="709" w:firstLineChars="200"/>
      <w:outlineLvl w:val="3"/>
    </w:pPr>
    <w:rPr>
      <w:rFonts w:ascii="Arial" w:hAnsi="Arial" w:eastAsia="华文细黑"/>
      <w:sz w:val="30"/>
      <w:szCs w:val="24"/>
    </w:rPr>
  </w:style>
  <w:style w:type="paragraph" w:customStyle="1" w:styleId="377">
    <w:name w:val="标题5，章节第五层"/>
    <w:basedOn w:val="1"/>
    <w:next w:val="332"/>
    <w:qFormat/>
    <w:uiPriority w:val="0"/>
    <w:pPr>
      <w:tabs>
        <w:tab w:val="left" w:pos="1050"/>
      </w:tabs>
      <w:spacing w:before="78"/>
      <w:ind w:left="851" w:hanging="851" w:firstLineChars="200"/>
      <w:outlineLvl w:val="4"/>
    </w:pPr>
    <w:rPr>
      <w:rFonts w:ascii="Arial" w:hAnsi="Arial" w:eastAsia="华文细黑"/>
      <w:sz w:val="30"/>
      <w:szCs w:val="24"/>
    </w:rPr>
  </w:style>
  <w:style w:type="paragraph" w:customStyle="1" w:styleId="378">
    <w:name w:val="文件标识号"/>
    <w:basedOn w:val="1"/>
    <w:qFormat/>
    <w:uiPriority w:val="0"/>
    <w:pPr>
      <w:widowControl/>
      <w:adjustRightInd w:val="0"/>
      <w:snapToGrid w:val="0"/>
      <w:spacing w:before="120" w:after="120" w:line="1440" w:lineRule="auto"/>
      <w:ind w:firstLine="200" w:firstLineChars="200"/>
      <w:jc w:val="center"/>
      <w:textAlignment w:val="baseline"/>
    </w:pPr>
    <w:rPr>
      <w:rFonts w:ascii="Arial" w:hAnsi="Arial" w:eastAsia="黑体"/>
      <w:spacing w:val="10"/>
      <w:kern w:val="0"/>
      <w:sz w:val="32"/>
      <w:szCs w:val="20"/>
    </w:rPr>
  </w:style>
  <w:style w:type="paragraph" w:customStyle="1" w:styleId="379">
    <w:name w:val="contentlabel"/>
    <w:basedOn w:val="1"/>
    <w:qFormat/>
    <w:uiPriority w:val="0"/>
    <w:pPr>
      <w:widowControl/>
      <w:spacing w:before="30" w:after="100" w:afterAutospacing="1"/>
      <w:ind w:left="90" w:firstLine="200" w:firstLineChars="200"/>
      <w:jc w:val="left"/>
    </w:pPr>
    <w:rPr>
      <w:rFonts w:ascii="Arial Unicode MS" w:hAnsi="Arial Unicode MS" w:eastAsia="仿宋_GB2312"/>
      <w:color w:val="336666"/>
      <w:kern w:val="0"/>
      <w:sz w:val="18"/>
      <w:szCs w:val="18"/>
    </w:rPr>
  </w:style>
  <w:style w:type="paragraph" w:customStyle="1" w:styleId="380">
    <w:name w:val="BodyText"/>
    <w:basedOn w:val="1"/>
    <w:qFormat/>
    <w:uiPriority w:val="0"/>
    <w:pPr>
      <w:widowControl/>
      <w:spacing w:before="120" w:after="120" w:line="360" w:lineRule="auto"/>
      <w:ind w:firstLine="200" w:firstLineChars="200"/>
    </w:pPr>
    <w:rPr>
      <w:rFonts w:ascii="宋体" w:eastAsia="仿宋_GB2312"/>
      <w:snapToGrid w:val="0"/>
      <w:kern w:val="0"/>
      <w:sz w:val="28"/>
      <w:szCs w:val="20"/>
      <w:lang w:eastAsia="en-US"/>
    </w:rPr>
  </w:style>
  <w:style w:type="paragraph" w:customStyle="1" w:styleId="381">
    <w:name w:val="图，整体编号"/>
    <w:basedOn w:val="332"/>
    <w:next w:val="332"/>
    <w:qFormat/>
    <w:uiPriority w:val="0"/>
    <w:pPr>
      <w:tabs>
        <w:tab w:val="left" w:pos="720"/>
      </w:tabs>
      <w:spacing w:before="25" w:beforeLines="25" w:line="360" w:lineRule="auto"/>
      <w:ind w:left="647" w:hanging="420"/>
      <w:jc w:val="center"/>
    </w:pPr>
    <w:rPr>
      <w:rFonts w:ascii="Arial" w:hAnsi="Arial" w:eastAsia="华文细黑"/>
    </w:rPr>
  </w:style>
  <w:style w:type="paragraph" w:customStyle="1" w:styleId="382">
    <w:name w:val="表，整体编号"/>
    <w:basedOn w:val="332"/>
    <w:next w:val="332"/>
    <w:qFormat/>
    <w:uiPriority w:val="0"/>
    <w:pPr>
      <w:tabs>
        <w:tab w:val="center" w:pos="420"/>
      </w:tabs>
      <w:spacing w:before="25" w:beforeLines="25" w:line="360" w:lineRule="auto"/>
      <w:ind w:left="647" w:hanging="420"/>
      <w:jc w:val="center"/>
    </w:pPr>
    <w:rPr>
      <w:rFonts w:ascii="Arial" w:hAnsi="Arial" w:eastAsia="华文细黑"/>
    </w:rPr>
  </w:style>
  <w:style w:type="paragraph" w:customStyle="1" w:styleId="383">
    <w:name w:val="列表项1，点"/>
    <w:basedOn w:val="332"/>
    <w:qFormat/>
    <w:uiPriority w:val="0"/>
    <w:pPr>
      <w:spacing w:before="78" w:beforeLines="25" w:line="360" w:lineRule="auto"/>
      <w:ind w:left="647" w:hanging="420"/>
    </w:pPr>
    <w:rPr>
      <w:rFonts w:ascii="Arial" w:hAnsi="Arial" w:eastAsia="新宋体"/>
      <w:i/>
      <w:sz w:val="21"/>
    </w:rPr>
  </w:style>
  <w:style w:type="paragraph" w:customStyle="1" w:styleId="384">
    <w:name w:val="列表项2，点"/>
    <w:basedOn w:val="332"/>
    <w:qFormat/>
    <w:uiPriority w:val="0"/>
    <w:pPr>
      <w:spacing w:before="25" w:beforeLines="25" w:line="360" w:lineRule="auto"/>
      <w:ind w:left="720" w:leftChars="300" w:hanging="432"/>
    </w:pPr>
    <w:rPr>
      <w:rFonts w:ascii="Arial" w:hAnsi="Arial" w:eastAsia="新宋体"/>
      <w:i/>
    </w:rPr>
  </w:style>
  <w:style w:type="character" w:customStyle="1" w:styleId="385">
    <w:name w:val="boldcontent"/>
    <w:qFormat/>
    <w:uiPriority w:val="0"/>
  </w:style>
  <w:style w:type="character" w:customStyle="1" w:styleId="386">
    <w:name w:val="content"/>
    <w:qFormat/>
    <w:uiPriority w:val="0"/>
  </w:style>
  <w:style w:type="paragraph" w:customStyle="1" w:styleId="387">
    <w:name w:val="font5"/>
    <w:basedOn w:val="1"/>
    <w:qFormat/>
    <w:uiPriority w:val="0"/>
    <w:pPr>
      <w:widowControl/>
      <w:spacing w:before="100" w:beforeAutospacing="1" w:after="100" w:afterAutospacing="1"/>
      <w:ind w:firstLine="200" w:firstLineChars="200"/>
      <w:jc w:val="left"/>
    </w:pPr>
    <w:rPr>
      <w:rFonts w:hint="eastAsia" w:ascii="宋体" w:hAnsi="宋体" w:eastAsia="仿宋_GB2312" w:cs="Arial Unicode MS"/>
      <w:kern w:val="0"/>
      <w:sz w:val="18"/>
      <w:szCs w:val="18"/>
    </w:rPr>
  </w:style>
  <w:style w:type="paragraph" w:customStyle="1" w:styleId="388">
    <w:name w:val="font6"/>
    <w:basedOn w:val="1"/>
    <w:qFormat/>
    <w:uiPriority w:val="0"/>
    <w:pPr>
      <w:widowControl/>
      <w:spacing w:before="100" w:beforeAutospacing="1" w:after="100" w:afterAutospacing="1"/>
      <w:ind w:firstLine="200" w:firstLineChars="200"/>
      <w:jc w:val="left"/>
    </w:pPr>
    <w:rPr>
      <w:rFonts w:eastAsia="Arial Unicode MS"/>
      <w:kern w:val="0"/>
      <w:sz w:val="20"/>
      <w:szCs w:val="20"/>
    </w:rPr>
  </w:style>
  <w:style w:type="paragraph" w:customStyle="1" w:styleId="389">
    <w:name w:val="font7"/>
    <w:basedOn w:val="1"/>
    <w:qFormat/>
    <w:uiPriority w:val="0"/>
    <w:pPr>
      <w:widowControl/>
      <w:spacing w:before="100" w:beforeAutospacing="1" w:after="100" w:afterAutospacing="1"/>
      <w:ind w:firstLine="200" w:firstLineChars="200"/>
      <w:jc w:val="left"/>
    </w:pPr>
    <w:rPr>
      <w:rFonts w:hint="eastAsia" w:ascii="宋体" w:hAnsi="宋体" w:eastAsia="仿宋_GB2312" w:cs="Arial Unicode MS"/>
      <w:kern w:val="0"/>
      <w:sz w:val="20"/>
      <w:szCs w:val="20"/>
    </w:rPr>
  </w:style>
  <w:style w:type="paragraph" w:customStyle="1" w:styleId="39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textAlignment w:val="center"/>
    </w:pPr>
    <w:rPr>
      <w:rFonts w:ascii="Arial Unicode MS" w:hAnsi="Arial Unicode MS" w:eastAsia="Arial Unicode MS" w:cs="Arial Unicode MS"/>
      <w:kern w:val="0"/>
      <w:sz w:val="18"/>
      <w:szCs w:val="18"/>
    </w:rPr>
  </w:style>
  <w:style w:type="paragraph" w:customStyle="1" w:styleId="391">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center"/>
    </w:pPr>
    <w:rPr>
      <w:rFonts w:ascii="Arial Unicode MS" w:hAnsi="Arial Unicode MS" w:eastAsia="Arial Unicode MS" w:cs="Arial Unicode MS"/>
      <w:kern w:val="0"/>
      <w:sz w:val="18"/>
      <w:szCs w:val="18"/>
    </w:rPr>
  </w:style>
  <w:style w:type="paragraph" w:customStyle="1" w:styleId="39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center"/>
    </w:pPr>
    <w:rPr>
      <w:rFonts w:eastAsia="Arial Unicode MS"/>
      <w:kern w:val="0"/>
      <w:sz w:val="18"/>
      <w:szCs w:val="18"/>
    </w:rPr>
  </w:style>
  <w:style w:type="paragraph" w:customStyle="1" w:styleId="39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textAlignment w:val="center"/>
    </w:pPr>
    <w:rPr>
      <w:rFonts w:eastAsia="Arial Unicode MS"/>
      <w:kern w:val="0"/>
      <w:sz w:val="18"/>
      <w:szCs w:val="18"/>
    </w:rPr>
  </w:style>
  <w:style w:type="paragraph" w:customStyle="1" w:styleId="394">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Arial Unicode MS" w:hAnsi="Arial Unicode MS" w:eastAsia="Arial Unicode MS" w:cs="Arial Unicode MS"/>
      <w:kern w:val="0"/>
      <w:sz w:val="20"/>
      <w:szCs w:val="20"/>
    </w:rPr>
  </w:style>
  <w:style w:type="paragraph" w:customStyle="1" w:styleId="395">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center"/>
    </w:pPr>
    <w:rPr>
      <w:rFonts w:ascii="Arial Unicode MS" w:hAnsi="Arial Unicode MS" w:eastAsia="Arial Unicode MS" w:cs="Arial Unicode MS"/>
      <w:kern w:val="0"/>
      <w:sz w:val="20"/>
      <w:szCs w:val="20"/>
    </w:rPr>
  </w:style>
  <w:style w:type="paragraph" w:customStyle="1" w:styleId="39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hint="eastAsia" w:ascii="PMingLiU" w:hAnsi="PMingLiU" w:eastAsia="PMingLiU" w:cs="Arial Unicode MS"/>
      <w:kern w:val="0"/>
      <w:sz w:val="20"/>
      <w:szCs w:val="20"/>
    </w:rPr>
  </w:style>
  <w:style w:type="paragraph" w:customStyle="1" w:styleId="39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eastAsia="Arial Unicode MS"/>
      <w:kern w:val="0"/>
      <w:sz w:val="20"/>
      <w:szCs w:val="20"/>
    </w:rPr>
  </w:style>
  <w:style w:type="paragraph" w:customStyle="1" w:styleId="39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hint="eastAsia" w:ascii="PMingLiU" w:hAnsi="PMingLiU" w:eastAsia="PMingLiU" w:cs="Arial Unicode MS"/>
      <w:kern w:val="0"/>
      <w:sz w:val="20"/>
      <w:szCs w:val="20"/>
    </w:rPr>
  </w:style>
  <w:style w:type="paragraph" w:customStyle="1" w:styleId="399">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Arial Narrow" w:hAnsi="Arial Narrow" w:eastAsia="Arial Unicode MS" w:cs="Arial Unicode MS"/>
      <w:kern w:val="0"/>
      <w:sz w:val="20"/>
      <w:szCs w:val="20"/>
    </w:rPr>
  </w:style>
  <w:style w:type="paragraph" w:customStyle="1" w:styleId="400">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ascii="Arial Unicode MS" w:hAnsi="Arial Unicode MS" w:eastAsia="Arial Unicode MS" w:cs="Arial Unicode MS"/>
      <w:kern w:val="0"/>
      <w:sz w:val="20"/>
      <w:szCs w:val="20"/>
    </w:rPr>
  </w:style>
  <w:style w:type="paragraph" w:customStyle="1" w:styleId="401">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pPr>
    <w:rPr>
      <w:rFonts w:eastAsia="Arial Unicode MS"/>
      <w:kern w:val="0"/>
      <w:sz w:val="20"/>
      <w:szCs w:val="20"/>
    </w:rPr>
  </w:style>
  <w:style w:type="paragraph" w:customStyle="1" w:styleId="402">
    <w:name w:val="xl38"/>
    <w:basedOn w:val="1"/>
    <w:qFormat/>
    <w:uiPriority w:val="0"/>
    <w:pPr>
      <w:widowControl/>
      <w:pBdr>
        <w:top w:val="single" w:color="auto" w:sz="4" w:space="0"/>
        <w:left w:val="single" w:color="auto" w:sz="4" w:space="0"/>
        <w:bottom w:val="single" w:color="auto" w:sz="4" w:space="0"/>
      </w:pBdr>
      <w:spacing w:before="100" w:beforeAutospacing="1" w:after="100" w:afterAutospacing="1"/>
      <w:ind w:firstLine="200" w:firstLineChars="200"/>
      <w:jc w:val="center"/>
    </w:pPr>
    <w:rPr>
      <w:rFonts w:ascii="Arial Unicode MS" w:hAnsi="Arial Unicode MS" w:eastAsia="Arial Unicode MS" w:cs="Arial Unicode MS"/>
      <w:kern w:val="0"/>
      <w:sz w:val="18"/>
      <w:szCs w:val="18"/>
    </w:rPr>
  </w:style>
  <w:style w:type="paragraph" w:customStyle="1" w:styleId="403">
    <w:name w:val="xl39"/>
    <w:basedOn w:val="1"/>
    <w:qFormat/>
    <w:uiPriority w:val="0"/>
    <w:pPr>
      <w:widowControl/>
      <w:pBdr>
        <w:top w:val="single" w:color="auto" w:sz="4" w:space="0"/>
        <w:bottom w:val="single" w:color="auto" w:sz="4" w:space="0"/>
        <w:right w:val="single" w:color="auto" w:sz="4" w:space="0"/>
      </w:pBdr>
      <w:spacing w:before="100" w:beforeAutospacing="1" w:after="100" w:afterAutospacing="1"/>
      <w:ind w:firstLine="200" w:firstLineChars="200"/>
      <w:jc w:val="center"/>
    </w:pPr>
    <w:rPr>
      <w:rFonts w:ascii="Arial" w:hAnsi="Arial" w:eastAsia="Arial Unicode MS" w:cs="Arial"/>
      <w:kern w:val="0"/>
      <w:sz w:val="18"/>
      <w:szCs w:val="18"/>
    </w:rPr>
  </w:style>
  <w:style w:type="paragraph" w:customStyle="1" w:styleId="404">
    <w:name w:val="标题 0"/>
    <w:basedOn w:val="3"/>
    <w:qFormat/>
    <w:uiPriority w:val="0"/>
    <w:pPr>
      <w:keepLines/>
      <w:shd w:val="solid" w:color="auto" w:fill="auto"/>
      <w:adjustRightInd w:val="0"/>
      <w:spacing w:line="578" w:lineRule="atLeast"/>
      <w:ind w:left="425"/>
      <w:textAlignment w:val="baseline"/>
      <w:outlineLvl w:val="9"/>
    </w:pPr>
    <w:rPr>
      <w:rFonts w:ascii="Times New Roman" w:eastAsia="宋体"/>
      <w:color w:val="FF0000"/>
      <w:kern w:val="44"/>
      <w:sz w:val="52"/>
    </w:rPr>
  </w:style>
  <w:style w:type="paragraph" w:customStyle="1" w:styleId="405">
    <w:name w:val="wp_Body Text"/>
    <w:basedOn w:val="1"/>
    <w:qFormat/>
    <w:uiPriority w:val="0"/>
    <w:pPr>
      <w:autoSpaceDE w:val="0"/>
      <w:autoSpaceDN w:val="0"/>
      <w:adjustRightInd w:val="0"/>
      <w:spacing w:after="120" w:line="280" w:lineRule="exact"/>
      <w:ind w:firstLine="540" w:firstLineChars="200"/>
      <w:jc w:val="left"/>
      <w:textAlignment w:val="baseline"/>
    </w:pPr>
    <w:rPr>
      <w:rFonts w:ascii="宋体" w:hAnsi="Tms Rmn" w:eastAsia="仿宋_GB2312"/>
      <w:kern w:val="0"/>
      <w:sz w:val="28"/>
      <w:szCs w:val="20"/>
    </w:rPr>
  </w:style>
  <w:style w:type="paragraph" w:customStyle="1" w:styleId="406">
    <w:name w:val="sample"/>
    <w:basedOn w:val="1"/>
    <w:qFormat/>
    <w:uiPriority w:val="0"/>
    <w:pPr>
      <w:autoSpaceDE w:val="0"/>
      <w:autoSpaceDN w:val="0"/>
      <w:adjustRightInd w:val="0"/>
      <w:spacing w:before="50" w:beforeLines="50" w:line="180" w:lineRule="exact"/>
      <w:ind w:firstLine="200" w:firstLineChars="200"/>
      <w:jc w:val="left"/>
    </w:pPr>
    <w:rPr>
      <w:rFonts w:ascii="Courier" w:hAnsi="Courier" w:eastAsia="楷体_GB2312"/>
      <w:szCs w:val="20"/>
    </w:rPr>
  </w:style>
  <w:style w:type="character" w:customStyle="1" w:styleId="407">
    <w:name w:val="ourfont31"/>
    <w:qFormat/>
    <w:uiPriority w:val="0"/>
    <w:rPr>
      <w:rFonts w:hint="eastAsia" w:ascii="宋体" w:hAnsi="宋体" w:eastAsia="宋体"/>
      <w:sz w:val="35"/>
      <w:szCs w:val="35"/>
    </w:rPr>
  </w:style>
  <w:style w:type="paragraph" w:customStyle="1" w:styleId="408">
    <w:name w:val="Axway正文文字"/>
    <w:basedOn w:val="2"/>
    <w:qFormat/>
    <w:uiPriority w:val="0"/>
    <w:pPr>
      <w:widowControl/>
      <w:spacing w:before="120" w:after="120" w:line="360" w:lineRule="auto"/>
      <w:ind w:firstLine="200" w:firstLineChars="200"/>
      <w:jc w:val="both"/>
    </w:pPr>
    <w:rPr>
      <w:rFonts w:ascii="宋体" w:hAnsi="宋体" w:eastAsia="仿宋_GB2312"/>
      <w:snapToGrid w:val="0"/>
      <w:kern w:val="0"/>
    </w:rPr>
  </w:style>
  <w:style w:type="paragraph" w:customStyle="1" w:styleId="409">
    <w:name w:val="xl40"/>
    <w:basedOn w:val="1"/>
    <w:qFormat/>
    <w:uiPriority w:val="0"/>
    <w:pPr>
      <w:widowControl/>
      <w:pBdr>
        <w:top w:val="single" w:color="auto" w:sz="4" w:space="0"/>
        <w:bottom w:val="single" w:color="auto" w:sz="4" w:space="0"/>
      </w:pBdr>
      <w:spacing w:before="100" w:beforeAutospacing="1" w:after="100" w:afterAutospacing="1"/>
      <w:ind w:firstLine="200" w:firstLineChars="200"/>
      <w:jc w:val="left"/>
      <w:textAlignment w:val="center"/>
    </w:pPr>
    <w:rPr>
      <w:rFonts w:ascii="Arial Unicode MS" w:hAnsi="Arial Unicode MS" w:eastAsia="Arial Unicode MS" w:cs="Arial Unicode MS"/>
      <w:kern w:val="0"/>
      <w:sz w:val="18"/>
      <w:szCs w:val="18"/>
    </w:rPr>
  </w:style>
  <w:style w:type="paragraph" w:customStyle="1" w:styleId="410">
    <w:name w:val="xl41"/>
    <w:basedOn w:val="1"/>
    <w:qFormat/>
    <w:uiPriority w:val="0"/>
    <w:pPr>
      <w:widowControl/>
      <w:pBdr>
        <w:top w:val="single" w:color="auto" w:sz="4" w:space="0"/>
        <w:bottom w:val="single" w:color="auto" w:sz="4" w:space="0"/>
      </w:pBdr>
      <w:spacing w:before="100" w:beforeAutospacing="1" w:after="100" w:afterAutospacing="1"/>
      <w:ind w:firstLine="200" w:firstLineChars="200"/>
      <w:jc w:val="left"/>
    </w:pPr>
    <w:rPr>
      <w:rFonts w:ascii="Arial Unicode MS" w:hAnsi="Arial Unicode MS" w:eastAsia="Arial Unicode MS" w:cs="Arial Unicode MS"/>
      <w:kern w:val="0"/>
      <w:sz w:val="24"/>
      <w:szCs w:val="24"/>
    </w:rPr>
  </w:style>
  <w:style w:type="paragraph" w:customStyle="1" w:styleId="411">
    <w:name w:val="contentnoteheader"/>
    <w:basedOn w:val="1"/>
    <w:qFormat/>
    <w:uiPriority w:val="0"/>
    <w:pPr>
      <w:widowControl/>
      <w:spacing w:before="30" w:after="100" w:afterAutospacing="1"/>
      <w:ind w:left="90" w:firstLine="200" w:firstLineChars="200"/>
      <w:jc w:val="left"/>
    </w:pPr>
    <w:rPr>
      <w:rFonts w:ascii="Arial Unicode MS" w:hAnsi="Arial Unicode MS" w:eastAsia="仿宋_GB2312"/>
      <w:b/>
      <w:bCs/>
      <w:color w:val="990000"/>
      <w:kern w:val="0"/>
      <w:sz w:val="18"/>
      <w:szCs w:val="18"/>
    </w:rPr>
  </w:style>
  <w:style w:type="paragraph" w:customStyle="1" w:styleId="412">
    <w:name w:val="xl42"/>
    <w:basedOn w:val="1"/>
    <w:qFormat/>
    <w:uiPriority w:val="0"/>
    <w:pPr>
      <w:widowControl/>
      <w:pBdr>
        <w:bottom w:val="single" w:color="auto" w:sz="4" w:space="0"/>
      </w:pBdr>
      <w:spacing w:before="100" w:beforeAutospacing="1" w:after="100" w:afterAutospacing="1"/>
      <w:ind w:firstLine="200" w:firstLineChars="200"/>
      <w:jc w:val="center"/>
      <w:textAlignment w:val="center"/>
    </w:pPr>
    <w:rPr>
      <w:rFonts w:ascii="Arial Unicode MS" w:hAnsi="Arial Unicode MS" w:eastAsia="Arial Unicode MS" w:cs="Arial Unicode MS"/>
      <w:kern w:val="0"/>
      <w:sz w:val="18"/>
      <w:szCs w:val="18"/>
    </w:rPr>
  </w:style>
  <w:style w:type="paragraph" w:customStyle="1" w:styleId="413">
    <w:name w:val="xl43"/>
    <w:basedOn w:val="1"/>
    <w:qFormat/>
    <w:uiPriority w:val="0"/>
    <w:pPr>
      <w:widowControl/>
      <w:pBdr>
        <w:top w:val="single" w:color="auto" w:sz="4" w:space="0"/>
        <w:bottom w:val="single" w:color="auto" w:sz="4" w:space="0"/>
        <w:right w:val="single" w:color="auto" w:sz="4" w:space="0"/>
      </w:pBdr>
      <w:spacing w:before="100" w:beforeAutospacing="1" w:after="100" w:afterAutospacing="1"/>
      <w:ind w:firstLine="200" w:firstLineChars="200"/>
      <w:jc w:val="left"/>
    </w:pPr>
    <w:rPr>
      <w:rFonts w:ascii="Arial" w:hAnsi="Arial" w:eastAsia="Arial Unicode MS" w:cs="Arial"/>
      <w:kern w:val="0"/>
      <w:sz w:val="18"/>
      <w:szCs w:val="18"/>
    </w:rPr>
  </w:style>
  <w:style w:type="paragraph" w:customStyle="1" w:styleId="414">
    <w:name w:val="xl44"/>
    <w:basedOn w:val="1"/>
    <w:qFormat/>
    <w:uiPriority w:val="0"/>
    <w:pPr>
      <w:widowControl/>
      <w:spacing w:before="100" w:beforeAutospacing="1" w:after="100" w:afterAutospacing="1"/>
      <w:ind w:firstLine="200" w:firstLineChars="200"/>
      <w:jc w:val="left"/>
      <w:textAlignment w:val="top"/>
    </w:pPr>
    <w:rPr>
      <w:rFonts w:ascii="Tahoma" w:hAnsi="Tahoma" w:eastAsia="Arial Unicode MS" w:cs="Tahoma"/>
      <w:kern w:val="0"/>
      <w:sz w:val="16"/>
      <w:szCs w:val="16"/>
    </w:rPr>
  </w:style>
  <w:style w:type="paragraph" w:customStyle="1" w:styleId="415">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ind w:firstLine="200" w:firstLineChars="200"/>
      <w:jc w:val="left"/>
      <w:textAlignment w:val="top"/>
    </w:pPr>
    <w:rPr>
      <w:rFonts w:ascii="Tahoma" w:hAnsi="Tahoma" w:eastAsia="Arial Unicode MS" w:cs="Tahoma"/>
      <w:kern w:val="0"/>
      <w:sz w:val="16"/>
      <w:szCs w:val="16"/>
    </w:rPr>
  </w:style>
  <w:style w:type="paragraph" w:customStyle="1" w:styleId="416">
    <w:name w:val="xl46"/>
    <w:basedOn w:val="1"/>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ind w:firstLine="200" w:firstLineChars="200"/>
      <w:jc w:val="center"/>
      <w:textAlignment w:val="center"/>
    </w:pPr>
    <w:rPr>
      <w:rFonts w:ascii="Arial Unicode MS" w:hAnsi="Arial Unicode MS" w:eastAsia="Arial Unicode MS" w:cs="Arial Unicode MS"/>
      <w:b/>
      <w:bCs/>
      <w:kern w:val="0"/>
      <w:sz w:val="18"/>
      <w:szCs w:val="18"/>
    </w:rPr>
  </w:style>
  <w:style w:type="paragraph" w:customStyle="1" w:styleId="417">
    <w:name w:val="xl47"/>
    <w:basedOn w:val="1"/>
    <w:qFormat/>
    <w:uiPriority w:val="0"/>
    <w:pPr>
      <w:widowControl/>
      <w:pBdr>
        <w:top w:val="single" w:color="auto" w:sz="4" w:space="0"/>
        <w:right w:val="single" w:color="auto" w:sz="4" w:space="0"/>
      </w:pBdr>
      <w:spacing w:before="100" w:beforeAutospacing="1" w:after="100" w:afterAutospacing="1"/>
      <w:ind w:firstLine="200" w:firstLineChars="200"/>
      <w:jc w:val="center"/>
      <w:textAlignment w:val="center"/>
    </w:pPr>
    <w:rPr>
      <w:rFonts w:ascii="Arial Unicode MS" w:hAnsi="Arial Unicode MS" w:eastAsia="Arial Unicode MS" w:cs="Arial Unicode MS"/>
      <w:kern w:val="0"/>
      <w:sz w:val="18"/>
      <w:szCs w:val="18"/>
    </w:rPr>
  </w:style>
  <w:style w:type="paragraph" w:customStyle="1" w:styleId="418">
    <w:name w:val="xl49"/>
    <w:basedOn w:val="1"/>
    <w:qFormat/>
    <w:uiPriority w:val="0"/>
    <w:pPr>
      <w:widowControl/>
      <w:pBdr>
        <w:bottom w:val="single" w:color="auto" w:sz="4" w:space="0"/>
        <w:right w:val="single" w:color="auto" w:sz="4" w:space="0"/>
      </w:pBdr>
      <w:spacing w:before="100" w:beforeAutospacing="1" w:after="100" w:afterAutospacing="1"/>
      <w:ind w:firstLine="200" w:firstLineChars="200"/>
      <w:jc w:val="center"/>
      <w:textAlignment w:val="center"/>
    </w:pPr>
    <w:rPr>
      <w:rFonts w:ascii="Arial Unicode MS" w:hAnsi="Arial Unicode MS" w:eastAsia="Arial Unicode MS" w:cs="Arial Unicode MS"/>
      <w:kern w:val="0"/>
      <w:sz w:val="18"/>
      <w:szCs w:val="18"/>
    </w:rPr>
  </w:style>
  <w:style w:type="paragraph" w:customStyle="1" w:styleId="419">
    <w:name w:val="xl50"/>
    <w:basedOn w:val="1"/>
    <w:qFormat/>
    <w:uiPriority w:val="0"/>
    <w:pPr>
      <w:widowControl/>
      <w:pBdr>
        <w:top w:val="single" w:color="auto" w:sz="4" w:space="0"/>
        <w:left w:val="single" w:color="auto" w:sz="4" w:space="0"/>
        <w:bottom w:val="single" w:color="auto" w:sz="4" w:space="0"/>
      </w:pBdr>
      <w:shd w:val="clear" w:color="auto" w:fill="CCCCFF"/>
      <w:spacing w:before="100" w:beforeAutospacing="1" w:after="100" w:afterAutospacing="1"/>
      <w:ind w:firstLine="200" w:firstLineChars="200"/>
      <w:jc w:val="left"/>
    </w:pPr>
    <w:rPr>
      <w:rFonts w:ascii="Arial Unicode MS" w:hAnsi="Arial Unicode MS" w:eastAsia="Arial Unicode MS" w:cs="Arial Unicode MS"/>
      <w:b/>
      <w:bCs/>
      <w:kern w:val="0"/>
      <w:sz w:val="24"/>
      <w:szCs w:val="24"/>
    </w:rPr>
  </w:style>
  <w:style w:type="paragraph" w:customStyle="1" w:styleId="420">
    <w:name w:val="xl51"/>
    <w:basedOn w:val="1"/>
    <w:qFormat/>
    <w:uiPriority w:val="0"/>
    <w:pPr>
      <w:widowControl/>
      <w:pBdr>
        <w:top w:val="single" w:color="auto" w:sz="4" w:space="0"/>
        <w:bottom w:val="single" w:color="auto" w:sz="4" w:space="0"/>
      </w:pBdr>
      <w:shd w:val="clear" w:color="auto" w:fill="CCCCFF"/>
      <w:spacing w:before="100" w:beforeAutospacing="1" w:after="100" w:afterAutospacing="1"/>
      <w:ind w:firstLine="200" w:firstLineChars="200"/>
      <w:jc w:val="left"/>
    </w:pPr>
    <w:rPr>
      <w:rFonts w:ascii="Arial Unicode MS" w:hAnsi="Arial Unicode MS" w:eastAsia="Arial Unicode MS" w:cs="Arial Unicode MS"/>
      <w:b/>
      <w:bCs/>
      <w:kern w:val="0"/>
      <w:sz w:val="24"/>
      <w:szCs w:val="24"/>
    </w:rPr>
  </w:style>
  <w:style w:type="paragraph" w:customStyle="1" w:styleId="421">
    <w:name w:val="xl52"/>
    <w:basedOn w:val="1"/>
    <w:qFormat/>
    <w:uiPriority w:val="0"/>
    <w:pPr>
      <w:widowControl/>
      <w:pBdr>
        <w:top w:val="single" w:color="auto" w:sz="4" w:space="0"/>
        <w:right w:val="single" w:color="auto" w:sz="4" w:space="0"/>
      </w:pBdr>
      <w:spacing w:before="100" w:beforeAutospacing="1" w:after="100" w:afterAutospacing="1"/>
      <w:ind w:firstLine="200" w:firstLineChars="200"/>
      <w:jc w:val="center"/>
      <w:textAlignment w:val="center"/>
    </w:pPr>
    <w:rPr>
      <w:rFonts w:ascii="Arial" w:hAnsi="Arial" w:eastAsia="Arial Unicode MS" w:cs="Arial"/>
      <w:kern w:val="0"/>
      <w:sz w:val="18"/>
      <w:szCs w:val="18"/>
    </w:rPr>
  </w:style>
  <w:style w:type="paragraph" w:customStyle="1" w:styleId="422">
    <w:name w:val="xl53"/>
    <w:basedOn w:val="1"/>
    <w:qFormat/>
    <w:uiPriority w:val="0"/>
    <w:pPr>
      <w:widowControl/>
      <w:pBdr>
        <w:bottom w:val="single" w:color="auto" w:sz="4" w:space="0"/>
        <w:right w:val="single" w:color="auto" w:sz="4" w:space="0"/>
      </w:pBdr>
      <w:spacing w:before="100" w:beforeAutospacing="1" w:after="100" w:afterAutospacing="1"/>
      <w:ind w:firstLine="200" w:firstLineChars="200"/>
      <w:jc w:val="left"/>
    </w:pPr>
    <w:rPr>
      <w:rFonts w:ascii="Arial Unicode MS" w:hAnsi="Arial Unicode MS" w:eastAsia="Arial Unicode MS" w:cs="Arial Unicode MS"/>
      <w:kern w:val="0"/>
      <w:sz w:val="18"/>
      <w:szCs w:val="18"/>
    </w:rPr>
  </w:style>
  <w:style w:type="paragraph" w:customStyle="1" w:styleId="423">
    <w:name w:val="Char Char1 Char Char Char Char Char Char Char Char Char Char Char Char Char Char Char Char Char1 Char"/>
    <w:basedOn w:val="1"/>
    <w:qFormat/>
    <w:uiPriority w:val="0"/>
    <w:pPr>
      <w:widowControl/>
      <w:spacing w:after="160" w:line="240" w:lineRule="exact"/>
      <w:ind w:firstLine="200" w:firstLineChars="200"/>
      <w:jc w:val="left"/>
    </w:pPr>
    <w:rPr>
      <w:rFonts w:ascii="Verdana" w:hAnsi="Verdana" w:eastAsia="仿宋_GB2312"/>
      <w:kern w:val="0"/>
      <w:sz w:val="20"/>
      <w:szCs w:val="20"/>
      <w:lang w:eastAsia="en-US"/>
    </w:rPr>
  </w:style>
  <w:style w:type="character" w:customStyle="1" w:styleId="424">
    <w:name w:val="标题 2 Char1"/>
    <w:qFormat/>
    <w:uiPriority w:val="0"/>
    <w:rPr>
      <w:rFonts w:ascii="黑体" w:hAnsi="Arial" w:eastAsia="黑体"/>
      <w:b/>
      <w:kern w:val="2"/>
      <w:sz w:val="32"/>
      <w:lang w:val="en-US" w:eastAsia="zh-CN"/>
    </w:rPr>
  </w:style>
  <w:style w:type="paragraph" w:customStyle="1" w:styleId="425">
    <w:name w:val="三级条标题"/>
    <w:basedOn w:val="328"/>
    <w:next w:val="291"/>
    <w:qFormat/>
    <w:uiPriority w:val="0"/>
    <w:pPr>
      <w:outlineLvl w:val="4"/>
    </w:pPr>
    <w:rPr>
      <w:rFonts w:ascii="Times New Roman"/>
      <w:sz w:val="21"/>
    </w:rPr>
  </w:style>
  <w:style w:type="paragraph" w:customStyle="1" w:styleId="426">
    <w:name w:val="Char Char2 Char"/>
    <w:basedOn w:val="1"/>
    <w:qFormat/>
    <w:uiPriority w:val="0"/>
    <w:pPr>
      <w:keepNext/>
      <w:keepLines/>
      <w:pageBreakBefore/>
      <w:tabs>
        <w:tab w:val="left" w:pos="845"/>
      </w:tabs>
      <w:ind w:left="845" w:hanging="420" w:firstLineChars="200"/>
    </w:pPr>
    <w:rPr>
      <w:rFonts w:ascii="Tahoma" w:hAnsi="Tahoma" w:eastAsia="仿宋_GB2312"/>
      <w:sz w:val="24"/>
      <w:szCs w:val="20"/>
    </w:rPr>
  </w:style>
  <w:style w:type="paragraph" w:customStyle="1" w:styleId="427">
    <w:name w:val="Char4"/>
    <w:basedOn w:val="1"/>
    <w:qFormat/>
    <w:uiPriority w:val="0"/>
    <w:pPr>
      <w:numPr>
        <w:ilvl w:val="0"/>
        <w:numId w:val="19"/>
      </w:numPr>
      <w:spacing w:line="360" w:lineRule="auto"/>
      <w:ind w:firstLine="354" w:firstLineChars="200"/>
    </w:pPr>
    <w:rPr>
      <w:rFonts w:eastAsia="黑体"/>
      <w:sz w:val="24"/>
      <w:szCs w:val="24"/>
    </w:rPr>
  </w:style>
  <w:style w:type="character" w:customStyle="1" w:styleId="428">
    <w:name w:val="样式 宋体"/>
    <w:qFormat/>
    <w:uiPriority w:val="0"/>
    <w:rPr>
      <w:rFonts w:ascii="宋体" w:hAnsi="宋体" w:eastAsia="宋体"/>
      <w:sz w:val="24"/>
      <w:szCs w:val="24"/>
    </w:rPr>
  </w:style>
  <w:style w:type="paragraph" w:customStyle="1" w:styleId="429">
    <w:name w:val="CM81"/>
    <w:basedOn w:val="196"/>
    <w:next w:val="196"/>
    <w:qFormat/>
    <w:uiPriority w:val="99"/>
  </w:style>
  <w:style w:type="paragraph" w:customStyle="1" w:styleId="430">
    <w:name w:val="正文2"/>
    <w:basedOn w:val="1"/>
    <w:qFormat/>
    <w:uiPriority w:val="0"/>
    <w:pPr>
      <w:widowControl/>
      <w:spacing w:before="156" w:line="360" w:lineRule="auto"/>
      <w:ind w:firstLine="510" w:firstLineChars="200"/>
      <w:jc w:val="left"/>
    </w:pPr>
    <w:rPr>
      <w:rFonts w:ascii="宋体" w:hAnsi="宋体" w:eastAsia="仿宋_GB2312" w:cs="宋体"/>
      <w:kern w:val="0"/>
      <w:sz w:val="24"/>
      <w:szCs w:val="20"/>
    </w:rPr>
  </w:style>
  <w:style w:type="paragraph" w:customStyle="1" w:styleId="431">
    <w:name w:val="--规划正文"/>
    <w:basedOn w:val="1"/>
    <w:qFormat/>
    <w:uiPriority w:val="0"/>
    <w:pPr>
      <w:spacing w:line="360" w:lineRule="auto"/>
      <w:ind w:firstLine="200" w:firstLineChars="200"/>
    </w:pPr>
    <w:rPr>
      <w:rFonts w:eastAsia="仿宋_GB2312"/>
      <w:szCs w:val="20"/>
    </w:rPr>
  </w:style>
  <w:style w:type="paragraph" w:customStyle="1" w:styleId="432">
    <w:name w:val="哈哈正文"/>
    <w:basedOn w:val="1"/>
    <w:link w:val="433"/>
    <w:qFormat/>
    <w:uiPriority w:val="0"/>
    <w:pPr>
      <w:spacing w:line="360" w:lineRule="auto"/>
      <w:ind w:firstLine="200" w:firstLineChars="200"/>
    </w:pPr>
    <w:rPr>
      <w:rFonts w:ascii="宋体" w:hAnsi="宋体" w:eastAsia="仿宋_GB2312" w:cs="宋体"/>
      <w:sz w:val="24"/>
      <w:szCs w:val="20"/>
    </w:rPr>
  </w:style>
  <w:style w:type="character" w:customStyle="1" w:styleId="433">
    <w:name w:val="哈哈正文 Char"/>
    <w:link w:val="432"/>
    <w:qFormat/>
    <w:uiPriority w:val="0"/>
    <w:rPr>
      <w:rFonts w:ascii="宋体" w:hAnsi="宋体" w:eastAsia="仿宋_GB2312" w:cs="宋体"/>
      <w:kern w:val="2"/>
      <w:sz w:val="24"/>
    </w:rPr>
  </w:style>
  <w:style w:type="paragraph" w:customStyle="1" w:styleId="434">
    <w:name w:val="1_"/>
    <w:basedOn w:val="3"/>
    <w:next w:val="1"/>
    <w:qFormat/>
    <w:uiPriority w:val="0"/>
    <w:pPr>
      <w:keepLines/>
      <w:numPr>
        <w:ilvl w:val="0"/>
        <w:numId w:val="20"/>
      </w:numPr>
      <w:adjustRightInd w:val="0"/>
      <w:snapToGrid w:val="0"/>
      <w:spacing w:before="100" w:beforeAutospacing="1" w:after="100" w:afterAutospacing="1" w:line="360" w:lineRule="auto"/>
      <w:jc w:val="both"/>
    </w:pPr>
    <w:rPr>
      <w:rFonts w:ascii="Times New Roman" w:eastAsia="宋体"/>
      <w:bCs/>
      <w:kern w:val="44"/>
      <w:sz w:val="36"/>
      <w:szCs w:val="36"/>
    </w:rPr>
  </w:style>
  <w:style w:type="paragraph" w:customStyle="1" w:styleId="435">
    <w:name w:val="2_"/>
    <w:basedOn w:val="4"/>
    <w:next w:val="1"/>
    <w:qFormat/>
    <w:uiPriority w:val="0"/>
    <w:pPr>
      <w:keepLines/>
      <w:widowControl/>
      <w:numPr>
        <w:numId w:val="20"/>
      </w:numPr>
      <w:tabs>
        <w:tab w:val="left" w:pos="425"/>
        <w:tab w:val="left" w:pos="567"/>
      </w:tabs>
      <w:adjustRightInd w:val="0"/>
      <w:spacing w:before="100" w:beforeAutospacing="1" w:after="100" w:afterAutospacing="1" w:line="415" w:lineRule="auto"/>
      <w:jc w:val="both"/>
    </w:pPr>
    <w:rPr>
      <w:rFonts w:hAnsi="黑体" w:eastAsia="黑体"/>
      <w:b w:val="0"/>
      <w:bCs/>
      <w:szCs w:val="32"/>
    </w:rPr>
  </w:style>
  <w:style w:type="paragraph" w:customStyle="1" w:styleId="436">
    <w:name w:val="3_"/>
    <w:basedOn w:val="5"/>
    <w:next w:val="1"/>
    <w:qFormat/>
    <w:uiPriority w:val="0"/>
    <w:pPr>
      <w:keepNext/>
      <w:keepLines/>
      <w:numPr>
        <w:ilvl w:val="0"/>
        <w:numId w:val="0"/>
      </w:numPr>
      <w:pBdr>
        <w:top w:val="none" w:color="auto" w:sz="0" w:space="0"/>
      </w:pBdr>
      <w:tabs>
        <w:tab w:val="left" w:pos="360"/>
        <w:tab w:val="left" w:pos="425"/>
      </w:tabs>
      <w:topLinePunct/>
      <w:adjustRightInd w:val="0"/>
      <w:spacing w:after="0" w:afterLines="0" w:line="240" w:lineRule="auto"/>
      <w:jc w:val="both"/>
    </w:pPr>
    <w:rPr>
      <w:rFonts w:ascii="仿宋_GB2312" w:hAnsi="黑体"/>
      <w:bCs/>
      <w:kern w:val="2"/>
      <w:szCs w:val="30"/>
    </w:rPr>
  </w:style>
  <w:style w:type="paragraph" w:customStyle="1" w:styleId="437">
    <w:name w:val="4_"/>
    <w:basedOn w:val="6"/>
    <w:next w:val="1"/>
    <w:qFormat/>
    <w:uiPriority w:val="0"/>
    <w:pPr>
      <w:keepLines/>
      <w:widowControl w:val="0"/>
      <w:tabs>
        <w:tab w:val="left" w:pos="14"/>
        <w:tab w:val="left" w:pos="425"/>
        <w:tab w:val="left" w:pos="2977"/>
      </w:tabs>
      <w:adjustRightInd w:val="0"/>
      <w:spacing w:before="100" w:beforeAutospacing="1" w:after="100" w:afterLines="0" w:afterAutospacing="1" w:line="360" w:lineRule="auto"/>
      <w:ind w:left="0" w:firstLine="0"/>
      <w:jc w:val="both"/>
    </w:pPr>
    <w:rPr>
      <w:rFonts w:ascii="Times New Roman" w:hAnsi="Times New Roman"/>
      <w:b/>
      <w:bCs/>
      <w:smallCaps w:val="0"/>
      <w:color w:val="auto"/>
      <w:kern w:val="2"/>
      <w:szCs w:val="24"/>
    </w:rPr>
  </w:style>
  <w:style w:type="paragraph" w:customStyle="1" w:styleId="438">
    <w:name w:val="四级条标题"/>
    <w:basedOn w:val="425"/>
    <w:next w:val="291"/>
    <w:qFormat/>
    <w:uiPriority w:val="0"/>
    <w:pPr>
      <w:jc w:val="both"/>
      <w:outlineLvl w:val="5"/>
    </w:pPr>
    <w:rPr>
      <w:rFonts w:ascii="黑体"/>
    </w:rPr>
  </w:style>
  <w:style w:type="paragraph" w:customStyle="1" w:styleId="439">
    <w:name w:val="五级条标题"/>
    <w:basedOn w:val="438"/>
    <w:next w:val="291"/>
    <w:qFormat/>
    <w:uiPriority w:val="0"/>
    <w:pPr>
      <w:outlineLvl w:val="6"/>
    </w:pPr>
  </w:style>
  <w:style w:type="paragraph" w:customStyle="1" w:styleId="440">
    <w:name w:val="样式 标题 2H2Heading 2 HiddenHeading 2 CCBSheading 22nd levelh...2"/>
    <w:basedOn w:val="4"/>
    <w:qFormat/>
    <w:uiPriority w:val="0"/>
    <w:pPr>
      <w:keepLines/>
      <w:widowControl/>
      <w:numPr>
        <w:ilvl w:val="0"/>
        <w:numId w:val="0"/>
      </w:numPr>
      <w:snapToGrid w:val="0"/>
      <w:spacing w:before="100" w:beforeAutospacing="1" w:after="100" w:afterAutospacing="1" w:line="415" w:lineRule="auto"/>
      <w:ind w:firstLine="200" w:firstLineChars="200"/>
      <w:jc w:val="left"/>
    </w:pPr>
    <w:rPr>
      <w:rFonts w:hAnsi="宋体" w:cs="宋体"/>
      <w:b w:val="0"/>
      <w:bCs/>
    </w:rPr>
  </w:style>
  <w:style w:type="paragraph" w:customStyle="1" w:styleId="441">
    <w:name w:val="默认段落字体 Para Char Char Char Char"/>
    <w:basedOn w:val="1"/>
    <w:qFormat/>
    <w:uiPriority w:val="0"/>
    <w:pPr>
      <w:adjustRightInd w:val="0"/>
      <w:spacing w:line="360" w:lineRule="auto"/>
      <w:ind w:firstLine="200" w:firstLineChars="200"/>
    </w:pPr>
    <w:rPr>
      <w:rFonts w:eastAsia="仿宋_GB2312"/>
      <w:kern w:val="0"/>
      <w:sz w:val="24"/>
      <w:szCs w:val="20"/>
    </w:rPr>
  </w:style>
  <w:style w:type="paragraph" w:customStyle="1" w:styleId="442">
    <w:name w:val="样式 正文文本缩进 2 + Century Gothic 四号 行距: 多倍行距 1.75 字行"/>
    <w:basedOn w:val="1"/>
    <w:qFormat/>
    <w:uiPriority w:val="0"/>
    <w:pPr>
      <w:adjustRightInd w:val="0"/>
      <w:snapToGrid w:val="0"/>
      <w:spacing w:line="360" w:lineRule="auto"/>
      <w:ind w:firstLine="480" w:firstLineChars="200"/>
    </w:pPr>
    <w:rPr>
      <w:rFonts w:ascii="Century Gothic" w:eastAsia="仿宋_GB2312" w:cs="宋体"/>
      <w:sz w:val="24"/>
      <w:szCs w:val="20"/>
    </w:rPr>
  </w:style>
  <w:style w:type="paragraph" w:customStyle="1" w:styleId="443">
    <w:name w:val="样式5"/>
    <w:basedOn w:val="1"/>
    <w:qFormat/>
    <w:uiPriority w:val="0"/>
    <w:pPr>
      <w:spacing w:afterLines="50" w:line="360" w:lineRule="auto"/>
      <w:ind w:left="482" w:firstLine="200" w:firstLineChars="200"/>
      <w:jc w:val="left"/>
    </w:pPr>
    <w:rPr>
      <w:rFonts w:ascii="宋体" w:hAnsi="宋体" w:eastAsia="仿宋_GB2312"/>
    </w:rPr>
  </w:style>
  <w:style w:type="paragraph" w:customStyle="1" w:styleId="444">
    <w:name w:val="css"/>
    <w:basedOn w:val="1"/>
    <w:qFormat/>
    <w:uiPriority w:val="0"/>
    <w:pPr>
      <w:widowControl/>
      <w:spacing w:before="100" w:beforeAutospacing="1" w:after="100" w:afterAutospacing="1" w:line="270" w:lineRule="atLeast"/>
      <w:jc w:val="left"/>
    </w:pPr>
    <w:rPr>
      <w:rFonts w:ascii="ˎ̥" w:hAnsi="ˎ̥" w:eastAsia="仿宋_GB2312" w:cs="宋体"/>
      <w:kern w:val="0"/>
      <w:sz w:val="18"/>
      <w:szCs w:val="18"/>
    </w:rPr>
  </w:style>
  <w:style w:type="character" w:customStyle="1" w:styleId="445">
    <w:name w:val="s lh15"/>
    <w:semiHidden/>
    <w:qFormat/>
    <w:uiPriority w:val="0"/>
  </w:style>
  <w:style w:type="paragraph" w:customStyle="1" w:styleId="446">
    <w:name w:val="列表项目符号-其他"/>
    <w:basedOn w:val="22"/>
    <w:qFormat/>
    <w:uiPriority w:val="0"/>
    <w:pPr>
      <w:numPr>
        <w:ilvl w:val="0"/>
        <w:numId w:val="21"/>
      </w:numPr>
      <w:tabs>
        <w:tab w:val="left" w:pos="360"/>
        <w:tab w:val="clear" w:pos="840"/>
      </w:tabs>
      <w:adjustRightInd w:val="0"/>
      <w:spacing w:line="360" w:lineRule="auto"/>
      <w:ind w:left="0" w:firstLine="200" w:firstLineChars="200"/>
      <w:jc w:val="left"/>
    </w:pPr>
    <w:rPr>
      <w:rFonts w:ascii="Arial" w:hAnsi="Arial" w:eastAsia="仿宋_GB2312"/>
      <w:b/>
      <w:sz w:val="24"/>
      <w:szCs w:val="24"/>
      <w:lang w:val="zh-CN"/>
    </w:rPr>
  </w:style>
  <w:style w:type="character" w:customStyle="1" w:styleId="447">
    <w:name w:val="HTML 地址 字符"/>
    <w:basedOn w:val="79"/>
    <w:link w:val="39"/>
    <w:qFormat/>
    <w:uiPriority w:val="0"/>
    <w:rPr>
      <w:rFonts w:eastAsia="仿宋_GB2312"/>
      <w:i/>
      <w:iCs/>
      <w:kern w:val="2"/>
      <w:sz w:val="24"/>
      <w:szCs w:val="24"/>
    </w:rPr>
  </w:style>
  <w:style w:type="character" w:customStyle="1" w:styleId="448">
    <w:name w:val="称呼 字符"/>
    <w:basedOn w:val="79"/>
    <w:link w:val="29"/>
    <w:qFormat/>
    <w:uiPriority w:val="0"/>
    <w:rPr>
      <w:kern w:val="2"/>
      <w:sz w:val="24"/>
    </w:rPr>
  </w:style>
  <w:style w:type="character" w:customStyle="1" w:styleId="449">
    <w:name w:val="电子邮件签名 字符"/>
    <w:basedOn w:val="79"/>
    <w:link w:val="20"/>
    <w:qFormat/>
    <w:uiPriority w:val="0"/>
    <w:rPr>
      <w:rFonts w:eastAsia="仿宋_GB2312"/>
      <w:kern w:val="2"/>
      <w:sz w:val="24"/>
      <w:szCs w:val="24"/>
    </w:rPr>
  </w:style>
  <w:style w:type="character" w:customStyle="1" w:styleId="450">
    <w:name w:val="结束语 字符"/>
    <w:basedOn w:val="79"/>
    <w:link w:val="31"/>
    <w:qFormat/>
    <w:uiPriority w:val="0"/>
    <w:rPr>
      <w:rFonts w:eastAsia="仿宋_GB2312"/>
      <w:kern w:val="2"/>
      <w:sz w:val="24"/>
      <w:szCs w:val="24"/>
    </w:rPr>
  </w:style>
  <w:style w:type="paragraph" w:customStyle="1" w:styleId="451">
    <w:name w:val="列表项目符号-其他2"/>
    <w:basedOn w:val="17"/>
    <w:qFormat/>
    <w:uiPriority w:val="0"/>
    <w:pPr>
      <w:numPr>
        <w:ilvl w:val="0"/>
        <w:numId w:val="22"/>
      </w:numPr>
      <w:spacing w:after="0" w:afterAutospacing="0" w:line="360" w:lineRule="auto"/>
      <w:ind w:left="0" w:firstLine="200"/>
    </w:pPr>
    <w:rPr>
      <w:rFonts w:eastAsia="宋体"/>
    </w:rPr>
  </w:style>
  <w:style w:type="paragraph" w:customStyle="1" w:styleId="452">
    <w:name w:val="正文居中"/>
    <w:basedOn w:val="1"/>
    <w:qFormat/>
    <w:uiPriority w:val="0"/>
    <w:pPr>
      <w:spacing w:line="360" w:lineRule="auto"/>
      <w:ind w:firstLine="200" w:firstLineChars="200"/>
      <w:jc w:val="center"/>
    </w:pPr>
    <w:rPr>
      <w:rFonts w:eastAsia="仿宋_GB2312" w:cs="宋体"/>
      <w:sz w:val="24"/>
      <w:szCs w:val="20"/>
    </w:rPr>
  </w:style>
  <w:style w:type="character" w:customStyle="1" w:styleId="453">
    <w:name w:val="签名 字符"/>
    <w:basedOn w:val="79"/>
    <w:link w:val="55"/>
    <w:qFormat/>
    <w:uiPriority w:val="0"/>
    <w:rPr>
      <w:rFonts w:eastAsia="仿宋_GB2312"/>
      <w:kern w:val="2"/>
      <w:sz w:val="24"/>
      <w:szCs w:val="24"/>
    </w:rPr>
  </w:style>
  <w:style w:type="character" w:customStyle="1" w:styleId="454">
    <w:name w:val="信息标题 字符"/>
    <w:basedOn w:val="79"/>
    <w:link w:val="74"/>
    <w:qFormat/>
    <w:uiPriority w:val="0"/>
    <w:rPr>
      <w:rFonts w:ascii="Arial" w:hAnsi="Arial" w:eastAsia="仿宋_GB2312" w:cs="Arial"/>
      <w:kern w:val="2"/>
      <w:sz w:val="24"/>
      <w:szCs w:val="24"/>
      <w:shd w:val="pct20" w:color="auto" w:fill="auto"/>
    </w:rPr>
  </w:style>
  <w:style w:type="character" w:customStyle="1" w:styleId="455">
    <w:name w:val="注释标题 字符"/>
    <w:basedOn w:val="79"/>
    <w:link w:val="19"/>
    <w:qFormat/>
    <w:uiPriority w:val="0"/>
    <w:rPr>
      <w:rFonts w:eastAsia="仿宋_GB2312"/>
      <w:kern w:val="2"/>
      <w:sz w:val="24"/>
      <w:szCs w:val="24"/>
    </w:rPr>
  </w:style>
  <w:style w:type="paragraph" w:customStyle="1" w:styleId="456">
    <w:name w:val="列表项目符号 + 加粗"/>
    <w:basedOn w:val="25"/>
    <w:qFormat/>
    <w:uiPriority w:val="0"/>
    <w:pPr>
      <w:tabs>
        <w:tab w:val="left" w:pos="360"/>
        <w:tab w:val="clear" w:pos="624"/>
      </w:tabs>
      <w:spacing w:line="360" w:lineRule="auto"/>
      <w:ind w:left="200"/>
    </w:pPr>
    <w:rPr>
      <w:rFonts w:ascii="Arial" w:hAnsi="Arial"/>
      <w:b/>
      <w:bCs/>
      <w:sz w:val="24"/>
    </w:rPr>
  </w:style>
  <w:style w:type="paragraph" w:customStyle="1" w:styleId="457">
    <w:name w:val="标题3-项目符号"/>
    <w:basedOn w:val="5"/>
    <w:qFormat/>
    <w:uiPriority w:val="0"/>
    <w:pPr>
      <w:keepNext/>
      <w:keepLines/>
      <w:numPr>
        <w:ilvl w:val="0"/>
        <w:numId w:val="23"/>
      </w:numPr>
      <w:pBdr>
        <w:top w:val="none" w:color="auto" w:sz="0" w:space="0"/>
      </w:pBdr>
      <w:topLinePunct/>
      <w:spacing w:before="40" w:after="40" w:afterLines="0" w:line="240" w:lineRule="auto"/>
      <w:jc w:val="both"/>
    </w:pPr>
    <w:rPr>
      <w:rFonts w:ascii="仿宋_GB2312" w:hAnsi="黑体" w:eastAsia="黑体"/>
      <w:b/>
      <w:bCs/>
      <w:kern w:val="2"/>
      <w:sz w:val="32"/>
      <w:szCs w:val="32"/>
    </w:rPr>
  </w:style>
  <w:style w:type="paragraph" w:customStyle="1" w:styleId="458">
    <w:name w:val="标题4-项目符号"/>
    <w:basedOn w:val="6"/>
    <w:qFormat/>
    <w:uiPriority w:val="0"/>
    <w:pPr>
      <w:keepLines/>
      <w:widowControl w:val="0"/>
      <w:numPr>
        <w:ilvl w:val="0"/>
        <w:numId w:val="0"/>
      </w:numPr>
      <w:tabs>
        <w:tab w:val="left" w:pos="1680"/>
        <w:tab w:val="left" w:pos="2977"/>
      </w:tabs>
      <w:spacing w:after="0" w:afterLines="0" w:line="240" w:lineRule="auto"/>
      <w:ind w:left="1680" w:hanging="420"/>
    </w:pPr>
    <w:rPr>
      <w:rFonts w:ascii="仿宋_GB2312" w:hAnsi="黑体"/>
      <w:b/>
      <w:bCs/>
      <w:smallCaps w:val="0"/>
      <w:color w:val="auto"/>
      <w:kern w:val="2"/>
      <w:szCs w:val="24"/>
    </w:rPr>
  </w:style>
  <w:style w:type="paragraph" w:customStyle="1" w:styleId="459">
    <w:name w:val="标题5-项目符号"/>
    <w:qFormat/>
    <w:uiPriority w:val="0"/>
    <w:pPr>
      <w:numPr>
        <w:ilvl w:val="0"/>
        <w:numId w:val="24"/>
      </w:numPr>
    </w:pPr>
    <w:rPr>
      <w:rFonts w:ascii="Times New Roman" w:hAnsi="Times New Roman" w:eastAsia="宋体" w:cs="Times New Roman"/>
      <w:bCs/>
      <w:kern w:val="2"/>
      <w:sz w:val="24"/>
      <w:szCs w:val="28"/>
      <w:lang w:val="en-US" w:eastAsia="zh-CN" w:bidi="ar-SA"/>
    </w:rPr>
  </w:style>
  <w:style w:type="paragraph" w:customStyle="1" w:styleId="460">
    <w:name w:val="04 目录"/>
    <w:basedOn w:val="78"/>
    <w:qFormat/>
    <w:uiPriority w:val="0"/>
    <w:pPr>
      <w:pageBreakBefore/>
      <w:spacing w:before="0" w:after="0" w:line="360" w:lineRule="auto"/>
    </w:pPr>
    <w:rPr>
      <w:rFonts w:ascii="Arial" w:hAnsi="Arial" w:eastAsia="仿宋_GB2312" w:cs="Arial"/>
      <w:color w:val="000000"/>
      <w:kern w:val="2"/>
      <w:sz w:val="30"/>
    </w:rPr>
  </w:style>
  <w:style w:type="character" w:customStyle="1" w:styleId="461">
    <w:name w:val="TOC 1 字符"/>
    <w:link w:val="56"/>
    <w:qFormat/>
    <w:uiPriority w:val="39"/>
    <w:rPr>
      <w:kern w:val="2"/>
      <w:sz w:val="21"/>
      <w:szCs w:val="21"/>
    </w:rPr>
  </w:style>
  <w:style w:type="character" w:customStyle="1" w:styleId="462">
    <w:name w:val="TOC 3 字符"/>
    <w:link w:val="41"/>
    <w:qFormat/>
    <w:uiPriority w:val="39"/>
    <w:rPr>
      <w:kern w:val="2"/>
      <w:sz w:val="21"/>
      <w:szCs w:val="21"/>
    </w:rPr>
  </w:style>
  <w:style w:type="character" w:customStyle="1" w:styleId="463">
    <w:name w:val="TOC 2 字符"/>
    <w:link w:val="69"/>
    <w:qFormat/>
    <w:uiPriority w:val="39"/>
    <w:rPr>
      <w:kern w:val="2"/>
      <w:sz w:val="21"/>
      <w:szCs w:val="21"/>
    </w:rPr>
  </w:style>
  <w:style w:type="character" w:customStyle="1" w:styleId="464">
    <w:name w:val="图表目录 字符"/>
    <w:link w:val="68"/>
    <w:qFormat/>
    <w:uiPriority w:val="99"/>
    <w:rPr>
      <w:rFonts w:ascii="Arial" w:hAnsi="Arial" w:cs="宋体"/>
      <w:kern w:val="2"/>
      <w:sz w:val="24"/>
    </w:rPr>
  </w:style>
  <w:style w:type="character" w:customStyle="1" w:styleId="465">
    <w:name w:val="正文格式 Char"/>
    <w:link w:val="332"/>
    <w:qFormat/>
    <w:uiPriority w:val="0"/>
    <w:rPr>
      <w:rFonts w:eastAsia="仿宋_GB2312"/>
      <w:sz w:val="24"/>
    </w:rPr>
  </w:style>
  <w:style w:type="character" w:customStyle="1" w:styleId="466">
    <w:name w:val="hang1"/>
    <w:semiHidden/>
    <w:qFormat/>
    <w:uiPriority w:val="0"/>
  </w:style>
  <w:style w:type="paragraph" w:customStyle="1" w:styleId="467">
    <w:name w:val="00内文"/>
    <w:basedOn w:val="1"/>
    <w:qFormat/>
    <w:uiPriority w:val="0"/>
    <w:pPr>
      <w:adjustRightInd w:val="0"/>
      <w:ind w:firstLine="340" w:firstLineChars="200"/>
      <w:textAlignment w:val="baseline"/>
    </w:pPr>
    <w:rPr>
      <w:rFonts w:ascii="Arial" w:hAnsi="Arial" w:eastAsia="汉仪中等线简"/>
      <w:kern w:val="0"/>
      <w:sz w:val="17"/>
      <w:szCs w:val="20"/>
    </w:rPr>
  </w:style>
  <w:style w:type="paragraph" w:customStyle="1" w:styleId="468">
    <w:name w:val="Char Char1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0"/>
      <w:szCs w:val="20"/>
      <w:lang w:eastAsia="en-US"/>
    </w:rPr>
  </w:style>
  <w:style w:type="paragraph" w:customStyle="1" w:styleId="469">
    <w:name w:val="修订1"/>
    <w:hidden/>
    <w:semiHidden/>
    <w:qFormat/>
    <w:uiPriority w:val="99"/>
    <w:rPr>
      <w:rFonts w:ascii="Times New Roman" w:hAnsi="Times New Roman" w:eastAsia="宋体" w:cs="Times New Roman"/>
      <w:kern w:val="2"/>
      <w:sz w:val="24"/>
      <w:szCs w:val="24"/>
      <w:lang w:val="en-US" w:eastAsia="zh-CN" w:bidi="ar-SA"/>
    </w:rPr>
  </w:style>
  <w:style w:type="character" w:customStyle="1" w:styleId="470">
    <w:name w:val="正文（缩进） Char"/>
    <w:link w:val="471"/>
    <w:qFormat/>
    <w:uiPriority w:val="0"/>
    <w:rPr>
      <w:sz w:val="24"/>
      <w:szCs w:val="24"/>
    </w:rPr>
  </w:style>
  <w:style w:type="paragraph" w:customStyle="1" w:styleId="471">
    <w:name w:val="正文（缩进）"/>
    <w:basedOn w:val="1"/>
    <w:link w:val="470"/>
    <w:qFormat/>
    <w:uiPriority w:val="0"/>
    <w:pPr>
      <w:spacing w:before="156" w:beforeLines="50" w:after="156" w:afterLines="50" w:line="360" w:lineRule="auto"/>
      <w:ind w:firstLine="480" w:firstLineChars="200"/>
    </w:pPr>
    <w:rPr>
      <w:kern w:val="0"/>
      <w:sz w:val="24"/>
      <w:szCs w:val="24"/>
    </w:rPr>
  </w:style>
  <w:style w:type="paragraph" w:customStyle="1" w:styleId="472">
    <w:name w:val="正文文本1"/>
    <w:basedOn w:val="1"/>
    <w:qFormat/>
    <w:uiPriority w:val="0"/>
    <w:pPr>
      <w:spacing w:before="100" w:beforeAutospacing="1" w:after="100" w:afterAutospacing="1" w:line="360" w:lineRule="auto"/>
      <w:ind w:firstLine="200" w:firstLineChars="200"/>
    </w:pPr>
    <w:rPr>
      <w:rFonts w:ascii="宋体" w:hAnsi="宋体" w:eastAsia="仿宋_GB2312"/>
      <w:sz w:val="24"/>
      <w:szCs w:val="24"/>
    </w:rPr>
  </w:style>
  <w:style w:type="character" w:customStyle="1" w:styleId="473">
    <w:name w:val="表格 Char"/>
    <w:link w:val="366"/>
    <w:qFormat/>
    <w:uiPriority w:val="0"/>
    <w:rPr>
      <w:rFonts w:ascii="宋体" w:hAnsi="宋体" w:eastAsia="仿宋_GB2312"/>
      <w:kern w:val="24"/>
      <w:sz w:val="21"/>
      <w:szCs w:val="28"/>
    </w:rPr>
  </w:style>
  <w:style w:type="paragraph" w:customStyle="1" w:styleId="474">
    <w:name w:val="1.正文"/>
    <w:basedOn w:val="1"/>
    <w:link w:val="475"/>
    <w:qFormat/>
    <w:uiPriority w:val="0"/>
    <w:pPr>
      <w:spacing w:line="360" w:lineRule="auto"/>
      <w:ind w:left="540" w:leftChars="225" w:firstLine="540" w:firstLineChars="225"/>
    </w:pPr>
    <w:rPr>
      <w:rFonts w:eastAsia="仿宋_GB2312"/>
      <w:sz w:val="24"/>
      <w:szCs w:val="24"/>
    </w:rPr>
  </w:style>
  <w:style w:type="character" w:customStyle="1" w:styleId="475">
    <w:name w:val="1.正文 Char"/>
    <w:link w:val="474"/>
    <w:qFormat/>
    <w:uiPriority w:val="0"/>
    <w:rPr>
      <w:rFonts w:eastAsia="仿宋_GB2312"/>
      <w:kern w:val="2"/>
      <w:sz w:val="24"/>
      <w:szCs w:val="24"/>
    </w:rPr>
  </w:style>
  <w:style w:type="paragraph" w:customStyle="1" w:styleId="476">
    <w:name w:val="地铁方块平行列表样式"/>
    <w:basedOn w:val="1"/>
    <w:link w:val="477"/>
    <w:qFormat/>
    <w:uiPriority w:val="0"/>
    <w:pPr>
      <w:numPr>
        <w:ilvl w:val="0"/>
        <w:numId w:val="25"/>
      </w:numPr>
      <w:spacing w:line="360" w:lineRule="auto"/>
      <w:ind w:firstLine="0"/>
    </w:pPr>
    <w:rPr>
      <w:rFonts w:ascii="宋体" w:eastAsia="仿宋_GB2312"/>
      <w:sz w:val="24"/>
      <w:szCs w:val="24"/>
    </w:rPr>
  </w:style>
  <w:style w:type="character" w:customStyle="1" w:styleId="477">
    <w:name w:val="地铁方块平行列表样式 Char"/>
    <w:link w:val="476"/>
    <w:qFormat/>
    <w:uiPriority w:val="0"/>
    <w:rPr>
      <w:rFonts w:ascii="宋体" w:eastAsia="仿宋_GB2312"/>
      <w:kern w:val="2"/>
      <w:sz w:val="24"/>
      <w:szCs w:val="24"/>
    </w:rPr>
  </w:style>
  <w:style w:type="character" w:customStyle="1" w:styleId="478">
    <w:name w:val="正文文本 Char1"/>
    <w:semiHidden/>
    <w:qFormat/>
    <w:uiPriority w:val="99"/>
    <w:rPr>
      <w:rFonts w:ascii="Times New Roman" w:hAnsi="Times New Roman" w:eastAsia="宋体" w:cs="Times New Roman"/>
      <w:sz w:val="28"/>
      <w:szCs w:val="20"/>
    </w:rPr>
  </w:style>
  <w:style w:type="paragraph" w:customStyle="1" w:styleId="479">
    <w:name w:val="PDGInstructionsBullet"/>
    <w:basedOn w:val="1"/>
    <w:qFormat/>
    <w:uiPriority w:val="99"/>
    <w:pPr>
      <w:widowControl/>
      <w:numPr>
        <w:ilvl w:val="0"/>
        <w:numId w:val="26"/>
      </w:numPr>
      <w:spacing w:before="60" w:after="120"/>
      <w:ind w:right="360" w:firstLine="0"/>
      <w:jc w:val="left"/>
    </w:pPr>
    <w:rPr>
      <w:rFonts w:ascii="Garamond" w:hAnsi="Garamond" w:eastAsia="仿宋_GB2312"/>
      <w:color w:val="FF0000"/>
      <w:kern w:val="0"/>
      <w:sz w:val="24"/>
      <w:szCs w:val="20"/>
      <w:lang w:eastAsia="en-US"/>
    </w:rPr>
  </w:style>
  <w:style w:type="paragraph" w:customStyle="1" w:styleId="480">
    <w:name w:val="paragraph1"/>
    <w:basedOn w:val="1"/>
    <w:link w:val="481"/>
    <w:qFormat/>
    <w:uiPriority w:val="0"/>
    <w:pPr>
      <w:spacing w:after="100" w:afterLines="30" w:line="360" w:lineRule="auto"/>
      <w:ind w:firstLine="480" w:firstLineChars="200"/>
    </w:pPr>
    <w:rPr>
      <w:rFonts w:eastAsia="仿宋_GB2312"/>
      <w:sz w:val="24"/>
      <w:szCs w:val="24"/>
    </w:rPr>
  </w:style>
  <w:style w:type="character" w:customStyle="1" w:styleId="481">
    <w:name w:val="paragraph1 Char"/>
    <w:link w:val="480"/>
    <w:qFormat/>
    <w:uiPriority w:val="0"/>
    <w:rPr>
      <w:rFonts w:eastAsia="仿宋_GB2312"/>
      <w:kern w:val="2"/>
      <w:sz w:val="24"/>
      <w:szCs w:val="24"/>
    </w:rPr>
  </w:style>
  <w:style w:type="paragraph" w:customStyle="1" w:styleId="482">
    <w:name w:val="表身（左）"/>
    <w:qFormat/>
    <w:uiPriority w:val="99"/>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483">
    <w:name w:val="表身（中）"/>
    <w:basedOn w:val="482"/>
    <w:qFormat/>
    <w:uiPriority w:val="99"/>
    <w:pPr>
      <w:jc w:val="center"/>
    </w:pPr>
  </w:style>
  <w:style w:type="paragraph" w:customStyle="1" w:styleId="484">
    <w:name w:val="表项"/>
    <w:next w:val="482"/>
    <w:qFormat/>
    <w:uiPriority w:val="99"/>
    <w:pPr>
      <w:adjustRightInd w:val="0"/>
      <w:snapToGrid w:val="0"/>
      <w:spacing w:line="300" w:lineRule="auto"/>
      <w:jc w:val="center"/>
    </w:pPr>
    <w:rPr>
      <w:rFonts w:ascii="Arial" w:hAnsi="Arial" w:eastAsia="黑体" w:cs="Arial"/>
      <w:iCs/>
      <w:kern w:val="2"/>
      <w:sz w:val="16"/>
      <w:lang w:val="en-US" w:eastAsia="zh-CN" w:bidi="ar-SA"/>
    </w:rPr>
  </w:style>
  <w:style w:type="paragraph" w:customStyle="1" w:styleId="485">
    <w:name w:val="number1"/>
    <w:basedOn w:val="1"/>
    <w:link w:val="486"/>
    <w:qFormat/>
    <w:uiPriority w:val="0"/>
    <w:pPr>
      <w:tabs>
        <w:tab w:val="left" w:pos="840"/>
      </w:tabs>
      <w:spacing w:after="100" w:afterLines="30" w:line="360" w:lineRule="auto"/>
      <w:ind w:left="840" w:hanging="420"/>
    </w:pPr>
    <w:rPr>
      <w:rFonts w:eastAsia="仿宋_GB2312"/>
      <w:sz w:val="24"/>
      <w:szCs w:val="24"/>
    </w:rPr>
  </w:style>
  <w:style w:type="character" w:customStyle="1" w:styleId="486">
    <w:name w:val="number1 Char"/>
    <w:link w:val="485"/>
    <w:qFormat/>
    <w:uiPriority w:val="0"/>
    <w:rPr>
      <w:rFonts w:eastAsia="仿宋_GB2312"/>
      <w:kern w:val="2"/>
      <w:sz w:val="24"/>
      <w:szCs w:val="24"/>
    </w:rPr>
  </w:style>
  <w:style w:type="paragraph" w:customStyle="1" w:styleId="487">
    <w:name w:val="number"/>
    <w:basedOn w:val="1"/>
    <w:qFormat/>
    <w:uiPriority w:val="99"/>
    <w:pPr>
      <w:tabs>
        <w:tab w:val="left" w:pos="360"/>
      </w:tabs>
      <w:spacing w:before="100" w:beforeLines="20" w:after="100" w:afterLines="30" w:line="360" w:lineRule="auto"/>
    </w:pPr>
    <w:rPr>
      <w:rFonts w:ascii="Arial" w:hAnsi="Arial" w:eastAsia="仿宋_GB2312"/>
      <w:sz w:val="24"/>
      <w:szCs w:val="24"/>
    </w:rPr>
  </w:style>
  <w:style w:type="paragraph" w:customStyle="1" w:styleId="488">
    <w:name w:val="样式 number1 + (符号) 宋体"/>
    <w:basedOn w:val="485"/>
    <w:link w:val="489"/>
    <w:qFormat/>
    <w:uiPriority w:val="0"/>
    <w:pPr>
      <w:tabs>
        <w:tab w:val="left" w:pos="902"/>
        <w:tab w:val="clear" w:pos="840"/>
      </w:tabs>
      <w:spacing w:after="30"/>
      <w:ind w:left="400" w:leftChars="200" w:hanging="200" w:hangingChars="200"/>
    </w:pPr>
    <w:rPr>
      <w:rFonts w:cs="Arial"/>
    </w:rPr>
  </w:style>
  <w:style w:type="character" w:customStyle="1" w:styleId="489">
    <w:name w:val="样式 number1 + (符号) 宋体 Char"/>
    <w:link w:val="488"/>
    <w:qFormat/>
    <w:uiPriority w:val="0"/>
    <w:rPr>
      <w:rFonts w:eastAsia="仿宋_GB2312" w:cs="Arial"/>
      <w:kern w:val="2"/>
      <w:sz w:val="24"/>
      <w:szCs w:val="24"/>
    </w:rPr>
  </w:style>
  <w:style w:type="character" w:customStyle="1" w:styleId="490">
    <w:name w:val="正文文本缩进 Char1"/>
    <w:semiHidden/>
    <w:qFormat/>
    <w:uiPriority w:val="99"/>
    <w:rPr>
      <w:rFonts w:ascii="Times New Roman" w:hAnsi="Times New Roman"/>
      <w:kern w:val="2"/>
      <w:sz w:val="24"/>
      <w:szCs w:val="24"/>
    </w:rPr>
  </w:style>
  <w:style w:type="paragraph" w:customStyle="1" w:styleId="491">
    <w:name w:val="普通正文"/>
    <w:basedOn w:val="1"/>
    <w:qFormat/>
    <w:uiPriority w:val="99"/>
    <w:pPr>
      <w:adjustRightInd w:val="0"/>
      <w:spacing w:before="120" w:after="120" w:line="360" w:lineRule="auto"/>
      <w:ind w:firstLine="480"/>
      <w:jc w:val="left"/>
      <w:textAlignment w:val="baseline"/>
    </w:pPr>
    <w:rPr>
      <w:rFonts w:ascii="Arial" w:hAnsi="Arial" w:eastAsia="仿宋_GB2312"/>
      <w:kern w:val="0"/>
      <w:sz w:val="24"/>
      <w:szCs w:val="24"/>
    </w:rPr>
  </w:style>
  <w:style w:type="paragraph" w:customStyle="1" w:styleId="492">
    <w:name w:val="编号1"/>
    <w:basedOn w:val="22"/>
    <w:next w:val="1"/>
    <w:qFormat/>
    <w:uiPriority w:val="0"/>
    <w:pPr>
      <w:numPr>
        <w:ilvl w:val="0"/>
        <w:numId w:val="27"/>
      </w:numPr>
      <w:tabs>
        <w:tab w:val="left" w:pos="360"/>
        <w:tab w:val="left" w:pos="425"/>
        <w:tab w:val="left" w:pos="1860"/>
        <w:tab w:val="clear" w:pos="1560"/>
      </w:tabs>
      <w:spacing w:line="360" w:lineRule="auto"/>
      <w:ind w:left="1860" w:hanging="425"/>
    </w:pPr>
    <w:rPr>
      <w:rFonts w:ascii="楷体_GB2312" w:eastAsia="仿宋_GB2312"/>
      <w:sz w:val="24"/>
      <w:szCs w:val="28"/>
    </w:rPr>
  </w:style>
  <w:style w:type="paragraph" w:customStyle="1" w:styleId="493">
    <w:name w:val="正文样式"/>
    <w:basedOn w:val="173"/>
    <w:qFormat/>
    <w:uiPriority w:val="0"/>
    <w:pPr>
      <w:widowControl w:val="0"/>
      <w:tabs>
        <w:tab w:val="center" w:pos="4139"/>
        <w:tab w:val="right" w:pos="8335"/>
      </w:tabs>
      <w:topLinePunct/>
      <w:adjustRightInd w:val="0"/>
      <w:snapToGrid w:val="0"/>
      <w:spacing w:line="311" w:lineRule="atLeast"/>
      <w:jc w:val="both"/>
    </w:pPr>
    <w:rPr>
      <w:rFonts w:eastAsia="仿宋_GB2312"/>
      <w:kern w:val="2"/>
      <w:sz w:val="21"/>
      <w:lang w:val="en-US" w:eastAsia="zh-CN"/>
    </w:rPr>
  </w:style>
  <w:style w:type="character" w:customStyle="1" w:styleId="494">
    <w:name w:val="标题 1 Char1"/>
    <w:qFormat/>
    <w:uiPriority w:val="0"/>
    <w:rPr>
      <w:rFonts w:ascii="Times New Roman" w:hAnsi="Times New Roman" w:eastAsia="宋体" w:cs="Times New Roman"/>
      <w:b/>
      <w:bCs/>
      <w:kern w:val="44"/>
      <w:sz w:val="44"/>
      <w:szCs w:val="44"/>
    </w:rPr>
  </w:style>
  <w:style w:type="character" w:customStyle="1" w:styleId="495">
    <w:name w:val="标题 4 Char1"/>
    <w:qFormat/>
    <w:uiPriority w:val="0"/>
    <w:rPr>
      <w:rFonts w:ascii="Cambria" w:hAnsi="Cambria" w:eastAsia="宋体" w:cs="Times New Roman"/>
      <w:b/>
      <w:bCs/>
      <w:kern w:val="2"/>
      <w:sz w:val="28"/>
      <w:szCs w:val="28"/>
    </w:rPr>
  </w:style>
  <w:style w:type="character" w:customStyle="1" w:styleId="496">
    <w:name w:val="标题 5 Char1"/>
    <w:semiHidden/>
    <w:qFormat/>
    <w:uiPriority w:val="0"/>
    <w:rPr>
      <w:rFonts w:ascii="Times New Roman" w:hAnsi="Times New Roman" w:eastAsia="宋体" w:cs="Times New Roman"/>
      <w:b/>
      <w:bCs/>
      <w:kern w:val="2"/>
      <w:sz w:val="28"/>
      <w:szCs w:val="28"/>
    </w:rPr>
  </w:style>
  <w:style w:type="character" w:customStyle="1" w:styleId="497">
    <w:name w:val="标题 6 Char1"/>
    <w:semiHidden/>
    <w:qFormat/>
    <w:uiPriority w:val="9"/>
    <w:rPr>
      <w:rFonts w:ascii="Cambria" w:hAnsi="Cambria" w:eastAsia="宋体" w:cs="Times New Roman"/>
      <w:b/>
      <w:bCs/>
      <w:kern w:val="2"/>
      <w:sz w:val="24"/>
      <w:szCs w:val="24"/>
    </w:rPr>
  </w:style>
  <w:style w:type="character" w:customStyle="1" w:styleId="498">
    <w:name w:val="标题 7 Char1"/>
    <w:semiHidden/>
    <w:qFormat/>
    <w:uiPriority w:val="9"/>
    <w:rPr>
      <w:rFonts w:ascii="Times New Roman" w:hAnsi="Times New Roman" w:eastAsia="宋体" w:cs="Times New Roman"/>
      <w:b/>
      <w:bCs/>
      <w:kern w:val="2"/>
      <w:sz w:val="24"/>
      <w:szCs w:val="24"/>
    </w:rPr>
  </w:style>
  <w:style w:type="character" w:customStyle="1" w:styleId="499">
    <w:name w:val="标题 8 Char1"/>
    <w:semiHidden/>
    <w:qFormat/>
    <w:uiPriority w:val="9"/>
    <w:rPr>
      <w:rFonts w:ascii="Cambria" w:hAnsi="Cambria" w:eastAsia="宋体" w:cs="Times New Roman"/>
      <w:kern w:val="2"/>
      <w:sz w:val="24"/>
      <w:szCs w:val="24"/>
    </w:rPr>
  </w:style>
  <w:style w:type="character" w:customStyle="1" w:styleId="500">
    <w:name w:val="标题 9 Char1"/>
    <w:semiHidden/>
    <w:qFormat/>
    <w:uiPriority w:val="0"/>
    <w:rPr>
      <w:rFonts w:ascii="Cambria" w:hAnsi="Cambria" w:eastAsia="宋体" w:cs="Times New Roman"/>
      <w:kern w:val="2"/>
      <w:sz w:val="21"/>
      <w:szCs w:val="21"/>
    </w:rPr>
  </w:style>
  <w:style w:type="character" w:customStyle="1" w:styleId="501">
    <w:name w:val="页眉 Char1"/>
    <w:semiHidden/>
    <w:qFormat/>
    <w:uiPriority w:val="99"/>
    <w:rPr>
      <w:rFonts w:ascii="Times New Roman" w:hAnsi="Times New Roman" w:eastAsia="宋体" w:cs="Times New Roman"/>
      <w:sz w:val="18"/>
      <w:szCs w:val="18"/>
    </w:rPr>
  </w:style>
  <w:style w:type="paragraph" w:customStyle="1" w:styleId="502">
    <w:name w:val="正文3"/>
    <w:qFormat/>
    <w:uiPriority w:val="99"/>
    <w:pPr>
      <w:widowControl w:val="0"/>
      <w:adjustRightInd w:val="0"/>
      <w:spacing w:line="312" w:lineRule="atLeast"/>
      <w:jc w:val="both"/>
    </w:pPr>
    <w:rPr>
      <w:rFonts w:ascii="宋体" w:hAnsi="Times New Roman" w:eastAsia="宋体" w:cs="Times New Roman"/>
      <w:sz w:val="28"/>
      <w:lang w:val="en-US" w:eastAsia="zh-CN" w:bidi="ar-SA"/>
    </w:rPr>
  </w:style>
  <w:style w:type="character" w:customStyle="1" w:styleId="503">
    <w:name w:val="pt1"/>
    <w:qFormat/>
    <w:uiPriority w:val="0"/>
    <w:rPr>
      <w:sz w:val="18"/>
      <w:szCs w:val="18"/>
    </w:rPr>
  </w:style>
  <w:style w:type="paragraph" w:customStyle="1" w:styleId="504">
    <w:name w:val="xl65"/>
    <w:basedOn w:val="1"/>
    <w:qFormat/>
    <w:uiPriority w:val="0"/>
    <w:pPr>
      <w:widowControl/>
      <w:spacing w:before="100" w:beforeAutospacing="1" w:after="100" w:afterAutospacing="1"/>
      <w:jc w:val="left"/>
    </w:pPr>
    <w:rPr>
      <w:rFonts w:ascii="宋体" w:hAnsi="宋体" w:eastAsia="仿宋_GB2312" w:cs="宋体"/>
      <w:kern w:val="0"/>
      <w:sz w:val="24"/>
      <w:szCs w:val="24"/>
    </w:rPr>
  </w:style>
  <w:style w:type="paragraph" w:customStyle="1" w:styleId="505">
    <w:name w:val="xl66"/>
    <w:basedOn w:val="1"/>
    <w:qFormat/>
    <w:uiPriority w:val="0"/>
    <w:pPr>
      <w:widowControl/>
      <w:spacing w:before="100" w:beforeAutospacing="1" w:after="100" w:afterAutospacing="1"/>
      <w:jc w:val="center"/>
    </w:pPr>
    <w:rPr>
      <w:rFonts w:ascii="宋体" w:hAnsi="宋体" w:eastAsia="仿宋_GB2312" w:cs="宋体"/>
      <w:kern w:val="0"/>
      <w:sz w:val="24"/>
      <w:szCs w:val="24"/>
    </w:rPr>
  </w:style>
  <w:style w:type="paragraph" w:customStyle="1" w:styleId="506">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仿宋_GB2312" w:cs="宋体"/>
      <w:kern w:val="0"/>
      <w:sz w:val="24"/>
      <w:szCs w:val="24"/>
    </w:rPr>
  </w:style>
  <w:style w:type="paragraph" w:customStyle="1" w:styleId="50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仿宋_GB2312" w:cs="宋体"/>
      <w:kern w:val="0"/>
      <w:sz w:val="24"/>
      <w:szCs w:val="24"/>
    </w:rPr>
  </w:style>
  <w:style w:type="paragraph" w:customStyle="1" w:styleId="508">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仿宋_GB2312" w:cs="宋体"/>
      <w:kern w:val="0"/>
      <w:sz w:val="24"/>
      <w:szCs w:val="24"/>
    </w:rPr>
  </w:style>
  <w:style w:type="paragraph" w:customStyle="1" w:styleId="50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仿宋_GB2312" w:cs="宋体"/>
      <w:kern w:val="0"/>
      <w:sz w:val="24"/>
      <w:szCs w:val="24"/>
    </w:rPr>
  </w:style>
  <w:style w:type="paragraph" w:customStyle="1" w:styleId="510">
    <w:name w:val="xl7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仿宋_GB2312" w:cs="宋体"/>
      <w:kern w:val="0"/>
      <w:sz w:val="24"/>
      <w:szCs w:val="24"/>
    </w:rPr>
  </w:style>
  <w:style w:type="paragraph" w:customStyle="1" w:styleId="511">
    <w:name w:val="xl7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仿宋_GB2312" w:cs="宋体"/>
      <w:kern w:val="0"/>
      <w:sz w:val="24"/>
      <w:szCs w:val="24"/>
    </w:rPr>
  </w:style>
  <w:style w:type="paragraph" w:customStyle="1" w:styleId="512">
    <w:name w:val="xl7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宋体" w:hAnsi="宋体" w:eastAsia="仿宋_GB2312" w:cs="宋体"/>
      <w:kern w:val="0"/>
      <w:sz w:val="24"/>
      <w:szCs w:val="24"/>
    </w:rPr>
  </w:style>
  <w:style w:type="paragraph" w:customStyle="1" w:styleId="513">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仿宋_GB2312" w:cs="宋体"/>
      <w:kern w:val="0"/>
      <w:sz w:val="16"/>
      <w:szCs w:val="16"/>
    </w:rPr>
  </w:style>
  <w:style w:type="paragraph" w:customStyle="1" w:styleId="51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eastAsia="仿宋_GB2312" w:cs="宋体"/>
      <w:kern w:val="0"/>
      <w:sz w:val="18"/>
      <w:szCs w:val="18"/>
    </w:rPr>
  </w:style>
  <w:style w:type="paragraph" w:customStyle="1" w:styleId="515">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仿宋_GB2312" w:cs="宋体"/>
      <w:kern w:val="0"/>
      <w:sz w:val="18"/>
      <w:szCs w:val="18"/>
    </w:rPr>
  </w:style>
  <w:style w:type="paragraph" w:customStyle="1" w:styleId="516">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仿宋_GB2312" w:cs="宋体"/>
      <w:b/>
      <w:bCs/>
      <w:kern w:val="0"/>
      <w:sz w:val="24"/>
      <w:szCs w:val="24"/>
    </w:rPr>
  </w:style>
  <w:style w:type="paragraph" w:customStyle="1" w:styleId="517">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仿宋_GB2312" w:cs="宋体"/>
      <w:b/>
      <w:bCs/>
      <w:kern w:val="0"/>
      <w:sz w:val="24"/>
      <w:szCs w:val="24"/>
    </w:rPr>
  </w:style>
  <w:style w:type="paragraph" w:customStyle="1" w:styleId="518">
    <w:name w:val="xl79"/>
    <w:basedOn w:val="1"/>
    <w:qFormat/>
    <w:uiPriority w:val="0"/>
    <w:pPr>
      <w:widowControl/>
      <w:pBdr>
        <w:top w:val="single" w:color="auto" w:sz="4" w:space="0"/>
        <w:left w:val="single" w:color="auto" w:sz="8" w:space="0"/>
        <w:bottom w:val="single" w:color="auto" w:sz="4" w:space="0"/>
        <w:right w:val="single" w:color="auto" w:sz="4" w:space="0"/>
      </w:pBdr>
      <w:shd w:val="clear" w:color="000000" w:fill="FFFF00"/>
      <w:spacing w:before="100" w:beforeAutospacing="1" w:after="100" w:afterAutospacing="1"/>
      <w:jc w:val="center"/>
    </w:pPr>
    <w:rPr>
      <w:rFonts w:ascii="宋体" w:hAnsi="宋体" w:eastAsia="仿宋_GB2312" w:cs="宋体"/>
      <w:b/>
      <w:bCs/>
      <w:kern w:val="0"/>
      <w:sz w:val="24"/>
      <w:szCs w:val="24"/>
    </w:rPr>
  </w:style>
  <w:style w:type="paragraph" w:customStyle="1" w:styleId="519">
    <w:name w:val="xl80"/>
    <w:basedOn w:val="1"/>
    <w:qFormat/>
    <w:uiPriority w:val="0"/>
    <w:pPr>
      <w:widowControl/>
      <w:pBdr>
        <w:top w:val="single" w:color="auto" w:sz="4" w:space="0"/>
        <w:left w:val="single" w:color="auto" w:sz="8" w:space="0"/>
        <w:bottom w:val="single" w:color="auto" w:sz="4" w:space="0"/>
        <w:right w:val="single" w:color="auto" w:sz="4" w:space="0"/>
      </w:pBdr>
      <w:shd w:val="clear" w:color="000000" w:fill="FFFF00"/>
      <w:spacing w:before="100" w:beforeAutospacing="1" w:after="100" w:afterAutospacing="1"/>
      <w:jc w:val="center"/>
    </w:pPr>
    <w:rPr>
      <w:rFonts w:ascii="宋体" w:hAnsi="宋体" w:eastAsia="仿宋_GB2312" w:cs="宋体"/>
      <w:b/>
      <w:bCs/>
      <w:kern w:val="0"/>
      <w:sz w:val="24"/>
      <w:szCs w:val="24"/>
    </w:rPr>
  </w:style>
  <w:style w:type="paragraph" w:customStyle="1" w:styleId="5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仿宋_GB2312" w:cs="宋体"/>
      <w:b/>
      <w:bCs/>
      <w:kern w:val="0"/>
      <w:sz w:val="24"/>
      <w:szCs w:val="24"/>
    </w:rPr>
  </w:style>
  <w:style w:type="paragraph" w:customStyle="1" w:styleId="52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仿宋_GB2312" w:cs="宋体"/>
      <w:b/>
      <w:bCs/>
      <w:kern w:val="0"/>
      <w:sz w:val="24"/>
      <w:szCs w:val="24"/>
    </w:rPr>
  </w:style>
  <w:style w:type="paragraph" w:customStyle="1" w:styleId="522">
    <w:name w:val="xl8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宋体" w:hAnsi="宋体" w:eastAsia="仿宋_GB2312" w:cs="宋体"/>
      <w:b/>
      <w:bCs/>
      <w:kern w:val="0"/>
      <w:sz w:val="24"/>
      <w:szCs w:val="24"/>
    </w:rPr>
  </w:style>
  <w:style w:type="paragraph" w:customStyle="1" w:styleId="523">
    <w:name w:val="xl84"/>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right"/>
    </w:pPr>
    <w:rPr>
      <w:rFonts w:ascii="宋体" w:hAnsi="宋体" w:eastAsia="仿宋_GB2312" w:cs="宋体"/>
      <w:b/>
      <w:bCs/>
      <w:kern w:val="0"/>
      <w:sz w:val="24"/>
      <w:szCs w:val="24"/>
    </w:rPr>
  </w:style>
  <w:style w:type="paragraph" w:customStyle="1" w:styleId="524">
    <w:name w:val="xl8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宋体" w:hAnsi="宋体" w:eastAsia="仿宋_GB2312" w:cs="宋体"/>
      <w:b/>
      <w:bCs/>
      <w:kern w:val="0"/>
      <w:sz w:val="24"/>
      <w:szCs w:val="24"/>
    </w:rPr>
  </w:style>
  <w:style w:type="paragraph" w:customStyle="1" w:styleId="525">
    <w:name w:val="xl86"/>
    <w:basedOn w:val="1"/>
    <w:qFormat/>
    <w:uiPriority w:val="0"/>
    <w:pPr>
      <w:widowControl/>
      <w:pBdr>
        <w:top w:val="single" w:color="auto" w:sz="8" w:space="0"/>
        <w:left w:val="single" w:color="auto" w:sz="8" w:space="0"/>
        <w:bottom w:val="single" w:color="auto" w:sz="4" w:space="0"/>
        <w:right w:val="single" w:color="auto" w:sz="4" w:space="0"/>
      </w:pBdr>
      <w:shd w:val="clear" w:color="000000" w:fill="C5D9F1"/>
      <w:spacing w:before="100" w:beforeAutospacing="1" w:after="100" w:afterAutospacing="1"/>
      <w:jc w:val="left"/>
    </w:pPr>
    <w:rPr>
      <w:rFonts w:ascii="宋体" w:hAnsi="宋体" w:eastAsia="仿宋_GB2312" w:cs="宋体"/>
      <w:kern w:val="0"/>
      <w:sz w:val="24"/>
      <w:szCs w:val="24"/>
    </w:rPr>
  </w:style>
  <w:style w:type="paragraph" w:customStyle="1" w:styleId="526">
    <w:name w:val="xl87"/>
    <w:basedOn w:val="1"/>
    <w:qFormat/>
    <w:uiPriority w:val="0"/>
    <w:pPr>
      <w:widowControl/>
      <w:pBdr>
        <w:top w:val="single" w:color="auto" w:sz="8" w:space="0"/>
        <w:left w:val="single" w:color="auto" w:sz="4" w:space="0"/>
        <w:bottom w:val="single" w:color="auto" w:sz="4" w:space="0"/>
        <w:right w:val="single" w:color="auto" w:sz="4" w:space="0"/>
      </w:pBdr>
      <w:shd w:val="clear" w:color="000000" w:fill="C5D9F1"/>
      <w:spacing w:before="100" w:beforeAutospacing="1" w:after="100" w:afterAutospacing="1"/>
      <w:jc w:val="left"/>
    </w:pPr>
    <w:rPr>
      <w:rFonts w:ascii="宋体" w:hAnsi="宋体" w:eastAsia="仿宋_GB2312" w:cs="宋体"/>
      <w:kern w:val="0"/>
      <w:sz w:val="24"/>
      <w:szCs w:val="24"/>
    </w:rPr>
  </w:style>
  <w:style w:type="paragraph" w:customStyle="1" w:styleId="527">
    <w:name w:val="xl88"/>
    <w:basedOn w:val="1"/>
    <w:qFormat/>
    <w:uiPriority w:val="0"/>
    <w:pPr>
      <w:widowControl/>
      <w:pBdr>
        <w:top w:val="single" w:color="auto" w:sz="8" w:space="0"/>
        <w:left w:val="single" w:color="auto" w:sz="4" w:space="0"/>
        <w:bottom w:val="single" w:color="auto" w:sz="4" w:space="0"/>
        <w:right w:val="single" w:color="auto" w:sz="4" w:space="0"/>
      </w:pBdr>
      <w:shd w:val="clear" w:color="000000" w:fill="C5D9F1"/>
      <w:spacing w:before="100" w:beforeAutospacing="1" w:after="100" w:afterAutospacing="1"/>
      <w:jc w:val="left"/>
    </w:pPr>
    <w:rPr>
      <w:rFonts w:ascii="宋体" w:hAnsi="宋体" w:eastAsia="仿宋_GB2312" w:cs="宋体"/>
      <w:kern w:val="0"/>
      <w:sz w:val="24"/>
      <w:szCs w:val="24"/>
    </w:rPr>
  </w:style>
  <w:style w:type="paragraph" w:customStyle="1" w:styleId="528">
    <w:name w:val="xl89"/>
    <w:basedOn w:val="1"/>
    <w:qFormat/>
    <w:uiPriority w:val="0"/>
    <w:pPr>
      <w:widowControl/>
      <w:pBdr>
        <w:top w:val="single" w:color="auto" w:sz="8" w:space="0"/>
        <w:left w:val="single" w:color="auto" w:sz="4" w:space="0"/>
        <w:bottom w:val="single" w:color="auto" w:sz="4" w:space="0"/>
        <w:right w:val="single" w:color="auto" w:sz="4" w:space="0"/>
      </w:pBdr>
      <w:shd w:val="clear" w:color="000000" w:fill="C5D9F1"/>
      <w:spacing w:before="100" w:beforeAutospacing="1" w:after="100" w:afterAutospacing="1"/>
      <w:jc w:val="center"/>
    </w:pPr>
    <w:rPr>
      <w:rFonts w:ascii="宋体" w:hAnsi="宋体" w:eastAsia="仿宋_GB2312" w:cs="宋体"/>
      <w:kern w:val="0"/>
      <w:sz w:val="24"/>
      <w:szCs w:val="24"/>
    </w:rPr>
  </w:style>
  <w:style w:type="paragraph" w:customStyle="1" w:styleId="529">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仿宋_GB2312" w:cs="宋体"/>
      <w:color w:val="000000"/>
      <w:kern w:val="0"/>
    </w:rPr>
  </w:style>
  <w:style w:type="paragraph" w:customStyle="1" w:styleId="530">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Calibri" w:hAnsi="Calibri" w:eastAsia="仿宋_GB2312" w:cs="Calibri"/>
      <w:kern w:val="0"/>
    </w:rPr>
  </w:style>
  <w:style w:type="paragraph" w:customStyle="1" w:styleId="53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仿宋_GB2312" w:cs="宋体"/>
      <w:kern w:val="0"/>
    </w:rPr>
  </w:style>
  <w:style w:type="paragraph" w:customStyle="1" w:styleId="53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仿宋_GB2312" w:cs="宋体"/>
      <w:kern w:val="0"/>
      <w:sz w:val="18"/>
      <w:szCs w:val="18"/>
    </w:rPr>
  </w:style>
  <w:style w:type="paragraph" w:customStyle="1" w:styleId="533">
    <w:name w:val="图编号"/>
    <w:basedOn w:val="8"/>
    <w:qFormat/>
    <w:uiPriority w:val="0"/>
    <w:pPr>
      <w:keepLines/>
      <w:numPr>
        <w:ilvl w:val="0"/>
        <w:numId w:val="0"/>
      </w:numPr>
      <w:spacing w:after="120" w:afterLines="0" w:line="276" w:lineRule="auto"/>
      <w:jc w:val="center"/>
    </w:pPr>
    <w:rPr>
      <w:rFonts w:ascii="Times New Roman" w:hAnsi="Times New Roman" w:eastAsia="仿宋_GB2312"/>
      <w:b/>
      <w:bCs/>
      <w:color w:val="auto"/>
      <w:kern w:val="2"/>
      <w:sz w:val="21"/>
      <w:szCs w:val="21"/>
    </w:rPr>
  </w:style>
  <w:style w:type="paragraph" w:customStyle="1" w:styleId="534">
    <w:name w:val="表样式"/>
    <w:basedOn w:val="1"/>
    <w:qFormat/>
    <w:uiPriority w:val="0"/>
    <w:pPr>
      <w:widowControl/>
      <w:spacing w:line="360" w:lineRule="auto"/>
      <w:ind w:left="5529"/>
    </w:pPr>
    <w:rPr>
      <w:rFonts w:eastAsia="仿宋_GB2312"/>
      <w:sz w:val="28"/>
      <w:szCs w:val="24"/>
    </w:rPr>
  </w:style>
  <w:style w:type="paragraph" w:customStyle="1" w:styleId="535">
    <w:name w:val="Char Char Char Char Char Char1 Char Char Char Char"/>
    <w:basedOn w:val="1"/>
    <w:qFormat/>
    <w:uiPriority w:val="0"/>
    <w:rPr>
      <w:rFonts w:ascii="Tahoma" w:hAnsi="Tahoma"/>
      <w:sz w:val="24"/>
      <w:szCs w:val="20"/>
    </w:rPr>
  </w:style>
  <w:style w:type="paragraph" w:customStyle="1" w:styleId="536">
    <w:name w:val="GP正文(无首行缩进)"/>
    <w:qFormat/>
    <w:uiPriority w:val="0"/>
    <w:pPr>
      <w:widowControl w:val="0"/>
      <w:spacing w:line="360" w:lineRule="auto"/>
    </w:pPr>
    <w:rPr>
      <w:rFonts w:ascii="Times New Roman" w:hAnsi="Times New Roman" w:eastAsia="宋体" w:cs="Times New Roman"/>
      <w:kern w:val="2"/>
      <w:sz w:val="24"/>
      <w:szCs w:val="21"/>
      <w:lang w:val="en-US" w:eastAsia="zh-CN" w:bidi="ar-SA"/>
    </w:rPr>
  </w:style>
  <w:style w:type="paragraph" w:customStyle="1" w:styleId="537">
    <w:name w:val="GP标题2"/>
    <w:basedOn w:val="536"/>
    <w:next w:val="246"/>
    <w:qFormat/>
    <w:uiPriority w:val="0"/>
    <w:pPr>
      <w:spacing w:beforeLines="50" w:afterLines="50"/>
      <w:ind w:left="426"/>
      <w:outlineLvl w:val="1"/>
    </w:pPr>
    <w:rPr>
      <w:rFonts w:ascii="华文细黑" w:hAnsi="华文细黑" w:eastAsia="华文细黑"/>
      <w:b/>
      <w:sz w:val="32"/>
    </w:rPr>
  </w:style>
  <w:style w:type="paragraph" w:customStyle="1" w:styleId="538">
    <w:name w:val="GP标题3"/>
    <w:basedOn w:val="536"/>
    <w:next w:val="246"/>
    <w:qFormat/>
    <w:uiPriority w:val="0"/>
    <w:pPr>
      <w:spacing w:beforeLines="50" w:afterLines="50"/>
      <w:outlineLvl w:val="2"/>
    </w:pPr>
    <w:rPr>
      <w:rFonts w:ascii="华文细黑" w:hAnsi="华文细黑" w:eastAsia="华文细黑"/>
      <w:b/>
      <w:sz w:val="30"/>
    </w:rPr>
  </w:style>
  <w:style w:type="paragraph" w:customStyle="1" w:styleId="539">
    <w:name w:val="GP标题4"/>
    <w:basedOn w:val="536"/>
    <w:next w:val="246"/>
    <w:qFormat/>
    <w:uiPriority w:val="0"/>
    <w:pPr>
      <w:spacing w:beforeLines="50" w:afterLines="50"/>
      <w:outlineLvl w:val="3"/>
    </w:pPr>
    <w:rPr>
      <w:rFonts w:ascii="华文细黑" w:hAnsi="华文细黑" w:eastAsia="华文细黑"/>
      <w:b/>
      <w:sz w:val="28"/>
    </w:rPr>
  </w:style>
  <w:style w:type="paragraph" w:customStyle="1" w:styleId="540">
    <w:name w:val="GP标题5"/>
    <w:basedOn w:val="536"/>
    <w:next w:val="246"/>
    <w:qFormat/>
    <w:uiPriority w:val="0"/>
    <w:pPr>
      <w:spacing w:beforeLines="50" w:afterLines="50"/>
      <w:outlineLvl w:val="4"/>
    </w:pPr>
    <w:rPr>
      <w:rFonts w:ascii="华文细黑" w:hAnsi="华文细黑" w:eastAsia="华文细黑"/>
      <w:b/>
    </w:rPr>
  </w:style>
  <w:style w:type="character" w:customStyle="1" w:styleId="541">
    <w:name w:val="goog_qs-tidbit-1"/>
    <w:qFormat/>
    <w:uiPriority w:val="0"/>
  </w:style>
  <w:style w:type="paragraph" w:styleId="542">
    <w:name w:val="Quote"/>
    <w:basedOn w:val="1"/>
    <w:next w:val="1"/>
    <w:link w:val="543"/>
    <w:qFormat/>
    <w:uiPriority w:val="29"/>
    <w:pPr>
      <w:spacing w:line="360" w:lineRule="auto"/>
    </w:pPr>
    <w:rPr>
      <w:i/>
      <w:iCs/>
      <w:color w:val="000000"/>
      <w:sz w:val="24"/>
      <w:szCs w:val="24"/>
    </w:rPr>
  </w:style>
  <w:style w:type="character" w:customStyle="1" w:styleId="543">
    <w:name w:val="引用 字符"/>
    <w:basedOn w:val="79"/>
    <w:link w:val="542"/>
    <w:qFormat/>
    <w:uiPriority w:val="29"/>
    <w:rPr>
      <w:i/>
      <w:iCs/>
      <w:color w:val="000000"/>
      <w:kern w:val="2"/>
      <w:sz w:val="24"/>
      <w:szCs w:val="24"/>
    </w:rPr>
  </w:style>
  <w:style w:type="paragraph" w:customStyle="1" w:styleId="544">
    <w:name w:val="GP标题1"/>
    <w:basedOn w:val="536"/>
    <w:next w:val="246"/>
    <w:qFormat/>
    <w:uiPriority w:val="0"/>
    <w:pPr>
      <w:tabs>
        <w:tab w:val="left" w:pos="360"/>
      </w:tabs>
      <w:spacing w:beforeLines="100" w:afterLines="100"/>
      <w:ind w:left="360" w:hanging="360" w:hangingChars="200"/>
      <w:jc w:val="center"/>
      <w:outlineLvl w:val="0"/>
    </w:pPr>
    <w:rPr>
      <w:rFonts w:ascii="黑体" w:hAnsi="黑体" w:eastAsia="黑体"/>
      <w:b/>
      <w:sz w:val="36"/>
    </w:rPr>
  </w:style>
  <w:style w:type="paragraph" w:customStyle="1" w:styleId="545">
    <w:name w:val="样式19"/>
    <w:basedOn w:val="1"/>
    <w:link w:val="546"/>
    <w:qFormat/>
    <w:uiPriority w:val="0"/>
    <w:pPr>
      <w:widowControl/>
      <w:tabs>
        <w:tab w:val="left" w:pos="0"/>
      </w:tabs>
      <w:spacing w:line="360" w:lineRule="auto"/>
      <w:ind w:firstLine="480" w:firstLineChars="200"/>
    </w:pPr>
    <w:rPr>
      <w:rFonts w:ascii="Arial" w:hAnsi="Arial" w:cs="宋体"/>
      <w:color w:val="000000"/>
      <w:kern w:val="0"/>
      <w:sz w:val="24"/>
      <w:szCs w:val="24"/>
    </w:rPr>
  </w:style>
  <w:style w:type="character" w:customStyle="1" w:styleId="546">
    <w:name w:val="样式19 Char"/>
    <w:link w:val="545"/>
    <w:qFormat/>
    <w:uiPriority w:val="0"/>
    <w:rPr>
      <w:rFonts w:ascii="Arial" w:hAnsi="Arial" w:cs="宋体"/>
      <w:color w:val="000000"/>
      <w:sz w:val="24"/>
      <w:szCs w:val="24"/>
    </w:rPr>
  </w:style>
  <w:style w:type="table" w:customStyle="1" w:styleId="547">
    <w:name w:val="网格型1"/>
    <w:basedOn w:val="9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548">
    <w:name w:val="标题5"/>
    <w:basedOn w:val="1"/>
    <w:next w:val="239"/>
    <w:link w:val="549"/>
    <w:qFormat/>
    <w:uiPriority w:val="0"/>
    <w:pPr>
      <w:numPr>
        <w:ilvl w:val="0"/>
        <w:numId w:val="28"/>
      </w:numPr>
      <w:spacing w:before="156" w:beforeLines="50" w:after="156" w:afterLines="50" w:line="360" w:lineRule="auto"/>
      <w:ind w:firstLine="0"/>
      <w:outlineLvl w:val="4"/>
    </w:pPr>
    <w:rPr>
      <w:sz w:val="24"/>
      <w:szCs w:val="24"/>
    </w:rPr>
  </w:style>
  <w:style w:type="character" w:customStyle="1" w:styleId="549">
    <w:name w:val="标题5 Char"/>
    <w:link w:val="548"/>
    <w:qFormat/>
    <w:uiPriority w:val="0"/>
    <w:rPr>
      <w:kern w:val="2"/>
      <w:sz w:val="24"/>
      <w:szCs w:val="24"/>
    </w:rPr>
  </w:style>
  <w:style w:type="character" w:customStyle="1" w:styleId="550">
    <w:name w:val="标题6 Char"/>
    <w:qFormat/>
    <w:uiPriority w:val="0"/>
    <w:rPr>
      <w:kern w:val="2"/>
      <w:sz w:val="24"/>
      <w:szCs w:val="24"/>
    </w:rPr>
  </w:style>
  <w:style w:type="character" w:customStyle="1" w:styleId="551">
    <w:name w:val="headline-content2"/>
    <w:qFormat/>
    <w:uiPriority w:val="0"/>
  </w:style>
  <w:style w:type="paragraph" w:customStyle="1" w:styleId="552">
    <w:name w:val="HIK二级标题"/>
    <w:basedOn w:val="1"/>
    <w:link w:val="553"/>
    <w:qFormat/>
    <w:uiPriority w:val="0"/>
    <w:pPr>
      <w:keepNext/>
      <w:keepLines/>
      <w:spacing w:before="260" w:after="260" w:line="416" w:lineRule="auto"/>
      <w:ind w:right="210"/>
      <w:outlineLvl w:val="1"/>
    </w:pPr>
    <w:rPr>
      <w:rFonts w:ascii="Calibri" w:hAnsi="Calibri"/>
      <w:b/>
      <w:bCs/>
      <w:sz w:val="36"/>
      <w:szCs w:val="30"/>
    </w:rPr>
  </w:style>
  <w:style w:type="character" w:customStyle="1" w:styleId="553">
    <w:name w:val="HIK二级标题 Char"/>
    <w:link w:val="552"/>
    <w:qFormat/>
    <w:uiPriority w:val="0"/>
    <w:rPr>
      <w:rFonts w:ascii="Calibri" w:hAnsi="Calibri"/>
      <w:b/>
      <w:bCs/>
      <w:kern w:val="2"/>
      <w:sz w:val="36"/>
      <w:szCs w:val="30"/>
    </w:rPr>
  </w:style>
  <w:style w:type="character" w:customStyle="1" w:styleId="554">
    <w:name w:val="表格正文 Char"/>
    <w:link w:val="225"/>
    <w:qFormat/>
    <w:uiPriority w:val="0"/>
    <w:rPr>
      <w:rFonts w:ascii="Arial" w:hAnsi="Arial" w:cs="宋体"/>
      <w:kern w:val="2"/>
      <w:sz w:val="21"/>
    </w:rPr>
  </w:style>
  <w:style w:type="paragraph" w:customStyle="1" w:styleId="555">
    <w:name w:val="正文1.25"/>
    <w:basedOn w:val="1"/>
    <w:qFormat/>
    <w:uiPriority w:val="0"/>
    <w:pPr>
      <w:spacing w:line="300" w:lineRule="auto"/>
      <w:ind w:firstLine="480" w:firstLineChars="200"/>
    </w:pPr>
    <w:rPr>
      <w:sz w:val="24"/>
      <w:szCs w:val="20"/>
    </w:rPr>
  </w:style>
  <w:style w:type="character" w:customStyle="1" w:styleId="556">
    <w:name w:val="样式6 Char"/>
    <w:qFormat/>
    <w:uiPriority w:val="0"/>
    <w:rPr>
      <w:rFonts w:ascii="宋体" w:hAnsi="宋体"/>
      <w:sz w:val="24"/>
      <w:szCs w:val="24"/>
      <w:lang w:eastAsia="zh-CN"/>
    </w:rPr>
  </w:style>
  <w:style w:type="paragraph" w:customStyle="1" w:styleId="557">
    <w:name w:val="Table Text"/>
    <w:basedOn w:val="1"/>
    <w:qFormat/>
    <w:uiPriority w:val="0"/>
    <w:pPr>
      <w:spacing w:before="80" w:after="80"/>
    </w:pPr>
    <w:rPr>
      <w:rFonts w:ascii="Calibri" w:hAnsi="Calibri"/>
      <w:snapToGrid w:val="0"/>
      <w:kern w:val="0"/>
      <w:szCs w:val="22"/>
    </w:rPr>
  </w:style>
  <w:style w:type="paragraph" w:customStyle="1" w:styleId="558">
    <w:name w:val="标题一a"/>
    <w:basedOn w:val="1"/>
    <w:qFormat/>
    <w:uiPriority w:val="0"/>
    <w:pPr>
      <w:numPr>
        <w:ilvl w:val="0"/>
        <w:numId w:val="29"/>
      </w:numPr>
      <w:spacing w:line="360" w:lineRule="auto"/>
      <w:ind w:firstLine="200" w:firstLineChars="200"/>
    </w:pPr>
    <w:rPr>
      <w:sz w:val="24"/>
      <w:szCs w:val="22"/>
    </w:rPr>
  </w:style>
  <w:style w:type="paragraph" w:customStyle="1" w:styleId="559">
    <w:name w:val="表号"/>
    <w:basedOn w:val="332"/>
    <w:qFormat/>
    <w:uiPriority w:val="0"/>
    <w:pPr>
      <w:numPr>
        <w:ilvl w:val="0"/>
        <w:numId w:val="30"/>
      </w:numPr>
      <w:tabs>
        <w:tab w:val="left" w:pos="360"/>
      </w:tabs>
      <w:spacing w:line="360" w:lineRule="auto"/>
      <w:ind w:left="900" w:firstLine="0" w:firstLineChars="0"/>
      <w:jc w:val="center"/>
    </w:pPr>
    <w:rPr>
      <w:rFonts w:eastAsia="宋体"/>
      <w:sz w:val="22"/>
    </w:rPr>
  </w:style>
  <w:style w:type="paragraph" w:customStyle="1" w:styleId="560">
    <w:name w:val="content Char Char"/>
    <w:basedOn w:val="1"/>
    <w:qFormat/>
    <w:uiPriority w:val="0"/>
    <w:pPr>
      <w:numPr>
        <w:ilvl w:val="0"/>
        <w:numId w:val="31"/>
      </w:numPr>
      <w:spacing w:line="276" w:lineRule="auto"/>
      <w:ind w:firstLine="0"/>
    </w:pPr>
    <w:rPr>
      <w:rFonts w:ascii="宋体" w:hAnsi="宋体"/>
      <w:sz w:val="22"/>
      <w:szCs w:val="24"/>
    </w:rPr>
  </w:style>
  <w:style w:type="character" w:customStyle="1" w:styleId="561">
    <w:name w:val="3级标题 Char"/>
    <w:link w:val="266"/>
    <w:qFormat/>
    <w:uiPriority w:val="0"/>
    <w:rPr>
      <w:rFonts w:ascii="黑体" w:hAnsi="黑体" w:eastAsia="黑体"/>
      <w:sz w:val="28"/>
      <w:szCs w:val="36"/>
      <w:lang w:eastAsia="en-US" w:bidi="en-US"/>
    </w:rPr>
  </w:style>
  <w:style w:type="paragraph" w:customStyle="1" w:styleId="562">
    <w:name w:val="hik-正文"/>
    <w:link w:val="563"/>
    <w:qFormat/>
    <w:uiPriority w:val="0"/>
    <w:pPr>
      <w:spacing w:line="360" w:lineRule="auto"/>
      <w:ind w:firstLine="200" w:firstLineChars="200"/>
    </w:pPr>
    <w:rPr>
      <w:rFonts w:ascii="宋体" w:hAnsi="Times New Roman" w:eastAsia="宋体" w:cs="Times New Roman"/>
      <w:kern w:val="2"/>
      <w:sz w:val="24"/>
      <w:szCs w:val="24"/>
      <w:lang w:val="en-US" w:eastAsia="zh-CN" w:bidi="ar-SA"/>
    </w:rPr>
  </w:style>
  <w:style w:type="character" w:customStyle="1" w:styleId="563">
    <w:name w:val="hik-正文 Char"/>
    <w:link w:val="562"/>
    <w:qFormat/>
    <w:uiPriority w:val="0"/>
    <w:rPr>
      <w:rFonts w:ascii="宋体"/>
      <w:kern w:val="2"/>
      <w:sz w:val="24"/>
      <w:szCs w:val="24"/>
    </w:rPr>
  </w:style>
  <w:style w:type="character" w:customStyle="1" w:styleId="564">
    <w:name w:val="2级标题 Char"/>
    <w:link w:val="265"/>
    <w:qFormat/>
    <w:uiPriority w:val="0"/>
    <w:rPr>
      <w:rFonts w:ascii="黑体" w:hAnsi="黑体" w:eastAsia="黑体"/>
      <w:sz w:val="32"/>
      <w:szCs w:val="36"/>
      <w:lang w:eastAsia="en-US" w:bidi="en-US"/>
    </w:rPr>
  </w:style>
  <w:style w:type="paragraph" w:customStyle="1" w:styleId="565">
    <w:name w:val="样式 小四 行距: 1.5 倍行距 首行缩进:  2 字符"/>
    <w:basedOn w:val="1"/>
    <w:qFormat/>
    <w:uiPriority w:val="0"/>
    <w:pPr>
      <w:spacing w:line="360" w:lineRule="auto"/>
      <w:ind w:firstLine="480" w:firstLineChars="200"/>
    </w:pPr>
    <w:rPr>
      <w:rFonts w:cs="宋体"/>
      <w:sz w:val="24"/>
      <w:szCs w:val="20"/>
    </w:rPr>
  </w:style>
  <w:style w:type="paragraph" w:customStyle="1" w:styleId="566">
    <w:name w:val="正文一级项目列(V1)"/>
    <w:basedOn w:val="1"/>
    <w:qFormat/>
    <w:uiPriority w:val="0"/>
    <w:pPr>
      <w:numPr>
        <w:ilvl w:val="0"/>
        <w:numId w:val="32"/>
      </w:numPr>
      <w:tabs>
        <w:tab w:val="left" w:pos="840"/>
      </w:tabs>
      <w:spacing w:line="360" w:lineRule="auto"/>
      <w:ind w:firstLine="0"/>
      <w:jc w:val="left"/>
    </w:pPr>
    <w:rPr>
      <w:sz w:val="24"/>
      <w:szCs w:val="24"/>
    </w:rPr>
  </w:style>
  <w:style w:type="paragraph" w:customStyle="1" w:styleId="567">
    <w:name w:val="(符号)三标题1.1"/>
    <w:basedOn w:val="1"/>
    <w:qFormat/>
    <w:uiPriority w:val="0"/>
    <w:pPr>
      <w:tabs>
        <w:tab w:val="left" w:pos="840"/>
      </w:tabs>
      <w:spacing w:before="140" w:after="140" w:line="500" w:lineRule="exact"/>
      <w:ind w:left="850"/>
      <w:outlineLvl w:val="2"/>
    </w:pPr>
    <w:rPr>
      <w:rFonts w:ascii="楷体_GB2312" w:hAnsi="宋体" w:eastAsia="楷体_GB2312"/>
      <w:b/>
      <w:bCs/>
      <w:sz w:val="28"/>
      <w:szCs w:val="20"/>
    </w:rPr>
  </w:style>
  <w:style w:type="paragraph" w:customStyle="1" w:styleId="568">
    <w:name w:val="(符号)五标题1.1.1"/>
    <w:basedOn w:val="1"/>
    <w:link w:val="569"/>
    <w:qFormat/>
    <w:uiPriority w:val="0"/>
    <w:pPr>
      <w:tabs>
        <w:tab w:val="left" w:pos="1420"/>
      </w:tabs>
      <w:spacing w:line="500" w:lineRule="exact"/>
      <w:ind w:left="1420"/>
    </w:pPr>
    <w:rPr>
      <w:rFonts w:ascii="宋体" w:hAnsi="宋体"/>
      <w:color w:val="000000"/>
      <w:sz w:val="24"/>
      <w:szCs w:val="20"/>
    </w:rPr>
  </w:style>
  <w:style w:type="character" w:customStyle="1" w:styleId="569">
    <w:name w:val="(符号)五标题1.1.1 Char"/>
    <w:link w:val="568"/>
    <w:qFormat/>
    <w:uiPriority w:val="0"/>
    <w:rPr>
      <w:rFonts w:ascii="宋体" w:hAnsi="宋体"/>
      <w:color w:val="000000"/>
      <w:kern w:val="2"/>
      <w:sz w:val="24"/>
    </w:rPr>
  </w:style>
  <w:style w:type="paragraph" w:customStyle="1" w:styleId="570">
    <w:name w:val="样式 标题9 +"/>
    <w:basedOn w:val="232"/>
    <w:qFormat/>
    <w:uiPriority w:val="0"/>
    <w:pPr>
      <w:ind w:left="3360" w:hanging="420"/>
    </w:pPr>
    <w:rPr>
      <w:rFonts w:eastAsia="黑体"/>
    </w:rPr>
  </w:style>
  <w:style w:type="paragraph" w:customStyle="1" w:styleId="571">
    <w:name w:val="符号样式"/>
    <w:basedOn w:val="220"/>
    <w:link w:val="573"/>
    <w:qFormat/>
    <w:uiPriority w:val="0"/>
    <w:pPr>
      <w:jc w:val="left"/>
    </w:pPr>
  </w:style>
  <w:style w:type="paragraph" w:customStyle="1" w:styleId="572">
    <w:name w:val="项目符号圆点"/>
    <w:basedOn w:val="571"/>
    <w:link w:val="574"/>
    <w:qFormat/>
    <w:uiPriority w:val="0"/>
    <w:pPr>
      <w:numPr>
        <w:ilvl w:val="0"/>
        <w:numId w:val="33"/>
      </w:numPr>
      <w:ind w:left="0" w:firstLine="200"/>
    </w:pPr>
  </w:style>
  <w:style w:type="character" w:customStyle="1" w:styleId="573">
    <w:name w:val="符号样式 Char"/>
    <w:link w:val="571"/>
    <w:qFormat/>
    <w:uiPriority w:val="0"/>
    <w:rPr>
      <w:rFonts w:ascii="Arial" w:hAnsi="Arial" w:cs="宋体"/>
      <w:kern w:val="2"/>
      <w:sz w:val="24"/>
    </w:rPr>
  </w:style>
  <w:style w:type="character" w:customStyle="1" w:styleId="574">
    <w:name w:val="项目符号圆点 Char"/>
    <w:link w:val="572"/>
    <w:qFormat/>
    <w:uiPriority w:val="0"/>
    <w:rPr>
      <w:rFonts w:ascii="Arial" w:hAnsi="Arial" w:cs="宋体"/>
      <w:kern w:val="2"/>
      <w:sz w:val="24"/>
    </w:rPr>
  </w:style>
  <w:style w:type="paragraph" w:customStyle="1" w:styleId="575">
    <w:name w:val="图号"/>
    <w:basedOn w:val="1"/>
    <w:qFormat/>
    <w:uiPriority w:val="0"/>
    <w:pPr>
      <w:autoSpaceDE w:val="0"/>
      <w:autoSpaceDN w:val="0"/>
      <w:adjustRightInd w:val="0"/>
      <w:spacing w:before="105" w:line="360" w:lineRule="auto"/>
      <w:ind w:firstLine="200" w:firstLineChars="200"/>
      <w:jc w:val="center"/>
    </w:pPr>
    <w:rPr>
      <w:rFonts w:ascii="Arial" w:hAnsi="Arial"/>
      <w:snapToGrid w:val="0"/>
      <w:kern w:val="0"/>
      <w:sz w:val="18"/>
      <w:szCs w:val="18"/>
    </w:rPr>
  </w:style>
  <w:style w:type="paragraph" w:customStyle="1" w:styleId="576">
    <w:name w:val="图1"/>
    <w:basedOn w:val="1"/>
    <w:qFormat/>
    <w:uiPriority w:val="99"/>
    <w:pPr>
      <w:numPr>
        <w:ilvl w:val="0"/>
        <w:numId w:val="34"/>
      </w:numPr>
      <w:spacing w:line="360" w:lineRule="auto"/>
      <w:ind w:left="0" w:firstLine="0"/>
      <w:jc w:val="center"/>
    </w:pPr>
    <w:rPr>
      <w:b/>
      <w:szCs w:val="24"/>
    </w:rPr>
  </w:style>
  <w:style w:type="paragraph" w:customStyle="1" w:styleId="577">
    <w:name w:val="Heading1 No Number"/>
    <w:basedOn w:val="3"/>
    <w:next w:val="1"/>
    <w:qFormat/>
    <w:uiPriority w:val="0"/>
    <w:pPr>
      <w:widowControl/>
      <w:pBdr>
        <w:bottom w:val="single" w:color="auto" w:sz="12" w:space="1"/>
      </w:pBdr>
      <w:topLinePunct/>
      <w:adjustRightInd w:val="0"/>
      <w:snapToGrid w:val="0"/>
      <w:spacing w:before="1600" w:after="800" w:line="240" w:lineRule="atLeast"/>
      <w:jc w:val="right"/>
      <w:outlineLvl w:val="9"/>
    </w:pPr>
    <w:rPr>
      <w:rFonts w:ascii="Book Antiqua" w:hAnsi="Book Antiqua"/>
      <w:b/>
      <w:bCs/>
      <w:sz w:val="44"/>
      <w:szCs w:val="44"/>
      <w:lang w:val="zh-CN"/>
    </w:rPr>
  </w:style>
  <w:style w:type="character" w:customStyle="1" w:styleId="578">
    <w:name w:val="456 Char"/>
    <w:link w:val="579"/>
    <w:qFormat/>
    <w:uiPriority w:val="0"/>
    <w:rPr>
      <w:rFonts w:ascii="宋体" w:hAnsi="宋体"/>
      <w:sz w:val="24"/>
      <w:szCs w:val="24"/>
    </w:rPr>
  </w:style>
  <w:style w:type="paragraph" w:customStyle="1" w:styleId="579">
    <w:name w:val="456"/>
    <w:basedOn w:val="1"/>
    <w:link w:val="578"/>
    <w:qFormat/>
    <w:uiPriority w:val="0"/>
    <w:pPr>
      <w:spacing w:line="360" w:lineRule="auto"/>
      <w:ind w:firstLine="480" w:firstLineChars="200"/>
    </w:pPr>
    <w:rPr>
      <w:rFonts w:ascii="宋体" w:hAnsi="宋体"/>
      <w:kern w:val="0"/>
      <w:sz w:val="24"/>
      <w:szCs w:val="24"/>
    </w:rPr>
  </w:style>
  <w:style w:type="paragraph" w:customStyle="1" w:styleId="580">
    <w:name w:val="贺式正文"/>
    <w:basedOn w:val="1"/>
    <w:qFormat/>
    <w:uiPriority w:val="0"/>
    <w:pPr>
      <w:spacing w:line="360" w:lineRule="auto"/>
      <w:ind w:firstLine="480" w:firstLineChars="200"/>
    </w:pPr>
    <w:rPr>
      <w:rFonts w:cs="宋体"/>
      <w:sz w:val="24"/>
      <w:szCs w:val="20"/>
    </w:rPr>
  </w:style>
  <w:style w:type="paragraph" w:customStyle="1" w:styleId="581">
    <w:name w:val="尖角符号样式"/>
    <w:basedOn w:val="571"/>
    <w:link w:val="582"/>
    <w:qFormat/>
    <w:uiPriority w:val="0"/>
  </w:style>
  <w:style w:type="character" w:customStyle="1" w:styleId="582">
    <w:name w:val="尖角符号样式 Char"/>
    <w:basedOn w:val="573"/>
    <w:link w:val="581"/>
    <w:qFormat/>
    <w:uiPriority w:val="0"/>
    <w:rPr>
      <w:rFonts w:ascii="Arial" w:hAnsi="Arial" w:cs="宋体"/>
      <w:kern w:val="2"/>
      <w:sz w:val="24"/>
    </w:rPr>
  </w:style>
  <w:style w:type="paragraph" w:customStyle="1" w:styleId="583">
    <w:name w:val="样式8"/>
    <w:basedOn w:val="23"/>
    <w:link w:val="584"/>
    <w:qFormat/>
    <w:uiPriority w:val="0"/>
    <w:pPr>
      <w:spacing w:line="360" w:lineRule="auto"/>
    </w:pPr>
    <w:rPr>
      <w:rFonts w:cs="宋体"/>
    </w:rPr>
  </w:style>
  <w:style w:type="character" w:customStyle="1" w:styleId="584">
    <w:name w:val="样式8 Char"/>
    <w:basedOn w:val="242"/>
    <w:link w:val="583"/>
    <w:qFormat/>
    <w:uiPriority w:val="0"/>
    <w:rPr>
      <w:rFonts w:ascii="Arial Unicode MS" w:hAnsi="Arial Unicode MS" w:cs="宋体"/>
      <w:kern w:val="2"/>
      <w:sz w:val="21"/>
      <w:szCs w:val="21"/>
    </w:rPr>
  </w:style>
  <w:style w:type="character" w:customStyle="1" w:styleId="585">
    <w:name w:val="样式 首行缩进:  0 字符 Char"/>
    <w:link w:val="205"/>
    <w:qFormat/>
    <w:uiPriority w:val="0"/>
    <w:rPr>
      <w:kern w:val="2"/>
      <w:sz w:val="21"/>
      <w:szCs w:val="21"/>
    </w:rPr>
  </w:style>
  <w:style w:type="paragraph" w:customStyle="1" w:styleId="586">
    <w:name w:val="三级"/>
    <w:basedOn w:val="5"/>
    <w:link w:val="632"/>
    <w:qFormat/>
    <w:uiPriority w:val="0"/>
    <w:pPr>
      <w:keepNext/>
      <w:keepLines/>
      <w:numPr>
        <w:ilvl w:val="0"/>
        <w:numId w:val="0"/>
      </w:numPr>
      <w:pBdr>
        <w:top w:val="none" w:color="auto" w:sz="0" w:space="0"/>
      </w:pBdr>
      <w:tabs>
        <w:tab w:val="left" w:pos="851"/>
      </w:tabs>
      <w:topLinePunct/>
      <w:spacing w:before="240" w:after="240" w:afterLines="0" w:line="240" w:lineRule="auto"/>
      <w:ind w:left="840" w:hanging="420"/>
      <w:jc w:val="both"/>
    </w:pPr>
    <w:rPr>
      <w:rFonts w:ascii="仿宋" w:hAnsi="仿宋" w:eastAsia="仿宋" w:cs="宋体"/>
      <w:b/>
      <w:bCs/>
      <w:color w:val="000000"/>
      <w:kern w:val="2"/>
      <w:sz w:val="32"/>
      <w:szCs w:val="32"/>
    </w:rPr>
  </w:style>
  <w:style w:type="character" w:customStyle="1" w:styleId="587">
    <w:name w:val="不明显强调1"/>
    <w:basedOn w:val="79"/>
    <w:qFormat/>
    <w:uiPriority w:val="19"/>
    <w:rPr>
      <w:i/>
      <w:iCs/>
      <w:color w:val="404040" w:themeColor="text1" w:themeTint="BF"/>
      <w14:textFill>
        <w14:solidFill>
          <w14:schemeClr w14:val="tx1">
            <w14:lumMod w14:val="75000"/>
            <w14:lumOff w14:val="25000"/>
          </w14:schemeClr>
        </w14:solidFill>
      </w14:textFill>
    </w:rPr>
  </w:style>
  <w:style w:type="paragraph" w:customStyle="1" w:styleId="588">
    <w:name w:val="_标题1"/>
    <w:basedOn w:val="3"/>
    <w:next w:val="1"/>
    <w:qFormat/>
    <w:uiPriority w:val="0"/>
    <w:pPr>
      <w:keepLines/>
      <w:pageBreakBefore/>
      <w:numPr>
        <w:ilvl w:val="0"/>
        <w:numId w:val="35"/>
      </w:numPr>
      <w:tabs>
        <w:tab w:val="left" w:pos="0"/>
        <w:tab w:val="left" w:pos="3420"/>
      </w:tabs>
      <w:spacing w:after="100" w:afterLines="100" w:line="578" w:lineRule="auto"/>
    </w:pPr>
    <w:rPr>
      <w:rFonts w:ascii="Arial" w:hAnsi="Arial"/>
      <w:b/>
      <w:bCs/>
      <w:kern w:val="44"/>
      <w:sz w:val="36"/>
      <w:szCs w:val="28"/>
    </w:rPr>
  </w:style>
  <w:style w:type="paragraph" w:customStyle="1" w:styleId="589">
    <w:name w:val="_标题2"/>
    <w:basedOn w:val="4"/>
    <w:next w:val="1"/>
    <w:qFormat/>
    <w:uiPriority w:val="0"/>
    <w:pPr>
      <w:keepLines/>
      <w:numPr>
        <w:numId w:val="35"/>
      </w:numPr>
      <w:tabs>
        <w:tab w:val="left" w:pos="0"/>
        <w:tab w:val="left" w:pos="3420"/>
      </w:tabs>
      <w:spacing w:line="415" w:lineRule="auto"/>
      <w:jc w:val="both"/>
    </w:pPr>
    <w:rPr>
      <w:rFonts w:ascii="Times New Roman" w:hAnsi="宋体" w:eastAsia="黑体"/>
      <w:b w:val="0"/>
      <w:bCs/>
      <w:kern w:val="44"/>
      <w:szCs w:val="30"/>
    </w:rPr>
  </w:style>
  <w:style w:type="paragraph" w:customStyle="1" w:styleId="590">
    <w:name w:val="_标题4"/>
    <w:basedOn w:val="6"/>
    <w:next w:val="1"/>
    <w:link w:val="592"/>
    <w:qFormat/>
    <w:uiPriority w:val="0"/>
    <w:pPr>
      <w:keepLines/>
      <w:numPr>
        <w:numId w:val="35"/>
      </w:numPr>
      <w:tabs>
        <w:tab w:val="left" w:pos="3420"/>
      </w:tabs>
      <w:spacing w:before="50" w:beforeLines="50" w:after="0" w:afterLines="0" w:line="377" w:lineRule="auto"/>
      <w:ind w:right="100" w:rightChars="100"/>
      <w:jc w:val="both"/>
    </w:pPr>
    <w:rPr>
      <w:rFonts w:ascii="宋体" w:hAnsi="宋体" w:eastAsiaTheme="majorEastAsia"/>
      <w:b/>
      <w:bCs/>
      <w:smallCaps w:val="0"/>
      <w:color w:val="auto"/>
      <w:kern w:val="2"/>
      <w:sz w:val="24"/>
      <w:szCs w:val="24"/>
    </w:rPr>
  </w:style>
  <w:style w:type="paragraph" w:customStyle="1" w:styleId="591">
    <w:name w:val="_标题3"/>
    <w:basedOn w:val="5"/>
    <w:next w:val="1"/>
    <w:link w:val="593"/>
    <w:qFormat/>
    <w:uiPriority w:val="0"/>
    <w:pPr>
      <w:keepNext/>
      <w:keepLines/>
      <w:numPr>
        <w:numId w:val="35"/>
      </w:numPr>
      <w:pBdr>
        <w:top w:val="none" w:color="auto" w:sz="0" w:space="0"/>
      </w:pBdr>
      <w:tabs>
        <w:tab w:val="left" w:pos="3420"/>
      </w:tabs>
      <w:topLinePunct/>
      <w:spacing w:before="50" w:beforeLines="50" w:after="0" w:afterLines="0" w:line="415" w:lineRule="auto"/>
      <w:ind w:right="100" w:rightChars="100"/>
      <w:jc w:val="both"/>
    </w:pPr>
    <w:rPr>
      <w:rFonts w:ascii="新宋体" w:hAnsi="新宋体" w:eastAsiaTheme="majorEastAsia"/>
      <w:b/>
      <w:bCs/>
      <w:kern w:val="2"/>
      <w:sz w:val="28"/>
      <w:szCs w:val="30"/>
    </w:rPr>
  </w:style>
  <w:style w:type="character" w:customStyle="1" w:styleId="592">
    <w:name w:val="_标题4 Char Char"/>
    <w:link w:val="590"/>
    <w:qFormat/>
    <w:uiPriority w:val="0"/>
    <w:rPr>
      <w:rFonts w:ascii="宋体" w:hAnsi="宋体" w:eastAsiaTheme="majorEastAsia"/>
      <w:b/>
      <w:bCs/>
      <w:kern w:val="2"/>
      <w:sz w:val="24"/>
      <w:szCs w:val="24"/>
    </w:rPr>
  </w:style>
  <w:style w:type="character" w:customStyle="1" w:styleId="593">
    <w:name w:val="_标题3 Char"/>
    <w:link w:val="591"/>
    <w:qFormat/>
    <w:uiPriority w:val="0"/>
    <w:rPr>
      <w:rFonts w:ascii="新宋体" w:hAnsi="新宋体" w:eastAsiaTheme="majorEastAsia"/>
      <w:b/>
      <w:bCs/>
      <w:kern w:val="2"/>
      <w:sz w:val="28"/>
      <w:szCs w:val="30"/>
    </w:rPr>
  </w:style>
  <w:style w:type="paragraph" w:customStyle="1" w:styleId="594">
    <w:name w:val="!正文"/>
    <w:link w:val="595"/>
    <w:qFormat/>
    <w:uiPriority w:val="0"/>
    <w:pPr>
      <w:spacing w:after="200" w:line="360" w:lineRule="auto"/>
      <w:ind w:firstLine="420" w:firstLineChars="200"/>
      <w:jc w:val="both"/>
    </w:pPr>
    <w:rPr>
      <w:rFonts w:ascii="Times New Roman" w:hAnsi="Times New Roman" w:eastAsia="宋体" w:cs="Times New Roman"/>
      <w:sz w:val="22"/>
      <w:szCs w:val="24"/>
      <w:lang w:val="zh-CN" w:eastAsia="zh-CN" w:bidi="ar-SA"/>
    </w:rPr>
  </w:style>
  <w:style w:type="character" w:customStyle="1" w:styleId="595">
    <w:name w:val="!正文 Char"/>
    <w:link w:val="594"/>
    <w:qFormat/>
    <w:uiPriority w:val="0"/>
    <w:rPr>
      <w:sz w:val="22"/>
      <w:szCs w:val="24"/>
      <w:lang w:val="zh-CN"/>
    </w:rPr>
  </w:style>
  <w:style w:type="character" w:customStyle="1" w:styleId="596">
    <w:name w:val="批注文字 字符1"/>
    <w:qFormat/>
    <w:uiPriority w:val="99"/>
    <w:rPr>
      <w:kern w:val="2"/>
      <w:sz w:val="24"/>
    </w:rPr>
  </w:style>
  <w:style w:type="table" w:customStyle="1" w:styleId="597">
    <w:name w:val="浅色网格1"/>
    <w:basedOn w:val="97"/>
    <w:qFormat/>
    <w:uiPriority w:val="62"/>
    <w:rPr>
      <w:rFonts w:ascii="Calibri" w:hAnsi="Calibri"/>
      <w:kern w:val="2"/>
      <w:sz w:val="21"/>
      <w:szCs w:val="22"/>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
    <w:tblStylePr w:type="firstRow">
      <w:pPr>
        <w:spacing w:before="0" w:after="0" w:line="240" w:lineRule="auto"/>
      </w:pPr>
      <w:rPr>
        <w:rFonts w:ascii="Marlett" w:hAnsi="Marlett" w:eastAsia="宋体" w:cs="Times New Roman"/>
        <w:b/>
        <w:bCs/>
      </w:rPr>
      <w:tcPr>
        <w:tcBorders>
          <w:top w:val="single" w:color="000000" w:sz="8" w:space="0"/>
          <w:left w:val="single" w:color="000000" w:sz="8" w:space="0"/>
          <w:bottom w:val="single" w:color="000000" w:sz="18" w:space="0"/>
          <w:right w:val="single" w:color="000000" w:sz="8" w:space="0"/>
          <w:insideH w:val="nil"/>
          <w:insideV w:val="single" w:sz="8" w:space="0"/>
        </w:tcBorders>
      </w:tcPr>
    </w:tblStylePr>
    <w:tblStylePr w:type="lastRow">
      <w:pPr>
        <w:spacing w:before="0" w:after="0" w:line="240" w:lineRule="auto"/>
      </w:pPr>
      <w:rPr>
        <w:rFonts w:ascii="Marlett" w:hAnsi="Marlett" w:eastAsia="宋体" w:cs="Times New Roman"/>
        <w:b/>
        <w:bCs/>
      </w:r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ascii="Marlett" w:hAnsi="Marlett" w:eastAsia="宋体" w:cs="Times New Roman"/>
        <w:b/>
        <w:bCs/>
      </w:rPr>
    </w:tblStylePr>
    <w:tblStylePr w:type="lastCol">
      <w:rPr>
        <w:rFonts w:ascii="Marlett" w:hAnsi="Marlett" w:eastAsia="宋体" w:cs="Times New Roman"/>
        <w:b/>
        <w:bCs/>
      </w:rPr>
      <w:tcPr>
        <w:tcBorders>
          <w:top w:val="single" w:color="000000" w:sz="8" w:space="0"/>
          <w:left w:val="single" w:color="000000" w:sz="8" w:space="0"/>
          <w:bottom w:val="single" w:color="000000" w:sz="8" w:space="0"/>
          <w:right w:val="single" w:color="000000" w:sz="8" w:space="0"/>
        </w:tcBorders>
      </w:tcPr>
    </w:tblStylePr>
    <w:tblStylePr w:type="band1Vert">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customStyle="1" w:styleId="598">
    <w:name w:val="浅色列表2"/>
    <w:basedOn w:val="97"/>
    <w:qFormat/>
    <w:uiPriority w:val="61"/>
    <w:rPr>
      <w:rFonts w:asciiTheme="minorHAnsi" w:hAnsiTheme="minorHAnsi" w:eastAsiaTheme="minorEastAsia" w:cstheme="minorBidi"/>
      <w:kern w:val="2"/>
      <w:sz w:val="21"/>
      <w:szCs w:val="22"/>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Layout w:type="fixed"/>
    </w:tblPr>
    <w:tblStylePr w:type="firstRow">
      <w:pPr>
        <w:spacing w:before="0" w:after="0" w:line="240" w:lineRule="auto"/>
      </w:pPr>
      <w:rPr>
        <w:b/>
        <w:bCs/>
        <w:color w:val="FFFFFF" w:themeColor="background1"/>
        <w14:textFill>
          <w14:solidFill>
            <w14:schemeClr w14:val="bg1"/>
          </w14:solidFill>
        </w14:textFill>
      </w:rPr>
      <w:tcPr>
        <w:shd w:val="clear" w:color="auto" w:fill="000000" w:themeFill="text1"/>
      </w:tcPr>
    </w:tblStylePr>
    <w:tblStylePr w:type="lastRow">
      <w:pPr>
        <w:spacing w:before="0" w:after="0" w:line="240" w:lineRule="auto"/>
      </w:pPr>
      <w:rPr>
        <w:b/>
        <w:bCs/>
      </w:r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character" w:styleId="599">
    <w:name w:val="Placeholder Text"/>
    <w:basedOn w:val="79"/>
    <w:semiHidden/>
    <w:qFormat/>
    <w:uiPriority w:val="99"/>
    <w:rPr>
      <w:color w:val="808080"/>
    </w:rPr>
  </w:style>
  <w:style w:type="paragraph" w:styleId="600">
    <w:name w:val="Intense Quote"/>
    <w:basedOn w:val="1"/>
    <w:next w:val="1"/>
    <w:link w:val="601"/>
    <w:qFormat/>
    <w:uiPriority w:val="30"/>
    <w:pPr>
      <w:pBdr>
        <w:bottom w:val="single" w:color="4F81BD" w:sz="4" w:space="4"/>
      </w:pBdr>
      <w:spacing w:before="200" w:after="280"/>
      <w:ind w:left="936" w:right="936"/>
    </w:pPr>
    <w:rPr>
      <w:rFonts w:ascii="Calibri" w:hAnsi="Calibri"/>
      <w:b/>
      <w:bCs/>
      <w:i/>
      <w:iCs/>
      <w:color w:val="4F81BD"/>
      <w:szCs w:val="22"/>
    </w:rPr>
  </w:style>
  <w:style w:type="character" w:customStyle="1" w:styleId="601">
    <w:name w:val="明显引用 字符"/>
    <w:basedOn w:val="79"/>
    <w:link w:val="600"/>
    <w:qFormat/>
    <w:uiPriority w:val="30"/>
    <w:rPr>
      <w:rFonts w:ascii="Calibri" w:hAnsi="Calibri"/>
      <w:b/>
      <w:bCs/>
      <w:i/>
      <w:iCs/>
      <w:color w:val="4F81BD"/>
      <w:kern w:val="2"/>
      <w:sz w:val="21"/>
      <w:szCs w:val="22"/>
    </w:rPr>
  </w:style>
  <w:style w:type="paragraph" w:customStyle="1" w:styleId="602">
    <w:name w:val="IN Step"/>
    <w:qFormat/>
    <w:uiPriority w:val="0"/>
    <w:pPr>
      <w:keepLines/>
      <w:tabs>
        <w:tab w:val="left" w:pos="737"/>
      </w:tabs>
      <w:spacing w:before="40" w:after="40"/>
      <w:ind w:left="737" w:hanging="737"/>
      <w:outlineLvl w:val="8"/>
    </w:pPr>
    <w:rPr>
      <w:rFonts w:ascii="Arial" w:hAnsi="Arial" w:eastAsia="宋体" w:cs="Arial"/>
      <w:kern w:val="2"/>
      <w:sz w:val="21"/>
      <w:lang w:val="en-US" w:eastAsia="zh-CN" w:bidi="ar-SA"/>
    </w:rPr>
  </w:style>
  <w:style w:type="paragraph" w:customStyle="1" w:styleId="603">
    <w:name w:val="Table Description"/>
    <w:qFormat/>
    <w:uiPriority w:val="0"/>
    <w:pPr>
      <w:keepNext/>
      <w:keepLines/>
      <w:spacing w:before="80" w:after="80"/>
      <w:ind w:left="1134" w:hanging="510"/>
    </w:pPr>
    <w:rPr>
      <w:rFonts w:ascii="Arial" w:hAnsi="Arial" w:eastAsia="黑体" w:cs="Arial Narrow"/>
      <w:sz w:val="21"/>
      <w:lang w:val="en-US" w:eastAsia="zh-CN" w:bidi="ar-SA"/>
    </w:rPr>
  </w:style>
  <w:style w:type="paragraph" w:customStyle="1" w:styleId="604">
    <w:name w:val="Figure Description"/>
    <w:next w:val="1"/>
    <w:link w:val="616"/>
    <w:qFormat/>
    <w:uiPriority w:val="0"/>
    <w:pPr>
      <w:keepNext/>
      <w:keepLines/>
      <w:spacing w:before="80" w:after="80"/>
      <w:ind w:firstLine="624"/>
    </w:pPr>
    <w:rPr>
      <w:rFonts w:ascii="Arial" w:hAnsi="Arial" w:eastAsia="黑体" w:cs="Arial Narrow"/>
      <w:sz w:val="21"/>
      <w:lang w:val="en-US" w:eastAsia="zh-CN" w:bidi="ar-SA"/>
    </w:rPr>
  </w:style>
  <w:style w:type="paragraph" w:customStyle="1" w:styleId="605">
    <w:name w:val="Item Step"/>
    <w:basedOn w:val="1"/>
    <w:qFormat/>
    <w:uiPriority w:val="0"/>
    <w:pPr>
      <w:widowControl/>
      <w:tabs>
        <w:tab w:val="left" w:pos="1134"/>
      </w:tabs>
      <w:spacing w:before="40" w:after="80"/>
      <w:ind w:left="1134" w:hanging="510"/>
      <w:jc w:val="left"/>
      <w:outlineLvl w:val="6"/>
    </w:pPr>
    <w:rPr>
      <w:rFonts w:ascii="Arial" w:hAnsi="Arial"/>
      <w:kern w:val="0"/>
      <w:szCs w:val="24"/>
      <w:lang w:eastAsia="en-US"/>
    </w:rPr>
  </w:style>
  <w:style w:type="paragraph" w:customStyle="1" w:styleId="606">
    <w:name w:val="Item Step_2"/>
    <w:qFormat/>
    <w:uiPriority w:val="0"/>
    <w:pPr>
      <w:tabs>
        <w:tab w:val="left" w:pos="1418"/>
      </w:tabs>
      <w:spacing w:before="40" w:after="40"/>
      <w:ind w:left="1418" w:hanging="284"/>
      <w:outlineLvl w:val="7"/>
    </w:pPr>
    <w:rPr>
      <w:rFonts w:ascii="Arial" w:hAnsi="Arial" w:eastAsia="宋体" w:cs="Times New Roman"/>
      <w:sz w:val="21"/>
      <w:lang w:val="en-US" w:eastAsia="en-US" w:bidi="ar-SA"/>
    </w:rPr>
  </w:style>
  <w:style w:type="paragraph" w:customStyle="1" w:styleId="607">
    <w:name w:val="Item List in Table_2"/>
    <w:basedOn w:val="1"/>
    <w:qFormat/>
    <w:uiPriority w:val="0"/>
    <w:pPr>
      <w:widowControl/>
      <w:numPr>
        <w:ilvl w:val="4"/>
        <w:numId w:val="36"/>
      </w:numPr>
      <w:spacing w:before="80" w:after="80"/>
      <w:ind w:left="511" w:hanging="227"/>
      <w:jc w:val="left"/>
    </w:pPr>
    <w:rPr>
      <w:rFonts w:ascii="Arial" w:hAnsi="Arial" w:cs="Arial"/>
      <w:sz w:val="18"/>
      <w:szCs w:val="18"/>
      <w:lang w:eastAsia="en-US"/>
    </w:rPr>
  </w:style>
  <w:style w:type="paragraph" w:customStyle="1" w:styleId="608">
    <w:name w:val="Item List"/>
    <w:basedOn w:val="1"/>
    <w:link w:val="615"/>
    <w:qFormat/>
    <w:uiPriority w:val="0"/>
    <w:pPr>
      <w:widowControl/>
      <w:numPr>
        <w:ilvl w:val="0"/>
        <w:numId w:val="36"/>
      </w:numPr>
      <w:spacing w:before="40" w:after="80"/>
      <w:ind w:firstLine="0"/>
      <w:jc w:val="left"/>
    </w:pPr>
    <w:rPr>
      <w:rFonts w:ascii="Arial" w:hAnsi="Arial" w:cs="Arial"/>
      <w:szCs w:val="20"/>
      <w:lang w:eastAsia="en-US"/>
    </w:rPr>
  </w:style>
  <w:style w:type="paragraph" w:customStyle="1" w:styleId="609">
    <w:name w:val="Item List_2"/>
    <w:basedOn w:val="608"/>
    <w:qFormat/>
    <w:uiPriority w:val="0"/>
    <w:pPr>
      <w:numPr>
        <w:ilvl w:val="1"/>
      </w:numPr>
      <w:tabs>
        <w:tab w:val="left" w:pos="360"/>
        <w:tab w:val="left" w:pos="709"/>
      </w:tabs>
      <w:ind w:left="1320" w:hanging="420"/>
    </w:pPr>
  </w:style>
  <w:style w:type="paragraph" w:customStyle="1" w:styleId="610">
    <w:name w:val="Item List_3"/>
    <w:basedOn w:val="609"/>
    <w:semiHidden/>
    <w:qFormat/>
    <w:uiPriority w:val="0"/>
    <w:pPr>
      <w:numPr>
        <w:ilvl w:val="2"/>
      </w:numPr>
      <w:ind w:left="1740" w:hanging="420"/>
    </w:pPr>
  </w:style>
  <w:style w:type="paragraph" w:customStyle="1" w:styleId="611">
    <w:name w:val="Item List in Table"/>
    <w:basedOn w:val="1"/>
    <w:qFormat/>
    <w:uiPriority w:val="0"/>
    <w:pPr>
      <w:widowControl/>
      <w:numPr>
        <w:ilvl w:val="3"/>
        <w:numId w:val="36"/>
      </w:numPr>
      <w:spacing w:before="80" w:after="80"/>
      <w:ind w:firstLine="0"/>
      <w:jc w:val="left"/>
    </w:pPr>
    <w:rPr>
      <w:rFonts w:ascii="Arial" w:hAnsi="Arial" w:cs="Arial"/>
      <w:sz w:val="18"/>
      <w:szCs w:val="18"/>
      <w:lang w:eastAsia="en-US"/>
    </w:rPr>
  </w:style>
  <w:style w:type="paragraph" w:customStyle="1" w:styleId="612">
    <w:name w:val="Notes Text List in Table"/>
    <w:qFormat/>
    <w:uiPriority w:val="0"/>
    <w:pPr>
      <w:numPr>
        <w:ilvl w:val="5"/>
        <w:numId w:val="36"/>
      </w:numPr>
      <w:spacing w:before="80" w:after="80"/>
    </w:pPr>
    <w:rPr>
      <w:rFonts w:ascii="Arial" w:hAnsi="Arial" w:eastAsia="楷体_GB2312" w:cs="楷体_GB2312"/>
      <w:sz w:val="18"/>
      <w:szCs w:val="18"/>
      <w:lang w:val="en-US" w:eastAsia="zh-CN" w:bidi="ar-SA"/>
    </w:rPr>
  </w:style>
  <w:style w:type="character" w:customStyle="1" w:styleId="613">
    <w:name w:val="g1"/>
    <w:qFormat/>
    <w:uiPriority w:val="0"/>
    <w:rPr>
      <w:rFonts w:ascii="Verdana" w:hAnsi="Verdana" w:eastAsia="宋体"/>
      <w:color w:val="008000"/>
      <w:sz w:val="28"/>
      <w:szCs w:val="28"/>
      <w:lang w:val="en-US" w:eastAsia="en-US" w:bidi="ar-SA"/>
    </w:rPr>
  </w:style>
  <w:style w:type="character" w:customStyle="1" w:styleId="614">
    <w:name w:val="Figure Char"/>
    <w:qFormat/>
    <w:uiPriority w:val="0"/>
    <w:rPr>
      <w:rFonts w:cs="Arial"/>
      <w:kern w:val="2"/>
      <w:sz w:val="21"/>
    </w:rPr>
  </w:style>
  <w:style w:type="character" w:customStyle="1" w:styleId="615">
    <w:name w:val="Item List Char Char"/>
    <w:link w:val="608"/>
    <w:qFormat/>
    <w:uiPriority w:val="0"/>
    <w:rPr>
      <w:rFonts w:ascii="Arial" w:hAnsi="Arial" w:cs="Arial"/>
      <w:kern w:val="2"/>
      <w:sz w:val="21"/>
      <w:lang w:eastAsia="en-US"/>
    </w:rPr>
  </w:style>
  <w:style w:type="character" w:customStyle="1" w:styleId="616">
    <w:name w:val="Figure Description Char"/>
    <w:link w:val="604"/>
    <w:qFormat/>
    <w:uiPriority w:val="0"/>
    <w:rPr>
      <w:rFonts w:ascii="Arial" w:hAnsi="Arial" w:eastAsia="黑体" w:cs="Arial Narrow"/>
      <w:sz w:val="21"/>
    </w:rPr>
  </w:style>
  <w:style w:type="character" w:customStyle="1" w:styleId="617">
    <w:name w:val="正文1 Char"/>
    <w:link w:val="290"/>
    <w:qFormat/>
    <w:uiPriority w:val="0"/>
    <w:rPr>
      <w:rFonts w:ascii="黑体" w:hAnsi="黑体" w:eastAsia="黑体"/>
      <w:sz w:val="24"/>
    </w:rPr>
  </w:style>
  <w:style w:type="paragraph" w:customStyle="1" w:styleId="618">
    <w:name w:val="正文段落"/>
    <w:basedOn w:val="1"/>
    <w:qFormat/>
    <w:uiPriority w:val="0"/>
    <w:pPr>
      <w:ind w:firstLine="200" w:firstLineChars="200"/>
    </w:pPr>
    <w:rPr>
      <w:szCs w:val="24"/>
    </w:rPr>
  </w:style>
  <w:style w:type="table" w:customStyle="1" w:styleId="619">
    <w:name w:val="Table"/>
    <w:basedOn w:val="141"/>
    <w:qFormat/>
    <w:uiPriority w:val="0"/>
    <w:rPr>
      <w:rFonts w:cs="Arial" w:eastAsiaTheme="minorEastAsia"/>
      <w:kern w:val="2"/>
      <w:sz w:val="21"/>
      <w:szCs w:val="22"/>
    </w:rPr>
    <w:tblPr>
      <w:tblLayout w:type="fixed"/>
    </w:tblPr>
    <w:trPr>
      <w:cantSplit/>
    </w:trPr>
    <w:tcPr>
      <w:shd w:val="clear" w:color="auto" w:fill="auto"/>
    </w:tcPr>
    <w:tblStylePr w:type="firstRow">
      <w:rPr>
        <w:b w:val="0"/>
        <w:bCs w:val="0"/>
        <w:i w:val="0"/>
        <w:iCs w:val="0"/>
        <w:color w:val="auto"/>
        <w:sz w:val="20"/>
        <w:szCs w:val="20"/>
      </w: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paragraph" w:customStyle="1" w:styleId="620">
    <w:name w:val="Table Heading"/>
    <w:basedOn w:val="1"/>
    <w:qFormat/>
    <w:uiPriority w:val="0"/>
    <w:pPr>
      <w:keepNext/>
      <w:topLinePunct/>
      <w:adjustRightInd w:val="0"/>
      <w:snapToGrid w:val="0"/>
      <w:spacing w:before="80" w:after="80" w:line="240" w:lineRule="atLeast"/>
      <w:jc w:val="left"/>
    </w:pPr>
    <w:rPr>
      <w:rFonts w:ascii="Book Antiqua" w:hAnsi="Book Antiqua" w:eastAsia="黑体" w:cs="Book Antiqua"/>
      <w:bCs/>
      <w:snapToGrid w:val="0"/>
      <w:kern w:val="0"/>
    </w:rPr>
  </w:style>
  <w:style w:type="character" w:customStyle="1" w:styleId="621">
    <w:name w:val="Normal Indent Char"/>
    <w:link w:val="256"/>
    <w:qFormat/>
    <w:uiPriority w:val="0"/>
    <w:rPr>
      <w:rFonts w:eastAsia="仿宋_GB2312"/>
      <w:sz w:val="24"/>
      <w:szCs w:val="24"/>
      <w:lang w:val="zh-CN" w:eastAsia="zh-CN"/>
    </w:rPr>
  </w:style>
  <w:style w:type="paragraph" w:customStyle="1" w:styleId="622">
    <w:name w:val="Step"/>
    <w:basedOn w:val="1"/>
    <w:qFormat/>
    <w:uiPriority w:val="0"/>
    <w:pPr>
      <w:widowControl/>
      <w:tabs>
        <w:tab w:val="left" w:pos="1701"/>
      </w:tabs>
      <w:topLinePunct/>
      <w:adjustRightInd w:val="0"/>
      <w:snapToGrid w:val="0"/>
      <w:spacing w:before="160" w:after="160" w:line="240" w:lineRule="atLeast"/>
      <w:ind w:left="1701" w:hanging="159"/>
      <w:jc w:val="left"/>
    </w:pPr>
    <w:rPr>
      <w:rFonts w:cs="Arial"/>
      <w:snapToGrid w:val="0"/>
      <w:kern w:val="0"/>
    </w:rPr>
  </w:style>
  <w:style w:type="paragraph" w:customStyle="1" w:styleId="623">
    <w:name w:val="页眉文档名称样式"/>
    <w:basedOn w:val="1"/>
    <w:qFormat/>
    <w:uiPriority w:val="0"/>
    <w:pPr>
      <w:numPr>
        <w:ilvl w:val="0"/>
        <w:numId w:val="37"/>
      </w:numPr>
      <w:tabs>
        <w:tab w:val="clear" w:pos="2989"/>
      </w:tabs>
      <w:autoSpaceDE w:val="0"/>
      <w:autoSpaceDN w:val="0"/>
      <w:adjustRightInd w:val="0"/>
      <w:ind w:left="0"/>
      <w:jc w:val="left"/>
    </w:pPr>
    <w:rPr>
      <w:kern w:val="0"/>
      <w:sz w:val="18"/>
      <w:szCs w:val="18"/>
    </w:rPr>
  </w:style>
  <w:style w:type="character" w:customStyle="1" w:styleId="624">
    <w:name w:val="apple-converted-space"/>
    <w:basedOn w:val="79"/>
    <w:qFormat/>
    <w:uiPriority w:val="0"/>
  </w:style>
  <w:style w:type="paragraph" w:customStyle="1" w:styleId="625">
    <w:name w:val="Item List Text"/>
    <w:link w:val="627"/>
    <w:qFormat/>
    <w:uiPriority w:val="0"/>
    <w:pPr>
      <w:adjustRightInd w:val="0"/>
      <w:snapToGrid w:val="0"/>
      <w:spacing w:before="80" w:after="80" w:line="240" w:lineRule="atLeast"/>
      <w:ind w:left="2126"/>
    </w:pPr>
    <w:rPr>
      <w:rFonts w:ascii="Times New Roman" w:hAnsi="Times New Roman" w:eastAsia="宋体" w:cs="Times New Roman"/>
      <w:kern w:val="2"/>
      <w:sz w:val="21"/>
      <w:szCs w:val="21"/>
      <w:lang w:val="en-US" w:eastAsia="zh-CN" w:bidi="ar-SA"/>
    </w:rPr>
  </w:style>
  <w:style w:type="character" w:customStyle="1" w:styleId="626">
    <w:name w:val="Item List Char1"/>
    <w:basedOn w:val="79"/>
    <w:qFormat/>
    <w:uiPriority w:val="0"/>
    <w:rPr>
      <w:rFonts w:cs="Arial"/>
      <w:kern w:val="2"/>
      <w:sz w:val="21"/>
      <w:szCs w:val="21"/>
    </w:rPr>
  </w:style>
  <w:style w:type="character" w:customStyle="1" w:styleId="627">
    <w:name w:val="Item List Text Char"/>
    <w:basedOn w:val="79"/>
    <w:link w:val="625"/>
    <w:qFormat/>
    <w:uiPriority w:val="0"/>
    <w:rPr>
      <w:kern w:val="2"/>
      <w:sz w:val="21"/>
      <w:szCs w:val="21"/>
    </w:rPr>
  </w:style>
  <w:style w:type="character" w:customStyle="1" w:styleId="628">
    <w:name w:val="列出段落 字符1"/>
    <w:qFormat/>
    <w:uiPriority w:val="34"/>
    <w:rPr>
      <w:kern w:val="2"/>
      <w:sz w:val="24"/>
    </w:rPr>
  </w:style>
  <w:style w:type="paragraph" w:customStyle="1" w:styleId="629">
    <w:name w:val="表格标题文字"/>
    <w:qFormat/>
    <w:uiPriority w:val="0"/>
    <w:pPr>
      <w:snapToGrid w:val="0"/>
      <w:spacing w:before="120" w:line="240" w:lineRule="exact"/>
    </w:pPr>
    <w:rPr>
      <w:rFonts w:ascii="Futura Hv" w:hAnsi="Futura Hv" w:eastAsia="黑体" w:cs="Times New Roman"/>
      <w:kern w:val="2"/>
      <w:sz w:val="18"/>
      <w:szCs w:val="21"/>
      <w:lang w:val="en-US" w:eastAsia="zh-CN" w:bidi="ar-SA"/>
    </w:rPr>
  </w:style>
  <w:style w:type="paragraph" w:customStyle="1" w:styleId="630">
    <w:name w:val="表格非标题文字"/>
    <w:link w:val="631"/>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631">
    <w:name w:val="表格非标题文字 Char"/>
    <w:link w:val="630"/>
    <w:qFormat/>
    <w:uiPriority w:val="0"/>
    <w:rPr>
      <w:rFonts w:ascii="Futura Bk" w:hAnsi="Futura Bk"/>
      <w:kern w:val="2"/>
      <w:sz w:val="18"/>
      <w:szCs w:val="21"/>
    </w:rPr>
  </w:style>
  <w:style w:type="character" w:customStyle="1" w:styleId="632">
    <w:name w:val="三级 Char"/>
    <w:link w:val="586"/>
    <w:qFormat/>
    <w:uiPriority w:val="0"/>
    <w:rPr>
      <w:rFonts w:ascii="仿宋" w:hAnsi="仿宋" w:eastAsia="仿宋" w:cs="宋体"/>
      <w:b/>
      <w:bCs/>
      <w:color w:val="000000"/>
      <w:kern w:val="2"/>
      <w:sz w:val="32"/>
      <w:szCs w:val="32"/>
    </w:rPr>
  </w:style>
  <w:style w:type="paragraph" w:customStyle="1" w:styleId="633">
    <w:name w:val="字母编号列项（一级）"/>
    <w:qFormat/>
    <w:uiPriority w:val="0"/>
    <w:pPr>
      <w:tabs>
        <w:tab w:val="left" w:pos="840"/>
      </w:tabs>
      <w:jc w:val="both"/>
    </w:pPr>
    <w:rPr>
      <w:rFonts w:ascii="宋体" w:hAnsi="Times New Roman" w:eastAsia="宋体" w:cs="Times New Roman"/>
      <w:sz w:val="21"/>
      <w:lang w:val="en-US" w:eastAsia="zh-CN" w:bidi="ar-SA"/>
    </w:rPr>
  </w:style>
  <w:style w:type="paragraph" w:customStyle="1" w:styleId="634">
    <w:name w:val="段落"/>
    <w:basedOn w:val="1"/>
    <w:link w:val="635"/>
    <w:qFormat/>
    <w:uiPriority w:val="0"/>
    <w:pPr>
      <w:spacing w:before="120" w:after="120" w:line="0" w:lineRule="atLeast"/>
      <w:ind w:left="105" w:leftChars="50" w:right="105" w:rightChars="50" w:firstLine="567" w:firstLineChars="200"/>
    </w:pPr>
    <w:rPr>
      <w:rFonts w:ascii="Arial" w:hAnsi="Arial" w:eastAsia="仿宋_GB2312"/>
      <w:color w:val="000000"/>
      <w:sz w:val="28"/>
      <w:szCs w:val="20"/>
      <w:lang w:val="zh-CN"/>
    </w:rPr>
  </w:style>
  <w:style w:type="character" w:customStyle="1" w:styleId="635">
    <w:name w:val="段落 Char1"/>
    <w:link w:val="634"/>
    <w:qFormat/>
    <w:uiPriority w:val="0"/>
    <w:rPr>
      <w:rFonts w:ascii="Arial" w:hAnsi="Arial" w:eastAsia="仿宋_GB2312"/>
      <w:color w:val="000000"/>
      <w:kern w:val="2"/>
      <w:sz w:val="28"/>
      <w:lang w:val="zh-CN" w:eastAsia="zh-CN"/>
    </w:rPr>
  </w:style>
  <w:style w:type="character" w:customStyle="1" w:styleId="636">
    <w:name w:val="GP正文(首行缩进) Char"/>
    <w:link w:val="246"/>
    <w:qFormat/>
    <w:locked/>
    <w:uiPriority w:val="0"/>
    <w:rPr>
      <w:kern w:val="2"/>
      <w:sz w:val="24"/>
      <w:szCs w:val="21"/>
    </w:rPr>
  </w:style>
  <w:style w:type="character" w:customStyle="1" w:styleId="637">
    <w:name w:val="归纳标题+强调 Char"/>
    <w:link w:val="638"/>
    <w:qFormat/>
    <w:locked/>
    <w:uiPriority w:val="0"/>
    <w:rPr>
      <w:rFonts w:ascii="Verdana" w:hAnsi="Verdana"/>
      <w:b/>
      <w:sz w:val="24"/>
      <w:szCs w:val="21"/>
      <w:lang w:val="zh-CN" w:eastAsia="zh-CN"/>
    </w:rPr>
  </w:style>
  <w:style w:type="paragraph" w:customStyle="1" w:styleId="638">
    <w:name w:val="归纳标题+强调"/>
    <w:basedOn w:val="246"/>
    <w:link w:val="637"/>
    <w:qFormat/>
    <w:uiPriority w:val="0"/>
    <w:pPr>
      <w:numPr>
        <w:ilvl w:val="0"/>
        <w:numId w:val="38"/>
      </w:numPr>
      <w:spacing w:line="360" w:lineRule="auto"/>
      <w:ind w:firstLine="0" w:firstLineChars="0"/>
    </w:pPr>
    <w:rPr>
      <w:rFonts w:ascii="Verdana" w:hAnsi="Verdana"/>
      <w:b/>
      <w:kern w:val="0"/>
      <w:lang w:val="zh-CN"/>
    </w:rPr>
  </w:style>
  <w:style w:type="paragraph" w:customStyle="1" w:styleId="639">
    <w:name w:val="7级"/>
    <w:basedOn w:val="9"/>
    <w:next w:val="1"/>
    <w:qFormat/>
    <w:uiPriority w:val="0"/>
    <w:pPr>
      <w:keepNext/>
      <w:keepLines/>
      <w:widowControl w:val="0"/>
      <w:numPr>
        <w:ilvl w:val="0"/>
        <w:numId w:val="0"/>
      </w:numPr>
      <w:tabs>
        <w:tab w:val="left" w:pos="360"/>
      </w:tabs>
      <w:spacing w:before="240" w:after="64" w:afterLines="0" w:line="360" w:lineRule="auto"/>
      <w:jc w:val="both"/>
    </w:pPr>
    <w:rPr>
      <w:rFonts w:ascii="Verdana" w:hAnsi="Verdana"/>
      <w:bCs/>
      <w:i w:val="0"/>
      <w:kern w:val="2"/>
      <w:sz w:val="24"/>
      <w:szCs w:val="24"/>
      <w:lang w:val="zh-CN" w:eastAsia="en-US"/>
    </w:rPr>
  </w:style>
  <w:style w:type="paragraph" w:customStyle="1" w:styleId="640">
    <w:name w:val="样式 标题 1H1PIM 1h1标书1L1bocSection Headl11Heading 0正文一级标..."/>
    <w:basedOn w:val="3"/>
    <w:qFormat/>
    <w:uiPriority w:val="0"/>
    <w:pPr>
      <w:keepLines/>
      <w:pageBreakBefore/>
      <w:numPr>
        <w:ilvl w:val="0"/>
        <w:numId w:val="39"/>
      </w:numPr>
      <w:tabs>
        <w:tab w:val="left" w:pos="284"/>
        <w:tab w:val="left" w:pos="360"/>
        <w:tab w:val="clear" w:pos="420"/>
      </w:tabs>
      <w:spacing w:before="480" w:beforeLines="50" w:after="480" w:afterLines="50" w:line="400" w:lineRule="exact"/>
      <w:ind w:left="432" w:hanging="432"/>
      <w:jc w:val="left"/>
    </w:pPr>
    <w:rPr>
      <w:rFonts w:ascii="宋体" w:hAnsi="宋体" w:eastAsia="宋体" w:cs="宋体"/>
      <w:bCs/>
      <w:kern w:val="44"/>
      <w:sz w:val="32"/>
    </w:rPr>
  </w:style>
  <w:style w:type="character" w:customStyle="1" w:styleId="641">
    <w:name w:val="*正文 Char Char"/>
    <w:qFormat/>
    <w:uiPriority w:val="0"/>
    <w:rPr>
      <w:rFonts w:ascii="宋体" w:hAnsi="宋体" w:eastAsia="仿宋" w:cs="Times New Roman"/>
      <w:sz w:val="28"/>
      <w:szCs w:val="24"/>
    </w:rPr>
  </w:style>
  <w:style w:type="paragraph" w:customStyle="1" w:styleId="642">
    <w:name w:val="Table List Bullit"/>
    <w:basedOn w:val="1"/>
    <w:qFormat/>
    <w:uiPriority w:val="0"/>
    <w:pPr>
      <w:widowControl/>
      <w:numPr>
        <w:ilvl w:val="0"/>
        <w:numId w:val="40"/>
      </w:numPr>
      <w:tabs>
        <w:tab w:val="left" w:pos="284"/>
      </w:tabs>
      <w:spacing w:before="40" w:after="40"/>
      <w:ind w:firstLine="0"/>
      <w:jc w:val="left"/>
    </w:pPr>
    <w:rPr>
      <w:rFonts w:ascii="Arial" w:hAnsi="Arial"/>
      <w:spacing w:val="-5"/>
      <w:kern w:val="0"/>
      <w:sz w:val="18"/>
      <w:szCs w:val="20"/>
    </w:rPr>
  </w:style>
  <w:style w:type="paragraph" w:customStyle="1" w:styleId="643">
    <w:name w:val="表格(五号)"/>
    <w:basedOn w:val="1"/>
    <w:link w:val="644"/>
    <w:qFormat/>
    <w:uiPriority w:val="0"/>
    <w:pPr>
      <w:adjustRightInd w:val="0"/>
      <w:snapToGrid w:val="0"/>
      <w:spacing w:before="60" w:after="60"/>
      <w:ind w:left="11"/>
      <w:jc w:val="center"/>
    </w:pPr>
    <w:rPr>
      <w:rFonts w:ascii="黑体" w:hAnsi="黑体" w:cs="黑体"/>
      <w:kern w:val="0"/>
      <w:szCs w:val="20"/>
    </w:rPr>
  </w:style>
  <w:style w:type="character" w:customStyle="1" w:styleId="644">
    <w:name w:val="表格(五号) Char"/>
    <w:link w:val="643"/>
    <w:qFormat/>
    <w:uiPriority w:val="0"/>
    <w:rPr>
      <w:rFonts w:ascii="黑体" w:hAnsi="黑体" w:cs="黑体"/>
      <w:sz w:val="21"/>
    </w:rPr>
  </w:style>
  <w:style w:type="paragraph" w:customStyle="1" w:styleId="645">
    <w:name w:val="a 正文"/>
    <w:basedOn w:val="1"/>
    <w:link w:val="646"/>
    <w:qFormat/>
    <w:uiPriority w:val="0"/>
    <w:pPr>
      <w:spacing w:line="360" w:lineRule="auto"/>
      <w:ind w:firstLine="480" w:firstLineChars="200"/>
    </w:pPr>
    <w:rPr>
      <w:rFonts w:ascii="宋体" w:hAnsi="宋体"/>
      <w:sz w:val="24"/>
      <w:szCs w:val="24"/>
    </w:rPr>
  </w:style>
  <w:style w:type="character" w:customStyle="1" w:styleId="646">
    <w:name w:val="a 正文 Char"/>
    <w:link w:val="645"/>
    <w:qFormat/>
    <w:uiPriority w:val="0"/>
    <w:rPr>
      <w:rFonts w:ascii="宋体" w:hAnsi="宋体"/>
      <w:kern w:val="2"/>
      <w:sz w:val="24"/>
      <w:szCs w:val="24"/>
    </w:rPr>
  </w:style>
  <w:style w:type="paragraph" w:customStyle="1" w:styleId="647">
    <w:name w:val="A3"/>
    <w:basedOn w:val="5"/>
    <w:qFormat/>
    <w:uiPriority w:val="0"/>
    <w:pPr>
      <w:keepNext/>
      <w:keepLines/>
      <w:numPr>
        <w:ilvl w:val="0"/>
        <w:numId w:val="41"/>
      </w:numPr>
      <w:pBdr>
        <w:top w:val="none" w:color="auto" w:sz="0" w:space="0"/>
      </w:pBdr>
      <w:topLinePunct/>
      <w:spacing w:before="156" w:beforeLines="50" w:after="156" w:line="416" w:lineRule="auto"/>
      <w:jc w:val="both"/>
    </w:pPr>
    <w:rPr>
      <w:rFonts w:ascii="Calibri" w:hAnsi="Calibri" w:cs="黑体"/>
      <w:b/>
      <w:bCs/>
      <w:kern w:val="2"/>
      <w:sz w:val="36"/>
      <w:szCs w:val="32"/>
      <w:lang w:val="zh-CN"/>
    </w:rPr>
  </w:style>
  <w:style w:type="table" w:customStyle="1" w:styleId="648">
    <w:name w:val="Table1"/>
    <w:basedOn w:val="141"/>
    <w:qFormat/>
    <w:uiPriority w:val="0"/>
    <w:rPr>
      <w:rFonts w:cs="Arial" w:eastAsiaTheme="minorEastAsia"/>
      <w:kern w:val="2"/>
      <w:sz w:val="21"/>
      <w:szCs w:val="22"/>
    </w:rPr>
    <w:tblPr>
      <w:tblLayout w:type="fixed"/>
    </w:tblPr>
    <w:trPr>
      <w:cantSplit/>
    </w:trPr>
    <w:tcPr>
      <w:shd w:val="clear" w:color="auto" w:fill="auto"/>
    </w:tcPr>
    <w:tblStylePr w:type="firstRow">
      <w:rPr>
        <w:b w:val="0"/>
        <w:bCs w:val="0"/>
        <w:i w:val="0"/>
        <w:iCs w:val="0"/>
        <w:color w:val="auto"/>
        <w:sz w:val="20"/>
        <w:szCs w:val="20"/>
      </w:rPr>
      <w:tcPr>
        <w:tcBorders>
          <w:top w:val="single" w:color="auto" w:sz="6" w:space="0"/>
          <w:left w:val="single" w:color="auto" w:sz="6" w:space="0"/>
          <w:bottom w:val="single" w:color="auto" w:sz="6" w:space="0"/>
          <w:right w:val="single" w:color="auto" w:sz="6" w:space="0"/>
          <w:insideH w:val="single" w:sz="6" w:space="0"/>
          <w:insideV w:val="single" w:sz="6" w:space="0"/>
          <w:tl2br w:val="nil"/>
          <w:tr2bl w:val="nil"/>
        </w:tcBorders>
        <w:shd w:val="clear" w:color="auto" w:fill="D9D9D9"/>
      </w:tcPr>
    </w:tblStylePr>
  </w:style>
  <w:style w:type="character" w:customStyle="1" w:styleId="649">
    <w:name w:val="样式 样式 首行缩进:  2.25 字符 + 首行缩进:  2.25 字符 Char"/>
    <w:link w:val="650"/>
    <w:qFormat/>
    <w:uiPriority w:val="0"/>
    <w:rPr>
      <w:rFonts w:ascii="宋体" w:hAnsi="宋体"/>
      <w:sz w:val="24"/>
    </w:rPr>
  </w:style>
  <w:style w:type="paragraph" w:customStyle="1" w:styleId="650">
    <w:name w:val="样式 样式 首行缩进:  2.25 字符 + 首行缩进:  2.25 字符"/>
    <w:basedOn w:val="1"/>
    <w:link w:val="649"/>
    <w:qFormat/>
    <w:uiPriority w:val="0"/>
    <w:pPr>
      <w:spacing w:line="360" w:lineRule="auto"/>
      <w:ind w:firstLine="540" w:firstLineChars="225"/>
    </w:pPr>
    <w:rPr>
      <w:rFonts w:ascii="宋体" w:hAnsi="宋体"/>
      <w:kern w:val="0"/>
      <w:sz w:val="24"/>
      <w:szCs w:val="20"/>
    </w:rPr>
  </w:style>
  <w:style w:type="character" w:customStyle="1" w:styleId="651">
    <w:name w:val="DC 正文 Char"/>
    <w:link w:val="652"/>
    <w:qFormat/>
    <w:uiPriority w:val="0"/>
    <w:rPr>
      <w:rFonts w:ascii="Calibri" w:hAnsi="Calibri"/>
      <w:sz w:val="24"/>
      <w:szCs w:val="24"/>
    </w:rPr>
  </w:style>
  <w:style w:type="paragraph" w:customStyle="1" w:styleId="652">
    <w:name w:val="DC 正文"/>
    <w:basedOn w:val="1"/>
    <w:link w:val="651"/>
    <w:qFormat/>
    <w:uiPriority w:val="0"/>
    <w:pPr>
      <w:widowControl/>
      <w:spacing w:line="300" w:lineRule="auto"/>
      <w:ind w:firstLine="480" w:firstLineChars="200"/>
      <w:jc w:val="left"/>
    </w:pPr>
    <w:rPr>
      <w:rFonts w:ascii="Calibri" w:hAnsi="Calibri"/>
      <w:kern w:val="0"/>
      <w:sz w:val="24"/>
      <w:szCs w:val="24"/>
    </w:rPr>
  </w:style>
  <w:style w:type="character" w:customStyle="1" w:styleId="653">
    <w:name w:val="md-line"/>
    <w:basedOn w:val="79"/>
    <w:qFormat/>
    <w:uiPriority w:val="0"/>
  </w:style>
  <w:style w:type="paragraph" w:customStyle="1" w:styleId="654">
    <w:name w:val="正文首行缩进（绿盟科技）"/>
    <w:basedOn w:val="1"/>
    <w:link w:val="655"/>
    <w:qFormat/>
    <w:uiPriority w:val="0"/>
    <w:pPr>
      <w:widowControl/>
      <w:spacing w:after="50" w:line="300" w:lineRule="auto"/>
      <w:ind w:firstLine="200" w:firstLineChars="200"/>
      <w:jc w:val="left"/>
    </w:pPr>
    <w:rPr>
      <w:rFonts w:ascii="Arial" w:hAnsi="Arial"/>
      <w:kern w:val="0"/>
    </w:rPr>
  </w:style>
  <w:style w:type="character" w:customStyle="1" w:styleId="655">
    <w:name w:val="正文首行缩进（绿盟科技） Char"/>
    <w:link w:val="654"/>
    <w:qFormat/>
    <w:uiPriority w:val="0"/>
    <w:rPr>
      <w:rFonts w:ascii="Arial" w:hAnsi="Arial"/>
      <w:sz w:val="21"/>
      <w:szCs w:val="21"/>
    </w:rPr>
  </w:style>
  <w:style w:type="paragraph" w:customStyle="1" w:styleId="656">
    <w:name w:val="样式 题注图片信息主题题注(图注)题注(图注) + 居中BB题注 Char Char Char Char题注 Ch..."/>
    <w:basedOn w:val="23"/>
    <w:qFormat/>
    <w:uiPriority w:val="0"/>
    <w:pPr>
      <w:spacing w:line="360" w:lineRule="auto"/>
    </w:pPr>
    <w:rPr>
      <w:rFonts w:cs="宋体"/>
      <w:szCs w:val="20"/>
    </w:rPr>
  </w:style>
  <w:style w:type="character" w:customStyle="1" w:styleId="657">
    <w:name w:val="No Spacing Char"/>
    <w:qFormat/>
    <w:uiPriority w:val="1"/>
    <w:rPr>
      <w:rFonts w:ascii="等线" w:hAnsi="等线" w:eastAsia="仿宋" w:cs="Times New Roman"/>
      <w:sz w:val="24"/>
    </w:rPr>
  </w:style>
  <w:style w:type="paragraph" w:customStyle="1" w:styleId="658">
    <w:name w:val="列表格式"/>
    <w:basedOn w:val="1"/>
    <w:link w:val="659"/>
    <w:qFormat/>
    <w:uiPriority w:val="0"/>
    <w:pPr>
      <w:spacing w:line="360" w:lineRule="auto"/>
      <w:ind w:firstLine="480" w:firstLineChars="200"/>
      <w:jc w:val="left"/>
    </w:pPr>
    <w:rPr>
      <w:sz w:val="24"/>
      <w:szCs w:val="24"/>
    </w:rPr>
  </w:style>
  <w:style w:type="character" w:customStyle="1" w:styleId="659">
    <w:name w:val="列表格式 Char"/>
    <w:link w:val="658"/>
    <w:qFormat/>
    <w:uiPriority w:val="0"/>
    <w:rPr>
      <w:kern w:val="2"/>
      <w:sz w:val="24"/>
      <w:szCs w:val="24"/>
    </w:rPr>
  </w:style>
  <w:style w:type="paragraph" w:customStyle="1" w:styleId="660">
    <w:name w:val="表格标题"/>
    <w:basedOn w:val="1"/>
    <w:qFormat/>
    <w:uiPriority w:val="0"/>
    <w:pPr>
      <w:numPr>
        <w:ilvl w:val="0"/>
        <w:numId w:val="42"/>
      </w:numPr>
      <w:spacing w:line="360" w:lineRule="auto"/>
      <w:ind w:left="0" w:firstLine="0"/>
      <w:jc w:val="center"/>
    </w:pPr>
    <w:rPr>
      <w:rFonts w:ascii="宋体" w:hAnsi="宋体" w:eastAsia="黑体"/>
      <w:b/>
      <w:sz w:val="24"/>
    </w:rPr>
  </w:style>
  <w:style w:type="paragraph" w:customStyle="1" w:styleId="661">
    <w:name w:val="图片编号"/>
    <w:basedOn w:val="173"/>
    <w:link w:val="662"/>
    <w:qFormat/>
    <w:uiPriority w:val="0"/>
    <w:pPr>
      <w:widowControl w:val="0"/>
      <w:numPr>
        <w:ilvl w:val="0"/>
        <w:numId w:val="43"/>
      </w:numPr>
      <w:spacing w:line="360" w:lineRule="auto"/>
      <w:ind w:left="0" w:firstLine="0" w:firstLineChars="0"/>
      <w:jc w:val="center"/>
    </w:pPr>
    <w:rPr>
      <w:rFonts w:ascii="Arial" w:hAnsi="Arial" w:cs="宋体"/>
      <w:kern w:val="2"/>
      <w:sz w:val="21"/>
      <w:szCs w:val="20"/>
      <w:lang w:val="zh-CN" w:eastAsia="zh-CN"/>
    </w:rPr>
  </w:style>
  <w:style w:type="character" w:customStyle="1" w:styleId="662">
    <w:name w:val="图片编号 Char"/>
    <w:basedOn w:val="79"/>
    <w:link w:val="661"/>
    <w:qFormat/>
    <w:uiPriority w:val="0"/>
    <w:rPr>
      <w:rFonts w:ascii="Arial" w:hAnsi="Arial" w:cs="宋体"/>
      <w:kern w:val="2"/>
      <w:sz w:val="21"/>
      <w:lang w:val="zh-CN"/>
    </w:rPr>
  </w:style>
  <w:style w:type="paragraph" w:customStyle="1" w:styleId="663">
    <w:name w:val="样式 *正文 + 首行缩进:  2 字符"/>
    <w:basedOn w:val="254"/>
    <w:qFormat/>
    <w:uiPriority w:val="0"/>
    <w:rPr>
      <w:rFonts w:cs="宋体"/>
      <w:sz w:val="24"/>
      <w:szCs w:val="20"/>
    </w:rPr>
  </w:style>
  <w:style w:type="character" w:customStyle="1" w:styleId="664">
    <w:name w:val="HTML 预设格式 Char1"/>
    <w:basedOn w:val="79"/>
    <w:semiHidden/>
    <w:qFormat/>
    <w:uiPriority w:val="0"/>
    <w:rPr>
      <w:rFonts w:ascii="Courier New" w:hAnsi="Courier New" w:eastAsia="宋体" w:cs="Courier New"/>
      <w:sz w:val="20"/>
      <w:szCs w:val="20"/>
    </w:rPr>
  </w:style>
  <w:style w:type="paragraph" w:customStyle="1" w:styleId="665">
    <w:name w:val="样式 居中 首行缩进:  2 字符"/>
    <w:basedOn w:val="1"/>
    <w:qFormat/>
    <w:uiPriority w:val="0"/>
    <w:pPr>
      <w:spacing w:line="360" w:lineRule="auto"/>
      <w:jc w:val="center"/>
    </w:pPr>
    <w:rPr>
      <w:rFonts w:ascii="Arial" w:hAnsi="Arial" w:cs="宋体"/>
      <w:sz w:val="24"/>
      <w:szCs w:val="20"/>
    </w:rPr>
  </w:style>
  <w:style w:type="character" w:customStyle="1" w:styleId="666">
    <w:name w:val="青海正文 Char Char"/>
    <w:link w:val="667"/>
    <w:qFormat/>
    <w:uiPriority w:val="0"/>
    <w:rPr>
      <w:rFonts w:ascii="仿宋_GB2312" w:eastAsia="仿宋_GB2312"/>
      <w:sz w:val="28"/>
      <w:szCs w:val="28"/>
    </w:rPr>
  </w:style>
  <w:style w:type="paragraph" w:customStyle="1" w:styleId="667">
    <w:name w:val="青海正文"/>
    <w:basedOn w:val="1"/>
    <w:link w:val="666"/>
    <w:qFormat/>
    <w:uiPriority w:val="0"/>
    <w:pPr>
      <w:spacing w:line="360" w:lineRule="auto"/>
      <w:ind w:firstLine="560" w:firstLineChars="200"/>
    </w:pPr>
    <w:rPr>
      <w:rFonts w:ascii="仿宋_GB2312" w:eastAsia="仿宋_GB2312"/>
      <w:kern w:val="0"/>
      <w:sz w:val="28"/>
      <w:szCs w:val="28"/>
    </w:rPr>
  </w:style>
  <w:style w:type="paragraph" w:customStyle="1" w:styleId="668">
    <w:name w:val="QB前言正文"/>
    <w:basedOn w:val="1"/>
    <w:qFormat/>
    <w:uiPriority w:val="0"/>
    <w:pPr>
      <w:widowControl/>
      <w:autoSpaceDE w:val="0"/>
      <w:autoSpaceDN w:val="0"/>
      <w:spacing w:line="360" w:lineRule="auto"/>
      <w:ind w:firstLine="200" w:firstLineChars="200"/>
    </w:pPr>
    <w:rPr>
      <w:rFonts w:ascii="宋体"/>
      <w:kern w:val="0"/>
      <w:sz w:val="24"/>
      <w:szCs w:val="24"/>
    </w:rPr>
  </w:style>
  <w:style w:type="character" w:customStyle="1" w:styleId="669">
    <w:name w:val="题注 Char2"/>
    <w:qFormat/>
    <w:uiPriority w:val="35"/>
    <w:rPr>
      <w:rFonts w:ascii="Arial Unicode MS" w:hAnsi="Arial Unicode MS"/>
      <w:kern w:val="2"/>
      <w:sz w:val="21"/>
    </w:rPr>
  </w:style>
  <w:style w:type="character" w:customStyle="1" w:styleId="670">
    <w:name w:val="正文首行缩进 2 Char1"/>
    <w:basedOn w:val="182"/>
    <w:qFormat/>
    <w:uiPriority w:val="0"/>
    <w:rPr>
      <w:rFonts w:ascii="Verdana" w:hAnsi="Verdana" w:eastAsia="宋体" w:cs="宋体"/>
      <w:kern w:val="2"/>
      <w:sz w:val="24"/>
      <w:szCs w:val="28"/>
      <w:lang w:val="en-US" w:eastAsia="zh-CN" w:bidi="ar-SA"/>
    </w:rPr>
  </w:style>
  <w:style w:type="paragraph" w:customStyle="1" w:styleId="671">
    <w:name w:val="图片标题"/>
    <w:basedOn w:val="1"/>
    <w:link w:val="672"/>
    <w:qFormat/>
    <w:uiPriority w:val="0"/>
    <w:pPr>
      <w:numPr>
        <w:ilvl w:val="0"/>
        <w:numId w:val="44"/>
      </w:numPr>
      <w:spacing w:line="360" w:lineRule="auto"/>
      <w:ind w:firstLine="0"/>
      <w:jc w:val="center"/>
    </w:pPr>
    <w:rPr>
      <w:rFonts w:eastAsia="黑体" w:asciiTheme="minorEastAsia" w:hAnsiTheme="minorEastAsia" w:cstheme="minorBidi"/>
      <w:b/>
    </w:rPr>
  </w:style>
  <w:style w:type="character" w:customStyle="1" w:styleId="672">
    <w:name w:val="图片标题 Char"/>
    <w:basedOn w:val="79"/>
    <w:link w:val="671"/>
    <w:qFormat/>
    <w:uiPriority w:val="0"/>
    <w:rPr>
      <w:rFonts w:eastAsia="黑体" w:asciiTheme="minorEastAsia" w:hAnsiTheme="minorEastAsia" w:cstheme="minorBidi"/>
      <w:b/>
      <w:kern w:val="2"/>
      <w:sz w:val="21"/>
      <w:szCs w:val="21"/>
    </w:rPr>
  </w:style>
  <w:style w:type="paragraph" w:customStyle="1" w:styleId="673">
    <w:name w:val="正文首行缩进 21"/>
    <w:basedOn w:val="1"/>
    <w:qFormat/>
    <w:uiPriority w:val="99"/>
    <w:pPr>
      <w:spacing w:after="120" w:line="360" w:lineRule="auto"/>
      <w:ind w:firstLine="420"/>
    </w:pPr>
    <w:rPr>
      <w:rFonts w:cs="宋体"/>
      <w:kern w:val="0"/>
      <w:sz w:val="24"/>
      <w:szCs w:val="18"/>
    </w:rPr>
  </w:style>
  <w:style w:type="character" w:customStyle="1" w:styleId="674">
    <w:name w:val="表正文 Char"/>
    <w:qFormat/>
    <w:uiPriority w:val="0"/>
    <w:rPr>
      <w:kern w:val="2"/>
      <w:sz w:val="21"/>
    </w:rPr>
  </w:style>
  <w:style w:type="character" w:customStyle="1" w:styleId="675">
    <w:name w:val="1级标题 Char"/>
    <w:link w:val="264"/>
    <w:qFormat/>
    <w:locked/>
    <w:uiPriority w:val="0"/>
    <w:rPr>
      <w:rFonts w:ascii="黑体" w:hAnsi="黑体" w:eastAsia="黑体"/>
      <w:sz w:val="36"/>
      <w:szCs w:val="36"/>
      <w:lang w:eastAsia="en-US" w:bidi="en-US"/>
    </w:rPr>
  </w:style>
  <w:style w:type="paragraph" w:customStyle="1" w:styleId="676">
    <w:name w:val="序列abc"/>
    <w:basedOn w:val="332"/>
    <w:qFormat/>
    <w:uiPriority w:val="0"/>
    <w:pPr>
      <w:numPr>
        <w:ilvl w:val="0"/>
        <w:numId w:val="45"/>
      </w:numPr>
      <w:tabs>
        <w:tab w:val="left" w:pos="360"/>
      </w:tabs>
      <w:spacing w:line="360" w:lineRule="atLeast"/>
      <w:ind w:firstLine="482" w:firstLineChars="0"/>
    </w:pPr>
    <w:rPr>
      <w:rFonts w:eastAsia="宋体" w:cs="Arial"/>
      <w:kern w:val="2"/>
    </w:rPr>
  </w:style>
  <w:style w:type="character" w:customStyle="1" w:styleId="677">
    <w:name w:val="正文 首行缩进:  2 字符 Char Char Char"/>
    <w:link w:val="678"/>
    <w:qFormat/>
    <w:uiPriority w:val="0"/>
    <w:rPr>
      <w:rFonts w:cs="宋体"/>
      <w:sz w:val="24"/>
    </w:rPr>
  </w:style>
  <w:style w:type="paragraph" w:customStyle="1" w:styleId="678">
    <w:name w:val="正文 首行缩进:  2 字符 Char"/>
    <w:basedOn w:val="1"/>
    <w:link w:val="677"/>
    <w:qFormat/>
    <w:uiPriority w:val="0"/>
    <w:pPr>
      <w:widowControl/>
      <w:topLinePunct/>
      <w:spacing w:line="360" w:lineRule="auto"/>
      <w:ind w:firstLine="480"/>
    </w:pPr>
    <w:rPr>
      <w:rFonts w:cs="宋体"/>
      <w:kern w:val="0"/>
      <w:sz w:val="24"/>
      <w:szCs w:val="20"/>
    </w:rPr>
  </w:style>
  <w:style w:type="paragraph" w:customStyle="1" w:styleId="679">
    <w:name w:val="正文 首行缩进:  2 字符 Char Char Char Char Char"/>
    <w:basedOn w:val="1"/>
    <w:qFormat/>
    <w:uiPriority w:val="0"/>
    <w:pPr>
      <w:widowControl/>
      <w:topLinePunct/>
      <w:spacing w:line="360" w:lineRule="auto"/>
      <w:ind w:firstLine="480" w:firstLineChars="200"/>
      <w:jc w:val="left"/>
    </w:pPr>
    <w:rPr>
      <w:rFonts w:ascii="宋体" w:hAnsi="宋体"/>
      <w:sz w:val="24"/>
      <w:szCs w:val="28"/>
    </w:rPr>
  </w:style>
  <w:style w:type="paragraph" w:customStyle="1" w:styleId="680">
    <w:name w:val="格式正文"/>
    <w:basedOn w:val="1"/>
    <w:qFormat/>
    <w:uiPriority w:val="0"/>
    <w:pPr>
      <w:topLinePunct/>
      <w:spacing w:before="60" w:after="60" w:line="360" w:lineRule="auto"/>
      <w:ind w:firstLine="482"/>
    </w:pPr>
    <w:rPr>
      <w:kern w:val="0"/>
      <w:sz w:val="24"/>
      <w:szCs w:val="20"/>
    </w:rPr>
  </w:style>
  <w:style w:type="character" w:customStyle="1" w:styleId="681">
    <w:name w:val="题注(表) Char"/>
    <w:qFormat/>
    <w:locked/>
    <w:uiPriority w:val="0"/>
    <w:rPr>
      <w:rFonts w:ascii="Arial Unicode MS" w:hAnsi="Arial Unicode MS"/>
      <w:kern w:val="2"/>
      <w:sz w:val="21"/>
    </w:rPr>
  </w:style>
  <w:style w:type="paragraph" w:customStyle="1" w:styleId="682">
    <w:name w:val="Block Label"/>
    <w:basedOn w:val="1"/>
    <w:next w:val="1"/>
    <w:link w:val="683"/>
    <w:qFormat/>
    <w:uiPriority w:val="0"/>
    <w:pPr>
      <w:keepNext/>
      <w:keepLines/>
      <w:widowControl/>
      <w:topLinePunct/>
      <w:adjustRightInd w:val="0"/>
      <w:snapToGrid w:val="0"/>
      <w:spacing w:before="300" w:after="80" w:line="240" w:lineRule="atLeast"/>
      <w:jc w:val="left"/>
      <w:outlineLvl w:val="4"/>
    </w:pPr>
    <w:rPr>
      <w:rFonts w:ascii="Book Antiqua" w:hAnsi="Book Antiqua" w:eastAsia="黑体" w:cs="Book Antiqua"/>
      <w:bCs/>
      <w:kern w:val="0"/>
      <w:sz w:val="26"/>
      <w:szCs w:val="26"/>
    </w:rPr>
  </w:style>
  <w:style w:type="character" w:customStyle="1" w:styleId="683">
    <w:name w:val="Block Label Char"/>
    <w:basedOn w:val="79"/>
    <w:link w:val="682"/>
    <w:qFormat/>
    <w:uiPriority w:val="0"/>
    <w:rPr>
      <w:rFonts w:ascii="Book Antiqua" w:hAnsi="Book Antiqua" w:eastAsia="黑体" w:cs="Book Antiqua"/>
      <w:bCs/>
      <w:sz w:val="26"/>
      <w:szCs w:val="26"/>
    </w:rPr>
  </w:style>
  <w:style w:type="paragraph" w:customStyle="1" w:styleId="684">
    <w:name w:val="msonormal"/>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85">
    <w:name w:val="font8"/>
    <w:basedOn w:val="1"/>
    <w:qFormat/>
    <w:uiPriority w:val="0"/>
    <w:pPr>
      <w:widowControl/>
      <w:spacing w:before="100" w:beforeAutospacing="1" w:after="100" w:afterAutospacing="1"/>
      <w:jc w:val="left"/>
    </w:pPr>
    <w:rPr>
      <w:rFonts w:ascii="Arial" w:hAnsi="Arial" w:cs="Arial"/>
      <w:b/>
      <w:bCs/>
      <w:kern w:val="0"/>
      <w:sz w:val="18"/>
      <w:szCs w:val="18"/>
    </w:rPr>
  </w:style>
  <w:style w:type="paragraph" w:customStyle="1" w:styleId="686">
    <w:name w:val="font9"/>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687">
    <w:name w:val="font10"/>
    <w:basedOn w:val="1"/>
    <w:qFormat/>
    <w:uiPriority w:val="0"/>
    <w:pPr>
      <w:widowControl/>
      <w:spacing w:before="100" w:beforeAutospacing="1" w:after="100" w:afterAutospacing="1"/>
      <w:jc w:val="left"/>
    </w:pPr>
    <w:rPr>
      <w:rFonts w:ascii="Arial" w:hAnsi="Arial" w:cs="Arial"/>
      <w:kern w:val="0"/>
      <w:sz w:val="18"/>
      <w:szCs w:val="18"/>
    </w:rPr>
  </w:style>
  <w:style w:type="paragraph" w:customStyle="1" w:styleId="688">
    <w:name w:val="font11"/>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689">
    <w:name w:val="font12"/>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690">
    <w:name w:val="xl9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Arial" w:hAnsi="Arial" w:cs="Arial"/>
      <w:b/>
      <w:bCs/>
      <w:kern w:val="0"/>
      <w:sz w:val="18"/>
      <w:szCs w:val="18"/>
    </w:rPr>
  </w:style>
  <w:style w:type="paragraph" w:customStyle="1" w:styleId="691">
    <w:name w:val="xl9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b/>
      <w:bCs/>
      <w:kern w:val="0"/>
      <w:sz w:val="18"/>
      <w:szCs w:val="18"/>
    </w:rPr>
  </w:style>
  <w:style w:type="paragraph" w:customStyle="1" w:styleId="69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93">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694">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695">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rPr>
  </w:style>
  <w:style w:type="paragraph" w:customStyle="1" w:styleId="696">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697">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698">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699">
    <w:name w:val="xl103"/>
    <w:basedOn w:val="1"/>
    <w:qFormat/>
    <w:uiPriority w:val="0"/>
    <w:pPr>
      <w:widowControl/>
      <w:pBdr>
        <w:top w:val="single" w:color="auto" w:sz="4" w:space="0"/>
        <w:left w:val="single" w:color="auto" w:sz="4" w:space="0"/>
        <w:bottom w:val="single" w:color="auto" w:sz="4" w:space="0"/>
        <w:right w:val="single" w:color="auto" w:sz="4" w:space="0"/>
      </w:pBdr>
      <w:shd w:val="clear" w:color="000000" w:fill="00B0F0"/>
      <w:spacing w:before="100" w:beforeAutospacing="1" w:after="100" w:afterAutospacing="1"/>
      <w:jc w:val="center"/>
      <w:textAlignment w:val="center"/>
    </w:pPr>
    <w:rPr>
      <w:rFonts w:ascii="宋体" w:hAnsi="宋体" w:cs="宋体"/>
      <w:b/>
      <w:bCs/>
      <w:kern w:val="0"/>
      <w:sz w:val="32"/>
      <w:szCs w:val="32"/>
    </w:rPr>
  </w:style>
  <w:style w:type="paragraph" w:customStyle="1" w:styleId="700">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D6DCE4"/>
      <w:spacing w:before="100" w:beforeAutospacing="1" w:after="100" w:afterAutospacing="1"/>
      <w:jc w:val="center"/>
      <w:textAlignment w:val="center"/>
    </w:pPr>
    <w:rPr>
      <w:rFonts w:ascii="宋体" w:hAnsi="宋体" w:cs="宋体"/>
      <w:b/>
      <w:bCs/>
      <w:kern w:val="0"/>
      <w:sz w:val="24"/>
      <w:szCs w:val="24"/>
    </w:rPr>
  </w:style>
  <w:style w:type="paragraph" w:customStyle="1" w:styleId="701">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rPr>
  </w:style>
  <w:style w:type="paragraph" w:customStyle="1" w:styleId="702">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FFFF99"/>
      <w:spacing w:before="100" w:beforeAutospacing="1" w:after="100" w:afterAutospacing="1"/>
      <w:jc w:val="left"/>
      <w:textAlignment w:val="center"/>
    </w:pPr>
    <w:rPr>
      <w:rFonts w:ascii="宋体" w:hAnsi="宋体" w:cs="宋体"/>
      <w:b/>
      <w:bCs/>
      <w:kern w:val="0"/>
      <w:sz w:val="18"/>
      <w:szCs w:val="18"/>
    </w:rPr>
  </w:style>
  <w:style w:type="paragraph" w:customStyle="1" w:styleId="703">
    <w:name w:val="xl107"/>
    <w:basedOn w:val="1"/>
    <w:qFormat/>
    <w:uiPriority w:val="0"/>
    <w:pPr>
      <w:widowControl/>
      <w:pBdr>
        <w:top w:val="single" w:color="auto" w:sz="4" w:space="0"/>
        <w:left w:val="single" w:color="auto" w:sz="4" w:space="0"/>
        <w:bottom w:val="single" w:color="auto" w:sz="4" w:space="0"/>
        <w:right w:val="single" w:color="auto" w:sz="4" w:space="0"/>
      </w:pBdr>
      <w:shd w:val="clear" w:color="000000" w:fill="FFFF99"/>
      <w:spacing w:before="100" w:beforeAutospacing="1" w:after="100" w:afterAutospacing="1"/>
      <w:jc w:val="left"/>
      <w:textAlignment w:val="center"/>
    </w:pPr>
    <w:rPr>
      <w:rFonts w:ascii="Arial" w:hAnsi="Arial" w:cs="Arial"/>
      <w:b/>
      <w:bCs/>
      <w:kern w:val="0"/>
      <w:sz w:val="18"/>
      <w:szCs w:val="18"/>
    </w:rPr>
  </w:style>
  <w:style w:type="paragraph" w:customStyle="1" w:styleId="70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b/>
      <w:bCs/>
      <w:kern w:val="0"/>
      <w:sz w:val="18"/>
      <w:szCs w:val="18"/>
    </w:rPr>
  </w:style>
  <w:style w:type="paragraph" w:customStyle="1" w:styleId="705">
    <w:name w:val="xl109"/>
    <w:basedOn w:val="1"/>
    <w:qFormat/>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jc w:val="left"/>
      <w:textAlignment w:val="center"/>
    </w:pPr>
    <w:rPr>
      <w:rFonts w:ascii="宋体" w:hAnsi="宋体" w:cs="宋体"/>
      <w:b/>
      <w:bCs/>
      <w:kern w:val="0"/>
      <w:sz w:val="18"/>
      <w:szCs w:val="18"/>
    </w:rPr>
  </w:style>
  <w:style w:type="paragraph" w:customStyle="1" w:styleId="706">
    <w:name w:val="xl110"/>
    <w:basedOn w:val="1"/>
    <w:qFormat/>
    <w:uiPriority w:val="0"/>
    <w:pPr>
      <w:widowControl/>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jc w:val="left"/>
      <w:textAlignment w:val="center"/>
    </w:pPr>
    <w:rPr>
      <w:rFonts w:ascii="Arial" w:hAnsi="Arial" w:cs="Arial"/>
      <w:b/>
      <w:bCs/>
      <w:kern w:val="0"/>
      <w:sz w:val="18"/>
      <w:szCs w:val="18"/>
    </w:rPr>
  </w:style>
  <w:style w:type="paragraph" w:customStyle="1" w:styleId="707">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18"/>
      <w:szCs w:val="18"/>
    </w:rPr>
  </w:style>
  <w:style w:type="paragraph" w:customStyle="1" w:styleId="708">
    <w:name w:val="title1"/>
    <w:basedOn w:val="1"/>
    <w:qFormat/>
    <w:uiPriority w:val="0"/>
    <w:pPr>
      <w:spacing w:before="150"/>
      <w:jc w:val="left"/>
    </w:pPr>
    <w:rPr>
      <w:b/>
      <w:kern w:val="0"/>
      <w:sz w:val="22"/>
      <w:szCs w:val="22"/>
    </w:rPr>
  </w:style>
  <w:style w:type="character" w:customStyle="1" w:styleId="709">
    <w:name w:val="hover2"/>
    <w:basedOn w:val="79"/>
    <w:qFormat/>
    <w:uiPriority w:val="0"/>
    <w:rPr>
      <w:shd w:val="clear" w:color="auto" w:fill="EEEEEE"/>
    </w:rPr>
  </w:style>
  <w:style w:type="paragraph" w:customStyle="1" w:styleId="710">
    <w:name w:val="自动编号首行缩进2字符"/>
    <w:basedOn w:val="173"/>
    <w:qFormat/>
    <w:uiPriority w:val="0"/>
    <w:pPr>
      <w:numPr>
        <w:ilvl w:val="0"/>
        <w:numId w:val="46"/>
      </w:numPr>
      <w:ind w:firstLine="480"/>
    </w:pPr>
  </w:style>
  <w:style w:type="character" w:customStyle="1" w:styleId="711">
    <w:name w:val="font31"/>
    <w:basedOn w:val="79"/>
    <w:qFormat/>
    <w:uiPriority w:val="0"/>
    <w:rPr>
      <w:rFonts w:hint="eastAsia" w:ascii="仿宋" w:hAnsi="仿宋" w:eastAsia="仿宋" w:cs="仿宋"/>
      <w:color w:val="000000"/>
      <w:sz w:val="20"/>
      <w:szCs w:val="20"/>
      <w:u w:val="none"/>
    </w:rPr>
  </w:style>
  <w:style w:type="character" w:customStyle="1" w:styleId="712">
    <w:name w:val="font41"/>
    <w:basedOn w:val="79"/>
    <w:qFormat/>
    <w:uiPriority w:val="0"/>
    <w:rPr>
      <w:rFonts w:hint="eastAsia" w:ascii="仿宋" w:hAnsi="仿宋" w:eastAsia="仿宋" w:cs="仿宋"/>
      <w:color w:val="000000"/>
      <w:sz w:val="24"/>
      <w:szCs w:val="24"/>
      <w:u w:val="none"/>
    </w:rPr>
  </w:style>
  <w:style w:type="paragraph" w:customStyle="1" w:styleId="713">
    <w:name w:val="修订2"/>
    <w:hidden/>
    <w:semiHidden/>
    <w:qFormat/>
    <w:uiPriority w:val="99"/>
    <w:rPr>
      <w:rFonts w:ascii="Times New Roman" w:hAnsi="Times New Roman" w:eastAsia="宋体" w:cs="Times New Roman"/>
      <w:kern w:val="2"/>
      <w:sz w:val="21"/>
      <w:szCs w:val="21"/>
      <w:lang w:val="en-US" w:eastAsia="zh-CN" w:bidi="ar-SA"/>
    </w:rPr>
  </w:style>
  <w:style w:type="paragraph" w:customStyle="1" w:styleId="714">
    <w:name w:val="_Style 2"/>
    <w:basedOn w:val="3"/>
    <w:next w:val="1"/>
    <w:qFormat/>
    <w:uiPriority w:val="0"/>
    <w:pPr>
      <w:outlineLvl w:val="9"/>
    </w:pPr>
    <w:rPr>
      <w:rFonts w:ascii="Times New Roman" w:hAnsi="Times New Roman" w:eastAsia="宋体" w:cs="Times New Roman"/>
    </w:rPr>
  </w:style>
  <w:style w:type="paragraph" w:customStyle="1" w:styleId="715">
    <w:name w:val="_Style 3"/>
    <w:basedOn w:val="3"/>
    <w:next w:val="1"/>
    <w:qFormat/>
    <w:uiPriority w:val="0"/>
    <w:pPr>
      <w:outlineLvl w:val="9"/>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CB23E9-CB42-4874-A8D1-FD3418D19224}">
  <ds:schemaRefs/>
</ds:datastoreItem>
</file>

<file path=docProps/app.xml><?xml version="1.0" encoding="utf-8"?>
<Properties xmlns="http://schemas.openxmlformats.org/officeDocument/2006/extended-properties" xmlns:vt="http://schemas.openxmlformats.org/officeDocument/2006/docPropsVTypes">
  <Template>Normal.dotm</Template>
  <Pages>79</Pages>
  <Words>35284</Words>
  <Characters>36898</Characters>
  <Lines>1062</Lines>
  <Paragraphs>299</Paragraphs>
  <TotalTime>1</TotalTime>
  <ScaleCrop>false</ScaleCrop>
  <LinksUpToDate>false</LinksUpToDate>
  <CharactersWithSpaces>42650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2019-03-02T23:02:00Z</dcterms:created>
  <dc:creator>杨旸xa1</dc:creator>
  <cp:lastModifiedBy>芳芳</cp:lastModifiedBy>
  <cp:lastPrinted>2021-06-10T01:58:00Z</cp:lastPrinted>
  <dcterms:modified xsi:type="dcterms:W3CDTF">2021-12-31T10:36:57Z</dcterms:modified>
  <dc:title>2011-070</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C0C2D66571FB42C4B83AB6A0FDDE05BF</vt:lpwstr>
  </property>
</Properties>
</file>