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sz w:val="36"/>
          <w:szCs w:val="36"/>
          <w:highlight w:val="yellow"/>
        </w:rPr>
      </w:pPr>
      <w:bookmarkStart w:id="0" w:name="_Toc328739376"/>
      <w:bookmarkStart w:id="1" w:name="_Toc479760678"/>
      <w:bookmarkStart w:id="2" w:name="_Toc490234293"/>
      <w:bookmarkStart w:id="3" w:name="_Toc489869352"/>
      <w:bookmarkStart w:id="4" w:name="_Toc490234237"/>
      <w:bookmarkStart w:id="5" w:name="_Toc490234567"/>
      <w:bookmarkStart w:id="6" w:name="_Toc490234578"/>
      <w:bookmarkStart w:id="7" w:name="_Toc493678860"/>
      <w:bookmarkStart w:id="8" w:name="_Toc490234465"/>
      <w:bookmarkStart w:id="9" w:name="_Toc493257942"/>
      <w:bookmarkStart w:id="10" w:name="_Toc489868880"/>
      <w:bookmarkStart w:id="11" w:name="_Toc489869014"/>
      <w:bookmarkStart w:id="12" w:name="_Toc489870014"/>
      <w:bookmarkStart w:id="13" w:name="_Toc479760806"/>
      <w:bookmarkStart w:id="14" w:name="_Toc489869738"/>
      <w:r>
        <w:rPr>
          <w:rFonts w:ascii="宋体" w:hAnsi="宋体" w:cs="宋体"/>
          <w:b/>
          <w:sz w:val="32"/>
          <w:szCs w:val="32"/>
        </w:rPr>
        <w:t xml:space="preserve"> </w:t>
      </w:r>
      <w:r>
        <w:rPr>
          <w:rFonts w:hint="eastAsia" w:ascii="宋体" w:hAnsi="宋体" w:cs="宋体"/>
          <w:b/>
          <w:sz w:val="36"/>
          <w:szCs w:val="36"/>
        </w:rPr>
        <w:t>项目编号：</w:t>
      </w:r>
      <w:r>
        <w:rPr>
          <w:rFonts w:ascii="宋体" w:hAnsi="宋体" w:cs="宋体"/>
          <w:b/>
          <w:sz w:val="36"/>
          <w:szCs w:val="36"/>
        </w:rPr>
        <w:t>BY/2020-CS-</w:t>
      </w:r>
      <w:r>
        <w:rPr>
          <w:rFonts w:hint="eastAsia" w:ascii="宋体" w:hAnsi="宋体" w:cs="宋体"/>
          <w:b/>
          <w:sz w:val="36"/>
          <w:szCs w:val="36"/>
        </w:rPr>
        <w:t>103</w:t>
      </w:r>
    </w:p>
    <w:p>
      <w:pPr>
        <w:pStyle w:val="4"/>
        <w:rPr>
          <w:rFonts w:hint="eastAsia" w:ascii="宋体" w:cs="宋体"/>
        </w:rPr>
      </w:pPr>
    </w:p>
    <w:p>
      <w:pPr>
        <w:rPr>
          <w:rFonts w:ascii="宋体" w:cs="宋体"/>
        </w:rPr>
      </w:pPr>
    </w:p>
    <w:p>
      <w:pPr>
        <w:pStyle w:val="39"/>
        <w:spacing w:line="360" w:lineRule="auto"/>
        <w:ind w:firstLine="0" w:firstLineChars="0"/>
      </w:pPr>
    </w:p>
    <w:p>
      <w:pPr>
        <w:pStyle w:val="17"/>
        <w:spacing w:line="360" w:lineRule="auto"/>
        <w:jc w:val="center"/>
        <w:rPr>
          <w:rFonts w:ascii="宋体" w:hAnsi="宋体" w:eastAsia="宋体" w:cs="宋体"/>
          <w:color w:val="auto"/>
        </w:rPr>
      </w:pPr>
      <w:r>
        <w:rPr>
          <w:rFonts w:hint="eastAsia" w:ascii="宋体" w:hAnsi="宋体" w:eastAsia="宋体" w:cs="宋体"/>
          <w:b/>
          <w:color w:val="auto"/>
          <w:sz w:val="48"/>
          <w:szCs w:val="48"/>
        </w:rPr>
        <w:t>陕西省交通医院电子病历（三级）升级改造采购项目</w:t>
      </w:r>
    </w:p>
    <w:p>
      <w:pPr>
        <w:jc w:val="center"/>
        <w:rPr>
          <w:rFonts w:ascii="宋体" w:cs="宋体"/>
          <w:b/>
          <w:kern w:val="0"/>
          <w:sz w:val="56"/>
          <w:szCs w:val="56"/>
        </w:rPr>
      </w:pPr>
    </w:p>
    <w:p>
      <w:pPr>
        <w:pStyle w:val="15"/>
      </w:pPr>
    </w:p>
    <w:p/>
    <w:p/>
    <w:p>
      <w:pPr>
        <w:jc w:val="center"/>
        <w:rPr>
          <w:rFonts w:ascii="宋体" w:cs="宋体"/>
          <w:b/>
          <w:kern w:val="0"/>
          <w:sz w:val="52"/>
          <w:szCs w:val="52"/>
        </w:rPr>
      </w:pPr>
      <w:r>
        <w:rPr>
          <w:rFonts w:hint="eastAsia" w:ascii="宋体" w:hAnsi="宋体" w:cs="宋体"/>
          <w:b/>
          <w:kern w:val="0"/>
          <w:sz w:val="52"/>
          <w:szCs w:val="52"/>
        </w:rPr>
        <w:t>竞争性磋商文件</w:t>
      </w:r>
    </w:p>
    <w:p>
      <w:pPr>
        <w:pStyle w:val="15"/>
      </w:pPr>
    </w:p>
    <w:p/>
    <w:p>
      <w:pPr>
        <w:pStyle w:val="17"/>
      </w:pPr>
    </w:p>
    <w:p>
      <w:pPr>
        <w:jc w:val="center"/>
        <w:rPr>
          <w:rFonts w:ascii="宋体" w:cs="宋体"/>
        </w:rPr>
      </w:pPr>
      <w:r>
        <w:rPr>
          <w:rFonts w:ascii="宋体" w:hAnsi="宋体" w:cs="宋体"/>
          <w:bCs/>
          <w:kern w:val="0"/>
          <w:sz w:val="52"/>
          <w:szCs w:val="52"/>
        </w:rPr>
        <w:t xml:space="preserve"> </w:t>
      </w:r>
      <w:r>
        <w:rPr>
          <w:rFonts w:ascii="宋体" w:hAnsi="宋体" w:cs="宋体"/>
          <w:b/>
          <w:kern w:val="0"/>
          <w:sz w:val="52"/>
          <w:szCs w:val="52"/>
        </w:rPr>
        <w:t xml:space="preserve">                         </w:t>
      </w:r>
      <w:r>
        <w:rPr>
          <w:rFonts w:ascii="宋体" w:hAnsi="宋体" w:cs="宋体"/>
        </w:rPr>
        <w:t xml:space="preserve">       </w:t>
      </w:r>
    </w:p>
    <w:p>
      <w:pPr>
        <w:rPr>
          <w:rFonts w:ascii="宋体" w:cs="宋体"/>
        </w:rPr>
      </w:pPr>
    </w:p>
    <w:p>
      <w:pPr>
        <w:pStyle w:val="15"/>
        <w:rPr>
          <w:rFonts w:ascii="宋体" w:cs="宋体"/>
        </w:rPr>
      </w:pPr>
    </w:p>
    <w:p>
      <w:pPr>
        <w:pStyle w:val="15"/>
      </w:pPr>
    </w:p>
    <w:p>
      <w:pPr>
        <w:rPr>
          <w:rFonts w:ascii="宋体" w:cs="宋体"/>
        </w:rPr>
      </w:pPr>
    </w:p>
    <w:p>
      <w:pPr>
        <w:jc w:val="center"/>
        <w:rPr>
          <w:rFonts w:ascii="宋体" w:cs="宋体"/>
          <w:b/>
          <w:kern w:val="0"/>
          <w:sz w:val="36"/>
          <w:szCs w:val="36"/>
        </w:rPr>
      </w:pPr>
      <w:r>
        <w:rPr>
          <w:rFonts w:hint="eastAsia" w:ascii="宋体" w:hAnsi="宋体" w:cs="宋体"/>
          <w:b/>
          <w:kern w:val="0"/>
          <w:sz w:val="36"/>
          <w:szCs w:val="36"/>
        </w:rPr>
        <w:t>陕西博源招标服务有限公司</w:t>
      </w:r>
    </w:p>
    <w:p>
      <w:pPr>
        <w:jc w:val="center"/>
        <w:rPr>
          <w:rFonts w:ascii="宋体" w:cs="宋体"/>
          <w:b/>
          <w:bCs/>
          <w:sz w:val="48"/>
          <w:szCs w:val="52"/>
        </w:rPr>
        <w:sectPr>
          <w:headerReference r:id="rId4" w:type="first"/>
          <w:headerReference r:id="rId3" w:type="default"/>
          <w:footerReference r:id="rId5" w:type="default"/>
          <w:pgSz w:w="11906" w:h="16838"/>
          <w:pgMar w:top="1440" w:right="1797" w:bottom="1440" w:left="1797" w:header="851" w:footer="992" w:gutter="0"/>
          <w:pgNumType w:start="1"/>
          <w:cols w:space="720" w:num="1"/>
          <w:titlePg/>
          <w:docGrid w:linePitch="312" w:charSpace="0"/>
        </w:sectPr>
      </w:pPr>
      <w:r>
        <w:rPr>
          <w:rFonts w:hint="eastAsia" w:ascii="宋体" w:hAnsi="宋体" w:cs="宋体"/>
          <w:b/>
          <w:kern w:val="0"/>
          <w:sz w:val="36"/>
          <w:szCs w:val="36"/>
        </w:rPr>
        <w:t>二零二零年</w:t>
      </w:r>
      <w:r>
        <w:rPr>
          <w:rFonts w:hint="eastAsia" w:ascii="宋体" w:hAnsi="宋体" w:cs="宋体"/>
          <w:b/>
          <w:color w:val="000000"/>
          <w:sz w:val="36"/>
          <w:szCs w:val="36"/>
        </w:rPr>
        <w:t>九</w:t>
      </w:r>
      <w:r>
        <w:rPr>
          <w:rFonts w:hint="eastAsia" w:ascii="宋体" w:hAnsi="宋体" w:cs="宋体"/>
          <w:b/>
          <w:kern w:val="0"/>
          <w:sz w:val="36"/>
          <w:szCs w:val="36"/>
        </w:rPr>
        <w:t>月</w:t>
      </w:r>
    </w:p>
    <w:p>
      <w:pPr>
        <w:jc w:val="center"/>
        <w:rPr>
          <w:rFonts w:ascii="宋体" w:cs="宋体"/>
          <w:b/>
          <w:bCs/>
          <w:sz w:val="40"/>
          <w:lang w:val="zh-CN"/>
        </w:rPr>
      </w:pPr>
      <w:r>
        <w:rPr>
          <w:rFonts w:hint="eastAsia" w:ascii="宋体" w:hAnsi="宋体" w:cs="宋体"/>
          <w:b/>
          <w:bCs/>
          <w:sz w:val="40"/>
          <w:lang w:val="zh-CN"/>
        </w:rPr>
        <w:t>目</w:t>
      </w:r>
      <w:r>
        <w:rPr>
          <w:rFonts w:ascii="宋体" w:hAnsi="宋体" w:cs="宋体"/>
          <w:b/>
          <w:bCs/>
          <w:sz w:val="40"/>
        </w:rPr>
        <w:t xml:space="preserve"> </w:t>
      </w:r>
      <w:r>
        <w:rPr>
          <w:rFonts w:hint="eastAsia" w:ascii="宋体" w:hAnsi="宋体" w:cs="宋体"/>
          <w:b/>
          <w:bCs/>
          <w:sz w:val="40"/>
          <w:lang w:val="zh-CN"/>
        </w:rPr>
        <w:t>录</w:t>
      </w:r>
    </w:p>
    <w:p>
      <w:pPr>
        <w:pStyle w:val="28"/>
        <w:tabs>
          <w:tab w:val="right" w:leader="dot" w:pos="8312"/>
        </w:tabs>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fldChar w:fldCharType="begin"/>
      </w:r>
      <w:r>
        <w:instrText xml:space="preserve"> HYPERLINK \l "_Toc18124" </w:instrText>
      </w:r>
      <w:r>
        <w:fldChar w:fldCharType="separate"/>
      </w:r>
      <w:r>
        <w:rPr>
          <w:rFonts w:hint="eastAsia" w:ascii="宋体" w:hAnsi="宋体" w:cs="宋体"/>
          <w:szCs w:val="30"/>
        </w:rPr>
        <w:t>第一部分 竞争性磋商公告</w:t>
      </w:r>
      <w:r>
        <w:tab/>
      </w:r>
      <w:r>
        <w:fldChar w:fldCharType="begin"/>
      </w:r>
      <w:r>
        <w:instrText xml:space="preserve"> PAGEREF _Toc18124 </w:instrText>
      </w:r>
      <w:r>
        <w:fldChar w:fldCharType="separate"/>
      </w:r>
      <w:r>
        <w:t>1</w:t>
      </w:r>
      <w:r>
        <w:fldChar w:fldCharType="end"/>
      </w:r>
      <w:r>
        <w:fldChar w:fldCharType="end"/>
      </w:r>
    </w:p>
    <w:p>
      <w:pPr>
        <w:pStyle w:val="28"/>
        <w:tabs>
          <w:tab w:val="right" w:leader="dot" w:pos="8312"/>
        </w:tabs>
      </w:pPr>
      <w:r>
        <w:fldChar w:fldCharType="begin"/>
      </w:r>
      <w:r>
        <w:instrText xml:space="preserve"> HYPERLINK \l "_Toc14325" </w:instrText>
      </w:r>
      <w:r>
        <w:fldChar w:fldCharType="separate"/>
      </w:r>
      <w:r>
        <w:rPr>
          <w:rFonts w:hint="eastAsia" w:ascii="宋体" w:hAnsi="宋体" w:cs="宋体"/>
          <w:szCs w:val="30"/>
        </w:rPr>
        <w:t>第二部分</w:t>
      </w:r>
      <w:r>
        <w:rPr>
          <w:rFonts w:ascii="宋体" w:hAnsi="宋体" w:cs="宋体"/>
          <w:szCs w:val="30"/>
        </w:rPr>
        <w:t xml:space="preserve"> </w:t>
      </w:r>
      <w:r>
        <w:rPr>
          <w:rFonts w:hint="eastAsia" w:ascii="宋体" w:hAnsi="宋体" w:cs="宋体"/>
          <w:szCs w:val="30"/>
        </w:rPr>
        <w:t>供应商须知</w:t>
      </w:r>
      <w:r>
        <w:tab/>
      </w:r>
      <w:r>
        <w:fldChar w:fldCharType="begin"/>
      </w:r>
      <w:r>
        <w:instrText xml:space="preserve"> PAGEREF _Toc14325 </w:instrText>
      </w:r>
      <w:r>
        <w:fldChar w:fldCharType="separate"/>
      </w:r>
      <w:r>
        <w:t>4</w:t>
      </w:r>
      <w:r>
        <w:fldChar w:fldCharType="end"/>
      </w:r>
      <w:r>
        <w:fldChar w:fldCharType="end"/>
      </w:r>
    </w:p>
    <w:p>
      <w:pPr>
        <w:pStyle w:val="33"/>
        <w:tabs>
          <w:tab w:val="right" w:leader="dot" w:pos="8312"/>
        </w:tabs>
      </w:pPr>
      <w:r>
        <w:fldChar w:fldCharType="begin"/>
      </w:r>
      <w:r>
        <w:instrText xml:space="preserve"> HYPERLINK \l "_Toc5378" </w:instrText>
      </w:r>
      <w:r>
        <w:fldChar w:fldCharType="separate"/>
      </w:r>
      <w:r>
        <w:rPr>
          <w:rFonts w:hint="eastAsia" w:ascii="宋体" w:hAnsi="宋体" w:cs="宋体"/>
          <w:szCs w:val="30"/>
        </w:rPr>
        <w:t>一．名词解释</w:t>
      </w:r>
      <w:r>
        <w:tab/>
      </w:r>
      <w:r>
        <w:fldChar w:fldCharType="begin"/>
      </w:r>
      <w:r>
        <w:instrText xml:space="preserve"> PAGEREF _Toc5378 </w:instrText>
      </w:r>
      <w:r>
        <w:fldChar w:fldCharType="separate"/>
      </w:r>
      <w:r>
        <w:t>4</w:t>
      </w:r>
      <w:r>
        <w:fldChar w:fldCharType="end"/>
      </w:r>
      <w:r>
        <w:fldChar w:fldCharType="end"/>
      </w:r>
    </w:p>
    <w:p>
      <w:pPr>
        <w:pStyle w:val="33"/>
        <w:tabs>
          <w:tab w:val="right" w:leader="dot" w:pos="8312"/>
        </w:tabs>
      </w:pPr>
      <w:r>
        <w:fldChar w:fldCharType="begin"/>
      </w:r>
      <w:r>
        <w:instrText xml:space="preserve"> HYPERLINK \l "_Toc19186" </w:instrText>
      </w:r>
      <w:r>
        <w:fldChar w:fldCharType="separate"/>
      </w:r>
      <w:r>
        <w:rPr>
          <w:rFonts w:hint="eastAsia" w:ascii="宋体" w:hAnsi="宋体" w:cs="宋体"/>
          <w:szCs w:val="30"/>
        </w:rPr>
        <w:t>二．供应商</w:t>
      </w:r>
      <w:r>
        <w:tab/>
      </w:r>
      <w:r>
        <w:fldChar w:fldCharType="begin"/>
      </w:r>
      <w:r>
        <w:instrText xml:space="preserve"> PAGEREF _Toc19186 </w:instrText>
      </w:r>
      <w:r>
        <w:fldChar w:fldCharType="separate"/>
      </w:r>
      <w:r>
        <w:t>4</w:t>
      </w:r>
      <w:r>
        <w:fldChar w:fldCharType="end"/>
      </w:r>
      <w:r>
        <w:fldChar w:fldCharType="end"/>
      </w:r>
    </w:p>
    <w:p>
      <w:pPr>
        <w:pStyle w:val="33"/>
        <w:tabs>
          <w:tab w:val="right" w:leader="dot" w:pos="8312"/>
        </w:tabs>
      </w:pPr>
      <w:r>
        <w:fldChar w:fldCharType="begin"/>
      </w:r>
      <w:r>
        <w:instrText xml:space="preserve"> HYPERLINK \l "_Toc26058" </w:instrText>
      </w:r>
      <w:r>
        <w:fldChar w:fldCharType="separate"/>
      </w:r>
      <w:r>
        <w:rPr>
          <w:rFonts w:hint="eastAsia" w:ascii="宋体" w:hAnsi="宋体" w:cs="宋体"/>
          <w:szCs w:val="30"/>
        </w:rPr>
        <w:t>三．磋商文件</w:t>
      </w:r>
      <w:r>
        <w:tab/>
      </w:r>
      <w:r>
        <w:fldChar w:fldCharType="begin"/>
      </w:r>
      <w:r>
        <w:instrText xml:space="preserve"> PAGEREF _Toc26058 </w:instrText>
      </w:r>
      <w:r>
        <w:fldChar w:fldCharType="separate"/>
      </w:r>
      <w:r>
        <w:t>4</w:t>
      </w:r>
      <w:r>
        <w:fldChar w:fldCharType="end"/>
      </w:r>
      <w:r>
        <w:fldChar w:fldCharType="end"/>
      </w:r>
    </w:p>
    <w:p>
      <w:pPr>
        <w:pStyle w:val="33"/>
        <w:tabs>
          <w:tab w:val="right" w:leader="dot" w:pos="8312"/>
        </w:tabs>
      </w:pPr>
      <w:r>
        <w:fldChar w:fldCharType="begin"/>
      </w:r>
      <w:r>
        <w:instrText xml:space="preserve"> HYPERLINK \l "_Toc13178" </w:instrText>
      </w:r>
      <w:r>
        <w:fldChar w:fldCharType="separate"/>
      </w:r>
      <w:r>
        <w:rPr>
          <w:rFonts w:hint="eastAsia" w:ascii="宋体" w:hAnsi="宋体" w:cs="宋体"/>
          <w:szCs w:val="30"/>
        </w:rPr>
        <w:t>四．磋商要求</w:t>
      </w:r>
      <w:r>
        <w:tab/>
      </w:r>
      <w:r>
        <w:fldChar w:fldCharType="begin"/>
      </w:r>
      <w:r>
        <w:instrText xml:space="preserve"> PAGEREF _Toc13178 </w:instrText>
      </w:r>
      <w:r>
        <w:fldChar w:fldCharType="separate"/>
      </w:r>
      <w:r>
        <w:t>5</w:t>
      </w:r>
      <w:r>
        <w:fldChar w:fldCharType="end"/>
      </w:r>
      <w:r>
        <w:fldChar w:fldCharType="end"/>
      </w:r>
    </w:p>
    <w:p>
      <w:pPr>
        <w:pStyle w:val="33"/>
        <w:tabs>
          <w:tab w:val="right" w:leader="dot" w:pos="8312"/>
        </w:tabs>
      </w:pPr>
      <w:r>
        <w:fldChar w:fldCharType="begin"/>
      </w:r>
      <w:r>
        <w:instrText xml:space="preserve"> HYPERLINK \l "_Toc13100" </w:instrText>
      </w:r>
      <w:r>
        <w:fldChar w:fldCharType="separate"/>
      </w:r>
      <w:r>
        <w:rPr>
          <w:rFonts w:hint="eastAsia" w:ascii="宋体" w:hAnsi="宋体" w:cs="宋体"/>
          <w:szCs w:val="30"/>
        </w:rPr>
        <w:t>五．响应文件封装、递交</w:t>
      </w:r>
      <w:r>
        <w:tab/>
      </w:r>
      <w:r>
        <w:fldChar w:fldCharType="begin"/>
      </w:r>
      <w:r>
        <w:instrText xml:space="preserve"> PAGEREF _Toc13100 </w:instrText>
      </w:r>
      <w:r>
        <w:fldChar w:fldCharType="separate"/>
      </w:r>
      <w:r>
        <w:t>10</w:t>
      </w:r>
      <w:r>
        <w:fldChar w:fldCharType="end"/>
      </w:r>
      <w:r>
        <w:fldChar w:fldCharType="end"/>
      </w:r>
    </w:p>
    <w:p>
      <w:pPr>
        <w:pStyle w:val="33"/>
        <w:tabs>
          <w:tab w:val="right" w:leader="dot" w:pos="8312"/>
        </w:tabs>
      </w:pPr>
      <w:r>
        <w:fldChar w:fldCharType="begin"/>
      </w:r>
      <w:r>
        <w:instrText xml:space="preserve"> HYPERLINK \l "_Toc28546" </w:instrText>
      </w:r>
      <w:r>
        <w:fldChar w:fldCharType="separate"/>
      </w:r>
      <w:r>
        <w:rPr>
          <w:rFonts w:hint="eastAsia" w:ascii="宋体" w:hAnsi="宋体" w:cs="宋体"/>
          <w:szCs w:val="30"/>
        </w:rPr>
        <w:t>六．磋商、澄清、成交</w:t>
      </w:r>
      <w:r>
        <w:tab/>
      </w:r>
      <w:r>
        <w:fldChar w:fldCharType="begin"/>
      </w:r>
      <w:r>
        <w:instrText xml:space="preserve"> PAGEREF _Toc28546 </w:instrText>
      </w:r>
      <w:r>
        <w:fldChar w:fldCharType="separate"/>
      </w:r>
      <w:r>
        <w:t>11</w:t>
      </w:r>
      <w:r>
        <w:fldChar w:fldCharType="end"/>
      </w:r>
      <w:r>
        <w:fldChar w:fldCharType="end"/>
      </w:r>
    </w:p>
    <w:p>
      <w:pPr>
        <w:pStyle w:val="33"/>
        <w:tabs>
          <w:tab w:val="right" w:leader="dot" w:pos="8312"/>
        </w:tabs>
      </w:pPr>
      <w:r>
        <w:fldChar w:fldCharType="begin"/>
      </w:r>
      <w:r>
        <w:instrText xml:space="preserve"> HYPERLINK \l "_Toc26414" </w:instrText>
      </w:r>
      <w:r>
        <w:fldChar w:fldCharType="separate"/>
      </w:r>
      <w:r>
        <w:rPr>
          <w:rFonts w:hint="eastAsia" w:ascii="宋体" w:hAnsi="宋体" w:cs="宋体"/>
        </w:rPr>
        <w:t>七．授予合同</w:t>
      </w:r>
      <w:r>
        <w:tab/>
      </w:r>
      <w:r>
        <w:fldChar w:fldCharType="begin"/>
      </w:r>
      <w:r>
        <w:instrText xml:space="preserve"> PAGEREF _Toc26414 </w:instrText>
      </w:r>
      <w:r>
        <w:fldChar w:fldCharType="separate"/>
      </w:r>
      <w:r>
        <w:t>19</w:t>
      </w:r>
      <w:r>
        <w:fldChar w:fldCharType="end"/>
      </w:r>
      <w:r>
        <w:fldChar w:fldCharType="end"/>
      </w:r>
    </w:p>
    <w:p>
      <w:pPr>
        <w:pStyle w:val="33"/>
        <w:tabs>
          <w:tab w:val="right" w:leader="dot" w:pos="8312"/>
        </w:tabs>
      </w:pPr>
      <w:r>
        <w:fldChar w:fldCharType="begin"/>
      </w:r>
      <w:r>
        <w:instrText xml:space="preserve"> HYPERLINK \l "_Toc7502" </w:instrText>
      </w:r>
      <w:r>
        <w:fldChar w:fldCharType="separate"/>
      </w:r>
      <w:r>
        <w:rPr>
          <w:rFonts w:hint="eastAsia" w:ascii="宋体" w:hAnsi="宋体" w:cs="宋体"/>
        </w:rPr>
        <w:t>八．其他</w:t>
      </w:r>
      <w:r>
        <w:tab/>
      </w:r>
      <w:r>
        <w:fldChar w:fldCharType="begin"/>
      </w:r>
      <w:r>
        <w:instrText xml:space="preserve"> PAGEREF _Toc7502 </w:instrText>
      </w:r>
      <w:r>
        <w:fldChar w:fldCharType="separate"/>
      </w:r>
      <w:r>
        <w:t>20</w:t>
      </w:r>
      <w:r>
        <w:fldChar w:fldCharType="end"/>
      </w:r>
      <w:r>
        <w:fldChar w:fldCharType="end"/>
      </w:r>
    </w:p>
    <w:p>
      <w:pPr>
        <w:pStyle w:val="28"/>
        <w:tabs>
          <w:tab w:val="right" w:leader="dot" w:pos="8312"/>
        </w:tabs>
      </w:pPr>
      <w:r>
        <w:fldChar w:fldCharType="begin"/>
      </w:r>
      <w:r>
        <w:instrText xml:space="preserve"> HYPERLINK \l "_Toc31223" </w:instrText>
      </w:r>
      <w:r>
        <w:fldChar w:fldCharType="separate"/>
      </w:r>
      <w:r>
        <w:rPr>
          <w:rFonts w:hint="eastAsia" w:ascii="宋体" w:hAnsi="宋体" w:cs="宋体"/>
        </w:rPr>
        <w:t>第三部分</w:t>
      </w:r>
      <w:r>
        <w:rPr>
          <w:rFonts w:ascii="宋体" w:hAnsi="宋体" w:cs="宋体"/>
        </w:rPr>
        <w:t xml:space="preserve"> </w:t>
      </w:r>
      <w:r>
        <w:rPr>
          <w:rFonts w:hint="eastAsia" w:ascii="宋体" w:hAnsi="宋体" w:cs="宋体"/>
        </w:rPr>
        <w:t>技术要求及商务要求</w:t>
      </w:r>
      <w:r>
        <w:tab/>
      </w:r>
      <w:r>
        <w:fldChar w:fldCharType="begin"/>
      </w:r>
      <w:r>
        <w:instrText xml:space="preserve"> PAGEREF _Toc31223 </w:instrText>
      </w:r>
      <w:r>
        <w:fldChar w:fldCharType="separate"/>
      </w:r>
      <w:r>
        <w:t>21</w:t>
      </w:r>
      <w:r>
        <w:fldChar w:fldCharType="end"/>
      </w:r>
      <w:r>
        <w:fldChar w:fldCharType="end"/>
      </w:r>
    </w:p>
    <w:p>
      <w:pPr>
        <w:pStyle w:val="33"/>
        <w:tabs>
          <w:tab w:val="right" w:leader="dot" w:pos="8312"/>
        </w:tabs>
      </w:pPr>
      <w:r>
        <w:fldChar w:fldCharType="begin"/>
      </w:r>
      <w:r>
        <w:instrText xml:space="preserve"> HYPERLINK \l "_Toc9109" </w:instrText>
      </w:r>
      <w:r>
        <w:fldChar w:fldCharType="separate"/>
      </w:r>
      <w:r>
        <w:rPr>
          <w:rFonts w:hint="eastAsia" w:ascii="宋体" w:hAnsi="宋体" w:cs="宋体"/>
        </w:rPr>
        <w:t>一．技术要求</w:t>
      </w:r>
      <w:r>
        <w:tab/>
      </w:r>
      <w:r>
        <w:fldChar w:fldCharType="begin"/>
      </w:r>
      <w:r>
        <w:instrText xml:space="preserve"> PAGEREF _Toc9109 </w:instrText>
      </w:r>
      <w:r>
        <w:fldChar w:fldCharType="separate"/>
      </w:r>
      <w:r>
        <w:t>21</w:t>
      </w:r>
      <w:r>
        <w:fldChar w:fldCharType="end"/>
      </w:r>
      <w:r>
        <w:fldChar w:fldCharType="end"/>
      </w:r>
    </w:p>
    <w:p>
      <w:pPr>
        <w:pStyle w:val="33"/>
        <w:tabs>
          <w:tab w:val="right" w:leader="dot" w:pos="8312"/>
        </w:tabs>
      </w:pPr>
      <w:r>
        <w:fldChar w:fldCharType="begin"/>
      </w:r>
      <w:r>
        <w:instrText xml:space="preserve"> HYPERLINK \l "_Toc12935" </w:instrText>
      </w:r>
      <w:r>
        <w:fldChar w:fldCharType="separate"/>
      </w:r>
      <w:r>
        <w:rPr>
          <w:rFonts w:hint="eastAsia" w:ascii="宋体" w:hAnsi="宋体" w:cs="宋体"/>
        </w:rPr>
        <w:t>二．商务要求</w:t>
      </w:r>
      <w:r>
        <w:tab/>
      </w:r>
      <w:r>
        <w:fldChar w:fldCharType="begin"/>
      </w:r>
      <w:r>
        <w:instrText xml:space="preserve"> PAGEREF _Toc12935 </w:instrText>
      </w:r>
      <w:r>
        <w:fldChar w:fldCharType="separate"/>
      </w:r>
      <w:r>
        <w:t>51</w:t>
      </w:r>
      <w:r>
        <w:fldChar w:fldCharType="end"/>
      </w:r>
      <w:r>
        <w:fldChar w:fldCharType="end"/>
      </w:r>
    </w:p>
    <w:p>
      <w:pPr>
        <w:pStyle w:val="28"/>
        <w:tabs>
          <w:tab w:val="right" w:leader="dot" w:pos="8312"/>
        </w:tabs>
      </w:pPr>
      <w:r>
        <w:fldChar w:fldCharType="begin"/>
      </w:r>
      <w:r>
        <w:instrText xml:space="preserve"> HYPERLINK \l "_Toc12299" </w:instrText>
      </w:r>
      <w:r>
        <w:fldChar w:fldCharType="separate"/>
      </w:r>
      <w:r>
        <w:rPr>
          <w:rFonts w:hint="eastAsia" w:ascii="宋体" w:cs="Times New Roman"/>
          <w:szCs w:val="30"/>
        </w:rPr>
        <w:t xml:space="preserve">第四部分 </w:t>
      </w:r>
      <w:r>
        <w:rPr>
          <w:rFonts w:hint="eastAsia" w:ascii="宋体" w:hAnsi="宋体" w:cs="宋体"/>
          <w:szCs w:val="30"/>
        </w:rPr>
        <w:t>拟签订合同</w:t>
      </w:r>
      <w:r>
        <w:tab/>
      </w:r>
      <w:r>
        <w:fldChar w:fldCharType="begin"/>
      </w:r>
      <w:r>
        <w:instrText xml:space="preserve"> PAGEREF _Toc12299 </w:instrText>
      </w:r>
      <w:r>
        <w:fldChar w:fldCharType="separate"/>
      </w:r>
      <w:r>
        <w:t>52</w:t>
      </w:r>
      <w:r>
        <w:fldChar w:fldCharType="end"/>
      </w:r>
      <w:r>
        <w:fldChar w:fldCharType="end"/>
      </w:r>
    </w:p>
    <w:p>
      <w:pPr>
        <w:pStyle w:val="28"/>
        <w:tabs>
          <w:tab w:val="right" w:leader="dot" w:pos="8312"/>
        </w:tabs>
      </w:pPr>
      <w:r>
        <w:fldChar w:fldCharType="begin"/>
      </w:r>
      <w:r>
        <w:instrText xml:space="preserve"> HYPERLINK \l "_Toc17944" </w:instrText>
      </w:r>
      <w:r>
        <w:fldChar w:fldCharType="separate"/>
      </w:r>
      <w:r>
        <w:rPr>
          <w:rFonts w:hint="eastAsia" w:ascii="宋体" w:hAnsi="宋体" w:cs="宋体"/>
          <w:szCs w:val="30"/>
        </w:rPr>
        <w:t>第五部分</w:t>
      </w:r>
      <w:r>
        <w:rPr>
          <w:rFonts w:ascii="宋体" w:hAnsi="宋体" w:cs="宋体"/>
          <w:szCs w:val="30"/>
        </w:rPr>
        <w:t xml:space="preserve"> </w:t>
      </w:r>
      <w:r>
        <w:rPr>
          <w:rFonts w:hint="eastAsia" w:ascii="宋体" w:hAnsi="宋体" w:cs="宋体"/>
          <w:szCs w:val="30"/>
        </w:rPr>
        <w:t>拟签订合同通用条款</w:t>
      </w:r>
      <w:r>
        <w:tab/>
      </w:r>
      <w:r>
        <w:fldChar w:fldCharType="begin"/>
      </w:r>
      <w:r>
        <w:instrText xml:space="preserve"> PAGEREF _Toc17944 </w:instrText>
      </w:r>
      <w:r>
        <w:fldChar w:fldCharType="separate"/>
      </w:r>
      <w:r>
        <w:t>54</w:t>
      </w:r>
      <w:r>
        <w:fldChar w:fldCharType="end"/>
      </w:r>
      <w:r>
        <w:fldChar w:fldCharType="end"/>
      </w:r>
    </w:p>
    <w:p>
      <w:pPr>
        <w:pStyle w:val="28"/>
        <w:tabs>
          <w:tab w:val="right" w:leader="dot" w:pos="8312"/>
        </w:tabs>
      </w:pPr>
      <w:r>
        <w:fldChar w:fldCharType="begin"/>
      </w:r>
      <w:r>
        <w:instrText xml:space="preserve"> HYPERLINK \l "_Toc28173" </w:instrText>
      </w:r>
      <w:r>
        <w:fldChar w:fldCharType="separate"/>
      </w:r>
      <w:r>
        <w:rPr>
          <w:rFonts w:hint="eastAsia" w:ascii="宋体" w:hAnsi="宋体" w:cs="宋体"/>
          <w:szCs w:val="30"/>
        </w:rPr>
        <w:t>第六部分</w:t>
      </w:r>
      <w:r>
        <w:rPr>
          <w:rFonts w:ascii="宋体" w:hAnsi="宋体" w:cs="宋体"/>
          <w:szCs w:val="30"/>
        </w:rPr>
        <w:t xml:space="preserve"> </w:t>
      </w:r>
      <w:r>
        <w:rPr>
          <w:rFonts w:hint="eastAsia" w:ascii="宋体" w:hAnsi="宋体" w:cs="宋体"/>
          <w:szCs w:val="30"/>
        </w:rPr>
        <w:t>响应文件格式</w:t>
      </w:r>
      <w:r>
        <w:tab/>
      </w:r>
      <w:r>
        <w:fldChar w:fldCharType="begin"/>
      </w:r>
      <w:r>
        <w:instrText xml:space="preserve"> PAGEREF _Toc28173 </w:instrText>
      </w:r>
      <w:r>
        <w:fldChar w:fldCharType="separate"/>
      </w:r>
      <w:r>
        <w:t>59</w:t>
      </w:r>
      <w:r>
        <w:fldChar w:fldCharType="end"/>
      </w:r>
      <w:r>
        <w:fldChar w:fldCharType="end"/>
      </w:r>
    </w:p>
    <w:p>
      <w:pPr>
        <w:pStyle w:val="28"/>
        <w:tabs>
          <w:tab w:val="right" w:leader="dot" w:pos="8302"/>
        </w:tabs>
        <w:spacing w:line="480" w:lineRule="auto"/>
        <w:rPr>
          <w:rFonts w:ascii="宋体" w:cs="宋体"/>
          <w:b/>
          <w:bCs/>
          <w:lang w:val="zh-CN"/>
        </w:rPr>
      </w:pPr>
      <w:r>
        <w:rPr>
          <w:rFonts w:hint="eastAsia" w:ascii="宋体" w:hAnsi="宋体" w:cs="宋体"/>
        </w:rPr>
        <w:fldChar w:fldCharType="end"/>
      </w:r>
    </w:p>
    <w:p>
      <w:pPr>
        <w:tabs>
          <w:tab w:val="left" w:pos="5537"/>
        </w:tabs>
        <w:rPr>
          <w:rFonts w:ascii="宋体" w:cs="宋体"/>
          <w:lang w:val="zh-CN"/>
        </w:rPr>
      </w:pPr>
      <w:r>
        <w:rPr>
          <w:rFonts w:hint="eastAsia" w:ascii="宋体" w:cs="宋体"/>
          <w:lang w:val="zh-CN"/>
        </w:rPr>
        <w:tab/>
      </w:r>
    </w:p>
    <w:p>
      <w:pPr>
        <w:rPr>
          <w:rFonts w:ascii="宋体" w:cs="宋体"/>
          <w:lang w:val="zh-CN"/>
        </w:rPr>
      </w:pPr>
    </w:p>
    <w:p>
      <w:pPr>
        <w:tabs>
          <w:tab w:val="left" w:pos="3585"/>
        </w:tabs>
        <w:rPr>
          <w:rFonts w:ascii="宋体" w:cs="宋体"/>
          <w:lang w:val="zh-CN"/>
        </w:rPr>
      </w:pPr>
      <w:r>
        <w:rPr>
          <w:rFonts w:ascii="宋体" w:cs="宋体"/>
          <w:lang w:val="zh-CN"/>
        </w:rPr>
        <w:tab/>
      </w:r>
    </w:p>
    <w:p>
      <w:pPr>
        <w:rPr>
          <w:rFonts w:ascii="宋体" w:cs="宋体"/>
          <w:lang w:val="zh-CN"/>
        </w:rPr>
      </w:pPr>
    </w:p>
    <w:p>
      <w:pPr>
        <w:rPr>
          <w:rFonts w:ascii="宋体" w:cs="宋体"/>
          <w:lang w:val="zh-CN"/>
        </w:rPr>
        <w:sectPr>
          <w:headerReference r:id="rId6" w:type="default"/>
          <w:footerReference r:id="rId7" w:type="default"/>
          <w:footerReference r:id="rId8" w:type="even"/>
          <w:pgSz w:w="11906" w:h="16838"/>
          <w:pgMar w:top="1440" w:right="1797" w:bottom="1440" w:left="1797" w:header="851" w:footer="992" w:gutter="0"/>
          <w:cols w:space="720" w:num="1"/>
          <w:titlePg/>
          <w:docGrid w:linePitch="312" w:charSpace="0"/>
        </w:sectPr>
      </w:pPr>
    </w:p>
    <w:bookmarkEnd w:id="0"/>
    <w:p>
      <w:pPr>
        <w:numPr>
          <w:ilvl w:val="0"/>
          <w:numId w:val="1"/>
        </w:numPr>
        <w:tabs>
          <w:tab w:val="left" w:pos="3544"/>
        </w:tabs>
        <w:spacing w:line="360" w:lineRule="auto"/>
        <w:jc w:val="center"/>
        <w:outlineLvl w:val="0"/>
        <w:rPr>
          <w:rFonts w:ascii="宋体" w:hAnsi="宋体" w:cs="宋体"/>
          <w:b/>
          <w:sz w:val="30"/>
          <w:szCs w:val="30"/>
        </w:rPr>
      </w:pPr>
      <w:bookmarkStart w:id="15" w:name="_Toc18124"/>
      <w:r>
        <w:rPr>
          <w:rFonts w:hint="eastAsia" w:ascii="宋体" w:hAnsi="宋体" w:cs="宋体"/>
          <w:b/>
          <w:sz w:val="30"/>
          <w:szCs w:val="30"/>
        </w:rPr>
        <w:t>竞争性磋商公告</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spacing w:line="360" w:lineRule="auto"/>
        <w:ind w:right="-199" w:rightChars="-95"/>
        <w:jc w:val="center"/>
        <w:rPr>
          <w:rFonts w:ascii="宋体" w:hAnsi="宋体" w:cs="宋体"/>
          <w:b/>
          <w:bCs/>
          <w:sz w:val="24"/>
        </w:rPr>
      </w:pPr>
      <w:r>
        <w:rPr>
          <w:rFonts w:hint="eastAsia" w:ascii="宋体" w:hAnsi="宋体" w:cs="宋体"/>
          <w:b/>
          <w:bCs/>
          <w:sz w:val="24"/>
        </w:rPr>
        <w:t>陕西省交通医院电子病历（三级）升级改造采购项目</w:t>
      </w:r>
    </w:p>
    <w:p>
      <w:pPr>
        <w:pStyle w:val="17"/>
        <w:spacing w:line="360" w:lineRule="auto"/>
        <w:jc w:val="center"/>
        <w:rPr>
          <w:rFonts w:ascii="宋体" w:hAnsi="宋体" w:eastAsia="宋体" w:cs="宋体"/>
          <w:b/>
          <w:bCs/>
          <w:color w:val="auto"/>
        </w:rPr>
      </w:pPr>
      <w:r>
        <w:rPr>
          <w:rFonts w:hint="eastAsia" w:ascii="宋体" w:hAnsi="宋体" w:eastAsia="宋体" w:cs="宋体"/>
          <w:b/>
          <w:bCs/>
          <w:color w:val="auto"/>
        </w:rPr>
        <w:t>竞争性磋商公告</w:t>
      </w:r>
    </w:p>
    <w:p>
      <w:pPr>
        <w:widowControl/>
        <w:shd w:val="clear" w:color="auto" w:fill="FFFFFF"/>
        <w:spacing w:before="150" w:line="360" w:lineRule="auto"/>
        <w:jc w:val="left"/>
        <w:rPr>
          <w:rFonts w:ascii="微软雅黑" w:hAnsi="微软雅黑" w:eastAsia="微软雅黑" w:cs="微软雅黑"/>
          <w:b/>
          <w:color w:val="333333"/>
          <w:sz w:val="22"/>
          <w:szCs w:val="22"/>
        </w:rPr>
      </w:pPr>
      <w:r>
        <w:rPr>
          <w:rFonts w:hint="eastAsia" w:ascii="宋体" w:hAnsi="宋体" w:cs="宋体"/>
          <w:b/>
          <w:bCs/>
          <w:color w:val="333333"/>
          <w:kern w:val="0"/>
          <w:sz w:val="24"/>
        </w:rPr>
        <w:t xml:space="preserve">   </w:t>
      </w:r>
      <w:r>
        <w:rPr>
          <w:rFonts w:hint="eastAsia" w:ascii="微软雅黑" w:hAnsi="微软雅黑" w:eastAsia="微软雅黑" w:cs="微软雅黑"/>
          <w:b/>
          <w:color w:val="333333"/>
          <w:sz w:val="22"/>
          <w:szCs w:val="22"/>
          <w:shd w:val="clear" w:color="auto" w:fill="FFFFFF"/>
        </w:rPr>
        <w:t>陕西省交通医院电子病历（三级）升级改造采购项目采购项目潜在的供应商可在西安市碑林区环城南路西段45号时代诺利达B区6楼获取采购文件，并于2020-10-</w:t>
      </w:r>
      <w:r>
        <w:rPr>
          <w:rFonts w:hint="eastAsia" w:ascii="微软雅黑" w:hAnsi="微软雅黑" w:eastAsia="微软雅黑" w:cs="微软雅黑"/>
          <w:b/>
          <w:color w:val="333333"/>
          <w:sz w:val="22"/>
          <w:szCs w:val="22"/>
          <w:shd w:val="clear" w:color="auto" w:fill="FFFFFF"/>
          <w:lang w:val="en-US" w:eastAsia="zh-CN"/>
        </w:rPr>
        <w:t>23</w:t>
      </w:r>
      <w:r>
        <w:rPr>
          <w:rFonts w:hint="eastAsia" w:ascii="微软雅黑" w:hAnsi="微软雅黑" w:eastAsia="微软雅黑" w:cs="微软雅黑"/>
          <w:b/>
          <w:color w:val="333333"/>
          <w:sz w:val="22"/>
          <w:szCs w:val="22"/>
          <w:shd w:val="clear" w:color="auto" w:fill="FFFFFF"/>
        </w:rPr>
        <w:t xml:space="preserve"> </w:t>
      </w:r>
      <w:r>
        <w:rPr>
          <w:rFonts w:hint="eastAsia" w:ascii="微软雅黑" w:hAnsi="微软雅黑" w:eastAsia="微软雅黑" w:cs="微软雅黑"/>
          <w:b/>
          <w:color w:val="333333"/>
          <w:sz w:val="22"/>
          <w:szCs w:val="22"/>
          <w:shd w:val="clear" w:color="auto" w:fill="FFFFFF"/>
          <w:lang w:val="en-US" w:eastAsia="zh-CN"/>
        </w:rPr>
        <w:t>14</w:t>
      </w:r>
      <w:r>
        <w:rPr>
          <w:rFonts w:hint="eastAsia" w:ascii="微软雅黑" w:hAnsi="微软雅黑" w:eastAsia="微软雅黑" w:cs="微软雅黑"/>
          <w:b/>
          <w:color w:val="333333"/>
          <w:sz w:val="22"/>
          <w:szCs w:val="22"/>
          <w:shd w:val="clear" w:color="auto" w:fill="FFFFFF"/>
        </w:rPr>
        <w:t>:30:00前递交响应文件。</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一、项目基本情况：</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1、项目编号：BY/2020-CS-103</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2、项目名称：陕西省交通医院电子病历（三级）升级改造采购项目</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3、预算金额：1,760,000.00元</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4、最高限价： 无</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5、采购需求： 陕西省交通医院电子病历（三级）升级改造采购项目，1批， 采购预算： 1,760,000.00元， 项目概况： 陕西省交通医院电子病历（三级）升级改造， 简要技术要求、用途： 医用</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6、合同履行期限：2020-10-15 00:00:00 至 2020-12-14 00:00:00（具体服务起止日期可随合同签订时间相应顺延）</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7、本项目是否接受联合体投标：否</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二、 响应供应商的资格要求</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1、满足《中华人民共和国政府采购法》第二十二条规定</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2、落实政府采购政策需满足的资格要求：本项目执行政府强制、优先采购节能产品，优先采购环境标志产品，扶持福利企业，支持中小微企业，支持监狱和戒毒企业、残疾人企业、扶持不发达地区和少数民族地区等相关政策。详见采购文件。</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3、本项目的特定资格要求：（一）基本资格条件：符合《中华人民共和国政府采购法》第二十二条规定 1）具有独立承担民事责任的法人、其他组织或自然人，提供有效的营业执照等相应证明文件，非法人单位参照执行； 2）财务状况报告：提供2019年度的财务审计报告或开户银行出具的资信证明； 3）税收缴纳证明：提供2019年9月至磋商前至少一个月的纳税凭证或完税证明，依法免税的应提供相关证明材料； 4）社保缴纳证明：提供2019年9月至磋商前至少一个月的社保缴纳证明； 5）提供具有履行本合同所必需的设备和专业技术能力的说明或承诺加盖公章； 6）书面声明：参加本次政府采购活动前三年内在经营活动中没有重大违法记录书面声明；（二）特定资格条件 1）供应商应授权合法的人员参加磋商全过程；提供法定代表人授权书及被授权人身份证（法定代表人直接参加磋商的须提供其法人身份证），非法人单位参照执行； 2）提供“信用中国”及“中国政府采购网”网站关于相关主体信用记录查询截图并加盖公章或信用良好声明加盖公章。3）提供电子病历系统软件著作权登记证书；注：本项目不接受联合体磋商。</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三、 采购文件的获取方式</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时间：即日起至2020-10-16 17:00:00 止</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地点：西安市碑林区环城南路西段45号时代诺利达B区6楼</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方式：现场购买/邮寄</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售价： 每套500元（人民币），售后不退</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Style w:val="43"/>
          <w:rFonts w:hint="eastAsia" w:ascii="微软雅黑" w:hAnsi="微软雅黑" w:eastAsia="微软雅黑" w:cs="微软雅黑"/>
          <w:color w:val="333333"/>
          <w:sz w:val="21"/>
          <w:szCs w:val="21"/>
          <w:shd w:val="clear" w:color="auto" w:fill="FFFFFF"/>
        </w:rPr>
        <w:t>注：上午：9：00-12：00 下午：14：00-17：00（双休及法定节假日除外）；购买磋商文件请携带有效期内的单位介绍信原件、购标人身份证原件及身份证复印件加盖公章；供应商按照《陕西省财政厅关于政府采购投标人注册登记有关事项的通知》中的要求，通过陕西省政府采购网（http://www.ccgp-shaanxi.gov.cn/）注册登记加入陕西省政府采购供应商库。</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四、 响应文件递交</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截止时间： 2020-10-</w:t>
      </w:r>
      <w:r>
        <w:rPr>
          <w:rFonts w:hint="eastAsia" w:ascii="微软雅黑" w:hAnsi="微软雅黑" w:eastAsia="微软雅黑" w:cs="微软雅黑"/>
          <w:color w:val="333333"/>
          <w:sz w:val="21"/>
          <w:szCs w:val="21"/>
          <w:shd w:val="clear" w:color="auto" w:fill="FFFFFF"/>
          <w:lang w:val="en-US" w:eastAsia="zh-CN"/>
        </w:rPr>
        <w:t xml:space="preserve">23  </w:t>
      </w:r>
      <w:r>
        <w:rPr>
          <w:rFonts w:hint="eastAsia" w:ascii="微软雅黑" w:hAnsi="微软雅黑" w:eastAsia="微软雅黑" w:cs="微软雅黑"/>
          <w:color w:val="333333"/>
          <w:sz w:val="21"/>
          <w:szCs w:val="21"/>
          <w:shd w:val="clear" w:color="auto" w:fill="FFFFFF"/>
        </w:rPr>
        <w:t xml:space="preserve"> </w:t>
      </w:r>
      <w:r>
        <w:rPr>
          <w:rFonts w:hint="eastAsia" w:ascii="微软雅黑" w:hAnsi="微软雅黑" w:eastAsia="微软雅黑" w:cs="微软雅黑"/>
          <w:color w:val="333333"/>
          <w:sz w:val="21"/>
          <w:szCs w:val="21"/>
          <w:shd w:val="clear" w:color="auto" w:fill="FFFFFF"/>
          <w:lang w:val="en-US" w:eastAsia="zh-CN"/>
        </w:rPr>
        <w:t>14</w:t>
      </w:r>
      <w:r>
        <w:rPr>
          <w:rFonts w:hint="eastAsia" w:ascii="微软雅黑" w:hAnsi="微软雅黑" w:eastAsia="微软雅黑" w:cs="微软雅黑"/>
          <w:color w:val="333333"/>
          <w:sz w:val="21"/>
          <w:szCs w:val="21"/>
          <w:shd w:val="clear" w:color="auto" w:fill="FFFFFF"/>
        </w:rPr>
        <w:t>:30:00</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地点：西安市碑林区环城南路西段45号时代诺利达B区6楼会议室</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五、公告期限</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自本公告发布之日起3个工作日。</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六、其他补充事宜</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w:t>
      </w:r>
    </w:p>
    <w:p>
      <w:pPr>
        <w:pStyle w:val="36"/>
        <w:shd w:val="clear" w:color="auto" w:fill="FFFFFF"/>
        <w:spacing w:before="150" w:beforeAutospacing="0" w:after="0" w:afterAutospacing="0" w:line="510" w:lineRule="atLeast"/>
        <w:rPr>
          <w:rFonts w:ascii="微软雅黑" w:hAnsi="微软雅黑" w:eastAsia="微软雅黑" w:cs="微软雅黑"/>
          <w:b/>
          <w:color w:val="333333"/>
          <w:sz w:val="22"/>
          <w:szCs w:val="22"/>
        </w:rPr>
      </w:pPr>
      <w:r>
        <w:rPr>
          <w:rFonts w:hint="eastAsia" w:ascii="微软雅黑" w:hAnsi="微软雅黑" w:eastAsia="微软雅黑" w:cs="微软雅黑"/>
          <w:b/>
          <w:color w:val="333333"/>
          <w:sz w:val="22"/>
          <w:szCs w:val="22"/>
          <w:shd w:val="clear" w:color="auto" w:fill="FFFFFF"/>
        </w:rPr>
        <w:t>七、对本次采购提出询问，请按以下方式联系。</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1、采购人信息：陕西省交通医院</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联系人：陕西省交通医院经办</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联系地址：西安市大学南路276号</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联系电话：029-88481548</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2、项目联系方式</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项目联系人：吴珍珍 刘 旷</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电 话：029-85279116</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传 真：029-85279151</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3、采购代理机构信息</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名称：陕西博源招标服务有限公司</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联系地址：西安市碑林区环城南路西段45号时代诺利达B区6楼</w:t>
      </w:r>
    </w:p>
    <w:p>
      <w:pPr>
        <w:pStyle w:val="36"/>
        <w:shd w:val="clear" w:color="auto" w:fill="FFFFFF"/>
        <w:spacing w:before="0" w:beforeAutospacing="0" w:after="0" w:afterAutospacing="0" w:line="510" w:lineRule="atLeast"/>
        <w:ind w:firstLine="420"/>
        <w:rPr>
          <w:rFonts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联系方式：</w:t>
      </w:r>
      <w:r>
        <w:fldChar w:fldCharType="begin"/>
      </w:r>
      <w:r>
        <w:instrText xml:space="preserve"> HYPERLINK "http://www.ccgp.gov.cn/agency/a_agencylist.html" \t "http://www.ccgp-shaanxi.gov.cn/gpex/buyprojectnotice/_blank" </w:instrText>
      </w:r>
      <w:r>
        <w:fldChar w:fldCharType="separate"/>
      </w:r>
      <w:r>
        <w:rPr>
          <w:rStyle w:val="47"/>
          <w:rFonts w:hint="eastAsia" w:ascii="微软雅黑" w:hAnsi="微软雅黑" w:eastAsia="微软雅黑" w:cs="微软雅黑"/>
          <w:sz w:val="21"/>
          <w:szCs w:val="21"/>
          <w:u w:val="none"/>
          <w:shd w:val="clear" w:color="auto" w:fill="FFFFFF"/>
        </w:rPr>
        <w:t>http://www.ccgp.gov.cn/agency/a_agencylist.html</w:t>
      </w:r>
      <w:r>
        <w:rPr>
          <w:rStyle w:val="47"/>
          <w:rFonts w:hint="eastAsia" w:ascii="微软雅黑" w:hAnsi="微软雅黑" w:eastAsia="微软雅黑" w:cs="微软雅黑"/>
          <w:sz w:val="21"/>
          <w:szCs w:val="21"/>
          <w:u w:val="none"/>
          <w:shd w:val="clear" w:color="auto" w:fill="FFFFFF"/>
        </w:rPr>
        <w:fldChar w:fldCharType="end"/>
      </w:r>
    </w:p>
    <w:p>
      <w:pPr>
        <w:pStyle w:val="17"/>
      </w:pPr>
    </w:p>
    <w:p>
      <w:pPr>
        <w:pStyle w:val="36"/>
        <w:shd w:val="clear" w:color="auto" w:fill="FFFFFF"/>
        <w:spacing w:before="0" w:beforeAutospacing="0" w:after="0" w:afterAutospacing="0" w:line="510" w:lineRule="atLeast"/>
        <w:ind w:firstLine="420"/>
        <w:jc w:val="right"/>
        <w:rPr>
          <w:rFonts w:hint="eastAsia"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陕西博源招标服务有限公司</w:t>
      </w:r>
    </w:p>
    <w:p>
      <w:pPr>
        <w:pStyle w:val="36"/>
        <w:shd w:val="clear" w:color="auto" w:fill="FFFFFF"/>
        <w:spacing w:before="0" w:beforeAutospacing="0" w:after="0" w:afterAutospacing="0" w:line="510" w:lineRule="atLeast"/>
        <w:ind w:firstLine="420"/>
        <w:jc w:val="right"/>
        <w:rPr>
          <w:rFonts w:hint="eastAsia" w:ascii="微软雅黑" w:hAnsi="微软雅黑" w:eastAsia="微软雅黑" w:cs="微软雅黑"/>
          <w:color w:val="333333"/>
          <w:sz w:val="21"/>
          <w:szCs w:val="21"/>
          <w:shd w:val="clear" w:color="auto" w:fill="FFFFFF"/>
        </w:rPr>
      </w:pPr>
      <w:r>
        <w:rPr>
          <w:rFonts w:hint="eastAsia" w:ascii="微软雅黑" w:hAnsi="微软雅黑" w:eastAsia="微软雅黑" w:cs="微软雅黑"/>
          <w:color w:val="333333"/>
          <w:sz w:val="21"/>
          <w:szCs w:val="21"/>
          <w:shd w:val="clear" w:color="auto" w:fill="FFFFFF"/>
        </w:rPr>
        <w:t>2020年10月10日</w:t>
      </w:r>
    </w:p>
    <w:p>
      <w:pPr>
        <w:tabs>
          <w:tab w:val="left" w:pos="3544"/>
        </w:tabs>
        <w:spacing w:line="360" w:lineRule="auto"/>
        <w:ind w:firstLine="753" w:firstLineChars="250"/>
        <w:jc w:val="center"/>
        <w:outlineLvl w:val="0"/>
        <w:rPr>
          <w:rFonts w:asciiTheme="minorEastAsia" w:hAnsiTheme="minorEastAsia" w:eastAsiaTheme="minorEastAsia" w:cstheme="minorEastAsia"/>
          <w:b/>
          <w:sz w:val="30"/>
          <w:szCs w:val="30"/>
        </w:rPr>
      </w:pPr>
    </w:p>
    <w:p>
      <w:pPr>
        <w:pStyle w:val="17"/>
      </w:pPr>
    </w:p>
    <w:p>
      <w:pPr>
        <w:tabs>
          <w:tab w:val="left" w:pos="3544"/>
        </w:tabs>
        <w:spacing w:line="360" w:lineRule="auto"/>
        <w:ind w:firstLine="753" w:firstLineChars="250"/>
        <w:jc w:val="center"/>
        <w:outlineLvl w:val="0"/>
        <w:rPr>
          <w:rFonts w:ascii="宋体" w:hAnsi="宋体" w:cs="宋体"/>
          <w:b/>
          <w:sz w:val="30"/>
          <w:szCs w:val="30"/>
        </w:rPr>
      </w:pPr>
      <w:bookmarkStart w:id="16" w:name="_Toc489868881"/>
      <w:bookmarkStart w:id="17" w:name="_Toc493257943"/>
      <w:bookmarkStart w:id="18" w:name="_Toc479760807"/>
      <w:bookmarkStart w:id="19" w:name="_Toc493678861"/>
      <w:bookmarkStart w:id="20" w:name="_Toc490234579"/>
      <w:bookmarkStart w:id="21" w:name="_Toc490234238"/>
      <w:bookmarkStart w:id="22" w:name="_Toc489869015"/>
      <w:bookmarkStart w:id="23" w:name="_Toc490234294"/>
      <w:bookmarkStart w:id="24" w:name="_Toc490234466"/>
      <w:bookmarkStart w:id="25" w:name="_Toc489869739"/>
      <w:bookmarkStart w:id="26" w:name="_Toc490234568"/>
      <w:bookmarkStart w:id="27" w:name="_Toc489870015"/>
      <w:bookmarkStart w:id="28" w:name="_Toc328739377"/>
      <w:bookmarkStart w:id="29" w:name="_Toc479760679"/>
      <w:bookmarkStart w:id="30" w:name="_Toc489869353"/>
    </w:p>
    <w:p>
      <w:pPr>
        <w:tabs>
          <w:tab w:val="left" w:pos="3544"/>
        </w:tabs>
        <w:spacing w:line="360" w:lineRule="auto"/>
        <w:ind w:firstLine="753" w:firstLineChars="250"/>
        <w:jc w:val="center"/>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hAnsi="宋体" w:cs="宋体"/>
          <w:b/>
          <w:sz w:val="30"/>
          <w:szCs w:val="30"/>
        </w:rPr>
      </w:pPr>
    </w:p>
    <w:p>
      <w:pPr>
        <w:pStyle w:val="17"/>
        <w:rPr>
          <w:rFonts w:ascii="宋体" w:hAnsi="宋体" w:cs="宋体"/>
          <w:b/>
          <w:sz w:val="30"/>
          <w:szCs w:val="30"/>
        </w:rPr>
      </w:pPr>
    </w:p>
    <w:p>
      <w:pPr>
        <w:rPr>
          <w:rFonts w:ascii="宋体" w:hAnsi="宋体" w:cs="宋体"/>
          <w:b/>
          <w:sz w:val="30"/>
          <w:szCs w:val="30"/>
        </w:rPr>
      </w:pPr>
    </w:p>
    <w:p>
      <w:pPr>
        <w:pStyle w:val="17"/>
        <w:rPr>
          <w:rFonts w:ascii="宋体" w:hAnsi="宋体" w:cs="宋体"/>
          <w:b/>
          <w:sz w:val="30"/>
          <w:szCs w:val="30"/>
        </w:rPr>
      </w:pPr>
    </w:p>
    <w:p/>
    <w:p>
      <w:pPr>
        <w:tabs>
          <w:tab w:val="left" w:pos="3544"/>
        </w:tabs>
        <w:spacing w:line="360" w:lineRule="auto"/>
        <w:outlineLvl w:val="0"/>
        <w:rPr>
          <w:rFonts w:ascii="宋体" w:hAnsi="宋体" w:cs="宋体"/>
          <w:b/>
          <w:sz w:val="30"/>
          <w:szCs w:val="30"/>
        </w:rPr>
      </w:pPr>
    </w:p>
    <w:p>
      <w:pPr>
        <w:tabs>
          <w:tab w:val="left" w:pos="3544"/>
        </w:tabs>
        <w:spacing w:line="360" w:lineRule="auto"/>
        <w:ind w:firstLine="753" w:firstLineChars="250"/>
        <w:jc w:val="center"/>
        <w:outlineLvl w:val="0"/>
        <w:rPr>
          <w:rFonts w:ascii="宋体" w:cs="宋体"/>
          <w:b/>
          <w:sz w:val="30"/>
          <w:szCs w:val="30"/>
        </w:rPr>
      </w:pPr>
      <w:bookmarkStart w:id="31" w:name="_Toc14325"/>
      <w:r>
        <w:rPr>
          <w:rFonts w:hint="eastAsia" w:ascii="宋体" w:hAnsi="宋体" w:cs="宋体"/>
          <w:b/>
          <w:sz w:val="30"/>
          <w:szCs w:val="30"/>
        </w:rPr>
        <w:t>第二部分</w:t>
      </w:r>
      <w:r>
        <w:rPr>
          <w:rFonts w:ascii="宋体" w:hAnsi="宋体" w:cs="宋体"/>
          <w:b/>
          <w:sz w:val="30"/>
          <w:szCs w:val="30"/>
        </w:rPr>
        <w:t xml:space="preserve"> </w:t>
      </w:r>
      <w:r>
        <w:rPr>
          <w:rFonts w:hint="eastAsia" w:ascii="宋体" w:hAnsi="宋体" w:cs="宋体"/>
          <w:b/>
          <w:sz w:val="30"/>
          <w:szCs w:val="30"/>
        </w:rPr>
        <w:t>供应商须知</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tabs>
          <w:tab w:val="left" w:pos="3544"/>
        </w:tabs>
        <w:jc w:val="center"/>
        <w:outlineLvl w:val="1"/>
        <w:rPr>
          <w:rFonts w:ascii="宋体" w:cs="宋体"/>
          <w:b/>
          <w:sz w:val="28"/>
          <w:szCs w:val="30"/>
        </w:rPr>
      </w:pPr>
      <w:bookmarkStart w:id="32" w:name="_Toc5378"/>
      <w:bookmarkStart w:id="33" w:name="_Toc493678862"/>
      <w:r>
        <w:rPr>
          <w:rFonts w:hint="eastAsia" w:ascii="宋体" w:hAnsi="宋体" w:cs="宋体"/>
          <w:b/>
          <w:sz w:val="28"/>
          <w:szCs w:val="30"/>
        </w:rPr>
        <w:t>一．名词解释</w:t>
      </w:r>
      <w:bookmarkEnd w:id="32"/>
      <w:bookmarkEnd w:id="33"/>
    </w:p>
    <w:p>
      <w:pPr>
        <w:numPr>
          <w:ilvl w:val="0"/>
          <w:numId w:val="2"/>
        </w:numPr>
        <w:tabs>
          <w:tab w:val="left" w:pos="240"/>
          <w:tab w:val="left" w:pos="3544"/>
        </w:tabs>
        <w:wordWrap w:val="0"/>
        <w:spacing w:line="360" w:lineRule="auto"/>
        <w:ind w:left="-120" w:leftChars="-57" w:firstLine="0"/>
        <w:rPr>
          <w:rFonts w:ascii="宋体" w:cs="宋体"/>
          <w:sz w:val="24"/>
        </w:rPr>
      </w:pPr>
      <w:r>
        <w:rPr>
          <w:rFonts w:ascii="宋体" w:hAnsi="宋体" w:cs="宋体"/>
          <w:sz w:val="24"/>
        </w:rPr>
        <w:t xml:space="preserve"> </w:t>
      </w:r>
      <w:r>
        <w:rPr>
          <w:rFonts w:hint="eastAsia" w:ascii="宋体" w:hAnsi="宋体" w:cs="宋体"/>
          <w:sz w:val="24"/>
        </w:rPr>
        <w:t>采购单位：陕西省交通医院</w:t>
      </w:r>
    </w:p>
    <w:p>
      <w:pPr>
        <w:numPr>
          <w:ilvl w:val="0"/>
          <w:numId w:val="2"/>
        </w:numPr>
        <w:tabs>
          <w:tab w:val="left" w:pos="240"/>
          <w:tab w:val="left" w:pos="3544"/>
        </w:tabs>
        <w:wordWrap w:val="0"/>
        <w:spacing w:line="360" w:lineRule="auto"/>
        <w:ind w:left="-120" w:leftChars="-57" w:firstLine="0"/>
        <w:rPr>
          <w:rFonts w:ascii="宋体" w:cs="宋体"/>
          <w:sz w:val="24"/>
        </w:rPr>
      </w:pPr>
      <w:r>
        <w:rPr>
          <w:rFonts w:ascii="宋体" w:hAnsi="宋体" w:cs="宋体"/>
          <w:sz w:val="24"/>
        </w:rPr>
        <w:t xml:space="preserve"> </w:t>
      </w:r>
      <w:r>
        <w:rPr>
          <w:rFonts w:hint="eastAsia" w:ascii="宋体" w:hAnsi="宋体" w:cs="宋体"/>
          <w:sz w:val="24"/>
        </w:rPr>
        <w:t>监督管理机构：采购人同级财政监督管理部门</w:t>
      </w:r>
    </w:p>
    <w:p>
      <w:pPr>
        <w:numPr>
          <w:ilvl w:val="0"/>
          <w:numId w:val="2"/>
        </w:numPr>
        <w:tabs>
          <w:tab w:val="left" w:pos="240"/>
          <w:tab w:val="left" w:pos="3544"/>
        </w:tabs>
        <w:wordWrap w:val="0"/>
        <w:spacing w:line="360" w:lineRule="auto"/>
        <w:ind w:left="-120" w:leftChars="-57" w:firstLine="0"/>
        <w:rPr>
          <w:rFonts w:ascii="宋体" w:cs="宋体"/>
          <w:sz w:val="24"/>
        </w:rPr>
      </w:pPr>
      <w:r>
        <w:rPr>
          <w:rFonts w:ascii="宋体" w:hAnsi="宋体" w:cs="宋体"/>
          <w:sz w:val="24"/>
        </w:rPr>
        <w:t xml:space="preserve"> </w:t>
      </w:r>
      <w:r>
        <w:rPr>
          <w:rFonts w:hint="eastAsia" w:ascii="宋体" w:hAnsi="宋体" w:cs="宋体"/>
          <w:sz w:val="24"/>
        </w:rPr>
        <w:t>采购代理机构：陕西博源招标服务有限公司</w:t>
      </w:r>
    </w:p>
    <w:p>
      <w:pPr>
        <w:numPr>
          <w:ilvl w:val="0"/>
          <w:numId w:val="2"/>
        </w:numPr>
        <w:tabs>
          <w:tab w:val="left" w:pos="240"/>
          <w:tab w:val="left" w:pos="3544"/>
        </w:tabs>
        <w:wordWrap w:val="0"/>
        <w:spacing w:line="360" w:lineRule="auto"/>
        <w:ind w:left="-120" w:leftChars="-57" w:firstLine="0"/>
        <w:rPr>
          <w:rFonts w:ascii="宋体" w:cs="宋体"/>
          <w:sz w:val="24"/>
        </w:rPr>
      </w:pPr>
      <w:r>
        <w:rPr>
          <w:rFonts w:ascii="宋体" w:hAnsi="宋体" w:cs="宋体"/>
          <w:sz w:val="24"/>
        </w:rPr>
        <w:t xml:space="preserve"> </w:t>
      </w: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商：满足本次磋商要求具有相应资质和完成项目能力的供应商</w:t>
      </w:r>
    </w:p>
    <w:p>
      <w:pPr>
        <w:numPr>
          <w:ilvl w:val="0"/>
          <w:numId w:val="2"/>
        </w:numPr>
        <w:tabs>
          <w:tab w:val="left" w:pos="240"/>
          <w:tab w:val="left" w:pos="3544"/>
        </w:tabs>
        <w:wordWrap w:val="0"/>
        <w:spacing w:line="360" w:lineRule="auto"/>
        <w:ind w:left="-120" w:leftChars="-57" w:firstLine="0"/>
        <w:rPr>
          <w:rFonts w:ascii="宋体" w:cs="宋体"/>
          <w:sz w:val="24"/>
        </w:rPr>
      </w:pPr>
      <w:r>
        <w:rPr>
          <w:rFonts w:ascii="宋体" w:hAnsi="宋体" w:cs="宋体"/>
          <w:sz w:val="24"/>
        </w:rPr>
        <w:t xml:space="preserve"> </w:t>
      </w:r>
      <w:r>
        <w:rPr>
          <w:rFonts w:hint="eastAsia" w:ascii="宋体" w:hAnsi="宋体" w:cs="宋体"/>
          <w:sz w:val="24"/>
        </w:rPr>
        <w:t>成</w:t>
      </w:r>
      <w:r>
        <w:rPr>
          <w:rFonts w:ascii="宋体" w:hAnsi="宋体" w:cs="宋体"/>
          <w:sz w:val="24"/>
        </w:rPr>
        <w:t xml:space="preserve"> </w:t>
      </w:r>
      <w:r>
        <w:rPr>
          <w:rFonts w:hint="eastAsia" w:ascii="宋体" w:hAnsi="宋体" w:cs="宋体"/>
          <w:sz w:val="24"/>
        </w:rPr>
        <w:t>交</w:t>
      </w:r>
      <w:r>
        <w:rPr>
          <w:rFonts w:ascii="宋体" w:hAnsi="宋体" w:cs="宋体"/>
          <w:sz w:val="24"/>
        </w:rPr>
        <w:t xml:space="preserve"> </w:t>
      </w:r>
      <w:r>
        <w:rPr>
          <w:rFonts w:hint="eastAsia" w:ascii="宋体" w:hAnsi="宋体" w:cs="宋体"/>
          <w:sz w:val="24"/>
        </w:rPr>
        <w:t>人：由磋商小组推荐经采购单位确认的供应商</w:t>
      </w:r>
      <w:bookmarkStart w:id="34" w:name="_Toc493678863"/>
    </w:p>
    <w:p>
      <w:pPr>
        <w:tabs>
          <w:tab w:val="left" w:pos="240"/>
          <w:tab w:val="left" w:pos="3544"/>
        </w:tabs>
        <w:wordWrap w:val="0"/>
        <w:spacing w:line="360" w:lineRule="auto"/>
        <w:ind w:left="-119"/>
        <w:jc w:val="center"/>
        <w:outlineLvl w:val="1"/>
        <w:rPr>
          <w:rFonts w:ascii="宋体" w:cs="宋体"/>
          <w:sz w:val="22"/>
        </w:rPr>
      </w:pPr>
      <w:bookmarkStart w:id="35" w:name="_Toc19186"/>
      <w:r>
        <w:rPr>
          <w:rFonts w:hint="eastAsia" w:ascii="宋体" w:hAnsi="宋体" w:cs="宋体"/>
          <w:b/>
          <w:sz w:val="28"/>
          <w:szCs w:val="30"/>
        </w:rPr>
        <w:t>二．供应商</w:t>
      </w:r>
      <w:bookmarkEnd w:id="34"/>
      <w:bookmarkEnd w:id="35"/>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、合格供应商</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符合《中华人民共和国政府采购法》第二十二条规定及本项目资质要求，有能力提供项目所需服务和货物的供应商。</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、磋商委托</w:t>
      </w:r>
    </w:p>
    <w:p>
      <w:pPr>
        <w:tabs>
          <w:tab w:val="left" w:pos="3544"/>
        </w:tabs>
        <w:wordWrap w:val="0"/>
        <w:spacing w:line="360" w:lineRule="auto"/>
        <w:ind w:firstLine="480" w:firstLineChars="200"/>
        <w:rPr>
          <w:rFonts w:ascii="宋体" w:cs="宋体"/>
          <w:sz w:val="24"/>
        </w:rPr>
      </w:pPr>
      <w:r>
        <w:rPr>
          <w:rFonts w:hint="eastAsia" w:ascii="宋体" w:hAnsi="宋体" w:cs="宋体"/>
          <w:sz w:val="24"/>
        </w:rPr>
        <w:t>如供应商代表不是法定代表人，须提供《法定代表人授权书》；非法人单位参照执行。</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、磋商费用</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无论磋商结果如何，供应商自行承担参加磋商相关的全部费用。</w:t>
      </w:r>
    </w:p>
    <w:p>
      <w:pPr>
        <w:tabs>
          <w:tab w:val="left" w:pos="3544"/>
        </w:tabs>
        <w:wordWrap w:val="0"/>
        <w:spacing w:line="360" w:lineRule="auto"/>
        <w:jc w:val="center"/>
        <w:outlineLvl w:val="1"/>
        <w:rPr>
          <w:rFonts w:ascii="宋体" w:cs="宋体"/>
          <w:sz w:val="28"/>
          <w:szCs w:val="30"/>
        </w:rPr>
      </w:pPr>
      <w:bookmarkStart w:id="36" w:name="_Toc26058"/>
      <w:bookmarkStart w:id="37" w:name="_Toc493678864"/>
      <w:r>
        <w:rPr>
          <w:rFonts w:hint="eastAsia" w:ascii="宋体" w:hAnsi="宋体" w:cs="宋体"/>
          <w:b/>
          <w:sz w:val="28"/>
          <w:szCs w:val="30"/>
        </w:rPr>
        <w:t>三．磋商文件</w:t>
      </w:r>
      <w:bookmarkEnd w:id="36"/>
      <w:bookmarkEnd w:id="37"/>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、磋商文件</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磋商文件由磋商文件总目录所列内容组成；供应商应详细阅读磋商文件中所有的事项、格式、条款和规范要求，在响应文件中对磋商文件的各方面都应做出实质性的响应，按照磋商文件的要求提交全部资料。</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、磋商文件的澄清</w:t>
      </w:r>
    </w:p>
    <w:p>
      <w:pPr>
        <w:tabs>
          <w:tab w:val="left" w:pos="3544"/>
          <w:tab w:val="left" w:pos="8400"/>
        </w:tabs>
        <w:wordWrap w:val="0"/>
        <w:spacing w:line="360" w:lineRule="auto"/>
        <w:ind w:firstLine="480" w:firstLineChars="200"/>
        <w:jc w:val="left"/>
        <w:rPr>
          <w:rFonts w:ascii="宋体" w:cs="宋体"/>
          <w:b/>
          <w:bCs/>
          <w:sz w:val="24"/>
        </w:rPr>
      </w:pPr>
      <w:r>
        <w:rPr>
          <w:rFonts w:ascii="宋体" w:hAnsi="宋体" w:cs="宋体"/>
          <w:sz w:val="24"/>
        </w:rPr>
        <w:t>2.1</w:t>
      </w:r>
      <w:r>
        <w:rPr>
          <w:rFonts w:hint="eastAsia" w:ascii="宋体" w:hAnsi="宋体" w:cs="宋体"/>
          <w:sz w:val="24"/>
        </w:rPr>
        <w:t>任何要求对磋商文件进行解释或澄清的供应商，不限于电话、书面、现场咨询等形式在规定时间内通知采购代理机构。采购代理机构将组织采购人对供应商所要求解释或澄清的内容均以同等形式予以答复，并通知其它购买磋商文件的供应商。</w:t>
      </w:r>
      <w:r>
        <w:rPr>
          <w:rFonts w:hint="eastAsia" w:ascii="宋体" w:hAnsi="宋体" w:cs="宋体"/>
          <w:b/>
          <w:bCs/>
          <w:sz w:val="24"/>
          <w:u w:val="single"/>
        </w:rPr>
        <w:t>对磋商文件中有难以理解或参数有疑义的内容，须在规定时间内提交书面资料，否则视为对磋商文件再无疑义，因此带来的一切不利后果由供应商自行承担</w:t>
      </w:r>
      <w:r>
        <w:rPr>
          <w:rFonts w:hint="eastAsia" w:ascii="宋体" w:hAnsi="宋体" w:cs="宋体"/>
          <w:b/>
          <w:bCs/>
          <w:sz w:val="24"/>
        </w:rPr>
        <w:t>。</w:t>
      </w:r>
    </w:p>
    <w:p>
      <w:pPr>
        <w:spacing w:line="360" w:lineRule="auto"/>
        <w:ind w:firstLine="480" w:firstLineChars="200"/>
        <w:jc w:val="left"/>
        <w:rPr>
          <w:rFonts w:ascii="宋体" w:cs="宋体"/>
          <w:sz w:val="24"/>
        </w:rPr>
      </w:pPr>
      <w:r>
        <w:rPr>
          <w:rFonts w:ascii="宋体" w:hAnsi="宋体" w:cs="宋体"/>
          <w:sz w:val="24"/>
        </w:rPr>
        <w:t>2.2</w:t>
      </w:r>
      <w:r>
        <w:rPr>
          <w:rFonts w:hint="eastAsia" w:ascii="宋体" w:hAnsi="宋体" w:cs="宋体"/>
          <w:sz w:val="24"/>
        </w:rPr>
        <w:t>供应商在规定的时间内未要求对磋商文件进行解释或澄清的，采购代理机构将视其为无异议，因此带来的一切后果由供应商负责。</w:t>
      </w:r>
    </w:p>
    <w:p>
      <w:pPr>
        <w:spacing w:line="360" w:lineRule="auto"/>
        <w:ind w:firstLine="480" w:firstLineChars="200"/>
        <w:jc w:val="left"/>
      </w:pPr>
      <w:r>
        <w:rPr>
          <w:rFonts w:ascii="宋体" w:hAnsi="宋体" w:cs="宋体"/>
          <w:sz w:val="24"/>
        </w:rPr>
        <w:t>2.3</w:t>
      </w:r>
      <w:r>
        <w:rPr>
          <w:rFonts w:hint="eastAsia" w:ascii="宋体" w:hAnsi="宋体" w:cs="宋体"/>
          <w:sz w:val="24"/>
        </w:rPr>
        <w:t>对磋商文件中描述有歧意或前后不一致的地方，磋商小组有权进行评判，对同一条款的评判应适用于每个供应商。</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、磋商文件的澄清与修改</w:t>
      </w:r>
    </w:p>
    <w:p>
      <w:pPr>
        <w:tabs>
          <w:tab w:val="left" w:pos="3544"/>
        </w:tabs>
        <w:wordWrap w:val="0"/>
        <w:spacing w:line="360" w:lineRule="auto"/>
        <w:ind w:firstLine="480" w:firstLineChars="200"/>
        <w:rPr>
          <w:rFonts w:ascii="宋体" w:cs="宋体"/>
          <w:sz w:val="24"/>
        </w:rPr>
      </w:pPr>
      <w:r>
        <w:rPr>
          <w:rFonts w:hint="eastAsia" w:ascii="宋体" w:hAnsi="宋体" w:cs="宋体"/>
          <w:sz w:val="24"/>
        </w:rPr>
        <w:t>采购代理机构对已发出的磋商文件进行必要澄清或者修改的，澄清或修改的内容可能影响响应文件编制的，在磋商文件要求提交响应文件截止时间五日前，以书面形式通知所有购买磋商文件的供应商，不足五日的，应当顺延提交响应文件截止时间，该澄清或者修改的内容作为磋商文件的组成部分，与其具有同等法律效力。</w:t>
      </w:r>
    </w:p>
    <w:p>
      <w:pPr>
        <w:tabs>
          <w:tab w:val="left" w:pos="3544"/>
        </w:tabs>
        <w:wordWrap w:val="0"/>
        <w:spacing w:line="360" w:lineRule="auto"/>
        <w:rPr>
          <w:rFonts w:ascii="宋体" w:cs="宋体"/>
          <w:b/>
          <w:sz w:val="24"/>
        </w:rPr>
      </w:pPr>
      <w:r>
        <w:rPr>
          <w:rFonts w:hint="eastAsia" w:ascii="宋体" w:hAnsi="宋体" w:cs="宋体"/>
          <w:b/>
          <w:sz w:val="24"/>
        </w:rPr>
        <w:t>4、磋商文件的购买</w:t>
      </w:r>
    </w:p>
    <w:p>
      <w:pPr>
        <w:tabs>
          <w:tab w:val="left" w:pos="3544"/>
        </w:tabs>
        <w:wordWrap w:val="0"/>
        <w:spacing w:line="360" w:lineRule="auto"/>
        <w:ind w:firstLine="480" w:firstLineChars="200"/>
        <w:rPr>
          <w:rFonts w:ascii="宋体" w:cs="宋体"/>
          <w:sz w:val="24"/>
        </w:rPr>
      </w:pPr>
      <w:r>
        <w:rPr>
          <w:rFonts w:ascii="宋体" w:hAnsi="宋体" w:cs="宋体"/>
          <w:sz w:val="24"/>
        </w:rPr>
        <w:t>5.1</w:t>
      </w:r>
      <w:r>
        <w:rPr>
          <w:rFonts w:hint="eastAsia" w:ascii="宋体" w:hAnsi="宋体" w:cs="宋体"/>
          <w:sz w:val="24"/>
        </w:rPr>
        <w:t>供应商必须从采购代理机构购买磋商文件并登记，未从采购代理机构购买磋商文件并登记备案的潜在供应商均无资格参加本次磋商，磋商文件一经售出，一律不退换，仅作为本次磋商使用。</w:t>
      </w:r>
    </w:p>
    <w:p>
      <w:pPr>
        <w:tabs>
          <w:tab w:val="left" w:pos="3544"/>
        </w:tabs>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宋体"/>
          <w:sz w:val="24"/>
        </w:rPr>
        <w:t>供应商所参与项目与从采购代理机构登记备案时不一致，视为无效磋商。</w:t>
      </w:r>
    </w:p>
    <w:p>
      <w:pPr>
        <w:tabs>
          <w:tab w:val="left" w:pos="3544"/>
        </w:tabs>
        <w:wordWrap w:val="0"/>
        <w:spacing w:line="360" w:lineRule="auto"/>
        <w:rPr>
          <w:rFonts w:ascii="宋体" w:cs="宋体"/>
          <w:b/>
          <w:sz w:val="24"/>
        </w:rPr>
      </w:pPr>
      <w:r>
        <w:rPr>
          <w:rFonts w:hint="eastAsia" w:ascii="宋体" w:hAnsi="宋体" w:cs="宋体"/>
          <w:b/>
          <w:sz w:val="24"/>
        </w:rPr>
        <w:t>5、磋商的处理依据</w:t>
      </w:r>
    </w:p>
    <w:p>
      <w:pPr>
        <w:tabs>
          <w:tab w:val="left" w:pos="3544"/>
        </w:tabs>
        <w:wordWrap w:val="0"/>
        <w:spacing w:line="360" w:lineRule="auto"/>
        <w:ind w:firstLine="480" w:firstLineChars="200"/>
        <w:rPr>
          <w:rFonts w:ascii="宋体" w:cs="宋体"/>
          <w:sz w:val="24"/>
        </w:rPr>
      </w:pPr>
      <w:r>
        <w:rPr>
          <w:rFonts w:hint="eastAsia" w:ascii="宋体" w:hAnsi="宋体" w:cs="宋体"/>
          <w:sz w:val="24"/>
        </w:rPr>
        <w:t>磋商小组有权对在磋商过程中出现的一切问题，根据本项目磋商文件与《中华人民共和国政府采购法》、《政府采购竞争性磋商采购方式管理暂行办法》等条款，本着公平、公正、客观择优的原则进行处理。</w:t>
      </w:r>
    </w:p>
    <w:p>
      <w:pPr>
        <w:tabs>
          <w:tab w:val="left" w:pos="3544"/>
        </w:tabs>
        <w:wordWrap w:val="0"/>
        <w:spacing w:line="360" w:lineRule="auto"/>
        <w:rPr>
          <w:rFonts w:ascii="宋体" w:cs="宋体"/>
          <w:sz w:val="24"/>
        </w:rPr>
      </w:pPr>
      <w:r>
        <w:rPr>
          <w:rFonts w:hint="eastAsia" w:ascii="宋体" w:hAnsi="宋体" w:cs="宋体"/>
          <w:b/>
          <w:sz w:val="24"/>
        </w:rPr>
        <w:t>6、本项目不接受联合体磋商。</w:t>
      </w:r>
    </w:p>
    <w:p>
      <w:pPr>
        <w:tabs>
          <w:tab w:val="left" w:pos="3544"/>
        </w:tabs>
        <w:wordWrap w:val="0"/>
        <w:spacing w:line="360" w:lineRule="auto"/>
        <w:rPr>
          <w:rFonts w:ascii="宋体" w:cs="宋体"/>
          <w:b/>
          <w:sz w:val="24"/>
        </w:rPr>
      </w:pPr>
      <w:r>
        <w:rPr>
          <w:rFonts w:hint="eastAsia" w:ascii="宋体" w:hAnsi="宋体" w:cs="宋体"/>
          <w:b/>
          <w:sz w:val="24"/>
        </w:rPr>
        <w:t>7、解释权归属</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本次磋商文件的解释权归采购代理机构所有。</w:t>
      </w:r>
    </w:p>
    <w:p>
      <w:pPr>
        <w:tabs>
          <w:tab w:val="left" w:pos="3544"/>
        </w:tabs>
        <w:wordWrap w:val="0"/>
        <w:spacing w:line="360" w:lineRule="auto"/>
        <w:jc w:val="center"/>
        <w:outlineLvl w:val="1"/>
        <w:rPr>
          <w:rFonts w:ascii="宋体" w:cs="宋体"/>
          <w:b/>
          <w:sz w:val="28"/>
          <w:szCs w:val="30"/>
        </w:rPr>
      </w:pPr>
      <w:bookmarkStart w:id="38" w:name="_Toc493678865"/>
      <w:bookmarkStart w:id="39" w:name="_Toc13178"/>
      <w:r>
        <w:rPr>
          <w:rFonts w:hint="eastAsia" w:ascii="宋体" w:hAnsi="宋体" w:cs="宋体"/>
          <w:b/>
          <w:sz w:val="28"/>
          <w:szCs w:val="30"/>
        </w:rPr>
        <w:t>四．磋商要求</w:t>
      </w:r>
      <w:bookmarkEnd w:id="38"/>
      <w:bookmarkEnd w:id="39"/>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、磋商内容</w:t>
      </w:r>
    </w:p>
    <w:p>
      <w:pPr>
        <w:tabs>
          <w:tab w:val="left" w:pos="3544"/>
        </w:tabs>
        <w:wordWrap w:val="0"/>
        <w:spacing w:line="360" w:lineRule="auto"/>
        <w:ind w:firstLine="480" w:firstLineChars="200"/>
        <w:rPr>
          <w:rFonts w:ascii="宋体" w:cs="宋体"/>
          <w:sz w:val="24"/>
        </w:rPr>
      </w:pPr>
      <w:r>
        <w:rPr>
          <w:rFonts w:ascii="宋体" w:hAnsi="宋体" w:cs="宋体"/>
          <w:sz w:val="24"/>
        </w:rPr>
        <w:t>1.1</w:t>
      </w:r>
      <w:r>
        <w:rPr>
          <w:rFonts w:hint="eastAsia" w:ascii="宋体" w:hAnsi="宋体" w:cs="宋体"/>
          <w:sz w:val="24"/>
        </w:rPr>
        <w:t>供应商可根据自身的资质情况和经营范围对本项目进行磋商，但不得将其子目再行分解或只响应其中的一部分内容，否则磋商无效；</w:t>
      </w:r>
    </w:p>
    <w:p>
      <w:pPr>
        <w:tabs>
          <w:tab w:val="left" w:pos="3544"/>
        </w:tabs>
        <w:wordWrap w:val="0"/>
        <w:spacing w:line="360" w:lineRule="auto"/>
        <w:ind w:firstLine="480" w:firstLineChars="200"/>
        <w:rPr>
          <w:rFonts w:ascii="宋体" w:cs="宋体"/>
          <w:sz w:val="24"/>
        </w:rPr>
      </w:pPr>
      <w:r>
        <w:rPr>
          <w:rFonts w:ascii="宋体" w:hAnsi="宋体" w:cs="宋体"/>
          <w:sz w:val="24"/>
        </w:rPr>
        <w:t>1.2</w:t>
      </w:r>
      <w:r>
        <w:rPr>
          <w:rFonts w:hint="eastAsia" w:ascii="宋体" w:hAnsi="宋体" w:cs="宋体"/>
          <w:sz w:val="24"/>
        </w:rPr>
        <w:t>本次磋商以“项目”为单位：报名、响应文件的编制、开标、磋商、成交、代理服务费的收取、签订合同均以项目为单位进行；</w:t>
      </w:r>
    </w:p>
    <w:p>
      <w:pPr>
        <w:tabs>
          <w:tab w:val="left" w:pos="3544"/>
        </w:tabs>
        <w:wordWrap w:val="0"/>
        <w:spacing w:line="360" w:lineRule="auto"/>
        <w:ind w:firstLine="480" w:firstLineChars="200"/>
        <w:rPr>
          <w:rFonts w:ascii="宋体" w:cs="宋体"/>
          <w:b/>
          <w:sz w:val="24"/>
        </w:rPr>
      </w:pPr>
      <w:r>
        <w:rPr>
          <w:rFonts w:ascii="宋体" w:hAnsi="宋体" w:cs="宋体"/>
          <w:sz w:val="24"/>
        </w:rPr>
        <w:t>1.3</w:t>
      </w:r>
      <w:r>
        <w:rPr>
          <w:rFonts w:hint="eastAsia" w:ascii="宋体" w:hAnsi="宋体" w:cs="宋体"/>
          <w:sz w:val="24"/>
        </w:rPr>
        <w:t>响应文件是响应文件正本与响应文件副本的统称。</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、供应商须提交以下资质证明文件：（本项目不接受联合体磋商）</w:t>
      </w:r>
    </w:p>
    <w:p>
      <w:pPr>
        <w:numPr>
          <w:ilvl w:val="0"/>
          <w:numId w:val="2"/>
        </w:numPr>
        <w:tabs>
          <w:tab w:val="left" w:pos="240"/>
          <w:tab w:val="left" w:pos="3544"/>
        </w:tabs>
        <w:wordWrap w:val="0"/>
        <w:spacing w:line="360" w:lineRule="auto"/>
        <w:ind w:left="-120" w:leftChars="-57" w:firstLine="0"/>
        <w:rPr>
          <w:rFonts w:ascii="宋体"/>
          <w:b/>
          <w:bCs/>
          <w:sz w:val="24"/>
        </w:rPr>
      </w:pPr>
      <w:r>
        <w:rPr>
          <w:rFonts w:hint="eastAsia" w:ascii="宋体" w:hAnsi="宋体" w:cs="宋体"/>
          <w:b/>
          <w:bCs/>
          <w:sz w:val="24"/>
        </w:rPr>
        <w:t>（一）基本资格条件</w:t>
      </w:r>
    </w:p>
    <w:p>
      <w:pPr>
        <w:spacing w:line="360" w:lineRule="auto"/>
        <w:ind w:firstLine="480" w:firstLineChars="200"/>
        <w:rPr>
          <w:rFonts w:ascii="宋体"/>
          <w:b/>
          <w:sz w:val="24"/>
        </w:rPr>
      </w:pPr>
      <w:r>
        <w:rPr>
          <w:rFonts w:hint="eastAsia" w:ascii="宋体" w:hAnsi="宋体"/>
          <w:sz w:val="24"/>
        </w:rPr>
        <w:t>符合《中华人民共和国政府采购法》第二十二条的规定：</w:t>
      </w:r>
    </w:p>
    <w:p>
      <w:pPr>
        <w:spacing w:line="360" w:lineRule="auto"/>
        <w:ind w:firstLine="480" w:firstLineChars="200"/>
        <w:rPr>
          <w:rFonts w:ascii="宋体"/>
          <w:sz w:val="24"/>
        </w:rPr>
      </w:pPr>
      <w:r>
        <w:rPr>
          <w:rFonts w:ascii="宋体" w:hAnsi="宋体"/>
          <w:sz w:val="24"/>
        </w:rPr>
        <w:t>1.1</w:t>
      </w:r>
      <w:r>
        <w:rPr>
          <w:rFonts w:hint="eastAsia" w:ascii="宋体" w:hAnsi="宋体"/>
          <w:sz w:val="24"/>
        </w:rPr>
        <w:t>具有独立承担民事责任的法人、其他组织或自然人，提供有效的营业执照等相应证明文件，非法人单位参照执行；</w:t>
      </w:r>
    </w:p>
    <w:p>
      <w:pPr>
        <w:spacing w:line="360" w:lineRule="auto"/>
        <w:ind w:firstLine="480" w:firstLineChars="200"/>
        <w:rPr>
          <w:rFonts w:ascii="宋体"/>
          <w:sz w:val="24"/>
        </w:rPr>
      </w:pPr>
      <w:r>
        <w:rPr>
          <w:rFonts w:ascii="宋体" w:hAnsi="宋体"/>
          <w:sz w:val="24"/>
        </w:rPr>
        <w:t>1.2</w:t>
      </w:r>
      <w:r>
        <w:rPr>
          <w:rFonts w:hint="eastAsia" w:ascii="宋体" w:hAnsi="宋体"/>
          <w:sz w:val="24"/>
        </w:rPr>
        <w:t>财务状况报告：提供</w:t>
      </w:r>
      <w:r>
        <w:rPr>
          <w:rFonts w:ascii="宋体" w:hAnsi="宋体"/>
          <w:sz w:val="24"/>
        </w:rPr>
        <w:t>2019</w:t>
      </w:r>
      <w:r>
        <w:rPr>
          <w:rFonts w:hint="eastAsia" w:ascii="宋体" w:hAnsi="宋体"/>
          <w:sz w:val="24"/>
        </w:rPr>
        <w:t>年度的财务审计报告或开户银行出具的资信证明；</w:t>
      </w:r>
    </w:p>
    <w:p>
      <w:pPr>
        <w:spacing w:line="360" w:lineRule="auto"/>
        <w:ind w:firstLine="480" w:firstLineChars="200"/>
        <w:rPr>
          <w:rFonts w:ascii="宋体"/>
          <w:sz w:val="24"/>
        </w:rPr>
      </w:pPr>
      <w:r>
        <w:rPr>
          <w:rFonts w:ascii="宋体" w:hAnsi="宋体"/>
          <w:sz w:val="24"/>
        </w:rPr>
        <w:t>1.3</w:t>
      </w:r>
      <w:r>
        <w:rPr>
          <w:rFonts w:hint="eastAsia" w:ascii="宋体" w:hAnsi="宋体"/>
          <w:sz w:val="24"/>
        </w:rPr>
        <w:t>税收缴纳证明：提供2019年9月至磋商前至少一个月的纳税凭证或完税证明，依法免税的应提供相关证明材料；</w:t>
      </w:r>
    </w:p>
    <w:p>
      <w:pPr>
        <w:spacing w:line="360" w:lineRule="auto"/>
        <w:ind w:firstLine="480" w:firstLineChars="200"/>
        <w:rPr>
          <w:rFonts w:ascii="宋体"/>
          <w:sz w:val="24"/>
        </w:rPr>
      </w:pPr>
      <w:r>
        <w:rPr>
          <w:rFonts w:ascii="宋体" w:hAnsi="宋体"/>
          <w:sz w:val="24"/>
        </w:rPr>
        <w:t>1.4</w:t>
      </w:r>
      <w:r>
        <w:rPr>
          <w:rFonts w:hint="eastAsia" w:ascii="宋体" w:hAnsi="宋体"/>
          <w:sz w:val="24"/>
        </w:rPr>
        <w:t>社保缴纳证明：提供2019年9月至磋商前至少一个月的社保缴纳证明；</w:t>
      </w:r>
    </w:p>
    <w:p>
      <w:pPr>
        <w:spacing w:line="360" w:lineRule="auto"/>
        <w:ind w:firstLine="480" w:firstLineChars="200"/>
        <w:rPr>
          <w:rFonts w:ascii="宋体"/>
          <w:sz w:val="24"/>
        </w:rPr>
      </w:pPr>
      <w:r>
        <w:rPr>
          <w:rFonts w:ascii="宋体" w:hAnsi="宋体"/>
          <w:sz w:val="24"/>
        </w:rPr>
        <w:t>1.5</w:t>
      </w:r>
      <w:r>
        <w:rPr>
          <w:rFonts w:hint="eastAsia" w:ascii="宋体" w:hAnsi="宋体"/>
          <w:sz w:val="24"/>
        </w:rPr>
        <w:t>提供具有履行本合同所必需的设备和专业技术能力的说明或承诺加盖公章；</w:t>
      </w:r>
    </w:p>
    <w:p>
      <w:pPr>
        <w:spacing w:line="360" w:lineRule="auto"/>
        <w:ind w:firstLine="480" w:firstLineChars="200"/>
        <w:rPr>
          <w:rFonts w:ascii="宋体" w:cs="宋体"/>
          <w:sz w:val="24"/>
        </w:rPr>
      </w:pPr>
      <w:r>
        <w:rPr>
          <w:rFonts w:ascii="宋体" w:hAnsi="宋体"/>
          <w:sz w:val="24"/>
        </w:rPr>
        <w:t>1.6</w:t>
      </w:r>
      <w:r>
        <w:rPr>
          <w:rFonts w:hint="eastAsia" w:ascii="宋体" w:hAnsi="宋体"/>
          <w:sz w:val="24"/>
        </w:rPr>
        <w:t>书面声明：参加本次政府采购活动前三年内在经营活动中没有重大违法记录书面声明。</w:t>
      </w:r>
    </w:p>
    <w:p>
      <w:pPr>
        <w:spacing w:line="360" w:lineRule="auto"/>
        <w:ind w:firstLine="482" w:firstLineChars="200"/>
        <w:rPr>
          <w:rFonts w:ascii="宋体"/>
          <w:sz w:val="24"/>
        </w:rPr>
      </w:pPr>
      <w:r>
        <w:rPr>
          <w:rFonts w:hint="eastAsia" w:ascii="宋体" w:hAnsi="宋体" w:cs="宋体"/>
          <w:b/>
          <w:bCs/>
          <w:sz w:val="24"/>
        </w:rPr>
        <w:t>（二）特定资格条件：</w:t>
      </w:r>
    </w:p>
    <w:p>
      <w:pPr>
        <w:spacing w:line="360" w:lineRule="auto"/>
        <w:ind w:firstLine="480" w:firstLineChars="200"/>
        <w:rPr>
          <w:rFonts w:ascii="宋体"/>
          <w:sz w:val="24"/>
        </w:rPr>
      </w:pPr>
      <w:r>
        <w:rPr>
          <w:rFonts w:ascii="宋体" w:hAnsi="宋体"/>
          <w:sz w:val="24"/>
        </w:rPr>
        <w:t>2.1</w:t>
      </w:r>
      <w:r>
        <w:rPr>
          <w:rFonts w:hint="eastAsia" w:ascii="宋体" w:hAnsi="宋体"/>
          <w:sz w:val="24"/>
        </w:rPr>
        <w:t>供应商应授权合法的人员参加磋商全过程；提供法定代表人授权书及被授权人身份证（法定代表人直接参加磋商的须提供其法人身份证），非法人单位参照执行；</w:t>
      </w:r>
    </w:p>
    <w:p>
      <w:pPr>
        <w:spacing w:line="360" w:lineRule="auto"/>
        <w:ind w:firstLine="480" w:firstLineChars="200"/>
        <w:rPr>
          <w:rFonts w:ascii="宋体" w:hAnsi="宋体"/>
          <w:sz w:val="24"/>
        </w:rPr>
      </w:pPr>
      <w:r>
        <w:rPr>
          <w:rFonts w:ascii="宋体" w:hAnsi="宋体"/>
          <w:sz w:val="24"/>
        </w:rPr>
        <w:t>2.2</w:t>
      </w:r>
      <w:r>
        <w:rPr>
          <w:rFonts w:hint="eastAsia" w:ascii="宋体" w:hAnsi="宋体"/>
          <w:sz w:val="24"/>
        </w:rPr>
        <w:t>提供“信用中国”及“中国政府采购网”网站关于相关主体信用记录查询截图并加盖公章或信用良好声明加盖公章。</w:t>
      </w:r>
    </w:p>
    <w:p>
      <w:pPr>
        <w:spacing w:line="360" w:lineRule="auto"/>
        <w:ind w:firstLine="480" w:firstLineChars="200"/>
        <w:rPr>
          <w:rFonts w:ascii="宋体" w:hAnsi="宋体"/>
          <w:sz w:val="24"/>
        </w:rPr>
      </w:pPr>
      <w:r>
        <w:rPr>
          <w:rFonts w:hint="eastAsia" w:ascii="宋体" w:hAnsi="宋体"/>
          <w:sz w:val="24"/>
        </w:rPr>
        <w:t>2.3提供电子病历系统软件著作权登记证书。</w:t>
      </w:r>
    </w:p>
    <w:p>
      <w:pPr>
        <w:tabs>
          <w:tab w:val="left" w:pos="3544"/>
        </w:tabs>
        <w:wordWrap w:val="0"/>
        <w:spacing w:line="360" w:lineRule="auto"/>
        <w:ind w:firstLine="482" w:firstLineChars="200"/>
        <w:rPr>
          <w:rFonts w:ascii="宋体" w:cs="宋体"/>
          <w:b/>
          <w:sz w:val="24"/>
          <w:u w:val="single"/>
        </w:rPr>
      </w:pPr>
      <w:r>
        <w:rPr>
          <w:rFonts w:hint="eastAsia" w:ascii="宋体" w:hAnsi="宋体" w:cs="宋体"/>
          <w:b/>
          <w:sz w:val="24"/>
          <w:u w:val="single"/>
        </w:rPr>
        <w:t>以上为必备资质，供应商若不能全部提供，</w:t>
      </w:r>
      <w:r>
        <w:rPr>
          <w:rFonts w:hint="eastAsia" w:ascii="宋体" w:hAnsi="宋体" w:cs="宋体"/>
          <w:b/>
          <w:bCs/>
          <w:sz w:val="24"/>
          <w:u w:val="single"/>
        </w:rPr>
        <w:t>其磋商响应文件无效。</w:t>
      </w:r>
    </w:p>
    <w:p>
      <w:pPr>
        <w:wordWrap w:val="0"/>
        <w:topLinePunct/>
        <w:spacing w:line="360" w:lineRule="auto"/>
        <w:ind w:firstLine="482" w:firstLineChars="200"/>
        <w:rPr>
          <w:rFonts w:ascii="宋体" w:cs="宋体"/>
          <w:b/>
          <w:bCs/>
          <w:sz w:val="24"/>
          <w:u w:val="single"/>
        </w:rPr>
      </w:pPr>
      <w:r>
        <w:rPr>
          <w:rFonts w:ascii="宋体" w:hAnsi="宋体" w:cs="宋体"/>
          <w:b/>
          <w:bCs/>
          <w:sz w:val="24"/>
          <w:u w:val="single"/>
        </w:rPr>
        <w:t>1</w:t>
      </w:r>
      <w:r>
        <w:rPr>
          <w:rFonts w:hint="eastAsia" w:ascii="宋体" w:hAnsi="宋体" w:cs="宋体"/>
          <w:b/>
          <w:bCs/>
          <w:sz w:val="24"/>
          <w:u w:val="single"/>
        </w:rPr>
        <w:t>）其中第</w:t>
      </w:r>
      <w:r>
        <w:rPr>
          <w:rFonts w:ascii="宋体" w:hAnsi="宋体" w:cs="宋体"/>
          <w:b/>
          <w:bCs/>
          <w:sz w:val="24"/>
          <w:u w:val="single"/>
        </w:rPr>
        <w:t>2.1</w:t>
      </w:r>
      <w:r>
        <w:rPr>
          <w:rFonts w:hint="eastAsia" w:ascii="宋体" w:hAnsi="宋体" w:cs="宋体"/>
          <w:b/>
          <w:bCs/>
          <w:sz w:val="24"/>
          <w:u w:val="single"/>
        </w:rPr>
        <w:t>项的“法定代表人授权书”必须原件加盖单位公章装订于响应文件中</w:t>
      </w:r>
      <w:r>
        <w:rPr>
          <w:rFonts w:hint="eastAsia" w:ascii="宋体" w:hAnsi="宋体" w:cs="宋体"/>
          <w:b/>
          <w:bCs/>
          <w:sz w:val="24"/>
          <w:highlight w:val="none"/>
          <w:u w:val="single"/>
        </w:rPr>
        <w:t>；且在磋商当天现场提供“法定代表人授权书”及其身份证原件，以备现场随时查验。</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u w:val="single"/>
        </w:rPr>
        <w:t>2</w:t>
      </w:r>
      <w:r>
        <w:rPr>
          <w:rFonts w:hint="eastAsia" w:ascii="宋体" w:hAnsi="宋体" w:cs="宋体"/>
          <w:b/>
          <w:bCs/>
          <w:sz w:val="24"/>
          <w:u w:val="single"/>
        </w:rPr>
        <w:t>）其他资质均以复印件加盖单位公章装订于响应文件中，同时保证响应文件正副本中仍有上述资格文件，副本可以是正本的复印件，复印件应清晰可辨，因辨识不清等引起的文件无效，由供应商负责（格式见第六部分）；</w:t>
      </w:r>
    </w:p>
    <w:p>
      <w:pPr>
        <w:tabs>
          <w:tab w:val="left" w:pos="3544"/>
        </w:tabs>
        <w:wordWrap w:val="0"/>
        <w:spacing w:line="360" w:lineRule="auto"/>
        <w:ind w:firstLine="480" w:firstLineChars="200"/>
        <w:rPr>
          <w:rFonts w:ascii="宋体" w:cs="宋体"/>
          <w:bCs/>
          <w:sz w:val="24"/>
        </w:rPr>
      </w:pPr>
      <w:r>
        <w:rPr>
          <w:rFonts w:ascii="宋体" w:hAnsi="宋体" w:cs="宋体"/>
          <w:sz w:val="24"/>
        </w:rPr>
        <w:t>3</w:t>
      </w:r>
      <w:r>
        <w:rPr>
          <w:rFonts w:hint="eastAsia" w:ascii="宋体" w:hAnsi="宋体" w:cs="宋体"/>
          <w:sz w:val="24"/>
        </w:rPr>
        <w:t>）符合《财政部关于在政府采购活动中查询及使用信用记录有关问题的通知》（财库〔</w:t>
      </w:r>
      <w:r>
        <w:rPr>
          <w:rFonts w:ascii="宋体" w:hAnsi="宋体" w:cs="宋体"/>
          <w:sz w:val="24"/>
        </w:rPr>
        <w:t>2016</w:t>
      </w:r>
      <w:r>
        <w:rPr>
          <w:rFonts w:hint="eastAsia" w:ascii="宋体" w:hAnsi="宋体" w:cs="宋体"/>
          <w:sz w:val="24"/>
        </w:rPr>
        <w:t>〕</w:t>
      </w:r>
      <w:r>
        <w:rPr>
          <w:rFonts w:ascii="宋体" w:hAnsi="宋体" w:cs="宋体"/>
          <w:sz w:val="24"/>
        </w:rPr>
        <w:t>125</w:t>
      </w:r>
      <w:r>
        <w:rPr>
          <w:rFonts w:hint="eastAsia" w:ascii="宋体" w:hAnsi="宋体" w:cs="宋体"/>
          <w:sz w:val="24"/>
        </w:rPr>
        <w:t>号）文件中信用查询的要求；</w:t>
      </w:r>
    </w:p>
    <w:p>
      <w:pPr>
        <w:spacing w:line="360" w:lineRule="auto"/>
        <w:ind w:firstLine="480" w:firstLineChars="200"/>
        <w:jc w:val="left"/>
        <w:rPr>
          <w:rFonts w:ascii="宋体" w:cs="宋体"/>
          <w:kern w:val="0"/>
          <w:sz w:val="24"/>
        </w:rPr>
      </w:pPr>
      <w:r>
        <w:rPr>
          <w:rFonts w:ascii="宋体" w:hAnsi="宋体" w:cs="宋体"/>
          <w:kern w:val="0"/>
          <w:sz w:val="24"/>
        </w:rPr>
        <w:t>3.1</w:t>
      </w:r>
      <w:r>
        <w:rPr>
          <w:rFonts w:hint="eastAsia" w:ascii="宋体" w:hAnsi="宋体" w:cs="宋体"/>
          <w:kern w:val="0"/>
          <w:sz w:val="24"/>
        </w:rPr>
        <w:t>）提供投标主体关于“信用中国”网站（</w:t>
      </w:r>
      <w:r>
        <w:rPr>
          <w:rFonts w:ascii="宋体" w:hAnsi="宋体" w:cs="宋体"/>
          <w:kern w:val="0"/>
          <w:sz w:val="24"/>
        </w:rPr>
        <w:t>www.creditchina.gov.cn</w:t>
      </w:r>
      <w:r>
        <w:rPr>
          <w:rFonts w:hint="eastAsia" w:ascii="宋体" w:hAnsi="宋体" w:cs="宋体"/>
          <w:kern w:val="0"/>
          <w:sz w:val="24"/>
        </w:rPr>
        <w:t>）、中国政府采购网（</w:t>
      </w:r>
      <w:r>
        <w:rPr>
          <w:rFonts w:ascii="宋体" w:hAnsi="宋体" w:cs="宋体"/>
          <w:kern w:val="0"/>
          <w:sz w:val="24"/>
        </w:rPr>
        <w:t>www.ccgp.gov.cn</w:t>
      </w:r>
      <w:r>
        <w:rPr>
          <w:rFonts w:hint="eastAsia" w:ascii="宋体" w:hAnsi="宋体" w:cs="宋体"/>
          <w:kern w:val="0"/>
          <w:sz w:val="24"/>
        </w:rPr>
        <w:t>）的信用信息查询结果；</w:t>
      </w:r>
    </w:p>
    <w:p>
      <w:pPr>
        <w:spacing w:line="360" w:lineRule="auto"/>
        <w:ind w:firstLine="482" w:firstLineChars="200"/>
        <w:jc w:val="left"/>
        <w:rPr>
          <w:rFonts w:ascii="宋体" w:hAnsi="宋体" w:cs="宋体"/>
          <w:kern w:val="0"/>
          <w:sz w:val="24"/>
        </w:rPr>
      </w:pPr>
      <w:r>
        <w:rPr>
          <w:rFonts w:ascii="宋体" w:hAnsi="宋体" w:cs="宋体"/>
          <w:b/>
          <w:bCs/>
          <w:kern w:val="0"/>
          <w:sz w:val="24"/>
          <w:u w:val="single"/>
        </w:rPr>
        <w:t>3.2</w:t>
      </w:r>
      <w:r>
        <w:rPr>
          <w:rFonts w:hint="eastAsia" w:ascii="宋体" w:hAnsi="宋体" w:cs="宋体"/>
          <w:b/>
          <w:bCs/>
          <w:kern w:val="0"/>
          <w:sz w:val="24"/>
          <w:u w:val="single"/>
        </w:rPr>
        <w:t>）信用信息查询的截止时点：</w:t>
      </w:r>
      <w:r>
        <w:rPr>
          <w:rFonts w:ascii="宋体" w:hAnsi="宋体" w:cs="宋体"/>
          <w:b/>
          <w:bCs/>
          <w:kern w:val="0"/>
          <w:sz w:val="24"/>
          <w:u w:val="single"/>
        </w:rPr>
        <w:t xml:space="preserve"> </w:t>
      </w:r>
      <w:r>
        <w:rPr>
          <w:rFonts w:hint="eastAsia" w:ascii="宋体" w:hAnsi="宋体" w:cs="宋体"/>
          <w:b/>
          <w:bCs/>
          <w:kern w:val="0"/>
          <w:sz w:val="24"/>
          <w:u w:val="single"/>
        </w:rPr>
        <w:t>查询时间为磋商文件发售之日起至磋商响应文件递交截止时间前；</w:t>
      </w:r>
      <w:r>
        <w:rPr>
          <w:rFonts w:ascii="宋体" w:hAnsi="宋体" w:cs="宋体"/>
          <w:kern w:val="0"/>
          <w:sz w:val="24"/>
        </w:rPr>
        <w:t xml:space="preserve"> </w:t>
      </w:r>
    </w:p>
    <w:p>
      <w:pPr>
        <w:spacing w:line="360" w:lineRule="auto"/>
        <w:ind w:firstLine="482" w:firstLineChars="200"/>
        <w:jc w:val="left"/>
        <w:rPr>
          <w:rFonts w:ascii="宋体" w:cs="宋体"/>
          <w:b/>
          <w:bCs/>
          <w:kern w:val="0"/>
          <w:sz w:val="24"/>
          <w:u w:val="single"/>
        </w:rPr>
      </w:pPr>
      <w:r>
        <w:rPr>
          <w:rFonts w:ascii="宋体" w:hAnsi="宋体" w:cs="宋体"/>
          <w:b/>
          <w:bCs/>
          <w:kern w:val="0"/>
          <w:sz w:val="24"/>
          <w:u w:val="single"/>
        </w:rPr>
        <w:t>3.3</w:t>
      </w:r>
      <w:r>
        <w:rPr>
          <w:rFonts w:hint="eastAsia" w:ascii="宋体" w:hAnsi="宋体" w:cs="宋体"/>
          <w:b/>
          <w:bCs/>
          <w:kern w:val="0"/>
          <w:sz w:val="24"/>
          <w:u w:val="single"/>
        </w:rPr>
        <w:t>）证据留存的具体方式：磋商响应文件中应提供规定查询渠道网站上的查询记录截图并加盖公章：</w:t>
      </w:r>
    </w:p>
    <w:p>
      <w:pPr>
        <w:spacing w:line="360" w:lineRule="auto"/>
        <w:ind w:firstLine="480" w:firstLineChars="200"/>
        <w:jc w:val="left"/>
        <w:rPr>
          <w:rFonts w:ascii="宋体" w:cs="宋体"/>
          <w:kern w:val="0"/>
          <w:sz w:val="24"/>
        </w:rPr>
      </w:pPr>
      <w:r>
        <w:rPr>
          <w:rFonts w:hint="eastAsia" w:ascii="宋体" w:hAnsi="宋体" w:cs="宋体"/>
          <w:kern w:val="0"/>
          <w:sz w:val="24"/>
        </w:rPr>
        <w:t>“信用中国”网站截图须清晰体现被列入失信被执行人、重大税收违法案件当事人名单、政府采购严重违法失信行为记录名单、行政处罚数量及黑名单数量，若两项数量不为“</w:t>
      </w:r>
      <w:r>
        <w:rPr>
          <w:rFonts w:ascii="宋体" w:cs="宋体"/>
          <w:kern w:val="0"/>
          <w:sz w:val="24"/>
        </w:rPr>
        <w:t>0</w:t>
      </w:r>
      <w:r>
        <w:rPr>
          <w:rFonts w:hint="eastAsia" w:ascii="宋体" w:hAnsi="宋体" w:cs="宋体"/>
          <w:kern w:val="0"/>
          <w:sz w:val="24"/>
        </w:rPr>
        <w:t>”，则应将处罚内容或黑名单内容截图加盖公章附在磋商响应文件中。</w:t>
      </w:r>
    </w:p>
    <w:p>
      <w:pPr>
        <w:spacing w:line="360" w:lineRule="auto"/>
        <w:ind w:firstLine="480" w:firstLineChars="200"/>
        <w:jc w:val="left"/>
        <w:rPr>
          <w:rFonts w:ascii="宋体" w:cs="宋体"/>
          <w:kern w:val="0"/>
          <w:sz w:val="24"/>
        </w:rPr>
      </w:pPr>
      <w:r>
        <w:rPr>
          <w:rFonts w:hint="eastAsia" w:ascii="宋体" w:hAnsi="宋体" w:cs="宋体"/>
          <w:kern w:val="0"/>
          <w:sz w:val="24"/>
        </w:rPr>
        <w:t>“中国政府采购网”网站截图须清晰体现是否存在违法行为记录，若存在，则应将严重违法失信行为的具体情形、处罚结果、处罚日期、公布日期等截图加盖公章附在磋商响应文件中。</w:t>
      </w:r>
    </w:p>
    <w:p>
      <w:pPr>
        <w:tabs>
          <w:tab w:val="left" w:pos="3544"/>
        </w:tabs>
        <w:wordWrap w:val="0"/>
        <w:spacing w:line="360" w:lineRule="auto"/>
        <w:ind w:firstLine="480" w:firstLineChars="200"/>
        <w:rPr>
          <w:rFonts w:ascii="宋体" w:cs="宋体"/>
          <w:sz w:val="24"/>
          <w:u w:val="single"/>
        </w:rPr>
      </w:pPr>
      <w:r>
        <w:rPr>
          <w:rFonts w:ascii="宋体" w:hAnsi="宋体" w:cs="宋体"/>
          <w:kern w:val="0"/>
          <w:sz w:val="24"/>
        </w:rPr>
        <w:t>4</w:t>
      </w:r>
      <w:r>
        <w:rPr>
          <w:rFonts w:hint="eastAsia" w:ascii="宋体" w:hAnsi="宋体" w:cs="宋体"/>
          <w:kern w:val="0"/>
          <w:sz w:val="24"/>
        </w:rPr>
        <w:t>）被列入失信被执行人、重大税收违法案件当事人名单、政府采购严重违法失信行为记录名单的单位，其磋商无效（处罚期限届满的除外，如相关失信记录已失效，供应商需提供相关证明资料加盖公章附在磋商响应文件中）。</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、响应文件的编制</w:t>
      </w:r>
    </w:p>
    <w:p>
      <w:pPr>
        <w:tabs>
          <w:tab w:val="left" w:pos="3544"/>
        </w:tabs>
        <w:wordWrap w:val="0"/>
        <w:spacing w:line="360" w:lineRule="auto"/>
        <w:ind w:firstLine="480" w:firstLineChars="200"/>
        <w:rPr>
          <w:rFonts w:ascii="宋体" w:cs="宋体"/>
          <w:sz w:val="24"/>
        </w:rPr>
      </w:pPr>
      <w:r>
        <w:rPr>
          <w:rFonts w:ascii="宋体" w:hAnsi="宋体" w:cs="宋体"/>
          <w:sz w:val="24"/>
        </w:rPr>
        <w:t>3.1</w:t>
      </w:r>
      <w:r>
        <w:rPr>
          <w:rFonts w:hint="eastAsia" w:ascii="宋体" w:hAnsi="宋体" w:cs="宋体"/>
          <w:sz w:val="24"/>
        </w:rPr>
        <w:t>响应文件必须根据磋商文件提供的内容及格式编制，并对磋商文件做出实质性响应；</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本项目只允许供应商提供一个方案或一个报价，响应文件中出现任何有选择的方案或报价的，按无效磋商处理。</w:t>
      </w:r>
    </w:p>
    <w:p>
      <w:pPr>
        <w:tabs>
          <w:tab w:val="left" w:pos="3544"/>
        </w:tabs>
        <w:wordWrap w:val="0"/>
        <w:spacing w:line="360" w:lineRule="auto"/>
        <w:rPr>
          <w:rFonts w:ascii="宋体" w:cs="宋体"/>
          <w:b/>
          <w:sz w:val="24"/>
        </w:rPr>
      </w:pPr>
      <w:r>
        <w:rPr>
          <w:rFonts w:ascii="宋体" w:hAnsi="宋体" w:cs="宋体"/>
          <w:b/>
          <w:sz w:val="24"/>
        </w:rPr>
        <w:t>4</w:t>
      </w:r>
      <w:r>
        <w:rPr>
          <w:rFonts w:hint="eastAsia" w:ascii="宋体" w:hAnsi="宋体" w:cs="宋体"/>
          <w:b/>
          <w:sz w:val="24"/>
        </w:rPr>
        <w:t>、磋商报价</w:t>
      </w:r>
    </w:p>
    <w:p>
      <w:pPr>
        <w:tabs>
          <w:tab w:val="left" w:pos="3544"/>
        </w:tabs>
        <w:wordWrap w:val="0"/>
        <w:spacing w:line="360" w:lineRule="auto"/>
        <w:ind w:firstLine="480" w:firstLineChars="200"/>
        <w:rPr>
          <w:rFonts w:ascii="宋体" w:cs="宋体"/>
          <w:sz w:val="24"/>
        </w:rPr>
      </w:pPr>
      <w:r>
        <w:rPr>
          <w:rFonts w:ascii="宋体" w:hAnsi="宋体" w:cs="宋体"/>
          <w:sz w:val="24"/>
        </w:rPr>
        <w:t>4.1</w:t>
      </w:r>
      <w:r>
        <w:rPr>
          <w:rFonts w:hint="eastAsia" w:ascii="宋体" w:hAnsi="宋体" w:cs="宋体"/>
          <w:sz w:val="24"/>
        </w:rPr>
        <w:t>磋商报价是货物运至最终目的地的运输、保险和伴随货物服务的其他所有费用或者提供服务至验收完成和伴随服务的其他所有费用，以磋商文件的内容和要求作为依据；</w:t>
      </w:r>
    </w:p>
    <w:p>
      <w:pPr>
        <w:tabs>
          <w:tab w:val="left" w:pos="3544"/>
        </w:tabs>
        <w:wordWrap w:val="0"/>
        <w:spacing w:line="360" w:lineRule="auto"/>
        <w:ind w:firstLine="480" w:firstLineChars="200"/>
        <w:rPr>
          <w:rFonts w:ascii="宋体" w:cs="宋体"/>
          <w:sz w:val="24"/>
        </w:rPr>
      </w:pPr>
      <w:r>
        <w:rPr>
          <w:rFonts w:ascii="宋体" w:hAnsi="宋体" w:cs="宋体"/>
          <w:sz w:val="24"/>
        </w:rPr>
        <w:t>4.2</w:t>
      </w:r>
      <w:r>
        <w:rPr>
          <w:rFonts w:hint="eastAsia" w:ascii="宋体" w:hAnsi="宋体" w:cs="宋体"/>
          <w:sz w:val="24"/>
        </w:rPr>
        <w:t>供应商应在响应文件中的响应分项报价表上，标明响应货物和服务的单项费用；任何有选择的报价不予接受；</w:t>
      </w:r>
    </w:p>
    <w:p>
      <w:pPr>
        <w:tabs>
          <w:tab w:val="left" w:pos="3544"/>
        </w:tabs>
        <w:wordWrap w:val="0"/>
        <w:spacing w:line="360" w:lineRule="auto"/>
        <w:ind w:firstLine="480" w:firstLineChars="200"/>
        <w:rPr>
          <w:rFonts w:ascii="宋体" w:cs="宋体"/>
          <w:sz w:val="24"/>
        </w:rPr>
      </w:pPr>
      <w:r>
        <w:rPr>
          <w:rFonts w:ascii="宋体" w:hAnsi="宋体" w:cs="宋体"/>
          <w:sz w:val="24"/>
        </w:rPr>
        <w:t xml:space="preserve">4.3 </w:t>
      </w:r>
      <w:r>
        <w:rPr>
          <w:rFonts w:hint="eastAsia" w:ascii="宋体" w:hAnsi="宋体" w:cs="宋体"/>
          <w:sz w:val="24"/>
        </w:rPr>
        <w:t>不允许出现“赠送”、“免费”等字样，对于零报价的项目必须标明“包含在某项费用中”；</w:t>
      </w:r>
    </w:p>
    <w:p>
      <w:pPr>
        <w:tabs>
          <w:tab w:val="left" w:pos="3544"/>
        </w:tabs>
        <w:wordWrap w:val="0"/>
        <w:spacing w:line="360" w:lineRule="auto"/>
        <w:ind w:firstLine="480" w:firstLineChars="200"/>
        <w:rPr>
          <w:rFonts w:ascii="宋体" w:cs="宋体"/>
          <w:sz w:val="24"/>
        </w:rPr>
      </w:pPr>
      <w:r>
        <w:rPr>
          <w:rFonts w:ascii="宋体" w:hAnsi="宋体" w:cs="宋体"/>
          <w:sz w:val="24"/>
        </w:rPr>
        <w:t>4.4</w:t>
      </w:r>
      <w:r>
        <w:rPr>
          <w:rFonts w:hint="eastAsia" w:ascii="宋体" w:hAnsi="宋体" w:cs="宋体"/>
          <w:sz w:val="24"/>
        </w:rPr>
        <w:t>磋商货币：人民币；单位：元；</w:t>
      </w:r>
    </w:p>
    <w:p>
      <w:pPr>
        <w:tabs>
          <w:tab w:val="left" w:pos="3544"/>
        </w:tabs>
        <w:wordWrap w:val="0"/>
        <w:spacing w:line="360" w:lineRule="auto"/>
        <w:ind w:firstLine="480" w:firstLineChars="200"/>
        <w:rPr>
          <w:rFonts w:ascii="宋体" w:cs="宋体"/>
          <w:sz w:val="24"/>
        </w:rPr>
      </w:pPr>
      <w:r>
        <w:rPr>
          <w:rFonts w:ascii="宋体" w:hAnsi="宋体" w:cs="宋体"/>
          <w:sz w:val="24"/>
        </w:rPr>
        <w:t>4.5</w:t>
      </w:r>
      <w:r>
        <w:rPr>
          <w:rFonts w:hint="eastAsia" w:ascii="宋体" w:hAnsi="宋体" w:cs="宋体"/>
          <w:sz w:val="24"/>
        </w:rPr>
        <w:t>响应报价表应有法定代表人或被授权人的签字；</w:t>
      </w:r>
    </w:p>
    <w:p>
      <w:pPr>
        <w:tabs>
          <w:tab w:val="left" w:pos="3544"/>
        </w:tabs>
        <w:wordWrap w:val="0"/>
        <w:spacing w:line="360" w:lineRule="auto"/>
        <w:ind w:firstLine="480" w:firstLineChars="200"/>
        <w:rPr>
          <w:rFonts w:ascii="宋体" w:cs="宋体"/>
          <w:bCs/>
          <w:sz w:val="24"/>
        </w:rPr>
      </w:pPr>
      <w:r>
        <w:rPr>
          <w:rFonts w:ascii="宋体" w:hAnsi="宋体" w:cs="宋体"/>
          <w:bCs/>
          <w:sz w:val="24"/>
        </w:rPr>
        <w:t>4.6</w:t>
      </w:r>
      <w:r>
        <w:rPr>
          <w:rFonts w:hint="eastAsia" w:ascii="宋体" w:hAnsi="宋体" w:cs="宋体"/>
          <w:bCs/>
          <w:sz w:val="24"/>
        </w:rPr>
        <w:t>合同价格：</w:t>
      </w:r>
    </w:p>
    <w:p>
      <w:pPr>
        <w:tabs>
          <w:tab w:val="left" w:pos="3544"/>
        </w:tabs>
        <w:wordWrap w:val="0"/>
        <w:spacing w:line="360" w:lineRule="auto"/>
        <w:ind w:firstLine="480" w:firstLineChars="200"/>
        <w:rPr>
          <w:rFonts w:ascii="宋体" w:cs="宋体"/>
          <w:bCs/>
          <w:sz w:val="24"/>
        </w:rPr>
      </w:pPr>
      <w:r>
        <w:rPr>
          <w:rFonts w:ascii="宋体" w:hAnsi="宋体" w:cs="宋体"/>
          <w:bCs/>
          <w:sz w:val="24"/>
        </w:rPr>
        <w:t>4.6.1</w:t>
      </w:r>
      <w:r>
        <w:rPr>
          <w:rFonts w:hint="eastAsia" w:ascii="宋体" w:hAnsi="宋体" w:cs="宋体"/>
          <w:bCs/>
          <w:sz w:val="24"/>
        </w:rPr>
        <w:t>经磋商小组确认的某一供应商的最后报价，在合同执行过程中是固定不变的，不受外汇汇率及市场价格变化的影响；</w:t>
      </w:r>
    </w:p>
    <w:p>
      <w:pPr>
        <w:tabs>
          <w:tab w:val="left" w:pos="3544"/>
        </w:tabs>
        <w:wordWrap w:val="0"/>
        <w:spacing w:line="360" w:lineRule="auto"/>
        <w:ind w:firstLine="482" w:firstLineChars="200"/>
        <w:rPr>
          <w:rFonts w:ascii="宋体" w:cs="宋体"/>
          <w:b/>
          <w:sz w:val="24"/>
          <w:u w:val="single"/>
        </w:rPr>
      </w:pPr>
      <w:r>
        <w:rPr>
          <w:rFonts w:ascii="宋体" w:hAnsi="宋体" w:cs="宋体"/>
          <w:b/>
          <w:sz w:val="24"/>
          <w:u w:val="single"/>
        </w:rPr>
        <w:t>4.6.2</w:t>
      </w:r>
      <w:r>
        <w:rPr>
          <w:rFonts w:hint="eastAsia" w:ascii="宋体" w:hAnsi="宋体" w:cs="宋体"/>
          <w:b/>
          <w:sz w:val="24"/>
          <w:u w:val="single"/>
        </w:rPr>
        <w:t>合同价为固定总价，不受市场价格变化的影响；（包含设备费、人工费、运输费、安装费、调试费、培训费、售后服务费及税收等费用）；</w:t>
      </w:r>
    </w:p>
    <w:p>
      <w:pPr>
        <w:tabs>
          <w:tab w:val="left" w:pos="3544"/>
        </w:tabs>
        <w:wordWrap w:val="0"/>
        <w:spacing w:line="360" w:lineRule="auto"/>
        <w:ind w:firstLine="480" w:firstLineChars="200"/>
        <w:rPr>
          <w:rFonts w:ascii="宋体" w:cs="宋体"/>
          <w:sz w:val="24"/>
        </w:rPr>
      </w:pPr>
      <w:r>
        <w:rPr>
          <w:rFonts w:ascii="宋体" w:hAnsi="宋体" w:cs="宋体"/>
          <w:sz w:val="24"/>
        </w:rPr>
        <w:t>4.7</w:t>
      </w:r>
      <w:r>
        <w:rPr>
          <w:rFonts w:hint="eastAsia" w:ascii="宋体" w:hAnsi="宋体" w:cs="宋体"/>
          <w:sz w:val="24"/>
        </w:rPr>
        <w:t>凡因供应商对磋商文件阅读不深、理解不透、误解、疏漏、或因市场行情了解不清造成的后果和风险均由供应商自行承担；</w:t>
      </w:r>
    </w:p>
    <w:p>
      <w:pPr>
        <w:tabs>
          <w:tab w:val="left" w:pos="3544"/>
        </w:tabs>
        <w:wordWrap w:val="0"/>
        <w:spacing w:line="360" w:lineRule="auto"/>
        <w:ind w:firstLine="480" w:firstLineChars="200"/>
        <w:rPr>
          <w:rFonts w:ascii="宋体" w:cs="宋体"/>
          <w:sz w:val="24"/>
        </w:rPr>
      </w:pPr>
      <w:r>
        <w:rPr>
          <w:rFonts w:ascii="宋体" w:hAnsi="宋体" w:cs="宋体"/>
          <w:sz w:val="24"/>
        </w:rPr>
        <w:t>4.8</w:t>
      </w:r>
      <w:r>
        <w:rPr>
          <w:rFonts w:hint="eastAsia" w:ascii="宋体" w:hAnsi="宋体" w:cs="宋体"/>
          <w:sz w:val="24"/>
        </w:rPr>
        <w:t>最低报价不是成交的唯一依据；</w:t>
      </w:r>
    </w:p>
    <w:p>
      <w:pPr>
        <w:tabs>
          <w:tab w:val="left" w:pos="3544"/>
        </w:tabs>
        <w:wordWrap w:val="0"/>
        <w:spacing w:line="360" w:lineRule="auto"/>
        <w:ind w:firstLine="480" w:firstLineChars="200"/>
        <w:rPr>
          <w:rFonts w:ascii="宋体" w:cs="宋体"/>
          <w:sz w:val="24"/>
        </w:rPr>
      </w:pPr>
      <w:r>
        <w:rPr>
          <w:rFonts w:ascii="宋体" w:hAnsi="宋体" w:cs="宋体"/>
          <w:sz w:val="24"/>
        </w:rPr>
        <w:t>4.9</w:t>
      </w:r>
      <w:r>
        <w:rPr>
          <w:rFonts w:hint="eastAsia" w:ascii="宋体" w:hAnsi="宋体" w:cs="宋体"/>
          <w:sz w:val="24"/>
        </w:rPr>
        <w:t>磋商小组认为供应商的报价明显低于其他通过符合性审查供应商的报价，有可能影响产品质量或者不能诚信履约的，应当要求其在磋商现场合理的时间内提供书面说明</w:t>
      </w:r>
      <w:r>
        <w:rPr>
          <w:rFonts w:ascii="宋体" w:hAnsi="宋体" w:cs="宋体"/>
          <w:sz w:val="24"/>
        </w:rPr>
        <w:t>;</w:t>
      </w:r>
      <w:r>
        <w:rPr>
          <w:rFonts w:hint="eastAsia" w:ascii="宋体" w:hAnsi="宋体" w:cs="宋体"/>
          <w:sz w:val="24"/>
        </w:rPr>
        <w:t>供应商不能证明其报价合理性的，磋商小组应当将其作为无效磋商处理。</w:t>
      </w:r>
    </w:p>
    <w:p>
      <w:pPr>
        <w:tabs>
          <w:tab w:val="left" w:pos="3544"/>
        </w:tabs>
        <w:wordWrap w:val="0"/>
        <w:spacing w:line="360" w:lineRule="auto"/>
        <w:rPr>
          <w:rFonts w:ascii="宋体" w:cs="宋体"/>
          <w:b/>
          <w:sz w:val="24"/>
        </w:rPr>
      </w:pPr>
      <w:r>
        <w:rPr>
          <w:rFonts w:ascii="宋体" w:hAnsi="宋体" w:cs="宋体"/>
          <w:b/>
          <w:sz w:val="24"/>
        </w:rPr>
        <w:t>5</w:t>
      </w:r>
      <w:r>
        <w:rPr>
          <w:rFonts w:hint="eastAsia" w:ascii="宋体" w:hAnsi="宋体" w:cs="宋体"/>
          <w:b/>
          <w:sz w:val="24"/>
        </w:rPr>
        <w:t>、磋商保证金</w:t>
      </w:r>
    </w:p>
    <w:p>
      <w:pPr>
        <w:wordWrap w:val="0"/>
        <w:spacing w:line="360" w:lineRule="auto"/>
        <w:ind w:firstLine="480" w:firstLineChars="200"/>
        <w:jc w:val="left"/>
        <w:rPr>
          <w:rFonts w:ascii="宋体" w:cs="宋体"/>
          <w:sz w:val="24"/>
          <w:szCs w:val="22"/>
        </w:rPr>
      </w:pPr>
      <w:r>
        <w:rPr>
          <w:rFonts w:ascii="宋体" w:hAnsi="宋体" w:cs="宋体"/>
          <w:sz w:val="24"/>
        </w:rPr>
        <w:t>5.1</w:t>
      </w:r>
      <w:r>
        <w:rPr>
          <w:rFonts w:hint="eastAsia" w:ascii="宋体" w:hAnsi="宋体" w:cs="宋体"/>
          <w:sz w:val="24"/>
          <w:szCs w:val="22"/>
        </w:rPr>
        <w:t>供应商应按磋商文件规定的金额和期限交纳磋商保证金，磋商保证金作为磋商文件的组成部分。</w:t>
      </w:r>
    </w:p>
    <w:p>
      <w:pPr>
        <w:wordWrap w:val="0"/>
        <w:spacing w:line="360" w:lineRule="auto"/>
        <w:ind w:firstLine="480" w:firstLineChars="200"/>
        <w:jc w:val="left"/>
        <w:rPr>
          <w:rFonts w:ascii="宋体" w:cs="宋体"/>
          <w:b/>
          <w:sz w:val="24"/>
          <w:u w:val="single"/>
        </w:rPr>
      </w:pPr>
      <w:r>
        <w:rPr>
          <w:rFonts w:ascii="宋体" w:hAnsi="宋体" w:cs="宋体"/>
          <w:sz w:val="24"/>
          <w:szCs w:val="22"/>
        </w:rPr>
        <w:t>5.2</w:t>
      </w:r>
      <w:r>
        <w:rPr>
          <w:rFonts w:hint="eastAsia" w:ascii="宋体" w:hAnsi="宋体" w:cs="宋体"/>
          <w:b/>
          <w:sz w:val="24"/>
          <w:u w:val="single"/>
        </w:rPr>
        <w:t>磋商保证金金额为：人民币叁万伍仟元整（￥35000.00）</w:t>
      </w:r>
    </w:p>
    <w:p>
      <w:pPr>
        <w:wordWrap w:val="0"/>
        <w:spacing w:line="360" w:lineRule="auto"/>
        <w:ind w:firstLine="480" w:firstLineChars="200"/>
        <w:jc w:val="left"/>
        <w:rPr>
          <w:rFonts w:ascii="宋体" w:cs="宋体"/>
          <w:sz w:val="24"/>
          <w:szCs w:val="22"/>
        </w:rPr>
      </w:pPr>
      <w:r>
        <w:rPr>
          <w:rFonts w:ascii="宋体" w:hAnsi="宋体" w:cs="宋体"/>
          <w:sz w:val="24"/>
          <w:szCs w:val="22"/>
        </w:rPr>
        <w:t>5.3</w:t>
      </w:r>
      <w:r>
        <w:rPr>
          <w:rFonts w:hint="eastAsia" w:ascii="宋体" w:hAnsi="宋体" w:cs="宋体"/>
          <w:sz w:val="24"/>
          <w:szCs w:val="22"/>
        </w:rPr>
        <w:t>磋商保证金可采用下列任何一种形式支付：</w:t>
      </w:r>
    </w:p>
    <w:p>
      <w:pPr>
        <w:wordWrap w:val="0"/>
        <w:spacing w:line="360" w:lineRule="auto"/>
        <w:ind w:firstLine="960" w:firstLineChars="400"/>
        <w:jc w:val="left"/>
        <w:rPr>
          <w:rFonts w:ascii="宋体" w:cs="宋体"/>
          <w:sz w:val="24"/>
          <w:szCs w:val="22"/>
        </w:rPr>
      </w:pPr>
      <w:r>
        <w:rPr>
          <w:rFonts w:ascii="宋体" w:hAnsi="宋体" w:cs="宋体"/>
          <w:sz w:val="24"/>
          <w:szCs w:val="22"/>
        </w:rPr>
        <w:t>A</w:t>
      </w:r>
      <w:r>
        <w:rPr>
          <w:rFonts w:hint="eastAsia" w:ascii="宋体" w:hAnsi="宋体" w:cs="宋体"/>
          <w:sz w:val="24"/>
          <w:szCs w:val="22"/>
        </w:rPr>
        <w:t>电汇</w:t>
      </w:r>
      <w:r>
        <w:rPr>
          <w:rFonts w:ascii="宋体" w:hAnsi="宋体" w:cs="宋体"/>
          <w:sz w:val="24"/>
          <w:szCs w:val="22"/>
        </w:rPr>
        <w:t xml:space="preserve">      B</w:t>
      </w:r>
      <w:r>
        <w:rPr>
          <w:rFonts w:hint="eastAsia" w:ascii="宋体" w:hAnsi="宋体" w:cs="宋体"/>
          <w:sz w:val="24"/>
          <w:szCs w:val="22"/>
        </w:rPr>
        <w:t>银行转帐</w:t>
      </w:r>
    </w:p>
    <w:p>
      <w:pPr>
        <w:wordWrap w:val="0"/>
        <w:spacing w:line="360" w:lineRule="auto"/>
        <w:ind w:firstLine="482" w:firstLineChars="200"/>
        <w:jc w:val="left"/>
        <w:rPr>
          <w:rFonts w:ascii="宋体" w:cs="宋体"/>
          <w:sz w:val="24"/>
          <w:szCs w:val="22"/>
        </w:rPr>
      </w:pPr>
      <w:r>
        <w:rPr>
          <w:rFonts w:hint="eastAsia" w:ascii="宋体" w:hAnsi="宋体" w:cs="宋体"/>
          <w:b/>
          <w:sz w:val="24"/>
          <w:szCs w:val="22"/>
        </w:rPr>
        <w:t>磋商保证金支付账户：</w:t>
      </w:r>
    </w:p>
    <w:p>
      <w:pPr>
        <w:wordWrap w:val="0"/>
        <w:spacing w:line="360" w:lineRule="auto"/>
        <w:ind w:firstLine="480" w:firstLineChars="200"/>
        <w:jc w:val="left"/>
        <w:rPr>
          <w:rFonts w:ascii="宋体" w:cs="宋体"/>
          <w:sz w:val="24"/>
          <w:szCs w:val="22"/>
        </w:rPr>
      </w:pPr>
      <w:r>
        <w:rPr>
          <w:rFonts w:hint="eastAsia" w:ascii="宋体" w:hAnsi="宋体" w:cs="宋体"/>
          <w:sz w:val="24"/>
          <w:szCs w:val="22"/>
        </w:rPr>
        <w:t>开户名称：陕西博源招标服务有限公司</w:t>
      </w:r>
    </w:p>
    <w:p>
      <w:pPr>
        <w:wordWrap w:val="0"/>
        <w:spacing w:line="360" w:lineRule="auto"/>
        <w:ind w:firstLine="480" w:firstLineChars="200"/>
        <w:jc w:val="left"/>
        <w:rPr>
          <w:rFonts w:ascii="宋体" w:cs="宋体"/>
          <w:sz w:val="24"/>
          <w:szCs w:val="22"/>
        </w:rPr>
      </w:pPr>
      <w:r>
        <w:rPr>
          <w:rFonts w:hint="eastAsia" w:ascii="宋体" w:hAnsi="宋体" w:cs="宋体"/>
          <w:sz w:val="24"/>
          <w:szCs w:val="22"/>
        </w:rPr>
        <w:t>开户银行：兴业银行西安新城支行</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帐</w:t>
      </w:r>
      <w:r>
        <w:rPr>
          <w:rFonts w:ascii="宋体" w:hAnsi="宋体" w:cs="宋体"/>
          <w:sz w:val="24"/>
          <w:szCs w:val="22"/>
        </w:rPr>
        <w:t xml:space="preserve">    </w:t>
      </w:r>
      <w:r>
        <w:rPr>
          <w:rFonts w:hint="eastAsia" w:ascii="宋体" w:hAnsi="宋体" w:cs="宋体"/>
          <w:sz w:val="24"/>
          <w:szCs w:val="22"/>
        </w:rPr>
        <w:t>号：</w:t>
      </w:r>
      <w:r>
        <w:rPr>
          <w:rFonts w:ascii="宋体" w:hAnsi="宋体" w:cs="宋体"/>
          <w:sz w:val="24"/>
          <w:szCs w:val="22"/>
        </w:rPr>
        <w:t>456970 100100 086552</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银行联号：</w:t>
      </w:r>
      <w:r>
        <w:rPr>
          <w:rFonts w:ascii="宋体" w:hAnsi="宋体" w:cs="宋体"/>
          <w:sz w:val="24"/>
          <w:szCs w:val="22"/>
        </w:rPr>
        <w:t>309791 006976</w:t>
      </w:r>
    </w:p>
    <w:p>
      <w:pPr>
        <w:wordWrap w:val="0"/>
        <w:spacing w:line="360" w:lineRule="auto"/>
        <w:ind w:firstLine="480" w:firstLineChars="200"/>
        <w:jc w:val="left"/>
        <w:rPr>
          <w:rFonts w:ascii="宋体" w:hAnsi="宋体" w:cs="宋体"/>
          <w:sz w:val="24"/>
          <w:szCs w:val="22"/>
        </w:rPr>
      </w:pPr>
      <w:r>
        <w:rPr>
          <w:rFonts w:hint="eastAsia" w:ascii="宋体" w:hAnsi="宋体" w:cs="宋体"/>
          <w:sz w:val="24"/>
          <w:szCs w:val="22"/>
        </w:rPr>
        <w:t>财务电话：</w:t>
      </w:r>
      <w:r>
        <w:rPr>
          <w:rFonts w:ascii="宋体" w:hAnsi="宋体" w:cs="宋体"/>
          <w:sz w:val="24"/>
          <w:szCs w:val="22"/>
        </w:rPr>
        <w:t>029-68815111</w:t>
      </w:r>
    </w:p>
    <w:p>
      <w:pPr>
        <w:wordWrap w:val="0"/>
        <w:spacing w:line="360" w:lineRule="auto"/>
        <w:ind w:firstLine="480" w:firstLineChars="200"/>
        <w:rPr>
          <w:rFonts w:ascii="宋体" w:cs="宋体"/>
          <w:b/>
          <w:sz w:val="24"/>
        </w:rPr>
      </w:pPr>
      <w:r>
        <w:rPr>
          <w:rFonts w:ascii="宋体" w:hAnsi="宋体" w:cs="宋体"/>
          <w:sz w:val="24"/>
        </w:rPr>
        <w:t>5.4</w:t>
      </w:r>
      <w:r>
        <w:rPr>
          <w:rFonts w:hint="eastAsia" w:ascii="宋体" w:hAnsi="宋体" w:cs="宋体"/>
          <w:b/>
          <w:sz w:val="24"/>
          <w:u w:val="single"/>
        </w:rPr>
        <w:t>磋商保证金必须在磋商响应文件接收截止前到达采购代理机构账户，逾期无效。（以采购代理机构收到时间为准）供应商应及时联系采购代理机构财务部门确认保证金到账</w:t>
      </w:r>
      <w:r>
        <w:rPr>
          <w:rFonts w:hint="eastAsia" w:ascii="宋体" w:hAnsi="宋体" w:cs="宋体"/>
          <w:b/>
          <w:sz w:val="24"/>
        </w:rPr>
        <w:t>。</w:t>
      </w:r>
    </w:p>
    <w:p>
      <w:pPr>
        <w:wordWrap w:val="0"/>
        <w:spacing w:line="360" w:lineRule="auto"/>
        <w:ind w:firstLine="482" w:firstLineChars="200"/>
        <w:rPr>
          <w:rFonts w:ascii="宋体" w:cs="宋体"/>
          <w:b/>
          <w:sz w:val="24"/>
          <w:u w:val="single"/>
        </w:rPr>
      </w:pPr>
      <w:r>
        <w:rPr>
          <w:rFonts w:hint="eastAsia" w:ascii="宋体" w:hAnsi="宋体" w:cs="宋体"/>
          <w:b/>
          <w:sz w:val="24"/>
          <w:u w:val="single"/>
        </w:rPr>
        <w:t>保证金须以单位公户递交，并正确填写项目编号及供应商名称</w:t>
      </w:r>
      <w:r>
        <w:rPr>
          <w:rFonts w:ascii="宋体" w:hAnsi="宋体" w:cs="宋体"/>
          <w:b/>
          <w:sz w:val="24"/>
          <w:u w:val="single"/>
        </w:rPr>
        <w:t>(</w:t>
      </w:r>
      <w:r>
        <w:rPr>
          <w:rFonts w:hint="eastAsia" w:ascii="宋体" w:hAnsi="宋体" w:cs="宋体"/>
          <w:b/>
          <w:sz w:val="24"/>
          <w:u w:val="single"/>
        </w:rPr>
        <w:t>可简写</w:t>
      </w:r>
      <w:r>
        <w:rPr>
          <w:rFonts w:ascii="宋体" w:hAnsi="宋体" w:cs="宋体"/>
          <w:b/>
          <w:sz w:val="24"/>
          <w:u w:val="single"/>
        </w:rPr>
        <w:t>)</w:t>
      </w:r>
      <w:r>
        <w:rPr>
          <w:rFonts w:hint="eastAsia" w:ascii="宋体" w:hAnsi="宋体" w:cs="宋体"/>
          <w:b/>
          <w:sz w:val="24"/>
          <w:u w:val="single"/>
        </w:rPr>
        <w:t>，否则有可能造成磋商失败或者保证金退还延误</w:t>
      </w:r>
      <w:r>
        <w:rPr>
          <w:rFonts w:hint="eastAsia" w:ascii="宋体" w:hAnsi="宋体" w:cs="宋体"/>
          <w:b/>
          <w:sz w:val="24"/>
        </w:rPr>
        <w:t>。</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rPr>
        <w:t>供应商未交纳、未足额交纳或未按规定时间交纳保证金的，将被视为自动放弃磋商权利。</w:t>
      </w:r>
    </w:p>
    <w:p>
      <w:pPr>
        <w:tabs>
          <w:tab w:val="left" w:pos="3544"/>
        </w:tabs>
        <w:wordWrap w:val="0"/>
        <w:spacing w:line="360" w:lineRule="auto"/>
        <w:ind w:firstLine="480" w:firstLineChars="200"/>
        <w:rPr>
          <w:rFonts w:ascii="宋体" w:cs="宋体"/>
          <w:sz w:val="24"/>
        </w:rPr>
      </w:pPr>
      <w:r>
        <w:rPr>
          <w:rFonts w:ascii="宋体" w:hAnsi="宋体" w:cs="宋体"/>
          <w:sz w:val="24"/>
        </w:rPr>
        <w:t>5.6</w:t>
      </w:r>
      <w:r>
        <w:rPr>
          <w:rFonts w:hint="eastAsia" w:ascii="宋体" w:hAnsi="宋体" w:cs="宋体"/>
          <w:sz w:val="24"/>
        </w:rPr>
        <w:t>磋商保证金的交付单位和供应商的名称必须一致，否则将视为响应无效；</w:t>
      </w:r>
    </w:p>
    <w:p>
      <w:pPr>
        <w:tabs>
          <w:tab w:val="left" w:pos="3544"/>
        </w:tabs>
        <w:wordWrap w:val="0"/>
        <w:spacing w:line="360" w:lineRule="auto"/>
        <w:ind w:firstLine="480" w:firstLineChars="200"/>
        <w:rPr>
          <w:rFonts w:ascii="宋体" w:cs="宋体"/>
          <w:sz w:val="24"/>
        </w:rPr>
      </w:pPr>
      <w:r>
        <w:rPr>
          <w:rFonts w:ascii="宋体" w:hAnsi="宋体" w:cs="宋体"/>
          <w:sz w:val="24"/>
        </w:rPr>
        <w:t>5.7</w:t>
      </w:r>
      <w:r>
        <w:rPr>
          <w:rFonts w:hint="eastAsia" w:ascii="宋体" w:hAnsi="宋体" w:cs="宋体"/>
          <w:sz w:val="24"/>
        </w:rPr>
        <w:t>磋商保证金退还：</w:t>
      </w:r>
    </w:p>
    <w:p>
      <w:pPr>
        <w:tabs>
          <w:tab w:val="left" w:pos="3544"/>
        </w:tabs>
        <w:wordWrap w:val="0"/>
        <w:spacing w:line="360" w:lineRule="auto"/>
        <w:ind w:firstLine="720" w:firstLineChars="300"/>
        <w:rPr>
          <w:rFonts w:ascii="宋体" w:cs="宋体"/>
          <w:sz w:val="24"/>
        </w:rPr>
      </w:pPr>
      <w:r>
        <w:rPr>
          <w:rFonts w:ascii="宋体" w:hAnsi="宋体" w:cs="宋体"/>
          <w:sz w:val="24"/>
        </w:rPr>
        <w:t>A.</w:t>
      </w:r>
      <w:r>
        <w:rPr>
          <w:rFonts w:hint="eastAsia" w:ascii="宋体" w:hAnsi="宋体" w:cs="宋体"/>
          <w:sz w:val="24"/>
        </w:rPr>
        <w:t>未成交供应商：成交通知书发出后</w:t>
      </w:r>
      <w:r>
        <w:rPr>
          <w:rFonts w:ascii="宋体" w:hAnsi="宋体" w:cs="宋体"/>
          <w:sz w:val="24"/>
        </w:rPr>
        <w:t>5</w:t>
      </w:r>
      <w:r>
        <w:rPr>
          <w:rFonts w:hint="eastAsia" w:ascii="宋体" w:hAnsi="宋体" w:cs="宋体"/>
          <w:sz w:val="24"/>
        </w:rPr>
        <w:t>个工作日内退还；</w:t>
      </w:r>
    </w:p>
    <w:p>
      <w:pPr>
        <w:tabs>
          <w:tab w:val="left" w:pos="3544"/>
        </w:tabs>
        <w:wordWrap w:val="0"/>
        <w:spacing w:line="360" w:lineRule="auto"/>
        <w:ind w:firstLine="723" w:firstLineChars="300"/>
        <w:rPr>
          <w:rFonts w:ascii="宋体" w:cs="宋体"/>
          <w:b/>
          <w:sz w:val="24"/>
          <w:u w:val="single"/>
        </w:rPr>
      </w:pPr>
      <w:r>
        <w:rPr>
          <w:rFonts w:ascii="宋体" w:hAnsi="宋体" w:cs="宋体"/>
          <w:b/>
          <w:sz w:val="24"/>
          <w:u w:val="single"/>
        </w:rPr>
        <w:t>B.</w:t>
      </w:r>
      <w:r>
        <w:rPr>
          <w:rFonts w:hint="eastAsia" w:ascii="宋体" w:hAnsi="宋体" w:cs="宋体"/>
          <w:b/>
          <w:sz w:val="24"/>
          <w:u w:val="single"/>
        </w:rPr>
        <w:t>成交供应商：采购合同签订后</w:t>
      </w:r>
      <w:r>
        <w:rPr>
          <w:rFonts w:ascii="宋体" w:hAnsi="宋体" w:cs="宋体"/>
          <w:b/>
          <w:sz w:val="24"/>
          <w:u w:val="single"/>
        </w:rPr>
        <w:t>5</w:t>
      </w:r>
      <w:r>
        <w:rPr>
          <w:rFonts w:hint="eastAsia" w:ascii="宋体" w:hAnsi="宋体" w:cs="宋体"/>
          <w:b/>
          <w:sz w:val="24"/>
          <w:u w:val="single"/>
        </w:rPr>
        <w:t>个工作日内退还，成交供应商须在签订采购合同后向代理机构递交采购合同原件或复印件，否则有可能造成保证金退还延误；</w:t>
      </w:r>
    </w:p>
    <w:p>
      <w:pPr>
        <w:tabs>
          <w:tab w:val="left" w:pos="3544"/>
        </w:tabs>
        <w:wordWrap w:val="0"/>
        <w:spacing w:line="360" w:lineRule="auto"/>
        <w:ind w:firstLine="720" w:firstLineChars="300"/>
        <w:rPr>
          <w:rFonts w:ascii="宋体" w:cs="宋体"/>
          <w:sz w:val="24"/>
        </w:rPr>
      </w:pPr>
      <w:r>
        <w:rPr>
          <w:rFonts w:ascii="宋体" w:hAnsi="宋体" w:cs="宋体"/>
          <w:sz w:val="24"/>
        </w:rPr>
        <w:t>C.</w:t>
      </w:r>
      <w:r>
        <w:rPr>
          <w:rFonts w:hint="eastAsia" w:ascii="宋体" w:hAnsi="宋体" w:cs="宋体"/>
          <w:sz w:val="24"/>
        </w:rPr>
        <w:t>若有质疑投诉，采购代理机构将在质疑投诉处理完毕后</w:t>
      </w:r>
      <w:r>
        <w:rPr>
          <w:rFonts w:ascii="宋体" w:hAnsi="宋体" w:cs="宋体"/>
          <w:sz w:val="24"/>
        </w:rPr>
        <w:t>5</w:t>
      </w:r>
      <w:r>
        <w:rPr>
          <w:rFonts w:hint="eastAsia" w:ascii="宋体" w:hAnsi="宋体" w:cs="宋体"/>
          <w:sz w:val="24"/>
        </w:rPr>
        <w:t>个工作日内，按上述</w:t>
      </w:r>
      <w:r>
        <w:rPr>
          <w:rFonts w:ascii="宋体" w:hAnsi="宋体" w:cs="宋体"/>
          <w:sz w:val="24"/>
        </w:rPr>
        <w:t>A</w:t>
      </w:r>
      <w:r>
        <w:rPr>
          <w:rFonts w:hint="eastAsia" w:ascii="宋体" w:hAnsi="宋体" w:cs="宋体"/>
          <w:sz w:val="24"/>
        </w:rPr>
        <w:t>、</w:t>
      </w:r>
      <w:r>
        <w:rPr>
          <w:rFonts w:ascii="宋体" w:hAnsi="宋体" w:cs="宋体"/>
          <w:sz w:val="24"/>
        </w:rPr>
        <w:t>B</w:t>
      </w:r>
      <w:r>
        <w:rPr>
          <w:rFonts w:hint="eastAsia" w:ascii="宋体" w:hAnsi="宋体" w:cs="宋体"/>
          <w:sz w:val="24"/>
        </w:rPr>
        <w:t>规定退还。</w:t>
      </w:r>
    </w:p>
    <w:p>
      <w:pPr>
        <w:tabs>
          <w:tab w:val="left" w:pos="3544"/>
        </w:tabs>
        <w:wordWrap w:val="0"/>
        <w:spacing w:line="360" w:lineRule="auto"/>
        <w:ind w:firstLine="480" w:firstLineChars="200"/>
        <w:rPr>
          <w:rFonts w:ascii="宋体" w:cs="宋体"/>
          <w:sz w:val="24"/>
        </w:rPr>
      </w:pPr>
      <w:r>
        <w:rPr>
          <w:rFonts w:ascii="宋体" w:hAnsi="宋体" w:cs="宋体"/>
          <w:sz w:val="24"/>
        </w:rPr>
        <w:t>5.8</w:t>
      </w:r>
      <w:r>
        <w:rPr>
          <w:rFonts w:hint="eastAsia" w:ascii="宋体" w:hAnsi="宋体" w:cs="宋体"/>
          <w:sz w:val="24"/>
        </w:rPr>
        <w:t>发生下列情况之一，磋商保证金将不予退还：</w:t>
      </w:r>
    </w:p>
    <w:p>
      <w:pPr>
        <w:tabs>
          <w:tab w:val="left" w:pos="3544"/>
        </w:tabs>
        <w:wordWrap w:val="0"/>
        <w:spacing w:line="360" w:lineRule="auto"/>
        <w:ind w:firstLine="720" w:firstLineChars="300"/>
        <w:rPr>
          <w:rFonts w:ascii="宋体" w:cs="宋体"/>
          <w:sz w:val="24"/>
        </w:rPr>
      </w:pPr>
      <w:r>
        <w:rPr>
          <w:rFonts w:ascii="宋体" w:hAnsi="宋体" w:cs="宋体"/>
          <w:sz w:val="24"/>
        </w:rPr>
        <w:t>A.</w:t>
      </w:r>
      <w:r>
        <w:rPr>
          <w:rFonts w:hint="eastAsia" w:ascii="宋体" w:hAnsi="宋体" w:cs="宋体"/>
          <w:sz w:val="24"/>
        </w:rPr>
        <w:t>磋商文件接收截止时间后，供应商撤回其响应文件的；</w:t>
      </w:r>
    </w:p>
    <w:p>
      <w:pPr>
        <w:tabs>
          <w:tab w:val="left" w:pos="3544"/>
        </w:tabs>
        <w:wordWrap w:val="0"/>
        <w:spacing w:line="360" w:lineRule="auto"/>
        <w:ind w:firstLine="720" w:firstLineChars="300"/>
        <w:rPr>
          <w:rFonts w:ascii="宋体" w:cs="宋体"/>
          <w:sz w:val="24"/>
        </w:rPr>
      </w:pPr>
      <w:r>
        <w:rPr>
          <w:rFonts w:ascii="宋体" w:hAnsi="宋体" w:cs="宋体"/>
          <w:sz w:val="24"/>
        </w:rPr>
        <w:t>B.</w:t>
      </w:r>
      <w:r>
        <w:rPr>
          <w:rFonts w:hint="eastAsia" w:ascii="宋体" w:hAnsi="宋体" w:cs="宋体"/>
          <w:sz w:val="24"/>
        </w:rPr>
        <w:t>供应商在响应文件中提供虚假资料的；</w:t>
      </w:r>
    </w:p>
    <w:p>
      <w:pPr>
        <w:tabs>
          <w:tab w:val="left" w:pos="3544"/>
        </w:tabs>
        <w:wordWrap w:val="0"/>
        <w:spacing w:line="360" w:lineRule="auto"/>
        <w:ind w:firstLine="720" w:firstLineChars="300"/>
        <w:rPr>
          <w:rFonts w:ascii="宋体" w:cs="宋体"/>
          <w:sz w:val="24"/>
        </w:rPr>
      </w:pPr>
      <w:r>
        <w:rPr>
          <w:rFonts w:ascii="宋体" w:hAnsi="宋体" w:cs="宋体"/>
          <w:sz w:val="24"/>
        </w:rPr>
        <w:t>C.</w:t>
      </w:r>
      <w:r>
        <w:rPr>
          <w:rFonts w:hint="eastAsia" w:ascii="宋体" w:hAnsi="宋体" w:cs="宋体"/>
          <w:sz w:val="24"/>
        </w:rPr>
        <w:t>成交供应商在规定的时间内不予采购单位签订合同的；</w:t>
      </w:r>
    </w:p>
    <w:p>
      <w:pPr>
        <w:tabs>
          <w:tab w:val="left" w:pos="3544"/>
        </w:tabs>
        <w:wordWrap w:val="0"/>
        <w:spacing w:line="360" w:lineRule="auto"/>
        <w:ind w:firstLine="720" w:firstLineChars="300"/>
        <w:rPr>
          <w:rFonts w:ascii="宋体" w:cs="宋体"/>
          <w:sz w:val="24"/>
        </w:rPr>
      </w:pPr>
      <w:r>
        <w:rPr>
          <w:rFonts w:ascii="宋体" w:hAnsi="宋体" w:cs="宋体"/>
          <w:sz w:val="24"/>
        </w:rPr>
        <w:t>D.</w:t>
      </w:r>
      <w:r>
        <w:rPr>
          <w:rFonts w:hint="eastAsia" w:ascii="宋体" w:hAnsi="宋体" w:cs="宋体"/>
          <w:sz w:val="24"/>
        </w:rPr>
        <w:t>成交供应商未按时交纳成交服务费的；</w:t>
      </w:r>
    </w:p>
    <w:p>
      <w:pPr>
        <w:tabs>
          <w:tab w:val="left" w:pos="3544"/>
        </w:tabs>
        <w:wordWrap w:val="0"/>
        <w:spacing w:line="360" w:lineRule="auto"/>
        <w:ind w:firstLine="720" w:firstLineChars="300"/>
        <w:rPr>
          <w:rFonts w:ascii="宋体" w:cs="宋体"/>
          <w:sz w:val="24"/>
        </w:rPr>
      </w:pPr>
      <w:r>
        <w:rPr>
          <w:rFonts w:ascii="宋体" w:hAnsi="宋体" w:cs="宋体"/>
          <w:sz w:val="24"/>
        </w:rPr>
        <w:t>E.</w:t>
      </w:r>
      <w:r>
        <w:rPr>
          <w:rFonts w:hint="eastAsia" w:ascii="宋体" w:hAnsi="宋体" w:cs="宋体"/>
          <w:sz w:val="24"/>
        </w:rPr>
        <w:t>由于供应商的原因导致成交无效的；</w:t>
      </w:r>
    </w:p>
    <w:p>
      <w:pPr>
        <w:tabs>
          <w:tab w:val="left" w:pos="3544"/>
        </w:tabs>
        <w:wordWrap w:val="0"/>
        <w:spacing w:line="360" w:lineRule="auto"/>
        <w:ind w:firstLine="720" w:firstLineChars="300"/>
        <w:rPr>
          <w:rFonts w:ascii="宋体" w:cs="宋体"/>
          <w:sz w:val="24"/>
        </w:rPr>
      </w:pPr>
      <w:r>
        <w:rPr>
          <w:rFonts w:ascii="宋体" w:hAnsi="宋体" w:cs="宋体"/>
          <w:sz w:val="24"/>
        </w:rPr>
        <w:t>F.</w:t>
      </w:r>
      <w:r>
        <w:rPr>
          <w:rFonts w:hint="eastAsia" w:ascii="宋体" w:hAnsi="宋体" w:cs="宋体"/>
          <w:sz w:val="24"/>
        </w:rPr>
        <w:t>供应商与其他供应商恶意串通的；</w:t>
      </w:r>
    </w:p>
    <w:p>
      <w:pPr>
        <w:tabs>
          <w:tab w:val="left" w:pos="3544"/>
        </w:tabs>
        <w:wordWrap w:val="0"/>
        <w:spacing w:line="360" w:lineRule="auto"/>
        <w:ind w:firstLine="720" w:firstLineChars="300"/>
        <w:rPr>
          <w:rFonts w:ascii="宋体" w:cs="宋体"/>
          <w:b/>
          <w:sz w:val="24"/>
        </w:rPr>
      </w:pPr>
      <w:r>
        <w:rPr>
          <w:rFonts w:ascii="宋体" w:hAnsi="宋体" w:cs="宋体"/>
          <w:sz w:val="24"/>
        </w:rPr>
        <w:t>G.</w:t>
      </w:r>
      <w:r>
        <w:rPr>
          <w:rFonts w:hint="eastAsia" w:ascii="宋体" w:hAnsi="宋体" w:cs="宋体"/>
          <w:sz w:val="24"/>
        </w:rPr>
        <w:t>磋商文件规定的其他不予退还条件的。</w:t>
      </w:r>
    </w:p>
    <w:p>
      <w:pPr>
        <w:tabs>
          <w:tab w:val="left" w:pos="3544"/>
        </w:tabs>
        <w:wordWrap w:val="0"/>
        <w:spacing w:line="360" w:lineRule="auto"/>
        <w:rPr>
          <w:rFonts w:ascii="宋体" w:cs="宋体"/>
          <w:b/>
          <w:sz w:val="24"/>
        </w:rPr>
      </w:pPr>
      <w:r>
        <w:rPr>
          <w:rFonts w:ascii="宋体" w:hAnsi="宋体" w:cs="宋体"/>
          <w:b/>
          <w:sz w:val="24"/>
        </w:rPr>
        <w:t>6</w:t>
      </w:r>
      <w:r>
        <w:rPr>
          <w:rFonts w:hint="eastAsia" w:ascii="宋体" w:hAnsi="宋体" w:cs="宋体"/>
          <w:b/>
          <w:sz w:val="24"/>
        </w:rPr>
        <w:t>、响应文件的有效期</w:t>
      </w:r>
    </w:p>
    <w:p>
      <w:pPr>
        <w:pStyle w:val="77"/>
        <w:widowControl w:val="0"/>
        <w:tabs>
          <w:tab w:val="left" w:pos="3544"/>
        </w:tabs>
        <w:wordWrap w:val="0"/>
        <w:spacing w:line="360" w:lineRule="auto"/>
        <w:ind w:firstLine="480"/>
        <w:rPr>
          <w:rFonts w:ascii="宋体" w:cs="宋体"/>
          <w:sz w:val="24"/>
          <w:szCs w:val="24"/>
        </w:rPr>
      </w:pPr>
      <w:r>
        <w:rPr>
          <w:rFonts w:hint="eastAsia" w:ascii="宋体" w:hAnsi="宋体" w:cs="宋体"/>
          <w:sz w:val="24"/>
          <w:szCs w:val="24"/>
        </w:rPr>
        <w:t>响应文件有效期为自</w:t>
      </w:r>
      <w:r>
        <w:rPr>
          <w:rFonts w:hint="eastAsia" w:ascii="宋体" w:hAnsi="宋体" w:cs="宋体"/>
          <w:sz w:val="24"/>
        </w:rPr>
        <w:t>磋商</w:t>
      </w:r>
      <w:r>
        <w:rPr>
          <w:rFonts w:hint="eastAsia" w:ascii="宋体" w:hAnsi="宋体" w:cs="宋体"/>
          <w:sz w:val="24"/>
          <w:szCs w:val="24"/>
        </w:rPr>
        <w:t>之日起算九十（</w:t>
      </w:r>
      <w:r>
        <w:rPr>
          <w:rFonts w:ascii="宋体" w:hAnsi="宋体" w:cs="宋体"/>
          <w:sz w:val="24"/>
          <w:szCs w:val="24"/>
        </w:rPr>
        <w:t>90</w:t>
      </w:r>
      <w:r>
        <w:rPr>
          <w:rFonts w:hint="eastAsia" w:ascii="宋体" w:hAnsi="宋体" w:cs="宋体"/>
          <w:sz w:val="24"/>
          <w:szCs w:val="24"/>
        </w:rPr>
        <w:t>）个日历日；</w:t>
      </w:r>
      <w:r>
        <w:rPr>
          <w:rFonts w:hint="eastAsia" w:ascii="宋体" w:hAnsi="宋体" w:cs="宋体"/>
          <w:sz w:val="24"/>
        </w:rPr>
        <w:t>无磋商有效期或</w:t>
      </w:r>
      <w:r>
        <w:rPr>
          <w:rFonts w:hint="eastAsia" w:ascii="宋体" w:hAnsi="宋体" w:cs="宋体"/>
          <w:sz w:val="24"/>
          <w:szCs w:val="24"/>
        </w:rPr>
        <w:t>有效期短于规定的</w:t>
      </w:r>
      <w:r>
        <w:rPr>
          <w:rFonts w:hint="eastAsia" w:ascii="宋体" w:hAnsi="宋体" w:cs="宋体"/>
          <w:sz w:val="24"/>
        </w:rPr>
        <w:t>磋商</w:t>
      </w:r>
      <w:r>
        <w:rPr>
          <w:rFonts w:hint="eastAsia" w:ascii="宋体" w:hAnsi="宋体" w:cs="宋体"/>
          <w:sz w:val="24"/>
          <w:szCs w:val="24"/>
        </w:rPr>
        <w:t>有效期，视为无效文件；成交单位的响应文件有效期延长至合同执行完毕。</w:t>
      </w:r>
    </w:p>
    <w:p>
      <w:pPr>
        <w:tabs>
          <w:tab w:val="left" w:pos="3544"/>
        </w:tabs>
        <w:wordWrap w:val="0"/>
        <w:spacing w:line="360" w:lineRule="auto"/>
        <w:rPr>
          <w:rFonts w:ascii="宋体" w:cs="宋体"/>
          <w:b/>
          <w:sz w:val="24"/>
        </w:rPr>
      </w:pPr>
      <w:r>
        <w:rPr>
          <w:rFonts w:ascii="宋体" w:hAnsi="宋体" w:cs="宋体"/>
          <w:b/>
          <w:sz w:val="24"/>
        </w:rPr>
        <w:t>7</w:t>
      </w:r>
      <w:r>
        <w:rPr>
          <w:rFonts w:hint="eastAsia" w:ascii="宋体" w:hAnsi="宋体" w:cs="宋体"/>
          <w:b/>
          <w:sz w:val="24"/>
        </w:rPr>
        <w:t>、响应文件的签署及规定</w:t>
      </w:r>
    </w:p>
    <w:p>
      <w:pPr>
        <w:tabs>
          <w:tab w:val="left" w:pos="3544"/>
        </w:tabs>
        <w:wordWrap w:val="0"/>
        <w:spacing w:line="360" w:lineRule="auto"/>
        <w:ind w:firstLine="480" w:firstLineChars="200"/>
        <w:rPr>
          <w:rFonts w:ascii="宋体" w:cs="宋体"/>
          <w:b/>
          <w:sz w:val="24"/>
        </w:rPr>
      </w:pPr>
      <w:r>
        <w:rPr>
          <w:rFonts w:ascii="宋体" w:hAnsi="宋体" w:cs="宋体"/>
          <w:sz w:val="24"/>
        </w:rPr>
        <w:t>7.1</w:t>
      </w:r>
      <w:r>
        <w:rPr>
          <w:rFonts w:hint="eastAsia" w:ascii="宋体" w:hAnsi="宋体" w:cs="宋体"/>
          <w:sz w:val="24"/>
        </w:rPr>
        <w:t>供应商须依据磋商文件的内容和响应文件格式的要求编制响应文件；</w:t>
      </w:r>
    </w:p>
    <w:p>
      <w:pPr>
        <w:tabs>
          <w:tab w:val="left" w:pos="3544"/>
        </w:tabs>
        <w:wordWrap w:val="0"/>
        <w:spacing w:line="360" w:lineRule="auto"/>
        <w:ind w:firstLine="480" w:firstLineChars="200"/>
        <w:rPr>
          <w:rFonts w:ascii="宋体" w:cs="宋体"/>
          <w:b/>
          <w:sz w:val="24"/>
        </w:rPr>
      </w:pPr>
      <w:r>
        <w:rPr>
          <w:rFonts w:ascii="宋体" w:hAnsi="宋体" w:cs="宋体"/>
          <w:sz w:val="24"/>
        </w:rPr>
        <w:t>7.2</w:t>
      </w:r>
      <w:r>
        <w:rPr>
          <w:rFonts w:hint="eastAsia" w:ascii="宋体" w:hAnsi="宋体" w:cs="宋体"/>
          <w:sz w:val="24"/>
        </w:rPr>
        <w:t>响应文件的正本和副本均需打印或用不褪色的黑墨水填写，副本可以采用正本的复印件（有原件要求的除外），封面注明“正本”、“副本”字样。分别胶装成本（册）、逐页编码；</w:t>
      </w:r>
    </w:p>
    <w:p>
      <w:pPr>
        <w:tabs>
          <w:tab w:val="left" w:pos="3544"/>
        </w:tabs>
        <w:wordWrap w:val="0"/>
        <w:spacing w:line="360" w:lineRule="auto"/>
        <w:ind w:firstLine="480" w:firstLineChars="200"/>
        <w:rPr>
          <w:rFonts w:ascii="宋体" w:cs="宋体"/>
          <w:b/>
          <w:sz w:val="24"/>
        </w:rPr>
      </w:pPr>
      <w:r>
        <w:rPr>
          <w:rFonts w:ascii="宋体" w:hAnsi="宋体" w:cs="宋体"/>
          <w:sz w:val="24"/>
        </w:rPr>
        <w:t>7.3</w:t>
      </w:r>
      <w:r>
        <w:rPr>
          <w:rFonts w:hint="eastAsia" w:ascii="宋体" w:hAnsi="宋体" w:cs="宋体"/>
          <w:sz w:val="24"/>
        </w:rPr>
        <w:t>本次磋商需提交响应文件</w:t>
      </w:r>
      <w:r>
        <w:rPr>
          <w:rFonts w:hint="eastAsia" w:ascii="宋体" w:hAnsi="宋体" w:cs="宋体"/>
          <w:b/>
          <w:sz w:val="24"/>
        </w:rPr>
        <w:t>共叁份</w:t>
      </w:r>
      <w:r>
        <w:rPr>
          <w:rFonts w:hint="eastAsia" w:ascii="宋体" w:hAnsi="宋体" w:cs="宋体"/>
          <w:sz w:val="24"/>
        </w:rPr>
        <w:t>，其中</w:t>
      </w:r>
      <w:r>
        <w:rPr>
          <w:rFonts w:hint="eastAsia" w:ascii="宋体" w:hAnsi="宋体" w:cs="宋体"/>
          <w:b/>
          <w:sz w:val="24"/>
        </w:rPr>
        <w:t>正本壹份</w:t>
      </w:r>
      <w:r>
        <w:rPr>
          <w:rFonts w:hint="eastAsia" w:ascii="宋体" w:hAnsi="宋体" w:cs="宋体"/>
          <w:sz w:val="24"/>
        </w:rPr>
        <w:t>、</w:t>
      </w:r>
      <w:r>
        <w:rPr>
          <w:rFonts w:hint="eastAsia" w:ascii="宋体" w:hAnsi="宋体" w:cs="宋体"/>
          <w:b/>
          <w:sz w:val="24"/>
        </w:rPr>
        <w:t>副本贰份</w:t>
      </w:r>
      <w:r>
        <w:rPr>
          <w:rFonts w:hint="eastAsia" w:ascii="宋体" w:hAnsi="宋体" w:cs="宋体"/>
          <w:sz w:val="24"/>
        </w:rPr>
        <w:t>；每本响应文件须清楚地标明“正本”、“副本”，副本可以是正本的复印件。</w:t>
      </w:r>
    </w:p>
    <w:p>
      <w:pPr>
        <w:tabs>
          <w:tab w:val="left" w:pos="3544"/>
        </w:tabs>
        <w:wordWrap w:val="0"/>
        <w:spacing w:line="360" w:lineRule="auto"/>
        <w:ind w:firstLine="480" w:firstLineChars="200"/>
        <w:rPr>
          <w:rFonts w:ascii="宋体" w:cs="宋体"/>
          <w:sz w:val="24"/>
        </w:rPr>
      </w:pPr>
      <w:r>
        <w:rPr>
          <w:rFonts w:ascii="宋体" w:hAnsi="宋体" w:cs="宋体"/>
          <w:sz w:val="24"/>
        </w:rPr>
        <w:t>7.4</w:t>
      </w:r>
      <w:r>
        <w:rPr>
          <w:rFonts w:hint="eastAsia" w:ascii="宋体" w:hAnsi="宋体" w:cs="宋体"/>
          <w:sz w:val="24"/>
        </w:rPr>
        <w:t>提供与响应文件正本一致的</w:t>
      </w:r>
      <w:r>
        <w:rPr>
          <w:rFonts w:hint="eastAsia" w:ascii="宋体" w:hAnsi="宋体" w:cs="宋体"/>
          <w:b/>
          <w:sz w:val="24"/>
        </w:rPr>
        <w:t>电子版本壹份</w:t>
      </w:r>
      <w:r>
        <w:rPr>
          <w:rFonts w:hint="eastAsia" w:ascii="宋体" w:hAnsi="宋体" w:cs="宋体"/>
          <w:sz w:val="24"/>
        </w:rPr>
        <w:t>（</w:t>
      </w:r>
      <w:r>
        <w:rPr>
          <w:rFonts w:ascii="宋体" w:hAnsi="宋体" w:cs="宋体"/>
          <w:sz w:val="24"/>
        </w:rPr>
        <w:t>U</w:t>
      </w:r>
      <w:r>
        <w:rPr>
          <w:rFonts w:hint="eastAsia" w:ascii="宋体" w:hAnsi="宋体" w:cs="宋体"/>
          <w:sz w:val="24"/>
        </w:rPr>
        <w:t>盘、使用</w:t>
      </w:r>
      <w:r>
        <w:rPr>
          <w:rFonts w:ascii="宋体" w:hAnsi="宋体" w:cs="宋体"/>
          <w:sz w:val="24"/>
        </w:rPr>
        <w:t>WPS</w:t>
      </w:r>
      <w:r>
        <w:rPr>
          <w:rFonts w:hint="eastAsia" w:ascii="宋体" w:hAnsi="宋体" w:cs="宋体"/>
          <w:sz w:val="24"/>
        </w:rPr>
        <w:t>或</w:t>
      </w:r>
      <w:r>
        <w:rPr>
          <w:rFonts w:ascii="宋体" w:hAnsi="宋体" w:cs="宋体"/>
          <w:sz w:val="24"/>
        </w:rPr>
        <w:t>Word</w:t>
      </w:r>
      <w:r>
        <w:rPr>
          <w:rFonts w:hint="eastAsia" w:ascii="宋体" w:hAnsi="宋体" w:cs="宋体"/>
          <w:sz w:val="24"/>
        </w:rPr>
        <w:t>格式），并在封面上注明“电子版本”；</w:t>
      </w:r>
    </w:p>
    <w:p>
      <w:pPr>
        <w:tabs>
          <w:tab w:val="left" w:pos="3544"/>
        </w:tabs>
        <w:wordWrap w:val="0"/>
        <w:spacing w:line="360" w:lineRule="auto"/>
        <w:ind w:firstLine="480" w:firstLineChars="200"/>
        <w:rPr>
          <w:rFonts w:ascii="宋体" w:cs="宋体"/>
          <w:sz w:val="24"/>
        </w:rPr>
      </w:pPr>
      <w:r>
        <w:rPr>
          <w:rFonts w:ascii="宋体" w:hAnsi="宋体" w:cs="宋体"/>
          <w:sz w:val="24"/>
        </w:rPr>
        <w:t>7.5</w:t>
      </w:r>
      <w:r>
        <w:rPr>
          <w:rFonts w:hint="eastAsia" w:ascii="宋体" w:hAnsi="宋体" w:cs="宋体"/>
          <w:sz w:val="24"/>
        </w:rPr>
        <w:t>正副本内容应一致，若正副本不一致，以正本为准（但出现影响评审的关键因素不一致的或不按磋商文件要求签署盖章的或正副本没有按磋商文件要求提供原件的，按无效磋商处理）；电子版本与纸质版不符，以纸质版为准；</w:t>
      </w:r>
    </w:p>
    <w:p>
      <w:pPr>
        <w:tabs>
          <w:tab w:val="left" w:pos="3544"/>
        </w:tabs>
        <w:wordWrap w:val="0"/>
        <w:spacing w:line="360" w:lineRule="auto"/>
        <w:ind w:firstLine="480" w:firstLineChars="200"/>
        <w:rPr>
          <w:rFonts w:ascii="宋体" w:cs="宋体"/>
          <w:sz w:val="24"/>
        </w:rPr>
      </w:pPr>
      <w:r>
        <w:rPr>
          <w:rFonts w:ascii="宋体" w:hAnsi="宋体" w:cs="宋体"/>
          <w:sz w:val="24"/>
        </w:rPr>
        <w:t>7.6</w:t>
      </w:r>
      <w:r>
        <w:rPr>
          <w:rFonts w:hint="eastAsia" w:ascii="宋体" w:hAnsi="宋体" w:cs="宋体"/>
          <w:sz w:val="24"/>
        </w:rPr>
        <w:t>供应商在响应文件中指定的页面落款处，必须按磋商文件要求签字盖章；</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u w:val="single"/>
        </w:rPr>
        <w:t>7.7</w:t>
      </w:r>
      <w:r>
        <w:rPr>
          <w:rFonts w:hint="eastAsia" w:ascii="宋体" w:hAnsi="宋体" w:cs="宋体"/>
          <w:b/>
          <w:bCs/>
          <w:sz w:val="24"/>
          <w:u w:val="single"/>
        </w:rPr>
        <w:t>响应文件必须加盖骑缝章；</w:t>
      </w:r>
    </w:p>
    <w:p>
      <w:pPr>
        <w:tabs>
          <w:tab w:val="left" w:pos="3544"/>
        </w:tabs>
        <w:wordWrap w:val="0"/>
        <w:spacing w:line="360" w:lineRule="auto"/>
        <w:ind w:firstLine="482" w:firstLineChars="200"/>
        <w:rPr>
          <w:rFonts w:ascii="宋体" w:cs="宋体"/>
          <w:sz w:val="24"/>
          <w:u w:val="single"/>
        </w:rPr>
      </w:pPr>
      <w:r>
        <w:rPr>
          <w:rFonts w:ascii="宋体" w:hAnsi="宋体" w:cs="宋体"/>
          <w:b/>
          <w:bCs/>
          <w:sz w:val="24"/>
          <w:u w:val="single"/>
        </w:rPr>
        <w:t>7.8</w:t>
      </w:r>
      <w:r>
        <w:rPr>
          <w:rFonts w:hint="eastAsia" w:ascii="宋体" w:hAnsi="宋体" w:cs="宋体"/>
          <w:b/>
          <w:bCs/>
          <w:sz w:val="24"/>
          <w:u w:val="single"/>
        </w:rPr>
        <w:t>供应商名称应填写全称，同时加盖公章；（包括响应文件正副本封面）</w:t>
      </w:r>
    </w:p>
    <w:p>
      <w:pPr>
        <w:tabs>
          <w:tab w:val="left" w:pos="3544"/>
        </w:tabs>
        <w:wordWrap w:val="0"/>
        <w:spacing w:line="360" w:lineRule="auto"/>
        <w:ind w:firstLine="480" w:firstLineChars="200"/>
        <w:rPr>
          <w:rFonts w:ascii="宋体" w:cs="宋体"/>
          <w:sz w:val="24"/>
        </w:rPr>
      </w:pPr>
      <w:r>
        <w:rPr>
          <w:rFonts w:ascii="宋体" w:hAnsi="宋体" w:cs="宋体"/>
          <w:sz w:val="24"/>
        </w:rPr>
        <w:t>7.9</w:t>
      </w:r>
      <w:r>
        <w:rPr>
          <w:rFonts w:hint="eastAsia" w:ascii="宋体" w:hAnsi="宋体" w:cs="宋体"/>
          <w:sz w:val="24"/>
        </w:rPr>
        <w:t>响应文件的任何行间插字、涂改和增删，必须由法定代表人或被授权人在改动处旁签字并加盖公章方为有效；</w:t>
      </w:r>
    </w:p>
    <w:p>
      <w:pPr>
        <w:tabs>
          <w:tab w:val="left" w:pos="3544"/>
        </w:tabs>
        <w:wordWrap w:val="0"/>
        <w:spacing w:line="360" w:lineRule="auto"/>
        <w:ind w:firstLine="480" w:firstLineChars="200"/>
        <w:rPr>
          <w:rFonts w:ascii="宋体" w:cs="宋体"/>
          <w:sz w:val="24"/>
        </w:rPr>
      </w:pPr>
      <w:r>
        <w:rPr>
          <w:rFonts w:ascii="宋体" w:hAnsi="宋体" w:cs="宋体"/>
          <w:sz w:val="24"/>
        </w:rPr>
        <w:t>7.10</w:t>
      </w:r>
      <w:r>
        <w:rPr>
          <w:rFonts w:hint="eastAsia" w:ascii="宋体" w:hAnsi="宋体" w:cs="宋体"/>
          <w:sz w:val="24"/>
        </w:rPr>
        <w:t>响应文件因字迹潦草或表达不清所引起的后果由供应商自行承担。</w:t>
      </w:r>
    </w:p>
    <w:p>
      <w:pPr>
        <w:wordWrap w:val="0"/>
        <w:spacing w:line="360" w:lineRule="auto"/>
        <w:rPr>
          <w:rFonts w:ascii="宋体" w:cs="宋体"/>
          <w:b/>
          <w:sz w:val="24"/>
        </w:rPr>
      </w:pPr>
      <w:r>
        <w:rPr>
          <w:rFonts w:ascii="宋体" w:hAnsi="宋体" w:cs="宋体"/>
          <w:b/>
          <w:sz w:val="24"/>
        </w:rPr>
        <w:t>8</w:t>
      </w:r>
      <w:r>
        <w:rPr>
          <w:rFonts w:hint="eastAsia" w:ascii="宋体" w:hAnsi="宋体" w:cs="宋体"/>
          <w:b/>
          <w:sz w:val="24"/>
        </w:rPr>
        <w:t>、文字要求</w:t>
      </w:r>
    </w:p>
    <w:p>
      <w:pPr>
        <w:wordWrap w:val="0"/>
        <w:spacing w:line="360" w:lineRule="auto"/>
        <w:ind w:firstLine="480" w:firstLineChars="200"/>
        <w:rPr>
          <w:rFonts w:ascii="宋体" w:cs="宋体"/>
          <w:sz w:val="24"/>
        </w:rPr>
      </w:pPr>
      <w:r>
        <w:rPr>
          <w:rFonts w:hint="eastAsia" w:ascii="宋体" w:hAnsi="宋体" w:cs="宋体"/>
          <w:sz w:val="24"/>
        </w:rPr>
        <w:t>本次磋商只接受简体中文文字的响应文件。</w:t>
      </w:r>
    </w:p>
    <w:p>
      <w:pPr>
        <w:numPr>
          <w:ilvl w:val="0"/>
          <w:numId w:val="3"/>
        </w:numPr>
        <w:wordWrap w:val="0"/>
        <w:spacing w:line="360" w:lineRule="auto"/>
        <w:rPr>
          <w:rFonts w:ascii="宋体" w:cs="宋体"/>
          <w:b/>
          <w:bCs/>
          <w:sz w:val="24"/>
          <w:u w:val="single"/>
        </w:rPr>
      </w:pPr>
      <w:r>
        <w:rPr>
          <w:rFonts w:hint="eastAsia" w:ascii="宋体" w:hAnsi="宋体" w:cs="宋体"/>
          <w:b/>
          <w:sz w:val="24"/>
          <w:u w:val="single"/>
        </w:rPr>
        <w:t>磋商文件中凡是要求法定代表人签字、盖章、授权之处，非法人单位负责人参照执行。</w:t>
      </w:r>
    </w:p>
    <w:p>
      <w:pPr>
        <w:numPr>
          <w:ilvl w:val="0"/>
          <w:numId w:val="3"/>
        </w:numPr>
        <w:wordWrap w:val="0"/>
        <w:spacing w:line="360" w:lineRule="auto"/>
        <w:rPr>
          <w:rFonts w:ascii="宋体" w:cs="宋体"/>
          <w:b/>
          <w:bCs/>
          <w:sz w:val="24"/>
          <w:u w:val="single"/>
        </w:rPr>
      </w:pPr>
      <w:r>
        <w:rPr>
          <w:rFonts w:hint="eastAsia" w:ascii="宋体" w:hAnsi="宋体" w:cs="宋体"/>
          <w:b/>
          <w:bCs/>
          <w:sz w:val="24"/>
          <w:u w:val="single"/>
        </w:rPr>
        <w:t>所有响应文件（除特殊规格的图纸外）应按</w:t>
      </w:r>
      <w:r>
        <w:rPr>
          <w:rFonts w:ascii="宋体" w:hAnsi="宋体" w:cs="宋体"/>
          <w:b/>
          <w:bCs/>
          <w:sz w:val="24"/>
          <w:u w:val="single"/>
        </w:rPr>
        <w:t>A4</w:t>
      </w:r>
      <w:r>
        <w:rPr>
          <w:rFonts w:hint="eastAsia" w:ascii="宋体" w:hAnsi="宋体" w:cs="宋体"/>
          <w:b/>
          <w:bCs/>
          <w:sz w:val="24"/>
          <w:u w:val="single"/>
        </w:rPr>
        <w:t>规格纸张制作；建议双面打印或复印（磋商文件要求原件及签署盖章的除外）。</w:t>
      </w:r>
    </w:p>
    <w:p>
      <w:pPr>
        <w:pStyle w:val="17"/>
      </w:pPr>
    </w:p>
    <w:p>
      <w:pPr>
        <w:tabs>
          <w:tab w:val="left" w:pos="3544"/>
        </w:tabs>
        <w:wordWrap w:val="0"/>
        <w:spacing w:line="360" w:lineRule="auto"/>
        <w:jc w:val="center"/>
        <w:outlineLvl w:val="1"/>
        <w:rPr>
          <w:rFonts w:ascii="宋体" w:cs="宋体"/>
          <w:sz w:val="28"/>
          <w:szCs w:val="30"/>
        </w:rPr>
      </w:pPr>
      <w:bookmarkStart w:id="40" w:name="_Toc493678866"/>
      <w:bookmarkStart w:id="41" w:name="_Toc13100"/>
      <w:r>
        <w:rPr>
          <w:rFonts w:hint="eastAsia" w:ascii="宋体" w:hAnsi="宋体" w:cs="宋体"/>
          <w:b/>
          <w:sz w:val="28"/>
          <w:szCs w:val="30"/>
        </w:rPr>
        <w:t>五．响应文件封装、递交</w:t>
      </w:r>
      <w:bookmarkEnd w:id="40"/>
      <w:bookmarkEnd w:id="41"/>
    </w:p>
    <w:p>
      <w:pPr>
        <w:tabs>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、响应文件的封装及标记</w:t>
      </w:r>
    </w:p>
    <w:p>
      <w:pPr>
        <w:tabs>
          <w:tab w:val="left" w:pos="3544"/>
        </w:tabs>
        <w:wordWrap w:val="0"/>
        <w:spacing w:line="360" w:lineRule="auto"/>
        <w:ind w:firstLine="482" w:firstLineChars="200"/>
        <w:rPr>
          <w:rFonts w:ascii="宋体" w:cs="宋体"/>
          <w:b/>
          <w:bCs/>
          <w:sz w:val="24"/>
          <w:u w:val="single"/>
        </w:rPr>
      </w:pPr>
      <w:r>
        <w:rPr>
          <w:rFonts w:ascii="宋体" w:hAnsi="宋体" w:cs="宋体"/>
          <w:b/>
          <w:bCs/>
          <w:sz w:val="24"/>
        </w:rPr>
        <w:t>1.1</w:t>
      </w:r>
      <w:r>
        <w:rPr>
          <w:rFonts w:hint="eastAsia" w:ascii="宋体" w:hAnsi="宋体" w:cs="宋体"/>
          <w:b/>
          <w:bCs/>
          <w:spacing w:val="6"/>
          <w:sz w:val="24"/>
          <w:u w:val="single"/>
        </w:rPr>
        <w:t>供应商</w:t>
      </w:r>
      <w:r>
        <w:rPr>
          <w:rFonts w:hint="eastAsia" w:ascii="宋体" w:hAnsi="宋体" w:cs="宋体"/>
          <w:b/>
          <w:bCs/>
          <w:sz w:val="24"/>
          <w:u w:val="single"/>
        </w:rPr>
        <w:t>应将</w:t>
      </w:r>
      <w:r>
        <w:rPr>
          <w:rFonts w:hint="eastAsia" w:ascii="宋体" w:hAnsi="宋体" w:cs="宋体"/>
          <w:b/>
          <w:bCs/>
          <w:spacing w:val="6"/>
          <w:sz w:val="24"/>
          <w:u w:val="single"/>
        </w:rPr>
        <w:t>响应文件</w:t>
      </w:r>
      <w:r>
        <w:rPr>
          <w:rFonts w:hint="eastAsia" w:ascii="宋体" w:hAnsi="宋体" w:cs="宋体"/>
          <w:b/>
          <w:bCs/>
          <w:sz w:val="24"/>
          <w:u w:val="single"/>
        </w:rPr>
        <w:t>的正本、副本、电子版本（</w:t>
      </w:r>
      <w:r>
        <w:rPr>
          <w:rFonts w:ascii="宋体" w:hAnsi="宋体" w:cs="宋体"/>
          <w:b/>
          <w:bCs/>
          <w:sz w:val="24"/>
          <w:u w:val="single"/>
        </w:rPr>
        <w:t>U</w:t>
      </w:r>
      <w:r>
        <w:rPr>
          <w:rFonts w:hint="eastAsia" w:ascii="宋体" w:hAnsi="宋体" w:cs="宋体"/>
          <w:b/>
          <w:bCs/>
          <w:sz w:val="24"/>
          <w:u w:val="single"/>
        </w:rPr>
        <w:t>盘），分开密封包装，在封袋上标明“正本”、“副本”、“电子版本”字样，封口处加盖供应商公章</w:t>
      </w:r>
      <w:r>
        <w:rPr>
          <w:rFonts w:hint="eastAsia" w:ascii="宋体" w:hAnsi="宋体" w:cs="宋体"/>
          <w:b/>
          <w:bCs/>
          <w:sz w:val="24"/>
        </w:rPr>
        <w:t>；</w:t>
      </w:r>
    </w:p>
    <w:p>
      <w:pPr>
        <w:tabs>
          <w:tab w:val="left" w:pos="3544"/>
        </w:tabs>
        <w:wordWrap w:val="0"/>
        <w:spacing w:line="360" w:lineRule="auto"/>
        <w:ind w:firstLine="482" w:firstLineChars="200"/>
        <w:rPr>
          <w:rFonts w:ascii="宋体" w:cs="宋体"/>
          <w:b/>
          <w:bCs/>
          <w:sz w:val="24"/>
        </w:rPr>
      </w:pPr>
      <w:r>
        <w:rPr>
          <w:rFonts w:ascii="宋体" w:hAnsi="宋体" w:cs="宋体"/>
          <w:b/>
          <w:bCs/>
          <w:sz w:val="24"/>
        </w:rPr>
        <w:t>1.2</w:t>
      </w:r>
      <w:r>
        <w:rPr>
          <w:rFonts w:hint="eastAsia" w:ascii="宋体" w:hAnsi="宋体" w:cs="宋体"/>
          <w:b/>
          <w:bCs/>
          <w:sz w:val="24"/>
          <w:u w:val="single"/>
        </w:rPr>
        <w:t>密封袋正面粘贴标识：标明供应商名称、项目名称、项目编号、在“磋商日期前”不得启封等字样（相关信息见“第一部分”），并加盖</w:t>
      </w:r>
      <w:r>
        <w:rPr>
          <w:rFonts w:hint="eastAsia" w:ascii="宋体" w:hAnsi="宋体" w:cs="宋体"/>
          <w:b/>
          <w:bCs/>
          <w:spacing w:val="6"/>
          <w:sz w:val="24"/>
          <w:u w:val="single"/>
        </w:rPr>
        <w:t>供应商</w:t>
      </w:r>
      <w:r>
        <w:rPr>
          <w:rFonts w:hint="eastAsia" w:ascii="宋体" w:hAnsi="宋体" w:cs="宋体"/>
          <w:b/>
          <w:bCs/>
          <w:sz w:val="24"/>
          <w:u w:val="single"/>
        </w:rPr>
        <w:t>公章</w:t>
      </w:r>
      <w:r>
        <w:rPr>
          <w:rFonts w:hint="eastAsia" w:ascii="宋体" w:hAnsi="宋体" w:cs="宋体"/>
          <w:b/>
          <w:bCs/>
          <w:sz w:val="24"/>
        </w:rPr>
        <w:t>；</w:t>
      </w:r>
    </w:p>
    <w:p>
      <w:pPr>
        <w:tabs>
          <w:tab w:val="left" w:pos="3544"/>
        </w:tabs>
        <w:wordWrap w:val="0"/>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如果供应商未按上述要求密封与标记而导致响应文件无效、误投或过早启封的，出现此类情况的响应文件，采购代理机构有权拒绝接收；采购代理机构对响应文件的误投、无效和提前启封概不负责。</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、响应文件递交</w:t>
      </w:r>
    </w:p>
    <w:p>
      <w:pPr>
        <w:tabs>
          <w:tab w:val="left" w:pos="3544"/>
        </w:tabs>
        <w:wordWrap w:val="0"/>
        <w:spacing w:line="360" w:lineRule="auto"/>
        <w:ind w:firstLine="480" w:firstLineChars="200"/>
        <w:rPr>
          <w:rFonts w:ascii="宋体" w:cs="宋体"/>
          <w:sz w:val="24"/>
        </w:rPr>
      </w:pPr>
      <w:r>
        <w:rPr>
          <w:rFonts w:ascii="宋体" w:hAnsi="宋体" w:cs="宋体"/>
          <w:sz w:val="24"/>
        </w:rPr>
        <w:t>2.1</w:t>
      </w:r>
      <w:r>
        <w:rPr>
          <w:rFonts w:hint="eastAsia" w:ascii="宋体" w:hAnsi="宋体" w:cs="宋体"/>
          <w:sz w:val="24"/>
        </w:rPr>
        <w:t>供应商必须在磋商文件规定的时间和地点，将全部响应文件递交至采购代理机构项目承办或负责人；</w:t>
      </w:r>
    </w:p>
    <w:p>
      <w:pPr>
        <w:tabs>
          <w:tab w:val="left" w:pos="3544"/>
        </w:tabs>
        <w:wordWrap w:val="0"/>
        <w:spacing w:line="360" w:lineRule="auto"/>
        <w:ind w:firstLine="480" w:firstLineChars="200"/>
        <w:rPr>
          <w:rFonts w:ascii="宋体" w:cs="宋体"/>
          <w:sz w:val="24"/>
        </w:rPr>
      </w:pPr>
      <w:r>
        <w:rPr>
          <w:rFonts w:ascii="宋体" w:hAnsi="宋体" w:cs="宋体"/>
          <w:sz w:val="24"/>
        </w:rPr>
        <w:t>2.2</w:t>
      </w:r>
      <w:r>
        <w:rPr>
          <w:rFonts w:hint="eastAsia" w:ascii="宋体" w:hAnsi="宋体" w:cs="宋体"/>
          <w:sz w:val="24"/>
        </w:rPr>
        <w:t>采购代理机构项目承办或负责人在磋商文件规定的响应文件递交截止时间前，只负责响应文件的接收、清点、造册登记工作，并请法定代表人或被授权人签字确认，对其有效性、完整性不负任何责任；</w:t>
      </w:r>
    </w:p>
    <w:p>
      <w:pPr>
        <w:tabs>
          <w:tab w:val="left" w:pos="3544"/>
        </w:tabs>
        <w:wordWrap w:val="0"/>
        <w:spacing w:line="360" w:lineRule="auto"/>
        <w:ind w:firstLine="480" w:firstLineChars="200"/>
        <w:rPr>
          <w:rFonts w:ascii="宋体" w:cs="宋体"/>
          <w:sz w:val="24"/>
        </w:rPr>
      </w:pPr>
      <w:r>
        <w:rPr>
          <w:rFonts w:ascii="宋体" w:hAnsi="宋体" w:cs="宋体"/>
          <w:sz w:val="24"/>
        </w:rPr>
        <w:t>2.3</w:t>
      </w:r>
      <w:r>
        <w:rPr>
          <w:rFonts w:hint="eastAsia" w:ascii="宋体" w:hAnsi="宋体" w:cs="宋体"/>
          <w:sz w:val="24"/>
        </w:rPr>
        <w:t>采购代理机构在宣布递交响应文件时间截止之后，拒绝接收任何人送达、递交的响应文件；</w:t>
      </w:r>
    </w:p>
    <w:p>
      <w:pPr>
        <w:tabs>
          <w:tab w:val="left" w:pos="3544"/>
        </w:tabs>
        <w:wordWrap w:val="0"/>
        <w:spacing w:line="360" w:lineRule="auto"/>
        <w:ind w:firstLine="480" w:firstLineChars="200"/>
        <w:rPr>
          <w:rFonts w:ascii="宋体" w:cs="宋体"/>
          <w:sz w:val="24"/>
        </w:rPr>
      </w:pPr>
      <w:r>
        <w:rPr>
          <w:rFonts w:ascii="宋体" w:hAnsi="宋体" w:cs="宋体"/>
          <w:sz w:val="24"/>
        </w:rPr>
        <w:t>2.4</w:t>
      </w:r>
      <w:r>
        <w:rPr>
          <w:rFonts w:hint="eastAsia" w:ascii="宋体" w:hAnsi="宋体" w:cs="宋体"/>
          <w:sz w:val="24"/>
        </w:rPr>
        <w:t>无论供应商成交与否或者废标，其响应文件恕不退还。</w:t>
      </w:r>
    </w:p>
    <w:p>
      <w:pPr>
        <w:tabs>
          <w:tab w:val="left" w:pos="3544"/>
        </w:tabs>
        <w:wordWrap w:val="0"/>
        <w:spacing w:line="360" w:lineRule="auto"/>
        <w:rPr>
          <w:rFonts w:ascii="宋体" w:cs="宋体"/>
          <w:b/>
          <w:sz w:val="24"/>
        </w:rPr>
      </w:pPr>
      <w:r>
        <w:rPr>
          <w:rFonts w:ascii="宋体" w:hAnsi="宋体" w:cs="宋体"/>
          <w:b/>
          <w:sz w:val="24"/>
        </w:rPr>
        <w:t>3</w:t>
      </w:r>
      <w:r>
        <w:rPr>
          <w:rFonts w:hint="eastAsia" w:ascii="宋体" w:hAnsi="宋体" w:cs="宋体"/>
          <w:b/>
          <w:sz w:val="24"/>
        </w:rPr>
        <w:t>、响应文件递交截止时间</w:t>
      </w:r>
    </w:p>
    <w:p>
      <w:pPr>
        <w:tabs>
          <w:tab w:val="left" w:pos="3544"/>
        </w:tabs>
        <w:wordWrap w:val="0"/>
        <w:spacing w:line="360" w:lineRule="auto"/>
        <w:ind w:firstLine="480" w:firstLineChars="200"/>
        <w:rPr>
          <w:rFonts w:ascii="宋体" w:cs="宋体"/>
          <w:sz w:val="24"/>
        </w:rPr>
      </w:pPr>
      <w:r>
        <w:rPr>
          <w:rFonts w:ascii="宋体" w:hAnsi="宋体" w:cs="宋体"/>
          <w:sz w:val="24"/>
        </w:rPr>
        <w:t>3.1</w:t>
      </w:r>
      <w:r>
        <w:rPr>
          <w:rFonts w:hint="eastAsia" w:ascii="宋体" w:hAnsi="宋体" w:cs="宋体"/>
          <w:sz w:val="24"/>
        </w:rPr>
        <w:t>供应商</w:t>
      </w:r>
      <w:r>
        <w:rPr>
          <w:rFonts w:hint="eastAsia" w:ascii="宋体" w:hAnsi="宋体" w:cs="宋体"/>
          <w:spacing w:val="6"/>
          <w:sz w:val="24"/>
        </w:rPr>
        <w:t>必须在</w:t>
      </w:r>
      <w:r>
        <w:rPr>
          <w:rFonts w:hint="eastAsia" w:ascii="宋体" w:hAnsi="宋体" w:cs="宋体"/>
          <w:sz w:val="24"/>
        </w:rPr>
        <w:t>磋商</w:t>
      </w:r>
      <w:r>
        <w:rPr>
          <w:rFonts w:hint="eastAsia" w:ascii="宋体" w:hAnsi="宋体" w:cs="宋体"/>
          <w:spacing w:val="6"/>
          <w:sz w:val="24"/>
        </w:rPr>
        <w:t>文件规定的递交截止时间之前递交响应文件，</w:t>
      </w:r>
      <w:r>
        <w:rPr>
          <w:rFonts w:hint="eastAsia" w:ascii="宋体" w:hAnsi="宋体" w:cs="宋体"/>
          <w:sz w:val="24"/>
        </w:rPr>
        <w:t>采购代理机构在截止时间后拒绝接收任何响应文件；</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采购代理机构因采购单位推迟磋商截止时间时，应通知所有供应商，在这种情况下，采购代理机构和供应商的权利和义务将受到新的截止期的约束。</w:t>
      </w:r>
    </w:p>
    <w:p>
      <w:pPr>
        <w:tabs>
          <w:tab w:val="left" w:pos="3544"/>
        </w:tabs>
        <w:wordWrap w:val="0"/>
        <w:spacing w:line="360" w:lineRule="auto"/>
        <w:rPr>
          <w:rFonts w:ascii="宋体" w:cs="宋体"/>
          <w:b/>
          <w:sz w:val="24"/>
        </w:rPr>
      </w:pPr>
      <w:r>
        <w:rPr>
          <w:rFonts w:ascii="宋体" w:hAnsi="宋体" w:cs="宋体"/>
          <w:b/>
          <w:sz w:val="24"/>
        </w:rPr>
        <w:t>4</w:t>
      </w:r>
      <w:r>
        <w:rPr>
          <w:rFonts w:hint="eastAsia" w:ascii="宋体" w:hAnsi="宋体" w:cs="宋体"/>
          <w:b/>
          <w:sz w:val="24"/>
        </w:rPr>
        <w:t>、响应文件的修改和撤回</w:t>
      </w:r>
    </w:p>
    <w:p>
      <w:pPr>
        <w:tabs>
          <w:tab w:val="left" w:pos="3544"/>
        </w:tabs>
        <w:wordWrap w:val="0"/>
        <w:spacing w:line="360" w:lineRule="auto"/>
        <w:ind w:firstLine="480" w:firstLineChars="200"/>
        <w:rPr>
          <w:rFonts w:ascii="宋体" w:cs="宋体"/>
          <w:sz w:val="24"/>
        </w:rPr>
      </w:pPr>
      <w:r>
        <w:rPr>
          <w:rFonts w:ascii="宋体" w:hAnsi="宋体" w:cs="宋体"/>
          <w:sz w:val="24"/>
        </w:rPr>
        <w:t>4.1</w:t>
      </w:r>
      <w:r>
        <w:rPr>
          <w:rFonts w:hint="eastAsia" w:ascii="宋体" w:hAnsi="宋体" w:cs="宋体"/>
          <w:sz w:val="24"/>
        </w:rPr>
        <w:t>响应文件递交后，如果供应商提出书面修改和撤回响应文件要求，在截止时间前以书面形式送达采购代理机构；</w:t>
      </w:r>
    </w:p>
    <w:p>
      <w:pPr>
        <w:tabs>
          <w:tab w:val="left" w:pos="3544"/>
        </w:tabs>
        <w:wordWrap w:val="0"/>
        <w:spacing w:line="360" w:lineRule="auto"/>
        <w:ind w:firstLine="480" w:firstLineChars="200"/>
        <w:rPr>
          <w:rFonts w:ascii="宋体" w:cs="宋体"/>
          <w:sz w:val="24"/>
        </w:rPr>
      </w:pPr>
      <w:r>
        <w:rPr>
          <w:rFonts w:ascii="宋体" w:hAnsi="宋体" w:cs="宋体"/>
          <w:sz w:val="24"/>
        </w:rPr>
        <w:t>4.2</w:t>
      </w:r>
      <w:r>
        <w:rPr>
          <w:rFonts w:hint="eastAsia" w:ascii="宋体" w:hAnsi="宋体" w:cs="宋体"/>
          <w:sz w:val="24"/>
        </w:rPr>
        <w:t>供应商修改响应文件的书面材料，须密封送达采购代理机构，修改或补充的内容应按磋商文件要求签署、盖章、密封、标记，并作为响应文件的组成部分；</w:t>
      </w:r>
    </w:p>
    <w:p>
      <w:pPr>
        <w:tabs>
          <w:tab w:val="left" w:pos="3544"/>
        </w:tabs>
        <w:wordWrap w:val="0"/>
        <w:spacing w:line="360" w:lineRule="auto"/>
        <w:ind w:firstLine="480" w:firstLineChars="200"/>
        <w:rPr>
          <w:rFonts w:ascii="宋体" w:cs="宋体"/>
          <w:sz w:val="24"/>
        </w:rPr>
      </w:pPr>
      <w:r>
        <w:rPr>
          <w:rFonts w:ascii="宋体" w:hAnsi="宋体" w:cs="宋体"/>
          <w:sz w:val="24"/>
        </w:rPr>
        <w:t>4.3</w:t>
      </w:r>
      <w:r>
        <w:rPr>
          <w:rFonts w:hint="eastAsia" w:ascii="宋体" w:hAnsi="宋体" w:cs="宋体"/>
          <w:sz w:val="24"/>
        </w:rPr>
        <w:t>在磋商截止时间后到磋商文件规定的磋商有效期满之间的这段时间内，供应商不得撤回其响应文件；</w:t>
      </w:r>
    </w:p>
    <w:p>
      <w:pPr>
        <w:tabs>
          <w:tab w:val="left" w:pos="3544"/>
        </w:tabs>
        <w:wordWrap w:val="0"/>
        <w:spacing w:line="360" w:lineRule="auto"/>
        <w:ind w:firstLine="480" w:firstLineChars="200"/>
        <w:rPr>
          <w:rFonts w:ascii="宋体" w:cs="宋体"/>
          <w:sz w:val="24"/>
        </w:rPr>
      </w:pPr>
      <w:r>
        <w:rPr>
          <w:rFonts w:ascii="宋体" w:hAnsi="宋体" w:cs="宋体"/>
          <w:sz w:val="24"/>
        </w:rPr>
        <w:t>4.4</w:t>
      </w:r>
      <w:r>
        <w:rPr>
          <w:rFonts w:hint="eastAsia" w:ascii="宋体" w:hAnsi="宋体" w:cs="宋体"/>
          <w:sz w:val="24"/>
        </w:rPr>
        <w:t>供应商在响应文件递交截止时间后，不得对其响应文件做任何修改。</w:t>
      </w:r>
    </w:p>
    <w:p>
      <w:pPr>
        <w:tabs>
          <w:tab w:val="left" w:pos="3544"/>
        </w:tabs>
        <w:wordWrap w:val="0"/>
        <w:spacing w:line="360" w:lineRule="auto"/>
        <w:rPr>
          <w:rFonts w:ascii="宋体" w:cs="宋体"/>
          <w:b/>
          <w:sz w:val="24"/>
        </w:rPr>
      </w:pPr>
      <w:r>
        <w:rPr>
          <w:rFonts w:ascii="宋体" w:hAnsi="宋体" w:cs="宋体"/>
          <w:b/>
          <w:sz w:val="24"/>
        </w:rPr>
        <w:t>5</w:t>
      </w:r>
      <w:r>
        <w:rPr>
          <w:rFonts w:hint="eastAsia" w:ascii="宋体" w:hAnsi="宋体" w:cs="宋体"/>
          <w:b/>
          <w:sz w:val="24"/>
        </w:rPr>
        <w:t>、其他</w:t>
      </w:r>
    </w:p>
    <w:p>
      <w:pPr>
        <w:tabs>
          <w:tab w:val="left" w:pos="3544"/>
        </w:tabs>
        <w:wordWrap w:val="0"/>
        <w:spacing w:line="360" w:lineRule="auto"/>
        <w:ind w:firstLine="480" w:firstLineChars="200"/>
        <w:rPr>
          <w:rFonts w:ascii="宋体" w:cs="宋体"/>
          <w:sz w:val="24"/>
        </w:rPr>
      </w:pPr>
      <w:r>
        <w:rPr>
          <w:rFonts w:hint="eastAsia" w:ascii="宋体" w:hAnsi="宋体" w:cs="宋体"/>
          <w:sz w:val="24"/>
        </w:rPr>
        <w:t>有下列情形之一的，视为供应商串通参加磋商，其磋商无效：</w:t>
      </w:r>
    </w:p>
    <w:p>
      <w:pPr>
        <w:tabs>
          <w:tab w:val="left" w:pos="3544"/>
        </w:tabs>
        <w:wordWrap w:val="0"/>
        <w:spacing w:line="360" w:lineRule="auto"/>
        <w:ind w:firstLine="480" w:firstLineChars="200"/>
        <w:rPr>
          <w:rFonts w:ascii="宋体" w:cs="宋体"/>
          <w:sz w:val="24"/>
        </w:rPr>
      </w:pPr>
      <w:r>
        <w:rPr>
          <w:rFonts w:ascii="宋体" w:hAnsi="宋体" w:cs="宋体"/>
          <w:sz w:val="24"/>
        </w:rPr>
        <w:t>5.1</w:t>
      </w:r>
      <w:r>
        <w:rPr>
          <w:rFonts w:hint="eastAsia" w:ascii="宋体" w:hAnsi="宋体" w:cs="宋体"/>
          <w:sz w:val="24"/>
        </w:rPr>
        <w:t>不同供应商的响应文件由同一单位或者个人编制；</w:t>
      </w:r>
    </w:p>
    <w:p>
      <w:pPr>
        <w:tabs>
          <w:tab w:val="left" w:pos="3544"/>
        </w:tabs>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宋体"/>
          <w:sz w:val="24"/>
        </w:rPr>
        <w:t>不同供应商委托同一单位或者个人办理磋商事宜；</w:t>
      </w:r>
    </w:p>
    <w:p>
      <w:pPr>
        <w:tabs>
          <w:tab w:val="left" w:pos="3544"/>
        </w:tabs>
        <w:wordWrap w:val="0"/>
        <w:spacing w:line="360" w:lineRule="auto"/>
        <w:ind w:firstLine="480" w:firstLineChars="200"/>
        <w:rPr>
          <w:rFonts w:ascii="宋体" w:cs="宋体"/>
          <w:sz w:val="24"/>
        </w:rPr>
      </w:pPr>
      <w:r>
        <w:rPr>
          <w:rFonts w:ascii="宋体" w:hAnsi="宋体" w:cs="宋体"/>
          <w:sz w:val="24"/>
        </w:rPr>
        <w:t>5.3</w:t>
      </w:r>
      <w:r>
        <w:rPr>
          <w:rFonts w:hint="eastAsia" w:ascii="宋体" w:hAnsi="宋体" w:cs="宋体"/>
          <w:sz w:val="24"/>
        </w:rPr>
        <w:t>不同供应商的响应文件载明的项目管理成员或者联系人员为同一人；</w:t>
      </w:r>
    </w:p>
    <w:p>
      <w:pPr>
        <w:tabs>
          <w:tab w:val="left" w:pos="3544"/>
        </w:tabs>
        <w:wordWrap w:val="0"/>
        <w:spacing w:line="360" w:lineRule="auto"/>
        <w:ind w:firstLine="480" w:firstLineChars="200"/>
        <w:rPr>
          <w:rFonts w:ascii="宋体" w:cs="宋体"/>
          <w:sz w:val="24"/>
        </w:rPr>
      </w:pPr>
      <w:r>
        <w:rPr>
          <w:rFonts w:ascii="宋体" w:hAnsi="宋体" w:cs="宋体"/>
          <w:sz w:val="24"/>
        </w:rPr>
        <w:t>5.4</w:t>
      </w:r>
      <w:r>
        <w:rPr>
          <w:rFonts w:hint="eastAsia" w:ascii="宋体" w:hAnsi="宋体" w:cs="宋体"/>
          <w:sz w:val="24"/>
        </w:rPr>
        <w:t>不同供应商的响应文件异常一致或者报价呈规律性差异；</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rPr>
        <w:t>不同供应商的响应文件相互混装；</w:t>
      </w:r>
    </w:p>
    <w:p>
      <w:pPr>
        <w:tabs>
          <w:tab w:val="left" w:pos="3544"/>
        </w:tabs>
        <w:wordWrap w:val="0"/>
        <w:spacing w:line="360" w:lineRule="auto"/>
        <w:ind w:firstLine="480" w:firstLineChars="200"/>
        <w:rPr>
          <w:rFonts w:ascii="宋体" w:cs="宋体"/>
          <w:sz w:val="24"/>
        </w:rPr>
      </w:pPr>
      <w:r>
        <w:rPr>
          <w:rFonts w:ascii="宋体" w:hAnsi="宋体" w:cs="宋体"/>
          <w:sz w:val="24"/>
        </w:rPr>
        <w:t>5.6</w:t>
      </w:r>
      <w:r>
        <w:rPr>
          <w:rFonts w:hint="eastAsia" w:ascii="宋体" w:hAnsi="宋体" w:cs="宋体"/>
          <w:sz w:val="24"/>
        </w:rPr>
        <w:t>不同供应商的磋商保证金从同一单位或者个人的账户转出。</w:t>
      </w:r>
    </w:p>
    <w:p>
      <w:pPr>
        <w:tabs>
          <w:tab w:val="left" w:pos="3544"/>
        </w:tabs>
        <w:wordWrap w:val="0"/>
        <w:spacing w:line="360" w:lineRule="auto"/>
        <w:jc w:val="center"/>
        <w:outlineLvl w:val="1"/>
        <w:rPr>
          <w:rFonts w:ascii="宋体" w:cs="宋体"/>
          <w:b/>
          <w:sz w:val="28"/>
          <w:szCs w:val="30"/>
        </w:rPr>
      </w:pPr>
      <w:bookmarkStart w:id="42" w:name="_Toc493678867"/>
      <w:bookmarkStart w:id="43" w:name="_Toc28546"/>
      <w:r>
        <w:rPr>
          <w:rFonts w:hint="eastAsia" w:ascii="宋体" w:hAnsi="宋体" w:cs="宋体"/>
          <w:b/>
          <w:sz w:val="28"/>
          <w:szCs w:val="30"/>
        </w:rPr>
        <w:t>六．磋商、澄清、成交</w:t>
      </w:r>
      <w:bookmarkEnd w:id="42"/>
      <w:bookmarkEnd w:id="43"/>
    </w:p>
    <w:p>
      <w:pPr>
        <w:tabs>
          <w:tab w:val="left" w:pos="1478"/>
          <w:tab w:val="left" w:pos="3544"/>
        </w:tabs>
        <w:wordWrap w:val="0"/>
        <w:spacing w:line="360" w:lineRule="auto"/>
        <w:rPr>
          <w:rFonts w:ascii="宋体" w:cs="宋体"/>
          <w:b/>
          <w:sz w:val="24"/>
        </w:rPr>
      </w:pPr>
      <w:r>
        <w:rPr>
          <w:rFonts w:ascii="宋体" w:hAnsi="宋体" w:cs="宋体"/>
          <w:b/>
          <w:sz w:val="24"/>
        </w:rPr>
        <w:t>1</w:t>
      </w:r>
      <w:r>
        <w:rPr>
          <w:rFonts w:hint="eastAsia" w:ascii="宋体" w:hAnsi="宋体" w:cs="宋体"/>
          <w:b/>
          <w:sz w:val="24"/>
        </w:rPr>
        <w:t>、磋商</w:t>
      </w:r>
    </w:p>
    <w:p>
      <w:pPr>
        <w:tabs>
          <w:tab w:val="left" w:pos="1478"/>
          <w:tab w:val="left" w:pos="3544"/>
        </w:tabs>
        <w:wordWrap w:val="0"/>
        <w:spacing w:line="360" w:lineRule="auto"/>
        <w:ind w:firstLine="480" w:firstLineChars="200"/>
        <w:rPr>
          <w:rFonts w:ascii="宋体" w:cs="宋体"/>
          <w:b/>
          <w:sz w:val="24"/>
        </w:rPr>
      </w:pPr>
      <w:r>
        <w:rPr>
          <w:rFonts w:ascii="宋体" w:hAnsi="宋体" w:cs="宋体"/>
          <w:sz w:val="24"/>
        </w:rPr>
        <w:t>1.1</w:t>
      </w:r>
      <w:r>
        <w:rPr>
          <w:rFonts w:hint="eastAsia" w:ascii="宋体" w:hAnsi="宋体" w:cs="宋体"/>
          <w:sz w:val="24"/>
        </w:rPr>
        <w:t>采购代理机构按磋商文件规定的时间、地点组织磋商会议；磋商会议由采购代理机构主持，采购单位代表、监督机构代表及有关工作人员参加，参加磋商的代表应签名报到以证明其出席；供应商派代表参加磋商会议；供应商未参加磋商的，视同认可磋商结果。</w:t>
      </w:r>
    </w:p>
    <w:p>
      <w:pPr>
        <w:tabs>
          <w:tab w:val="left" w:pos="3544"/>
        </w:tabs>
        <w:wordWrap w:val="0"/>
        <w:spacing w:line="360" w:lineRule="auto"/>
        <w:ind w:firstLine="480" w:firstLineChars="200"/>
        <w:rPr>
          <w:rFonts w:ascii="宋体" w:cs="宋体"/>
          <w:sz w:val="24"/>
        </w:rPr>
      </w:pPr>
      <w:r>
        <w:rPr>
          <w:rFonts w:ascii="宋体" w:hAnsi="宋体" w:cs="宋体"/>
          <w:sz w:val="24"/>
        </w:rPr>
        <w:t>1.2</w:t>
      </w:r>
      <w:r>
        <w:rPr>
          <w:rFonts w:hint="eastAsia" w:ascii="宋体" w:hAnsi="宋体" w:cs="宋体"/>
          <w:sz w:val="24"/>
        </w:rPr>
        <w:t>依法成立磋商小组。磋商小组由采购人代表及评审专家组成，其中技术、经济等方面的专家不少于磋商小组成员总数的三分之二。评审专家从政府采购评审专家库内相关专业的专家名单中随机抽取，磋商小组成员应当遵守并履行下列责任和义务：</w:t>
      </w:r>
    </w:p>
    <w:p>
      <w:pPr>
        <w:tabs>
          <w:tab w:val="left" w:pos="3544"/>
        </w:tabs>
        <w:wordWrap w:val="0"/>
        <w:spacing w:line="360" w:lineRule="auto"/>
        <w:ind w:left="17" w:leftChars="8" w:firstLine="480" w:firstLineChars="200"/>
        <w:rPr>
          <w:rFonts w:ascii="宋体" w:cs="宋体"/>
          <w:sz w:val="24"/>
        </w:rPr>
      </w:pPr>
      <w:r>
        <w:rPr>
          <w:rFonts w:ascii="宋体" w:hAnsi="宋体" w:cs="宋体"/>
          <w:sz w:val="24"/>
        </w:rPr>
        <w:t>A.</w:t>
      </w:r>
      <w:r>
        <w:rPr>
          <w:rFonts w:hint="eastAsia" w:ascii="宋体" w:hAnsi="宋体" w:cs="宋体"/>
          <w:sz w:val="24"/>
        </w:rPr>
        <w:t>要严格遵守政府采购相关法律制度，依法履行各自职责，公正、客观、审慎地组织和参与评审工作；</w:t>
      </w:r>
    </w:p>
    <w:p>
      <w:pPr>
        <w:tabs>
          <w:tab w:val="left" w:pos="1200"/>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对所有响应文件逐一进行资格性、符合性审查，并做出评价；</w:t>
      </w:r>
    </w:p>
    <w:p>
      <w:pPr>
        <w:tabs>
          <w:tab w:val="left" w:pos="1200"/>
          <w:tab w:val="left" w:pos="3544"/>
        </w:tabs>
        <w:wordWrap w:val="0"/>
        <w:spacing w:line="360" w:lineRule="auto"/>
        <w:ind w:firstLine="480" w:firstLineChars="200"/>
        <w:rPr>
          <w:rFonts w:ascii="宋体" w:hAnsi="宋体" w:cs="宋体"/>
          <w:color w:val="FF0000"/>
          <w:sz w:val="24"/>
        </w:rPr>
      </w:pPr>
      <w:r>
        <w:rPr>
          <w:rFonts w:ascii="宋体" w:hAnsi="宋体" w:cs="宋体"/>
          <w:sz w:val="24"/>
        </w:rPr>
        <w:t>C.</w:t>
      </w:r>
      <w:r>
        <w:rPr>
          <w:rFonts w:hint="eastAsia" w:ascii="宋体" w:hAnsi="宋体" w:cs="宋体"/>
          <w:sz w:val="24"/>
        </w:rPr>
        <w:t>按磋商文件规定的评审方法和标准，进行比较和评价；</w:t>
      </w:r>
      <w:r>
        <w:rPr>
          <w:rFonts w:ascii="宋体" w:hAnsi="宋体" w:cs="宋体"/>
          <w:color w:val="FF0000"/>
          <w:sz w:val="24"/>
        </w:rPr>
        <w:t xml:space="preserve"> </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要求供应商对响应文件有关事项作出解释或澄清；</w:t>
      </w:r>
    </w:p>
    <w:p>
      <w:pPr>
        <w:tabs>
          <w:tab w:val="left" w:pos="3544"/>
        </w:tabs>
        <w:wordWrap w:val="0"/>
        <w:spacing w:line="360" w:lineRule="auto"/>
        <w:ind w:left="17" w:leftChars="8" w:firstLine="480" w:firstLineChars="200"/>
        <w:rPr>
          <w:rFonts w:ascii="宋体" w:cs="宋体"/>
          <w:sz w:val="24"/>
        </w:rPr>
      </w:pPr>
      <w:r>
        <w:rPr>
          <w:rFonts w:ascii="宋体" w:hAnsi="宋体" w:cs="宋体"/>
          <w:sz w:val="24"/>
        </w:rPr>
        <w:t>E.</w:t>
      </w:r>
      <w:r>
        <w:rPr>
          <w:rFonts w:hint="eastAsia" w:ascii="宋体" w:hAnsi="宋体" w:cs="宋体"/>
          <w:sz w:val="24"/>
        </w:rPr>
        <w:t>要依法独立评审，按照磋商文件的要求和评审标准进行评审，推荐成交候选供应商名单，对评审意见承担个人责任；</w:t>
      </w:r>
    </w:p>
    <w:p>
      <w:pPr>
        <w:tabs>
          <w:tab w:val="left" w:pos="3544"/>
        </w:tabs>
        <w:wordWrap w:val="0"/>
        <w:spacing w:line="360" w:lineRule="auto"/>
        <w:ind w:left="1" w:leftChars="-171" w:hanging="360" w:hangingChars="150"/>
        <w:rPr>
          <w:rFonts w:ascii="宋体" w:hAnsi="宋体" w:cs="宋体"/>
          <w:sz w:val="24"/>
        </w:rPr>
      </w:pPr>
      <w:r>
        <w:rPr>
          <w:rFonts w:ascii="宋体" w:hAnsi="宋体" w:cs="宋体"/>
          <w:sz w:val="24"/>
        </w:rPr>
        <w:t xml:space="preserve">       F.</w:t>
      </w:r>
      <w:r>
        <w:rPr>
          <w:rFonts w:hint="eastAsia" w:ascii="宋体" w:hAnsi="宋体" w:cs="宋体"/>
          <w:sz w:val="24"/>
        </w:rPr>
        <w:t>对需要共同认定的事项存在争议的，按照少数服从多数的原则做出结论，持不同意见的磋商小组成员应当在评审报告上签署不同意见并说明理由，否则视为同意；</w:t>
      </w:r>
      <w:r>
        <w:rPr>
          <w:rFonts w:ascii="宋体" w:hAnsi="宋体" w:cs="宋体"/>
          <w:sz w:val="24"/>
        </w:rPr>
        <w:t xml:space="preserve"> </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G.</w:t>
      </w:r>
      <w:r>
        <w:rPr>
          <w:rFonts w:hint="eastAsia" w:ascii="宋体" w:hAnsi="宋体" w:cs="宋体"/>
          <w:sz w:val="24"/>
        </w:rPr>
        <w:t>对评审情况以及在评审过程中获悉的国家秘密、商业秘密负有保密责任；</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 xml:space="preserve">H. </w:t>
      </w:r>
      <w:r>
        <w:rPr>
          <w:rFonts w:hint="eastAsia" w:ascii="宋体" w:hAnsi="宋体" w:cs="宋体"/>
          <w:sz w:val="24"/>
        </w:rPr>
        <w:t>配合采购单位、采购代理机构答复供应商提出的质疑；</w:t>
      </w:r>
    </w:p>
    <w:p>
      <w:pPr>
        <w:tabs>
          <w:tab w:val="left" w:pos="3544"/>
        </w:tabs>
        <w:wordWrap w:val="0"/>
        <w:spacing w:line="360" w:lineRule="auto"/>
        <w:ind w:left="839" w:leftChars="228" w:hanging="360" w:hangingChars="150"/>
        <w:rPr>
          <w:rFonts w:ascii="宋体" w:cs="宋体"/>
          <w:sz w:val="24"/>
        </w:rPr>
      </w:pPr>
      <w:r>
        <w:rPr>
          <w:rFonts w:ascii="宋体" w:hAnsi="宋体" w:cs="宋体"/>
          <w:sz w:val="24"/>
        </w:rPr>
        <w:t xml:space="preserve">I. </w:t>
      </w:r>
      <w:r>
        <w:rPr>
          <w:rFonts w:hint="eastAsia" w:ascii="宋体" w:hAnsi="宋体" w:cs="宋体"/>
          <w:sz w:val="24"/>
        </w:rPr>
        <w:t>配合财政部门的投诉处理工作。</w:t>
      </w:r>
    </w:p>
    <w:p>
      <w:pPr>
        <w:tabs>
          <w:tab w:val="left" w:pos="3544"/>
        </w:tabs>
        <w:wordWrap w:val="0"/>
        <w:spacing w:line="360" w:lineRule="auto"/>
        <w:ind w:firstLine="480" w:firstLineChars="200"/>
        <w:rPr>
          <w:rFonts w:ascii="宋体" w:cs="宋体"/>
          <w:sz w:val="24"/>
        </w:rPr>
      </w:pPr>
      <w:r>
        <w:rPr>
          <w:rFonts w:ascii="宋体" w:hAnsi="宋体" w:cs="宋体"/>
          <w:sz w:val="24"/>
        </w:rPr>
        <w:t>1.3</w:t>
      </w:r>
      <w:r>
        <w:rPr>
          <w:rFonts w:hint="eastAsia" w:ascii="宋体" w:hAnsi="宋体" w:cs="宋体"/>
          <w:sz w:val="24"/>
        </w:rPr>
        <w:t>磋商前，查验响应文件密封情况，确认无误后拆封，采购代理机构指定专人负责将供应商的名称、项目名称、磋商价格等记录，并存档备案；</w:t>
      </w:r>
    </w:p>
    <w:p>
      <w:pPr>
        <w:tabs>
          <w:tab w:val="left" w:pos="3544"/>
        </w:tabs>
        <w:wordWrap w:val="0"/>
        <w:spacing w:line="360" w:lineRule="auto"/>
        <w:ind w:firstLine="480" w:firstLineChars="200"/>
        <w:rPr>
          <w:rFonts w:ascii="宋体" w:cs="宋体"/>
          <w:sz w:val="24"/>
        </w:rPr>
      </w:pPr>
      <w:r>
        <w:rPr>
          <w:rFonts w:ascii="宋体" w:hAnsi="宋体" w:cs="宋体"/>
          <w:sz w:val="24"/>
        </w:rPr>
        <w:t>1.4</w:t>
      </w:r>
      <w:r>
        <w:rPr>
          <w:rFonts w:hint="eastAsia" w:ascii="宋体" w:hAnsi="宋体" w:cs="宋体"/>
          <w:sz w:val="24"/>
        </w:rPr>
        <w:t>评审时，响应文件中出现下列情况，修正原则为：</w:t>
      </w:r>
    </w:p>
    <w:p>
      <w:pPr>
        <w:tabs>
          <w:tab w:val="left" w:pos="3544"/>
        </w:tabs>
        <w:wordWrap w:val="0"/>
        <w:spacing w:line="360" w:lineRule="auto"/>
        <w:ind w:firstLine="480" w:firstLineChars="200"/>
        <w:rPr>
          <w:rFonts w:ascii="宋体" w:hAnsi="宋体" w:cs="宋体"/>
          <w:sz w:val="24"/>
        </w:rPr>
      </w:pPr>
      <w:r>
        <w:rPr>
          <w:rFonts w:ascii="宋体" w:hAnsi="宋体" w:cs="宋体"/>
          <w:sz w:val="24"/>
        </w:rPr>
        <w:t>A.</w:t>
      </w:r>
      <w:r>
        <w:rPr>
          <w:rFonts w:hint="eastAsia" w:ascii="宋体" w:hAnsi="宋体" w:cs="宋体"/>
          <w:sz w:val="24"/>
        </w:rPr>
        <w:t>响应文件中报价一览表表内容与响应文件中明细内容不一致的，以报价一览表为准；</w:t>
      </w:r>
      <w:r>
        <w:rPr>
          <w:rFonts w:ascii="宋体" w:hAnsi="宋体" w:cs="宋体"/>
          <w:sz w:val="24"/>
        </w:rPr>
        <w:t xml:space="preserve"> </w:t>
      </w:r>
    </w:p>
    <w:p>
      <w:pPr>
        <w:tabs>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磋商报价的大写金额和小写金额不一致的，以大写金额为准；</w:t>
      </w:r>
    </w:p>
    <w:p>
      <w:pPr>
        <w:tabs>
          <w:tab w:val="left" w:pos="3544"/>
        </w:tabs>
        <w:wordWrap w:val="0"/>
        <w:spacing w:line="360" w:lineRule="auto"/>
        <w:ind w:firstLine="480" w:firstLineChars="200"/>
        <w:rPr>
          <w:rFonts w:ascii="宋体" w:cs="宋体"/>
          <w:sz w:val="24"/>
        </w:rPr>
      </w:pPr>
      <w:r>
        <w:rPr>
          <w:rFonts w:ascii="宋体" w:hAnsi="宋体" w:cs="宋体"/>
          <w:sz w:val="24"/>
        </w:rPr>
        <w:t>C.</w:t>
      </w:r>
      <w:r>
        <w:rPr>
          <w:rFonts w:hint="eastAsia" w:ascii="宋体" w:hAnsi="宋体" w:cs="宋体"/>
          <w:sz w:val="24"/>
        </w:rPr>
        <w:t>总价金额与按单价汇总金额不一致的，以单价金额计算结果为准；</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单价金额小数点有明显错位的，以总价为准，并修改单价；</w:t>
      </w:r>
    </w:p>
    <w:p>
      <w:pPr>
        <w:tabs>
          <w:tab w:val="left" w:pos="3544"/>
        </w:tabs>
        <w:wordWrap w:val="0"/>
        <w:spacing w:line="360" w:lineRule="auto"/>
        <w:ind w:firstLine="480" w:firstLineChars="200"/>
        <w:rPr>
          <w:rFonts w:ascii="宋体" w:cs="宋体"/>
          <w:sz w:val="24"/>
        </w:rPr>
      </w:pPr>
      <w:r>
        <w:rPr>
          <w:rFonts w:ascii="宋体" w:hAnsi="宋体" w:cs="宋体"/>
          <w:sz w:val="24"/>
        </w:rPr>
        <w:t>E.</w:t>
      </w:r>
      <w:r>
        <w:rPr>
          <w:rFonts w:hint="eastAsia" w:ascii="宋体" w:hAnsi="宋体" w:cs="宋体"/>
          <w:sz w:val="24"/>
        </w:rPr>
        <w:t>响应文件正本与副本不一致的，以正本为准；</w:t>
      </w:r>
    </w:p>
    <w:p>
      <w:pPr>
        <w:tabs>
          <w:tab w:val="left" w:pos="3544"/>
        </w:tabs>
        <w:wordWrap w:val="0"/>
        <w:spacing w:line="360" w:lineRule="auto"/>
        <w:ind w:firstLine="480" w:firstLineChars="200"/>
        <w:rPr>
          <w:rFonts w:ascii="宋体" w:cs="宋体"/>
          <w:sz w:val="24"/>
        </w:rPr>
      </w:pPr>
      <w:r>
        <w:rPr>
          <w:rFonts w:ascii="宋体" w:hAnsi="宋体" w:cs="宋体"/>
          <w:sz w:val="24"/>
        </w:rPr>
        <w:t>F.</w:t>
      </w:r>
      <w:r>
        <w:rPr>
          <w:rFonts w:hint="eastAsia" w:ascii="宋体" w:hAnsi="宋体" w:cs="宋体"/>
          <w:sz w:val="24"/>
        </w:rPr>
        <w:t>文字与图表不符时以文字为准；</w:t>
      </w:r>
    </w:p>
    <w:p>
      <w:pPr>
        <w:tabs>
          <w:tab w:val="left" w:pos="3544"/>
        </w:tabs>
        <w:wordWrap w:val="0"/>
        <w:spacing w:line="360" w:lineRule="auto"/>
        <w:ind w:firstLine="480" w:firstLineChars="200"/>
        <w:rPr>
          <w:rFonts w:ascii="宋体" w:cs="宋体"/>
          <w:sz w:val="24"/>
        </w:rPr>
      </w:pPr>
      <w:r>
        <w:rPr>
          <w:rFonts w:ascii="宋体" w:hAnsi="宋体" w:cs="宋体"/>
          <w:sz w:val="24"/>
        </w:rPr>
        <w:t>G.</w:t>
      </w:r>
      <w:r>
        <w:rPr>
          <w:rFonts w:hint="eastAsia" w:ascii="宋体" w:hAnsi="宋体" w:cs="宋体"/>
          <w:sz w:val="24"/>
        </w:rPr>
        <w:t>多处内容交叉不符时，以磋商小组成员评审结果为准；</w:t>
      </w:r>
    </w:p>
    <w:p>
      <w:pPr>
        <w:tabs>
          <w:tab w:val="left" w:pos="3544"/>
        </w:tabs>
        <w:wordWrap w:val="0"/>
        <w:spacing w:line="360" w:lineRule="auto"/>
        <w:ind w:firstLine="480" w:firstLineChars="200"/>
        <w:rPr>
          <w:rFonts w:ascii="宋体" w:cs="宋体"/>
          <w:sz w:val="24"/>
        </w:rPr>
      </w:pPr>
      <w:r>
        <w:rPr>
          <w:rFonts w:ascii="宋体" w:hAnsi="宋体" w:cs="宋体"/>
          <w:sz w:val="24"/>
        </w:rPr>
        <w:t>H.</w:t>
      </w:r>
      <w:r>
        <w:rPr>
          <w:rFonts w:hint="eastAsia" w:ascii="宋体" w:hAnsi="宋体" w:cs="宋体"/>
          <w:sz w:val="24"/>
        </w:rPr>
        <w:t>分项报价表中的服务技术参数、规格型号与技术偏差表不一致时，以分项报价表为准；</w:t>
      </w:r>
    </w:p>
    <w:p>
      <w:pPr>
        <w:tabs>
          <w:tab w:val="left" w:pos="3544"/>
        </w:tabs>
        <w:wordWrap w:val="0"/>
        <w:spacing w:line="360" w:lineRule="auto"/>
        <w:ind w:firstLine="482" w:firstLineChars="200"/>
        <w:rPr>
          <w:rFonts w:ascii="宋体" w:cs="宋体"/>
          <w:sz w:val="24"/>
          <w:u w:val="single"/>
        </w:rPr>
      </w:pPr>
      <w:r>
        <w:rPr>
          <w:rFonts w:hint="eastAsia" w:ascii="宋体" w:hAnsi="宋体" w:cs="宋体"/>
          <w:b/>
          <w:bCs/>
          <w:sz w:val="24"/>
          <w:u w:val="single"/>
        </w:rPr>
        <w:t>按上述修正错误的原则及方法调整或修正响应文件的报价，供应商同意后，调整后的报价对供应商起约束作用。如果供应商不接受修正后的报价，则其磋商活动将被拒绝，并且其磋商保证金也将不予退还。</w:t>
      </w:r>
    </w:p>
    <w:p>
      <w:pPr>
        <w:tabs>
          <w:tab w:val="left" w:pos="3544"/>
        </w:tabs>
        <w:wordWrap w:val="0"/>
        <w:spacing w:line="360" w:lineRule="auto"/>
        <w:ind w:firstLine="480" w:firstLineChars="200"/>
        <w:rPr>
          <w:rFonts w:ascii="宋体" w:hAnsi="宋体" w:cs="宋体"/>
          <w:sz w:val="24"/>
        </w:rPr>
      </w:pPr>
      <w:r>
        <w:rPr>
          <w:rFonts w:ascii="宋体" w:hAnsi="宋体" w:cs="宋体"/>
          <w:sz w:val="24"/>
        </w:rPr>
        <w:t>1.5</w:t>
      </w:r>
      <w:r>
        <w:rPr>
          <w:rFonts w:hint="eastAsia" w:ascii="宋体" w:hAnsi="宋体" w:cs="宋体"/>
          <w:sz w:val="24"/>
        </w:rPr>
        <w:t>磋商后，直到向成交的供应商授予合同为止，凡审查、澄清、评价和比较磋商的有关资料及被授标意见等内容，磋商小组成员均不得向供应商及与磋商无关的其他人透露。</w:t>
      </w:r>
      <w:r>
        <w:rPr>
          <w:rFonts w:ascii="宋体" w:hAnsi="宋体" w:cs="宋体"/>
          <w:sz w:val="24"/>
        </w:rPr>
        <w:t xml:space="preserve"> </w:t>
      </w:r>
    </w:p>
    <w:p>
      <w:pPr>
        <w:tabs>
          <w:tab w:val="left" w:pos="3544"/>
        </w:tabs>
        <w:wordWrap w:val="0"/>
        <w:spacing w:line="360" w:lineRule="auto"/>
        <w:rPr>
          <w:rFonts w:ascii="宋体" w:cs="宋体"/>
          <w:b/>
          <w:sz w:val="24"/>
        </w:rPr>
      </w:pPr>
      <w:r>
        <w:rPr>
          <w:rFonts w:ascii="宋体" w:hAnsi="宋体" w:cs="宋体"/>
          <w:b/>
          <w:sz w:val="24"/>
        </w:rPr>
        <w:t>2</w:t>
      </w:r>
      <w:r>
        <w:rPr>
          <w:rFonts w:hint="eastAsia" w:ascii="宋体" w:hAnsi="宋体" w:cs="宋体"/>
          <w:b/>
          <w:sz w:val="24"/>
        </w:rPr>
        <w:t>、响应文件的审查</w:t>
      </w:r>
    </w:p>
    <w:p>
      <w:pPr>
        <w:tabs>
          <w:tab w:val="left" w:pos="3544"/>
        </w:tabs>
        <w:wordWrap w:val="0"/>
        <w:spacing w:line="360" w:lineRule="auto"/>
        <w:ind w:firstLine="480" w:firstLineChars="200"/>
        <w:rPr>
          <w:rFonts w:ascii="宋体" w:cs="宋体"/>
          <w:sz w:val="24"/>
        </w:rPr>
      </w:pPr>
      <w:r>
        <w:rPr>
          <w:rFonts w:ascii="宋体" w:hAnsi="宋体" w:cs="宋体"/>
          <w:sz w:val="24"/>
        </w:rPr>
        <w:t>2.1</w:t>
      </w:r>
      <w:r>
        <w:rPr>
          <w:rFonts w:hint="eastAsia" w:ascii="宋体" w:hAnsi="宋体" w:cs="仿宋_GB2312"/>
          <w:sz w:val="24"/>
          <w:szCs w:val="20"/>
        </w:rPr>
        <w:t>采取逐项分步评审方式，每一步评审不符合者，不进入下一步评审，先进行资格性审查，再进行符合性审查。</w:t>
      </w:r>
    </w:p>
    <w:p>
      <w:pPr>
        <w:spacing w:line="360" w:lineRule="auto"/>
        <w:ind w:firstLine="480" w:firstLineChars="200"/>
        <w:rPr>
          <w:rFonts w:ascii="宋体" w:cs="宋体"/>
          <w:sz w:val="24"/>
          <w:szCs w:val="32"/>
        </w:rPr>
      </w:pPr>
      <w:r>
        <w:rPr>
          <w:rFonts w:ascii="宋体" w:hAnsi="宋体" w:cs="宋体"/>
          <w:sz w:val="24"/>
          <w:szCs w:val="32"/>
        </w:rPr>
        <w:t xml:space="preserve">2.1.1 </w:t>
      </w:r>
      <w:r>
        <w:rPr>
          <w:rFonts w:hint="eastAsia" w:ascii="宋体" w:hAnsi="宋体" w:cs="宋体"/>
          <w:sz w:val="24"/>
          <w:szCs w:val="32"/>
        </w:rPr>
        <w:t>资格性审查。依据法律法规和磋商文件的规定，对响应文件中的资格证明文件进行审查，以确定供应商是否具备磋商资格。</w:t>
      </w:r>
    </w:p>
    <w:p>
      <w:pPr>
        <w:tabs>
          <w:tab w:val="left" w:pos="3544"/>
        </w:tabs>
        <w:wordWrap w:val="0"/>
        <w:spacing w:line="360" w:lineRule="auto"/>
        <w:ind w:firstLine="480" w:firstLineChars="200"/>
        <w:rPr>
          <w:rFonts w:ascii="宋体" w:cs="宋体"/>
          <w:sz w:val="24"/>
        </w:rPr>
      </w:pPr>
      <w:r>
        <w:rPr>
          <w:rFonts w:ascii="宋体" w:hAnsi="宋体" w:cs="宋体"/>
          <w:sz w:val="24"/>
          <w:szCs w:val="32"/>
        </w:rPr>
        <w:t>2.1.2</w:t>
      </w:r>
      <w:r>
        <w:rPr>
          <w:rFonts w:hint="eastAsia" w:ascii="宋体" w:hAnsi="宋体" w:cs="宋体"/>
          <w:sz w:val="24"/>
        </w:rPr>
        <w:t>根据磋商文件以下要求对供应商提交的响应文件进行符合性审查：</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①磋商响应文件的有效性</w:t>
      </w:r>
      <w:r>
        <w:rPr>
          <w:rFonts w:ascii="宋体" w:hAnsi="宋体" w:cs="宋体"/>
          <w:sz w:val="24"/>
        </w:rPr>
        <w:t>(</w:t>
      </w:r>
      <w:r>
        <w:rPr>
          <w:rFonts w:hint="eastAsia" w:ascii="宋体" w:hAnsi="宋体" w:cs="宋体"/>
          <w:sz w:val="24"/>
        </w:rPr>
        <w:t>是否按要求签署盖章</w:t>
      </w:r>
      <w:r>
        <w:rPr>
          <w:rFonts w:ascii="宋体" w:hAnsi="宋体" w:cs="宋体"/>
          <w:sz w:val="24"/>
        </w:rPr>
        <w:t>)</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②磋商响应文件的完整性</w:t>
      </w:r>
      <w:r>
        <w:rPr>
          <w:rFonts w:ascii="宋体" w:hAnsi="宋体" w:cs="宋体"/>
          <w:sz w:val="24"/>
        </w:rPr>
        <w:t>(</w:t>
      </w:r>
      <w:r>
        <w:rPr>
          <w:rFonts w:hint="eastAsia" w:ascii="宋体" w:hAnsi="宋体" w:cs="宋体"/>
          <w:sz w:val="24"/>
        </w:rPr>
        <w:t>是否按要求编制磋商响应文件</w:t>
      </w:r>
      <w:r>
        <w:rPr>
          <w:rFonts w:ascii="宋体" w:hAnsi="宋体" w:cs="宋体"/>
          <w:sz w:val="24"/>
        </w:rPr>
        <w:t>)</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③磋商响应文件的响应程度</w:t>
      </w:r>
      <w:r>
        <w:rPr>
          <w:rFonts w:ascii="宋体" w:hAnsi="宋体" w:cs="宋体"/>
          <w:sz w:val="24"/>
        </w:rPr>
        <w:t>(</w:t>
      </w:r>
      <w:r>
        <w:rPr>
          <w:rFonts w:hint="eastAsia" w:ascii="宋体" w:hAnsi="宋体" w:cs="宋体"/>
          <w:sz w:val="24"/>
        </w:rPr>
        <w:t>是否实质上响应磋商文件</w:t>
      </w:r>
      <w:r>
        <w:rPr>
          <w:rFonts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④磋商保证金交纳凭证（银行转账或电汇回执单复印件加盖单位公章）。</w:t>
      </w:r>
    </w:p>
    <w:p>
      <w:pPr>
        <w:tabs>
          <w:tab w:val="left" w:pos="3544"/>
        </w:tabs>
        <w:wordWrap w:val="0"/>
        <w:spacing w:line="360" w:lineRule="auto"/>
        <w:ind w:firstLine="480" w:firstLineChars="200"/>
        <w:rPr>
          <w:rFonts w:ascii="宋体" w:hAnsi="宋体" w:cs="宋体"/>
          <w:sz w:val="24"/>
        </w:rPr>
      </w:pPr>
      <w:r>
        <w:rPr>
          <w:rFonts w:hint="eastAsia" w:ascii="宋体" w:hAnsi="宋体" w:cs="宋体"/>
          <w:sz w:val="24"/>
        </w:rPr>
        <w:t>注：实质上响应磋商文件要求：仅对磋商文件中规定的商务要求进行审查；技术要求出现偏离情况只作为评分依据。</w:t>
      </w:r>
    </w:p>
    <w:p>
      <w:pPr>
        <w:tabs>
          <w:tab w:val="left" w:pos="3544"/>
        </w:tabs>
        <w:wordWrap w:val="0"/>
        <w:spacing w:line="360" w:lineRule="auto"/>
        <w:rPr>
          <w:rFonts w:ascii="宋体" w:cs="宋体"/>
          <w:b/>
          <w:bCs/>
          <w:sz w:val="24"/>
        </w:rPr>
      </w:pPr>
      <w:r>
        <w:rPr>
          <w:rFonts w:ascii="宋体" w:hAnsi="宋体" w:cs="宋体"/>
          <w:b/>
          <w:bCs/>
          <w:sz w:val="24"/>
        </w:rPr>
        <w:t>3</w:t>
      </w:r>
      <w:r>
        <w:rPr>
          <w:rFonts w:hint="eastAsia" w:ascii="宋体" w:hAnsi="宋体" w:cs="宋体"/>
          <w:b/>
          <w:bCs/>
          <w:sz w:val="24"/>
        </w:rPr>
        <w:t>、澄清</w:t>
      </w:r>
    </w:p>
    <w:p>
      <w:pPr>
        <w:tabs>
          <w:tab w:val="left" w:pos="3544"/>
        </w:tabs>
        <w:wordWrap w:val="0"/>
        <w:spacing w:line="360" w:lineRule="auto"/>
        <w:ind w:firstLine="480" w:firstLineChars="200"/>
        <w:rPr>
          <w:rFonts w:ascii="宋体" w:cs="宋体"/>
          <w:sz w:val="24"/>
          <w:szCs w:val="20"/>
        </w:rPr>
      </w:pPr>
      <w:r>
        <w:rPr>
          <w:rFonts w:ascii="宋体" w:hAnsi="宋体" w:cs="宋体"/>
          <w:sz w:val="24"/>
        </w:rPr>
        <w:t>3.1</w:t>
      </w:r>
      <w:r>
        <w:rPr>
          <w:rFonts w:hint="eastAsia" w:ascii="宋体" w:hAnsi="宋体" w:cs="宋体"/>
          <w:sz w:val="24"/>
          <w:szCs w:val="20"/>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tabs>
          <w:tab w:val="left" w:pos="3544"/>
        </w:tabs>
        <w:wordWrap w:val="0"/>
        <w:spacing w:line="360" w:lineRule="auto"/>
        <w:ind w:firstLine="480" w:firstLineChars="200"/>
        <w:rPr>
          <w:rFonts w:ascii="宋体" w:cs="宋体"/>
          <w:sz w:val="24"/>
        </w:rPr>
      </w:pPr>
      <w:r>
        <w:rPr>
          <w:rFonts w:ascii="宋体" w:hAnsi="宋体" w:cs="宋体"/>
          <w:sz w:val="24"/>
        </w:rPr>
        <w:t>3.2</w:t>
      </w:r>
      <w:r>
        <w:rPr>
          <w:rFonts w:hint="eastAsia" w:ascii="宋体" w:hAnsi="宋体" w:cs="宋体"/>
          <w:sz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tabs>
          <w:tab w:val="left" w:pos="3544"/>
        </w:tabs>
        <w:wordWrap w:val="0"/>
        <w:spacing w:line="360" w:lineRule="auto"/>
        <w:rPr>
          <w:rFonts w:ascii="宋体" w:cs="宋体"/>
          <w:b/>
          <w:bCs/>
          <w:sz w:val="24"/>
        </w:rPr>
      </w:pPr>
      <w:r>
        <w:rPr>
          <w:rFonts w:ascii="宋体" w:hAnsi="宋体" w:cs="宋体"/>
          <w:b/>
          <w:bCs/>
          <w:sz w:val="24"/>
        </w:rPr>
        <w:t>4</w:t>
      </w:r>
      <w:r>
        <w:rPr>
          <w:rFonts w:hint="eastAsia" w:ascii="宋体" w:hAnsi="宋体" w:cs="宋体"/>
          <w:b/>
          <w:bCs/>
          <w:sz w:val="24"/>
        </w:rPr>
        <w:t>、磋商无效情形</w:t>
      </w:r>
    </w:p>
    <w:p>
      <w:pPr>
        <w:pStyle w:val="32"/>
        <w:spacing w:line="360" w:lineRule="auto"/>
        <w:ind w:left="0" w:leftChars="0" w:firstLine="444" w:firstLineChars="185"/>
        <w:rPr>
          <w:rFonts w:ascii="宋体" w:hAnsi="宋体" w:eastAsia="宋体" w:cs="宋体"/>
          <w:sz w:val="24"/>
          <w:szCs w:val="24"/>
        </w:rPr>
      </w:pPr>
      <w:r>
        <w:rPr>
          <w:rFonts w:hint="eastAsia" w:ascii="宋体" w:hAnsi="宋体" w:eastAsia="宋体" w:cs="宋体"/>
          <w:sz w:val="24"/>
        </w:rPr>
        <w:t>供应商及提交的响应文件有下列情况之一者（但不限于），按无效磋商处理：</w:t>
      </w:r>
    </w:p>
    <w:p>
      <w:pPr>
        <w:tabs>
          <w:tab w:val="left" w:pos="3544"/>
        </w:tabs>
        <w:wordWrap w:val="0"/>
        <w:spacing w:line="360" w:lineRule="auto"/>
        <w:ind w:firstLine="480" w:firstLineChars="200"/>
        <w:rPr>
          <w:rFonts w:ascii="宋体" w:cs="宋体"/>
          <w:sz w:val="24"/>
        </w:rPr>
      </w:pPr>
      <w:r>
        <w:rPr>
          <w:rFonts w:ascii="宋体" w:hAnsi="宋体" w:cs="宋体"/>
          <w:sz w:val="24"/>
        </w:rPr>
        <w:t>A.</w:t>
      </w:r>
      <w:r>
        <w:rPr>
          <w:rFonts w:hint="eastAsia" w:ascii="宋体" w:hAnsi="宋体" w:cs="宋体"/>
          <w:sz w:val="24"/>
        </w:rPr>
        <w:t>供应商的响应报价超过采购预算或者最高限价的；</w:t>
      </w:r>
    </w:p>
    <w:p>
      <w:pPr>
        <w:tabs>
          <w:tab w:val="left" w:pos="3544"/>
        </w:tabs>
        <w:wordWrap w:val="0"/>
        <w:spacing w:line="360" w:lineRule="auto"/>
        <w:ind w:firstLine="480" w:firstLineChars="200"/>
        <w:rPr>
          <w:rFonts w:ascii="宋体" w:cs="宋体"/>
          <w:sz w:val="24"/>
        </w:rPr>
      </w:pPr>
      <w:r>
        <w:rPr>
          <w:rFonts w:ascii="宋体" w:hAnsi="宋体" w:cs="宋体"/>
          <w:sz w:val="24"/>
        </w:rPr>
        <w:t>B.</w:t>
      </w:r>
      <w:r>
        <w:rPr>
          <w:rFonts w:hint="eastAsia" w:ascii="宋体" w:hAnsi="宋体" w:cs="宋体"/>
          <w:sz w:val="24"/>
        </w:rPr>
        <w:t>未按照规定交纳磋商保证金的；</w:t>
      </w:r>
    </w:p>
    <w:p>
      <w:pPr>
        <w:tabs>
          <w:tab w:val="left" w:pos="3544"/>
        </w:tabs>
        <w:wordWrap w:val="0"/>
        <w:spacing w:line="360" w:lineRule="auto"/>
        <w:ind w:firstLine="480" w:firstLineChars="200"/>
        <w:rPr>
          <w:rFonts w:ascii="宋体" w:cs="宋体"/>
          <w:sz w:val="24"/>
        </w:rPr>
      </w:pPr>
      <w:r>
        <w:rPr>
          <w:rFonts w:ascii="宋体" w:hAnsi="宋体" w:cs="宋体"/>
          <w:sz w:val="24"/>
        </w:rPr>
        <w:t>C.</w:t>
      </w:r>
      <w:r>
        <w:rPr>
          <w:rFonts w:hint="eastAsia" w:ascii="宋体" w:hAnsi="宋体" w:cs="宋体"/>
          <w:sz w:val="24"/>
        </w:rPr>
        <w:t>供应商未经过正常渠道购买磋商文件，或供应商名称与购买磋商文件时登记的供应商名称不符的；</w:t>
      </w:r>
    </w:p>
    <w:p>
      <w:pPr>
        <w:tabs>
          <w:tab w:val="left" w:pos="3544"/>
        </w:tabs>
        <w:wordWrap w:val="0"/>
        <w:spacing w:line="360" w:lineRule="auto"/>
        <w:ind w:firstLine="480" w:firstLineChars="200"/>
        <w:rPr>
          <w:rFonts w:ascii="宋体" w:cs="宋体"/>
          <w:sz w:val="24"/>
        </w:rPr>
      </w:pPr>
      <w:r>
        <w:rPr>
          <w:rFonts w:ascii="宋体" w:hAnsi="宋体" w:cs="宋体"/>
          <w:sz w:val="24"/>
        </w:rPr>
        <w:t>D.</w:t>
      </w:r>
      <w:r>
        <w:rPr>
          <w:rFonts w:hint="eastAsia" w:ascii="宋体" w:hAnsi="宋体" w:cs="宋体"/>
          <w:sz w:val="24"/>
        </w:rPr>
        <w:t>必备资质的有效性和完整性不符合要求的；</w:t>
      </w:r>
    </w:p>
    <w:p>
      <w:pPr>
        <w:tabs>
          <w:tab w:val="left" w:pos="3544"/>
        </w:tabs>
        <w:wordWrap w:val="0"/>
        <w:spacing w:line="360" w:lineRule="auto"/>
        <w:ind w:firstLine="480" w:firstLineChars="200"/>
        <w:rPr>
          <w:rFonts w:ascii="宋体" w:cs="宋体"/>
          <w:sz w:val="24"/>
        </w:rPr>
      </w:pPr>
      <w:r>
        <w:rPr>
          <w:rFonts w:ascii="宋体" w:hAnsi="宋体" w:cs="宋体"/>
          <w:sz w:val="24"/>
        </w:rPr>
        <w:t>E.</w:t>
      </w:r>
      <w:r>
        <w:rPr>
          <w:rFonts w:hint="eastAsia" w:ascii="宋体" w:hAnsi="宋体" w:cs="宋体"/>
          <w:sz w:val="24"/>
        </w:rPr>
        <w:t>响应文件未按磋商文件要求</w:t>
      </w:r>
      <w:r>
        <w:rPr>
          <w:rFonts w:hint="eastAsia" w:ascii="宋体" w:hAnsi="宋体" w:cs="宋体"/>
          <w:spacing w:val="-6"/>
          <w:sz w:val="24"/>
        </w:rPr>
        <w:t>签署盖章，</w:t>
      </w:r>
      <w:r>
        <w:rPr>
          <w:rFonts w:hint="eastAsia" w:ascii="宋体" w:hAnsi="宋体" w:cs="宋体"/>
          <w:sz w:val="24"/>
        </w:rPr>
        <w:t>无磋商有效期或有效期达不到磋商文件要求的；</w:t>
      </w:r>
    </w:p>
    <w:p>
      <w:pPr>
        <w:tabs>
          <w:tab w:val="left" w:pos="3544"/>
        </w:tabs>
        <w:wordWrap w:val="0"/>
        <w:spacing w:line="360" w:lineRule="auto"/>
        <w:ind w:firstLine="480" w:firstLineChars="200"/>
        <w:rPr>
          <w:rFonts w:ascii="宋体" w:cs="宋体"/>
          <w:sz w:val="24"/>
        </w:rPr>
      </w:pPr>
      <w:r>
        <w:rPr>
          <w:rFonts w:ascii="宋体" w:hAnsi="宋体" w:cs="宋体"/>
          <w:sz w:val="24"/>
        </w:rPr>
        <w:t>F.</w:t>
      </w:r>
      <w:r>
        <w:rPr>
          <w:rFonts w:hint="eastAsia" w:ascii="宋体" w:hAnsi="宋体" w:cs="宋体"/>
          <w:sz w:val="24"/>
        </w:rPr>
        <w:t>供应商针对同一项目递交两份或多份内容不同的响应文件，未书面声明哪一份是有效的或出现选择性报价的；</w:t>
      </w:r>
    </w:p>
    <w:p>
      <w:pPr>
        <w:tabs>
          <w:tab w:val="left" w:pos="3544"/>
        </w:tabs>
        <w:wordWrap w:val="0"/>
        <w:spacing w:line="360" w:lineRule="auto"/>
        <w:ind w:firstLine="480" w:firstLineChars="200"/>
        <w:rPr>
          <w:rFonts w:ascii="宋体" w:cs="宋体"/>
          <w:sz w:val="24"/>
        </w:rPr>
      </w:pPr>
      <w:r>
        <w:rPr>
          <w:rFonts w:ascii="宋体" w:hAnsi="宋体" w:cs="宋体"/>
          <w:sz w:val="24"/>
        </w:rPr>
        <w:t>G.</w:t>
      </w:r>
      <w:r>
        <w:rPr>
          <w:rFonts w:hint="eastAsia" w:ascii="宋体" w:hAnsi="宋体" w:cs="宋体"/>
          <w:sz w:val="24"/>
        </w:rPr>
        <w:t>提供虚假资质、虚假证明（包括第三方提供的虚假证明）、出现虚假应答的，除按无效响应文件处理外，还将按照政府采购的有关规定进行处罚；</w:t>
      </w:r>
    </w:p>
    <w:p>
      <w:pPr>
        <w:tabs>
          <w:tab w:val="left" w:pos="3544"/>
        </w:tabs>
        <w:wordWrap w:val="0"/>
        <w:spacing w:line="360" w:lineRule="auto"/>
        <w:ind w:firstLine="480" w:firstLineChars="200"/>
        <w:rPr>
          <w:rFonts w:ascii="宋体" w:cs="宋体"/>
          <w:sz w:val="24"/>
        </w:rPr>
      </w:pPr>
      <w:r>
        <w:rPr>
          <w:rFonts w:ascii="宋体" w:hAnsi="宋体" w:cs="宋体"/>
          <w:sz w:val="24"/>
        </w:rPr>
        <w:t>H.</w:t>
      </w:r>
      <w:r>
        <w:rPr>
          <w:rFonts w:hint="eastAsia" w:ascii="宋体" w:hAnsi="宋体" w:cs="宋体"/>
          <w:sz w:val="24"/>
        </w:rPr>
        <w:t>响应文件在商务响应方面附加了采购单位难以接受的条件或条款的；</w:t>
      </w:r>
    </w:p>
    <w:p>
      <w:pPr>
        <w:tabs>
          <w:tab w:val="left" w:pos="3544"/>
        </w:tabs>
        <w:wordWrap w:val="0"/>
        <w:topLinePunct/>
        <w:spacing w:line="360" w:lineRule="auto"/>
        <w:ind w:firstLine="480" w:firstLineChars="200"/>
        <w:rPr>
          <w:rFonts w:ascii="宋体" w:cs="宋体"/>
          <w:sz w:val="24"/>
        </w:rPr>
      </w:pPr>
      <w:r>
        <w:rPr>
          <w:rFonts w:ascii="宋体" w:hAnsi="宋体" w:cs="宋体"/>
          <w:sz w:val="24"/>
        </w:rPr>
        <w:t>I.</w:t>
      </w:r>
      <w:r>
        <w:rPr>
          <w:rFonts w:hint="eastAsia" w:ascii="宋体" w:hAnsi="宋体" w:cs="宋体"/>
          <w:sz w:val="24"/>
        </w:rPr>
        <w:t>在政府采购或其它重大项目履约过程中有不良记录，未能按期履约的；</w:t>
      </w:r>
    </w:p>
    <w:p>
      <w:pPr>
        <w:tabs>
          <w:tab w:val="left" w:pos="3544"/>
        </w:tabs>
        <w:wordWrap w:val="0"/>
        <w:spacing w:line="360" w:lineRule="auto"/>
        <w:ind w:firstLine="480" w:firstLineChars="200"/>
        <w:rPr>
          <w:rFonts w:ascii="宋体" w:cs="宋体"/>
          <w:sz w:val="24"/>
        </w:rPr>
      </w:pPr>
      <w:r>
        <w:rPr>
          <w:rFonts w:ascii="宋体" w:hAnsi="宋体" w:cs="宋体"/>
          <w:sz w:val="24"/>
        </w:rPr>
        <w:t>J.</w:t>
      </w:r>
      <w:r>
        <w:rPr>
          <w:rFonts w:hint="eastAsia" w:ascii="宋体" w:hAnsi="宋体" w:cs="宋体"/>
          <w:sz w:val="24"/>
        </w:rPr>
        <w:t>磋商报价与市场价格偏离较大、低于成本、形成不正当竞争的；</w:t>
      </w:r>
    </w:p>
    <w:p>
      <w:pPr>
        <w:tabs>
          <w:tab w:val="left" w:pos="3544"/>
        </w:tabs>
        <w:wordWrap w:val="0"/>
        <w:spacing w:line="360" w:lineRule="auto"/>
        <w:ind w:firstLine="480" w:firstLineChars="200"/>
        <w:rPr>
          <w:rFonts w:ascii="宋体" w:cs="宋体"/>
          <w:sz w:val="24"/>
        </w:rPr>
      </w:pPr>
      <w:r>
        <w:rPr>
          <w:rFonts w:ascii="宋体" w:hAnsi="宋体" w:cs="宋体"/>
          <w:sz w:val="24"/>
        </w:rPr>
        <w:t>K.</w:t>
      </w:r>
      <w:r>
        <w:rPr>
          <w:rFonts w:hint="eastAsia" w:ascii="宋体" w:hAnsi="宋体" w:cs="宋体"/>
          <w:sz w:val="24"/>
        </w:rPr>
        <w:t>报价子目出现漏项或报价数量与要求不符的；</w:t>
      </w:r>
    </w:p>
    <w:p>
      <w:pPr>
        <w:tabs>
          <w:tab w:val="left" w:pos="3544"/>
        </w:tabs>
        <w:wordWrap w:val="0"/>
        <w:spacing w:line="360" w:lineRule="auto"/>
        <w:ind w:firstLine="480" w:firstLineChars="200"/>
        <w:rPr>
          <w:rFonts w:ascii="宋体" w:cs="宋体"/>
          <w:sz w:val="24"/>
        </w:rPr>
      </w:pPr>
      <w:r>
        <w:rPr>
          <w:rFonts w:ascii="宋体" w:hAnsi="宋体" w:cs="宋体"/>
          <w:sz w:val="24"/>
        </w:rPr>
        <w:t>L.</w:t>
      </w:r>
      <w:r>
        <w:rPr>
          <w:rFonts w:hint="eastAsia" w:ascii="宋体" w:hAnsi="宋体" w:cs="宋体"/>
          <w:sz w:val="24"/>
        </w:rPr>
        <w:t>提供虚假技术性能指标的；</w:t>
      </w:r>
    </w:p>
    <w:p>
      <w:pPr>
        <w:tabs>
          <w:tab w:val="left" w:pos="3544"/>
        </w:tabs>
        <w:wordWrap w:val="0"/>
        <w:spacing w:line="360" w:lineRule="auto"/>
        <w:ind w:firstLine="480" w:firstLineChars="200"/>
        <w:rPr>
          <w:rFonts w:ascii="宋体" w:cs="宋体"/>
          <w:sz w:val="24"/>
        </w:rPr>
      </w:pPr>
      <w:r>
        <w:rPr>
          <w:rFonts w:ascii="宋体" w:hAnsi="宋体" w:cs="宋体"/>
          <w:sz w:val="24"/>
        </w:rPr>
        <w:t>M.</w:t>
      </w:r>
      <w:r>
        <w:rPr>
          <w:rFonts w:hint="eastAsia" w:ascii="宋体" w:hAnsi="宋体" w:cs="宋体"/>
          <w:sz w:val="24"/>
        </w:rPr>
        <w:t>满足磋商文件中其它无效磋商条款的；</w:t>
      </w:r>
    </w:p>
    <w:p>
      <w:pPr>
        <w:tabs>
          <w:tab w:val="left" w:pos="3544"/>
        </w:tabs>
        <w:wordWrap w:val="0"/>
        <w:spacing w:line="360" w:lineRule="auto"/>
        <w:ind w:firstLine="480" w:firstLineChars="200"/>
        <w:rPr>
          <w:rFonts w:ascii="宋体" w:cs="宋体"/>
          <w:sz w:val="24"/>
        </w:rPr>
      </w:pPr>
      <w:r>
        <w:rPr>
          <w:rFonts w:ascii="宋体" w:hAnsi="宋体" w:cs="宋体"/>
          <w:sz w:val="24"/>
        </w:rPr>
        <w:t>N.</w:t>
      </w:r>
      <w:r>
        <w:rPr>
          <w:rFonts w:hint="eastAsia" w:ascii="宋体" w:hAnsi="宋体" w:cs="宋体"/>
          <w:sz w:val="24"/>
        </w:rPr>
        <w:t>不符合法律、法规规定的其它实质性要求的。</w:t>
      </w:r>
    </w:p>
    <w:p>
      <w:pPr>
        <w:tabs>
          <w:tab w:val="left" w:pos="3544"/>
        </w:tabs>
        <w:wordWrap w:val="0"/>
        <w:spacing w:line="360" w:lineRule="auto"/>
        <w:rPr>
          <w:rFonts w:ascii="宋体" w:cs="宋体"/>
          <w:sz w:val="24"/>
        </w:rPr>
      </w:pPr>
      <w:r>
        <w:rPr>
          <w:rFonts w:ascii="宋体" w:hAnsi="宋体" w:cs="宋体"/>
          <w:b/>
          <w:sz w:val="24"/>
        </w:rPr>
        <w:t>5</w:t>
      </w:r>
      <w:r>
        <w:rPr>
          <w:rFonts w:hint="eastAsia" w:ascii="宋体" w:hAnsi="宋体" w:cs="宋体"/>
          <w:b/>
          <w:sz w:val="24"/>
        </w:rPr>
        <w:t>、评审步骤</w:t>
      </w:r>
    </w:p>
    <w:p>
      <w:pPr>
        <w:tabs>
          <w:tab w:val="left" w:pos="3544"/>
        </w:tabs>
        <w:wordWrap w:val="0"/>
        <w:spacing w:line="360" w:lineRule="auto"/>
        <w:ind w:firstLine="480" w:firstLineChars="200"/>
        <w:rPr>
          <w:rFonts w:ascii="宋体" w:cs="宋体"/>
          <w:b/>
          <w:sz w:val="24"/>
        </w:rPr>
      </w:pPr>
      <w:r>
        <w:rPr>
          <w:rFonts w:ascii="宋体" w:hAnsi="宋体" w:cs="宋体"/>
          <w:sz w:val="24"/>
        </w:rPr>
        <w:t>5.1</w:t>
      </w:r>
      <w:r>
        <w:rPr>
          <w:rFonts w:hint="eastAsia" w:ascii="宋体" w:hAnsi="宋体" w:cs="仿宋_GB2312"/>
          <w:sz w:val="24"/>
          <w:szCs w:val="20"/>
        </w:rPr>
        <w:t>磋商小组根据各磋商供应商响应文件响应情况决定是否与各供应商进行磋商，磋商方式为磋商小组所有成员集中与单一供应商分别进行磋商，并给与参加磋商的供应商平等的磋商机会。磋商共进行两轮磋商报价（（第一轮报价为各供应商响应文件中磋商报价表上的报价；第二轮报价为满足磋商文件实质性要求的所有供应商在规定时间内提交的报价，即为最后报价），磋商过程中所有磋商报价现场不对供应商公开宣读</w:t>
      </w:r>
      <w:r>
        <w:rPr>
          <w:rFonts w:hint="eastAsia" w:ascii="宋体" w:hAnsi="宋体" w:cs="宋体"/>
          <w:sz w:val="24"/>
        </w:rPr>
        <w:t>。</w:t>
      </w:r>
    </w:p>
    <w:p>
      <w:pPr>
        <w:wordWrap w:val="0"/>
        <w:spacing w:line="360" w:lineRule="auto"/>
        <w:ind w:firstLine="480" w:firstLineChars="200"/>
        <w:rPr>
          <w:rFonts w:ascii="宋体" w:cs="宋体"/>
          <w:sz w:val="24"/>
        </w:rPr>
      </w:pPr>
      <w:r>
        <w:rPr>
          <w:rFonts w:ascii="宋体" w:hAnsi="宋体" w:cs="宋体"/>
          <w:sz w:val="24"/>
        </w:rPr>
        <w:t>5.2</w:t>
      </w:r>
      <w:r>
        <w:rPr>
          <w:rFonts w:hint="eastAsia" w:ascii="宋体" w:hAnsi="宋体" w:cs="仿宋_GB2312"/>
          <w:sz w:val="24"/>
          <w:szCs w:val="20"/>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供应商应当按照磋商文件的变动情况和磋商小组的要求重新提交响应文件，并由其法定代表人或授权代表签字或者加盖公章。</w:t>
      </w:r>
    </w:p>
    <w:p>
      <w:pPr>
        <w:tabs>
          <w:tab w:val="left" w:pos="3544"/>
        </w:tabs>
        <w:wordWrap w:val="0"/>
        <w:spacing w:line="360" w:lineRule="auto"/>
        <w:ind w:firstLine="480" w:firstLineChars="200"/>
        <w:rPr>
          <w:rFonts w:ascii="宋体" w:cs="仿宋_GB2312"/>
          <w:sz w:val="24"/>
          <w:szCs w:val="20"/>
        </w:rPr>
      </w:pPr>
      <w:r>
        <w:rPr>
          <w:rFonts w:ascii="宋体" w:hAnsi="宋体" w:cs="宋体"/>
          <w:sz w:val="24"/>
        </w:rPr>
        <w:t>5.3</w:t>
      </w:r>
      <w:r>
        <w:rPr>
          <w:rFonts w:hint="eastAsia" w:ascii="宋体" w:hAnsi="宋体" w:cs="仿宋_GB2312"/>
          <w:sz w:val="24"/>
          <w:szCs w:val="20"/>
        </w:rPr>
        <w:t>磋商文件能够详细列明采购标的的技术、服务要求的，磋商结束后，磋商小组应当要求所有实质性响应的供应商在规定时间内提交最后报价。最后报价现场不对供应商公布。该磋商报价为不可更改价格，</w:t>
      </w:r>
      <w:r>
        <w:rPr>
          <w:rFonts w:hint="eastAsia" w:ascii="宋体" w:hAnsi="宋体" w:cs="宋体"/>
          <w:sz w:val="24"/>
          <w:szCs w:val="20"/>
        </w:rPr>
        <w:t>最后报价为评审报价，并由法定代表人或其授权人签字</w:t>
      </w:r>
      <w:r>
        <w:rPr>
          <w:rFonts w:hint="eastAsia" w:ascii="宋体" w:hAnsi="宋体" w:cs="仿宋_GB2312"/>
          <w:sz w:val="24"/>
          <w:szCs w:val="20"/>
        </w:rPr>
        <w:t>。</w:t>
      </w:r>
    </w:p>
    <w:p>
      <w:pPr>
        <w:tabs>
          <w:tab w:val="left" w:pos="3544"/>
        </w:tabs>
        <w:wordWrap w:val="0"/>
        <w:spacing w:line="360" w:lineRule="auto"/>
        <w:ind w:firstLine="480" w:firstLineChars="200"/>
        <w:rPr>
          <w:rFonts w:ascii="宋体" w:cs="宋体"/>
          <w:sz w:val="24"/>
        </w:rPr>
      </w:pPr>
      <w:r>
        <w:rPr>
          <w:rFonts w:hint="eastAsia" w:ascii="宋体" w:hAnsi="宋体" w:cs="宋体"/>
          <w:sz w:val="24"/>
        </w:rPr>
        <w:t>采用综合评分法：磋商小组以二次报价为最后报价，并按照磋商文件中规定的各项因素进行综合评审后，以磋商总得分最高的供应商作为成交供应商的磋商方法；若有两个或两个以上最高得分相同，推荐其中报价最低的供应商为成交候选供应商；若最高得分与报价均相同，按技术要求优劣顺序推荐。</w:t>
      </w:r>
    </w:p>
    <w:p>
      <w:pPr>
        <w:tabs>
          <w:tab w:val="left" w:pos="3544"/>
        </w:tabs>
        <w:wordWrap w:val="0"/>
        <w:spacing w:line="360" w:lineRule="auto"/>
        <w:ind w:firstLine="480" w:firstLineChars="200"/>
        <w:rPr>
          <w:rFonts w:ascii="宋体" w:cs="宋体"/>
          <w:sz w:val="24"/>
        </w:rPr>
      </w:pPr>
      <w:r>
        <w:rPr>
          <w:rFonts w:ascii="宋体" w:hAnsi="宋体" w:cs="宋体"/>
          <w:sz w:val="24"/>
        </w:rPr>
        <w:t>5.4</w:t>
      </w:r>
      <w:r>
        <w:rPr>
          <w:rFonts w:hint="eastAsia" w:ascii="宋体" w:hAnsi="宋体" w:cs="宋体"/>
          <w:sz w:val="24"/>
          <w:szCs w:val="20"/>
        </w:rPr>
        <w:t>磋商小组认为供应商的最后报价或者某些分项报价明显不合理或者低于成本，有可能影响服务质量和不能诚信履约的，要求其在磋商小组规定的期限内提供书面文件予以解释说明，并提交相关证明材料；如</w:t>
      </w:r>
      <w:r>
        <w:rPr>
          <w:rFonts w:hint="eastAsia" w:ascii="宋体" w:hAnsi="宋体" w:cs="宋体"/>
          <w:color w:val="000000"/>
          <w:sz w:val="24"/>
          <w:szCs w:val="20"/>
        </w:rPr>
        <w:t>果其不能够在磋商小组规</w:t>
      </w:r>
      <w:r>
        <w:rPr>
          <w:rFonts w:hint="eastAsia" w:ascii="宋体" w:hAnsi="宋体" w:cs="宋体"/>
          <w:sz w:val="24"/>
          <w:szCs w:val="20"/>
        </w:rPr>
        <w:t>定时间内提供相关材料证明其报价的合理性，其最后报价为无效报价。</w:t>
      </w:r>
    </w:p>
    <w:p>
      <w:pPr>
        <w:tabs>
          <w:tab w:val="left" w:pos="3544"/>
        </w:tabs>
        <w:wordWrap w:val="0"/>
        <w:spacing w:line="360" w:lineRule="auto"/>
        <w:ind w:firstLine="480" w:firstLineChars="200"/>
        <w:rPr>
          <w:rFonts w:ascii="宋体" w:cs="宋体"/>
          <w:sz w:val="24"/>
        </w:rPr>
      </w:pPr>
      <w:r>
        <w:rPr>
          <w:rFonts w:ascii="宋体" w:hAnsi="宋体" w:cs="宋体"/>
          <w:sz w:val="24"/>
        </w:rPr>
        <w:t>5.5</w:t>
      </w:r>
      <w:r>
        <w:rPr>
          <w:rFonts w:hint="eastAsia" w:ascii="宋体" w:hAnsi="宋体" w:cs="宋体"/>
          <w:sz w:val="24"/>
          <w:szCs w:val="20"/>
        </w:rPr>
        <w:t>经磋商确定最终采购需求和提交最后报价的供应商后，由磋商小组采用综合评分法对提交最后报价的供应商的响应文件和最后报价进行综合评分</w:t>
      </w:r>
      <w:r>
        <w:rPr>
          <w:rFonts w:hint="eastAsia" w:ascii="宋体" w:hAnsi="宋体" w:cs="宋体"/>
          <w:sz w:val="24"/>
        </w:rPr>
        <w:t>。</w:t>
      </w:r>
    </w:p>
    <w:p>
      <w:pPr>
        <w:tabs>
          <w:tab w:val="left" w:pos="3544"/>
        </w:tabs>
        <w:wordWrap w:val="0"/>
        <w:spacing w:line="360" w:lineRule="auto"/>
        <w:rPr>
          <w:rFonts w:ascii="宋体" w:cs="宋体"/>
          <w:b/>
          <w:sz w:val="24"/>
        </w:rPr>
      </w:pPr>
      <w:r>
        <w:rPr>
          <w:rFonts w:ascii="宋体" w:hAnsi="宋体" w:cs="宋体"/>
          <w:b/>
          <w:sz w:val="24"/>
        </w:rPr>
        <w:t>6</w:t>
      </w:r>
      <w:r>
        <w:rPr>
          <w:rFonts w:hint="eastAsia" w:ascii="宋体" w:hAnsi="宋体" w:cs="宋体"/>
          <w:b/>
          <w:sz w:val="24"/>
        </w:rPr>
        <w:t>、评审原则及主要方法</w:t>
      </w:r>
    </w:p>
    <w:p>
      <w:pPr>
        <w:tabs>
          <w:tab w:val="left" w:pos="3544"/>
        </w:tabs>
        <w:wordWrap w:val="0"/>
        <w:spacing w:line="360" w:lineRule="auto"/>
        <w:ind w:firstLine="480" w:firstLineChars="200"/>
        <w:rPr>
          <w:rFonts w:ascii="宋体" w:cs="宋体"/>
          <w:sz w:val="24"/>
          <w:szCs w:val="20"/>
        </w:rPr>
      </w:pPr>
      <w:r>
        <w:rPr>
          <w:rFonts w:ascii="宋体" w:hAnsi="宋体" w:cs="宋体"/>
          <w:sz w:val="24"/>
        </w:rPr>
        <w:t>6.1</w:t>
      </w:r>
      <w:r>
        <w:rPr>
          <w:rFonts w:hint="eastAsia" w:ascii="宋体" w:hAnsi="宋体" w:cs="宋体"/>
          <w:sz w:val="24"/>
          <w:szCs w:val="20"/>
        </w:rPr>
        <w:t>磋商小组将遵循公平、公正和择优的原则，对所有提交最后报价的供应商的响应文件评审，都采用相同的程序和标准。</w:t>
      </w:r>
    </w:p>
    <w:p>
      <w:pPr>
        <w:pStyle w:val="17"/>
        <w:ind w:firstLine="480" w:firstLineChars="200"/>
        <w:rPr>
          <w:rFonts w:ascii="宋体" w:hAnsi="宋体" w:eastAsia="宋体" w:cs="宋体"/>
          <w:color w:val="auto"/>
          <w:szCs w:val="20"/>
        </w:rPr>
      </w:pPr>
      <w:r>
        <w:rPr>
          <w:rFonts w:ascii="宋体" w:hAnsi="宋体" w:eastAsia="宋体" w:cs="宋体"/>
          <w:color w:val="auto"/>
          <w:szCs w:val="20"/>
        </w:rPr>
        <w:t>6.2</w:t>
      </w:r>
      <w:r>
        <w:rPr>
          <w:rFonts w:hint="eastAsia" w:ascii="宋体" w:hAnsi="宋体" w:eastAsia="宋体" w:cs="宋体"/>
          <w:color w:val="auto"/>
          <w:szCs w:val="20"/>
        </w:rPr>
        <w:t>评审过程的保密：在响应文件的评审、比较、成交候选供应商推荐以及授予合同的过程中，供应商向采购人和磋商小组施加影响的任何行为，都将会导致其报价被拒绝；成交供应商确定后，采购人不对未成交供应商就评审过程以及未能成交原因做出任何解释。未成交供应商不得向磋商小组成员或其他相关人员索问评审过程的情况和材料。</w:t>
      </w:r>
    </w:p>
    <w:p>
      <w:pPr>
        <w:tabs>
          <w:tab w:val="left" w:pos="3544"/>
        </w:tabs>
        <w:wordWrap w:val="0"/>
        <w:spacing w:line="360" w:lineRule="auto"/>
        <w:ind w:firstLine="480" w:firstLineChars="200"/>
        <w:rPr>
          <w:rFonts w:ascii="宋体" w:cs="宋体"/>
          <w:sz w:val="24"/>
        </w:rPr>
      </w:pPr>
      <w:r>
        <w:rPr>
          <w:rFonts w:ascii="宋体" w:hAnsi="宋体" w:cs="宋体"/>
          <w:sz w:val="24"/>
          <w:szCs w:val="20"/>
        </w:rPr>
        <w:t>6.3</w:t>
      </w:r>
      <w:r>
        <w:rPr>
          <w:rFonts w:hint="eastAsia" w:ascii="宋体" w:hAnsi="宋体" w:cs="宋体"/>
          <w:sz w:val="24"/>
          <w:szCs w:val="20"/>
        </w:rPr>
        <w:t>综合评分法，是指响应文件满足磋商文件全部实质性要求且按评审因素的量化指标评审得分最高的供应商为成交候选供应商的评审方法。（本项目不保证最低价成交）。</w:t>
      </w:r>
      <w:r>
        <w:rPr>
          <w:rFonts w:hint="eastAsia" w:ascii="宋体" w:hAnsi="宋体" w:cs="宋体"/>
          <w:sz w:val="24"/>
        </w:rPr>
        <w:t>磋商小组根据评分要素一览表的分值分配计算，自主打分，详细评审出各供应商的综合得分，并按得分从高到低排名推荐成交人。综合得分相同的，按二次报价由低到高顺序排列；综合得分且评标价相同的，按技术证明及方案指标优劣顺序排列。</w:t>
      </w:r>
    </w:p>
    <w:p>
      <w:pPr>
        <w:tabs>
          <w:tab w:val="left" w:pos="3544"/>
        </w:tabs>
        <w:wordWrap w:val="0"/>
        <w:spacing w:line="360" w:lineRule="auto"/>
        <w:ind w:firstLine="480" w:firstLineChars="200"/>
        <w:rPr>
          <w:rFonts w:ascii="宋体" w:cs="宋体"/>
          <w:sz w:val="24"/>
        </w:rPr>
      </w:pPr>
      <w:r>
        <w:rPr>
          <w:rFonts w:ascii="宋体" w:hAnsi="宋体" w:cs="宋体"/>
          <w:sz w:val="24"/>
        </w:rPr>
        <w:t>6.4</w:t>
      </w:r>
      <w:r>
        <w:rPr>
          <w:rFonts w:hint="eastAsia" w:ascii="宋体" w:hAnsi="宋体" w:cs="宋体"/>
          <w:sz w:val="24"/>
        </w:rPr>
        <w:t>评审过程中，若出现本办法以外的特殊情况时，将暂停评审，有关情况待磋商小组确定后，再行评定。</w:t>
      </w:r>
    </w:p>
    <w:p>
      <w:pPr>
        <w:tabs>
          <w:tab w:val="left" w:pos="3544"/>
        </w:tabs>
        <w:wordWrap w:val="0"/>
        <w:spacing w:line="360" w:lineRule="auto"/>
        <w:ind w:firstLine="480" w:firstLineChars="200"/>
        <w:rPr>
          <w:rFonts w:ascii="宋体" w:cs="宋体"/>
          <w:sz w:val="24"/>
        </w:rPr>
      </w:pPr>
      <w:r>
        <w:rPr>
          <w:rFonts w:ascii="宋体" w:hAnsi="宋体" w:cs="宋体"/>
          <w:sz w:val="24"/>
        </w:rPr>
        <w:t>6.5</w:t>
      </w:r>
      <w:r>
        <w:rPr>
          <w:rFonts w:hint="eastAsia" w:ascii="宋体" w:hAnsi="宋体" w:cs="宋体"/>
          <w:sz w:val="24"/>
        </w:rPr>
        <w:t>需要落实的政府采购政策：</w:t>
      </w:r>
    </w:p>
    <w:p>
      <w:pPr>
        <w:tabs>
          <w:tab w:val="left" w:pos="3544"/>
        </w:tabs>
        <w:wordWrap w:val="0"/>
        <w:spacing w:line="360" w:lineRule="auto"/>
        <w:ind w:firstLine="480" w:firstLineChars="200"/>
        <w:rPr>
          <w:rFonts w:ascii="宋体" w:cs="仿宋_GB2312"/>
          <w:sz w:val="24"/>
        </w:rPr>
      </w:pPr>
      <w:r>
        <w:rPr>
          <w:rFonts w:ascii="宋体" w:hAnsi="宋体" w:cs="宋体"/>
          <w:sz w:val="24"/>
        </w:rPr>
        <w:t>6.5.1</w:t>
      </w:r>
      <w:r>
        <w:rPr>
          <w:rFonts w:hint="eastAsia" w:ascii="宋体" w:hAnsi="宋体" w:cs="仿宋_GB2312"/>
          <w:sz w:val="24"/>
        </w:rPr>
        <w:t>供应商落实政府采购政策：</w:t>
      </w:r>
    </w:p>
    <w:p>
      <w:pPr>
        <w:spacing w:line="360" w:lineRule="auto"/>
        <w:ind w:firstLine="480" w:firstLineChars="200"/>
        <w:rPr>
          <w:rFonts w:ascii="宋体" w:cs="Times New Roman"/>
          <w:sz w:val="24"/>
          <w:szCs w:val="20"/>
        </w:rPr>
      </w:pPr>
      <w:r>
        <w:rPr>
          <w:rFonts w:ascii="宋体" w:hAnsi="宋体" w:cs="仿宋_GB2312"/>
          <w:sz w:val="24"/>
          <w:szCs w:val="20"/>
        </w:rPr>
        <w:t>1</w:t>
      </w:r>
      <w:r>
        <w:rPr>
          <w:rFonts w:hint="eastAsia" w:ascii="宋体" w:hAnsi="宋体" w:cs="仿宋_GB2312"/>
          <w:sz w:val="24"/>
          <w:szCs w:val="20"/>
        </w:rPr>
        <w:t>）</w:t>
      </w:r>
      <w:r>
        <w:rPr>
          <w:rFonts w:hint="eastAsia" w:ascii="宋体" w:hAnsi="宋体" w:cs="Times New Roman"/>
          <w:sz w:val="24"/>
          <w:szCs w:val="20"/>
        </w:rPr>
        <w:t>中小企业应符合工信部联企业</w:t>
      </w:r>
      <w:r>
        <w:rPr>
          <w:rFonts w:ascii="宋体" w:hAnsi="宋体" w:cs="Times New Roman"/>
          <w:sz w:val="24"/>
          <w:szCs w:val="20"/>
        </w:rPr>
        <w:t>[2011]300</w:t>
      </w:r>
      <w:r>
        <w:rPr>
          <w:rFonts w:hint="eastAsia" w:ascii="宋体" w:hAnsi="宋体" w:cs="Times New Roman"/>
          <w:sz w:val="24"/>
          <w:szCs w:val="20"/>
        </w:rPr>
        <w:t>号文件规定，采购活动执行《政府采购促进中小企业发展暂行办法》的规定。</w:t>
      </w:r>
      <w:r>
        <w:rPr>
          <w:rFonts w:hint="eastAsia" w:ascii="宋体" w:hAnsi="宋体" w:cs="仿宋"/>
          <w:sz w:val="24"/>
          <w:szCs w:val="20"/>
        </w:rPr>
        <w:t>供应商</w:t>
      </w:r>
      <w:r>
        <w:rPr>
          <w:rFonts w:hint="eastAsia" w:ascii="宋体" w:hAnsi="宋体" w:cs="仿宋_GB2312"/>
          <w:sz w:val="24"/>
          <w:szCs w:val="20"/>
        </w:rPr>
        <w:t>出具</w:t>
      </w:r>
      <w:r>
        <w:rPr>
          <w:rFonts w:hint="eastAsia" w:ascii="宋体" w:hAnsi="宋体" w:cs="仿宋"/>
          <w:sz w:val="24"/>
          <w:szCs w:val="20"/>
        </w:rPr>
        <w:t>《中小型企业声明函》</w:t>
      </w:r>
      <w:r>
        <w:rPr>
          <w:rFonts w:hint="eastAsia" w:ascii="宋体" w:hAnsi="宋体" w:cs="仿宋_GB2312"/>
          <w:sz w:val="24"/>
          <w:szCs w:val="20"/>
        </w:rPr>
        <w:t>，</w:t>
      </w:r>
      <w:r>
        <w:rPr>
          <w:rFonts w:hint="eastAsia" w:ascii="宋体" w:hAnsi="宋体" w:cs="仿宋"/>
          <w:sz w:val="24"/>
          <w:szCs w:val="20"/>
        </w:rPr>
        <w:t>并由供应商加盖公章，</w:t>
      </w:r>
      <w:r>
        <w:rPr>
          <w:rFonts w:hint="eastAsia" w:ascii="宋体" w:hAnsi="宋体" w:cs="仿宋_GB2312"/>
          <w:sz w:val="24"/>
          <w:szCs w:val="20"/>
        </w:rPr>
        <w:t>同时还需有财务审计资质的单位出具的上一年度财务审计报告、从业人员证明（养老保险缴纳证明或劳动合同），由磋商小组审定，符合条件的企业享受政府采购政策。</w:t>
      </w:r>
    </w:p>
    <w:p>
      <w:pPr>
        <w:spacing w:line="360" w:lineRule="auto"/>
        <w:ind w:firstLine="480" w:firstLineChars="200"/>
        <w:rPr>
          <w:rFonts w:ascii="宋体" w:cs="仿宋_GB2312"/>
          <w:sz w:val="24"/>
          <w:szCs w:val="20"/>
        </w:rPr>
      </w:pPr>
      <w:r>
        <w:rPr>
          <w:rFonts w:ascii="宋体" w:hAnsi="宋体" w:cs="仿宋_GB2312"/>
          <w:sz w:val="24"/>
          <w:szCs w:val="20"/>
        </w:rPr>
        <w:t>2</w:t>
      </w:r>
      <w:r>
        <w:rPr>
          <w:rFonts w:hint="eastAsia" w:ascii="宋体" w:hAnsi="宋体" w:cs="仿宋_GB2312"/>
          <w:sz w:val="24"/>
          <w:szCs w:val="20"/>
        </w:rPr>
        <w:t>）监狱和戒毒企业应符合《财政部</w:t>
      </w:r>
      <w:r>
        <w:rPr>
          <w:rFonts w:ascii="宋体" w:hAnsi="宋体" w:cs="仿宋_GB2312"/>
          <w:sz w:val="24"/>
          <w:szCs w:val="20"/>
        </w:rPr>
        <w:t xml:space="preserve"> </w:t>
      </w:r>
      <w:r>
        <w:rPr>
          <w:rFonts w:hint="eastAsia" w:ascii="宋体" w:hAnsi="宋体" w:cs="仿宋_GB2312"/>
          <w:sz w:val="24"/>
          <w:szCs w:val="20"/>
        </w:rPr>
        <w:t>司法部关于政府采购支持监狱企业发展有关问题的通知》</w:t>
      </w:r>
      <w:r>
        <w:rPr>
          <w:rFonts w:ascii="宋体" w:cs="仿宋_GB2312"/>
          <w:sz w:val="24"/>
          <w:szCs w:val="20"/>
        </w:rPr>
        <w:t>--</w:t>
      </w:r>
      <w:r>
        <w:rPr>
          <w:rFonts w:hint="eastAsia" w:ascii="宋体" w:hAnsi="宋体" w:cs="仿宋_GB2312"/>
          <w:sz w:val="24"/>
          <w:szCs w:val="20"/>
        </w:rPr>
        <w:t>财库〔</w:t>
      </w:r>
      <w:r>
        <w:rPr>
          <w:rFonts w:ascii="宋体" w:hAnsi="宋体" w:cs="仿宋_GB2312"/>
          <w:sz w:val="24"/>
          <w:szCs w:val="20"/>
        </w:rPr>
        <w:t>2014</w:t>
      </w:r>
      <w:r>
        <w:rPr>
          <w:rFonts w:hint="eastAsia" w:ascii="宋体" w:hAnsi="宋体" w:cs="仿宋_GB2312"/>
          <w:sz w:val="24"/>
          <w:szCs w:val="20"/>
        </w:rPr>
        <w:t>〕</w:t>
      </w:r>
      <w:r>
        <w:rPr>
          <w:rFonts w:ascii="宋体" w:hAnsi="宋体" w:cs="仿宋_GB2312"/>
          <w:sz w:val="24"/>
          <w:szCs w:val="20"/>
        </w:rPr>
        <w:t>68</w:t>
      </w:r>
      <w:r>
        <w:rPr>
          <w:rFonts w:hint="eastAsia" w:ascii="宋体" w:hAnsi="宋体" w:cs="仿宋_GB2312"/>
          <w:sz w:val="24"/>
          <w:szCs w:val="20"/>
        </w:rPr>
        <w:t>号，并提供由省级以上监狱管理局、戒毒管理局</w:t>
      </w:r>
      <w:r>
        <w:rPr>
          <w:rFonts w:ascii="宋体" w:hAnsi="宋体" w:cs="仿宋_GB2312"/>
          <w:sz w:val="24"/>
          <w:szCs w:val="20"/>
        </w:rPr>
        <w:t>(</w:t>
      </w:r>
      <w:r>
        <w:rPr>
          <w:rFonts w:hint="eastAsia" w:ascii="宋体" w:hAnsi="宋体" w:cs="仿宋_GB2312"/>
          <w:sz w:val="24"/>
          <w:szCs w:val="20"/>
        </w:rPr>
        <w:t>含新疆生产建设兵团</w:t>
      </w:r>
      <w:r>
        <w:rPr>
          <w:rFonts w:ascii="宋体" w:hAnsi="宋体" w:cs="仿宋_GB2312"/>
          <w:sz w:val="24"/>
          <w:szCs w:val="20"/>
        </w:rPr>
        <w:t>)</w:t>
      </w:r>
      <w:r>
        <w:rPr>
          <w:rFonts w:hint="eastAsia" w:ascii="宋体" w:hAnsi="宋体" w:cs="仿宋_GB2312"/>
          <w:sz w:val="24"/>
          <w:szCs w:val="20"/>
        </w:rPr>
        <w:t>出具的属于监狱企业的证明。</w:t>
      </w:r>
    </w:p>
    <w:p>
      <w:pPr>
        <w:spacing w:line="360" w:lineRule="auto"/>
        <w:ind w:firstLine="480" w:firstLineChars="200"/>
        <w:rPr>
          <w:rFonts w:ascii="宋体" w:cs="仿宋_GB2312"/>
          <w:sz w:val="24"/>
          <w:szCs w:val="20"/>
        </w:rPr>
      </w:pPr>
      <w:r>
        <w:rPr>
          <w:rFonts w:ascii="宋体" w:hAnsi="宋体" w:cs="仿宋_GB2312"/>
          <w:sz w:val="24"/>
          <w:szCs w:val="20"/>
        </w:rPr>
        <w:t>3</w:t>
      </w:r>
      <w:r>
        <w:rPr>
          <w:rFonts w:hint="eastAsia" w:ascii="宋体" w:hAnsi="宋体" w:cs="仿宋_GB2312"/>
          <w:sz w:val="24"/>
          <w:szCs w:val="20"/>
        </w:rPr>
        <w:t>）根据《关于促进残疾人就业政府采购政策的通知》（财库〔</w:t>
      </w:r>
      <w:r>
        <w:rPr>
          <w:rFonts w:ascii="宋体" w:hAnsi="宋体" w:cs="仿宋_GB2312"/>
          <w:sz w:val="24"/>
          <w:szCs w:val="20"/>
        </w:rPr>
        <w:t>2017</w:t>
      </w:r>
      <w:r>
        <w:rPr>
          <w:rFonts w:hint="eastAsia" w:ascii="宋体" w:hAnsi="宋体" w:cs="仿宋_GB2312"/>
          <w:sz w:val="24"/>
          <w:szCs w:val="20"/>
        </w:rPr>
        <w:t>〕</w:t>
      </w:r>
      <w:r>
        <w:rPr>
          <w:rFonts w:ascii="宋体" w:hAnsi="宋体" w:cs="仿宋_GB2312"/>
          <w:sz w:val="24"/>
          <w:szCs w:val="20"/>
        </w:rPr>
        <w:t>141</w:t>
      </w:r>
      <w:r>
        <w:rPr>
          <w:rFonts w:hint="eastAsia" w:ascii="宋体" w:hAnsi="宋体" w:cs="仿宋_GB2312"/>
          <w:sz w:val="24"/>
          <w:szCs w:val="20"/>
        </w:rPr>
        <w:t>号）残疾人福利性单位视为小型、微型企业。</w:t>
      </w:r>
    </w:p>
    <w:p>
      <w:pPr>
        <w:pStyle w:val="17"/>
        <w:ind w:firstLine="480" w:firstLineChars="200"/>
      </w:pPr>
      <w:r>
        <w:rPr>
          <w:rFonts w:ascii="宋体" w:hAnsi="宋体" w:eastAsia="宋体" w:cs="仿宋_GB2312"/>
          <w:color w:val="auto"/>
          <w:szCs w:val="20"/>
        </w:rPr>
        <w:t>4</w:t>
      </w:r>
      <w:r>
        <w:rPr>
          <w:rFonts w:hint="eastAsia" w:ascii="宋体" w:hAnsi="宋体" w:eastAsia="宋体" w:cs="仿宋_GB2312"/>
          <w:color w:val="auto"/>
          <w:szCs w:val="20"/>
        </w:rPr>
        <w:t>）满足以上三条中任意一条，其制造（生产）产品的价格给予</w:t>
      </w:r>
      <w:r>
        <w:rPr>
          <w:rFonts w:ascii="宋体" w:hAnsi="宋体" w:eastAsia="宋体" w:cs="仿宋_GB2312"/>
          <w:color w:val="auto"/>
          <w:szCs w:val="20"/>
        </w:rPr>
        <w:t>6%</w:t>
      </w:r>
      <w:r>
        <w:rPr>
          <w:rFonts w:hint="eastAsia" w:ascii="宋体" w:hAnsi="宋体" w:eastAsia="宋体" w:cs="仿宋_GB2312"/>
          <w:color w:val="auto"/>
          <w:szCs w:val="20"/>
        </w:rPr>
        <w:t>的扣除，用扣除后价格参与评审。磋商供应商应如实提供以上证明文件，如存在虚假应标，将取消其磋商资格。</w:t>
      </w:r>
    </w:p>
    <w:p>
      <w:pPr>
        <w:tabs>
          <w:tab w:val="left" w:pos="3544"/>
        </w:tabs>
        <w:wordWrap w:val="0"/>
        <w:spacing w:line="360" w:lineRule="auto"/>
        <w:ind w:firstLine="480" w:firstLineChars="200"/>
        <w:rPr>
          <w:rFonts w:ascii="宋体" w:cs="仿宋_GB2312"/>
          <w:sz w:val="24"/>
        </w:rPr>
      </w:pPr>
      <w:r>
        <w:rPr>
          <w:rFonts w:ascii="宋体" w:hAnsi="宋体" w:cs="宋体"/>
          <w:sz w:val="24"/>
        </w:rPr>
        <w:t>6.5.2</w:t>
      </w:r>
      <w:r>
        <w:rPr>
          <w:rFonts w:hint="eastAsia" w:ascii="宋体" w:hAnsi="宋体" w:cs="仿宋_GB2312"/>
          <w:sz w:val="24"/>
        </w:rPr>
        <w:t>磋商产品落实政府采购政策：</w:t>
      </w:r>
    </w:p>
    <w:p>
      <w:pPr>
        <w:tabs>
          <w:tab w:val="left" w:pos="3544"/>
        </w:tabs>
        <w:wordWrap w:val="0"/>
        <w:spacing w:line="360" w:lineRule="auto"/>
        <w:ind w:firstLine="480" w:firstLineChars="200"/>
        <w:rPr>
          <w:rFonts w:ascii="宋体" w:cs="宋体"/>
          <w:sz w:val="24"/>
        </w:rPr>
      </w:pPr>
      <w:r>
        <w:rPr>
          <w:rFonts w:hint="eastAsia" w:ascii="宋体" w:hAnsi="宋体" w:cs="宋体"/>
          <w:sz w:val="24"/>
        </w:rPr>
        <w:t>具有环境标志、节能的产品在本次采购中优先采购，在评分时予以加分。在磋商时应提供有效证明材料，证明文件复印件须加盖公章，否则不予计分。证明文件包含节能产品政府采购品目清单和环境标志产品政府采购品目清单，超出有效期的，不予加分。（注：环境标志产品是指由财政部、生态环境部颁布的“环境标志产品政府采购品目清单”中的有效期内的产品；节能产品是指由财政部、国家发展改革委颁布的“节能产品政府采购品目清单”中的有效期内的产品。）</w:t>
      </w:r>
      <w:r>
        <w:rPr>
          <w:rFonts w:hint="eastAsia" w:ascii="宋体" w:hAnsi="宋体" w:cs="仿宋_GB2312"/>
          <w:sz w:val="24"/>
        </w:rPr>
        <w:t>获得上述认证的产品在投标时应提供有效证明材料。以上所有证明文件复印件须加盖供应商公章并注明“与原件一致”，否则不予计分。</w:t>
      </w:r>
    </w:p>
    <w:p>
      <w:pPr>
        <w:tabs>
          <w:tab w:val="left" w:pos="3544"/>
        </w:tabs>
        <w:wordWrap w:val="0"/>
        <w:spacing w:line="360" w:lineRule="auto"/>
        <w:rPr>
          <w:rFonts w:ascii="宋体" w:hAnsi="宋体" w:cs="宋体"/>
          <w:sz w:val="24"/>
        </w:rPr>
      </w:pPr>
      <w:r>
        <w:rPr>
          <w:rFonts w:ascii="宋体" w:hAnsi="宋体" w:cs="宋体"/>
          <w:sz w:val="24"/>
        </w:rPr>
        <w:t>6.3</w:t>
      </w:r>
      <w:r>
        <w:rPr>
          <w:rFonts w:hint="eastAsia" w:ascii="宋体" w:hAnsi="宋体" w:cs="宋体"/>
          <w:sz w:val="24"/>
        </w:rPr>
        <w:t>评审指标分值构成（总计</w:t>
      </w:r>
      <w:r>
        <w:rPr>
          <w:rFonts w:ascii="宋体" w:hAnsi="宋体" w:cs="宋体"/>
          <w:sz w:val="24"/>
        </w:rPr>
        <w:t>100</w:t>
      </w:r>
      <w:r>
        <w:rPr>
          <w:rFonts w:hint="eastAsia" w:ascii="宋体" w:hAnsi="宋体" w:cs="宋体"/>
          <w:sz w:val="24"/>
        </w:rPr>
        <w:t>分）</w:t>
      </w:r>
    </w:p>
    <w:p>
      <w:pPr>
        <w:pStyle w:val="2"/>
        <w:ind w:firstLine="480"/>
      </w:pPr>
    </w:p>
    <w:p>
      <w:pPr>
        <w:tabs>
          <w:tab w:val="left" w:pos="3544"/>
        </w:tabs>
        <w:spacing w:line="360" w:lineRule="auto"/>
        <w:jc w:val="center"/>
        <w:rPr>
          <w:rFonts w:ascii="宋体" w:hAnsi="宋体" w:cs="宋体"/>
          <w:b/>
          <w:sz w:val="24"/>
          <w:highlight w:val="none"/>
        </w:rPr>
      </w:pPr>
      <w:r>
        <w:rPr>
          <w:rFonts w:hint="eastAsia" w:ascii="宋体" w:hAnsi="宋体" w:cs="宋体"/>
          <w:b/>
          <w:sz w:val="24"/>
          <w:highlight w:val="none"/>
        </w:rPr>
        <w:t>评审要素一览表</w:t>
      </w:r>
    </w:p>
    <w:tbl>
      <w:tblPr>
        <w:tblStyle w:val="40"/>
        <w:tblW w:w="8600"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267"/>
        <w:gridCol w:w="3833"/>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267" w:type="dxa"/>
          </w:tcPr>
          <w:p>
            <w:pPr>
              <w:spacing w:line="360" w:lineRule="auto"/>
              <w:jc w:val="center"/>
              <w:rPr>
                <w:rFonts w:ascii="宋体" w:hAnsi="宋体" w:cs="宋体"/>
                <w:szCs w:val="21"/>
                <w:highlight w:val="none"/>
              </w:rPr>
            </w:pPr>
            <w:r>
              <w:rPr>
                <w:rFonts w:hint="eastAsia" w:ascii="宋体" w:hAnsi="宋体" w:cs="宋体"/>
                <w:szCs w:val="21"/>
                <w:highlight w:val="none"/>
              </w:rPr>
              <w:t>评分因素</w:t>
            </w:r>
          </w:p>
        </w:tc>
        <w:tc>
          <w:tcPr>
            <w:tcW w:w="6633" w:type="dxa"/>
            <w:gridSpan w:val="2"/>
          </w:tcPr>
          <w:p>
            <w:pPr>
              <w:spacing w:line="360" w:lineRule="auto"/>
              <w:jc w:val="center"/>
              <w:rPr>
                <w:rFonts w:ascii="宋体" w:hAnsi="宋体" w:cs="宋体"/>
                <w:szCs w:val="21"/>
                <w:highlight w:val="none"/>
              </w:rPr>
            </w:pPr>
            <w:r>
              <w:rPr>
                <w:rFonts w:hint="eastAsia" w:ascii="宋体" w:hAnsi="宋体" w:cs="宋体"/>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1267"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磋商报价</w:t>
            </w:r>
          </w:p>
          <w:p>
            <w:pPr>
              <w:spacing w:line="360" w:lineRule="auto"/>
              <w:jc w:val="center"/>
              <w:rPr>
                <w:rFonts w:ascii="宋体" w:hAnsi="宋体" w:cs="宋体"/>
                <w:szCs w:val="21"/>
                <w:highlight w:val="none"/>
              </w:rPr>
            </w:pPr>
            <w:r>
              <w:rPr>
                <w:rFonts w:hint="eastAsia" w:ascii="宋体" w:hAnsi="宋体" w:cs="宋体"/>
                <w:szCs w:val="21"/>
                <w:highlight w:val="none"/>
              </w:rPr>
              <w:t>（10分）</w:t>
            </w:r>
          </w:p>
        </w:tc>
        <w:tc>
          <w:tcPr>
            <w:tcW w:w="6633" w:type="dxa"/>
            <w:gridSpan w:val="2"/>
            <w:vAlign w:val="center"/>
          </w:tcPr>
          <w:p>
            <w:pPr>
              <w:spacing w:line="360" w:lineRule="auto"/>
              <w:rPr>
                <w:rFonts w:ascii="宋体" w:hAnsi="宋体" w:cs="宋体"/>
                <w:szCs w:val="21"/>
                <w:highlight w:val="none"/>
              </w:rPr>
            </w:pPr>
            <w:r>
              <w:rPr>
                <w:rFonts w:hint="eastAsia" w:ascii="宋体" w:hAnsi="宋体" w:cs="宋体"/>
                <w:szCs w:val="21"/>
                <w:highlight w:val="none"/>
              </w:rPr>
              <w:t>1.经初审合格的磋商响应文件，其磋商报价为有效磋商报价，对符合政策性扣减的供应商的有效磋商价格进行政策性扣减（6%），并依据扣减后的价格（评审价格）进行价格评审。</w:t>
            </w:r>
          </w:p>
          <w:p>
            <w:pPr>
              <w:spacing w:line="360" w:lineRule="auto"/>
              <w:rPr>
                <w:rFonts w:ascii="宋体" w:hAnsi="宋体" w:cs="宋体"/>
                <w:szCs w:val="21"/>
                <w:highlight w:val="none"/>
              </w:rPr>
            </w:pPr>
            <w:r>
              <w:rPr>
                <w:rFonts w:hint="eastAsia" w:ascii="宋体" w:hAnsi="宋体" w:cs="宋体"/>
                <w:szCs w:val="21"/>
                <w:highlight w:val="none"/>
              </w:rPr>
              <w:t>2.满足磋商文件实质性要求且最后报价最低的供应商的价格为磋商基准价，其价格分为满分10分。</w:t>
            </w:r>
          </w:p>
          <w:p>
            <w:pPr>
              <w:spacing w:line="360" w:lineRule="auto"/>
              <w:rPr>
                <w:rFonts w:ascii="宋体" w:hAnsi="宋体" w:cs="宋体"/>
                <w:szCs w:val="21"/>
                <w:highlight w:val="none"/>
              </w:rPr>
            </w:pPr>
            <w:r>
              <w:rPr>
                <w:rFonts w:hint="eastAsia" w:ascii="宋体" w:hAnsi="宋体" w:cs="宋体"/>
                <w:szCs w:val="21"/>
                <w:highlight w:val="none"/>
              </w:rPr>
              <w:t>3.磋商报价得分=（磋商基准价/最终有效报价）×10的公式计算得分。</w:t>
            </w:r>
          </w:p>
          <w:p>
            <w:pPr>
              <w:spacing w:line="360" w:lineRule="auto"/>
              <w:jc w:val="left"/>
              <w:rPr>
                <w:rFonts w:ascii="宋体" w:hAnsi="宋体" w:cs="宋体"/>
                <w:szCs w:val="21"/>
                <w:highlight w:val="none"/>
              </w:rPr>
            </w:pPr>
            <w:r>
              <w:rPr>
                <w:rFonts w:hint="eastAsia" w:ascii="宋体" w:hAnsi="宋体" w:cs="宋体"/>
                <w:szCs w:val="21"/>
                <w:highlight w:val="none"/>
              </w:rPr>
              <w:t>4.磋商报价不完整的，不进入评审标准价的计算，本项得0分。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0"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1267" w:type="dxa"/>
            <w:vAlign w:val="center"/>
          </w:tcPr>
          <w:p>
            <w:pPr>
              <w:spacing w:line="360" w:lineRule="auto"/>
              <w:rPr>
                <w:rFonts w:ascii="宋体" w:hAnsi="宋体" w:cs="宋体"/>
                <w:szCs w:val="21"/>
                <w:highlight w:val="none"/>
              </w:rPr>
            </w:pPr>
            <w:r>
              <w:rPr>
                <w:rFonts w:hint="eastAsia" w:ascii="宋体" w:hAnsi="宋体" w:cs="宋体"/>
                <w:szCs w:val="21"/>
                <w:highlight w:val="none"/>
              </w:rPr>
              <w:t>商务响应</w:t>
            </w:r>
          </w:p>
          <w:p>
            <w:pPr>
              <w:spacing w:line="360" w:lineRule="auto"/>
              <w:rPr>
                <w:rFonts w:ascii="宋体" w:hAnsi="宋体" w:cs="宋体"/>
                <w:szCs w:val="21"/>
                <w:highlight w:val="none"/>
              </w:rPr>
            </w:pPr>
            <w:r>
              <w:rPr>
                <w:rFonts w:hint="eastAsia" w:ascii="宋体" w:hAnsi="宋体" w:cs="宋体"/>
                <w:szCs w:val="21"/>
                <w:highlight w:val="none"/>
              </w:rPr>
              <w:t>（3分）</w:t>
            </w:r>
          </w:p>
        </w:tc>
        <w:tc>
          <w:tcPr>
            <w:tcW w:w="6633" w:type="dxa"/>
            <w:gridSpan w:val="2"/>
            <w:vAlign w:val="center"/>
          </w:tcPr>
          <w:p>
            <w:pPr>
              <w:spacing w:line="360" w:lineRule="auto"/>
              <w:jc w:val="left"/>
              <w:rPr>
                <w:rFonts w:ascii="宋体" w:hAnsi="宋体" w:cs="宋体"/>
                <w:szCs w:val="21"/>
                <w:highlight w:val="none"/>
              </w:rPr>
            </w:pPr>
            <w:r>
              <w:rPr>
                <w:rFonts w:hint="eastAsia" w:ascii="宋体" w:hAnsi="宋体" w:cs="宋体"/>
                <w:szCs w:val="21"/>
                <w:highlight w:val="none"/>
                <w:lang w:bidi="ar"/>
              </w:rPr>
              <w:t>响应文件制作规范，内容完整得3分</w:t>
            </w:r>
            <w:r>
              <w:rPr>
                <w:rFonts w:hint="eastAsia" w:ascii="宋体" w:hAnsi="宋体" w:cs="宋体"/>
                <w:szCs w:val="21"/>
                <w:highlight w:val="none"/>
              </w:rPr>
              <w:t>，文件中封面信息不完整、未双面打印、目录不齐全、页码不准确、响应内容前后不一致，响应内容编写不规范等不属于重大负偏离情况，有一项扣0.5分，扣完为止。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700"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1267"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技术参数</w:t>
            </w:r>
          </w:p>
          <w:p>
            <w:pPr>
              <w:spacing w:line="360" w:lineRule="auto"/>
              <w:jc w:val="center"/>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15</w:t>
            </w:r>
            <w:r>
              <w:rPr>
                <w:rFonts w:hint="eastAsia" w:ascii="宋体" w:hAnsi="宋体" w:cs="宋体"/>
                <w:szCs w:val="21"/>
                <w:highlight w:val="none"/>
              </w:rPr>
              <w:t>分）</w:t>
            </w:r>
          </w:p>
        </w:tc>
        <w:tc>
          <w:tcPr>
            <w:tcW w:w="3833" w:type="dxa"/>
            <w:vAlign w:val="center"/>
          </w:tcPr>
          <w:p>
            <w:pPr>
              <w:spacing w:line="360" w:lineRule="auto"/>
              <w:jc w:val="left"/>
              <w:rPr>
                <w:rFonts w:ascii="宋体" w:hAnsi="宋体" w:cs="宋体"/>
                <w:szCs w:val="21"/>
                <w:highlight w:val="none"/>
              </w:rPr>
            </w:pPr>
            <w:r>
              <w:rPr>
                <w:rFonts w:hint="eastAsia" w:ascii="宋体" w:hAnsi="宋体" w:cs="宋体"/>
                <w:szCs w:val="21"/>
                <w:highlight w:val="none"/>
              </w:rPr>
              <w:t>基本分10分：完全符合、响应磋商文件要求，没有负偏离计10分；“▲”号参数为重要技术指标，每负偏离一项扣1分，非“▲”号参数每负偏离一项扣0.5分，扣完为止。</w:t>
            </w:r>
          </w:p>
        </w:tc>
        <w:tc>
          <w:tcPr>
            <w:tcW w:w="2800" w:type="dxa"/>
            <w:vMerge w:val="restart"/>
            <w:vAlign w:val="center"/>
          </w:tcPr>
          <w:p>
            <w:pPr>
              <w:spacing w:line="360" w:lineRule="auto"/>
              <w:jc w:val="left"/>
              <w:rPr>
                <w:rFonts w:ascii="宋体" w:hAnsi="宋体" w:cs="宋体"/>
                <w:szCs w:val="21"/>
                <w:highlight w:val="none"/>
              </w:rPr>
            </w:pPr>
            <w:r>
              <w:rPr>
                <w:rFonts w:hint="eastAsia" w:ascii="宋体" w:hAnsi="宋体" w:cs="宋体"/>
                <w:szCs w:val="21"/>
                <w:highlight w:val="none"/>
              </w:rPr>
              <w:t>备注：供应商需尽可能多的提供相关的技术、功能证明材料（包括但不限于设备技术说明、官网截图、程序界面截图、检测报告、设备彩页等）予以佐证；供应商自行承担因材料提供不全导致技术参数评审的风险。</w:t>
            </w:r>
          </w:p>
          <w:p>
            <w:pPr>
              <w:spacing w:line="360" w:lineRule="auto"/>
              <w:jc w:val="left"/>
              <w:rPr>
                <w:rFonts w:ascii="宋体" w:hAnsi="宋体" w:cs="宋体"/>
                <w:szCs w:val="21"/>
                <w:highlight w:val="none"/>
              </w:rPr>
            </w:pPr>
            <w:r>
              <w:rPr>
                <w:rFonts w:hint="eastAsia" w:ascii="宋体" w:hAnsi="宋体" w:cs="宋体"/>
                <w:szCs w:val="21"/>
                <w:highlight w:val="none"/>
              </w:rPr>
              <w:t>2、彩页内容与技术指标不一致的，又未能出具厂家盖章的说明文件的，给予5分扣分；</w:t>
            </w:r>
          </w:p>
          <w:p>
            <w:pPr>
              <w:spacing w:line="360" w:lineRule="auto"/>
              <w:jc w:val="left"/>
              <w:rPr>
                <w:rFonts w:ascii="宋体" w:hAnsi="宋体" w:cs="宋体"/>
                <w:szCs w:val="21"/>
                <w:highlight w:val="none"/>
              </w:rPr>
            </w:pPr>
            <w:r>
              <w:rPr>
                <w:rFonts w:hint="eastAsia" w:ascii="宋体" w:hAnsi="宋体" w:cs="宋体"/>
                <w:szCs w:val="21"/>
                <w:highlight w:val="none"/>
              </w:rPr>
              <w:t>3、完全复制磋商文件技术指标要求的，给予5分扣分。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3833" w:type="dxa"/>
            <w:vAlign w:val="center"/>
          </w:tcPr>
          <w:p>
            <w:pPr>
              <w:spacing w:line="360" w:lineRule="auto"/>
              <w:jc w:val="left"/>
              <w:rPr>
                <w:rFonts w:ascii="宋体" w:hAnsi="宋体" w:cs="宋体"/>
                <w:szCs w:val="21"/>
                <w:highlight w:val="none"/>
              </w:rPr>
            </w:pPr>
            <w:r>
              <w:rPr>
                <w:rFonts w:hint="eastAsia" w:ascii="宋体" w:hAnsi="宋体" w:cs="宋体"/>
                <w:szCs w:val="21"/>
                <w:highlight w:val="none"/>
              </w:rPr>
              <w:t>加分项</w:t>
            </w:r>
            <w:r>
              <w:rPr>
                <w:rFonts w:ascii="宋体" w:hAnsi="宋体" w:cs="宋体"/>
                <w:szCs w:val="21"/>
                <w:highlight w:val="none"/>
              </w:rPr>
              <w:t>5</w:t>
            </w:r>
            <w:r>
              <w:rPr>
                <w:rFonts w:hint="eastAsia" w:ascii="宋体" w:hAnsi="宋体" w:cs="宋体"/>
                <w:szCs w:val="21"/>
                <w:highlight w:val="none"/>
              </w:rPr>
              <w:t>分：“▲”号设备的技术指标</w:t>
            </w:r>
            <w:r>
              <w:rPr>
                <w:rFonts w:hint="eastAsia" w:ascii="宋体" w:hAnsi="宋体" w:cs="宋体"/>
                <w:color w:val="auto"/>
                <w:szCs w:val="21"/>
                <w:highlight w:val="none"/>
              </w:rPr>
              <w:t>优于磋商文件要求，并体现出设备质量和性能更优的，每项加1分，最多加5分</w:t>
            </w:r>
            <w:r>
              <w:rPr>
                <w:rFonts w:hint="eastAsia" w:ascii="宋体" w:hAnsi="宋体" w:cs="宋体"/>
                <w:color w:val="auto"/>
                <w:szCs w:val="21"/>
                <w:highlight w:val="none"/>
                <w:u w:val="none"/>
              </w:rPr>
              <w:t>。</w:t>
            </w:r>
          </w:p>
        </w:tc>
        <w:tc>
          <w:tcPr>
            <w:tcW w:w="2800" w:type="dxa"/>
            <w:vMerge w:val="continue"/>
            <w:vAlign w:val="center"/>
          </w:tcPr>
          <w:p>
            <w:pPr>
              <w:spacing w:line="360" w:lineRule="auto"/>
              <w:jc w:val="left"/>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700"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1267"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技术方案（3</w:t>
            </w:r>
            <w:r>
              <w:rPr>
                <w:rFonts w:ascii="宋体" w:hAnsi="宋体" w:cs="宋体"/>
                <w:szCs w:val="21"/>
                <w:highlight w:val="none"/>
              </w:rPr>
              <w:t>5</w:t>
            </w:r>
            <w:r>
              <w:rPr>
                <w:rFonts w:hint="eastAsia" w:ascii="宋体" w:hAnsi="宋体" w:cs="宋体"/>
                <w:szCs w:val="21"/>
                <w:highlight w:val="none"/>
              </w:rPr>
              <w:t>分）</w:t>
            </w:r>
          </w:p>
        </w:tc>
        <w:tc>
          <w:tcPr>
            <w:tcW w:w="6633" w:type="dxa"/>
            <w:gridSpan w:val="2"/>
            <w:vAlign w:val="center"/>
          </w:tcPr>
          <w:p>
            <w:pPr>
              <w:spacing w:line="360" w:lineRule="auto"/>
              <w:rPr>
                <w:rFonts w:ascii="宋体" w:hAnsi="宋体" w:cs="宋体"/>
                <w:bCs/>
                <w:szCs w:val="21"/>
                <w:highlight w:val="none"/>
              </w:rPr>
            </w:pPr>
            <w:r>
              <w:rPr>
                <w:rFonts w:hint="eastAsia" w:ascii="宋体" w:hAnsi="宋体" w:cs="宋体"/>
                <w:bCs/>
                <w:szCs w:val="21"/>
                <w:highlight w:val="none"/>
              </w:rPr>
              <w:t>响应方案总体设计、建设原则、二次开发方案等，详细阐述系统的体系架构、功能模块、建设思路。</w:t>
            </w:r>
            <w:r>
              <w:rPr>
                <w:rFonts w:hint="eastAsia" w:ascii="宋体" w:hAnsi="宋体" w:cs="宋体"/>
                <w:bCs/>
                <w:szCs w:val="21"/>
                <w:highlight w:val="none"/>
                <w:u w:val="single"/>
              </w:rPr>
              <w:t>视其</w:t>
            </w:r>
            <w:r>
              <w:rPr>
                <w:rFonts w:ascii="宋体" w:hAnsi="宋体" w:cs="宋体"/>
                <w:bCs/>
                <w:szCs w:val="21"/>
                <w:highlight w:val="none"/>
                <w:u w:val="single"/>
              </w:rPr>
              <w:t>科学性、合理性、可操作性</w:t>
            </w:r>
            <w:r>
              <w:rPr>
                <w:rFonts w:hint="eastAsia" w:ascii="宋体" w:hAnsi="宋体" w:cs="宋体"/>
                <w:bCs/>
                <w:szCs w:val="21"/>
                <w:highlight w:val="none"/>
                <w:u w:val="single"/>
              </w:rPr>
              <w:t>自主赋1-</w:t>
            </w:r>
            <w:r>
              <w:rPr>
                <w:rFonts w:ascii="宋体" w:hAnsi="宋体" w:cs="宋体"/>
                <w:bCs/>
                <w:szCs w:val="21"/>
                <w:highlight w:val="none"/>
                <w:u w:val="single"/>
              </w:rPr>
              <w:t>7</w:t>
            </w:r>
            <w:r>
              <w:rPr>
                <w:rFonts w:hint="eastAsia" w:ascii="宋体" w:hAnsi="宋体" w:cs="宋体"/>
                <w:bCs/>
                <w:szCs w:val="21"/>
                <w:highlight w:val="none"/>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bCs/>
                <w:color w:val="FF0000"/>
                <w:szCs w:val="21"/>
                <w:highlight w:val="none"/>
              </w:rPr>
            </w:pPr>
            <w:r>
              <w:rPr>
                <w:rFonts w:hint="eastAsia" w:ascii="宋体" w:hAnsi="宋体" w:cs="宋体"/>
                <w:bCs/>
                <w:szCs w:val="21"/>
                <w:highlight w:val="none"/>
              </w:rPr>
              <w:t>系统采用数据库是</w:t>
            </w:r>
            <w:r>
              <w:rPr>
                <w:rFonts w:hint="eastAsia" w:ascii="宋体" w:hAnsi="宋体" w:cs="宋体"/>
                <w:szCs w:val="21"/>
                <w:highlight w:val="none"/>
              </w:rPr>
              <w:t>SQL Server</w:t>
            </w:r>
            <w:r>
              <w:rPr>
                <w:rFonts w:hint="eastAsia" w:ascii="宋体" w:hAnsi="宋体" w:cs="宋体"/>
                <w:bCs/>
                <w:szCs w:val="21"/>
                <w:highlight w:val="none"/>
              </w:rPr>
              <w:t>得1分；采用DB2得2分;采用</w:t>
            </w:r>
            <w:r>
              <w:rPr>
                <w:rFonts w:hint="eastAsia" w:ascii="宋体" w:hAnsi="宋体" w:cs="宋体"/>
                <w:color w:val="333333"/>
                <w:szCs w:val="21"/>
                <w:highlight w:val="none"/>
              </w:rPr>
              <w:t>Caché</w:t>
            </w:r>
            <w:r>
              <w:rPr>
                <w:rFonts w:hint="eastAsia" w:ascii="宋体" w:hAnsi="宋体" w:cs="宋体"/>
                <w:szCs w:val="21"/>
                <w:highlight w:val="none"/>
              </w:rPr>
              <w:t>得3分；</w:t>
            </w:r>
            <w:r>
              <w:rPr>
                <w:rFonts w:hint="eastAsia" w:ascii="宋体" w:hAnsi="宋体" w:cs="宋体"/>
                <w:bCs/>
                <w:szCs w:val="21"/>
                <w:highlight w:val="none"/>
              </w:rPr>
              <w:t>ORACLE数据库得5分。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bCs/>
                <w:szCs w:val="21"/>
                <w:highlight w:val="none"/>
              </w:rPr>
            </w:pPr>
            <w:r>
              <w:rPr>
                <w:rFonts w:hint="eastAsia" w:ascii="宋体" w:hAnsi="宋体" w:cs="宋体"/>
                <w:bCs/>
                <w:szCs w:val="21"/>
                <w:highlight w:val="none"/>
              </w:rPr>
              <w:t>供应商项目组织实施方案的合理性，包括实施总体规划、实施步骤、交付计划、实施组织构成、项目管理制度、质量保证体制、风险预见与控制能力等，</w:t>
            </w:r>
            <w:r>
              <w:rPr>
                <w:rFonts w:hint="eastAsia" w:ascii="宋体" w:hAnsi="宋体" w:cs="宋体"/>
                <w:bCs/>
                <w:szCs w:val="21"/>
                <w:highlight w:val="none"/>
                <w:u w:val="single"/>
              </w:rPr>
              <w:t>视其</w:t>
            </w:r>
            <w:r>
              <w:rPr>
                <w:rFonts w:ascii="宋体" w:hAnsi="宋体" w:cs="宋体"/>
                <w:bCs/>
                <w:szCs w:val="21"/>
                <w:highlight w:val="none"/>
                <w:u w:val="single"/>
              </w:rPr>
              <w:t>科学性、合理性、可操作性</w:t>
            </w:r>
            <w:r>
              <w:rPr>
                <w:rFonts w:hint="eastAsia" w:ascii="宋体" w:hAnsi="宋体" w:cs="宋体"/>
                <w:bCs/>
                <w:szCs w:val="21"/>
                <w:highlight w:val="none"/>
                <w:u w:val="single"/>
              </w:rPr>
              <w:t>自主赋1-</w:t>
            </w:r>
            <w:r>
              <w:rPr>
                <w:rFonts w:ascii="宋体" w:hAnsi="宋体" w:cs="宋体"/>
                <w:bCs/>
                <w:szCs w:val="21"/>
                <w:highlight w:val="none"/>
                <w:u w:val="single"/>
              </w:rPr>
              <w:t>8</w:t>
            </w:r>
            <w:r>
              <w:rPr>
                <w:rFonts w:hint="eastAsia" w:ascii="宋体" w:hAnsi="宋体" w:cs="宋体"/>
                <w:bCs/>
                <w:szCs w:val="21"/>
                <w:highlight w:val="none"/>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bCs/>
                <w:szCs w:val="21"/>
                <w:highlight w:val="none"/>
              </w:rPr>
            </w:pPr>
            <w:r>
              <w:rPr>
                <w:rFonts w:hint="eastAsia" w:ascii="宋体" w:hAnsi="宋体" w:cs="宋体"/>
                <w:bCs/>
                <w:szCs w:val="21"/>
                <w:highlight w:val="none"/>
              </w:rPr>
              <w:t>响应软件具有后台统一管理工具、自动升级、操作日志可跟踪、自定义表、权限管理功能，视其</w:t>
            </w:r>
            <w:r>
              <w:rPr>
                <w:rFonts w:ascii="宋体" w:hAnsi="宋体" w:cs="宋体"/>
                <w:bCs/>
                <w:szCs w:val="21"/>
                <w:highlight w:val="none"/>
              </w:rPr>
              <w:t>科学性、合理性、可操作性</w:t>
            </w:r>
            <w:r>
              <w:rPr>
                <w:rFonts w:hint="eastAsia" w:ascii="宋体" w:hAnsi="宋体" w:cs="宋体"/>
                <w:bCs/>
                <w:szCs w:val="21"/>
                <w:highlight w:val="none"/>
              </w:rPr>
              <w:t>自主赋1-</w:t>
            </w:r>
            <w:r>
              <w:rPr>
                <w:rFonts w:ascii="宋体" w:hAnsi="宋体" w:cs="宋体"/>
                <w:bCs/>
                <w:szCs w:val="21"/>
                <w:highlight w:val="none"/>
              </w:rPr>
              <w:t>10</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szCs w:val="21"/>
                <w:highlight w:val="none"/>
              </w:rPr>
            </w:pPr>
            <w:r>
              <w:rPr>
                <w:rFonts w:hint="eastAsia" w:ascii="宋体" w:hAnsi="宋体" w:cs="宋体"/>
                <w:szCs w:val="21"/>
                <w:highlight w:val="none"/>
              </w:rPr>
              <w:t>拟投入本项目的人员：提供本项目主要组成人员与本项目相关以往实施案例、资格证书、认证证书、职称证书等，根据提供情况计0-5分（提供资格证书复印件加盖公章）。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00"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5</w:t>
            </w:r>
          </w:p>
        </w:tc>
        <w:tc>
          <w:tcPr>
            <w:tcW w:w="1267"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质量保证（17分）</w:t>
            </w:r>
          </w:p>
        </w:tc>
        <w:tc>
          <w:tcPr>
            <w:tcW w:w="6633" w:type="dxa"/>
            <w:gridSpan w:val="2"/>
            <w:vAlign w:val="center"/>
          </w:tcPr>
          <w:p>
            <w:pPr>
              <w:autoSpaceDE w:val="0"/>
              <w:autoSpaceDN w:val="0"/>
              <w:adjustRightInd w:val="0"/>
              <w:spacing w:line="360" w:lineRule="auto"/>
              <w:rPr>
                <w:rFonts w:ascii="宋体" w:hAnsi="宋体" w:cs="宋体"/>
                <w:szCs w:val="21"/>
                <w:highlight w:val="none"/>
              </w:rPr>
            </w:pPr>
            <w:r>
              <w:rPr>
                <w:rFonts w:hint="eastAsia" w:ascii="宋体" w:hAnsi="宋体" w:cs="宋体"/>
                <w:kern w:val="0"/>
                <w:szCs w:val="21"/>
                <w:highlight w:val="none"/>
              </w:rPr>
              <w:t>供应商或生产厂商</w:t>
            </w:r>
            <w:r>
              <w:rPr>
                <w:rFonts w:hint="eastAsia" w:ascii="宋体" w:hAnsi="宋体" w:cs="宋体"/>
                <w:szCs w:val="21"/>
                <w:highlight w:val="none"/>
              </w:rPr>
              <w:t>具有医院信息系统HIS高新技术产品认定证书及国家火炬计划项目证书-医院信息系统HIS、电子病历系统EMR，提供一项得1分，满分3分。（须提供证书复印件加盖公章）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spacing w:line="360" w:lineRule="auto"/>
              <w:rPr>
                <w:rFonts w:ascii="宋体" w:hAnsi="宋体" w:cs="宋体"/>
                <w:bCs/>
                <w:szCs w:val="21"/>
                <w:highlight w:val="none"/>
              </w:rPr>
            </w:pPr>
            <w:r>
              <w:rPr>
                <w:rFonts w:hint="eastAsia" w:ascii="宋体" w:hAnsi="宋体" w:cs="宋体"/>
                <w:bCs/>
                <w:szCs w:val="21"/>
                <w:highlight w:val="none"/>
              </w:rPr>
              <w:t>所投产品具备HIS、临床路径系统、EMR、LIS、治疗系统著作权及EMR、LIS、系统测试报告（原始取得、全部权利）且为同一品牌的得满分10分。少一项扣2分，扣完为止；（要求提供对应产品的著作权证书复印件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jc w:val="left"/>
              <w:rPr>
                <w:rFonts w:ascii="宋体" w:hAnsi="宋体" w:cs="宋体"/>
                <w:bCs/>
                <w:szCs w:val="21"/>
                <w:highlight w:val="none"/>
              </w:rPr>
            </w:pPr>
            <w:r>
              <w:rPr>
                <w:rFonts w:hint="eastAsia" w:ascii="宋体" w:hAnsi="宋体" w:cs="宋体"/>
                <w:szCs w:val="21"/>
                <w:highlight w:val="none"/>
              </w:rPr>
              <w:t>供应商或生产厂商通过CMMI 5级认证、质量管理体系认证证书、医疗器械质量管理体系认证证书、信息系统服务交付能力等级证书，提供一项得1分，满分4分。（须提供证书复印件加盖公章）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700"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6</w:t>
            </w:r>
          </w:p>
        </w:tc>
        <w:tc>
          <w:tcPr>
            <w:tcW w:w="1267" w:type="dxa"/>
            <w:vAlign w:val="center"/>
          </w:tcPr>
          <w:p>
            <w:pPr>
              <w:spacing w:line="360" w:lineRule="auto"/>
              <w:jc w:val="center"/>
              <w:rPr>
                <w:rFonts w:ascii="宋体" w:hAnsi="宋体" w:cs="宋体"/>
                <w:szCs w:val="21"/>
                <w:highlight w:val="none"/>
              </w:rPr>
            </w:pPr>
            <w:r>
              <w:rPr>
                <w:rFonts w:hint="eastAsia" w:ascii="宋体" w:hAnsi="宋体" w:cs="宋体"/>
                <w:szCs w:val="21"/>
                <w:highlight w:val="none"/>
              </w:rPr>
              <w:t>业绩（5分）</w:t>
            </w:r>
          </w:p>
        </w:tc>
        <w:tc>
          <w:tcPr>
            <w:tcW w:w="6633" w:type="dxa"/>
            <w:gridSpan w:val="2"/>
            <w:vAlign w:val="center"/>
          </w:tcPr>
          <w:p>
            <w:pPr>
              <w:spacing w:line="360" w:lineRule="auto"/>
              <w:jc w:val="left"/>
              <w:rPr>
                <w:rFonts w:ascii="宋体" w:hAnsi="宋体" w:cs="宋体"/>
                <w:szCs w:val="21"/>
                <w:highlight w:val="none"/>
              </w:rPr>
            </w:pPr>
            <w:r>
              <w:rPr>
                <w:rFonts w:hint="eastAsia" w:ascii="宋体" w:hAnsi="宋体" w:cs="宋体"/>
                <w:kern w:val="0"/>
                <w:szCs w:val="21"/>
                <w:highlight w:val="none"/>
              </w:rPr>
              <w:t>供应商或生产厂商须提供所实施用户在参与电子病历系统功能与应用水平分级评价达到4级水平（含4级）及以上案例（至少包含HIS、LIS、PACS、EMR等模块证明材料），4家或以上得5分,3家或以下得3分，没有得0分。（</w:t>
            </w:r>
            <w:r>
              <w:rPr>
                <w:rFonts w:hint="eastAsia" w:ascii="宋体" w:hAnsi="宋体" w:cs="宋体"/>
                <w:szCs w:val="21"/>
                <w:highlight w:val="none"/>
              </w:rPr>
              <w:t>须提供合同复印件及证明材料复印件加盖公章</w:t>
            </w:r>
            <w:r>
              <w:rPr>
                <w:rFonts w:hint="eastAsia" w:ascii="宋体" w:hAnsi="宋体" w:cs="宋体"/>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700"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7</w:t>
            </w:r>
          </w:p>
        </w:tc>
        <w:tc>
          <w:tcPr>
            <w:tcW w:w="1267" w:type="dxa"/>
            <w:vMerge w:val="restart"/>
            <w:vAlign w:val="center"/>
          </w:tcPr>
          <w:p>
            <w:pPr>
              <w:spacing w:line="360" w:lineRule="auto"/>
              <w:jc w:val="center"/>
              <w:rPr>
                <w:rFonts w:ascii="宋体" w:hAnsi="宋体" w:cs="宋体"/>
                <w:szCs w:val="21"/>
                <w:highlight w:val="none"/>
              </w:rPr>
            </w:pPr>
            <w:r>
              <w:rPr>
                <w:rFonts w:hint="eastAsia" w:ascii="宋体" w:hAnsi="宋体" w:cs="宋体"/>
                <w:szCs w:val="21"/>
                <w:highlight w:val="none"/>
              </w:rPr>
              <w:t>售后服务（15分）</w:t>
            </w:r>
          </w:p>
        </w:tc>
        <w:tc>
          <w:tcPr>
            <w:tcW w:w="6633" w:type="dxa"/>
            <w:gridSpan w:val="2"/>
            <w:vAlign w:val="center"/>
          </w:tcPr>
          <w:p>
            <w:pPr>
              <w:autoSpaceDE w:val="0"/>
              <w:autoSpaceDN w:val="0"/>
              <w:adjustRightInd w:val="0"/>
              <w:spacing w:line="360" w:lineRule="auto"/>
              <w:rPr>
                <w:rFonts w:ascii="宋体" w:hAnsi="宋体" w:cs="宋体"/>
                <w:szCs w:val="21"/>
                <w:highlight w:val="none"/>
              </w:rPr>
            </w:pPr>
            <w:r>
              <w:rPr>
                <w:rFonts w:hint="eastAsia" w:ascii="宋体" w:hAnsi="宋体" w:cs="宋体"/>
                <w:szCs w:val="21"/>
                <w:highlight w:val="none"/>
              </w:rPr>
              <w:t>省内设立售后服务机构，配备专职维护人员（提供陕西社会保险记录证明文件复印件），</w:t>
            </w:r>
            <w:r>
              <w:rPr>
                <w:rFonts w:hint="eastAsia" w:ascii="宋体" w:hAnsi="宋体" w:cs="宋体"/>
                <w:szCs w:val="21"/>
                <w:highlight w:val="none"/>
                <w:u w:val="single"/>
              </w:rPr>
              <w:t>自主赋0-5分（提供复印件加盖公章）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szCs w:val="21"/>
                <w:highlight w:val="none"/>
              </w:rPr>
            </w:pPr>
            <w:r>
              <w:rPr>
                <w:rFonts w:hint="eastAsia" w:ascii="宋体" w:hAnsi="宋体" w:cs="宋体"/>
                <w:szCs w:val="21"/>
                <w:highlight w:val="none"/>
              </w:rPr>
              <w:t>为保证在采购人不增加预算的情况下与原有HIS系统进行无缝对接，投标供应商应提供切实可行的HIS系统接口服务方案，能提供证明材料,自主赋0-5分；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700" w:type="dxa"/>
            <w:vMerge w:val="continue"/>
            <w:vAlign w:val="center"/>
          </w:tcPr>
          <w:p>
            <w:pPr>
              <w:spacing w:line="360" w:lineRule="auto"/>
              <w:jc w:val="center"/>
              <w:rPr>
                <w:rFonts w:ascii="宋体" w:hAnsi="宋体" w:cs="宋体"/>
                <w:szCs w:val="21"/>
                <w:highlight w:val="none"/>
              </w:rPr>
            </w:pPr>
          </w:p>
        </w:tc>
        <w:tc>
          <w:tcPr>
            <w:tcW w:w="1267" w:type="dxa"/>
            <w:vMerge w:val="continue"/>
            <w:vAlign w:val="center"/>
          </w:tcPr>
          <w:p>
            <w:pPr>
              <w:spacing w:line="360" w:lineRule="auto"/>
              <w:jc w:val="center"/>
              <w:rPr>
                <w:rFonts w:ascii="宋体" w:hAnsi="宋体" w:cs="宋体"/>
                <w:szCs w:val="21"/>
                <w:highlight w:val="none"/>
              </w:rPr>
            </w:pPr>
          </w:p>
        </w:tc>
        <w:tc>
          <w:tcPr>
            <w:tcW w:w="6633" w:type="dxa"/>
            <w:gridSpan w:val="2"/>
            <w:vAlign w:val="center"/>
          </w:tcPr>
          <w:p>
            <w:pPr>
              <w:autoSpaceDE w:val="0"/>
              <w:autoSpaceDN w:val="0"/>
              <w:adjustRightInd w:val="0"/>
              <w:spacing w:line="360" w:lineRule="auto"/>
              <w:rPr>
                <w:rFonts w:ascii="宋体" w:hAnsi="宋体" w:cs="宋体"/>
                <w:szCs w:val="21"/>
                <w:highlight w:val="none"/>
              </w:rPr>
            </w:pPr>
            <w:r>
              <w:rPr>
                <w:rFonts w:hint="eastAsia" w:ascii="宋体" w:hAnsi="宋体" w:cs="宋体"/>
                <w:szCs w:val="21"/>
                <w:highlight w:val="none"/>
              </w:rPr>
              <w:t>供应商应提供详细的培训方案，包括培训体系介绍、培训内容、培训客户实例参考，方案切实可行得0-5分，其它情况酌情扣分。</w:t>
            </w:r>
          </w:p>
        </w:tc>
      </w:tr>
    </w:tbl>
    <w:p/>
    <w:p>
      <w:pPr>
        <w:tabs>
          <w:tab w:val="left" w:pos="3544"/>
        </w:tabs>
        <w:wordWrap w:val="0"/>
        <w:spacing w:line="360" w:lineRule="auto"/>
        <w:rPr>
          <w:rFonts w:ascii="宋体" w:cs="宋体"/>
          <w:b/>
          <w:sz w:val="24"/>
        </w:rPr>
      </w:pPr>
      <w:r>
        <w:rPr>
          <w:rFonts w:ascii="宋体" w:hAnsi="宋体" w:cs="宋体"/>
          <w:b/>
          <w:sz w:val="24"/>
        </w:rPr>
        <w:t>7</w:t>
      </w:r>
      <w:r>
        <w:rPr>
          <w:rFonts w:hint="eastAsia" w:ascii="宋体" w:hAnsi="宋体" w:cs="宋体"/>
          <w:b/>
          <w:sz w:val="24"/>
        </w:rPr>
        <w:t>、成交</w:t>
      </w:r>
    </w:p>
    <w:p>
      <w:pPr>
        <w:tabs>
          <w:tab w:val="left" w:pos="3544"/>
        </w:tabs>
        <w:wordWrap w:val="0"/>
        <w:spacing w:line="360" w:lineRule="auto"/>
        <w:ind w:firstLine="480" w:firstLineChars="200"/>
        <w:rPr>
          <w:rFonts w:ascii="宋体" w:cs="宋体"/>
          <w:sz w:val="24"/>
        </w:rPr>
      </w:pPr>
      <w:r>
        <w:rPr>
          <w:rFonts w:ascii="宋体" w:hAnsi="宋体" w:cs="宋体"/>
          <w:sz w:val="24"/>
        </w:rPr>
        <w:t>7.1</w:t>
      </w:r>
      <w:r>
        <w:rPr>
          <w:rFonts w:hint="eastAsia" w:ascii="宋体" w:hAnsi="宋体" w:cs="宋体"/>
          <w:sz w:val="24"/>
        </w:rPr>
        <w:t>采购代理机构在磋商结束后，根据磋商小组签字的原始评标记录和磋商报告，两个工作日内报送采购单位审核；</w:t>
      </w:r>
    </w:p>
    <w:p>
      <w:pPr>
        <w:tabs>
          <w:tab w:val="left" w:pos="3544"/>
        </w:tabs>
        <w:wordWrap w:val="0"/>
        <w:spacing w:line="360" w:lineRule="auto"/>
        <w:ind w:firstLine="480" w:firstLineChars="200"/>
        <w:rPr>
          <w:rFonts w:ascii="宋体" w:cs="宋体"/>
          <w:sz w:val="24"/>
        </w:rPr>
      </w:pPr>
      <w:r>
        <w:rPr>
          <w:rFonts w:ascii="宋体" w:hAnsi="宋体" w:cs="宋体"/>
          <w:sz w:val="24"/>
        </w:rPr>
        <w:t>7.2</w:t>
      </w:r>
      <w:r>
        <w:rPr>
          <w:rFonts w:hint="eastAsia" w:ascii="宋体" w:hAnsi="宋体" w:cs="宋体"/>
          <w:sz w:val="24"/>
        </w:rPr>
        <w:t>采购单位在收到磋商结果报告后五个工作日内，按照磋商报告中推荐的成交候选供应商顺序确定成交人，同时书面复函采购代理机构；</w:t>
      </w:r>
    </w:p>
    <w:p>
      <w:pPr>
        <w:tabs>
          <w:tab w:val="left" w:pos="3544"/>
        </w:tabs>
        <w:wordWrap w:val="0"/>
        <w:spacing w:line="360" w:lineRule="auto"/>
        <w:ind w:firstLine="480" w:firstLineChars="200"/>
        <w:rPr>
          <w:rFonts w:ascii="宋体" w:cs="宋体"/>
          <w:sz w:val="24"/>
        </w:rPr>
      </w:pPr>
      <w:r>
        <w:rPr>
          <w:rFonts w:ascii="宋体" w:hAnsi="宋体" w:cs="宋体"/>
          <w:sz w:val="24"/>
        </w:rPr>
        <w:t>7.3</w:t>
      </w:r>
      <w:r>
        <w:rPr>
          <w:rFonts w:hint="eastAsia" w:ascii="宋体" w:hAnsi="宋体" w:cs="宋体"/>
          <w:sz w:val="24"/>
        </w:rPr>
        <w:t>采购代理机构收到采购单位“成交复函”后，二个工作日内在陕西省政府采购网上发布成交公告，并向成交人发出“成交通知书”，《成交通知书》对成交人和采购人具有同等法律效力。</w:t>
      </w:r>
    </w:p>
    <w:p>
      <w:pPr>
        <w:spacing w:line="360" w:lineRule="auto"/>
        <w:jc w:val="left"/>
        <w:rPr>
          <w:rFonts w:ascii="宋体" w:cs="宋体"/>
          <w:b/>
          <w:sz w:val="24"/>
        </w:rPr>
      </w:pPr>
      <w:bookmarkStart w:id="44" w:name="_Toc502653023"/>
      <w:r>
        <w:rPr>
          <w:rFonts w:ascii="宋体" w:hAnsi="宋体" w:cs="宋体"/>
          <w:b/>
          <w:sz w:val="24"/>
        </w:rPr>
        <w:t>8</w:t>
      </w:r>
      <w:r>
        <w:rPr>
          <w:rFonts w:hint="eastAsia" w:ascii="宋体" w:hAnsi="宋体" w:cs="宋体"/>
          <w:b/>
          <w:sz w:val="24"/>
        </w:rPr>
        <w:t>、质疑和投诉</w:t>
      </w:r>
      <w:bookmarkEnd w:id="44"/>
    </w:p>
    <w:p>
      <w:pPr>
        <w:spacing w:line="360" w:lineRule="auto"/>
        <w:ind w:firstLine="480" w:firstLineChars="200"/>
        <w:jc w:val="left"/>
        <w:rPr>
          <w:rFonts w:ascii="宋体" w:cs="宋体"/>
          <w:sz w:val="24"/>
        </w:rPr>
      </w:pPr>
      <w:r>
        <w:rPr>
          <w:rFonts w:ascii="宋体" w:hAnsi="宋体" w:cs="宋体"/>
          <w:sz w:val="24"/>
        </w:rPr>
        <w:t>8.1</w:t>
      </w:r>
      <w:r>
        <w:rPr>
          <w:rFonts w:hint="eastAsia" w:ascii="宋体" w:hAnsi="宋体" w:cs="宋体"/>
          <w:sz w:val="24"/>
        </w:rPr>
        <w:t>供应商的质疑或投诉，可根据《政府采购质疑和投诉办法》及有关法规的规定，向相关单位与部门书面提出，但需对质疑或投诉内容的真实性承担责任。</w:t>
      </w:r>
    </w:p>
    <w:p>
      <w:pPr>
        <w:spacing w:line="360" w:lineRule="auto"/>
        <w:ind w:firstLine="480" w:firstLineChars="200"/>
        <w:jc w:val="left"/>
        <w:rPr>
          <w:rFonts w:ascii="宋体" w:cs="宋体"/>
          <w:sz w:val="24"/>
        </w:rPr>
      </w:pPr>
      <w:r>
        <w:rPr>
          <w:rFonts w:ascii="宋体" w:hAnsi="宋体" w:cs="宋体"/>
          <w:sz w:val="24"/>
        </w:rPr>
        <w:t>8.2</w:t>
      </w:r>
      <w:r>
        <w:rPr>
          <w:rFonts w:hint="eastAsia" w:ascii="宋体" w:hAnsi="宋体" w:cs="宋体"/>
          <w:sz w:val="24"/>
        </w:rPr>
        <w:t>对采购文件提出质疑的，应当在获取采购文件或者采购文件公告期限届满之日起</w:t>
      </w:r>
      <w:r>
        <w:rPr>
          <w:rFonts w:ascii="宋体" w:hAnsi="宋体" w:cs="宋体"/>
          <w:sz w:val="24"/>
        </w:rPr>
        <w:t>7</w:t>
      </w:r>
      <w:r>
        <w:rPr>
          <w:rFonts w:hint="eastAsia" w:ascii="宋体" w:hAnsi="宋体" w:cs="宋体"/>
          <w:sz w:val="24"/>
        </w:rPr>
        <w:t>个工作日内提出；</w:t>
      </w:r>
    </w:p>
    <w:p>
      <w:pPr>
        <w:spacing w:line="360" w:lineRule="auto"/>
        <w:ind w:left="479" w:leftChars="228"/>
        <w:jc w:val="left"/>
        <w:rPr>
          <w:rFonts w:ascii="宋体" w:cs="宋体"/>
          <w:sz w:val="24"/>
        </w:rPr>
      </w:pPr>
      <w:r>
        <w:rPr>
          <w:rFonts w:ascii="宋体" w:hAnsi="宋体" w:cs="宋体"/>
          <w:sz w:val="24"/>
        </w:rPr>
        <w:t>8.3</w:t>
      </w:r>
      <w:r>
        <w:rPr>
          <w:rFonts w:hint="eastAsia" w:ascii="宋体" w:hAnsi="宋体" w:cs="宋体"/>
          <w:sz w:val="24"/>
        </w:rPr>
        <w:t>对采购过程提出质疑的，在各程序环节结束之日起</w:t>
      </w:r>
      <w:r>
        <w:rPr>
          <w:rFonts w:ascii="宋体" w:hAnsi="宋体" w:cs="宋体"/>
          <w:sz w:val="24"/>
        </w:rPr>
        <w:t>7</w:t>
      </w:r>
      <w:r>
        <w:rPr>
          <w:rFonts w:hint="eastAsia" w:ascii="宋体" w:hAnsi="宋体" w:cs="宋体"/>
          <w:sz w:val="24"/>
        </w:rPr>
        <w:t>个工作日内提出；</w:t>
      </w:r>
    </w:p>
    <w:p>
      <w:pPr>
        <w:spacing w:line="360" w:lineRule="auto"/>
        <w:ind w:firstLine="480" w:firstLineChars="200"/>
        <w:jc w:val="left"/>
        <w:rPr>
          <w:rFonts w:ascii="宋体" w:cs="宋体"/>
          <w:sz w:val="24"/>
        </w:rPr>
      </w:pPr>
      <w:r>
        <w:rPr>
          <w:rFonts w:ascii="宋体" w:hAnsi="宋体" w:cs="宋体"/>
          <w:sz w:val="24"/>
        </w:rPr>
        <w:t>8.4</w:t>
      </w:r>
      <w:r>
        <w:rPr>
          <w:rFonts w:hint="eastAsia" w:ascii="宋体" w:hAnsi="宋体" w:cs="宋体"/>
          <w:sz w:val="24"/>
        </w:rPr>
        <w:t>对中标或者成交结果提出质疑的，为中标或者成交结果公告期限届满之日起</w:t>
      </w:r>
      <w:r>
        <w:rPr>
          <w:rFonts w:ascii="宋体" w:hAnsi="宋体" w:cs="宋体"/>
          <w:sz w:val="24"/>
        </w:rPr>
        <w:t>7</w:t>
      </w:r>
      <w:r>
        <w:rPr>
          <w:rFonts w:hint="eastAsia" w:ascii="宋体" w:hAnsi="宋体" w:cs="宋体"/>
          <w:sz w:val="24"/>
        </w:rPr>
        <w:t>个工作日内提出；</w:t>
      </w:r>
    </w:p>
    <w:p>
      <w:pPr>
        <w:spacing w:line="360" w:lineRule="auto"/>
        <w:ind w:firstLine="480" w:firstLineChars="200"/>
        <w:jc w:val="left"/>
      </w:pPr>
      <w:r>
        <w:rPr>
          <w:rFonts w:ascii="宋体" w:hAnsi="宋体" w:cs="宋体"/>
          <w:sz w:val="24"/>
        </w:rPr>
        <w:t>8.5</w:t>
      </w:r>
      <w:r>
        <w:rPr>
          <w:rFonts w:hint="eastAsia" w:ascii="宋体" w:hAnsi="宋体" w:cs="宋体"/>
          <w:b/>
          <w:bCs/>
          <w:sz w:val="24"/>
          <w:u w:val="single"/>
        </w:rPr>
        <w:t>供应商应在法定质疑期内一次性提出针对同一采购程序环节的质疑，对同一采购程序环节的重复质疑将被拒绝。</w:t>
      </w:r>
    </w:p>
    <w:p>
      <w:pPr>
        <w:spacing w:line="360" w:lineRule="auto"/>
        <w:ind w:firstLine="480" w:firstLineChars="200"/>
        <w:rPr>
          <w:rFonts w:ascii="宋体" w:cs="宋体"/>
          <w:sz w:val="24"/>
        </w:rPr>
      </w:pPr>
      <w:r>
        <w:rPr>
          <w:rFonts w:ascii="宋体" w:hAnsi="宋体" w:cs="宋体"/>
          <w:sz w:val="24"/>
        </w:rPr>
        <w:t>8.6</w:t>
      </w:r>
      <w:r>
        <w:rPr>
          <w:rFonts w:hint="eastAsia" w:ascii="宋体" w:hAnsi="宋体" w:cs="宋体"/>
          <w:sz w:val="24"/>
        </w:rPr>
        <w:t>供应商的质疑、投诉应当有明确的请求和必要的证明材料，按照《政府采购质疑和投诉办法》中的格式与要求书面提交，采购单位或采购代理机构应在收到供应商书面质疑后</w:t>
      </w:r>
      <w:r>
        <w:rPr>
          <w:rFonts w:ascii="宋体" w:hAnsi="宋体" w:cs="宋体"/>
          <w:sz w:val="24"/>
        </w:rPr>
        <w:t>7</w:t>
      </w:r>
      <w:r>
        <w:rPr>
          <w:rFonts w:hint="eastAsia" w:ascii="宋体" w:hAnsi="宋体" w:cs="宋体"/>
          <w:sz w:val="24"/>
        </w:rPr>
        <w:t>个工作日内，对质疑内容作出答复。</w:t>
      </w:r>
    </w:p>
    <w:p>
      <w:pPr>
        <w:pStyle w:val="17"/>
        <w:ind w:firstLine="480" w:firstLineChars="200"/>
        <w:rPr>
          <w:rFonts w:ascii="宋体" w:hAnsi="宋体" w:eastAsia="宋体" w:cs="宋体"/>
          <w:color w:val="auto"/>
          <w:kern w:val="2"/>
        </w:rPr>
      </w:pPr>
      <w:r>
        <w:rPr>
          <w:rFonts w:hint="eastAsia" w:ascii="宋体" w:hAnsi="宋体" w:eastAsia="宋体" w:cs="宋体"/>
          <w:color w:val="auto"/>
          <w:kern w:val="2"/>
        </w:rPr>
        <w:t>接收质疑函的联系部门：陕西博源招标服务有限公司招标部；</w:t>
      </w:r>
    </w:p>
    <w:p>
      <w:pPr>
        <w:pStyle w:val="17"/>
        <w:ind w:firstLine="480" w:firstLineChars="200"/>
        <w:rPr>
          <w:rFonts w:ascii="宋体" w:hAnsi="宋体" w:eastAsia="宋体" w:cs="宋体"/>
          <w:color w:val="auto"/>
          <w:kern w:val="2"/>
        </w:rPr>
      </w:pPr>
      <w:r>
        <w:rPr>
          <w:rFonts w:hint="eastAsia" w:ascii="宋体" w:hAnsi="宋体" w:eastAsia="宋体" w:cs="宋体"/>
          <w:color w:val="auto"/>
          <w:kern w:val="2"/>
        </w:rPr>
        <w:t>接收质疑函的联系方式：029-85279116；</w:t>
      </w:r>
    </w:p>
    <w:p>
      <w:pPr>
        <w:pStyle w:val="17"/>
        <w:ind w:firstLine="480" w:firstLineChars="200"/>
        <w:rPr>
          <w:rFonts w:ascii="宋体" w:hAnsi="宋体" w:eastAsia="宋体" w:cs="宋体"/>
          <w:color w:val="auto"/>
          <w:kern w:val="2"/>
        </w:rPr>
      </w:pPr>
      <w:r>
        <w:rPr>
          <w:rFonts w:hint="eastAsia" w:ascii="宋体" w:hAnsi="宋体" w:eastAsia="宋体" w:cs="宋体"/>
          <w:color w:val="auto"/>
          <w:kern w:val="2"/>
        </w:rPr>
        <w:t>接收质疑函的通讯地址：西安市碑林区环城南路西段45号时代诺利达B区6楼。</w:t>
      </w:r>
    </w:p>
    <w:p>
      <w:pPr>
        <w:spacing w:line="360" w:lineRule="auto"/>
        <w:jc w:val="center"/>
        <w:outlineLvl w:val="1"/>
        <w:rPr>
          <w:rFonts w:ascii="宋体" w:cs="宋体"/>
          <w:b/>
          <w:sz w:val="24"/>
        </w:rPr>
      </w:pPr>
      <w:bookmarkStart w:id="45" w:name="_Toc502653024"/>
      <w:bookmarkStart w:id="46" w:name="_Toc26414"/>
      <w:r>
        <w:rPr>
          <w:rFonts w:hint="eastAsia" w:ascii="宋体" w:hAnsi="宋体" w:cs="宋体"/>
          <w:b/>
          <w:sz w:val="24"/>
        </w:rPr>
        <w:t>七．授予合同</w:t>
      </w:r>
      <w:bookmarkEnd w:id="45"/>
      <w:bookmarkEnd w:id="46"/>
    </w:p>
    <w:p>
      <w:pPr>
        <w:spacing w:line="360" w:lineRule="auto"/>
        <w:ind w:firstLine="482" w:firstLineChars="200"/>
        <w:jc w:val="left"/>
        <w:rPr>
          <w:rFonts w:ascii="宋体" w:cs="宋体"/>
          <w:b/>
          <w:sz w:val="24"/>
        </w:rPr>
      </w:pPr>
      <w:r>
        <w:rPr>
          <w:rFonts w:ascii="宋体" w:hAnsi="宋体" w:cs="宋体"/>
          <w:b/>
          <w:sz w:val="24"/>
        </w:rPr>
        <w:t>1.</w:t>
      </w:r>
      <w:r>
        <w:rPr>
          <w:rFonts w:hint="eastAsia" w:ascii="宋体" w:hAnsi="宋体" w:cs="宋体"/>
          <w:b/>
          <w:sz w:val="24"/>
        </w:rPr>
        <w:t>成交通知书</w:t>
      </w:r>
    </w:p>
    <w:p>
      <w:pPr>
        <w:spacing w:line="360" w:lineRule="auto"/>
        <w:ind w:firstLine="480" w:firstLineChars="200"/>
        <w:jc w:val="left"/>
        <w:rPr>
          <w:rFonts w:ascii="宋体" w:cs="宋体"/>
          <w:sz w:val="24"/>
        </w:rPr>
      </w:pPr>
      <w:r>
        <w:rPr>
          <w:rFonts w:ascii="宋体" w:hAnsi="宋体" w:cs="宋体"/>
          <w:sz w:val="24"/>
        </w:rPr>
        <w:t>1.1</w:t>
      </w:r>
      <w:r>
        <w:rPr>
          <w:rFonts w:hint="eastAsia" w:ascii="宋体" w:hAnsi="宋体" w:cs="宋体"/>
          <w:sz w:val="24"/>
        </w:rPr>
        <w:t>采购代理机构在收到采购单位的成交复函后，将在陕西省政府采购网上发布成交公告，并向成交人发出成交通知书，成交通知书是合同的组成部分；</w:t>
      </w:r>
    </w:p>
    <w:p>
      <w:pPr>
        <w:spacing w:line="360" w:lineRule="auto"/>
        <w:ind w:firstLine="480" w:firstLineChars="200"/>
        <w:jc w:val="left"/>
        <w:rPr>
          <w:rFonts w:ascii="宋体" w:cs="宋体"/>
          <w:sz w:val="24"/>
        </w:rPr>
      </w:pPr>
      <w:r>
        <w:rPr>
          <w:rFonts w:ascii="宋体" w:hAnsi="宋体" w:cs="宋体"/>
          <w:sz w:val="24"/>
        </w:rPr>
        <w:t>1.2</w:t>
      </w:r>
      <w:r>
        <w:rPr>
          <w:rFonts w:hint="eastAsia" w:ascii="宋体" w:hAnsi="宋体" w:cs="宋体"/>
          <w:sz w:val="24"/>
        </w:rPr>
        <w:t>成交通知书发出后，采购单位不得改变成交结果，成交人无正当理由不得放弃成交或者拒绝领取成交通知书。</w:t>
      </w:r>
    </w:p>
    <w:p>
      <w:pPr>
        <w:spacing w:line="360" w:lineRule="auto"/>
        <w:ind w:firstLine="482" w:firstLineChars="200"/>
        <w:jc w:val="left"/>
        <w:rPr>
          <w:rFonts w:ascii="宋体" w:cs="宋体"/>
          <w:b/>
          <w:sz w:val="24"/>
        </w:rPr>
      </w:pPr>
      <w:r>
        <w:rPr>
          <w:rFonts w:ascii="宋体" w:hAnsi="宋体" w:cs="宋体"/>
          <w:b/>
          <w:sz w:val="24"/>
        </w:rPr>
        <w:t>2.</w:t>
      </w:r>
      <w:r>
        <w:rPr>
          <w:rFonts w:hint="eastAsia" w:ascii="宋体" w:hAnsi="宋体" w:cs="宋体"/>
          <w:b/>
          <w:sz w:val="24"/>
        </w:rPr>
        <w:t>招标代理服务费</w:t>
      </w:r>
    </w:p>
    <w:p>
      <w:pPr>
        <w:spacing w:line="360" w:lineRule="auto"/>
        <w:ind w:firstLine="482" w:firstLineChars="200"/>
        <w:jc w:val="left"/>
        <w:rPr>
          <w:rFonts w:ascii="宋体" w:cs="宋体"/>
          <w:b/>
          <w:sz w:val="24"/>
        </w:rPr>
      </w:pPr>
      <w:r>
        <w:rPr>
          <w:rFonts w:ascii="宋体" w:hAnsi="宋体" w:cs="宋体"/>
          <w:b/>
          <w:sz w:val="24"/>
          <w:u w:val="single"/>
        </w:rPr>
        <w:t>2.1</w:t>
      </w:r>
      <w:r>
        <w:rPr>
          <w:rFonts w:hint="eastAsia" w:ascii="宋体" w:hAnsi="宋体" w:cs="宋体"/>
          <w:b/>
          <w:sz w:val="24"/>
          <w:u w:val="single"/>
        </w:rPr>
        <w:t>成交人应在领取成交通知书的同时，向陕西博源招标服务有限公司交纳本项目招标代理服务费</w:t>
      </w:r>
      <w:r>
        <w:rPr>
          <w:rFonts w:hint="eastAsia" w:ascii="宋体" w:hAnsi="宋体" w:cs="宋体"/>
          <w:b/>
          <w:sz w:val="24"/>
        </w:rPr>
        <w:t>；</w:t>
      </w:r>
    </w:p>
    <w:p>
      <w:pPr>
        <w:spacing w:line="360" w:lineRule="auto"/>
        <w:ind w:firstLine="482" w:firstLineChars="200"/>
        <w:jc w:val="left"/>
        <w:rPr>
          <w:rFonts w:ascii="宋体" w:cs="宋体"/>
          <w:b/>
          <w:sz w:val="24"/>
          <w:u w:val="single"/>
        </w:rPr>
      </w:pPr>
      <w:r>
        <w:rPr>
          <w:rFonts w:ascii="宋体" w:hAnsi="宋体" w:cs="宋体"/>
          <w:b/>
          <w:sz w:val="24"/>
          <w:u w:val="single"/>
        </w:rPr>
        <w:t>2.2</w:t>
      </w:r>
      <w:r>
        <w:rPr>
          <w:rFonts w:hint="eastAsia" w:ascii="宋体" w:hAnsi="宋体" w:cs="宋体"/>
          <w:b/>
          <w:sz w:val="24"/>
          <w:u w:val="single"/>
        </w:rPr>
        <w:t>本项目招标代理服务费按照发国家发展改革委发改价格</w:t>
      </w:r>
      <w:r>
        <w:rPr>
          <w:rFonts w:ascii="宋体" w:hAnsi="宋体" w:cs="宋体"/>
          <w:b/>
          <w:sz w:val="24"/>
          <w:u w:val="single"/>
        </w:rPr>
        <w:t>[2011]534</w:t>
      </w:r>
      <w:r>
        <w:rPr>
          <w:rFonts w:hint="eastAsia" w:ascii="宋体" w:hAnsi="宋体" w:cs="宋体"/>
          <w:b/>
          <w:sz w:val="24"/>
          <w:u w:val="single"/>
        </w:rPr>
        <w:t>号规定的</w:t>
      </w:r>
      <w:r>
        <w:rPr>
          <w:rFonts w:hint="eastAsia" w:ascii="宋体" w:hAnsi="宋体" w:cs="宋体"/>
          <w:b/>
          <w:sz w:val="24"/>
          <w:u w:val="single"/>
          <w:lang w:val="en-US" w:eastAsia="zh-CN"/>
        </w:rPr>
        <w:t>货物</w:t>
      </w:r>
      <w:r>
        <w:rPr>
          <w:rFonts w:hint="eastAsia" w:ascii="宋体" w:hAnsi="宋体" w:cs="宋体"/>
          <w:b/>
          <w:sz w:val="24"/>
          <w:u w:val="single"/>
        </w:rPr>
        <w:t>类标准收取。</w:t>
      </w:r>
    </w:p>
    <w:p>
      <w:pPr>
        <w:spacing w:line="360" w:lineRule="auto"/>
        <w:ind w:firstLine="480" w:firstLineChars="200"/>
        <w:jc w:val="left"/>
        <w:rPr>
          <w:rFonts w:ascii="宋体" w:cs="宋体"/>
          <w:sz w:val="24"/>
        </w:rPr>
      </w:pPr>
      <w:r>
        <w:rPr>
          <w:rFonts w:ascii="宋体" w:hAnsi="宋体" w:cs="宋体"/>
          <w:sz w:val="24"/>
        </w:rPr>
        <w:t xml:space="preserve">3. </w:t>
      </w:r>
      <w:r>
        <w:rPr>
          <w:rFonts w:hint="eastAsia" w:ascii="宋体" w:hAnsi="宋体" w:cs="宋体"/>
          <w:sz w:val="24"/>
        </w:rPr>
        <w:t>签订合同</w:t>
      </w:r>
    </w:p>
    <w:p>
      <w:pPr>
        <w:spacing w:line="360" w:lineRule="auto"/>
        <w:ind w:firstLine="480" w:firstLineChars="200"/>
        <w:jc w:val="left"/>
        <w:rPr>
          <w:rFonts w:ascii="宋体" w:cs="宋体"/>
          <w:sz w:val="24"/>
        </w:rPr>
      </w:pPr>
      <w:r>
        <w:rPr>
          <w:rFonts w:ascii="宋体" w:hAnsi="宋体" w:cs="宋体"/>
          <w:sz w:val="24"/>
        </w:rPr>
        <w:t>3.1</w:t>
      </w:r>
      <w:r>
        <w:rPr>
          <w:rFonts w:hint="eastAsia" w:ascii="宋体" w:hAnsi="宋体" w:cs="宋体"/>
          <w:sz w:val="24"/>
        </w:rPr>
        <w:t>成交人应当自成交通知书发出之日起</w:t>
      </w:r>
      <w:r>
        <w:rPr>
          <w:rFonts w:ascii="宋体" w:hAnsi="宋体" w:cs="宋体"/>
          <w:sz w:val="24"/>
        </w:rPr>
        <w:t>30</w:t>
      </w:r>
      <w:r>
        <w:rPr>
          <w:rFonts w:hint="eastAsia" w:ascii="宋体" w:hAnsi="宋体" w:cs="宋体"/>
          <w:sz w:val="24"/>
        </w:rPr>
        <w:t>日内，与采购单位洽谈合同条款，并签订采购合同，磋商文件及成交人的响应文件均作为合同的组成部分；</w:t>
      </w:r>
    </w:p>
    <w:p>
      <w:pPr>
        <w:spacing w:line="360" w:lineRule="auto"/>
        <w:ind w:firstLine="480" w:firstLineChars="200"/>
        <w:jc w:val="left"/>
        <w:rPr>
          <w:rFonts w:ascii="宋体" w:cs="宋体"/>
          <w:sz w:val="24"/>
        </w:rPr>
      </w:pPr>
      <w:r>
        <w:rPr>
          <w:rFonts w:ascii="宋体" w:hAnsi="宋体" w:cs="宋体"/>
          <w:sz w:val="24"/>
        </w:rPr>
        <w:t>3.2</w:t>
      </w:r>
      <w:r>
        <w:rPr>
          <w:rFonts w:hint="eastAsia" w:ascii="宋体" w:hAnsi="宋体" w:cs="宋体"/>
          <w:sz w:val="24"/>
        </w:rPr>
        <w:t>采购人在授予合同时有权对磋商采购文件规定的货物和服务数量予以追加，追加金额不超过成交金额的</w:t>
      </w:r>
      <w:r>
        <w:rPr>
          <w:rFonts w:ascii="宋体" w:hAnsi="宋体" w:cs="宋体"/>
          <w:sz w:val="24"/>
        </w:rPr>
        <w:t>10%</w:t>
      </w:r>
      <w:r>
        <w:rPr>
          <w:rFonts w:hint="eastAsia" w:ascii="宋体" w:hAnsi="宋体" w:cs="宋体"/>
          <w:sz w:val="24"/>
        </w:rPr>
        <w:t>，但不得对单价等实质性条款做任何改变。</w:t>
      </w:r>
    </w:p>
    <w:p>
      <w:pPr>
        <w:spacing w:line="360" w:lineRule="auto"/>
        <w:jc w:val="center"/>
        <w:outlineLvl w:val="1"/>
        <w:rPr>
          <w:rFonts w:ascii="宋体" w:cs="宋体"/>
          <w:b/>
          <w:sz w:val="24"/>
        </w:rPr>
      </w:pPr>
      <w:bookmarkStart w:id="47" w:name="_Toc7502"/>
      <w:bookmarkStart w:id="48" w:name="_Toc502653025"/>
      <w:r>
        <w:rPr>
          <w:rFonts w:hint="eastAsia" w:ascii="宋体" w:hAnsi="宋体" w:cs="宋体"/>
          <w:b/>
          <w:sz w:val="24"/>
        </w:rPr>
        <w:t>八．其他</w:t>
      </w:r>
      <w:bookmarkEnd w:id="47"/>
      <w:bookmarkEnd w:id="48"/>
    </w:p>
    <w:p>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成交人确定后，若成交人没有按照上述授予合同中的任何一项规定执行，采购单位有权取消其成交资格，并按评审顺序重新确定成交人或者重新组织磋商。同时报请监督机构予以通报，禁止其进入政府采购市场，且保证金不予退还，给采购单位造成损失的，还应当予以赔偿，并依法承担相应法律责任。</w:t>
      </w:r>
    </w:p>
    <w:p>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磋商后，如果发生有效供应商不足三家</w:t>
      </w:r>
      <w:r>
        <w:rPr>
          <w:rFonts w:ascii="宋体" w:hAnsi="宋体" w:cs="宋体"/>
          <w:sz w:val="24"/>
        </w:rPr>
        <w:t>(</w:t>
      </w:r>
      <w:r>
        <w:rPr>
          <w:rFonts w:hint="eastAsia" w:ascii="宋体" w:hAnsi="宋体" w:cs="宋体"/>
          <w:sz w:val="24"/>
        </w:rPr>
        <w:t>（财库〔</w:t>
      </w:r>
      <w:r>
        <w:rPr>
          <w:rFonts w:ascii="宋体" w:hAnsi="宋体" w:cs="宋体"/>
          <w:sz w:val="24"/>
        </w:rPr>
        <w:t>2015</w:t>
      </w:r>
      <w:r>
        <w:rPr>
          <w:rFonts w:hint="eastAsia" w:ascii="宋体" w:hAnsi="宋体" w:cs="宋体"/>
          <w:sz w:val="24"/>
        </w:rPr>
        <w:t>〕</w:t>
      </w:r>
      <w:r>
        <w:rPr>
          <w:rFonts w:ascii="宋体" w:hAnsi="宋体" w:cs="宋体"/>
          <w:sz w:val="24"/>
        </w:rPr>
        <w:t>124</w:t>
      </w:r>
      <w:r>
        <w:rPr>
          <w:rFonts w:hint="eastAsia" w:ascii="宋体" w:hAnsi="宋体" w:cs="宋体"/>
          <w:sz w:val="24"/>
        </w:rPr>
        <w:t>号）规定的情形外</w:t>
      </w:r>
      <w:r>
        <w:rPr>
          <w:rFonts w:ascii="宋体" w:hAnsi="宋体" w:cs="宋体"/>
          <w:sz w:val="24"/>
        </w:rPr>
        <w:t>)</w:t>
      </w:r>
      <w:r>
        <w:rPr>
          <w:rFonts w:hint="eastAsia" w:ascii="宋体" w:hAnsi="宋体" w:cs="宋体"/>
          <w:sz w:val="24"/>
        </w:rPr>
        <w:t>或所有供应商的报价均超过财政预算限额，采购人不能支付的情况，可决定废标或报请同级财政监管部门批准后，选用其它采购方式进行采购。</w:t>
      </w:r>
    </w:p>
    <w:p>
      <w:pPr>
        <w:spacing w:line="360" w:lineRule="auto"/>
        <w:ind w:firstLine="480" w:firstLineChars="200"/>
        <w:jc w:val="left"/>
        <w:rPr>
          <w:rFonts w:ascii="宋体" w:cs="宋体"/>
          <w:sz w:val="24"/>
        </w:rPr>
      </w:pPr>
      <w:r>
        <w:rPr>
          <w:rFonts w:ascii="宋体" w:hAnsi="宋体" w:cs="宋体"/>
          <w:sz w:val="24"/>
        </w:rPr>
        <w:t>3.</w:t>
      </w:r>
      <w:r>
        <w:rPr>
          <w:rFonts w:hint="eastAsia" w:ascii="宋体" w:hAnsi="宋体" w:cs="宋体"/>
          <w:sz w:val="24"/>
        </w:rPr>
        <w:t>拒绝商业贿赂</w:t>
      </w:r>
    </w:p>
    <w:p>
      <w:pPr>
        <w:spacing w:line="360" w:lineRule="auto"/>
        <w:ind w:firstLine="480" w:firstLineChars="200"/>
        <w:jc w:val="left"/>
        <w:rPr>
          <w:rFonts w:ascii="宋体" w:cs="宋体"/>
          <w:sz w:val="24"/>
        </w:rPr>
      </w:pPr>
      <w:r>
        <w:rPr>
          <w:rFonts w:ascii="宋体" w:hAnsi="宋体" w:cs="宋体"/>
          <w:sz w:val="24"/>
        </w:rPr>
        <w:t>3.1</w:t>
      </w:r>
      <w:r>
        <w:rPr>
          <w:rFonts w:hint="eastAsia" w:ascii="宋体" w:hAnsi="宋体" w:cs="宋体"/>
          <w:sz w:val="24"/>
        </w:rPr>
        <w:t>采购单位、采购代理机构、供应商和磋商小组在磋商活动中，都要签订相应的《拒绝政府采购领域商业贿赂承诺书》，并对违反承诺的行为承担全部责任；</w:t>
      </w:r>
    </w:p>
    <w:p>
      <w:pPr>
        <w:wordWrap w:val="0"/>
        <w:topLinePunct/>
        <w:spacing w:line="360" w:lineRule="auto"/>
        <w:ind w:firstLine="480" w:firstLineChars="200"/>
        <w:jc w:val="left"/>
        <w:rPr>
          <w:rFonts w:ascii="宋体" w:cs="宋体"/>
          <w:sz w:val="24"/>
        </w:rPr>
      </w:pPr>
      <w:r>
        <w:rPr>
          <w:rFonts w:ascii="宋体" w:hAnsi="宋体" w:cs="宋体"/>
          <w:sz w:val="24"/>
        </w:rPr>
        <w:t>3.2</w:t>
      </w:r>
      <w:r>
        <w:rPr>
          <w:rFonts w:hint="eastAsia" w:ascii="宋体" w:hAnsi="宋体" w:cs="宋体"/>
          <w:sz w:val="24"/>
        </w:rPr>
        <w:t>供应商必须填写《拒绝政府采购领域商业贿赂承诺书》装订于响应文件中。（格式见第六部分）。</w:t>
      </w:r>
      <w:bookmarkStart w:id="49" w:name="_Toc328739378"/>
      <w:bookmarkStart w:id="50" w:name="_Toc490234467"/>
      <w:bookmarkStart w:id="51" w:name="_Toc493257944"/>
      <w:bookmarkStart w:id="52" w:name="_Toc489869354"/>
      <w:bookmarkStart w:id="53" w:name="_Toc490234569"/>
      <w:bookmarkStart w:id="54" w:name="_Toc489868882"/>
      <w:bookmarkStart w:id="55" w:name="_Toc489870016"/>
      <w:bookmarkStart w:id="56" w:name="_Toc489869016"/>
      <w:bookmarkStart w:id="57" w:name="_Toc490234295"/>
      <w:bookmarkStart w:id="58" w:name="_Toc479760680"/>
      <w:bookmarkStart w:id="59" w:name="_Toc493678871"/>
      <w:bookmarkStart w:id="60" w:name="_Toc489869740"/>
      <w:bookmarkStart w:id="61" w:name="_Toc479760808"/>
      <w:bookmarkStart w:id="62" w:name="_Toc490234580"/>
      <w:bookmarkStart w:id="63" w:name="_Toc490234239"/>
    </w:p>
    <w:p>
      <w:pPr>
        <w:pStyle w:val="17"/>
      </w:pPr>
      <w:r>
        <w:br w:type="page"/>
      </w:r>
    </w:p>
    <w:p>
      <w:pPr>
        <w:tabs>
          <w:tab w:val="left" w:pos="3544"/>
        </w:tabs>
        <w:spacing w:line="360" w:lineRule="auto"/>
        <w:jc w:val="center"/>
        <w:outlineLvl w:val="0"/>
        <w:rPr>
          <w:rFonts w:ascii="宋体" w:cs="宋体"/>
          <w:b/>
          <w:sz w:val="32"/>
        </w:rPr>
      </w:pPr>
      <w:bookmarkStart w:id="64" w:name="_Toc31223"/>
      <w:r>
        <w:rPr>
          <w:rFonts w:hint="eastAsia" w:ascii="宋体" w:hAnsi="宋体" w:cs="宋体"/>
          <w:b/>
          <w:sz w:val="32"/>
        </w:rPr>
        <w:t>第三部分</w:t>
      </w:r>
      <w:r>
        <w:rPr>
          <w:rFonts w:ascii="宋体" w:hAnsi="宋体" w:cs="宋体"/>
          <w:b/>
          <w:sz w:val="32"/>
        </w:rPr>
        <w:t xml:space="preserve"> </w:t>
      </w:r>
      <w:r>
        <w:rPr>
          <w:rFonts w:hint="eastAsia" w:ascii="宋体" w:hAnsi="宋体" w:cs="宋体"/>
          <w:b/>
          <w:sz w:val="32"/>
        </w:rPr>
        <w:t>技术要求</w:t>
      </w:r>
      <w:bookmarkEnd w:id="49"/>
      <w:r>
        <w:rPr>
          <w:rFonts w:hint="eastAsia" w:ascii="宋体" w:hAnsi="宋体" w:cs="宋体"/>
          <w:b/>
          <w:sz w:val="32"/>
        </w:rPr>
        <w:t>及商务要求</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Toc408505323"/>
    </w:p>
    <w:bookmarkEnd w:id="65"/>
    <w:p>
      <w:pPr>
        <w:spacing w:line="360" w:lineRule="auto"/>
        <w:outlineLvl w:val="1"/>
        <w:rPr>
          <w:rFonts w:ascii="宋体" w:hAnsi="宋体" w:cs="宋体"/>
          <w:b/>
          <w:sz w:val="24"/>
        </w:rPr>
      </w:pPr>
      <w:bookmarkStart w:id="66" w:name="_Toc10757"/>
      <w:bookmarkStart w:id="67" w:name="_Toc9109"/>
      <w:bookmarkStart w:id="68" w:name="_Toc3129504"/>
      <w:bookmarkStart w:id="69" w:name="_Toc498330535"/>
      <w:bookmarkStart w:id="70" w:name="_Toc258996283"/>
      <w:bookmarkStart w:id="71" w:name="_Toc213480112"/>
      <w:bookmarkStart w:id="72" w:name="_Toc489869360"/>
      <w:bookmarkStart w:id="73" w:name="_Toc316920672"/>
      <w:bookmarkStart w:id="74" w:name="_Toc316937563"/>
      <w:bookmarkStart w:id="75" w:name="_Toc423079808"/>
      <w:bookmarkStart w:id="76" w:name="_Toc479760681"/>
      <w:bookmarkStart w:id="77" w:name="_Toc402447129"/>
      <w:bookmarkStart w:id="78" w:name="_Toc479760809"/>
      <w:bookmarkStart w:id="79" w:name="_Toc381183415"/>
      <w:bookmarkStart w:id="80" w:name="_Toc258687045"/>
      <w:bookmarkStart w:id="81" w:name="_Toc445818409"/>
      <w:bookmarkStart w:id="82" w:name="_Toc215467396"/>
      <w:bookmarkStart w:id="83" w:name="_Toc493257951"/>
      <w:bookmarkStart w:id="84" w:name="_Toc402776499"/>
      <w:bookmarkStart w:id="85" w:name="_Toc258687148"/>
      <w:bookmarkStart w:id="86" w:name="_Toc489868888"/>
      <w:bookmarkStart w:id="87" w:name="_Toc402447402"/>
      <w:bookmarkStart w:id="88" w:name="_Toc490234586"/>
      <w:bookmarkStart w:id="89" w:name="_Toc490234575"/>
      <w:bookmarkStart w:id="90" w:name="_Toc490234473"/>
      <w:bookmarkStart w:id="91" w:name="_Toc493678942"/>
      <w:bookmarkStart w:id="92" w:name="_Toc490234301"/>
      <w:bookmarkStart w:id="93" w:name="_Toc258998238"/>
      <w:bookmarkStart w:id="94" w:name="_Toc455669894"/>
      <w:bookmarkStart w:id="95" w:name="_Toc489869746"/>
      <w:bookmarkStart w:id="96" w:name="_Toc489869022"/>
      <w:bookmarkStart w:id="97" w:name="_Toc490234245"/>
      <w:bookmarkStart w:id="98" w:name="_Toc489870022"/>
      <w:bookmarkStart w:id="99" w:name="_Toc385862498"/>
      <w:r>
        <w:rPr>
          <w:rFonts w:hint="eastAsia" w:ascii="宋体" w:hAnsi="宋体" w:cs="宋体"/>
          <w:b/>
          <w:sz w:val="24"/>
        </w:rPr>
        <w:t>一．</w:t>
      </w:r>
      <w:bookmarkEnd w:id="66"/>
      <w:r>
        <w:rPr>
          <w:rFonts w:hint="eastAsia" w:ascii="宋体" w:hAnsi="宋体" w:cs="宋体"/>
          <w:b/>
          <w:sz w:val="24"/>
        </w:rPr>
        <w:t>技术要求</w:t>
      </w:r>
      <w:bookmarkEnd w:id="67"/>
    </w:p>
    <w:p>
      <w:pPr>
        <w:pStyle w:val="3"/>
        <w:spacing w:line="360" w:lineRule="auto"/>
        <w:ind w:firstLine="482" w:firstLineChars="200"/>
        <w:rPr>
          <w:rFonts w:ascii="宋体" w:hAnsi="宋体" w:eastAsia="宋体" w:cs="宋体"/>
          <w:sz w:val="24"/>
        </w:rPr>
      </w:pPr>
      <w:bookmarkStart w:id="100" w:name="_Toc25231"/>
      <w:bookmarkStart w:id="101" w:name="_Toc29150"/>
      <w:r>
        <w:rPr>
          <w:rFonts w:hint="eastAsia" w:ascii="宋体" w:hAnsi="宋体" w:eastAsia="宋体" w:cs="宋体"/>
          <w:sz w:val="24"/>
        </w:rPr>
        <w:t>（一）系统建设的总体要求及目标</w:t>
      </w:r>
      <w:bookmarkEnd w:id="100"/>
      <w:bookmarkEnd w:id="101"/>
    </w:p>
    <w:p>
      <w:pPr>
        <w:spacing w:line="360" w:lineRule="auto"/>
        <w:ind w:firstLine="480" w:firstLineChars="200"/>
        <w:rPr>
          <w:rFonts w:ascii="宋体" w:hAnsi="宋体" w:cs="宋体"/>
          <w:sz w:val="24"/>
        </w:rPr>
      </w:pPr>
      <w:r>
        <w:rPr>
          <w:rFonts w:hint="eastAsia" w:ascii="宋体" w:hAnsi="宋体" w:cs="宋体"/>
          <w:sz w:val="24"/>
        </w:rPr>
        <w:t>1、要求：进一步提高医院的科学管理水平和医疗服务质量，向就医病人提供更加高效、优质的服务，实现我院的可持续发展。</w:t>
      </w:r>
    </w:p>
    <w:p>
      <w:pPr>
        <w:spacing w:line="360" w:lineRule="auto"/>
        <w:ind w:firstLine="480" w:firstLineChars="200"/>
        <w:rPr>
          <w:rFonts w:ascii="宋体" w:hAnsi="宋体" w:cs="宋体"/>
          <w:sz w:val="24"/>
        </w:rPr>
      </w:pPr>
      <w:r>
        <w:rPr>
          <w:rFonts w:hint="eastAsia" w:ascii="宋体" w:hAnsi="宋体" w:cs="宋体"/>
          <w:sz w:val="24"/>
        </w:rPr>
        <w:t>2、目标：</w:t>
      </w:r>
    </w:p>
    <w:p>
      <w:pPr>
        <w:spacing w:line="360" w:lineRule="auto"/>
        <w:ind w:firstLine="480" w:firstLineChars="200"/>
        <w:rPr>
          <w:rFonts w:ascii="宋体" w:hAnsi="宋体" w:cs="宋体"/>
          <w:sz w:val="24"/>
        </w:rPr>
      </w:pPr>
      <w:r>
        <w:rPr>
          <w:rFonts w:hint="eastAsia" w:ascii="宋体" w:hAnsi="宋体" w:cs="宋体"/>
          <w:sz w:val="24"/>
        </w:rPr>
        <w:t>2.1建立一个稳定的、先进的、能够覆盖我院所有科室的医院信息系统，应用软件在开发中要遵循实用性、高效性、可靠性、易操作性和安全性原则。</w:t>
      </w:r>
    </w:p>
    <w:p>
      <w:pPr>
        <w:spacing w:line="360" w:lineRule="auto"/>
        <w:ind w:firstLine="480" w:firstLineChars="200"/>
        <w:rPr>
          <w:rFonts w:ascii="宋体" w:hAnsi="宋体" w:cs="宋体"/>
          <w:sz w:val="24"/>
        </w:rPr>
      </w:pPr>
      <w:r>
        <w:rPr>
          <w:rFonts w:hint="eastAsia" w:ascii="宋体" w:hAnsi="宋体" w:cs="宋体"/>
          <w:sz w:val="24"/>
        </w:rPr>
        <w:t>2.2医院信息系统必须根据医院管理模式采用科学化、信息化、规范化、标准化理论进行设计建立，以满足医院管理模式和管理流程的规范化和持续改进的需要，同时也应考虑到医院的实际情况多一些人性化设计和智能化设计。</w:t>
      </w:r>
    </w:p>
    <w:p>
      <w:pPr>
        <w:spacing w:line="360" w:lineRule="auto"/>
        <w:ind w:firstLine="480" w:firstLineChars="200"/>
        <w:rPr>
          <w:rFonts w:ascii="宋体" w:hAnsi="宋体" w:cs="宋体"/>
          <w:sz w:val="24"/>
        </w:rPr>
      </w:pPr>
      <w:r>
        <w:rPr>
          <w:rFonts w:hint="eastAsia" w:ascii="宋体" w:hAnsi="宋体" w:cs="宋体"/>
          <w:sz w:val="24"/>
        </w:rPr>
        <w:t>2.3系统应具有较好的实用性。它应该符合现行医院体系结构、管理模式和运作程序，能满足医院一定时期内对信息的需求，并能对提高医疗服务质量、工作效率和管理水平，为医院带来一定的经济效益和社会效益产生积极的作用。</w:t>
      </w:r>
    </w:p>
    <w:p>
      <w:pPr>
        <w:spacing w:line="360" w:lineRule="auto"/>
        <w:ind w:firstLine="480" w:firstLineChars="200"/>
        <w:rPr>
          <w:rFonts w:ascii="宋体" w:hAnsi="宋体" w:cs="宋体"/>
          <w:sz w:val="24"/>
        </w:rPr>
      </w:pPr>
      <w:r>
        <w:rPr>
          <w:rFonts w:hint="eastAsia" w:ascii="宋体" w:hAnsi="宋体" w:cs="宋体"/>
          <w:sz w:val="24"/>
        </w:rPr>
        <w:t>2.4系统必须保证与我国现行的有关法律、法规、规章制度相一致，并能满足与各级医疗机构和各级卫生行政部门交换信息的要求。</w:t>
      </w:r>
    </w:p>
    <w:p>
      <w:pPr>
        <w:spacing w:line="360" w:lineRule="auto"/>
        <w:ind w:firstLine="480" w:firstLineChars="200"/>
        <w:rPr>
          <w:rFonts w:ascii="宋体" w:hAnsi="宋体" w:cs="宋体"/>
          <w:sz w:val="24"/>
        </w:rPr>
      </w:pPr>
      <w:r>
        <w:rPr>
          <w:rFonts w:hint="eastAsia" w:ascii="宋体" w:hAnsi="宋体" w:cs="宋体"/>
          <w:sz w:val="24"/>
        </w:rPr>
        <w:t>2.5系统必须保证各项信息统计指标，符合卫生行政管理部门颁布的信息统计指标规范，中标单位可根据卫生行政管理部门的要求及时对系统进行升级。</w:t>
      </w:r>
    </w:p>
    <w:p>
      <w:pPr>
        <w:pStyle w:val="3"/>
        <w:spacing w:line="360" w:lineRule="auto"/>
        <w:ind w:firstLine="482" w:firstLineChars="200"/>
        <w:rPr>
          <w:rFonts w:ascii="宋体" w:hAnsi="宋体" w:eastAsia="宋体" w:cs="宋体"/>
          <w:sz w:val="24"/>
        </w:rPr>
      </w:pPr>
      <w:bookmarkStart w:id="102" w:name="_Toc469908315"/>
      <w:bookmarkEnd w:id="102"/>
      <w:bookmarkStart w:id="103" w:name="_Toc469931416"/>
      <w:bookmarkEnd w:id="103"/>
      <w:bookmarkStart w:id="104" w:name="_Toc17000"/>
      <w:bookmarkStart w:id="105" w:name="_Toc50546483"/>
      <w:bookmarkStart w:id="106" w:name="_Toc18378"/>
      <w:r>
        <w:rPr>
          <w:rFonts w:hint="eastAsia" w:ascii="宋体" w:hAnsi="宋体" w:eastAsia="宋体" w:cs="宋体"/>
          <w:sz w:val="24"/>
        </w:rPr>
        <w:t>（二）项目建设原则</w:t>
      </w:r>
      <w:bookmarkEnd w:id="104"/>
      <w:bookmarkEnd w:id="105"/>
      <w:bookmarkEnd w:id="106"/>
    </w:p>
    <w:p>
      <w:pPr>
        <w:spacing w:line="360" w:lineRule="auto"/>
        <w:ind w:firstLine="480" w:firstLineChars="200"/>
        <w:rPr>
          <w:rFonts w:ascii="宋体" w:hAnsi="宋体" w:cs="宋体"/>
          <w:sz w:val="24"/>
        </w:rPr>
      </w:pPr>
      <w:r>
        <w:rPr>
          <w:rFonts w:hint="eastAsia" w:ascii="宋体" w:hAnsi="宋体" w:cs="宋体"/>
          <w:sz w:val="24"/>
        </w:rPr>
        <w:t>1、整体规划、分步实施</w:t>
      </w:r>
    </w:p>
    <w:p>
      <w:pPr>
        <w:spacing w:line="360" w:lineRule="auto"/>
        <w:ind w:firstLine="480" w:firstLineChars="200"/>
        <w:rPr>
          <w:rFonts w:ascii="宋体" w:hAnsi="宋体" w:cs="宋体"/>
          <w:sz w:val="24"/>
        </w:rPr>
      </w:pPr>
      <w:r>
        <w:rPr>
          <w:rFonts w:hint="eastAsia" w:ascii="宋体" w:hAnsi="宋体" w:cs="宋体"/>
          <w:sz w:val="24"/>
        </w:rPr>
        <w:t>医院信息系统就是一个庞大的、复杂的、长期的系统工程，更需要先做整体规划，从硬件上或从软件上都必须先进行整体的调研和规划，才能为后续的建设指明道路和打下基础。</w:t>
      </w:r>
    </w:p>
    <w:p>
      <w:pPr>
        <w:spacing w:line="360" w:lineRule="auto"/>
        <w:ind w:firstLine="480" w:firstLineChars="200"/>
        <w:rPr>
          <w:rFonts w:ascii="宋体" w:hAnsi="宋体" w:cs="宋体"/>
          <w:sz w:val="24"/>
        </w:rPr>
      </w:pPr>
      <w:r>
        <w:rPr>
          <w:rFonts w:hint="eastAsia" w:ascii="宋体" w:hAnsi="宋体" w:cs="宋体"/>
          <w:sz w:val="24"/>
        </w:rPr>
        <w:t>医院信息系统的建设过程是一个长期的过程，必须分成多个阶段来完成，以保证系统建设的可行性和可控性，因此必须在总体规划的指导下，分阶段逐步完成医院信息系统各项工程的建设。</w:t>
      </w:r>
    </w:p>
    <w:p>
      <w:pPr>
        <w:spacing w:line="360" w:lineRule="auto"/>
        <w:ind w:firstLine="480" w:firstLineChars="200"/>
        <w:rPr>
          <w:rFonts w:ascii="宋体" w:hAnsi="宋体" w:cs="宋体"/>
          <w:sz w:val="24"/>
        </w:rPr>
      </w:pPr>
      <w:r>
        <w:rPr>
          <w:rFonts w:hint="eastAsia" w:ascii="宋体" w:hAnsi="宋体" w:cs="宋体"/>
          <w:sz w:val="24"/>
        </w:rPr>
        <w:t>2、标准规范、功能全面</w:t>
      </w:r>
    </w:p>
    <w:p>
      <w:pPr>
        <w:spacing w:line="360" w:lineRule="auto"/>
        <w:ind w:firstLine="480" w:firstLineChars="200"/>
        <w:rPr>
          <w:rFonts w:ascii="宋体" w:hAnsi="宋体" w:cs="宋体"/>
          <w:sz w:val="24"/>
        </w:rPr>
      </w:pPr>
      <w:r>
        <w:rPr>
          <w:rFonts w:hint="eastAsia" w:ascii="宋体" w:hAnsi="宋体" w:cs="宋体"/>
          <w:sz w:val="24"/>
        </w:rPr>
        <w:t>医院信息系统的项目建设要符合医疗行业的法律法规要求，系统功能范围和要求遵循卫生部医院信息系统功能规范要求，支持国际、国内的医疗相关标准，包括HL7、XML、DICOM3.0、ICD-10、SNOMED等相关标准。</w:t>
      </w:r>
    </w:p>
    <w:p>
      <w:pPr>
        <w:spacing w:line="360" w:lineRule="auto"/>
        <w:ind w:firstLine="480" w:firstLineChars="200"/>
        <w:rPr>
          <w:rFonts w:ascii="宋体" w:hAnsi="宋体" w:cs="宋体"/>
          <w:sz w:val="24"/>
        </w:rPr>
      </w:pPr>
      <w:r>
        <w:rPr>
          <w:rFonts w:hint="eastAsia" w:ascii="宋体" w:hAnsi="宋体" w:cs="宋体"/>
          <w:sz w:val="24"/>
        </w:rPr>
        <w:t>医院信息系统架构必须全面、完整，以支撑医院所有业务的开发实施、集成，保证系统内、外系统的顺利整合。业务应用应覆盖全院的所有业务科室及相关的业务流程。</w:t>
      </w:r>
    </w:p>
    <w:p>
      <w:pPr>
        <w:spacing w:line="360" w:lineRule="auto"/>
        <w:ind w:firstLine="480" w:firstLineChars="200"/>
        <w:rPr>
          <w:rFonts w:ascii="宋体" w:hAnsi="宋体" w:cs="宋体"/>
          <w:sz w:val="24"/>
        </w:rPr>
      </w:pPr>
      <w:r>
        <w:rPr>
          <w:rFonts w:hint="eastAsia" w:ascii="宋体" w:hAnsi="宋体" w:cs="宋体"/>
          <w:sz w:val="24"/>
        </w:rPr>
        <w:t>3、开放互联、信息共享</w:t>
      </w:r>
    </w:p>
    <w:p>
      <w:pPr>
        <w:spacing w:line="360" w:lineRule="auto"/>
        <w:ind w:firstLine="480" w:firstLineChars="200"/>
        <w:rPr>
          <w:rFonts w:ascii="宋体" w:hAnsi="宋体" w:cs="宋体"/>
          <w:sz w:val="24"/>
        </w:rPr>
      </w:pPr>
      <w:r>
        <w:rPr>
          <w:rFonts w:hint="eastAsia" w:ascii="宋体" w:hAnsi="宋体" w:cs="宋体"/>
          <w:sz w:val="24"/>
        </w:rPr>
        <w:t>医院信息系统的建设是医院内各种业务应用的综合建设，为了避免“信息孤岛”的存在，构建成一个完整而丰富的数字化医院信息平台，在项目建设过程中必须对不同厂商的产品进行充分的集成，因此在建设的过程中应注重系统集成、信息共享的建设。</w:t>
      </w:r>
    </w:p>
    <w:p>
      <w:pPr>
        <w:spacing w:line="360" w:lineRule="auto"/>
        <w:ind w:firstLine="480" w:firstLineChars="200"/>
        <w:rPr>
          <w:rFonts w:ascii="宋体" w:hAnsi="宋体" w:cs="宋体"/>
          <w:sz w:val="24"/>
        </w:rPr>
      </w:pPr>
      <w:r>
        <w:rPr>
          <w:rFonts w:hint="eastAsia" w:ascii="宋体" w:hAnsi="宋体" w:cs="宋体"/>
          <w:sz w:val="24"/>
        </w:rPr>
        <w:t>4、先进可靠、经济实用</w:t>
      </w:r>
    </w:p>
    <w:p>
      <w:pPr>
        <w:spacing w:line="360" w:lineRule="auto"/>
        <w:ind w:firstLine="480" w:firstLineChars="200"/>
        <w:rPr>
          <w:rFonts w:ascii="宋体" w:hAnsi="宋体" w:cs="宋体"/>
          <w:sz w:val="24"/>
        </w:rPr>
      </w:pPr>
      <w:r>
        <w:rPr>
          <w:rFonts w:hint="eastAsia" w:ascii="宋体" w:hAnsi="宋体" w:cs="宋体"/>
          <w:sz w:val="24"/>
        </w:rPr>
        <w:t>计算机信息处理技术的发展日新月异，系统设计时采用当代先进技术和主流技术，既考虑应用平台和工具的先进，同时更要考虑系统结构和应用设计的先进性，以适应医院信息系统建设需求。</w:t>
      </w:r>
    </w:p>
    <w:p>
      <w:pPr>
        <w:spacing w:line="360" w:lineRule="auto"/>
        <w:ind w:firstLine="480" w:firstLineChars="200"/>
        <w:rPr>
          <w:rFonts w:ascii="宋体" w:hAnsi="宋体" w:cs="宋体"/>
          <w:sz w:val="24"/>
        </w:rPr>
      </w:pPr>
      <w:r>
        <w:rPr>
          <w:rFonts w:hint="eastAsia" w:ascii="宋体" w:hAnsi="宋体" w:cs="宋体"/>
          <w:sz w:val="24"/>
        </w:rPr>
        <w:t>医院信息系统是关系到消费者健康以致生命的系统，从社会层面来看，是一个关系到社会稳定、国计民生的系统。只有确保系统具有足够的可靠性，才能保证整个整体医疗工程的正常运行。</w:t>
      </w:r>
    </w:p>
    <w:p>
      <w:pPr>
        <w:spacing w:line="360" w:lineRule="auto"/>
        <w:ind w:firstLine="480" w:firstLineChars="200"/>
        <w:rPr>
          <w:rFonts w:ascii="宋体" w:hAnsi="宋体" w:cs="宋体"/>
          <w:sz w:val="24"/>
        </w:rPr>
      </w:pPr>
      <w:r>
        <w:rPr>
          <w:rFonts w:hint="eastAsia" w:ascii="宋体" w:hAnsi="宋体" w:cs="宋体"/>
          <w:sz w:val="24"/>
        </w:rPr>
        <w:t>同时应用系统要充分体现易用性的特点：其一是应用界面的简捷、直观，使用户在使用时一目了然；其二是应提供联机的或脱机的帮助手段。</w:t>
      </w:r>
    </w:p>
    <w:p>
      <w:pPr>
        <w:spacing w:line="360" w:lineRule="auto"/>
        <w:ind w:firstLine="480" w:firstLineChars="200"/>
        <w:rPr>
          <w:rFonts w:ascii="宋体" w:hAnsi="宋体" w:cs="宋体"/>
          <w:sz w:val="24"/>
        </w:rPr>
      </w:pPr>
      <w:r>
        <w:rPr>
          <w:rFonts w:hint="eastAsia" w:ascii="宋体" w:hAnsi="宋体" w:cs="宋体"/>
          <w:sz w:val="24"/>
        </w:rPr>
        <w:t>5、项目化管理、统一平台、统一流程</w:t>
      </w:r>
    </w:p>
    <w:p>
      <w:pPr>
        <w:spacing w:line="360" w:lineRule="auto"/>
        <w:ind w:firstLine="480" w:firstLineChars="200"/>
        <w:rPr>
          <w:rFonts w:ascii="宋体" w:hAnsi="宋体" w:cs="宋体"/>
          <w:sz w:val="24"/>
        </w:rPr>
      </w:pPr>
      <w:r>
        <w:rPr>
          <w:rFonts w:hint="eastAsia" w:ascii="宋体" w:hAnsi="宋体" w:cs="宋体"/>
          <w:sz w:val="24"/>
        </w:rPr>
        <w:t>整个信息系统的建设应按照软件工程项目化管理来开发和建设，在医院更换信息系统的过程中，要统一规范、统一平台、统一流程，涉及医院的重大流程变动、客户化需求等需要软件供应商密切配合定制，并接受的监管。</w:t>
      </w:r>
    </w:p>
    <w:p>
      <w:pPr>
        <w:pStyle w:val="3"/>
        <w:spacing w:line="360" w:lineRule="auto"/>
        <w:rPr>
          <w:rFonts w:ascii="宋体" w:hAnsi="宋体" w:eastAsia="宋体" w:cs="宋体"/>
          <w:sz w:val="24"/>
        </w:rPr>
      </w:pPr>
      <w:bookmarkStart w:id="107" w:name="_Toc50546484"/>
      <w:bookmarkStart w:id="108" w:name="_Toc23837"/>
      <w:bookmarkStart w:id="109" w:name="_Toc14242"/>
      <w:r>
        <w:rPr>
          <w:rFonts w:hint="eastAsia" w:ascii="宋体" w:hAnsi="宋体" w:eastAsia="宋体" w:cs="宋体"/>
          <w:sz w:val="24"/>
        </w:rPr>
        <w:t>（三）软件功能模块特殊要求</w:t>
      </w:r>
      <w:bookmarkEnd w:id="107"/>
      <w:bookmarkEnd w:id="108"/>
      <w:bookmarkEnd w:id="109"/>
    </w:p>
    <w:p>
      <w:pPr>
        <w:spacing w:line="360" w:lineRule="auto"/>
        <w:ind w:firstLine="420"/>
        <w:rPr>
          <w:rFonts w:ascii="宋体" w:hAnsi="宋体" w:cs="宋体"/>
          <w:sz w:val="24"/>
        </w:rPr>
      </w:pPr>
      <w:r>
        <w:rPr>
          <w:rFonts w:hint="eastAsia" w:ascii="宋体" w:hAnsi="宋体" w:cs="宋体"/>
          <w:sz w:val="24"/>
        </w:rPr>
        <w:t>本项目医院信息系统的功能模块必须符合卫生部2002年9月颁发的《医院信息系统基本功能规范》的要求，供应商应认真研究《医院信息系统基本功能规范》、《电子病历系统应用水平分级评价管理办法》、《医院信息互联互通标准化成熟度测评》、《关于印发医院智慧服务分级评估标准体系》的要求，并提出各功能是否具备的说明。</w:t>
      </w:r>
    </w:p>
    <w:tbl>
      <w:tblPr>
        <w:tblStyle w:val="40"/>
        <w:tblW w:w="9776" w:type="dxa"/>
        <w:tblInd w:w="0" w:type="dxa"/>
        <w:tblLayout w:type="fixed"/>
        <w:tblCellMar>
          <w:top w:w="0" w:type="dxa"/>
          <w:left w:w="108" w:type="dxa"/>
          <w:bottom w:w="0" w:type="dxa"/>
          <w:right w:w="108" w:type="dxa"/>
        </w:tblCellMar>
      </w:tblPr>
      <w:tblGrid>
        <w:gridCol w:w="704"/>
        <w:gridCol w:w="2693"/>
        <w:gridCol w:w="3402"/>
        <w:gridCol w:w="1843"/>
        <w:gridCol w:w="1134"/>
      </w:tblGrid>
      <w:tr>
        <w:tblPrEx>
          <w:tblCellMar>
            <w:top w:w="0" w:type="dxa"/>
            <w:left w:w="108" w:type="dxa"/>
            <w:bottom w:w="0" w:type="dxa"/>
            <w:right w:w="108" w:type="dxa"/>
          </w:tblCellMar>
        </w:tblPrEx>
        <w:trPr>
          <w:gridAfter w:val="1"/>
          <w:wAfter w:w="1134" w:type="dxa"/>
          <w:trHeight w:val="540" w:hRule="atLeast"/>
        </w:trPr>
        <w:tc>
          <w:tcPr>
            <w:tcW w:w="864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医院系统建设清单</w:t>
            </w:r>
          </w:p>
        </w:tc>
      </w:tr>
      <w:tr>
        <w:tblPrEx>
          <w:tblCellMar>
            <w:top w:w="0" w:type="dxa"/>
            <w:left w:w="108" w:type="dxa"/>
            <w:bottom w:w="0" w:type="dxa"/>
            <w:right w:w="108" w:type="dxa"/>
          </w:tblCellMar>
        </w:tblPrEx>
        <w:trPr>
          <w:gridAfter w:val="1"/>
          <w:wAfter w:w="1134" w:type="dxa"/>
          <w:trHeight w:val="540"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color w:val="000000"/>
                <w:kern w:val="0"/>
                <w:sz w:val="24"/>
              </w:rPr>
            </w:pPr>
            <w:r>
              <w:rPr>
                <w:rFonts w:hint="eastAsia" w:ascii="宋体" w:hAnsi="宋体" w:cs="宋体"/>
                <w:b/>
                <w:color w:val="000000"/>
                <w:kern w:val="0"/>
                <w:sz w:val="24"/>
              </w:rPr>
              <w:t>序号</w:t>
            </w:r>
          </w:p>
        </w:tc>
        <w:tc>
          <w:tcPr>
            <w:tcW w:w="269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产品分类</w:t>
            </w:r>
          </w:p>
        </w:tc>
        <w:tc>
          <w:tcPr>
            <w:tcW w:w="3402"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子系统名称</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数量（套）</w:t>
            </w:r>
          </w:p>
        </w:tc>
      </w:tr>
      <w:tr>
        <w:tblPrEx>
          <w:tblCellMar>
            <w:top w:w="0" w:type="dxa"/>
            <w:left w:w="108" w:type="dxa"/>
            <w:bottom w:w="0" w:type="dxa"/>
            <w:right w:w="108" w:type="dxa"/>
          </w:tblCellMar>
        </w:tblPrEx>
        <w:trPr>
          <w:gridAfter w:val="1"/>
          <w:wAfter w:w="1134" w:type="dxa"/>
          <w:trHeight w:val="285"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2693"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临床信息系统</w:t>
            </w:r>
          </w:p>
        </w:tc>
        <w:tc>
          <w:tcPr>
            <w:tcW w:w="3402"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color w:val="000000"/>
                <w:kern w:val="0"/>
                <w:sz w:val="24"/>
              </w:rPr>
            </w:pPr>
            <w:r>
              <w:rPr>
                <w:rFonts w:hint="eastAsia" w:ascii="宋体" w:hAnsi="宋体" w:cs="宋体"/>
                <w:color w:val="000000"/>
                <w:kern w:val="0"/>
                <w:sz w:val="24"/>
              </w:rPr>
              <w:t>临床路径管理系统</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269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电子病历系统</w:t>
            </w:r>
          </w:p>
        </w:tc>
        <w:tc>
          <w:tcPr>
            <w:tcW w:w="3402"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color w:val="000000"/>
                <w:kern w:val="0"/>
                <w:sz w:val="24"/>
              </w:rPr>
            </w:pPr>
            <w:r>
              <w:rPr>
                <w:rFonts w:hint="eastAsia" w:ascii="宋体" w:hAnsi="宋体" w:cs="宋体"/>
                <w:color w:val="000000"/>
                <w:kern w:val="0"/>
                <w:sz w:val="24"/>
              </w:rPr>
              <w:t>门急诊电子病历系统</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vMerge w:val="continue"/>
            <w:tcBorders>
              <w:left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p>
        </w:tc>
        <w:tc>
          <w:tcPr>
            <w:tcW w:w="2693"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000000"/>
                <w:kern w:val="0"/>
                <w:sz w:val="24"/>
              </w:rPr>
            </w:pPr>
          </w:p>
        </w:tc>
        <w:tc>
          <w:tcPr>
            <w:tcW w:w="3402"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color w:val="000000"/>
                <w:kern w:val="0"/>
                <w:sz w:val="24"/>
              </w:rPr>
            </w:pPr>
            <w:r>
              <w:rPr>
                <w:rFonts w:hint="eastAsia" w:ascii="宋体" w:hAnsi="宋体" w:cs="宋体"/>
                <w:color w:val="000000"/>
                <w:kern w:val="0"/>
                <w:sz w:val="24"/>
              </w:rPr>
              <w:t>住院电子病历系统</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vMerge w:val="continue"/>
            <w:tcBorders>
              <w:left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p>
        </w:tc>
        <w:tc>
          <w:tcPr>
            <w:tcW w:w="2693"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000000"/>
                <w:kern w:val="0"/>
                <w:sz w:val="24"/>
              </w:rPr>
            </w:pPr>
          </w:p>
        </w:tc>
        <w:tc>
          <w:tcPr>
            <w:tcW w:w="3402"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color w:val="000000"/>
                <w:kern w:val="0"/>
                <w:sz w:val="24"/>
              </w:rPr>
            </w:pPr>
            <w:r>
              <w:rPr>
                <w:rFonts w:hint="eastAsia" w:ascii="宋体" w:hAnsi="宋体" w:cs="宋体"/>
                <w:color w:val="000000"/>
                <w:kern w:val="0"/>
                <w:sz w:val="24"/>
              </w:rPr>
              <w:t xml:space="preserve">电子病历质控系统 </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p>
        </w:tc>
        <w:tc>
          <w:tcPr>
            <w:tcW w:w="2693"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000000"/>
                <w:kern w:val="0"/>
                <w:sz w:val="24"/>
              </w:rPr>
            </w:pPr>
          </w:p>
        </w:tc>
        <w:tc>
          <w:tcPr>
            <w:tcW w:w="3402" w:type="dxa"/>
            <w:tcBorders>
              <w:top w:val="nil"/>
              <w:left w:val="nil"/>
              <w:bottom w:val="single" w:color="auto" w:sz="4" w:space="0"/>
              <w:right w:val="single" w:color="auto" w:sz="4" w:space="0"/>
            </w:tcBorders>
            <w:shd w:val="clear" w:color="auto" w:fill="auto"/>
            <w:noWrap/>
            <w:vAlign w:val="center"/>
          </w:tcPr>
          <w:p>
            <w:pPr>
              <w:widowControl/>
              <w:spacing w:line="360" w:lineRule="auto"/>
              <w:jc w:val="left"/>
              <w:rPr>
                <w:rFonts w:ascii="宋体" w:hAnsi="宋体" w:cs="宋体"/>
                <w:color w:val="000000"/>
                <w:kern w:val="0"/>
                <w:sz w:val="24"/>
              </w:rPr>
            </w:pPr>
            <w:r>
              <w:rPr>
                <w:rFonts w:hint="eastAsia" w:ascii="宋体" w:hAnsi="宋体" w:cs="宋体"/>
                <w:color w:val="000000"/>
                <w:kern w:val="0"/>
                <w:sz w:val="24"/>
              </w:rPr>
              <w:t>电子病历授权体系</w:t>
            </w:r>
          </w:p>
        </w:tc>
        <w:tc>
          <w:tcPr>
            <w:tcW w:w="1843"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3</w:t>
            </w:r>
          </w:p>
        </w:tc>
        <w:tc>
          <w:tcPr>
            <w:tcW w:w="2693" w:type="dxa"/>
            <w:tcBorders>
              <w:top w:val="single" w:color="auto" w:sz="4" w:space="0"/>
              <w:left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医疗管理系统</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r>
              <w:rPr>
                <w:rFonts w:hint="eastAsia" w:ascii="宋体" w:hAnsi="宋体" w:cs="宋体"/>
                <w:kern w:val="0"/>
                <w:sz w:val="24"/>
              </w:rPr>
              <w:t>病案首页质量控制系统</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r>
      <w:tr>
        <w:tblPrEx>
          <w:tblCellMar>
            <w:top w:w="0" w:type="dxa"/>
            <w:left w:w="108" w:type="dxa"/>
            <w:bottom w:w="0" w:type="dxa"/>
            <w:right w:w="108" w:type="dxa"/>
          </w:tblCellMar>
        </w:tblPrEx>
        <w:trPr>
          <w:trHeight w:val="285" w:hRule="atLeast"/>
        </w:trPr>
        <w:tc>
          <w:tcPr>
            <w:tcW w:w="704" w:type="dxa"/>
            <w:vMerge w:val="restart"/>
            <w:tcBorders>
              <w:top w:val="nil"/>
              <w:left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4</w:t>
            </w:r>
          </w:p>
        </w:tc>
        <w:tc>
          <w:tcPr>
            <w:tcW w:w="2693" w:type="dxa"/>
            <w:vMerge w:val="restart"/>
            <w:tcBorders>
              <w:top w:val="single" w:color="auto" w:sz="4" w:space="0"/>
              <w:left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医疗辅助系统</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r>
              <w:rPr>
                <w:rFonts w:hint="eastAsia" w:ascii="宋体" w:hAnsi="宋体" w:cs="宋体"/>
                <w:kern w:val="0"/>
                <w:sz w:val="24"/>
              </w:rPr>
              <w:t>治疗系统</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134" w:type="dxa"/>
            <w:vAlign w:val="center"/>
          </w:tcPr>
          <w:p>
            <w:pPr>
              <w:widowControl/>
              <w:spacing w:line="360" w:lineRule="auto"/>
              <w:jc w:val="left"/>
              <w:rPr>
                <w:rFonts w:ascii="宋体" w:hAnsi="宋体" w:cs="宋体"/>
                <w:sz w:val="24"/>
              </w:rPr>
            </w:pPr>
          </w:p>
        </w:tc>
      </w:tr>
      <w:tr>
        <w:tblPrEx>
          <w:tblCellMar>
            <w:top w:w="0" w:type="dxa"/>
            <w:left w:w="108" w:type="dxa"/>
            <w:bottom w:w="0" w:type="dxa"/>
            <w:right w:w="108" w:type="dxa"/>
          </w:tblCellMar>
        </w:tblPrEx>
        <w:trPr>
          <w:gridAfter w:val="1"/>
          <w:wAfter w:w="1134" w:type="dxa"/>
          <w:trHeight w:val="285" w:hRule="atLeast"/>
        </w:trPr>
        <w:tc>
          <w:tcPr>
            <w:tcW w:w="704" w:type="dxa"/>
            <w:vMerge w:val="continue"/>
            <w:tcBorders>
              <w:left w:val="single" w:color="auto" w:sz="4" w:space="0"/>
              <w:right w:val="single" w:color="auto" w:sz="4" w:space="0"/>
            </w:tcBorders>
            <w:shd w:val="clear" w:color="auto" w:fill="auto"/>
            <w:noWrap/>
            <w:vAlign w:val="center"/>
          </w:tcPr>
          <w:p>
            <w:pPr>
              <w:widowControl/>
              <w:spacing w:line="360" w:lineRule="auto"/>
              <w:jc w:val="right"/>
              <w:rPr>
                <w:rFonts w:ascii="宋体" w:hAnsi="宋体" w:cs="宋体"/>
                <w:kern w:val="0"/>
                <w:sz w:val="24"/>
              </w:rPr>
            </w:pPr>
          </w:p>
        </w:tc>
        <w:tc>
          <w:tcPr>
            <w:tcW w:w="2693" w:type="dxa"/>
            <w:vMerge w:val="continue"/>
            <w:tcBorders>
              <w:left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r>
              <w:rPr>
                <w:rFonts w:hint="eastAsia" w:ascii="宋体" w:hAnsi="宋体" w:cs="宋体"/>
                <w:kern w:val="0"/>
                <w:sz w:val="24"/>
              </w:rPr>
              <w:t>检查系统</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r>
      <w:tr>
        <w:tblPrEx>
          <w:tblCellMar>
            <w:top w:w="0" w:type="dxa"/>
            <w:left w:w="108" w:type="dxa"/>
            <w:bottom w:w="0" w:type="dxa"/>
            <w:right w:w="108" w:type="dxa"/>
          </w:tblCellMar>
        </w:tblPrEx>
        <w:trPr>
          <w:gridAfter w:val="1"/>
          <w:wAfter w:w="1134" w:type="dxa"/>
          <w:trHeight w:val="285" w:hRule="atLeast"/>
        </w:trPr>
        <w:tc>
          <w:tcPr>
            <w:tcW w:w="704" w:type="dxa"/>
            <w:vMerge w:val="continue"/>
            <w:tcBorders>
              <w:left w:val="single" w:color="auto" w:sz="4" w:space="0"/>
              <w:right w:val="single" w:color="auto" w:sz="4" w:space="0"/>
            </w:tcBorders>
            <w:shd w:val="clear" w:color="auto" w:fill="auto"/>
            <w:noWrap/>
            <w:vAlign w:val="center"/>
          </w:tcPr>
          <w:p>
            <w:pPr>
              <w:widowControl/>
              <w:spacing w:line="360" w:lineRule="auto"/>
              <w:jc w:val="right"/>
              <w:rPr>
                <w:rFonts w:ascii="宋体" w:hAnsi="宋体" w:cs="宋体"/>
                <w:kern w:val="0"/>
                <w:sz w:val="24"/>
              </w:rPr>
            </w:pPr>
          </w:p>
        </w:tc>
        <w:tc>
          <w:tcPr>
            <w:tcW w:w="2693" w:type="dxa"/>
            <w:vMerge w:val="continue"/>
            <w:tcBorders>
              <w:left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r>
              <w:rPr>
                <w:rFonts w:hint="eastAsia" w:ascii="宋体" w:hAnsi="宋体" w:cs="宋体"/>
                <w:kern w:val="0"/>
                <w:sz w:val="24"/>
              </w:rPr>
              <w:t>手术麻醉管理系统</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r>
      <w:tr>
        <w:tblPrEx>
          <w:tblCellMar>
            <w:top w:w="0" w:type="dxa"/>
            <w:left w:w="108" w:type="dxa"/>
            <w:bottom w:w="0" w:type="dxa"/>
            <w:right w:w="108" w:type="dxa"/>
          </w:tblCellMar>
        </w:tblPrEx>
        <w:trPr>
          <w:gridAfter w:val="1"/>
          <w:wAfter w:w="1134" w:type="dxa"/>
          <w:trHeight w:val="70" w:hRule="atLeast"/>
        </w:trPr>
        <w:tc>
          <w:tcPr>
            <w:tcW w:w="704"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360" w:lineRule="auto"/>
              <w:jc w:val="right"/>
              <w:rPr>
                <w:rFonts w:ascii="宋体" w:hAnsi="宋体" w:cs="宋体"/>
                <w:kern w:val="0"/>
                <w:sz w:val="24"/>
              </w:rPr>
            </w:pPr>
          </w:p>
        </w:tc>
        <w:tc>
          <w:tcPr>
            <w:tcW w:w="2693" w:type="dxa"/>
            <w:vMerge w:val="continue"/>
            <w:tcBorders>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cs="宋体"/>
                <w:kern w:val="0"/>
                <w:sz w:val="24"/>
              </w:rPr>
            </w:pPr>
            <w:r>
              <w:rPr>
                <w:rFonts w:hint="eastAsia" w:ascii="宋体" w:hAnsi="宋体" w:cs="宋体"/>
                <w:kern w:val="0"/>
                <w:sz w:val="24"/>
              </w:rPr>
              <w:t>电生理系统</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r>
      <w:tr>
        <w:tblPrEx>
          <w:tblCellMar>
            <w:top w:w="0" w:type="dxa"/>
            <w:left w:w="108" w:type="dxa"/>
            <w:bottom w:w="0" w:type="dxa"/>
            <w:right w:w="108" w:type="dxa"/>
          </w:tblCellMar>
        </w:tblPrEx>
        <w:trPr>
          <w:gridAfter w:val="1"/>
          <w:wAfter w:w="1134" w:type="dxa"/>
          <w:trHeight w:val="70" w:hRule="atLeast"/>
        </w:trPr>
        <w:tc>
          <w:tcPr>
            <w:tcW w:w="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right"/>
              <w:rPr>
                <w:rFonts w:ascii="宋体" w:hAnsi="宋体" w:cs="宋体"/>
                <w:kern w:val="0"/>
                <w:sz w:val="24"/>
              </w:rPr>
            </w:pPr>
            <w:r>
              <w:rPr>
                <w:rFonts w:hint="eastAsia" w:ascii="宋体" w:hAnsi="宋体" w:cs="宋体"/>
                <w:kern w:val="0"/>
                <w:sz w:val="24"/>
              </w:rPr>
              <w:t>5</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服务</w:t>
            </w:r>
            <w:r>
              <w:rPr>
                <w:rFonts w:ascii="宋体" w:hAnsi="宋体" w:cs="宋体"/>
                <w:kern w:val="0"/>
                <w:sz w:val="24"/>
              </w:rPr>
              <w:t>器</w:t>
            </w:r>
          </w:p>
        </w:tc>
        <w:tc>
          <w:tcPr>
            <w:tcW w:w="3402"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hint="eastAsia" w:ascii="宋体" w:hAnsi="宋体" w:cs="宋体"/>
                <w:kern w:val="0"/>
                <w:sz w:val="24"/>
              </w:rPr>
            </w:pPr>
            <w:r>
              <w:rPr>
                <w:rFonts w:hint="eastAsia" w:ascii="宋体" w:hAnsi="宋体" w:cs="宋体"/>
                <w:kern w:val="0"/>
                <w:sz w:val="24"/>
              </w:rPr>
              <w:t>标准</w:t>
            </w:r>
            <w:r>
              <w:rPr>
                <w:rFonts w:ascii="宋体" w:hAnsi="宋体" w:cs="宋体"/>
                <w:kern w:val="0"/>
                <w:sz w:val="24"/>
              </w:rPr>
              <w:t>2U机架式服务器，配置2颗Intel Xeon Gold 5218(2.3GHz/16C)处理器，128GB（4×32GB） Registered DDR4内存，板载内存插槽24个；配置5块1.2T 10000转企业级热插拔SAS硬盘，配置独立8通道2G缓存高性能SAS RAID卡；配置4个高性能千兆网口、1个独立管理千兆网口；集成系统管理芯片，提供远程管理、远程诊断功能以及KVM OVER IP功能，支持IPMI2.0；配置1+1冗余电源，机架安装导轨及电源线，含SLIM DVD光驱；提供原厂三年免费</w:t>
            </w:r>
            <w:r>
              <w:rPr>
                <w:rFonts w:hint="eastAsia" w:ascii="宋体" w:hAnsi="宋体" w:cs="宋体"/>
                <w:kern w:val="0"/>
                <w:sz w:val="24"/>
              </w:rPr>
              <w:t>整机硬件保修，本地原厂工程师上门设备安装调试服务</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4</w:t>
            </w:r>
          </w:p>
        </w:tc>
      </w:tr>
    </w:tbl>
    <w:p>
      <w:pPr>
        <w:pStyle w:val="3"/>
        <w:spacing w:line="360" w:lineRule="auto"/>
        <w:ind w:firstLine="241" w:firstLineChars="100"/>
        <w:rPr>
          <w:rFonts w:ascii="宋体" w:hAnsi="宋体" w:eastAsia="宋体" w:cs="宋体"/>
          <w:sz w:val="24"/>
        </w:rPr>
      </w:pPr>
      <w:bookmarkStart w:id="110" w:name="_Toc2953"/>
      <w:bookmarkStart w:id="111" w:name="_Toc50546485"/>
      <w:bookmarkStart w:id="112" w:name="_Toc19352"/>
      <w:r>
        <w:rPr>
          <w:rFonts w:hint="eastAsia" w:ascii="宋体" w:hAnsi="宋体" w:eastAsia="宋体" w:cs="宋体"/>
          <w:sz w:val="24"/>
        </w:rPr>
        <w:t>（四）应用软件模块技术参数：</w:t>
      </w:r>
      <w:bookmarkEnd w:id="110"/>
      <w:bookmarkEnd w:id="111"/>
      <w:bookmarkEnd w:id="112"/>
    </w:p>
    <w:p>
      <w:pPr>
        <w:spacing w:line="360" w:lineRule="auto"/>
        <w:ind w:firstLine="480" w:firstLineChars="200"/>
        <w:rPr>
          <w:rFonts w:ascii="宋体" w:hAnsi="宋体" w:cs="宋体"/>
          <w:sz w:val="24"/>
        </w:rPr>
      </w:pPr>
      <w:r>
        <w:rPr>
          <w:rFonts w:hint="eastAsia" w:ascii="宋体" w:hAnsi="宋体" w:cs="宋体"/>
          <w:sz w:val="24"/>
        </w:rPr>
        <w:t>整体要求：</w:t>
      </w:r>
    </w:p>
    <w:p>
      <w:pPr>
        <w:spacing w:line="360" w:lineRule="auto"/>
        <w:ind w:left="479" w:leftChars="228"/>
        <w:rPr>
          <w:rFonts w:ascii="宋体" w:hAnsi="宋体" w:cs="宋体"/>
          <w:sz w:val="24"/>
        </w:rPr>
      </w:pPr>
      <w:r>
        <w:rPr>
          <w:rFonts w:hint="eastAsia" w:ascii="宋体" w:hAnsi="宋体" w:cs="宋体"/>
          <w:sz w:val="24"/>
        </w:rPr>
        <w:t>所有软件用户数量≥500，最大并发用户数≥500，软件操作响应时间≤1秒；</w:t>
      </w:r>
      <w:bookmarkStart w:id="113" w:name="_Toc50546486"/>
      <w:bookmarkStart w:id="114" w:name="_Toc369701333"/>
      <w:r>
        <w:rPr>
          <w:rFonts w:hint="eastAsia" w:ascii="宋体" w:hAnsi="宋体" w:cs="宋体"/>
          <w:b/>
          <w:bCs/>
          <w:sz w:val="24"/>
        </w:rPr>
        <w:t>4.1临床路径管理系统</w:t>
      </w:r>
      <w:bookmarkEnd w:id="113"/>
    </w:p>
    <w:p>
      <w:pPr>
        <w:spacing w:line="360" w:lineRule="auto"/>
        <w:ind w:firstLine="480" w:firstLineChars="200"/>
        <w:rPr>
          <w:rFonts w:ascii="宋体" w:hAnsi="宋体" w:cs="宋体"/>
          <w:sz w:val="24"/>
        </w:rPr>
      </w:pPr>
      <w:r>
        <w:rPr>
          <w:rFonts w:hint="eastAsia" w:ascii="宋体" w:hAnsi="宋体" w:cs="宋体"/>
          <w:sz w:val="24"/>
        </w:rPr>
        <w:t>临床路径管理系统是医生、护士及其他专业人员针对某个病种或手术所指定的有工作顺序和准确时间要求的程序化、标准化的诊疗计划管理系统，协助医疗机构规范医疗行为、降低医疗风险、提高医疗质量、减少医疗费用。</w:t>
      </w:r>
      <w:bookmarkStart w:id="115" w:name="_Toc376683469"/>
      <w:bookmarkStart w:id="116" w:name="_Toc50546487"/>
    </w:p>
    <w:p>
      <w:pPr>
        <w:spacing w:line="360" w:lineRule="auto"/>
        <w:ind w:firstLine="482" w:firstLineChars="200"/>
        <w:rPr>
          <w:rFonts w:ascii="宋体" w:hAnsi="宋体" w:cs="宋体"/>
          <w:b/>
          <w:bCs/>
          <w:sz w:val="24"/>
        </w:rPr>
      </w:pPr>
      <w:r>
        <w:rPr>
          <w:rFonts w:hint="eastAsia" w:ascii="宋体" w:hAnsi="宋体" w:cs="宋体"/>
          <w:b/>
          <w:bCs/>
          <w:sz w:val="24"/>
        </w:rPr>
        <w:t>4.1.1路径设计</w:t>
      </w:r>
      <w:bookmarkEnd w:id="115"/>
      <w:bookmarkEnd w:id="116"/>
    </w:p>
    <w:p>
      <w:pPr>
        <w:tabs>
          <w:tab w:val="left" w:pos="1260"/>
        </w:tabs>
        <w:spacing w:line="360" w:lineRule="auto"/>
        <w:ind w:firstLine="482" w:firstLineChars="200"/>
        <w:rPr>
          <w:rFonts w:ascii="宋体" w:hAnsi="宋体" w:cs="宋体"/>
          <w:b/>
          <w:sz w:val="24"/>
        </w:rPr>
      </w:pPr>
      <w:r>
        <w:rPr>
          <w:rFonts w:hint="eastAsia" w:ascii="宋体" w:hAnsi="宋体" w:cs="宋体"/>
          <w:b/>
          <w:sz w:val="24"/>
        </w:rPr>
        <w:t>一体化设计：</w:t>
      </w:r>
      <w:r>
        <w:rPr>
          <w:rFonts w:hint="eastAsia" w:ascii="宋体" w:hAnsi="宋体" w:cs="宋体"/>
          <w:sz w:val="24"/>
        </w:rPr>
        <w:t>系统符合临床业务本身的特点，与HIS/CIS/EPR等系统一体化设计，信息天然共享，确保医护人员能够以最少的操作完成临床路径及相关业务的处理，同时为后续的数据分析提供了极大的便利</w:t>
      </w:r>
    </w:p>
    <w:p>
      <w:pPr>
        <w:tabs>
          <w:tab w:val="left" w:pos="1260"/>
        </w:tabs>
        <w:spacing w:line="360" w:lineRule="auto"/>
        <w:ind w:firstLine="482" w:firstLineChars="200"/>
        <w:rPr>
          <w:rFonts w:ascii="宋体" w:hAnsi="宋体" w:cs="宋体"/>
          <w:sz w:val="24"/>
        </w:rPr>
      </w:pPr>
      <w:r>
        <w:rPr>
          <w:rFonts w:hint="eastAsia" w:ascii="宋体" w:hAnsi="宋体" w:cs="宋体"/>
          <w:b/>
          <w:sz w:val="24"/>
        </w:rPr>
        <w:t>使用者身份判断：</w:t>
      </w:r>
      <w:r>
        <w:rPr>
          <w:rFonts w:hint="eastAsia" w:ascii="宋体" w:hAnsi="宋体" w:cs="宋体"/>
          <w:sz w:val="24"/>
        </w:rPr>
        <w:t>系统根据执行者身份自动进行事务判断，并显示相关的信息，确保医护人员各司其职，分工配合完成路径工作。</w:t>
      </w:r>
    </w:p>
    <w:p>
      <w:pPr>
        <w:tabs>
          <w:tab w:val="left" w:pos="1260"/>
        </w:tabs>
        <w:spacing w:line="360" w:lineRule="auto"/>
        <w:ind w:firstLine="482" w:firstLineChars="200"/>
        <w:rPr>
          <w:rFonts w:ascii="宋体" w:hAnsi="宋体" w:cs="宋体"/>
          <w:sz w:val="24"/>
        </w:rPr>
      </w:pPr>
      <w:r>
        <w:rPr>
          <w:rFonts w:hint="eastAsia" w:ascii="宋体" w:hAnsi="宋体" w:cs="宋体"/>
          <w:b/>
          <w:sz w:val="24"/>
        </w:rPr>
        <w:t>分支/备用路径管理：</w:t>
      </w:r>
      <w:r>
        <w:rPr>
          <w:rFonts w:hint="eastAsia" w:ascii="宋体" w:hAnsi="宋体" w:cs="宋体"/>
          <w:sz w:val="24"/>
        </w:rPr>
        <w:t>充分满足在遵循路径表整体要求的前提下，满足并发症、局部治疗措施不确定等情况，发挥医生的主观能动性。</w:t>
      </w:r>
    </w:p>
    <w:p>
      <w:pPr>
        <w:tabs>
          <w:tab w:val="left" w:pos="1260"/>
        </w:tabs>
        <w:spacing w:line="360" w:lineRule="auto"/>
        <w:ind w:firstLine="482" w:firstLineChars="200"/>
        <w:rPr>
          <w:rFonts w:ascii="宋体" w:hAnsi="宋体" w:cs="宋体"/>
          <w:b/>
          <w:sz w:val="24"/>
        </w:rPr>
      </w:pPr>
      <w:r>
        <w:rPr>
          <w:rFonts w:hint="eastAsia" w:ascii="宋体" w:hAnsi="宋体" w:cs="宋体"/>
          <w:b/>
          <w:sz w:val="24"/>
        </w:rPr>
        <w:t>路径范围最小可以到小时为单位。</w:t>
      </w:r>
      <w:bookmarkStart w:id="117" w:name="_Toc376683470"/>
      <w:bookmarkStart w:id="118" w:name="_Toc50546488"/>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4.1.2病种管理</w:t>
      </w:r>
      <w:bookmarkEnd w:id="117"/>
      <w:bookmarkEnd w:id="118"/>
    </w:p>
    <w:p>
      <w:pPr>
        <w:tabs>
          <w:tab w:val="left" w:pos="1260"/>
        </w:tabs>
        <w:spacing w:line="360" w:lineRule="auto"/>
        <w:ind w:firstLine="480" w:firstLineChars="200"/>
        <w:rPr>
          <w:rFonts w:ascii="宋体" w:hAnsi="宋体" w:cs="宋体"/>
          <w:sz w:val="24"/>
        </w:rPr>
      </w:pPr>
      <w:r>
        <w:rPr>
          <w:rFonts w:hint="eastAsia" w:ascii="宋体" w:hAnsi="宋体" w:cs="宋体"/>
          <w:sz w:val="24"/>
        </w:rPr>
        <w:t>支持新增、修改、删除临床路径病种，支持按ICD、病例分型、病情、性别、年龄段等设置路径进入条件，确保路径的“对症”应用；支持标准住院日和费用设置，体现路径应用的本质目的。</w:t>
      </w:r>
      <w:bookmarkStart w:id="119" w:name="_Toc376683471"/>
      <w:bookmarkStart w:id="120" w:name="_Toc50546489"/>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4.1.3文档管理</w:t>
      </w:r>
      <w:bookmarkEnd w:id="119"/>
      <w:bookmarkEnd w:id="120"/>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▪可将相关标准文档作为附件，在路径执行过程中给管理人员提供更多的规范参考。</w:t>
      </w:r>
      <w:bookmarkStart w:id="121" w:name="_Toc376683472"/>
      <w:bookmarkStart w:id="122" w:name="_Toc50546490"/>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4.1.4路径版本管理</w:t>
      </w:r>
      <w:bookmarkEnd w:id="121"/>
      <w:bookmarkEnd w:id="122"/>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▪在某一病种的路径表已经启用的情况下，可以调整并生成该病种新版的路径表，不影响现有径的执行，新入院的病人则可应用新版本的路径表。</w:t>
      </w:r>
      <w:bookmarkStart w:id="123" w:name="_Toc50546491"/>
      <w:bookmarkStart w:id="124" w:name="_Toc376683473"/>
    </w:p>
    <w:p>
      <w:pPr>
        <w:tabs>
          <w:tab w:val="left" w:pos="1260"/>
        </w:tabs>
        <w:spacing w:line="360" w:lineRule="auto"/>
        <w:ind w:firstLine="482" w:firstLineChars="200"/>
        <w:rPr>
          <w:rFonts w:ascii="宋体" w:hAnsi="宋体" w:cs="宋体"/>
          <w:sz w:val="24"/>
        </w:rPr>
      </w:pPr>
      <w:r>
        <w:rPr>
          <w:rFonts w:hint="eastAsia" w:ascii="宋体" w:hAnsi="宋体" w:cs="宋体"/>
          <w:b/>
          <w:bCs/>
          <w:sz w:val="24"/>
        </w:rPr>
        <w:t>4.1.5路径执行</w:t>
      </w:r>
      <w:bookmarkEnd w:id="123"/>
      <w:bookmarkEnd w:id="124"/>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▪自动提示入径：一旦病人确诊，系统根据其诊断自动提示导入相应的临床路径，有效提高入径率</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▪严格评估：进入、阶段、变异和结束均有评估环节，确保任何重要操作都有相应的依据和记录，有效地保证了路径执行的规范性和严肃性</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▪自动生成路径项目：与HIS、CIS一体化设计，自动生成该病种的路径项目，包括医嘱、病历模板等，而无需在其它系统中再次录入，既大量节省了医护人员的操作时间，也能确保严格按照路径所规定的项目执行</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▪支持自定义医嘱生成顺序：方便医护人员根据管理要求或工作习惯进行操作</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▪严格的医嘱管理：路径病人不能随意下达医嘱，如果确实需要下达路径外医嘱，则必须说明原因，确保路径的规范性</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▪支持移动应用：医护人员在移动环境下也能及时共享路径信息，尤其是方便医生查房时了解路径的执行进展情况</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▪支持患者版路径表：为医患沟通提供更多信息支持，使患者能够更好地配合路径工作的执行，提高满意度</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▪提供费用估算功能：可根据路径项目内容准确估算后续治疗费用，使医护患三方都能准确掌握费用情况</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▪出径登记：出路径必须完成《出径登记表》，以便满足后续的数据统计分析、上报等工作需要</w:t>
      </w:r>
      <w:bookmarkStart w:id="125" w:name="_Toc336591149"/>
      <w:bookmarkStart w:id="126" w:name="_Toc376683474"/>
      <w:bookmarkStart w:id="127" w:name="_Toc50546492"/>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4.1.6变异</w:t>
      </w:r>
      <w:bookmarkEnd w:id="125"/>
      <w:r>
        <w:rPr>
          <w:rFonts w:hint="eastAsia" w:ascii="宋体" w:hAnsi="宋体" w:cs="宋体"/>
          <w:b/>
          <w:bCs/>
          <w:sz w:val="24"/>
        </w:rPr>
        <w:t>处理</w:t>
      </w:r>
      <w:bookmarkEnd w:id="126"/>
      <w:bookmarkEnd w:id="127"/>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▪支持中途入径：支持病人从路径的中间某一阶段进入路径，从而很好地解决由于未能及时确诊带来的路径执行困难问题</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▪路径外项目管理： 充分考虑路径执行过程中的灵活性，在权限允许、记录原因的前提下允许医生下达路径外项目，并可进行相应的统计分析等</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▪支持可选的路径项目：允许医生在一定范围内选择实际生成的路径项目（即定义为可选执行的项目，例如同名称不同规格的药品，或者已经执行过的检查等），进一步保证了在实际业务操作中的可用性：</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▪提供路径跳转功能：支持病种、路径之间的相互跳转，解决由于误诊、并发症等带来的路径无法执行问题，降低变异率</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▪提供阶段提前、延后功能：支持将路径表单中的某些阶段提前或延后执行，以充分满足病人病情变化、手术延迟等情况</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▪并发症和合并症，支持路径合并执行功能</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提供多种评估选项：提供包括正常、变异后继续、变异后退出和变异后结束等多种选项，使医生能够从容面对路径执行过程中可能出现的各种复杂状况，同时在进行变异或路径等操作时必须说明原因，以利事后统计分析</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▪严格的权限控制：变异和结束路径等操作受单独的权限控制，确保不能由于人为原因随意退出路径的执行</w:t>
      </w:r>
      <w:bookmarkStart w:id="128" w:name="_Toc50546493"/>
      <w:bookmarkStart w:id="129" w:name="_Toc376683475"/>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4.1.7路径表单审核管理</w:t>
      </w:r>
      <w:bookmarkEnd w:id="128"/>
      <w:bookmarkEnd w:id="129"/>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▪路径表单必须通过审核才能生效，避免由于个人随意修改破坏路径的规范性。</w:t>
      </w:r>
      <w:bookmarkStart w:id="130" w:name="_Toc50546494"/>
      <w:bookmarkStart w:id="131" w:name="_Toc376683476"/>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4.1.8在线跟踪</w:t>
      </w:r>
      <w:bookmarkEnd w:id="130"/>
      <w:bookmarkEnd w:id="131"/>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▪相关管理部门可以实时在线跟踪路径执行情况，路径版本、执行进度、费用、变异、相关人员等各种情况一目了然。</w:t>
      </w:r>
      <w:bookmarkStart w:id="132" w:name="_Toc376683477"/>
      <w:bookmarkStart w:id="133" w:name="_Toc50546495"/>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4.1.9统计分析</w:t>
      </w:r>
      <w:bookmarkEnd w:id="132"/>
      <w:bookmarkEnd w:id="133"/>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▪变异原因分析：包括对路径未导入、未生成、路径外项目、时间变异、变异退出原因等各种情况的图形化分析</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▪概况分析：包括对路径完成情况、阶段平均费用、住院日分布等情况的图形化分析</w:t>
      </w:r>
    </w:p>
    <w:p>
      <w:pPr>
        <w:tabs>
          <w:tab w:val="left" w:pos="1260"/>
        </w:tabs>
        <w:spacing w:line="360" w:lineRule="auto"/>
        <w:ind w:left="482" w:firstLine="480" w:firstLineChars="200"/>
        <w:rPr>
          <w:rFonts w:ascii="宋体" w:hAnsi="宋体" w:cs="宋体"/>
          <w:sz w:val="24"/>
        </w:rPr>
      </w:pPr>
      <w:r>
        <w:rPr>
          <w:rFonts w:hint="eastAsia" w:ascii="宋体" w:hAnsi="宋体" w:cs="宋体"/>
          <w:sz w:val="24"/>
        </w:rPr>
        <w:t>▪单病种非特异性指标统计表：提供符合主管部门要求的统计报表，满足数据上报需要。</w:t>
      </w:r>
      <w:bookmarkStart w:id="134" w:name="_Toc50546496"/>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4.2电子病历系统</w:t>
      </w:r>
      <w:bookmarkEnd w:id="134"/>
      <w:bookmarkStart w:id="135" w:name="_Toc50546497"/>
    </w:p>
    <w:p>
      <w:pPr>
        <w:tabs>
          <w:tab w:val="left" w:pos="1260"/>
        </w:tabs>
        <w:spacing w:line="360" w:lineRule="auto"/>
        <w:ind w:firstLine="482" w:firstLineChars="200"/>
        <w:rPr>
          <w:rFonts w:ascii="宋体" w:hAnsi="宋体" w:cs="宋体"/>
          <w:b/>
          <w:bCs/>
          <w:sz w:val="24"/>
        </w:rPr>
      </w:pPr>
      <w:r>
        <w:rPr>
          <w:rFonts w:hint="eastAsia" w:ascii="宋体" w:hAnsi="宋体" w:cs="宋体"/>
          <w:b/>
          <w:bCs/>
          <w:sz w:val="24"/>
        </w:rPr>
        <w:t>4.2.1门急诊电子病历系统</w:t>
      </w:r>
      <w:bookmarkEnd w:id="135"/>
    </w:p>
    <w:p>
      <w:pPr>
        <w:tabs>
          <w:tab w:val="left" w:pos="465"/>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lang w:val="zh-CN"/>
        </w:rPr>
        <w:t>用于以电子化和结构化方式编辑门急诊病历文件，辅助医生完成病历书写过程的管理系统,基本功能如下：</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自动获取病人基本信息，并能进行编辑</w:t>
      </w:r>
    </w:p>
    <w:p>
      <w:pPr>
        <w:tabs>
          <w:tab w:val="left" w:pos="1085"/>
        </w:tabs>
        <w:spacing w:line="360" w:lineRule="auto"/>
        <w:ind w:right="136" w:rightChars="65" w:firstLine="480" w:firstLineChars="200"/>
        <w:rPr>
          <w:rFonts w:ascii="宋体" w:hAnsi="宋体" w:cs="宋体"/>
          <w:sz w:val="24"/>
          <w:highlight w:val="yellow"/>
          <w:lang w:val="zh-CN"/>
        </w:rPr>
      </w:pPr>
      <w:r>
        <w:rPr>
          <w:rFonts w:hint="eastAsia" w:ascii="宋体" w:hAnsi="宋体" w:cs="宋体"/>
          <w:sz w:val="24"/>
        </w:rPr>
        <w:t>▪</w:t>
      </w:r>
      <w:r>
        <w:rPr>
          <w:rFonts w:hint="eastAsia" w:ascii="宋体" w:hAnsi="宋体" w:cs="宋体"/>
          <w:sz w:val="24"/>
          <w:lang w:val="zh-CN"/>
        </w:rPr>
        <w:t>支持快速结构化录入，并可由医生进行个性化修改</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模板可分为大模板（全文）和小模板（段落、片段），并可以进行分级管理</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提供对模板使用的规则管理功能，如性别、病情、婚姻状况等条件限制</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系统能够支持多种录入方式，辅助医生录入，在临床的病历书写中能够方便医生灵活操作及经验积累。</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支持医疗文书的诊断中医采用国标、西医采用ICD-10及最新编码。</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系统能够快速查询LIS、RIS、PACS等报告，对于一些阳性值、异常值系统将自动标注提醒医生，同样医生能够直接将所需的报告数据插入到病历当中，减少了医生的工作量。</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采用一体化操作界面，所有功能在同一界面下完成，具有专用电子病历编辑器，编辑界面应达到所见即所得的效果。</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支持结构化书写与自由语言描述在同一界面下完成。</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实现医学术语、特殊符号等内容自定义动态的插入病历文书中。</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能将检验、检查数据插入到病历当中的任意位置。</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多媒体病历展现形式，能任意位置插入图形图像，并对图形图像作标注，表格的录入、编辑及打印。</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系统能够提供完善的模块，完善的模板库机制提供医生选择。系统更加支持医生自定义个性化模板的制作，对于全院模板的存放，系统将提供审核功能、权限相对高的医生提供修改功能等。</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lang w:val="zh-CN"/>
        </w:rPr>
        <w:t>▪系统完全支持在医疗文书中的特殊符号、特殊表格及图文并茂的操作，例如上下标、月经史、牙位标注等。</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系统能通过病历自查对病历中存在的错误能够及时提醒及规避，能够提高病历质量。</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支持临床工作提醒功能。</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lang w:val="zh-CN"/>
        </w:rPr>
        <w:t>▪支持医疗文书书写过程中常用的特殊符号集如：℃，℉，‰，㎡，mol等，提供上、下标功能：支持对文字的上下标功能。</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支持病历自动排版功能，提供打印、选择打印和续打功能。</w:t>
      </w:r>
    </w:p>
    <w:p>
      <w:pPr>
        <w:tabs>
          <w:tab w:val="left" w:pos="1085"/>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系统支持电子签名，目前系统已经和卫生行政管理部门所规定的电子签名认证机构有过成功集成案例，同样系统能够提供基于数字签名的解决方案。</w:t>
      </w:r>
      <w:bookmarkStart w:id="136" w:name="_Toc50546498"/>
    </w:p>
    <w:p>
      <w:pPr>
        <w:tabs>
          <w:tab w:val="left" w:pos="1085"/>
        </w:tabs>
        <w:spacing w:line="360" w:lineRule="auto"/>
        <w:ind w:right="136" w:rightChars="65" w:firstLine="482" w:firstLineChars="200"/>
        <w:rPr>
          <w:rFonts w:ascii="宋体" w:hAnsi="宋体" w:cs="宋体"/>
          <w:b/>
          <w:bCs/>
          <w:sz w:val="24"/>
        </w:rPr>
      </w:pPr>
      <w:r>
        <w:rPr>
          <w:rFonts w:hint="eastAsia" w:ascii="宋体" w:hAnsi="宋体" w:cs="宋体"/>
          <w:b/>
          <w:bCs/>
          <w:sz w:val="24"/>
        </w:rPr>
        <w:t>4.2.2住院电子病历系统</w:t>
      </w:r>
      <w:bookmarkEnd w:id="136"/>
    </w:p>
    <w:p>
      <w:pPr>
        <w:tabs>
          <w:tab w:val="left" w:pos="465"/>
          <w:tab w:val="left" w:pos="1085"/>
        </w:tabs>
        <w:spacing w:line="360" w:lineRule="auto"/>
        <w:ind w:right="136" w:rightChars="65" w:firstLine="480" w:firstLineChars="200"/>
        <w:rPr>
          <w:rFonts w:ascii="宋体" w:hAnsi="宋体" w:cs="宋体"/>
          <w:sz w:val="24"/>
        </w:rPr>
      </w:pPr>
      <w:r>
        <w:rPr>
          <w:rFonts w:hint="eastAsia" w:ascii="宋体" w:hAnsi="宋体" w:cs="宋体"/>
          <w:sz w:val="24"/>
        </w:rPr>
        <w:t>用于以电子化和结构化方式编辑住院病历文件，辅助医生完成病历书写过程的管理系统,基本功能如下:</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自动获取病人基本信息，并能进行编辑</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提供各类住院病历文件（含知情同意书）模板，如入院记录、首次病程、日常病程记录、上级医生查房记录、术前讨论、术前小结、手术记录、术后病程记录、诊疗操作记录、会诊记录、交班记录、死亡记录、出院小结等，支持全文和段落、词句等模板，支持快速结构化录入，并可由医生进行个性化修改</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模板可按全院、科室和个人进行分级管理</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提供对模板使用的规则管理功能，如性别、病情、婚姻状况等条件限制</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系统能够支持支持多种录入方式，辅助医生录入，在临床的病历书写中能够方便医生灵活操作及经验积累。</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支持医疗文书的诊断中医采用国标、西医采用ICD-10或最新编码。</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系统能够快速查询LIS、RIS、PACS等报告，对于一些阳性值、异常值系统将自动标注提醒医生，同样医生能够直接将所需的报告数据插入到病历当中，减少了医生的工作量。</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采用一体化操作界面，所有功能在同一界面下完成，具有专用电子病历编辑器，编辑界面应达到所见即所得的效果。</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支持结构化书写与自由语言描述在同一界面下完成。</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实现医学术语、特殊符号等内容自定义动态的插入病历文书中。</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能将检验、检查数据插入到病历当中的任意位置。</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多媒体病历展现形式，能任意位置插入图形图像，并对图形图像作标注，表格的录入、编辑及打印。</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支持多级审阅，医生按照等级，具有不同的修改权限，对于下级医生病历的修改，保留所见即所得的痕迹。</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系统能够提供完善的模块，完善的模板库机制提供医生选择。系统更加支持医生自定义个性化模板的制作，对于全院模板的存放，系统将提供审核功能、权限相对高的医生提供修改功能等。</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lang w:val="zh-CN"/>
        </w:rPr>
        <w:t>▪系统完全支持在医疗文书中多遇到特殊符号、特殊表格及图文并茂的操作，例如上下标、月经史、牙位标注等。</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系统能通过病历自查对病历中存在的错误能够及时提醒及规避，能够提高病历质量。</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支持临床工作提醒功能。</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支持医生可以对模板中的元素自行设定是否可以删除、必选。</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lang w:val="zh-CN"/>
        </w:rPr>
        <w:t>▪支持医疗文书书写过程中常用的特殊符号集如：℃，℉，‰，㎡，mol等，提供上、下标功能：支持对文字的上下标功能。</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支持病历自动排版功能，提供打印、选择打印和续打功能。</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电子病案库满期在线，并且存储和展示不需要依赖于任何数据库，具有可迁移性。</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实现单一权限书写，多人查看机制。在会诊时，只允许一个医生做书写操作，其他医生可以浏览病历。</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系统具有完善的医疗权限；支持修改痕迹保留功能；能够保证病历的原版真实性。</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系统支持电子签名，目前系统已经和卫生部所规定的电子签名认证机构有过成功集成案例，同样系统能够提供基于数字签名的解决方案。</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支持按病人信息、病历内容等条件检索查阅病历文件</w:t>
      </w:r>
    </w:p>
    <w:p>
      <w:pPr>
        <w:tabs>
          <w:tab w:val="left" w:pos="1085"/>
          <w:tab w:val="left" w:pos="1134"/>
        </w:tabs>
        <w:spacing w:line="360" w:lineRule="auto"/>
        <w:ind w:right="136" w:rightChars="65" w:firstLine="480" w:firstLineChars="200"/>
        <w:rPr>
          <w:rFonts w:ascii="宋体" w:hAnsi="宋体" w:cs="宋体"/>
          <w:sz w:val="24"/>
          <w:lang w:val="zh-CN"/>
        </w:rPr>
      </w:pPr>
      <w:r>
        <w:rPr>
          <w:rFonts w:hint="eastAsia" w:ascii="宋体" w:hAnsi="宋体" w:cs="宋体"/>
          <w:sz w:val="24"/>
        </w:rPr>
        <w:t>▪</w:t>
      </w:r>
      <w:r>
        <w:rPr>
          <w:rFonts w:hint="eastAsia" w:ascii="宋体" w:hAnsi="宋体" w:cs="宋体"/>
          <w:sz w:val="24"/>
          <w:lang w:val="zh-CN"/>
        </w:rPr>
        <w:t>可自定义归档时间，对电子病历进行归档</w:t>
      </w:r>
      <w:bookmarkStart w:id="137" w:name="_Toc50546499"/>
    </w:p>
    <w:p>
      <w:pPr>
        <w:tabs>
          <w:tab w:val="left" w:pos="1085"/>
          <w:tab w:val="left" w:pos="1134"/>
        </w:tabs>
        <w:spacing w:line="360" w:lineRule="auto"/>
        <w:ind w:right="136" w:rightChars="65" w:firstLine="482" w:firstLineChars="200"/>
        <w:rPr>
          <w:rFonts w:ascii="宋体" w:hAnsi="宋体" w:cs="宋体"/>
          <w:b/>
          <w:bCs/>
          <w:sz w:val="24"/>
        </w:rPr>
      </w:pPr>
      <w:r>
        <w:rPr>
          <w:rFonts w:hint="eastAsia" w:ascii="宋体" w:hAnsi="宋体" w:cs="宋体"/>
          <w:b/>
          <w:bCs/>
          <w:sz w:val="24"/>
        </w:rPr>
        <w:t>4.2.3电子病历质控系统</w:t>
      </w:r>
      <w:bookmarkEnd w:id="137"/>
    </w:p>
    <w:p>
      <w:pPr>
        <w:tabs>
          <w:tab w:val="left" w:pos="465"/>
          <w:tab w:val="left" w:pos="1085"/>
        </w:tabs>
        <w:spacing w:line="360" w:lineRule="auto"/>
        <w:ind w:right="136" w:rightChars="65" w:firstLine="480" w:firstLineChars="200"/>
        <w:rPr>
          <w:rFonts w:ascii="宋体" w:hAnsi="宋体" w:cs="宋体"/>
          <w:sz w:val="24"/>
        </w:rPr>
      </w:pPr>
      <w:r>
        <w:rPr>
          <w:rFonts w:hint="eastAsia" w:ascii="宋体" w:hAnsi="宋体" w:cs="宋体"/>
          <w:sz w:val="24"/>
        </w:rPr>
        <w:t>病历质量管理是在电子病历应用下病历质量的因素，基于临床信息系统如果对病历质量的管理与控制，从而敦促对临床工作改善，实现提高医疗质量的目的。</w:t>
      </w:r>
    </w:p>
    <w:p>
      <w:pPr>
        <w:tabs>
          <w:tab w:val="left" w:pos="465"/>
          <w:tab w:val="left" w:pos="1085"/>
        </w:tabs>
        <w:spacing w:line="360" w:lineRule="auto"/>
        <w:ind w:right="136" w:rightChars="65" w:firstLine="480" w:firstLineChars="200"/>
        <w:rPr>
          <w:rFonts w:ascii="宋体" w:hAnsi="宋体" w:cs="宋体"/>
          <w:sz w:val="24"/>
        </w:rPr>
      </w:pPr>
      <w:r>
        <w:rPr>
          <w:rFonts w:hint="eastAsia" w:ascii="宋体" w:hAnsi="宋体" w:cs="宋体"/>
          <w:sz w:val="24"/>
        </w:rPr>
        <w:t>病历质控从体系上来看可分为事前、事中、事后三个大的部分，从质控业务流程划分，可以区分为临床自查、环节质控、终末质控、终末抽查。</w:t>
      </w:r>
      <w:bookmarkStart w:id="138" w:name="_Toc336349754"/>
    </w:p>
    <w:p>
      <w:pPr>
        <w:tabs>
          <w:tab w:val="left" w:pos="465"/>
          <w:tab w:val="left" w:pos="1085"/>
        </w:tabs>
        <w:spacing w:line="360" w:lineRule="auto"/>
        <w:ind w:right="136" w:rightChars="65" w:firstLine="482" w:firstLineChars="200"/>
        <w:rPr>
          <w:rFonts w:ascii="宋体" w:hAnsi="宋体" w:cs="宋体"/>
          <w:b/>
          <w:sz w:val="24"/>
        </w:rPr>
      </w:pPr>
      <w:r>
        <w:rPr>
          <w:rFonts w:hint="eastAsia" w:ascii="宋体" w:hAnsi="宋体" w:cs="宋体"/>
          <w:b/>
          <w:sz w:val="24"/>
        </w:rPr>
        <w:t>4.2.3.1事前质控</w:t>
      </w:r>
      <w:bookmarkEnd w:id="138"/>
    </w:p>
    <w:p>
      <w:pPr>
        <w:spacing w:line="360" w:lineRule="auto"/>
        <w:ind w:firstLine="480" w:firstLineChars="200"/>
        <w:rPr>
          <w:rFonts w:ascii="宋体" w:hAnsi="宋体" w:cs="宋体"/>
          <w:sz w:val="24"/>
        </w:rPr>
      </w:pPr>
      <w:r>
        <w:rPr>
          <w:rFonts w:hint="eastAsia" w:ascii="宋体" w:hAnsi="宋体" w:cs="宋体"/>
          <w:sz w:val="24"/>
        </w:rPr>
        <w:t>主要完成制订质控规则，包括：书写病历种类、时限和内容组成的规则</w:t>
      </w:r>
    </w:p>
    <w:p>
      <w:pPr>
        <w:spacing w:line="360" w:lineRule="auto"/>
        <w:ind w:firstLine="482" w:firstLineChars="200"/>
        <w:rPr>
          <w:rFonts w:ascii="宋体" w:hAnsi="宋体" w:cs="宋体"/>
          <w:b/>
          <w:sz w:val="24"/>
        </w:rPr>
      </w:pPr>
      <w:r>
        <w:rPr>
          <w:rFonts w:hint="eastAsia" w:ascii="宋体" w:hAnsi="宋体" w:cs="宋体"/>
          <w:b/>
          <w:sz w:val="24"/>
        </w:rPr>
        <w:t>流程控制：</w:t>
      </w:r>
    </w:p>
    <w:p>
      <w:pPr>
        <w:spacing w:line="360" w:lineRule="auto"/>
        <w:ind w:firstLine="480" w:firstLineChars="200"/>
        <w:rPr>
          <w:rFonts w:ascii="宋体" w:hAnsi="宋体" w:cs="宋体"/>
          <w:sz w:val="24"/>
        </w:rPr>
      </w:pPr>
      <w:r>
        <w:rPr>
          <w:rFonts w:hint="eastAsia" w:ascii="宋体" w:hAnsi="宋体" w:cs="宋体"/>
          <w:sz w:val="24"/>
        </w:rPr>
        <w:t>根据不同医院业务流程不尽相同的情况，可对流程进行自定义，主要包括是否严格控制病历的先后依赖关系、是否限制超时新增病历的书写、是否必须接收才允许病历进入终末抽查环节等。</w:t>
      </w:r>
    </w:p>
    <w:p>
      <w:pPr>
        <w:spacing w:line="360" w:lineRule="auto"/>
        <w:ind w:firstLine="482" w:firstLineChars="200"/>
        <w:rPr>
          <w:rFonts w:ascii="宋体" w:hAnsi="宋体" w:cs="宋体"/>
          <w:b/>
          <w:sz w:val="24"/>
        </w:rPr>
      </w:pPr>
      <w:r>
        <w:rPr>
          <w:rFonts w:hint="eastAsia" w:ascii="宋体" w:hAnsi="宋体" w:cs="宋体"/>
          <w:b/>
          <w:sz w:val="24"/>
        </w:rPr>
        <w:t>质控方案制定:</w:t>
      </w:r>
    </w:p>
    <w:p>
      <w:pPr>
        <w:spacing w:line="360" w:lineRule="auto"/>
        <w:ind w:firstLine="480" w:firstLineChars="200"/>
        <w:rPr>
          <w:rFonts w:ascii="宋体" w:hAnsi="宋体" w:cs="宋体"/>
          <w:sz w:val="24"/>
        </w:rPr>
      </w:pPr>
      <w:r>
        <w:rPr>
          <w:rFonts w:hint="eastAsia" w:ascii="宋体" w:hAnsi="宋体" w:cs="宋体"/>
          <w:sz w:val="24"/>
        </w:rPr>
        <w:t>质控规则是病历质量检查的依据，众多规则的集合组成了病历方案。在同一时间，医院内部各个质控环节能且只能使用一套相同的质控规则，使医院内部各个环节病历检查依据形成统一标准。</w:t>
      </w:r>
    </w:p>
    <w:p>
      <w:pPr>
        <w:spacing w:line="360" w:lineRule="auto"/>
        <w:ind w:firstLine="480" w:firstLineChars="200"/>
        <w:rPr>
          <w:rFonts w:ascii="宋体" w:hAnsi="宋体" w:cs="宋体"/>
          <w:sz w:val="24"/>
        </w:rPr>
      </w:pPr>
      <w:r>
        <w:rPr>
          <w:rFonts w:hint="eastAsia" w:ascii="宋体" w:hAnsi="宋体" w:cs="宋体"/>
          <w:sz w:val="24"/>
        </w:rPr>
        <w:t>可根据医院情况自由设定病历各级质量下限标准，并提供预置质控方案导入。制定的质控方案也可导出为XML格式，并可作为本地方案进行导入，便于方案的重用和管理。</w:t>
      </w:r>
      <w:bookmarkStart w:id="139" w:name="_Toc336349755"/>
    </w:p>
    <w:p>
      <w:pPr>
        <w:spacing w:line="360" w:lineRule="auto"/>
        <w:ind w:firstLine="482" w:firstLineChars="200"/>
        <w:rPr>
          <w:rFonts w:ascii="宋体" w:hAnsi="宋体" w:cs="宋体"/>
          <w:b/>
          <w:bCs/>
          <w:sz w:val="24"/>
        </w:rPr>
      </w:pPr>
      <w:r>
        <w:rPr>
          <w:rFonts w:hint="eastAsia" w:ascii="宋体" w:hAnsi="宋体" w:cs="宋体"/>
          <w:b/>
          <w:bCs/>
          <w:sz w:val="24"/>
        </w:rPr>
        <w:t>4.2.3.2事中质控</w:t>
      </w:r>
      <w:bookmarkEnd w:id="139"/>
    </w:p>
    <w:p>
      <w:pPr>
        <w:spacing w:line="360" w:lineRule="auto"/>
        <w:ind w:firstLine="482" w:firstLineChars="200"/>
        <w:rPr>
          <w:rFonts w:ascii="宋体" w:hAnsi="宋体" w:cs="宋体"/>
          <w:b/>
          <w:sz w:val="24"/>
        </w:rPr>
      </w:pPr>
      <w:r>
        <w:rPr>
          <w:rFonts w:hint="eastAsia" w:ascii="宋体" w:hAnsi="宋体" w:cs="宋体"/>
          <w:b/>
          <w:sz w:val="24"/>
        </w:rPr>
        <w:t>书写时限提醒及申请</w:t>
      </w:r>
    </w:p>
    <w:p>
      <w:pPr>
        <w:spacing w:line="360" w:lineRule="auto"/>
        <w:ind w:firstLine="480" w:firstLineChars="200"/>
        <w:rPr>
          <w:rFonts w:ascii="宋体" w:hAnsi="宋体" w:cs="宋体"/>
          <w:sz w:val="24"/>
        </w:rPr>
      </w:pPr>
      <w:r>
        <w:rPr>
          <w:rFonts w:hint="eastAsia" w:ascii="宋体" w:hAnsi="宋体" w:cs="宋体"/>
          <w:sz w:val="24"/>
        </w:rPr>
        <w:t>根据已经定义的病历书写时限规则，实时监测和提醒医生是否及时书写。例如：入院记录未在入院24小时内完成、上级医师首次查房未在48小时内完成。</w:t>
      </w:r>
    </w:p>
    <w:p>
      <w:pPr>
        <w:spacing w:line="360" w:lineRule="auto"/>
        <w:ind w:firstLine="480" w:firstLineChars="200"/>
        <w:rPr>
          <w:rFonts w:ascii="宋体" w:hAnsi="宋体" w:cs="宋体"/>
          <w:sz w:val="24"/>
        </w:rPr>
      </w:pPr>
      <w:r>
        <w:rPr>
          <w:rFonts w:hint="eastAsia" w:ascii="宋体" w:hAnsi="宋体" w:cs="宋体"/>
          <w:sz w:val="24"/>
        </w:rPr>
        <w:tab/>
      </w:r>
      <w:r>
        <w:rPr>
          <w:rFonts w:hint="eastAsia" w:ascii="宋体" w:hAnsi="宋体" w:cs="宋体"/>
          <w:sz w:val="24"/>
        </w:rPr>
        <w:t>对于严格限制超时病历书写的情况，需要临床医生对已超出时限的病历进行申请，并由相关管理部门审核后才允许书写，实现对超时书写的病历进行监管。</w:t>
      </w:r>
    </w:p>
    <w:p>
      <w:pPr>
        <w:spacing w:line="360" w:lineRule="auto"/>
        <w:ind w:firstLine="482" w:firstLineChars="200"/>
        <w:rPr>
          <w:rFonts w:ascii="宋体" w:hAnsi="宋体" w:cs="宋体"/>
          <w:b/>
          <w:sz w:val="24"/>
        </w:rPr>
      </w:pPr>
      <w:r>
        <w:rPr>
          <w:rFonts w:hint="eastAsia" w:ascii="宋体" w:hAnsi="宋体" w:cs="宋体"/>
          <w:b/>
          <w:sz w:val="24"/>
        </w:rPr>
        <w:t>内容完整性监测</w:t>
      </w:r>
    </w:p>
    <w:p>
      <w:pPr>
        <w:spacing w:line="360" w:lineRule="auto"/>
        <w:ind w:firstLine="480" w:firstLineChars="200"/>
        <w:rPr>
          <w:rFonts w:ascii="宋体" w:hAnsi="宋体" w:cs="宋体"/>
          <w:sz w:val="24"/>
        </w:rPr>
      </w:pPr>
      <w:r>
        <w:rPr>
          <w:rFonts w:hint="eastAsia" w:ascii="宋体" w:hAnsi="宋体" w:cs="宋体"/>
          <w:sz w:val="24"/>
        </w:rPr>
        <w:t>根据已经定义的病历必须输入项目，实时监测医生是否完整书写，例如：入院记录中主要疾病遗漏、体检记录缺少系统和主要阳性体征、缺必要的专科或重点检查、四史不全。</w:t>
      </w:r>
    </w:p>
    <w:p>
      <w:pPr>
        <w:spacing w:line="360" w:lineRule="auto"/>
        <w:ind w:firstLine="480" w:firstLineChars="200"/>
        <w:rPr>
          <w:rFonts w:ascii="宋体" w:hAnsi="宋体" w:cs="宋体"/>
          <w:sz w:val="24"/>
        </w:rPr>
      </w:pPr>
      <w:r>
        <w:rPr>
          <w:rFonts w:hint="eastAsia" w:ascii="宋体" w:hAnsi="宋体" w:cs="宋体"/>
          <w:sz w:val="24"/>
        </w:rPr>
        <w:t>设定特定的医疗服务行为或病人病情变化等条件，要求医生完成相关的病历书写内容，例如：下达传染病诊断后要求书写传染病报告卡、择期手术要求完成术前小结、病人死亡要求书写死亡记录。</w:t>
      </w:r>
    </w:p>
    <w:p>
      <w:pPr>
        <w:spacing w:line="360" w:lineRule="auto"/>
        <w:ind w:firstLine="482" w:firstLineChars="200"/>
        <w:rPr>
          <w:rFonts w:ascii="宋体" w:hAnsi="宋体" w:cs="宋体"/>
          <w:b/>
          <w:sz w:val="24"/>
        </w:rPr>
      </w:pPr>
      <w:bookmarkStart w:id="140" w:name="_Toc354911191"/>
      <w:r>
        <w:rPr>
          <w:rFonts w:hint="eastAsia" w:ascii="宋体" w:hAnsi="宋体" w:cs="宋体"/>
          <w:b/>
          <w:sz w:val="24"/>
        </w:rPr>
        <w:t>元素键入值合理性控制</w:t>
      </w:r>
      <w:bookmarkEnd w:id="140"/>
    </w:p>
    <w:p>
      <w:pPr>
        <w:spacing w:line="360" w:lineRule="auto"/>
        <w:ind w:firstLine="480" w:firstLineChars="200"/>
        <w:rPr>
          <w:rFonts w:ascii="宋体" w:hAnsi="宋体" w:cs="宋体"/>
          <w:sz w:val="24"/>
        </w:rPr>
      </w:pPr>
      <w:r>
        <w:rPr>
          <w:rFonts w:hint="eastAsia" w:ascii="宋体" w:hAnsi="宋体" w:cs="宋体"/>
          <w:sz w:val="24"/>
        </w:rPr>
        <w:t>医生日常的病历书写编辑工作中，时常会因为关键性数据录入失误导致病历出现重大问题，如医师在书写体温时，将37.5℃误输入成了375℃。电子病历系统对每个元素的值都可以设置合理范围，当键入值超过范围时限制输入。</w:t>
      </w:r>
    </w:p>
    <w:p>
      <w:pPr>
        <w:spacing w:line="360" w:lineRule="auto"/>
        <w:ind w:firstLine="482" w:firstLineChars="200"/>
        <w:rPr>
          <w:rFonts w:ascii="宋体" w:hAnsi="宋体" w:cs="宋体"/>
          <w:b/>
          <w:sz w:val="24"/>
        </w:rPr>
      </w:pPr>
      <w:r>
        <w:rPr>
          <w:rFonts w:hint="eastAsia" w:ascii="宋体" w:hAnsi="宋体" w:cs="宋体"/>
          <w:b/>
          <w:sz w:val="24"/>
        </w:rPr>
        <w:t>病历质量全文检索</w:t>
      </w:r>
    </w:p>
    <w:p>
      <w:pPr>
        <w:spacing w:line="360" w:lineRule="auto"/>
        <w:ind w:firstLine="480" w:firstLineChars="200"/>
        <w:rPr>
          <w:rFonts w:ascii="宋体" w:hAnsi="宋体" w:cs="宋体"/>
          <w:sz w:val="24"/>
        </w:rPr>
      </w:pPr>
      <w:r>
        <w:rPr>
          <w:rFonts w:hint="eastAsia" w:ascii="宋体" w:hAnsi="宋体" w:cs="宋体"/>
          <w:sz w:val="24"/>
        </w:rPr>
        <w:t>一份病历所包含的内容比较多，医生在进行书写的时候可能会出现遗漏，导致病历结构和内容不完整，出现空缺等问题。此外，还存在一些合理性问题，比如女性病历中出现“睾丸”“阴茎”“前列腺”等，男性病历中出现“子宫”“卵巢”“流产”等。</w:t>
      </w:r>
    </w:p>
    <w:p>
      <w:pPr>
        <w:spacing w:line="360" w:lineRule="auto"/>
        <w:ind w:firstLine="480" w:firstLineChars="200"/>
        <w:rPr>
          <w:rFonts w:ascii="宋体" w:hAnsi="宋体" w:cs="宋体"/>
          <w:sz w:val="24"/>
        </w:rPr>
      </w:pPr>
      <w:r>
        <w:rPr>
          <w:rFonts w:hint="eastAsia" w:ascii="宋体" w:hAnsi="宋体" w:cs="宋体"/>
          <w:sz w:val="24"/>
        </w:rPr>
        <w:t>电子病历提供了全文检索功能。在一份病历书写完成进行签名的时候，系统会进行全文检索，检查病历所包含的内容的完整性和合理性，检查遗漏以及不合理的部分，并予以说明提示。</w:t>
      </w:r>
    </w:p>
    <w:p>
      <w:pPr>
        <w:spacing w:line="360" w:lineRule="auto"/>
        <w:ind w:firstLine="482" w:firstLineChars="200"/>
        <w:rPr>
          <w:rFonts w:ascii="宋体" w:hAnsi="宋体" w:cs="宋体"/>
          <w:b/>
          <w:sz w:val="24"/>
        </w:rPr>
      </w:pPr>
      <w:r>
        <w:rPr>
          <w:rFonts w:hint="eastAsia" w:ascii="宋体" w:hAnsi="宋体" w:cs="宋体"/>
          <w:b/>
          <w:sz w:val="24"/>
        </w:rPr>
        <w:t>上级医师审查留痕</w:t>
      </w:r>
    </w:p>
    <w:p>
      <w:pPr>
        <w:spacing w:line="360" w:lineRule="auto"/>
        <w:ind w:firstLine="480" w:firstLineChars="200"/>
        <w:rPr>
          <w:rFonts w:ascii="宋体" w:hAnsi="宋体" w:cs="宋体"/>
          <w:sz w:val="24"/>
        </w:rPr>
      </w:pPr>
      <w:r>
        <w:rPr>
          <w:rFonts w:hint="eastAsia" w:ascii="宋体" w:hAnsi="宋体" w:cs="宋体"/>
          <w:sz w:val="24"/>
        </w:rPr>
        <w:t>电子病历系统支持上级医师审查功能。在病历文档进行签名之后，上级医师即可对其进行审订，对病历中的内容进行增加、删除、修改，最后签字确认。系统会记录每一次医生的修改过程。</w:t>
      </w:r>
    </w:p>
    <w:p>
      <w:pPr>
        <w:spacing w:line="360" w:lineRule="auto"/>
        <w:ind w:firstLine="482" w:firstLineChars="200"/>
        <w:rPr>
          <w:rFonts w:ascii="宋体" w:hAnsi="宋体" w:cs="宋体"/>
          <w:b/>
          <w:sz w:val="24"/>
        </w:rPr>
      </w:pPr>
      <w:r>
        <w:rPr>
          <w:rFonts w:hint="eastAsia" w:ascii="宋体" w:hAnsi="宋体" w:cs="宋体"/>
          <w:b/>
          <w:sz w:val="24"/>
        </w:rPr>
        <w:t>病历质量临床自查</w:t>
      </w:r>
    </w:p>
    <w:p>
      <w:pPr>
        <w:spacing w:line="360" w:lineRule="auto"/>
        <w:ind w:firstLine="480" w:firstLineChars="200"/>
        <w:rPr>
          <w:rFonts w:ascii="宋体" w:hAnsi="宋体" w:cs="宋体"/>
          <w:sz w:val="24"/>
        </w:rPr>
      </w:pPr>
      <w:r>
        <w:rPr>
          <w:rFonts w:hint="eastAsia" w:ascii="宋体" w:hAnsi="宋体" w:cs="宋体"/>
          <w:sz w:val="24"/>
        </w:rPr>
        <w:t>临床医生可通过病历质控规则，对已书写的病历进行自查，及时发现病历书写缺陷，并以此为依据对病历内容进行修订。</w:t>
      </w:r>
    </w:p>
    <w:p>
      <w:pPr>
        <w:spacing w:line="360" w:lineRule="auto"/>
        <w:ind w:firstLine="482" w:firstLineChars="200"/>
        <w:rPr>
          <w:rFonts w:ascii="宋体" w:hAnsi="宋体" w:cs="宋体"/>
          <w:b/>
          <w:sz w:val="24"/>
        </w:rPr>
      </w:pPr>
      <w:r>
        <w:rPr>
          <w:rFonts w:hint="eastAsia" w:ascii="宋体" w:hAnsi="宋体" w:cs="宋体"/>
          <w:b/>
          <w:sz w:val="24"/>
        </w:rPr>
        <w:t>环节质控和沟通反馈</w:t>
      </w:r>
    </w:p>
    <w:p>
      <w:pPr>
        <w:spacing w:line="360" w:lineRule="auto"/>
        <w:ind w:firstLine="480" w:firstLineChars="200"/>
        <w:rPr>
          <w:rFonts w:ascii="宋体" w:hAnsi="宋体" w:cs="宋体"/>
          <w:sz w:val="24"/>
        </w:rPr>
      </w:pPr>
      <w:r>
        <w:rPr>
          <w:rFonts w:hint="eastAsia" w:ascii="宋体" w:hAnsi="宋体" w:cs="宋体"/>
          <w:sz w:val="24"/>
        </w:rPr>
        <w:t>作为病历质量管理的监督部门，科级和院级质控员可随时对在线病历进行抽查。在根据质控方案自动检查的基础上，可同时查阅病历文件并手工修改病历缺陷和分值，其结果将自动提醒医护人员病历缺陷，后者完成整改后及时反馈给管理部门。</w:t>
      </w:r>
    </w:p>
    <w:p>
      <w:pPr>
        <w:spacing w:line="360" w:lineRule="auto"/>
        <w:ind w:firstLine="482" w:firstLineChars="200"/>
        <w:rPr>
          <w:rFonts w:ascii="宋体" w:hAnsi="宋体" w:cs="宋体"/>
          <w:b/>
          <w:sz w:val="24"/>
        </w:rPr>
      </w:pPr>
      <w:bookmarkStart w:id="141" w:name="_Toc336349756"/>
      <w:r>
        <w:rPr>
          <w:rFonts w:hint="eastAsia" w:ascii="宋体" w:hAnsi="宋体" w:cs="宋体"/>
          <w:b/>
          <w:sz w:val="24"/>
        </w:rPr>
        <w:t>病历书写监测与检索</w:t>
      </w:r>
    </w:p>
    <w:p>
      <w:pPr>
        <w:spacing w:line="360" w:lineRule="auto"/>
        <w:ind w:firstLine="480" w:firstLineChars="200"/>
        <w:rPr>
          <w:rFonts w:ascii="宋体" w:hAnsi="宋体" w:cs="宋体"/>
          <w:sz w:val="24"/>
        </w:rPr>
      </w:pPr>
      <w:r>
        <w:rPr>
          <w:rFonts w:hint="eastAsia" w:ascii="宋体" w:hAnsi="宋体" w:cs="宋体"/>
          <w:sz w:val="24"/>
        </w:rPr>
        <w:t>病历书写监测为管理者提供了丰富的监测维度，能筛查出病历中存在的问题（主要体现在时限和内容的监测上），帮助管理者了解病历书写的整体情况。支持实时查看病人所有书写任务的完成情况，便于对病历的完成工作进行检测。</w:t>
      </w:r>
    </w:p>
    <w:p>
      <w:pPr>
        <w:spacing w:line="360" w:lineRule="auto"/>
        <w:ind w:firstLine="482" w:firstLineChars="200"/>
        <w:rPr>
          <w:rFonts w:ascii="宋体" w:hAnsi="宋体" w:cs="宋体"/>
          <w:b/>
          <w:sz w:val="24"/>
        </w:rPr>
      </w:pPr>
      <w:r>
        <w:rPr>
          <w:rFonts w:hint="eastAsia" w:ascii="宋体" w:hAnsi="宋体" w:cs="宋体"/>
          <w:b/>
          <w:sz w:val="24"/>
        </w:rPr>
        <w:t>文档密级保护</w:t>
      </w:r>
    </w:p>
    <w:p>
      <w:pPr>
        <w:spacing w:line="360" w:lineRule="auto"/>
        <w:ind w:firstLine="480" w:firstLineChars="200"/>
        <w:rPr>
          <w:rFonts w:ascii="宋体" w:hAnsi="宋体" w:cs="宋体"/>
          <w:sz w:val="24"/>
        </w:rPr>
      </w:pPr>
      <w:r>
        <w:rPr>
          <w:rFonts w:hint="eastAsia" w:ascii="宋体" w:hAnsi="宋体" w:cs="宋体"/>
          <w:sz w:val="24"/>
        </w:rPr>
        <w:t>实现电子病历设置保密等级，对操作人员的权限实行分级管理，实现患者隐私保护功能。</w:t>
      </w:r>
    </w:p>
    <w:p>
      <w:pPr>
        <w:spacing w:line="360" w:lineRule="auto"/>
        <w:ind w:firstLine="480" w:firstLineChars="200"/>
        <w:rPr>
          <w:rFonts w:ascii="宋体" w:hAnsi="宋体" w:cs="宋体"/>
          <w:sz w:val="24"/>
        </w:rPr>
      </w:pPr>
      <w:r>
        <w:rPr>
          <w:rFonts w:hint="eastAsia" w:ascii="宋体" w:hAnsi="宋体" w:cs="宋体"/>
          <w:sz w:val="24"/>
        </w:rPr>
        <w:t>支持多种保密手段：不处理、匿名、隐藏。</w:t>
      </w:r>
    </w:p>
    <w:p>
      <w:pPr>
        <w:spacing w:line="360" w:lineRule="auto"/>
        <w:ind w:firstLine="480" w:firstLineChars="200"/>
        <w:rPr>
          <w:rFonts w:ascii="宋体" w:hAnsi="宋体" w:cs="宋体"/>
          <w:sz w:val="24"/>
        </w:rPr>
      </w:pPr>
      <w:r>
        <w:rPr>
          <w:rFonts w:hint="eastAsia" w:ascii="宋体" w:hAnsi="宋体" w:cs="宋体"/>
          <w:sz w:val="24"/>
        </w:rPr>
        <w:t>如果账户所具备的保密等级低于文档的保密等级，则对匿名处理的文档不允许编辑、审订、删除，对患者隐私进行了保护</w:t>
      </w:r>
    </w:p>
    <w:p>
      <w:pPr>
        <w:spacing w:line="360" w:lineRule="auto"/>
        <w:ind w:firstLine="482" w:firstLineChars="200"/>
        <w:rPr>
          <w:rFonts w:ascii="宋体" w:hAnsi="宋体" w:cs="宋体"/>
          <w:b/>
          <w:sz w:val="24"/>
        </w:rPr>
      </w:pPr>
      <w:r>
        <w:rPr>
          <w:rFonts w:hint="eastAsia" w:ascii="宋体" w:hAnsi="宋体" w:cs="宋体"/>
          <w:b/>
          <w:sz w:val="24"/>
        </w:rPr>
        <w:t>多级数字签名</w:t>
      </w:r>
    </w:p>
    <w:p>
      <w:pPr>
        <w:spacing w:line="360" w:lineRule="auto"/>
        <w:ind w:firstLine="480" w:firstLineChars="200"/>
        <w:rPr>
          <w:rFonts w:ascii="宋体" w:hAnsi="宋体" w:cs="宋体"/>
          <w:sz w:val="24"/>
        </w:rPr>
      </w:pPr>
      <w:r>
        <w:rPr>
          <w:rFonts w:hint="eastAsia" w:ascii="宋体" w:hAnsi="宋体" w:cs="宋体"/>
          <w:sz w:val="24"/>
        </w:rPr>
        <w:t>支持实习、经治、主治、主任四级医师电子签名，与操作员身份直接相关，充分适应不同医院对多级医师签名的管理需求。</w:t>
      </w:r>
    </w:p>
    <w:p>
      <w:pPr>
        <w:spacing w:line="360" w:lineRule="auto"/>
        <w:ind w:firstLine="480" w:firstLineChars="200"/>
        <w:rPr>
          <w:rFonts w:ascii="宋体" w:hAnsi="宋体" w:cs="宋体"/>
          <w:sz w:val="24"/>
        </w:rPr>
      </w:pPr>
      <w:r>
        <w:rPr>
          <w:rFonts w:hint="eastAsia" w:ascii="宋体" w:hAnsi="宋体" w:cs="宋体"/>
          <w:sz w:val="24"/>
        </w:rPr>
        <w:t>支持密码签名与电子签名两种方式。其中密码签名适用于暂无专业机构（如CA中心）提供数字证书服务的地区；电子签名适用于有专业机构提供数字证书服务的地区，其配置灵活，适应性强，并可作为规范认可的具备法律效力的数字签名方式。</w:t>
      </w:r>
    </w:p>
    <w:p>
      <w:pPr>
        <w:spacing w:line="360" w:lineRule="auto"/>
        <w:ind w:firstLine="482" w:firstLineChars="200"/>
        <w:rPr>
          <w:rFonts w:ascii="宋体" w:hAnsi="宋体" w:cs="宋体"/>
          <w:b/>
          <w:bCs/>
          <w:sz w:val="24"/>
        </w:rPr>
      </w:pPr>
      <w:r>
        <w:rPr>
          <w:rFonts w:hint="eastAsia" w:ascii="宋体" w:hAnsi="宋体" w:cs="宋体"/>
          <w:b/>
          <w:bCs/>
          <w:sz w:val="24"/>
        </w:rPr>
        <w:t>4.2.3.3事后质控</w:t>
      </w:r>
      <w:bookmarkEnd w:id="141"/>
    </w:p>
    <w:p>
      <w:pPr>
        <w:spacing w:line="360" w:lineRule="auto"/>
        <w:ind w:firstLine="480" w:firstLineChars="200"/>
        <w:rPr>
          <w:rFonts w:ascii="宋体" w:hAnsi="宋体" w:cs="宋体"/>
          <w:sz w:val="24"/>
        </w:rPr>
      </w:pPr>
      <w:r>
        <w:rPr>
          <w:rFonts w:hint="eastAsia" w:ascii="宋体" w:hAnsi="宋体" w:cs="宋体"/>
          <w:sz w:val="24"/>
        </w:rPr>
        <w:t>主要在病历完成后的终末质控、提交归档、终末抽查和各种统计分析等。</w:t>
      </w:r>
    </w:p>
    <w:p>
      <w:pPr>
        <w:spacing w:line="360" w:lineRule="auto"/>
        <w:ind w:firstLine="482" w:firstLineChars="200"/>
        <w:rPr>
          <w:rFonts w:ascii="宋体" w:hAnsi="宋体" w:cs="宋体"/>
          <w:b/>
          <w:sz w:val="24"/>
        </w:rPr>
      </w:pPr>
      <w:r>
        <w:rPr>
          <w:rFonts w:hint="eastAsia" w:ascii="宋体" w:hAnsi="宋体" w:cs="宋体"/>
          <w:b/>
          <w:sz w:val="24"/>
        </w:rPr>
        <w:t>终末质控</w:t>
      </w:r>
    </w:p>
    <w:p>
      <w:pPr>
        <w:spacing w:line="360" w:lineRule="auto"/>
        <w:ind w:firstLine="480" w:firstLineChars="200"/>
        <w:rPr>
          <w:rFonts w:ascii="宋体" w:hAnsi="宋体" w:cs="宋体"/>
          <w:sz w:val="24"/>
        </w:rPr>
      </w:pPr>
      <w:r>
        <w:rPr>
          <w:rFonts w:hint="eastAsia" w:ascii="宋体" w:hAnsi="宋体" w:cs="宋体"/>
          <w:sz w:val="24"/>
        </w:rPr>
        <w:t>▪在病历提交到病案室前，由本科室的质控人员对本科室所有已完成的病历进行质量控制。终末质控结果生成缺陷清单供书写人参考修改。质控完成后病历提交到病案室。</w:t>
      </w:r>
    </w:p>
    <w:p>
      <w:pPr>
        <w:spacing w:line="360" w:lineRule="auto"/>
        <w:ind w:firstLine="480" w:firstLineChars="200"/>
        <w:rPr>
          <w:rFonts w:ascii="宋体" w:hAnsi="宋体" w:cs="宋体"/>
          <w:sz w:val="24"/>
        </w:rPr>
      </w:pPr>
      <w:r>
        <w:rPr>
          <w:rFonts w:hint="eastAsia" w:ascii="宋体" w:hAnsi="宋体" w:cs="宋体"/>
          <w:sz w:val="24"/>
        </w:rPr>
        <w:t>▪提供方便、智能化、可自定义的自动审查功能，提高病历自查和抽查效率，节省医院人力。</w:t>
      </w:r>
    </w:p>
    <w:p>
      <w:pPr>
        <w:spacing w:line="360" w:lineRule="auto"/>
        <w:ind w:firstLine="480" w:firstLineChars="200"/>
        <w:rPr>
          <w:rFonts w:ascii="宋体" w:hAnsi="宋体" w:cs="宋体"/>
          <w:sz w:val="24"/>
        </w:rPr>
      </w:pPr>
      <w:r>
        <w:rPr>
          <w:rFonts w:hint="eastAsia" w:ascii="宋体" w:hAnsi="宋体" w:cs="宋体"/>
          <w:sz w:val="24"/>
        </w:rPr>
        <w:t>▪支持质控管理者与医护人员之间的双向沟通/反馈，构建有效的保障机制</w:t>
      </w:r>
    </w:p>
    <w:p>
      <w:pPr>
        <w:spacing w:line="360" w:lineRule="auto"/>
        <w:ind w:firstLine="482" w:firstLineChars="200"/>
        <w:rPr>
          <w:rFonts w:ascii="宋体" w:hAnsi="宋体" w:cs="宋体"/>
          <w:b/>
          <w:sz w:val="24"/>
        </w:rPr>
      </w:pPr>
      <w:r>
        <w:rPr>
          <w:rFonts w:hint="eastAsia" w:ascii="宋体" w:hAnsi="宋体" w:cs="宋体"/>
          <w:b/>
          <w:sz w:val="24"/>
        </w:rPr>
        <w:t>终末抽查</w:t>
      </w:r>
    </w:p>
    <w:p>
      <w:pPr>
        <w:spacing w:line="360" w:lineRule="auto"/>
        <w:ind w:firstLine="480" w:firstLineChars="200"/>
        <w:rPr>
          <w:rFonts w:ascii="宋体" w:hAnsi="宋体" w:cs="宋体"/>
          <w:sz w:val="24"/>
        </w:rPr>
      </w:pPr>
      <w:r>
        <w:rPr>
          <w:rFonts w:hint="eastAsia" w:ascii="宋体" w:hAnsi="宋体" w:cs="宋体"/>
          <w:sz w:val="24"/>
        </w:rPr>
        <w:t>病案室质控人员对提交到病案室的病历进行定期的病历质量抽查，按照一定的抽查规则生成抽查的对象。终末抽查的结果生成缺陷清单供病历书写人进行参考，由书写人发起病历召回，对病历缺陷进行处理。</w:t>
      </w:r>
    </w:p>
    <w:p>
      <w:pPr>
        <w:spacing w:line="360" w:lineRule="auto"/>
        <w:ind w:firstLine="482" w:firstLineChars="200"/>
        <w:rPr>
          <w:rFonts w:ascii="宋体" w:hAnsi="宋体" w:cs="宋体"/>
          <w:b/>
          <w:sz w:val="24"/>
        </w:rPr>
      </w:pPr>
      <w:r>
        <w:rPr>
          <w:rFonts w:hint="eastAsia" w:ascii="宋体" w:hAnsi="宋体" w:cs="宋体"/>
          <w:b/>
          <w:sz w:val="24"/>
        </w:rPr>
        <w:t>统计报表</w:t>
      </w:r>
    </w:p>
    <w:p>
      <w:pPr>
        <w:spacing w:line="360" w:lineRule="auto"/>
        <w:ind w:firstLine="480" w:firstLineChars="200"/>
        <w:rPr>
          <w:rFonts w:ascii="宋体" w:hAnsi="宋体" w:cs="宋体"/>
          <w:sz w:val="24"/>
        </w:rPr>
      </w:pPr>
      <w:r>
        <w:rPr>
          <w:rFonts w:hint="eastAsia" w:ascii="宋体" w:hAnsi="宋体" w:cs="宋体"/>
          <w:sz w:val="24"/>
        </w:rPr>
        <w:t>▪提供各类标准化统计分析报表，便于管理部门对质控工作进行统计、分析。</w:t>
      </w:r>
    </w:p>
    <w:p>
      <w:pPr>
        <w:spacing w:line="360" w:lineRule="auto"/>
        <w:ind w:firstLine="480" w:firstLineChars="200"/>
        <w:rPr>
          <w:rFonts w:ascii="宋体" w:hAnsi="宋体" w:cs="宋体"/>
          <w:sz w:val="24"/>
        </w:rPr>
      </w:pPr>
      <w:r>
        <w:rPr>
          <w:rFonts w:hint="eastAsia" w:ascii="宋体" w:hAnsi="宋体" w:cs="宋体"/>
          <w:sz w:val="24"/>
        </w:rPr>
        <w:t>▪缺陷统计清单--统计某一项缺陷在指定时间内出现详细情况</w:t>
      </w:r>
    </w:p>
    <w:p>
      <w:pPr>
        <w:spacing w:line="360" w:lineRule="auto"/>
        <w:ind w:firstLine="480" w:firstLineChars="200"/>
        <w:rPr>
          <w:rFonts w:ascii="宋体" w:hAnsi="宋体" w:cs="宋体"/>
          <w:sz w:val="24"/>
        </w:rPr>
      </w:pPr>
      <w:r>
        <w:rPr>
          <w:rFonts w:hint="eastAsia" w:ascii="宋体" w:hAnsi="宋体" w:cs="宋体"/>
          <w:sz w:val="24"/>
        </w:rPr>
        <w:t>▪质控工作量统计--统计指定时间范围内质控人员反馈的记录数和缺陷数。</w:t>
      </w:r>
    </w:p>
    <w:p>
      <w:pPr>
        <w:spacing w:line="360" w:lineRule="auto"/>
        <w:ind w:firstLine="480" w:firstLineChars="200"/>
        <w:rPr>
          <w:rFonts w:ascii="宋体" w:hAnsi="宋体" w:cs="宋体"/>
          <w:sz w:val="24"/>
        </w:rPr>
      </w:pPr>
      <w:r>
        <w:rPr>
          <w:rFonts w:hint="eastAsia" w:ascii="宋体" w:hAnsi="宋体" w:cs="宋体"/>
          <w:sz w:val="24"/>
        </w:rPr>
        <w:t>▪质控率统计--统计指定时间范围内质控率、甲级率、乙级率、丙级率。</w:t>
      </w:r>
    </w:p>
    <w:p>
      <w:pPr>
        <w:spacing w:line="360" w:lineRule="auto"/>
        <w:ind w:firstLine="480" w:firstLineChars="200"/>
        <w:rPr>
          <w:rFonts w:ascii="宋体" w:hAnsi="宋体" w:cs="宋体"/>
          <w:sz w:val="24"/>
        </w:rPr>
      </w:pPr>
      <w:r>
        <w:rPr>
          <w:rFonts w:hint="eastAsia" w:ascii="宋体" w:hAnsi="宋体" w:cs="宋体"/>
          <w:sz w:val="24"/>
        </w:rPr>
        <w:t>▪质控等级清单--统计指定等级病历。</w:t>
      </w:r>
    </w:p>
    <w:p>
      <w:pPr>
        <w:spacing w:line="360" w:lineRule="auto"/>
        <w:ind w:firstLine="480" w:firstLineChars="200"/>
        <w:rPr>
          <w:rFonts w:ascii="宋体" w:hAnsi="宋体" w:cs="宋体"/>
          <w:sz w:val="24"/>
        </w:rPr>
      </w:pPr>
      <w:r>
        <w:rPr>
          <w:rFonts w:hint="eastAsia" w:ascii="宋体" w:hAnsi="宋体" w:cs="宋体"/>
          <w:sz w:val="24"/>
        </w:rPr>
        <w:t>▪高发缺陷分析统计--统计缺陷出现次数。</w:t>
      </w:r>
      <w:bookmarkStart w:id="142" w:name="_Toc385402179"/>
    </w:p>
    <w:p>
      <w:pPr>
        <w:spacing w:line="360" w:lineRule="auto"/>
        <w:ind w:firstLine="482" w:firstLineChars="200"/>
        <w:rPr>
          <w:rFonts w:ascii="宋体" w:hAnsi="宋体" w:cs="宋体"/>
          <w:b/>
          <w:sz w:val="24"/>
        </w:rPr>
      </w:pPr>
      <w:r>
        <w:rPr>
          <w:rFonts w:hint="eastAsia" w:ascii="宋体" w:hAnsi="宋体" w:cs="宋体"/>
          <w:b/>
          <w:sz w:val="24"/>
        </w:rPr>
        <w:t>4.2.3.4病历的日常管理</w:t>
      </w:r>
      <w:bookmarkEnd w:id="142"/>
    </w:p>
    <w:p>
      <w:pPr>
        <w:spacing w:line="360" w:lineRule="auto"/>
        <w:ind w:firstLine="480" w:firstLineChars="200"/>
        <w:rPr>
          <w:rFonts w:ascii="宋体" w:hAnsi="宋体" w:cs="宋体"/>
          <w:sz w:val="24"/>
        </w:rPr>
      </w:pPr>
      <w:r>
        <w:rPr>
          <w:rFonts w:hint="eastAsia" w:ascii="宋体" w:hAnsi="宋体" w:cs="宋体"/>
          <w:sz w:val="24"/>
        </w:rPr>
        <w:t>除了电子病历在临床科室的应用之外，对电子病历的日常管理工作也是重中之重。</w:t>
      </w:r>
    </w:p>
    <w:p>
      <w:pPr>
        <w:spacing w:line="360" w:lineRule="auto"/>
        <w:ind w:firstLine="482" w:firstLineChars="200"/>
        <w:rPr>
          <w:rFonts w:ascii="宋体" w:hAnsi="宋体" w:cs="宋体"/>
          <w:b/>
          <w:sz w:val="24"/>
        </w:rPr>
      </w:pPr>
      <w:r>
        <w:rPr>
          <w:rFonts w:hint="eastAsia" w:ascii="宋体" w:hAnsi="宋体" w:cs="宋体"/>
          <w:b/>
          <w:sz w:val="24"/>
        </w:rPr>
        <w:t>病历查询分析</w:t>
      </w:r>
    </w:p>
    <w:p>
      <w:pPr>
        <w:spacing w:line="360" w:lineRule="auto"/>
        <w:ind w:firstLine="480" w:firstLineChars="200"/>
        <w:rPr>
          <w:rFonts w:ascii="宋体" w:hAnsi="宋体" w:cs="宋体"/>
          <w:sz w:val="24"/>
        </w:rPr>
      </w:pPr>
      <w:r>
        <w:rPr>
          <w:rFonts w:hint="eastAsia" w:ascii="宋体" w:hAnsi="宋体" w:cs="宋体"/>
          <w:sz w:val="24"/>
        </w:rPr>
        <w:t>▪结构化后的病历，可以通过强大的数据检索查询功能满足医生临床、科研和教学对病案的检索要求；可以对海量病历数据查询和知识挖掘。</w:t>
      </w:r>
    </w:p>
    <w:p>
      <w:pPr>
        <w:spacing w:line="360" w:lineRule="auto"/>
        <w:ind w:firstLine="480" w:firstLineChars="200"/>
        <w:rPr>
          <w:rFonts w:ascii="宋体" w:hAnsi="宋体" w:cs="宋体"/>
          <w:sz w:val="24"/>
        </w:rPr>
      </w:pPr>
      <w:r>
        <w:rPr>
          <w:rFonts w:hint="eastAsia" w:ascii="宋体" w:hAnsi="宋体" w:cs="宋体"/>
          <w:sz w:val="24"/>
        </w:rPr>
        <w:t>▪电子病历系统支持用户可自定义病历检索规则，比如按诊断、按主诉进行查询。</w:t>
      </w:r>
    </w:p>
    <w:p>
      <w:pPr>
        <w:spacing w:line="360" w:lineRule="auto"/>
        <w:ind w:firstLine="482" w:firstLineChars="200"/>
        <w:rPr>
          <w:rFonts w:ascii="宋体" w:hAnsi="宋体" w:cs="宋体"/>
          <w:b/>
          <w:sz w:val="24"/>
        </w:rPr>
      </w:pPr>
      <w:r>
        <w:rPr>
          <w:rFonts w:hint="eastAsia" w:ascii="宋体" w:hAnsi="宋体" w:cs="宋体"/>
          <w:b/>
          <w:sz w:val="24"/>
        </w:rPr>
        <w:t>文档封存</w:t>
      </w:r>
    </w:p>
    <w:p>
      <w:pPr>
        <w:spacing w:line="360" w:lineRule="auto"/>
        <w:ind w:firstLine="480" w:firstLineChars="200"/>
        <w:rPr>
          <w:rFonts w:ascii="宋体" w:hAnsi="宋体" w:cs="宋体"/>
          <w:sz w:val="24"/>
        </w:rPr>
      </w:pPr>
      <w:r>
        <w:rPr>
          <w:rFonts w:hint="eastAsia" w:ascii="宋体" w:hAnsi="宋体" w:cs="宋体"/>
          <w:sz w:val="24"/>
        </w:rPr>
        <w:t>▪实现了病历文档的封存与启封，在封存状态下将禁止对病历文件内容作出修改。</w:t>
      </w:r>
    </w:p>
    <w:p>
      <w:pPr>
        <w:spacing w:line="360" w:lineRule="auto"/>
        <w:ind w:firstLine="480" w:firstLineChars="200"/>
        <w:rPr>
          <w:rFonts w:ascii="宋体" w:hAnsi="宋体" w:cs="宋体"/>
          <w:sz w:val="24"/>
        </w:rPr>
      </w:pPr>
      <w:r>
        <w:rPr>
          <w:rFonts w:hint="eastAsia" w:ascii="宋体" w:hAnsi="宋体" w:cs="宋体"/>
          <w:sz w:val="24"/>
        </w:rPr>
        <w:t>▪及时封存病历可以防止病历被人为篡改。一旦发生医疗纠纷，及时封存病历对于之后的维权具有重要意义。</w:t>
      </w:r>
    </w:p>
    <w:p>
      <w:pPr>
        <w:spacing w:line="360" w:lineRule="auto"/>
        <w:ind w:firstLine="480" w:firstLineChars="200"/>
        <w:rPr>
          <w:rFonts w:ascii="宋体" w:hAnsi="宋体" w:cs="宋体"/>
          <w:sz w:val="24"/>
        </w:rPr>
      </w:pPr>
      <w:r>
        <w:rPr>
          <w:rFonts w:hint="eastAsia" w:ascii="宋体" w:hAnsi="宋体" w:cs="宋体"/>
          <w:sz w:val="24"/>
        </w:rPr>
        <w:t>▪支持自定义选择需要封存的病历文档。</w:t>
      </w:r>
    </w:p>
    <w:p>
      <w:pPr>
        <w:spacing w:line="360" w:lineRule="auto"/>
        <w:ind w:firstLine="482" w:firstLineChars="200"/>
        <w:rPr>
          <w:rFonts w:ascii="宋体" w:hAnsi="宋体" w:cs="宋体"/>
          <w:b/>
          <w:sz w:val="24"/>
        </w:rPr>
      </w:pPr>
      <w:r>
        <w:rPr>
          <w:rFonts w:hint="eastAsia" w:ascii="宋体" w:hAnsi="宋体" w:cs="宋体"/>
          <w:b/>
          <w:sz w:val="24"/>
        </w:rPr>
        <w:t>病历审查与归档</w:t>
      </w:r>
    </w:p>
    <w:p>
      <w:pPr>
        <w:spacing w:line="360" w:lineRule="auto"/>
        <w:ind w:firstLine="480" w:firstLineChars="200"/>
        <w:rPr>
          <w:rFonts w:ascii="宋体" w:hAnsi="宋体" w:cs="宋体"/>
          <w:sz w:val="24"/>
        </w:rPr>
      </w:pPr>
      <w:r>
        <w:rPr>
          <w:rFonts w:hint="eastAsia" w:ascii="宋体" w:hAnsi="宋体" w:cs="宋体"/>
          <w:sz w:val="24"/>
        </w:rPr>
        <w:t>▪支持对已出院的病人的电子病案资料提交和归档,保存到病人的病案资料中。</w:t>
      </w:r>
    </w:p>
    <w:p>
      <w:pPr>
        <w:spacing w:line="360" w:lineRule="auto"/>
        <w:ind w:firstLine="480" w:firstLineChars="200"/>
        <w:rPr>
          <w:rFonts w:ascii="宋体" w:hAnsi="宋体" w:cs="宋体"/>
          <w:sz w:val="24"/>
        </w:rPr>
      </w:pPr>
      <w:r>
        <w:rPr>
          <w:rFonts w:hint="eastAsia" w:ascii="宋体" w:hAnsi="宋体" w:cs="宋体"/>
          <w:sz w:val="24"/>
        </w:rPr>
        <w:t>▪支持电子病案审查反馈信息，临床上可查看反馈信息并修改病历。</w:t>
      </w:r>
    </w:p>
    <w:p>
      <w:pPr>
        <w:spacing w:line="360" w:lineRule="auto"/>
        <w:ind w:firstLine="480" w:firstLineChars="200"/>
        <w:rPr>
          <w:rFonts w:ascii="宋体" w:hAnsi="宋体" w:cs="宋体"/>
          <w:sz w:val="24"/>
        </w:rPr>
      </w:pPr>
      <w:r>
        <w:rPr>
          <w:rFonts w:hint="eastAsia" w:ascii="宋体" w:hAnsi="宋体" w:cs="宋体"/>
          <w:sz w:val="24"/>
        </w:rPr>
        <w:t>▪通过设置质控规则，支持电子病案自动审查。</w:t>
      </w:r>
    </w:p>
    <w:p>
      <w:pPr>
        <w:spacing w:line="360" w:lineRule="auto"/>
        <w:ind w:firstLine="480" w:firstLineChars="200"/>
        <w:rPr>
          <w:rFonts w:ascii="宋体" w:hAnsi="宋体" w:cs="宋体"/>
          <w:sz w:val="24"/>
        </w:rPr>
      </w:pPr>
      <w:r>
        <w:rPr>
          <w:rFonts w:hint="eastAsia" w:ascii="宋体" w:hAnsi="宋体" w:cs="宋体"/>
          <w:sz w:val="24"/>
        </w:rPr>
        <w:t>▪通过评分标准，支持对电子病案的自动评分。</w:t>
      </w:r>
      <w:bookmarkEnd w:id="114"/>
      <w:bookmarkStart w:id="143" w:name="_Toc50546500"/>
    </w:p>
    <w:p>
      <w:pPr>
        <w:spacing w:line="360" w:lineRule="auto"/>
        <w:ind w:firstLine="482" w:firstLineChars="200"/>
        <w:rPr>
          <w:rFonts w:ascii="宋体" w:hAnsi="宋体" w:cs="宋体"/>
          <w:b/>
          <w:bCs/>
          <w:sz w:val="24"/>
        </w:rPr>
      </w:pPr>
      <w:r>
        <w:rPr>
          <w:rFonts w:hint="eastAsia" w:ascii="宋体" w:hAnsi="宋体" w:cs="宋体"/>
          <w:b/>
          <w:bCs/>
          <w:sz w:val="24"/>
        </w:rPr>
        <w:t>4.2.4电子病历授权体系</w:t>
      </w:r>
      <w:bookmarkEnd w:id="143"/>
    </w:p>
    <w:p>
      <w:pPr>
        <w:spacing w:line="360" w:lineRule="auto"/>
        <w:ind w:firstLine="480" w:firstLineChars="200"/>
        <w:rPr>
          <w:rFonts w:ascii="宋体" w:hAnsi="宋体" w:cs="宋体"/>
          <w:bCs/>
          <w:sz w:val="24"/>
        </w:rPr>
      </w:pPr>
      <w:r>
        <w:rPr>
          <w:rFonts w:hint="eastAsia" w:ascii="宋体" w:hAnsi="宋体" w:cs="宋体"/>
          <w:bCs/>
          <w:sz w:val="24"/>
        </w:rPr>
        <w:t>电子病历能够按科室、医生职务、患者、病历内容等多个维度进行有限授权：</w:t>
      </w:r>
    </w:p>
    <w:p>
      <w:pPr>
        <w:spacing w:line="360" w:lineRule="auto"/>
        <w:ind w:firstLine="480" w:firstLineChars="200"/>
        <w:rPr>
          <w:rFonts w:ascii="宋体" w:hAnsi="宋体" w:cs="宋体"/>
          <w:bCs/>
          <w:sz w:val="24"/>
        </w:rPr>
      </w:pPr>
      <w:r>
        <w:rPr>
          <w:rFonts w:hint="eastAsia" w:ascii="宋体" w:hAnsi="宋体" w:cs="宋体"/>
          <w:sz w:val="24"/>
        </w:rPr>
        <w:t>▪</w:t>
      </w:r>
      <w:r>
        <w:rPr>
          <w:rFonts w:hint="eastAsia" w:ascii="宋体" w:hAnsi="宋体" w:cs="宋体"/>
          <w:bCs/>
          <w:sz w:val="24"/>
        </w:rPr>
        <w:t>按科室和医生职务，比如主治医生只能看自己收治的患者病历、主任医生可以查看本科的患者病历、上级医师可以查看和审核下级医师的病历。</w:t>
      </w:r>
    </w:p>
    <w:p>
      <w:pPr>
        <w:spacing w:line="360" w:lineRule="auto"/>
        <w:ind w:firstLine="480" w:firstLineChars="200"/>
        <w:rPr>
          <w:rFonts w:ascii="宋体" w:hAnsi="宋体" w:cs="宋体"/>
          <w:bCs/>
          <w:sz w:val="24"/>
        </w:rPr>
      </w:pPr>
      <w:r>
        <w:rPr>
          <w:rFonts w:hint="eastAsia" w:ascii="宋体" w:hAnsi="宋体" w:cs="宋体"/>
          <w:sz w:val="24"/>
        </w:rPr>
        <w:t>▪</w:t>
      </w:r>
      <w:r>
        <w:rPr>
          <w:rFonts w:hint="eastAsia" w:ascii="宋体" w:hAnsi="宋体" w:cs="宋体"/>
          <w:bCs/>
          <w:sz w:val="24"/>
        </w:rPr>
        <w:t>会诊、手术等特殊活动可以予以单独授权，参与会诊、手术等活动的相关医疗人员可以查看会诊患者资料。</w:t>
      </w:r>
    </w:p>
    <w:p>
      <w:pPr>
        <w:spacing w:line="360" w:lineRule="auto"/>
        <w:ind w:firstLine="480" w:firstLineChars="200"/>
        <w:rPr>
          <w:rFonts w:ascii="宋体" w:hAnsi="宋体" w:cs="宋体"/>
          <w:sz w:val="24"/>
        </w:rPr>
      </w:pPr>
      <w:r>
        <w:rPr>
          <w:rFonts w:hint="eastAsia" w:ascii="宋体" w:hAnsi="宋体" w:cs="宋体"/>
          <w:sz w:val="24"/>
        </w:rPr>
        <w:t>▪▪对病历等的查看、修改、审核、打印分设不同的管理。</w:t>
      </w:r>
    </w:p>
    <w:p>
      <w:pPr>
        <w:spacing w:line="360" w:lineRule="auto"/>
        <w:ind w:firstLine="480" w:firstLineChars="200"/>
        <w:rPr>
          <w:rFonts w:ascii="宋体" w:hAnsi="宋体" w:cs="宋体"/>
          <w:bCs/>
          <w:sz w:val="24"/>
        </w:rPr>
      </w:pPr>
      <w:r>
        <w:rPr>
          <w:rFonts w:hint="eastAsia" w:ascii="宋体" w:hAnsi="宋体" w:cs="宋体"/>
          <w:sz w:val="24"/>
        </w:rPr>
        <w:t>对病历内容可以设置不同的密级，包括可查看、可编辑、患者身份保密（匿名）、不可访问等多级的权限设置。</w:t>
      </w:r>
    </w:p>
    <w:p>
      <w:pPr>
        <w:spacing w:line="360" w:lineRule="auto"/>
        <w:ind w:firstLine="480" w:firstLineChars="200"/>
        <w:rPr>
          <w:rFonts w:ascii="宋体" w:hAnsi="宋体" w:cs="宋体"/>
          <w:sz w:val="24"/>
        </w:rPr>
      </w:pPr>
      <w:r>
        <w:rPr>
          <w:rFonts w:hint="eastAsia" w:ascii="宋体" w:hAnsi="宋体" w:cs="宋体"/>
          <w:sz w:val="24"/>
        </w:rPr>
        <w:t>▪</w:t>
      </w:r>
      <w:r>
        <w:rPr>
          <w:rFonts w:hint="eastAsia" w:ascii="宋体" w:hAnsi="宋体" w:cs="宋体"/>
          <w:bCs/>
          <w:sz w:val="24"/>
        </w:rPr>
        <w:t>不被授权的用户无法访问病历资料。</w:t>
      </w:r>
    </w:p>
    <w:p>
      <w:pPr>
        <w:spacing w:line="360" w:lineRule="auto"/>
        <w:ind w:firstLine="480" w:firstLineChars="200"/>
        <w:rPr>
          <w:rFonts w:ascii="宋体" w:hAnsi="宋体" w:cs="宋体"/>
          <w:sz w:val="24"/>
        </w:rPr>
      </w:pPr>
      <w:r>
        <w:rPr>
          <w:rFonts w:hint="eastAsia" w:ascii="宋体" w:hAnsi="宋体" w:cs="宋体"/>
          <w:sz w:val="24"/>
        </w:rPr>
        <w:t>▪</w:t>
      </w:r>
      <w:r>
        <w:rPr>
          <w:rFonts w:hint="eastAsia" w:ascii="宋体" w:hAnsi="宋体" w:cs="宋体"/>
          <w:bCs/>
          <w:sz w:val="24"/>
        </w:rPr>
        <w:t>授权用户能记录访问日志</w:t>
      </w:r>
    </w:p>
    <w:p>
      <w:pPr>
        <w:spacing w:line="360" w:lineRule="auto"/>
        <w:ind w:firstLine="480" w:firstLineChars="200"/>
        <w:rPr>
          <w:rFonts w:ascii="宋体" w:hAnsi="宋体" w:cs="宋体"/>
          <w:bCs/>
          <w:sz w:val="24"/>
        </w:rPr>
      </w:pPr>
      <w:r>
        <w:rPr>
          <w:rFonts w:hint="eastAsia" w:ascii="宋体" w:hAnsi="宋体" w:cs="宋体"/>
          <w:sz w:val="24"/>
        </w:rPr>
        <w:t>▪</w:t>
      </w:r>
      <w:r>
        <w:rPr>
          <w:rFonts w:hint="eastAsia" w:ascii="宋体" w:hAnsi="宋体" w:cs="宋体"/>
          <w:bCs/>
          <w:sz w:val="24"/>
        </w:rPr>
        <w:t>审批权限后由审批记录并支持导出至excel</w:t>
      </w:r>
      <w:bookmarkStart w:id="144" w:name="_Toc50546501"/>
    </w:p>
    <w:p>
      <w:pPr>
        <w:spacing w:line="360" w:lineRule="auto"/>
        <w:ind w:firstLine="482" w:firstLineChars="200"/>
        <w:rPr>
          <w:rFonts w:ascii="宋体" w:hAnsi="宋体" w:cs="宋体"/>
          <w:b/>
          <w:bCs/>
          <w:sz w:val="24"/>
        </w:rPr>
      </w:pPr>
      <w:r>
        <w:rPr>
          <w:rFonts w:hint="eastAsia" w:ascii="宋体" w:hAnsi="宋体" w:cs="宋体"/>
          <w:b/>
          <w:bCs/>
          <w:sz w:val="24"/>
        </w:rPr>
        <w:t>4.2.5病案首页质量控制系统</w:t>
      </w:r>
      <w:bookmarkEnd w:id="144"/>
    </w:p>
    <w:p>
      <w:pPr>
        <w:spacing w:line="360" w:lineRule="auto"/>
        <w:ind w:firstLine="480" w:firstLineChars="200"/>
        <w:rPr>
          <w:rFonts w:ascii="宋体" w:hAnsi="宋体" w:cs="宋体"/>
          <w:color w:val="000000"/>
          <w:kern w:val="0"/>
          <w:sz w:val="24"/>
        </w:rPr>
      </w:pPr>
      <w:r>
        <w:rPr>
          <w:rFonts w:hint="eastAsia" w:ascii="宋体" w:hAnsi="宋体" w:cs="宋体"/>
          <w:sz w:val="24"/>
        </w:rPr>
        <w:t>▪按照公立医院绩效考核要求完成</w:t>
      </w:r>
      <w:r>
        <w:rPr>
          <w:rFonts w:hint="eastAsia" w:ascii="宋体" w:hAnsi="宋体" w:cs="宋体"/>
          <w:color w:val="000000"/>
          <w:kern w:val="0"/>
          <w:sz w:val="24"/>
        </w:rPr>
        <w:t>首页数据上传</w:t>
      </w:r>
    </w:p>
    <w:p>
      <w:pPr>
        <w:spacing w:line="360" w:lineRule="auto"/>
        <w:ind w:firstLine="480" w:firstLineChars="200"/>
        <w:rPr>
          <w:rFonts w:ascii="宋体" w:hAnsi="宋体" w:cs="宋体"/>
          <w:sz w:val="24"/>
        </w:rPr>
      </w:pPr>
      <w:r>
        <w:rPr>
          <w:rFonts w:hint="eastAsia" w:ascii="宋体" w:hAnsi="宋体" w:cs="宋体"/>
          <w:sz w:val="24"/>
        </w:rPr>
        <w:t>▪支持病案首页76项必填项目限制</w:t>
      </w:r>
    </w:p>
    <w:p>
      <w:pPr>
        <w:spacing w:line="360" w:lineRule="auto"/>
        <w:ind w:firstLine="480" w:firstLineChars="200"/>
        <w:rPr>
          <w:rFonts w:ascii="宋体" w:hAnsi="宋体" w:cs="宋体"/>
          <w:sz w:val="24"/>
        </w:rPr>
      </w:pPr>
      <w:r>
        <w:rPr>
          <w:rFonts w:hint="eastAsia" w:ascii="宋体" w:hAnsi="宋体" w:cs="宋体"/>
          <w:sz w:val="24"/>
        </w:rPr>
        <w:t>▪支持以参数形式手工控制是否启用严格限制</w:t>
      </w:r>
    </w:p>
    <w:p>
      <w:pPr>
        <w:spacing w:line="360" w:lineRule="auto"/>
        <w:ind w:firstLine="480" w:firstLineChars="200"/>
        <w:rPr>
          <w:rFonts w:ascii="宋体" w:hAnsi="宋体" w:cs="宋体"/>
          <w:sz w:val="24"/>
        </w:rPr>
      </w:pPr>
      <w:r>
        <w:rPr>
          <w:rFonts w:hint="eastAsia" w:ascii="宋体" w:hAnsi="宋体" w:cs="宋体"/>
          <w:sz w:val="24"/>
        </w:rPr>
        <w:t>▪医生填写首页时可根据限制内容给医师提醒或给出警告</w:t>
      </w:r>
    </w:p>
    <w:p>
      <w:pPr>
        <w:spacing w:line="360" w:lineRule="auto"/>
        <w:ind w:firstLine="480" w:firstLineChars="200"/>
        <w:rPr>
          <w:rFonts w:ascii="宋体" w:hAnsi="宋体" w:cs="宋体"/>
          <w:sz w:val="24"/>
        </w:rPr>
      </w:pPr>
      <w:r>
        <w:rPr>
          <w:rFonts w:hint="eastAsia" w:ascii="宋体" w:hAnsi="宋体" w:cs="宋体"/>
          <w:sz w:val="24"/>
        </w:rPr>
        <w:t>▪针对限制要求内容，错误和提醒根据不同方式展现，方便医师查看</w:t>
      </w:r>
      <w:bookmarkStart w:id="145" w:name="_Toc50546502"/>
    </w:p>
    <w:p>
      <w:pPr>
        <w:spacing w:line="360" w:lineRule="auto"/>
        <w:ind w:firstLine="482" w:firstLineChars="200"/>
        <w:rPr>
          <w:rFonts w:ascii="宋体" w:hAnsi="宋体" w:cs="宋体"/>
          <w:b/>
          <w:bCs/>
          <w:sz w:val="24"/>
        </w:rPr>
      </w:pPr>
      <w:r>
        <w:rPr>
          <w:rFonts w:hint="eastAsia" w:ascii="宋体" w:hAnsi="宋体" w:cs="宋体"/>
          <w:b/>
          <w:bCs/>
          <w:sz w:val="24"/>
        </w:rPr>
        <w:t>4.2.</w:t>
      </w:r>
      <w:r>
        <w:rPr>
          <w:rFonts w:ascii="宋体" w:hAnsi="宋体" w:cs="宋体"/>
          <w:b/>
          <w:bCs/>
          <w:sz w:val="24"/>
        </w:rPr>
        <w:t>6</w:t>
      </w:r>
      <w:r>
        <w:rPr>
          <w:rFonts w:hint="eastAsia" w:ascii="宋体" w:hAnsi="宋体" w:cs="宋体"/>
          <w:b/>
          <w:bCs/>
          <w:sz w:val="24"/>
        </w:rPr>
        <w:t>E</w:t>
      </w:r>
      <w:r>
        <w:rPr>
          <w:rFonts w:ascii="宋体" w:hAnsi="宋体" w:cs="宋体"/>
          <w:b/>
          <w:bCs/>
          <w:sz w:val="24"/>
        </w:rPr>
        <w:t>MR</w:t>
      </w:r>
      <w:r>
        <w:rPr>
          <w:rFonts w:hint="eastAsia" w:ascii="宋体" w:hAnsi="宋体" w:cs="宋体"/>
          <w:b/>
          <w:bCs/>
          <w:sz w:val="24"/>
        </w:rPr>
        <w:t>服务器 4台</w:t>
      </w:r>
    </w:p>
    <w:p>
      <w:pPr>
        <w:pStyle w:val="2"/>
        <w:ind w:firstLine="480"/>
        <w:rPr>
          <w:rFonts w:ascii="宋体" w:hAnsi="宋体" w:eastAsia="宋体"/>
        </w:rPr>
      </w:pPr>
      <w:r>
        <w:rPr>
          <w:rFonts w:hint="eastAsia" w:ascii="宋体" w:hAnsi="宋体" w:eastAsia="宋体"/>
        </w:rPr>
        <w:t>参数：标准</w:t>
      </w:r>
      <w:r>
        <w:rPr>
          <w:rFonts w:ascii="宋体" w:hAnsi="宋体" w:eastAsia="宋体"/>
        </w:rPr>
        <w:t>2U机架式服务器，配置2颗Intel Xeon Gold 5218(2.3GHz/16C)处理器，128GB（4×32GB） Registered DDR4内存，板载内存插槽24个；配置5块1.2T 10000转企业级热插拔SAS硬盘，配置独立8通道2G缓存高性能SAS RAID卡；配置4个高性能千兆网口、1个独立管理千兆网口；集成系统管理芯片，提供远程管理、远程诊断功能以及KVM OVER IP功能，支持IPMI2.0；配置1+1冗余电源，机架安装导轨及电源线，含SLIM DVD光驱；提供原厂三</w:t>
      </w:r>
      <w:r>
        <w:rPr>
          <w:rFonts w:hint="eastAsia" w:ascii="宋体" w:hAnsi="宋体" w:eastAsia="宋体"/>
        </w:rPr>
        <w:t>年免费整机硬件保修，本地原厂工程师上门设备安装调试服务。</w:t>
      </w:r>
    </w:p>
    <w:p>
      <w:pPr>
        <w:pStyle w:val="2"/>
        <w:ind w:firstLine="480"/>
      </w:pPr>
    </w:p>
    <w:p>
      <w:pPr>
        <w:spacing w:line="360" w:lineRule="auto"/>
        <w:rPr>
          <w:rFonts w:ascii="宋体" w:hAnsi="宋体" w:cs="宋体"/>
          <w:b/>
          <w:bCs/>
          <w:sz w:val="24"/>
        </w:rPr>
      </w:pPr>
      <w:r>
        <w:rPr>
          <w:rFonts w:hint="eastAsia" w:ascii="宋体" w:hAnsi="宋体" w:cs="宋体"/>
          <w:b/>
          <w:bCs/>
          <w:sz w:val="24"/>
        </w:rPr>
        <w:t>4.3医疗辅助系统</w:t>
      </w:r>
      <w:bookmarkEnd w:id="145"/>
      <w:bookmarkStart w:id="146" w:name="_Toc50546503"/>
    </w:p>
    <w:p>
      <w:pPr>
        <w:spacing w:line="360" w:lineRule="auto"/>
        <w:rPr>
          <w:rFonts w:ascii="宋体" w:hAnsi="宋体" w:cs="宋体"/>
          <w:b/>
          <w:bCs/>
          <w:sz w:val="24"/>
        </w:rPr>
      </w:pPr>
      <w:r>
        <w:rPr>
          <w:rFonts w:hint="eastAsia" w:ascii="宋体" w:hAnsi="宋体" w:cs="宋体"/>
          <w:b/>
          <w:bCs/>
          <w:sz w:val="24"/>
        </w:rPr>
        <w:t>4.3.1治疗系统</w:t>
      </w:r>
      <w:bookmarkEnd w:id="146"/>
    </w:p>
    <w:p>
      <w:pPr>
        <w:spacing w:line="360" w:lineRule="auto"/>
        <w:jc w:val="center"/>
        <w:rPr>
          <w:rFonts w:ascii="宋体" w:hAnsi="宋体" w:cs="宋体"/>
          <w:b/>
          <w:bCs/>
          <w:sz w:val="24"/>
        </w:rPr>
      </w:pPr>
      <w:r>
        <w:rPr>
          <w:rFonts w:hint="eastAsia" w:ascii="宋体" w:hAnsi="宋体" w:cs="宋体"/>
          <w:b/>
          <w:bCs/>
          <w:sz w:val="24"/>
        </w:rPr>
        <w:t>系统功能及具体要求</w:t>
      </w:r>
    </w:p>
    <w:tbl>
      <w:tblPr>
        <w:tblStyle w:val="41"/>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241"/>
        <w:gridCol w:w="1501"/>
        <w:gridCol w:w="4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Align w:val="center"/>
          </w:tcPr>
          <w:p>
            <w:pPr>
              <w:spacing w:line="360" w:lineRule="auto"/>
              <w:jc w:val="center"/>
              <w:rPr>
                <w:rFonts w:ascii="宋体" w:hAnsi="宋体" w:cs="宋体"/>
                <w:sz w:val="24"/>
              </w:rPr>
            </w:pPr>
            <w:r>
              <w:rPr>
                <w:rFonts w:hint="eastAsia" w:ascii="宋体" w:hAnsi="宋体" w:cs="宋体"/>
                <w:sz w:val="24"/>
              </w:rPr>
              <w:t>序号</w:t>
            </w:r>
          </w:p>
        </w:tc>
        <w:tc>
          <w:tcPr>
            <w:tcW w:w="1241" w:type="dxa"/>
            <w:vAlign w:val="center"/>
          </w:tcPr>
          <w:p>
            <w:pPr>
              <w:spacing w:line="360" w:lineRule="auto"/>
              <w:jc w:val="center"/>
              <w:rPr>
                <w:rFonts w:ascii="宋体" w:hAnsi="宋体" w:cs="宋体"/>
                <w:sz w:val="24"/>
              </w:rPr>
            </w:pPr>
            <w:r>
              <w:rPr>
                <w:rFonts w:hint="eastAsia" w:ascii="宋体" w:hAnsi="宋体" w:cs="宋体"/>
                <w:sz w:val="24"/>
              </w:rPr>
              <w:t>分类</w:t>
            </w:r>
          </w:p>
        </w:tc>
        <w:tc>
          <w:tcPr>
            <w:tcW w:w="1501" w:type="dxa"/>
            <w:vAlign w:val="center"/>
          </w:tcPr>
          <w:p>
            <w:pPr>
              <w:spacing w:line="360" w:lineRule="auto"/>
              <w:jc w:val="center"/>
              <w:rPr>
                <w:rFonts w:ascii="宋体" w:hAnsi="宋体" w:cs="宋体"/>
                <w:sz w:val="24"/>
              </w:rPr>
            </w:pPr>
            <w:r>
              <w:rPr>
                <w:rFonts w:hint="eastAsia" w:ascii="宋体" w:hAnsi="宋体" w:cs="宋体"/>
                <w:sz w:val="24"/>
              </w:rPr>
              <w:t>功能</w:t>
            </w:r>
          </w:p>
        </w:tc>
        <w:tc>
          <w:tcPr>
            <w:tcW w:w="4933" w:type="dxa"/>
            <w:vAlign w:val="center"/>
          </w:tcPr>
          <w:p>
            <w:pPr>
              <w:spacing w:line="360" w:lineRule="auto"/>
              <w:jc w:val="center"/>
              <w:rPr>
                <w:rFonts w:ascii="宋体" w:hAnsi="宋体" w:cs="宋体"/>
                <w:sz w:val="24"/>
              </w:rPr>
            </w:pPr>
            <w:r>
              <w:rPr>
                <w:rFonts w:hint="eastAsia" w:ascii="宋体" w:hAnsi="宋体" w:cs="宋体"/>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1</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排班管理</w:t>
            </w:r>
          </w:p>
        </w:tc>
        <w:tc>
          <w:tcPr>
            <w:tcW w:w="1501" w:type="dxa"/>
            <w:vAlign w:val="center"/>
          </w:tcPr>
          <w:p>
            <w:pPr>
              <w:spacing w:line="360" w:lineRule="auto"/>
              <w:rPr>
                <w:rFonts w:ascii="宋体" w:hAnsi="宋体" w:cs="宋体"/>
                <w:sz w:val="24"/>
              </w:rPr>
            </w:pPr>
            <w:r>
              <w:rPr>
                <w:rFonts w:hint="eastAsia" w:ascii="宋体" w:hAnsi="宋体" w:cs="宋体"/>
                <w:sz w:val="24"/>
              </w:rPr>
              <w:t>项目排班</w:t>
            </w:r>
          </w:p>
        </w:tc>
        <w:tc>
          <w:tcPr>
            <w:tcW w:w="4933" w:type="dxa"/>
            <w:vAlign w:val="center"/>
          </w:tcPr>
          <w:p>
            <w:pPr>
              <w:spacing w:line="360" w:lineRule="auto"/>
              <w:rPr>
                <w:rFonts w:ascii="宋体" w:hAnsi="宋体" w:cs="宋体"/>
                <w:sz w:val="24"/>
              </w:rPr>
            </w:pPr>
            <w:r>
              <w:rPr>
                <w:rFonts w:hint="eastAsia" w:ascii="宋体" w:hAnsi="宋体" w:cs="宋体"/>
                <w:sz w:val="24"/>
              </w:rPr>
              <w:t>可对本科室开展的治疗项目、可进行操作的医师人员进行时间排班的安排，并可进行查询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排班审核</w:t>
            </w:r>
          </w:p>
        </w:tc>
        <w:tc>
          <w:tcPr>
            <w:tcW w:w="4933" w:type="dxa"/>
            <w:vAlign w:val="center"/>
          </w:tcPr>
          <w:p>
            <w:pPr>
              <w:spacing w:line="360" w:lineRule="auto"/>
              <w:rPr>
                <w:rFonts w:ascii="宋体" w:hAnsi="宋体" w:cs="宋体"/>
                <w:sz w:val="24"/>
              </w:rPr>
            </w:pPr>
            <w:r>
              <w:rPr>
                <w:rFonts w:hint="eastAsia" w:ascii="宋体" w:hAnsi="宋体" w:cs="宋体"/>
                <w:sz w:val="24"/>
              </w:rPr>
              <w:t>对排班记录，可由医师进行审核，审核后作为已生效的排班安排可用户对患者的治疗预约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2</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治疗预约</w:t>
            </w:r>
          </w:p>
        </w:tc>
        <w:tc>
          <w:tcPr>
            <w:tcW w:w="1501" w:type="dxa"/>
            <w:vAlign w:val="center"/>
          </w:tcPr>
          <w:p>
            <w:pPr>
              <w:spacing w:line="360" w:lineRule="auto"/>
              <w:rPr>
                <w:rFonts w:ascii="宋体" w:hAnsi="宋体" w:cs="宋体"/>
                <w:sz w:val="24"/>
              </w:rPr>
            </w:pPr>
            <w:r>
              <w:rPr>
                <w:rFonts w:hint="eastAsia" w:ascii="宋体" w:hAnsi="宋体" w:cs="宋体"/>
                <w:sz w:val="24"/>
              </w:rPr>
              <w:t>治疗登记</w:t>
            </w:r>
          </w:p>
        </w:tc>
        <w:tc>
          <w:tcPr>
            <w:tcW w:w="4933" w:type="dxa"/>
            <w:vAlign w:val="center"/>
          </w:tcPr>
          <w:p>
            <w:pPr>
              <w:spacing w:line="360" w:lineRule="auto"/>
              <w:rPr>
                <w:rFonts w:ascii="宋体" w:hAnsi="宋体" w:cs="宋体"/>
                <w:sz w:val="24"/>
              </w:rPr>
            </w:pPr>
            <w:r>
              <w:rPr>
                <w:rFonts w:hint="eastAsia" w:ascii="宋体" w:hAnsi="宋体" w:cs="宋体"/>
                <w:sz w:val="24"/>
              </w:rPr>
              <w:t>可接收由临床发起的治疗申请，并能查看患者的临床信息，完成对病人的接收登记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治疗计划安排</w:t>
            </w:r>
          </w:p>
        </w:tc>
        <w:tc>
          <w:tcPr>
            <w:tcW w:w="4933" w:type="dxa"/>
            <w:vAlign w:val="center"/>
          </w:tcPr>
          <w:p>
            <w:pPr>
              <w:spacing w:line="360" w:lineRule="auto"/>
              <w:rPr>
                <w:rFonts w:ascii="宋体" w:hAnsi="宋体" w:cs="宋体"/>
                <w:sz w:val="24"/>
              </w:rPr>
            </w:pPr>
            <w:r>
              <w:rPr>
                <w:rFonts w:hint="eastAsia" w:ascii="宋体" w:hAnsi="宋体" w:cs="宋体"/>
                <w:sz w:val="24"/>
              </w:rPr>
              <w:t>可根据患者申请的治疗项目，依据该项目的排班安排，对患者治疗治疗周期中的每次治疗进行时间预约和计划安排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治疗预约查询</w:t>
            </w:r>
          </w:p>
        </w:tc>
        <w:tc>
          <w:tcPr>
            <w:tcW w:w="4933" w:type="dxa"/>
            <w:vAlign w:val="center"/>
          </w:tcPr>
          <w:p>
            <w:pPr>
              <w:spacing w:line="360" w:lineRule="auto"/>
              <w:rPr>
                <w:rFonts w:ascii="宋体" w:hAnsi="宋体" w:cs="宋体"/>
                <w:sz w:val="24"/>
              </w:rPr>
            </w:pPr>
            <w:r>
              <w:rPr>
                <w:rFonts w:hint="eastAsia" w:ascii="宋体" w:hAnsi="宋体" w:cs="宋体"/>
                <w:sz w:val="24"/>
              </w:rPr>
              <w:t>各科室可查看本科各项目已预约的患者情况，包括预约数量统计、预约时间等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3</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治疗记录</w:t>
            </w:r>
          </w:p>
        </w:tc>
        <w:tc>
          <w:tcPr>
            <w:tcW w:w="1501" w:type="dxa"/>
            <w:vAlign w:val="center"/>
          </w:tcPr>
          <w:p>
            <w:pPr>
              <w:spacing w:line="360" w:lineRule="auto"/>
              <w:rPr>
                <w:rFonts w:ascii="宋体" w:hAnsi="宋体" w:cs="宋体"/>
                <w:sz w:val="24"/>
              </w:rPr>
            </w:pPr>
            <w:r>
              <w:rPr>
                <w:rFonts w:hint="eastAsia" w:ascii="宋体" w:hAnsi="宋体" w:cs="宋体"/>
                <w:sz w:val="24"/>
              </w:rPr>
              <w:t>治疗内容管理</w:t>
            </w:r>
          </w:p>
        </w:tc>
        <w:tc>
          <w:tcPr>
            <w:tcW w:w="4933" w:type="dxa"/>
            <w:vAlign w:val="center"/>
          </w:tcPr>
          <w:p>
            <w:pPr>
              <w:spacing w:line="360" w:lineRule="auto"/>
              <w:rPr>
                <w:rFonts w:ascii="宋体" w:hAnsi="宋体" w:cs="宋体"/>
                <w:sz w:val="24"/>
              </w:rPr>
            </w:pPr>
            <w:r>
              <w:rPr>
                <w:rFonts w:hint="eastAsia" w:ascii="宋体" w:hAnsi="宋体" w:cs="宋体"/>
                <w:sz w:val="24"/>
              </w:rPr>
              <w:t>可根据各科治疗项目的特点，自定义各治疗操作中需要记录的信息内容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治疗操作记录</w:t>
            </w:r>
          </w:p>
        </w:tc>
        <w:tc>
          <w:tcPr>
            <w:tcW w:w="4933" w:type="dxa"/>
            <w:vAlign w:val="center"/>
          </w:tcPr>
          <w:p>
            <w:pPr>
              <w:spacing w:line="360" w:lineRule="auto"/>
              <w:rPr>
                <w:rFonts w:ascii="宋体" w:hAnsi="宋体" w:cs="宋体"/>
                <w:sz w:val="24"/>
              </w:rPr>
            </w:pPr>
            <w:r>
              <w:rPr>
                <w:rFonts w:hint="eastAsia" w:ascii="宋体" w:hAnsi="宋体" w:cs="宋体"/>
                <w:sz w:val="24"/>
              </w:rPr>
              <w:t>依据对患者的治疗计划安排，对患者的每次治疗操作进行接诊，并按照定义的治疗内容记录对治疗操作过程进行登记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4</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记录查询</w:t>
            </w:r>
          </w:p>
        </w:tc>
        <w:tc>
          <w:tcPr>
            <w:tcW w:w="1501" w:type="dxa"/>
            <w:vAlign w:val="center"/>
          </w:tcPr>
          <w:p>
            <w:pPr>
              <w:spacing w:line="360" w:lineRule="auto"/>
              <w:rPr>
                <w:rFonts w:ascii="宋体" w:hAnsi="宋体" w:cs="宋体"/>
                <w:sz w:val="24"/>
              </w:rPr>
            </w:pPr>
            <w:r>
              <w:rPr>
                <w:rFonts w:hint="eastAsia" w:ascii="宋体" w:hAnsi="宋体" w:cs="宋体"/>
                <w:sz w:val="24"/>
              </w:rPr>
              <w:t>排班查询</w:t>
            </w:r>
          </w:p>
        </w:tc>
        <w:tc>
          <w:tcPr>
            <w:tcW w:w="4933" w:type="dxa"/>
            <w:vAlign w:val="center"/>
          </w:tcPr>
          <w:p>
            <w:pPr>
              <w:spacing w:line="360" w:lineRule="auto"/>
              <w:rPr>
                <w:rFonts w:ascii="宋体" w:hAnsi="宋体" w:cs="宋体"/>
                <w:sz w:val="24"/>
              </w:rPr>
            </w:pPr>
            <w:r>
              <w:rPr>
                <w:rFonts w:hint="eastAsia" w:ascii="宋体" w:hAnsi="宋体" w:cs="宋体"/>
                <w:sz w:val="24"/>
              </w:rPr>
              <w:t>临床科室在对患者进行治疗申请时，可查看对应科室、治疗项目的排班安排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患者治疗计划查询</w:t>
            </w:r>
          </w:p>
        </w:tc>
        <w:tc>
          <w:tcPr>
            <w:tcW w:w="4933" w:type="dxa"/>
            <w:vAlign w:val="center"/>
          </w:tcPr>
          <w:p>
            <w:pPr>
              <w:spacing w:line="360" w:lineRule="auto"/>
              <w:rPr>
                <w:rFonts w:ascii="宋体" w:hAnsi="宋体" w:cs="宋体"/>
                <w:sz w:val="24"/>
              </w:rPr>
            </w:pPr>
            <w:r>
              <w:rPr>
                <w:rFonts w:hint="eastAsia" w:ascii="宋体" w:hAnsi="宋体" w:cs="宋体"/>
                <w:sz w:val="24"/>
              </w:rPr>
              <w:t>在治疗科室对患者治疗预约进行计划安排后，可由临床科室进行查看安排情况，以便了解对患者的治疗时间安排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1501" w:type="dxa"/>
            <w:vAlign w:val="center"/>
          </w:tcPr>
          <w:p>
            <w:pPr>
              <w:spacing w:line="360" w:lineRule="auto"/>
              <w:rPr>
                <w:rFonts w:ascii="宋体" w:hAnsi="宋体" w:cs="宋体"/>
                <w:sz w:val="24"/>
              </w:rPr>
            </w:pPr>
            <w:r>
              <w:rPr>
                <w:rFonts w:hint="eastAsia" w:ascii="宋体" w:hAnsi="宋体" w:cs="宋体"/>
                <w:sz w:val="24"/>
              </w:rPr>
              <w:t>患者治疗记录查询</w:t>
            </w:r>
          </w:p>
        </w:tc>
        <w:tc>
          <w:tcPr>
            <w:tcW w:w="4933" w:type="dxa"/>
            <w:vAlign w:val="center"/>
          </w:tcPr>
          <w:p>
            <w:pPr>
              <w:spacing w:line="360" w:lineRule="auto"/>
              <w:rPr>
                <w:rFonts w:ascii="宋体" w:hAnsi="宋体" w:cs="宋体"/>
                <w:sz w:val="24"/>
              </w:rPr>
            </w:pPr>
            <w:r>
              <w:rPr>
                <w:rFonts w:hint="eastAsia" w:ascii="宋体" w:hAnsi="宋体" w:cs="宋体"/>
                <w:sz w:val="24"/>
              </w:rPr>
              <w:t>治疗科室对患者的每次治疗操作记录，可由临床科室进行查看</w:t>
            </w:r>
          </w:p>
        </w:tc>
      </w:tr>
    </w:tbl>
    <w:p>
      <w:pPr>
        <w:pStyle w:val="5"/>
        <w:spacing w:before="480" w:line="240" w:lineRule="auto"/>
        <w:jc w:val="both"/>
        <w:rPr>
          <w:rFonts w:ascii="宋体" w:hAnsi="宋体" w:cs="宋体"/>
          <w:sz w:val="24"/>
        </w:rPr>
      </w:pPr>
      <w:bookmarkStart w:id="147" w:name="_Toc50546504"/>
      <w:bookmarkStart w:id="148" w:name="_Toc24311"/>
      <w:bookmarkStart w:id="149" w:name="_Toc23049"/>
      <w:r>
        <w:rPr>
          <w:rFonts w:hint="eastAsia" w:ascii="宋体" w:hAnsi="宋体" w:cs="宋体"/>
          <w:sz w:val="24"/>
        </w:rPr>
        <w:t>4.3.2检查系统</w:t>
      </w:r>
      <w:bookmarkEnd w:id="147"/>
      <w:bookmarkEnd w:id="148"/>
      <w:bookmarkEnd w:id="149"/>
    </w:p>
    <w:p>
      <w:pPr>
        <w:spacing w:line="360" w:lineRule="auto"/>
        <w:jc w:val="center"/>
        <w:rPr>
          <w:rFonts w:ascii="宋体" w:hAnsi="宋体" w:cs="宋体"/>
          <w:b/>
          <w:bCs/>
          <w:sz w:val="24"/>
        </w:rPr>
      </w:pPr>
      <w:r>
        <w:rPr>
          <w:rFonts w:hint="eastAsia" w:ascii="宋体" w:hAnsi="宋体" w:cs="宋体"/>
          <w:b/>
          <w:bCs/>
          <w:sz w:val="24"/>
        </w:rPr>
        <w:t>系统功能及具体要求</w:t>
      </w:r>
    </w:p>
    <w:tbl>
      <w:tblPr>
        <w:tblStyle w:val="41"/>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241"/>
        <w:gridCol w:w="2181"/>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Align w:val="center"/>
          </w:tcPr>
          <w:p>
            <w:pPr>
              <w:spacing w:line="360" w:lineRule="auto"/>
              <w:jc w:val="center"/>
              <w:rPr>
                <w:rFonts w:ascii="宋体" w:hAnsi="宋体" w:cs="宋体"/>
                <w:sz w:val="24"/>
              </w:rPr>
            </w:pPr>
            <w:r>
              <w:rPr>
                <w:rFonts w:hint="eastAsia" w:ascii="宋体" w:hAnsi="宋体" w:cs="宋体"/>
                <w:sz w:val="24"/>
              </w:rPr>
              <w:t>序号</w:t>
            </w:r>
          </w:p>
        </w:tc>
        <w:tc>
          <w:tcPr>
            <w:tcW w:w="1241" w:type="dxa"/>
            <w:vAlign w:val="center"/>
          </w:tcPr>
          <w:p>
            <w:pPr>
              <w:spacing w:line="360" w:lineRule="auto"/>
              <w:jc w:val="center"/>
              <w:rPr>
                <w:rFonts w:ascii="宋体" w:hAnsi="宋体" w:cs="宋体"/>
                <w:sz w:val="24"/>
              </w:rPr>
            </w:pPr>
            <w:r>
              <w:rPr>
                <w:rFonts w:hint="eastAsia" w:ascii="宋体" w:hAnsi="宋体" w:cs="宋体"/>
                <w:sz w:val="24"/>
              </w:rPr>
              <w:t>分类</w:t>
            </w:r>
          </w:p>
        </w:tc>
        <w:tc>
          <w:tcPr>
            <w:tcW w:w="2181" w:type="dxa"/>
            <w:vAlign w:val="center"/>
          </w:tcPr>
          <w:p>
            <w:pPr>
              <w:spacing w:line="360" w:lineRule="auto"/>
              <w:jc w:val="center"/>
              <w:rPr>
                <w:rFonts w:ascii="宋体" w:hAnsi="宋体" w:cs="宋体"/>
                <w:sz w:val="24"/>
              </w:rPr>
            </w:pPr>
            <w:r>
              <w:rPr>
                <w:rFonts w:hint="eastAsia" w:ascii="宋体" w:hAnsi="宋体" w:cs="宋体"/>
                <w:sz w:val="24"/>
              </w:rPr>
              <w:t>功能</w:t>
            </w:r>
          </w:p>
        </w:tc>
        <w:tc>
          <w:tcPr>
            <w:tcW w:w="4253" w:type="dxa"/>
            <w:vAlign w:val="center"/>
          </w:tcPr>
          <w:p>
            <w:pPr>
              <w:spacing w:line="360" w:lineRule="auto"/>
              <w:jc w:val="center"/>
              <w:rPr>
                <w:rFonts w:ascii="宋体" w:hAnsi="宋体" w:cs="宋体"/>
                <w:sz w:val="24"/>
              </w:rPr>
            </w:pPr>
            <w:r>
              <w:rPr>
                <w:rFonts w:hint="eastAsia" w:ascii="宋体" w:hAnsi="宋体" w:cs="宋体"/>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1</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排班管理</w:t>
            </w:r>
          </w:p>
        </w:tc>
        <w:tc>
          <w:tcPr>
            <w:tcW w:w="2181" w:type="dxa"/>
            <w:vAlign w:val="center"/>
          </w:tcPr>
          <w:p>
            <w:pPr>
              <w:spacing w:line="360" w:lineRule="auto"/>
              <w:rPr>
                <w:rFonts w:ascii="宋体" w:hAnsi="宋体" w:cs="宋体"/>
                <w:sz w:val="24"/>
              </w:rPr>
            </w:pPr>
            <w:r>
              <w:rPr>
                <w:rFonts w:hint="eastAsia" w:ascii="宋体" w:hAnsi="宋体" w:cs="宋体"/>
                <w:sz w:val="24"/>
              </w:rPr>
              <w:t>项目排班</w:t>
            </w:r>
          </w:p>
        </w:tc>
        <w:tc>
          <w:tcPr>
            <w:tcW w:w="4253" w:type="dxa"/>
            <w:vAlign w:val="center"/>
          </w:tcPr>
          <w:p>
            <w:pPr>
              <w:spacing w:line="360" w:lineRule="auto"/>
              <w:rPr>
                <w:rFonts w:ascii="宋体" w:hAnsi="宋体" w:cs="宋体"/>
                <w:sz w:val="24"/>
              </w:rPr>
            </w:pPr>
            <w:r>
              <w:rPr>
                <w:rFonts w:hint="eastAsia" w:ascii="宋体" w:hAnsi="宋体" w:cs="宋体"/>
                <w:sz w:val="24"/>
              </w:rPr>
              <w:t>可对本科室开展的检查项目、可进行操作的医师人员进行时间排班的安排，并可进行查询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排班审核</w:t>
            </w:r>
          </w:p>
        </w:tc>
        <w:tc>
          <w:tcPr>
            <w:tcW w:w="4253" w:type="dxa"/>
            <w:vAlign w:val="center"/>
          </w:tcPr>
          <w:p>
            <w:pPr>
              <w:spacing w:line="360" w:lineRule="auto"/>
              <w:rPr>
                <w:rFonts w:ascii="宋体" w:hAnsi="宋体" w:cs="宋体"/>
                <w:sz w:val="24"/>
              </w:rPr>
            </w:pPr>
            <w:r>
              <w:rPr>
                <w:rFonts w:hint="eastAsia" w:ascii="宋体" w:hAnsi="宋体" w:cs="宋体"/>
                <w:sz w:val="24"/>
              </w:rPr>
              <w:t>对排班记录，可由医师进行审核，审核后作为已生效的排班安排可用户对患者的检查预约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2</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检查预约</w:t>
            </w:r>
          </w:p>
        </w:tc>
        <w:tc>
          <w:tcPr>
            <w:tcW w:w="2181" w:type="dxa"/>
            <w:vAlign w:val="center"/>
          </w:tcPr>
          <w:p>
            <w:pPr>
              <w:spacing w:line="360" w:lineRule="auto"/>
              <w:rPr>
                <w:rFonts w:ascii="宋体" w:hAnsi="宋体" w:cs="宋体"/>
                <w:sz w:val="24"/>
              </w:rPr>
            </w:pPr>
            <w:r>
              <w:rPr>
                <w:rFonts w:hint="eastAsia" w:ascii="宋体" w:hAnsi="宋体" w:cs="宋体"/>
                <w:sz w:val="24"/>
              </w:rPr>
              <w:t>检查登记</w:t>
            </w:r>
          </w:p>
        </w:tc>
        <w:tc>
          <w:tcPr>
            <w:tcW w:w="4253" w:type="dxa"/>
            <w:vAlign w:val="center"/>
          </w:tcPr>
          <w:p>
            <w:pPr>
              <w:spacing w:line="360" w:lineRule="auto"/>
              <w:rPr>
                <w:rFonts w:ascii="宋体" w:hAnsi="宋体" w:cs="宋体"/>
                <w:sz w:val="24"/>
              </w:rPr>
            </w:pPr>
            <w:r>
              <w:rPr>
                <w:rFonts w:hint="eastAsia" w:ascii="宋体" w:hAnsi="宋体" w:cs="宋体"/>
                <w:sz w:val="24"/>
              </w:rPr>
              <w:t>可接收由临床发起的检查申请，并能查看患者的临床信息，完成对病人的接收登记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检查计划安排</w:t>
            </w:r>
          </w:p>
        </w:tc>
        <w:tc>
          <w:tcPr>
            <w:tcW w:w="4253" w:type="dxa"/>
            <w:vAlign w:val="center"/>
          </w:tcPr>
          <w:p>
            <w:pPr>
              <w:spacing w:line="360" w:lineRule="auto"/>
              <w:rPr>
                <w:rFonts w:ascii="宋体" w:hAnsi="宋体" w:cs="宋体"/>
                <w:sz w:val="24"/>
              </w:rPr>
            </w:pPr>
            <w:r>
              <w:rPr>
                <w:rFonts w:hint="eastAsia" w:ascii="宋体" w:hAnsi="宋体" w:cs="宋体"/>
                <w:sz w:val="24"/>
              </w:rPr>
              <w:t>可根据患者申请的检查项目，依据该项目的排班安排，对患者检查周期中的每次检查进行时间预约和计划安排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检查预约查询</w:t>
            </w:r>
          </w:p>
        </w:tc>
        <w:tc>
          <w:tcPr>
            <w:tcW w:w="4253" w:type="dxa"/>
            <w:vAlign w:val="center"/>
          </w:tcPr>
          <w:p>
            <w:pPr>
              <w:spacing w:line="360" w:lineRule="auto"/>
              <w:rPr>
                <w:rFonts w:ascii="宋体" w:hAnsi="宋体" w:cs="宋体"/>
                <w:sz w:val="24"/>
              </w:rPr>
            </w:pPr>
            <w:r>
              <w:rPr>
                <w:rFonts w:hint="eastAsia" w:ascii="宋体" w:hAnsi="宋体" w:cs="宋体"/>
                <w:sz w:val="24"/>
              </w:rPr>
              <w:t>可查看本科各项目已预约的患者情况，包括预约数量统计、预约时间等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3</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检查记录</w:t>
            </w:r>
          </w:p>
        </w:tc>
        <w:tc>
          <w:tcPr>
            <w:tcW w:w="2181" w:type="dxa"/>
            <w:vAlign w:val="center"/>
          </w:tcPr>
          <w:p>
            <w:pPr>
              <w:spacing w:line="360" w:lineRule="auto"/>
              <w:rPr>
                <w:rFonts w:ascii="宋体" w:hAnsi="宋体" w:cs="宋体"/>
                <w:sz w:val="24"/>
              </w:rPr>
            </w:pPr>
            <w:r>
              <w:rPr>
                <w:rFonts w:hint="eastAsia" w:ascii="宋体" w:hAnsi="宋体" w:cs="宋体"/>
                <w:sz w:val="24"/>
              </w:rPr>
              <w:t>检查内容管理</w:t>
            </w:r>
          </w:p>
        </w:tc>
        <w:tc>
          <w:tcPr>
            <w:tcW w:w="4253" w:type="dxa"/>
            <w:vAlign w:val="center"/>
          </w:tcPr>
          <w:p>
            <w:pPr>
              <w:spacing w:line="360" w:lineRule="auto"/>
              <w:rPr>
                <w:rFonts w:ascii="宋体" w:hAnsi="宋体" w:cs="宋体"/>
                <w:sz w:val="24"/>
              </w:rPr>
            </w:pPr>
            <w:r>
              <w:rPr>
                <w:rFonts w:hint="eastAsia" w:ascii="宋体" w:hAnsi="宋体" w:cs="宋体"/>
                <w:sz w:val="24"/>
              </w:rPr>
              <w:t>可根据各科项目的特点，自定义各检查操作中需要记录的信息内容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检查操作记录</w:t>
            </w:r>
          </w:p>
        </w:tc>
        <w:tc>
          <w:tcPr>
            <w:tcW w:w="4253" w:type="dxa"/>
            <w:vAlign w:val="center"/>
          </w:tcPr>
          <w:p>
            <w:pPr>
              <w:spacing w:line="360" w:lineRule="auto"/>
              <w:rPr>
                <w:rFonts w:ascii="宋体" w:hAnsi="宋体" w:cs="宋体"/>
                <w:sz w:val="24"/>
              </w:rPr>
            </w:pPr>
            <w:r>
              <w:rPr>
                <w:rFonts w:hint="eastAsia" w:ascii="宋体" w:hAnsi="宋体" w:cs="宋体"/>
                <w:sz w:val="24"/>
              </w:rPr>
              <w:t>依据对患者的检查计划安排，对患者的每次检查操作进行接诊，并按照定义的检查内容记录对检查操作过程进行登记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vAlign w:val="center"/>
          </w:tcPr>
          <w:p>
            <w:pPr>
              <w:spacing w:line="360" w:lineRule="auto"/>
              <w:jc w:val="center"/>
              <w:rPr>
                <w:rFonts w:ascii="宋体" w:hAnsi="宋体" w:cs="宋体"/>
                <w:sz w:val="24"/>
              </w:rPr>
            </w:pPr>
            <w:r>
              <w:rPr>
                <w:rFonts w:hint="eastAsia" w:ascii="宋体" w:hAnsi="宋体" w:cs="宋体"/>
                <w:sz w:val="24"/>
              </w:rPr>
              <w:t>4</w:t>
            </w:r>
          </w:p>
        </w:tc>
        <w:tc>
          <w:tcPr>
            <w:tcW w:w="1241" w:type="dxa"/>
            <w:vMerge w:val="restart"/>
            <w:vAlign w:val="center"/>
          </w:tcPr>
          <w:p>
            <w:pPr>
              <w:spacing w:line="360" w:lineRule="auto"/>
              <w:rPr>
                <w:rFonts w:ascii="宋体" w:hAnsi="宋体" w:cs="宋体"/>
                <w:sz w:val="24"/>
              </w:rPr>
            </w:pPr>
            <w:r>
              <w:rPr>
                <w:rFonts w:hint="eastAsia" w:ascii="宋体" w:hAnsi="宋体" w:cs="宋体"/>
                <w:sz w:val="24"/>
              </w:rPr>
              <w:t>记录查询</w:t>
            </w:r>
          </w:p>
        </w:tc>
        <w:tc>
          <w:tcPr>
            <w:tcW w:w="2181" w:type="dxa"/>
            <w:vAlign w:val="center"/>
          </w:tcPr>
          <w:p>
            <w:pPr>
              <w:spacing w:line="360" w:lineRule="auto"/>
              <w:rPr>
                <w:rFonts w:ascii="宋体" w:hAnsi="宋体" w:cs="宋体"/>
                <w:sz w:val="24"/>
              </w:rPr>
            </w:pPr>
            <w:r>
              <w:rPr>
                <w:rFonts w:hint="eastAsia" w:ascii="宋体" w:hAnsi="宋体" w:cs="宋体"/>
                <w:sz w:val="24"/>
              </w:rPr>
              <w:t>排班查询</w:t>
            </w:r>
          </w:p>
        </w:tc>
        <w:tc>
          <w:tcPr>
            <w:tcW w:w="4253" w:type="dxa"/>
            <w:vAlign w:val="center"/>
          </w:tcPr>
          <w:p>
            <w:pPr>
              <w:spacing w:line="360" w:lineRule="auto"/>
              <w:rPr>
                <w:rFonts w:ascii="宋体" w:hAnsi="宋体" w:cs="宋体"/>
                <w:sz w:val="24"/>
              </w:rPr>
            </w:pPr>
            <w:r>
              <w:rPr>
                <w:rFonts w:hint="eastAsia" w:ascii="宋体" w:hAnsi="宋体" w:cs="宋体"/>
                <w:sz w:val="24"/>
              </w:rPr>
              <w:t>临床科室在对患者进行检查申请时，可查看对应科室、检查项目的排班安排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患者检查计划查询</w:t>
            </w:r>
          </w:p>
        </w:tc>
        <w:tc>
          <w:tcPr>
            <w:tcW w:w="4253" w:type="dxa"/>
            <w:vAlign w:val="center"/>
          </w:tcPr>
          <w:p>
            <w:pPr>
              <w:spacing w:line="360" w:lineRule="auto"/>
              <w:rPr>
                <w:rFonts w:ascii="宋体" w:hAnsi="宋体" w:cs="宋体"/>
                <w:sz w:val="24"/>
              </w:rPr>
            </w:pPr>
            <w:r>
              <w:rPr>
                <w:rFonts w:hint="eastAsia" w:ascii="宋体" w:hAnsi="宋体" w:cs="宋体"/>
                <w:sz w:val="24"/>
              </w:rPr>
              <w:t>在检查科室对患者检查预约进行计划安排后，可由临床科室进行查看安排情况，以便了解对患者的检查时间安排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vAlign w:val="center"/>
          </w:tcPr>
          <w:p>
            <w:pPr>
              <w:spacing w:line="360" w:lineRule="auto"/>
              <w:jc w:val="center"/>
              <w:rPr>
                <w:rFonts w:ascii="宋体" w:hAnsi="宋体" w:cs="宋体"/>
                <w:sz w:val="24"/>
              </w:rPr>
            </w:pPr>
          </w:p>
        </w:tc>
        <w:tc>
          <w:tcPr>
            <w:tcW w:w="1241" w:type="dxa"/>
            <w:vMerge w:val="continue"/>
            <w:vAlign w:val="center"/>
          </w:tcPr>
          <w:p>
            <w:pPr>
              <w:spacing w:line="360" w:lineRule="auto"/>
              <w:rPr>
                <w:rFonts w:ascii="宋体" w:hAnsi="宋体" w:cs="宋体"/>
                <w:sz w:val="24"/>
              </w:rPr>
            </w:pPr>
          </w:p>
        </w:tc>
        <w:tc>
          <w:tcPr>
            <w:tcW w:w="2181" w:type="dxa"/>
            <w:vAlign w:val="center"/>
          </w:tcPr>
          <w:p>
            <w:pPr>
              <w:spacing w:line="360" w:lineRule="auto"/>
              <w:rPr>
                <w:rFonts w:ascii="宋体" w:hAnsi="宋体" w:cs="宋体"/>
                <w:sz w:val="24"/>
              </w:rPr>
            </w:pPr>
            <w:r>
              <w:rPr>
                <w:rFonts w:hint="eastAsia" w:ascii="宋体" w:hAnsi="宋体" w:cs="宋体"/>
                <w:sz w:val="24"/>
              </w:rPr>
              <w:t>患者检查记录查询</w:t>
            </w:r>
          </w:p>
        </w:tc>
        <w:tc>
          <w:tcPr>
            <w:tcW w:w="4253" w:type="dxa"/>
            <w:vAlign w:val="center"/>
          </w:tcPr>
          <w:p>
            <w:pPr>
              <w:spacing w:line="360" w:lineRule="auto"/>
              <w:rPr>
                <w:rFonts w:ascii="宋体" w:hAnsi="宋体" w:cs="宋体"/>
                <w:sz w:val="24"/>
              </w:rPr>
            </w:pPr>
            <w:r>
              <w:rPr>
                <w:rFonts w:hint="eastAsia" w:ascii="宋体" w:hAnsi="宋体" w:cs="宋体"/>
                <w:sz w:val="24"/>
              </w:rPr>
              <w:t>检查科室对患者的每次检查操作记录，可由临床科室进行查看</w:t>
            </w:r>
          </w:p>
        </w:tc>
      </w:tr>
    </w:tbl>
    <w:p>
      <w:pPr>
        <w:pStyle w:val="5"/>
        <w:spacing w:before="480" w:line="240" w:lineRule="auto"/>
        <w:jc w:val="both"/>
        <w:rPr>
          <w:rFonts w:ascii="宋体" w:hAnsi="宋体" w:cs="宋体"/>
          <w:sz w:val="24"/>
        </w:rPr>
      </w:pPr>
      <w:bookmarkStart w:id="150" w:name="_Toc12914"/>
      <w:bookmarkStart w:id="151" w:name="_Toc30854"/>
      <w:bookmarkStart w:id="152" w:name="_Toc50546505"/>
      <w:r>
        <w:rPr>
          <w:rFonts w:hint="eastAsia" w:ascii="宋体" w:hAnsi="宋体" w:cs="宋体"/>
          <w:sz w:val="24"/>
        </w:rPr>
        <w:t>4.3.3手术麻醉管理系统</w:t>
      </w:r>
      <w:bookmarkEnd w:id="150"/>
      <w:bookmarkEnd w:id="151"/>
      <w:bookmarkEnd w:id="152"/>
    </w:p>
    <w:p>
      <w:pPr>
        <w:pStyle w:val="79"/>
        <w:numPr>
          <w:ilvl w:val="0"/>
          <w:numId w:val="4"/>
        </w:numPr>
        <w:spacing w:line="360" w:lineRule="auto"/>
        <w:ind w:firstLineChars="0"/>
        <w:rPr>
          <w:rFonts w:ascii="宋体" w:hAnsi="宋体" w:eastAsia="宋体" w:cs="宋体"/>
          <w:sz w:val="24"/>
          <w:szCs w:val="24"/>
        </w:rPr>
      </w:pPr>
      <w:r>
        <w:rPr>
          <w:rFonts w:hint="eastAsia" w:ascii="宋体" w:hAnsi="宋体" w:eastAsia="宋体" w:cs="宋体"/>
          <w:sz w:val="24"/>
          <w:szCs w:val="24"/>
        </w:rPr>
        <w:t>项目清单：</w:t>
      </w:r>
    </w:p>
    <w:tbl>
      <w:tblPr>
        <w:tblStyle w:val="4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490"/>
        <w:gridCol w:w="1103"/>
        <w:gridCol w:w="1501"/>
        <w:gridCol w:w="1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vAlign w:val="center"/>
          </w:tcPr>
          <w:p>
            <w:pPr>
              <w:pStyle w:val="17"/>
              <w:spacing w:line="360" w:lineRule="auto"/>
              <w:jc w:val="center"/>
              <w:rPr>
                <w:rFonts w:ascii="宋体" w:hAnsi="宋体" w:eastAsia="宋体" w:cs="宋体"/>
                <w:b/>
                <w:color w:val="auto"/>
              </w:rPr>
            </w:pPr>
            <w:r>
              <w:rPr>
                <w:rFonts w:hint="eastAsia" w:ascii="宋体" w:hAnsi="宋体" w:eastAsia="宋体" w:cs="宋体"/>
                <w:b/>
                <w:color w:val="auto"/>
              </w:rPr>
              <w:t>序号</w:t>
            </w:r>
          </w:p>
        </w:tc>
        <w:tc>
          <w:tcPr>
            <w:tcW w:w="3490" w:type="dxa"/>
            <w:vAlign w:val="center"/>
          </w:tcPr>
          <w:p>
            <w:pPr>
              <w:pStyle w:val="17"/>
              <w:spacing w:line="360" w:lineRule="auto"/>
              <w:jc w:val="center"/>
              <w:rPr>
                <w:rFonts w:ascii="宋体" w:hAnsi="宋体" w:eastAsia="宋体" w:cs="宋体"/>
                <w:b/>
                <w:color w:val="auto"/>
              </w:rPr>
            </w:pPr>
            <w:r>
              <w:rPr>
                <w:rFonts w:hint="eastAsia" w:ascii="宋体" w:hAnsi="宋体" w:eastAsia="宋体" w:cs="宋体"/>
                <w:b/>
                <w:color w:val="auto"/>
              </w:rPr>
              <w:t>产品名称</w:t>
            </w:r>
          </w:p>
        </w:tc>
        <w:tc>
          <w:tcPr>
            <w:tcW w:w="1103" w:type="dxa"/>
            <w:vAlign w:val="center"/>
          </w:tcPr>
          <w:p>
            <w:pPr>
              <w:pStyle w:val="17"/>
              <w:spacing w:line="360" w:lineRule="auto"/>
              <w:jc w:val="center"/>
              <w:rPr>
                <w:rFonts w:ascii="宋体" w:hAnsi="宋体" w:eastAsia="宋体" w:cs="宋体"/>
                <w:b/>
                <w:color w:val="auto"/>
              </w:rPr>
            </w:pPr>
            <w:r>
              <w:rPr>
                <w:rFonts w:hint="eastAsia" w:ascii="宋体" w:hAnsi="宋体" w:eastAsia="宋体" w:cs="宋体"/>
                <w:b/>
                <w:color w:val="auto"/>
              </w:rPr>
              <w:t>数量</w:t>
            </w:r>
          </w:p>
        </w:tc>
        <w:tc>
          <w:tcPr>
            <w:tcW w:w="1501" w:type="dxa"/>
            <w:vAlign w:val="center"/>
          </w:tcPr>
          <w:p>
            <w:pPr>
              <w:pStyle w:val="17"/>
              <w:spacing w:line="360" w:lineRule="auto"/>
              <w:jc w:val="center"/>
              <w:rPr>
                <w:rFonts w:ascii="宋体" w:hAnsi="宋体" w:eastAsia="宋体" w:cs="宋体"/>
                <w:b/>
                <w:color w:val="auto"/>
              </w:rPr>
            </w:pPr>
            <w:r>
              <w:rPr>
                <w:rFonts w:hint="eastAsia" w:ascii="宋体" w:hAnsi="宋体" w:eastAsia="宋体" w:cs="宋体"/>
                <w:b/>
                <w:color w:val="auto"/>
              </w:rPr>
              <w:t>单位</w:t>
            </w:r>
          </w:p>
        </w:tc>
        <w:tc>
          <w:tcPr>
            <w:tcW w:w="1498" w:type="dxa"/>
            <w:vAlign w:val="center"/>
          </w:tcPr>
          <w:p>
            <w:pPr>
              <w:pStyle w:val="17"/>
              <w:spacing w:line="360" w:lineRule="auto"/>
              <w:jc w:val="center"/>
              <w:rPr>
                <w:rFonts w:ascii="宋体" w:hAnsi="宋体" w:eastAsia="宋体" w:cs="宋体"/>
                <w:b/>
                <w:color w:val="auto"/>
              </w:rPr>
            </w:pPr>
            <w:r>
              <w:rPr>
                <w:rFonts w:hint="eastAsia" w:ascii="宋体" w:hAnsi="宋体" w:eastAsia="宋体" w:cs="宋体"/>
                <w:b/>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1</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手术麻醉管理系统</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1</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套</w:t>
            </w:r>
          </w:p>
        </w:tc>
        <w:tc>
          <w:tcPr>
            <w:tcW w:w="1498" w:type="dxa"/>
          </w:tcPr>
          <w:p>
            <w:pPr>
              <w:pStyle w:val="17"/>
              <w:spacing w:line="360" w:lineRule="auto"/>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2</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lang w:bidi="ar"/>
              </w:rPr>
              <w:t>系统接口模块</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1</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套</w:t>
            </w:r>
          </w:p>
        </w:tc>
        <w:tc>
          <w:tcPr>
            <w:tcW w:w="1498" w:type="dxa"/>
          </w:tcPr>
          <w:p>
            <w:pPr>
              <w:pStyle w:val="17"/>
              <w:spacing w:line="360" w:lineRule="auto"/>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3</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计算机</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6</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台</w:t>
            </w:r>
          </w:p>
        </w:tc>
        <w:tc>
          <w:tcPr>
            <w:tcW w:w="1498" w:type="dxa"/>
          </w:tcPr>
          <w:p>
            <w:pPr>
              <w:pStyle w:val="17"/>
              <w:spacing w:line="360" w:lineRule="auto"/>
              <w:rPr>
                <w:rFonts w:ascii="宋体" w:hAnsi="宋体" w:eastAsia="宋体" w:cs="宋体"/>
                <w:color w:val="auto"/>
              </w:rPr>
            </w:pPr>
            <w:r>
              <w:rPr>
                <w:rFonts w:hint="eastAsia" w:ascii="宋体" w:hAnsi="宋体" w:eastAsia="宋体" w:cs="宋体"/>
                <w:color w:val="auto"/>
              </w:rPr>
              <w:t>一体机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4</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计算机支架</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1</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套</w:t>
            </w:r>
          </w:p>
        </w:tc>
        <w:tc>
          <w:tcPr>
            <w:tcW w:w="1498" w:type="dxa"/>
          </w:tcPr>
          <w:p>
            <w:pPr>
              <w:pStyle w:val="17"/>
              <w:spacing w:line="360" w:lineRule="auto"/>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5</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推车</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6</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套</w:t>
            </w:r>
          </w:p>
        </w:tc>
        <w:tc>
          <w:tcPr>
            <w:tcW w:w="1498" w:type="dxa"/>
          </w:tcPr>
          <w:p>
            <w:pPr>
              <w:pStyle w:val="17"/>
              <w:spacing w:line="360" w:lineRule="auto"/>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6</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激光打印机</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1</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台</w:t>
            </w:r>
          </w:p>
        </w:tc>
        <w:tc>
          <w:tcPr>
            <w:tcW w:w="1498" w:type="dxa"/>
          </w:tcPr>
          <w:p>
            <w:pPr>
              <w:pStyle w:val="17"/>
              <w:spacing w:line="360" w:lineRule="auto"/>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704"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7</w:t>
            </w:r>
          </w:p>
        </w:tc>
        <w:tc>
          <w:tcPr>
            <w:tcW w:w="3490" w:type="dxa"/>
          </w:tcPr>
          <w:p>
            <w:pPr>
              <w:pStyle w:val="17"/>
              <w:spacing w:line="360" w:lineRule="auto"/>
              <w:rPr>
                <w:rFonts w:ascii="宋体" w:hAnsi="宋体" w:eastAsia="宋体" w:cs="宋体"/>
                <w:color w:val="auto"/>
              </w:rPr>
            </w:pPr>
            <w:r>
              <w:rPr>
                <w:rFonts w:hint="eastAsia" w:ascii="宋体" w:hAnsi="宋体" w:eastAsia="宋体" w:cs="宋体"/>
                <w:color w:val="auto"/>
              </w:rPr>
              <w:t>数据采集套件</w:t>
            </w:r>
          </w:p>
        </w:tc>
        <w:tc>
          <w:tcPr>
            <w:tcW w:w="1103"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5</w:t>
            </w:r>
          </w:p>
        </w:tc>
        <w:tc>
          <w:tcPr>
            <w:tcW w:w="1501" w:type="dxa"/>
          </w:tcPr>
          <w:p>
            <w:pPr>
              <w:pStyle w:val="17"/>
              <w:spacing w:line="360" w:lineRule="auto"/>
              <w:jc w:val="center"/>
              <w:rPr>
                <w:rFonts w:ascii="宋体" w:hAnsi="宋体" w:eastAsia="宋体" w:cs="宋体"/>
                <w:color w:val="auto"/>
              </w:rPr>
            </w:pPr>
            <w:r>
              <w:rPr>
                <w:rFonts w:hint="eastAsia" w:ascii="宋体" w:hAnsi="宋体" w:eastAsia="宋体" w:cs="宋体"/>
                <w:color w:val="auto"/>
              </w:rPr>
              <w:t>套</w:t>
            </w:r>
          </w:p>
        </w:tc>
        <w:tc>
          <w:tcPr>
            <w:tcW w:w="1498" w:type="dxa"/>
          </w:tcPr>
          <w:p>
            <w:pPr>
              <w:pStyle w:val="17"/>
              <w:spacing w:line="360" w:lineRule="auto"/>
              <w:rPr>
                <w:rFonts w:ascii="宋体" w:hAnsi="宋体" w:eastAsia="宋体" w:cs="宋体"/>
                <w:color w:val="auto"/>
              </w:rPr>
            </w:pPr>
          </w:p>
        </w:tc>
      </w:tr>
    </w:tbl>
    <w:p>
      <w:pPr>
        <w:pStyle w:val="79"/>
        <w:numPr>
          <w:ilvl w:val="0"/>
          <w:numId w:val="4"/>
        </w:numPr>
        <w:spacing w:line="360" w:lineRule="auto"/>
        <w:ind w:firstLineChars="0"/>
        <w:rPr>
          <w:rFonts w:ascii="宋体" w:hAnsi="宋体" w:eastAsia="宋体" w:cs="宋体"/>
          <w:sz w:val="24"/>
          <w:szCs w:val="24"/>
        </w:rPr>
      </w:pPr>
      <w:r>
        <w:rPr>
          <w:rFonts w:hint="eastAsia" w:ascii="宋体" w:hAnsi="宋体" w:eastAsia="宋体" w:cs="宋体"/>
          <w:sz w:val="24"/>
          <w:szCs w:val="24"/>
        </w:rPr>
        <w:t>技术参数要求</w:t>
      </w:r>
    </w:p>
    <w:p>
      <w:pPr>
        <w:pStyle w:val="79"/>
        <w:spacing w:line="360" w:lineRule="auto"/>
        <w:ind w:left="987" w:firstLine="0" w:firstLineChars="0"/>
        <w:rPr>
          <w:rFonts w:ascii="宋体" w:hAnsi="宋体" w:eastAsia="宋体" w:cs="宋体"/>
          <w:sz w:val="24"/>
          <w:szCs w:val="24"/>
        </w:rPr>
      </w:pPr>
      <w:r>
        <w:rPr>
          <w:rFonts w:hint="eastAsia" w:ascii="宋体" w:hAnsi="宋体" w:eastAsia="宋体" w:cs="宋体"/>
          <w:sz w:val="24"/>
          <w:szCs w:val="24"/>
        </w:rPr>
        <w:t>2.1 软件参数</w:t>
      </w:r>
    </w:p>
    <w:tbl>
      <w:tblPr>
        <w:tblStyle w:val="41"/>
        <w:tblW w:w="8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5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spacing w:line="360" w:lineRule="auto"/>
              <w:jc w:val="left"/>
              <w:rPr>
                <w:rFonts w:ascii="宋体" w:hAnsi="宋体" w:cs="宋体"/>
                <w:sz w:val="24"/>
              </w:rPr>
            </w:pPr>
            <w:r>
              <w:rPr>
                <w:rFonts w:hint="eastAsia" w:ascii="宋体" w:hAnsi="宋体" w:cs="宋体"/>
                <w:b/>
                <w:bCs/>
                <w:sz w:val="24"/>
              </w:rPr>
              <w:t>序号</w:t>
            </w:r>
          </w:p>
        </w:tc>
        <w:tc>
          <w:tcPr>
            <w:tcW w:w="1843" w:type="dxa"/>
          </w:tcPr>
          <w:p>
            <w:pPr>
              <w:spacing w:line="360" w:lineRule="auto"/>
              <w:jc w:val="center"/>
              <w:rPr>
                <w:rFonts w:ascii="宋体" w:hAnsi="宋体" w:cs="宋体"/>
                <w:sz w:val="24"/>
              </w:rPr>
            </w:pPr>
            <w:r>
              <w:rPr>
                <w:rFonts w:hint="eastAsia" w:ascii="宋体" w:hAnsi="宋体" w:cs="宋体"/>
                <w:b/>
                <w:bCs/>
                <w:sz w:val="24"/>
              </w:rPr>
              <w:t>产品名称</w:t>
            </w:r>
          </w:p>
        </w:tc>
        <w:tc>
          <w:tcPr>
            <w:tcW w:w="5741" w:type="dxa"/>
          </w:tcPr>
          <w:p>
            <w:pPr>
              <w:spacing w:line="360" w:lineRule="auto"/>
              <w:jc w:val="center"/>
              <w:rPr>
                <w:rFonts w:ascii="宋体" w:hAnsi="宋体" w:cs="宋体"/>
                <w:sz w:val="24"/>
              </w:rPr>
            </w:pPr>
            <w:r>
              <w:rPr>
                <w:rFonts w:hint="eastAsia" w:ascii="宋体" w:hAnsi="宋体" w:cs="宋体"/>
                <w:b/>
                <w:bCs/>
                <w:sz w:val="24"/>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系统总体要求</w:t>
            </w:r>
          </w:p>
        </w:tc>
        <w:tc>
          <w:tcPr>
            <w:tcW w:w="5741" w:type="dxa"/>
            <w:vAlign w:val="center"/>
          </w:tcPr>
          <w:p>
            <w:pPr>
              <w:numPr>
                <w:ilvl w:val="0"/>
                <w:numId w:val="6"/>
              </w:numPr>
              <w:spacing w:line="360" w:lineRule="auto"/>
              <w:rPr>
                <w:rFonts w:ascii="宋体" w:hAnsi="宋体" w:cs="宋体"/>
                <w:sz w:val="24"/>
              </w:rPr>
            </w:pPr>
            <w:r>
              <w:rPr>
                <w:rFonts w:hint="eastAsia" w:ascii="宋体" w:hAnsi="宋体" w:cs="宋体"/>
                <w:sz w:val="24"/>
              </w:rPr>
              <w:t xml:space="preserve">支持接入医院信息系统、检验系统、PACS、EMR等系统； </w:t>
            </w:r>
          </w:p>
          <w:p>
            <w:pPr>
              <w:numPr>
                <w:ilvl w:val="0"/>
                <w:numId w:val="6"/>
              </w:numPr>
              <w:spacing w:line="360" w:lineRule="auto"/>
              <w:rPr>
                <w:rFonts w:ascii="宋体" w:hAnsi="宋体" w:cs="宋体"/>
                <w:sz w:val="24"/>
              </w:rPr>
            </w:pPr>
            <w:r>
              <w:rPr>
                <w:rFonts w:hint="eastAsia" w:ascii="宋体" w:hAnsi="宋体" w:cs="宋体"/>
                <w:sz w:val="24"/>
              </w:rPr>
              <w:t>数据自动采集，实时获取来自床旁监护仪、麻醉机上患者生命体征信息；</w:t>
            </w:r>
          </w:p>
          <w:p>
            <w:pPr>
              <w:numPr>
                <w:ilvl w:val="0"/>
                <w:numId w:val="6"/>
              </w:numPr>
              <w:spacing w:line="360" w:lineRule="auto"/>
              <w:rPr>
                <w:rFonts w:ascii="宋体" w:hAnsi="宋体" w:cs="宋体"/>
                <w:sz w:val="24"/>
              </w:rPr>
            </w:pPr>
            <w:r>
              <w:rPr>
                <w:rFonts w:hint="eastAsia" w:ascii="宋体" w:hAnsi="宋体" w:cs="宋体"/>
                <w:sz w:val="24"/>
              </w:rPr>
              <w:t>支持配置麻醉事件、麻醉方法字典；支持公有、私有模板；</w:t>
            </w:r>
          </w:p>
          <w:p>
            <w:pPr>
              <w:numPr>
                <w:ilvl w:val="0"/>
                <w:numId w:val="6"/>
              </w:numPr>
              <w:spacing w:line="360" w:lineRule="auto"/>
              <w:rPr>
                <w:rFonts w:ascii="宋体" w:hAnsi="宋体" w:cs="宋体"/>
                <w:sz w:val="24"/>
              </w:rPr>
            </w:pPr>
            <w:r>
              <w:rPr>
                <w:rFonts w:hint="eastAsia" w:ascii="宋体" w:hAnsi="宋体" w:cs="宋体"/>
                <w:sz w:val="24"/>
              </w:rPr>
              <w:t>能够完成麻醉科从术前、排班、术中、复苏、术后完整的围术期无纸化、信息化流程。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术前信息管理</w:t>
            </w:r>
          </w:p>
        </w:tc>
        <w:tc>
          <w:tcPr>
            <w:tcW w:w="5741" w:type="dxa"/>
            <w:vAlign w:val="center"/>
          </w:tcPr>
          <w:p>
            <w:pPr>
              <w:numPr>
                <w:ilvl w:val="0"/>
                <w:numId w:val="7"/>
              </w:numPr>
              <w:spacing w:line="360" w:lineRule="auto"/>
              <w:rPr>
                <w:rFonts w:ascii="宋体" w:hAnsi="宋体" w:cs="宋体"/>
                <w:sz w:val="24"/>
              </w:rPr>
            </w:pPr>
            <w:r>
              <w:rPr>
                <w:rFonts w:hint="eastAsia" w:ascii="宋体" w:hAnsi="宋体" w:cs="宋体"/>
                <w:sz w:val="24"/>
              </w:rPr>
              <w:t>能够批量接收HIS系统下达的手术申请信息；</w:t>
            </w:r>
          </w:p>
          <w:p>
            <w:pPr>
              <w:numPr>
                <w:ilvl w:val="0"/>
                <w:numId w:val="7"/>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针对最新下达的手术申请，实时推送提醒功能</w:t>
            </w:r>
          </w:p>
          <w:p>
            <w:pPr>
              <w:numPr>
                <w:ilvl w:val="0"/>
                <w:numId w:val="7"/>
              </w:numPr>
              <w:spacing w:line="360" w:lineRule="auto"/>
              <w:rPr>
                <w:rFonts w:ascii="宋体" w:hAnsi="宋体" w:cs="宋体"/>
                <w:sz w:val="24"/>
              </w:rPr>
            </w:pPr>
            <w:r>
              <w:rPr>
                <w:rFonts w:hint="eastAsia" w:ascii="宋体" w:hAnsi="宋体" w:cs="宋体"/>
                <w:sz w:val="24"/>
              </w:rPr>
              <w:t>能够按照医院要求的格式自动生成术前访视单，并记录患者基本信息、麻醉方法、术中困难等；</w:t>
            </w:r>
          </w:p>
          <w:p>
            <w:pPr>
              <w:numPr>
                <w:ilvl w:val="0"/>
                <w:numId w:val="7"/>
              </w:numPr>
              <w:spacing w:line="360" w:lineRule="auto"/>
              <w:rPr>
                <w:rFonts w:ascii="宋体" w:hAnsi="宋体" w:cs="宋体"/>
                <w:sz w:val="24"/>
              </w:rPr>
            </w:pPr>
            <w:r>
              <w:rPr>
                <w:rFonts w:hint="eastAsia" w:ascii="宋体" w:hAnsi="宋体" w:cs="宋体"/>
                <w:sz w:val="24"/>
              </w:rPr>
              <w:t>能通过录入患者基本信息进行急诊手术，提供快速安排患者进行手术功能；</w:t>
            </w:r>
          </w:p>
          <w:p>
            <w:pPr>
              <w:numPr>
                <w:ilvl w:val="0"/>
                <w:numId w:val="7"/>
              </w:numPr>
              <w:spacing w:line="360" w:lineRule="auto"/>
              <w:rPr>
                <w:rFonts w:ascii="宋体" w:hAnsi="宋体" w:cs="宋体"/>
                <w:sz w:val="24"/>
              </w:rPr>
            </w:pPr>
            <w:r>
              <w:rPr>
                <w:rFonts w:hint="eastAsia" w:ascii="宋体" w:hAnsi="宋体" w:cs="宋体"/>
                <w:sz w:val="24"/>
              </w:rPr>
              <w:t>能够按照医院要求的格式自动生成患者知情同意书；</w:t>
            </w:r>
          </w:p>
          <w:p>
            <w:pPr>
              <w:numPr>
                <w:ilvl w:val="0"/>
                <w:numId w:val="7"/>
              </w:numPr>
              <w:spacing w:line="360" w:lineRule="auto"/>
              <w:rPr>
                <w:rFonts w:ascii="宋体" w:hAnsi="宋体" w:cs="宋体"/>
                <w:sz w:val="24"/>
              </w:rPr>
            </w:pPr>
            <w:r>
              <w:rPr>
                <w:rFonts w:hint="eastAsia" w:ascii="宋体" w:hAnsi="宋体" w:cs="宋体"/>
                <w:sz w:val="24"/>
              </w:rPr>
              <w:t>能够根据患者病情、病史以及麻醉方法等，麻醉医生将据此用于拟定患者麻醉计划；</w:t>
            </w:r>
          </w:p>
          <w:p>
            <w:pPr>
              <w:numPr>
                <w:ilvl w:val="0"/>
                <w:numId w:val="7"/>
              </w:numPr>
              <w:spacing w:line="360" w:lineRule="auto"/>
              <w:rPr>
                <w:rFonts w:ascii="宋体" w:hAnsi="宋体" w:cs="宋体"/>
                <w:sz w:val="24"/>
              </w:rPr>
            </w:pPr>
            <w:r>
              <w:rPr>
                <w:rFonts w:hint="eastAsia" w:ascii="宋体" w:hAnsi="宋体" w:cs="宋体"/>
                <w:sz w:val="24"/>
              </w:rPr>
              <w:t>能够与HIS系统集成，提取患者基本信息、医嘱信息、住院信息、手术申请信息等；</w:t>
            </w:r>
          </w:p>
          <w:p>
            <w:pPr>
              <w:numPr>
                <w:ilvl w:val="0"/>
                <w:numId w:val="7"/>
              </w:numPr>
              <w:spacing w:line="360" w:lineRule="auto"/>
              <w:rPr>
                <w:rFonts w:ascii="宋体" w:hAnsi="宋体" w:cs="宋体"/>
                <w:sz w:val="24"/>
              </w:rPr>
            </w:pPr>
            <w:r>
              <w:rPr>
                <w:rFonts w:hint="eastAsia" w:ascii="宋体" w:hAnsi="宋体" w:cs="宋体"/>
                <w:sz w:val="24"/>
              </w:rPr>
              <w:t>能够根据医院要求生成手术通知单、能够根据麻醉医生安排排班，将安排情况生成排班表。</w:t>
            </w:r>
          </w:p>
          <w:p>
            <w:pPr>
              <w:numPr>
                <w:ilvl w:val="0"/>
                <w:numId w:val="7"/>
              </w:numPr>
              <w:spacing w:line="360" w:lineRule="auto"/>
              <w:rPr>
                <w:rFonts w:ascii="宋体" w:hAnsi="宋体" w:cs="宋体"/>
                <w:sz w:val="24"/>
              </w:rPr>
            </w:pPr>
            <w:r>
              <w:rPr>
                <w:rFonts w:hint="eastAsia" w:ascii="宋体" w:hAnsi="宋体" w:cs="宋体"/>
                <w:sz w:val="24"/>
              </w:rPr>
              <w:t>▲医生可使用手麻平板终端（非网页浏览）在病房对病人进行术前的访视，无网络情况下离线访视，所有的访视信息通过平板终端进行录入，避免二次录入。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术中信息管理</w:t>
            </w:r>
          </w:p>
        </w:tc>
        <w:tc>
          <w:tcPr>
            <w:tcW w:w="5741" w:type="dxa"/>
            <w:vAlign w:val="center"/>
          </w:tcPr>
          <w:p>
            <w:pPr>
              <w:numPr>
                <w:ilvl w:val="0"/>
                <w:numId w:val="8"/>
              </w:numPr>
              <w:spacing w:line="360" w:lineRule="auto"/>
              <w:rPr>
                <w:rFonts w:ascii="宋体" w:hAnsi="宋体" w:cs="宋体"/>
                <w:sz w:val="24"/>
              </w:rPr>
            </w:pPr>
            <w:r>
              <w:rPr>
                <w:rFonts w:hint="eastAsia" w:ascii="宋体" w:hAnsi="宋体" w:cs="宋体"/>
                <w:sz w:val="24"/>
              </w:rPr>
              <w:t xml:space="preserve">软件操作界面以整张麻醉单作为主要工作区，所见即所得； </w:t>
            </w:r>
          </w:p>
          <w:p>
            <w:pPr>
              <w:numPr>
                <w:ilvl w:val="0"/>
                <w:numId w:val="8"/>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 xml:space="preserve">能够对于工作区域的麻醉单，能够自由放大缩小，便于全面查看整张麻醉单； </w:t>
            </w:r>
          </w:p>
          <w:p>
            <w:pPr>
              <w:numPr>
                <w:ilvl w:val="0"/>
                <w:numId w:val="8"/>
              </w:numPr>
              <w:spacing w:line="360" w:lineRule="auto"/>
              <w:rPr>
                <w:rFonts w:ascii="宋体" w:hAnsi="宋体" w:cs="宋体"/>
                <w:sz w:val="24"/>
              </w:rPr>
            </w:pPr>
            <w:r>
              <w:rPr>
                <w:rFonts w:hint="eastAsia" w:ascii="宋体" w:hAnsi="宋体" w:cs="宋体"/>
                <w:sz w:val="24"/>
              </w:rPr>
              <w:t>记录显示患者基本信息、术中麻醉事件、药品输液、生命体征趋势等详细信息，形成麻醉记录单，支持麻醉事件模板套用快速录入；</w:t>
            </w:r>
          </w:p>
          <w:p>
            <w:pPr>
              <w:numPr>
                <w:ilvl w:val="0"/>
                <w:numId w:val="8"/>
              </w:numPr>
              <w:spacing w:line="360" w:lineRule="auto"/>
              <w:rPr>
                <w:rFonts w:ascii="宋体" w:hAnsi="宋体" w:cs="宋体"/>
                <w:sz w:val="24"/>
              </w:rPr>
            </w:pPr>
            <w:r>
              <w:rPr>
                <w:rFonts w:hint="eastAsia" w:ascii="宋体" w:hAnsi="宋体" w:cs="宋体"/>
                <w:sz w:val="24"/>
              </w:rPr>
              <w:t>将获取到的监护体征数据按医疗规范要求的时间间隔自动在麻醉单上绘制出体征趋势图；</w:t>
            </w:r>
          </w:p>
          <w:p>
            <w:pPr>
              <w:numPr>
                <w:ilvl w:val="0"/>
                <w:numId w:val="8"/>
              </w:numPr>
              <w:spacing w:line="360" w:lineRule="auto"/>
              <w:rPr>
                <w:rFonts w:ascii="宋体" w:hAnsi="宋体" w:cs="宋体"/>
                <w:sz w:val="24"/>
              </w:rPr>
            </w:pPr>
            <w:r>
              <w:rPr>
                <w:rFonts w:hint="eastAsia" w:ascii="宋体" w:hAnsi="宋体" w:cs="宋体"/>
                <w:sz w:val="24"/>
              </w:rPr>
              <w:t>根据术中自动采集及术中体征数据可修改，且有体征参数修改后留痕功能；</w:t>
            </w:r>
          </w:p>
          <w:p>
            <w:pPr>
              <w:numPr>
                <w:ilvl w:val="0"/>
                <w:numId w:val="8"/>
              </w:numPr>
              <w:spacing w:line="360" w:lineRule="auto"/>
              <w:rPr>
                <w:rFonts w:ascii="宋体" w:hAnsi="宋体" w:cs="宋体"/>
                <w:sz w:val="24"/>
              </w:rPr>
            </w:pPr>
            <w:r>
              <w:rPr>
                <w:rFonts w:hint="eastAsia" w:ascii="宋体" w:hAnsi="宋体" w:cs="宋体"/>
                <w:sz w:val="24"/>
              </w:rPr>
              <w:t>记录患者手术过程中的护理情况，形成护理记录单；</w:t>
            </w:r>
          </w:p>
          <w:p>
            <w:pPr>
              <w:numPr>
                <w:ilvl w:val="0"/>
                <w:numId w:val="8"/>
              </w:numPr>
              <w:spacing w:line="360" w:lineRule="auto"/>
              <w:rPr>
                <w:rFonts w:ascii="宋体" w:hAnsi="宋体" w:cs="宋体"/>
                <w:sz w:val="24"/>
              </w:rPr>
            </w:pPr>
            <w:r>
              <w:rPr>
                <w:rFonts w:hint="eastAsia" w:ascii="宋体" w:hAnsi="宋体" w:cs="宋体"/>
                <w:sz w:val="24"/>
              </w:rPr>
              <w:t>记录手术器械的名称及术前、术中关前及关后器械核对后的数量，形成手术清点单。支持通过模板套用录入；</w:t>
            </w:r>
          </w:p>
          <w:p>
            <w:pPr>
              <w:numPr>
                <w:ilvl w:val="0"/>
                <w:numId w:val="8"/>
              </w:numPr>
              <w:spacing w:line="360" w:lineRule="auto"/>
              <w:rPr>
                <w:rFonts w:ascii="宋体" w:hAnsi="宋体" w:cs="宋体"/>
                <w:sz w:val="24"/>
              </w:rPr>
            </w:pPr>
            <w:r>
              <w:rPr>
                <w:rFonts w:hint="eastAsia" w:ascii="宋体" w:hAnsi="宋体" w:cs="宋体"/>
                <w:sz w:val="24"/>
              </w:rPr>
              <w:t>能够通过下拉菜单、拼音字头模糊检索出药品、事件字典信息，实现麻醉事件及用药的快速录入；</w:t>
            </w:r>
          </w:p>
          <w:p>
            <w:pPr>
              <w:numPr>
                <w:ilvl w:val="0"/>
                <w:numId w:val="8"/>
              </w:numPr>
              <w:spacing w:line="360" w:lineRule="auto"/>
              <w:rPr>
                <w:rFonts w:ascii="宋体" w:hAnsi="宋体" w:cs="宋体"/>
                <w:sz w:val="24"/>
              </w:rPr>
            </w:pPr>
            <w:r>
              <w:rPr>
                <w:rFonts w:hint="eastAsia" w:ascii="宋体" w:hAnsi="宋体" w:cs="宋体"/>
                <w:sz w:val="24"/>
              </w:rPr>
              <w:t>麻醉记录单生命体征间隔默认5分钟程现，也可个性化1分钟，2分钟等实时计算呈现，实时掌握患者体征；</w:t>
            </w:r>
          </w:p>
          <w:p>
            <w:pPr>
              <w:numPr>
                <w:ilvl w:val="0"/>
                <w:numId w:val="8"/>
              </w:numPr>
              <w:spacing w:line="360" w:lineRule="auto"/>
              <w:rPr>
                <w:rFonts w:ascii="宋体" w:hAnsi="宋体" w:cs="宋体"/>
                <w:sz w:val="24"/>
              </w:rPr>
            </w:pPr>
            <w:r>
              <w:rPr>
                <w:rFonts w:hint="eastAsia" w:ascii="宋体" w:hAnsi="宋体" w:cs="宋体"/>
                <w:sz w:val="24"/>
              </w:rPr>
              <w:t>能够在现有用药事件基础上实现快速追加录入；</w:t>
            </w:r>
          </w:p>
          <w:p>
            <w:pPr>
              <w:numPr>
                <w:ilvl w:val="0"/>
                <w:numId w:val="8"/>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 xml:space="preserve">能够在麻醉单上自由地添加备注文字信息、箭头以及标注框； </w:t>
            </w:r>
          </w:p>
          <w:p>
            <w:pPr>
              <w:numPr>
                <w:ilvl w:val="0"/>
                <w:numId w:val="8"/>
              </w:numPr>
              <w:spacing w:line="360" w:lineRule="auto"/>
              <w:rPr>
                <w:rFonts w:ascii="宋体" w:hAnsi="宋体" w:cs="宋体"/>
                <w:sz w:val="24"/>
              </w:rPr>
            </w:pPr>
            <w:r>
              <w:rPr>
                <w:rFonts w:hint="eastAsia" w:ascii="宋体" w:hAnsi="宋体" w:cs="宋体"/>
                <w:sz w:val="24"/>
              </w:rPr>
              <w:t>麻醉单上气管插管方式，采用弹框式对话框，不占用其他空间；</w:t>
            </w:r>
          </w:p>
          <w:p>
            <w:pPr>
              <w:numPr>
                <w:ilvl w:val="0"/>
                <w:numId w:val="8"/>
              </w:numPr>
              <w:spacing w:line="360" w:lineRule="auto"/>
              <w:rPr>
                <w:rFonts w:ascii="宋体" w:hAnsi="宋体" w:cs="宋体"/>
                <w:sz w:val="24"/>
              </w:rPr>
            </w:pPr>
            <w:r>
              <w:rPr>
                <w:rFonts w:hint="eastAsia" w:ascii="宋体" w:hAnsi="宋体" w:cs="宋体"/>
                <w:sz w:val="24"/>
              </w:rPr>
              <w:t>能够直接在麻醉单上添加药物和事件，快速录入。避免多次切换菜单和对话框，提高易用性和工作效率；</w:t>
            </w:r>
          </w:p>
          <w:p>
            <w:pPr>
              <w:numPr>
                <w:ilvl w:val="0"/>
                <w:numId w:val="8"/>
              </w:numPr>
              <w:spacing w:line="360" w:lineRule="auto"/>
              <w:rPr>
                <w:rFonts w:ascii="宋体" w:hAnsi="宋体" w:cs="宋体"/>
                <w:sz w:val="24"/>
              </w:rPr>
            </w:pPr>
            <w:r>
              <w:rPr>
                <w:rFonts w:hint="eastAsia" w:ascii="宋体" w:hAnsi="宋体" w:cs="宋体"/>
                <w:sz w:val="24"/>
              </w:rPr>
              <w:t>能够实现麻醉单模板套用，并支持以公有和私有的方式管理麻醉记录单模板；</w:t>
            </w:r>
          </w:p>
          <w:p>
            <w:pPr>
              <w:numPr>
                <w:ilvl w:val="0"/>
                <w:numId w:val="8"/>
              </w:numPr>
              <w:spacing w:line="360" w:lineRule="auto"/>
              <w:rPr>
                <w:rFonts w:ascii="宋体" w:hAnsi="宋体" w:cs="宋体"/>
                <w:sz w:val="24"/>
              </w:rPr>
            </w:pPr>
            <w:r>
              <w:rPr>
                <w:rFonts w:hint="eastAsia" w:ascii="宋体" w:hAnsi="宋体" w:cs="宋体"/>
                <w:sz w:val="24"/>
              </w:rPr>
              <w:t>支持设置体征参数在麻醉单上的显示方式，提供两种以上不同风格供选择；</w:t>
            </w:r>
          </w:p>
          <w:p>
            <w:pPr>
              <w:numPr>
                <w:ilvl w:val="0"/>
                <w:numId w:val="8"/>
              </w:numPr>
              <w:spacing w:line="360" w:lineRule="auto"/>
              <w:rPr>
                <w:rFonts w:ascii="宋体" w:hAnsi="宋体" w:cs="宋体"/>
                <w:sz w:val="24"/>
              </w:rPr>
            </w:pPr>
            <w:r>
              <w:rPr>
                <w:rFonts w:hint="eastAsia" w:ascii="宋体" w:hAnsi="宋体" w:cs="宋体"/>
                <w:sz w:val="24"/>
              </w:rPr>
              <w:t>能够模拟监护仪对体征参数进行实时动态显示，同时不干扰麻醉记录单趋势图的正常显示；</w:t>
            </w:r>
          </w:p>
          <w:p>
            <w:pPr>
              <w:numPr>
                <w:ilvl w:val="0"/>
                <w:numId w:val="8"/>
              </w:numPr>
              <w:spacing w:line="360" w:lineRule="auto"/>
              <w:rPr>
                <w:rFonts w:ascii="宋体" w:hAnsi="宋体" w:cs="宋体"/>
                <w:sz w:val="24"/>
              </w:rPr>
            </w:pPr>
            <w:r>
              <w:rPr>
                <w:rFonts w:hint="eastAsia" w:ascii="宋体" w:hAnsi="宋体" w:cs="宋体"/>
                <w:sz w:val="24"/>
              </w:rPr>
              <w:t>能够实现床旁血气数据采集，以两种不同方式生成血气分析事件并显示数据；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术后信息管理</w:t>
            </w:r>
          </w:p>
        </w:tc>
        <w:tc>
          <w:tcPr>
            <w:tcW w:w="5741" w:type="dxa"/>
            <w:vAlign w:val="center"/>
          </w:tcPr>
          <w:p>
            <w:pPr>
              <w:numPr>
                <w:ilvl w:val="0"/>
                <w:numId w:val="9"/>
              </w:numPr>
              <w:spacing w:line="360" w:lineRule="auto"/>
              <w:rPr>
                <w:rFonts w:ascii="宋体" w:hAnsi="宋体" w:cs="宋体"/>
                <w:sz w:val="24"/>
              </w:rPr>
            </w:pPr>
            <w:r>
              <w:rPr>
                <w:rFonts w:hint="eastAsia" w:ascii="宋体" w:hAnsi="宋体" w:cs="宋体"/>
                <w:sz w:val="24"/>
              </w:rPr>
              <w:t>提供术后恢复PACU生命体征记录、护理管理计划以及用药记录，并打印出恢复记录单。</w:t>
            </w:r>
          </w:p>
          <w:p>
            <w:pPr>
              <w:numPr>
                <w:ilvl w:val="0"/>
                <w:numId w:val="9"/>
              </w:numPr>
              <w:spacing w:line="360" w:lineRule="auto"/>
              <w:rPr>
                <w:rFonts w:ascii="宋体" w:hAnsi="宋体" w:cs="宋体"/>
                <w:sz w:val="24"/>
              </w:rPr>
            </w:pPr>
            <w:r>
              <w:rPr>
                <w:rFonts w:hint="eastAsia" w:ascii="宋体" w:hAnsi="宋体" w:cs="宋体"/>
                <w:sz w:val="24"/>
              </w:rPr>
              <w:t>能够单击用药模块可实现快速用药录入；</w:t>
            </w:r>
          </w:p>
          <w:p>
            <w:pPr>
              <w:numPr>
                <w:ilvl w:val="0"/>
                <w:numId w:val="9"/>
              </w:numPr>
              <w:spacing w:line="360" w:lineRule="auto"/>
              <w:rPr>
                <w:rFonts w:ascii="宋体" w:hAnsi="宋体" w:cs="宋体"/>
                <w:sz w:val="24"/>
              </w:rPr>
            </w:pPr>
            <w:r>
              <w:rPr>
                <w:rFonts w:hint="eastAsia" w:ascii="宋体" w:hAnsi="宋体" w:cs="宋体"/>
                <w:sz w:val="24"/>
              </w:rPr>
              <w:t>可对术后患者进行手术信息补录；</w:t>
            </w:r>
          </w:p>
          <w:p>
            <w:pPr>
              <w:numPr>
                <w:ilvl w:val="0"/>
                <w:numId w:val="9"/>
              </w:numPr>
              <w:spacing w:line="360" w:lineRule="auto"/>
              <w:rPr>
                <w:rFonts w:ascii="宋体" w:hAnsi="宋体" w:cs="宋体"/>
                <w:sz w:val="24"/>
              </w:rPr>
            </w:pPr>
            <w:r>
              <w:rPr>
                <w:rFonts w:hint="eastAsia" w:ascii="宋体" w:hAnsi="宋体" w:cs="宋体"/>
                <w:sz w:val="24"/>
              </w:rPr>
              <w:t>提供术后随访和术后镇痛文书格式，记录患者术后访视结果和术后镇痛信息，并自动生成术后随访单和术后镇痛单；</w:t>
            </w:r>
          </w:p>
          <w:p>
            <w:pPr>
              <w:numPr>
                <w:ilvl w:val="0"/>
                <w:numId w:val="9"/>
              </w:numPr>
              <w:spacing w:line="360" w:lineRule="auto"/>
              <w:rPr>
                <w:rFonts w:ascii="宋体" w:hAnsi="宋体" w:cs="宋体"/>
                <w:sz w:val="24"/>
              </w:rPr>
            </w:pPr>
            <w:r>
              <w:rPr>
                <w:rFonts w:hint="eastAsia" w:ascii="宋体" w:hAnsi="宋体" w:cs="宋体"/>
                <w:sz w:val="24"/>
              </w:rPr>
              <w:t xml:space="preserve">可创建麻醉小结模板，支持不同类型手术麻醉过程描述，形成麻醉总结单； </w:t>
            </w:r>
          </w:p>
          <w:p>
            <w:pPr>
              <w:numPr>
                <w:ilvl w:val="0"/>
                <w:numId w:val="9"/>
              </w:numPr>
              <w:spacing w:line="360" w:lineRule="auto"/>
              <w:rPr>
                <w:rFonts w:ascii="宋体" w:hAnsi="宋体" w:cs="宋体"/>
                <w:sz w:val="24"/>
              </w:rPr>
            </w:pPr>
            <w:r>
              <w:rPr>
                <w:rFonts w:hint="eastAsia" w:ascii="宋体" w:hAnsi="宋体" w:cs="宋体"/>
                <w:sz w:val="24"/>
              </w:rPr>
              <w:t>提供麻醉复苏（Steward苏醒评分）。</w:t>
            </w:r>
            <w:r>
              <w:rPr>
                <w:rFonts w:hint="eastAsia" w:ascii="宋体" w:hAnsi="宋体" w:cs="宋体"/>
                <w:sz w:val="24"/>
              </w:rPr>
              <w:br w:type="textWrapping"/>
            </w:r>
            <w:r>
              <w:rPr>
                <w:rFonts w:hint="eastAsia" w:ascii="宋体" w:hAnsi="宋体" w:cs="宋体"/>
                <w:sz w:val="24"/>
              </w:rPr>
              <w:t>7.可统计术中收费耗材，药品费用明细，回传HIS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科主任管理</w:t>
            </w:r>
          </w:p>
        </w:tc>
        <w:tc>
          <w:tcPr>
            <w:tcW w:w="5741" w:type="dxa"/>
            <w:vAlign w:val="center"/>
          </w:tcPr>
          <w:p>
            <w:pPr>
              <w:numPr>
                <w:ilvl w:val="0"/>
                <w:numId w:val="10"/>
              </w:numPr>
              <w:spacing w:line="360" w:lineRule="auto"/>
              <w:rPr>
                <w:rFonts w:ascii="宋体" w:hAnsi="宋体" w:cs="宋体"/>
                <w:sz w:val="24"/>
              </w:rPr>
            </w:pPr>
            <w:r>
              <w:rPr>
                <w:rFonts w:hint="eastAsia" w:ascii="宋体" w:hAnsi="宋体" w:cs="宋体"/>
                <w:sz w:val="24"/>
              </w:rPr>
              <w:t>能够提供当天各手术室使用情况和手术进程整体预览；</w:t>
            </w:r>
          </w:p>
          <w:p>
            <w:pPr>
              <w:numPr>
                <w:ilvl w:val="0"/>
                <w:numId w:val="10"/>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能够在同一个屏幕上预览多个手术间麻醉单完成情况，实时刷新；（提供麻醉主任工作站软件著作权证书）</w:t>
            </w:r>
          </w:p>
          <w:p>
            <w:pPr>
              <w:numPr>
                <w:ilvl w:val="0"/>
                <w:numId w:val="10"/>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能够同一屏幕上可以切换到任意手术间对手术进程进行监控，查看手术实时信息、手术进展情况、术中用药。（提供麻醉状态远程监控软件著作权证书）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麻醉质量管理</w:t>
            </w:r>
          </w:p>
        </w:tc>
        <w:tc>
          <w:tcPr>
            <w:tcW w:w="5741" w:type="dxa"/>
            <w:vAlign w:val="center"/>
          </w:tcPr>
          <w:p>
            <w:pPr>
              <w:spacing w:line="360" w:lineRule="auto"/>
              <w:rPr>
                <w:rFonts w:ascii="宋体" w:hAnsi="宋体" w:cs="宋体"/>
                <w:sz w:val="24"/>
              </w:rPr>
            </w:pPr>
            <w:r>
              <w:rPr>
                <w:rFonts w:hint="eastAsia" w:ascii="宋体" w:hAnsi="宋体" w:cs="宋体"/>
                <w:sz w:val="24"/>
              </w:rPr>
              <w:t>1、自动汇总质控相关数据，便于科室定期自查。具体监测项目包括：</w:t>
            </w:r>
          </w:p>
          <w:p>
            <w:pPr>
              <w:spacing w:line="360" w:lineRule="auto"/>
              <w:rPr>
                <w:rFonts w:ascii="宋体" w:hAnsi="宋体" w:cs="宋体"/>
                <w:sz w:val="24"/>
              </w:rPr>
            </w:pPr>
            <w:r>
              <w:rPr>
                <w:rFonts w:hint="eastAsia" w:ascii="宋体" w:hAnsi="宋体" w:cs="宋体"/>
                <w:sz w:val="24"/>
              </w:rPr>
              <w:t>1）麻醉总例数/季/年；</w:t>
            </w:r>
          </w:p>
          <w:p>
            <w:pPr>
              <w:spacing w:line="360" w:lineRule="auto"/>
              <w:rPr>
                <w:rFonts w:ascii="宋体" w:hAnsi="宋体" w:cs="宋体"/>
                <w:sz w:val="24"/>
              </w:rPr>
            </w:pPr>
            <w:r>
              <w:rPr>
                <w:rFonts w:hint="eastAsia" w:ascii="宋体" w:hAnsi="宋体" w:cs="宋体"/>
                <w:sz w:val="24"/>
              </w:rPr>
              <w:t>2）由麻醉医师实施镇痛治疗例数/季/年；</w:t>
            </w:r>
          </w:p>
          <w:p>
            <w:pPr>
              <w:spacing w:line="360" w:lineRule="auto"/>
              <w:rPr>
                <w:rFonts w:ascii="宋体" w:hAnsi="宋体" w:cs="宋体"/>
                <w:sz w:val="24"/>
              </w:rPr>
            </w:pPr>
            <w:r>
              <w:rPr>
                <w:rFonts w:hint="eastAsia" w:ascii="宋体" w:hAnsi="宋体" w:cs="宋体"/>
                <w:sz w:val="24"/>
              </w:rPr>
              <w:t>3）由麻醉医师实施心肺复苏治疗例数/季/年；</w:t>
            </w:r>
          </w:p>
          <w:p>
            <w:pPr>
              <w:spacing w:line="360" w:lineRule="auto"/>
              <w:rPr>
                <w:rFonts w:ascii="宋体" w:hAnsi="宋体" w:cs="宋体"/>
                <w:sz w:val="24"/>
              </w:rPr>
            </w:pPr>
            <w:r>
              <w:rPr>
                <w:rFonts w:hint="eastAsia" w:ascii="宋体" w:hAnsi="宋体" w:cs="宋体"/>
                <w:sz w:val="24"/>
              </w:rPr>
              <w:t>4）麻醉复苏（Steward苏醒评分）管理例数/季/年；</w:t>
            </w:r>
          </w:p>
          <w:p>
            <w:pPr>
              <w:spacing w:line="360" w:lineRule="auto"/>
              <w:rPr>
                <w:rFonts w:ascii="宋体" w:hAnsi="宋体" w:cs="宋体"/>
                <w:sz w:val="24"/>
              </w:rPr>
            </w:pPr>
            <w:r>
              <w:rPr>
                <w:rFonts w:hint="eastAsia" w:ascii="宋体" w:hAnsi="宋体" w:cs="宋体"/>
                <w:sz w:val="24"/>
              </w:rPr>
              <w:t>5）麻醉非预期的相关事件例数/季/年；</w:t>
            </w:r>
          </w:p>
          <w:p>
            <w:pPr>
              <w:spacing w:line="360" w:lineRule="auto"/>
              <w:rPr>
                <w:rFonts w:ascii="宋体" w:hAnsi="宋体" w:cs="宋体"/>
                <w:sz w:val="24"/>
              </w:rPr>
            </w:pPr>
            <w:r>
              <w:rPr>
                <w:rFonts w:hint="eastAsia" w:ascii="宋体" w:hAnsi="宋体" w:cs="宋体"/>
                <w:sz w:val="24"/>
              </w:rPr>
              <w:t>6）麻醉分级（ASA病情分级）管理例数/季/年。</w:t>
            </w:r>
          </w:p>
          <w:p>
            <w:pPr>
              <w:spacing w:line="360" w:lineRule="auto"/>
              <w:rPr>
                <w:rFonts w:ascii="宋体" w:hAnsi="宋体" w:cs="宋体"/>
                <w:sz w:val="24"/>
              </w:rPr>
            </w:pPr>
            <w:r>
              <w:rPr>
                <w:rFonts w:hint="eastAsia" w:ascii="宋体" w:hAnsi="宋体" w:cs="宋体"/>
                <w:sz w:val="24"/>
              </w:rPr>
              <w:t>2、用户能够根据质控要求自定义统计呈现质控指标，支持打印书面报告及明细：</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术中呼吸心跳骤停率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计划外建立人工气道发生率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非计划二次气管插管率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术中体温监测率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手术麻醉期间低体温发生率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PACU入室低体温发生率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术中主动保温率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麻醉科术后镇痛率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术后镇痛随访患者中重度疼痛发生率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椎管内分娩镇痛发生率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麻醉科与手术科室医师数量比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麻醉科与手术科室主治以上医师数量比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麻醉科医护比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麻醉科人均年麻醉例数</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手术室外麻醉占比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日间手术麻醉占比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麻醉科门诊工作开展情况</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麻醉后恢复治疗室（PACU）工作开展情况</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麻醉重症监护室（AICU）工作开展情况</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各ASA分级麻醉患者比例</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急诊手术麻醉占比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各类麻醉方式占比</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术中自体血输注率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 xml:space="preserve"> 择期手术麻醉前访视率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入室后手术麻醉取消率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 xml:space="preserve"> 麻醉开始后手术取消率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非计划转入ICU率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 xml:space="preserve"> 麻醉后恢复治疗室（PACU）转出延迟率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麻醉后24小时内患者死亡率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麻醉后24小时内患者麻醉直接相关死亡率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麻醉期间严重过敏反应发生率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区域阻滞麻醉后严重神经并发症发生率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全身麻醉气管插管拔管后声音嘶哑发生率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中心静脉穿刺严重并发症发生率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麻醉后新发昏迷发生率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全身麻醉术中知晓发生率</w:t>
            </w:r>
          </w:p>
          <w:p>
            <w:pPr>
              <w:pStyle w:val="79"/>
              <w:numPr>
                <w:ilvl w:val="0"/>
                <w:numId w:val="11"/>
              </w:numPr>
              <w:spacing w:line="360" w:lineRule="auto"/>
              <w:ind w:firstLineChars="0"/>
              <w:rPr>
                <w:rFonts w:ascii="宋体" w:hAnsi="宋体" w:eastAsia="宋体" w:cs="宋体"/>
                <w:sz w:val="24"/>
                <w:szCs w:val="24"/>
              </w:rPr>
            </w:pPr>
            <w:r>
              <w:rPr>
                <w:rFonts w:hint="eastAsia" w:ascii="宋体" w:hAnsi="宋体" w:eastAsia="宋体" w:cs="宋体"/>
                <w:sz w:val="24"/>
                <w:szCs w:val="24"/>
              </w:rPr>
              <w:t>术中牙齿损伤发生率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统计查询管理</w:t>
            </w:r>
          </w:p>
        </w:tc>
        <w:tc>
          <w:tcPr>
            <w:tcW w:w="5741" w:type="dxa"/>
            <w:vAlign w:val="center"/>
          </w:tcPr>
          <w:p>
            <w:pPr>
              <w:numPr>
                <w:ilvl w:val="0"/>
                <w:numId w:val="12"/>
              </w:numPr>
              <w:spacing w:line="360" w:lineRule="auto"/>
              <w:rPr>
                <w:rFonts w:ascii="宋体" w:hAnsi="宋体" w:cs="宋体"/>
                <w:sz w:val="24"/>
              </w:rPr>
            </w:pPr>
            <w:r>
              <w:rPr>
                <w:rFonts w:hint="eastAsia" w:ascii="宋体" w:hAnsi="宋体" w:cs="宋体"/>
                <w:sz w:val="24"/>
              </w:rPr>
              <w:t>统计手术科室工作量、麻醉科工作量、麻醉医生工作量、镇痛治疗例数、麻醉方法、不良事件；</w:t>
            </w:r>
          </w:p>
          <w:p>
            <w:pPr>
              <w:numPr>
                <w:ilvl w:val="0"/>
                <w:numId w:val="12"/>
              </w:numPr>
              <w:spacing w:line="360" w:lineRule="auto"/>
              <w:rPr>
                <w:rFonts w:ascii="宋体" w:hAnsi="宋体" w:cs="宋体"/>
                <w:sz w:val="24"/>
              </w:rPr>
            </w:pPr>
            <w:r>
              <w:rPr>
                <w:rFonts w:hint="eastAsia" w:ascii="宋体" w:hAnsi="宋体" w:cs="宋体"/>
                <w:sz w:val="24"/>
              </w:rPr>
              <w:t>统计手术医生工作量、护士工作量、手术信息、复苏室患者信息、统计择期手术，急诊手术，不同类型手术量，日间手术量；</w:t>
            </w:r>
          </w:p>
          <w:p>
            <w:pPr>
              <w:numPr>
                <w:ilvl w:val="0"/>
                <w:numId w:val="12"/>
              </w:numPr>
              <w:spacing w:line="360" w:lineRule="auto"/>
              <w:rPr>
                <w:rFonts w:ascii="宋体" w:hAnsi="宋体" w:cs="宋体"/>
                <w:sz w:val="24"/>
              </w:rPr>
            </w:pPr>
            <w:r>
              <w:rPr>
                <w:rFonts w:hint="eastAsia" w:ascii="宋体" w:hAnsi="宋体" w:cs="宋体"/>
                <w:sz w:val="24"/>
              </w:rPr>
              <w:t>切口等级统计：统计一级，二级，三级，四级和每一级总和；I级，II级，III级，iv级，每个科室里面的大，中，小；统计结果可以自动导出成表格</w:t>
            </w:r>
          </w:p>
          <w:p>
            <w:pPr>
              <w:numPr>
                <w:ilvl w:val="0"/>
                <w:numId w:val="12"/>
              </w:numPr>
              <w:spacing w:line="360" w:lineRule="auto"/>
              <w:rPr>
                <w:rFonts w:ascii="宋体" w:hAnsi="宋体" w:cs="宋体"/>
                <w:sz w:val="24"/>
              </w:rPr>
            </w:pPr>
            <w:r>
              <w:rPr>
                <w:rFonts w:hint="eastAsia" w:ascii="宋体" w:hAnsi="宋体" w:cs="宋体"/>
                <w:sz w:val="24"/>
              </w:rPr>
              <w:t>将统计查询结果导出为EXCEL格式报表；</w:t>
            </w:r>
          </w:p>
          <w:p>
            <w:pPr>
              <w:numPr>
                <w:ilvl w:val="0"/>
                <w:numId w:val="12"/>
              </w:numPr>
              <w:spacing w:line="360" w:lineRule="auto"/>
              <w:rPr>
                <w:rFonts w:ascii="宋体" w:hAnsi="宋体" w:cs="宋体"/>
                <w:sz w:val="24"/>
              </w:rPr>
            </w:pPr>
            <w:r>
              <w:rPr>
                <w:rFonts w:hint="eastAsia" w:ascii="宋体" w:hAnsi="宋体" w:cs="宋体"/>
                <w:sz w:val="24"/>
              </w:rPr>
              <w:t>根据用户需求提供统计定制服务。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用户权限管理</w:t>
            </w:r>
          </w:p>
        </w:tc>
        <w:tc>
          <w:tcPr>
            <w:tcW w:w="5741" w:type="dxa"/>
            <w:vAlign w:val="center"/>
          </w:tcPr>
          <w:p>
            <w:pPr>
              <w:numPr>
                <w:ilvl w:val="0"/>
                <w:numId w:val="13"/>
              </w:numPr>
              <w:tabs>
                <w:tab w:val="left" w:pos="0"/>
                <w:tab w:val="clear" w:pos="397"/>
              </w:tabs>
              <w:spacing w:line="360" w:lineRule="auto"/>
              <w:ind w:left="14" w:hanging="14"/>
              <w:rPr>
                <w:rFonts w:ascii="宋体" w:hAnsi="宋体" w:cs="宋体"/>
                <w:sz w:val="24"/>
              </w:rPr>
            </w:pPr>
            <w:r>
              <w:rPr>
                <w:rFonts w:hint="eastAsia" w:ascii="宋体" w:hAnsi="宋体" w:cs="宋体"/>
                <w:sz w:val="24"/>
              </w:rPr>
              <w:t>创建用户，为指定用户分配角色以获得相应的程序访问权限；</w:t>
            </w:r>
          </w:p>
          <w:p>
            <w:pPr>
              <w:numPr>
                <w:ilvl w:val="0"/>
                <w:numId w:val="13"/>
              </w:numPr>
              <w:tabs>
                <w:tab w:val="left" w:pos="0"/>
                <w:tab w:val="clear" w:pos="397"/>
              </w:tabs>
              <w:spacing w:line="360" w:lineRule="auto"/>
              <w:ind w:left="14" w:hanging="14"/>
              <w:rPr>
                <w:rFonts w:ascii="宋体" w:hAnsi="宋体" w:cs="宋体"/>
                <w:sz w:val="24"/>
              </w:rPr>
            </w:pPr>
            <w:r>
              <w:rPr>
                <w:rFonts w:hint="eastAsia" w:ascii="宋体" w:hAnsi="宋体" w:cs="宋体"/>
                <w:sz w:val="24"/>
              </w:rPr>
              <w:t>编辑系统角色的名称，用于分配一系列的程序功能访问权限，能够分配指定角色所具备的系统权限。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医护患者协同管理</w:t>
            </w:r>
          </w:p>
        </w:tc>
        <w:tc>
          <w:tcPr>
            <w:tcW w:w="5741" w:type="dxa"/>
            <w:vAlign w:val="center"/>
          </w:tcPr>
          <w:p>
            <w:pPr>
              <w:spacing w:line="360" w:lineRule="auto"/>
              <w:rPr>
                <w:rFonts w:ascii="宋体" w:hAnsi="宋体" w:cs="宋体"/>
                <w:sz w:val="24"/>
              </w:rPr>
            </w:pPr>
            <w:r>
              <w:rPr>
                <w:rFonts w:hint="eastAsia" w:ascii="宋体" w:hAnsi="宋体" w:cs="宋体"/>
                <w:sz w:val="24"/>
              </w:rPr>
              <w:t>1、通过大屏显示当天手术安排信息；</w:t>
            </w:r>
          </w:p>
          <w:p>
            <w:pPr>
              <w:spacing w:line="360" w:lineRule="auto"/>
              <w:rPr>
                <w:rFonts w:ascii="宋体" w:hAnsi="宋体" w:cs="宋体"/>
                <w:sz w:val="24"/>
              </w:rPr>
            </w:pPr>
            <w:r>
              <w:rPr>
                <w:rFonts w:hint="eastAsia" w:ascii="宋体" w:hAnsi="宋体" w:cs="宋体"/>
                <w:sz w:val="24"/>
              </w:rPr>
              <w:t>2、通过家属区大屏显示当天患者手术状态。支持在大屏上发布家属谈话通知；</w:t>
            </w:r>
          </w:p>
          <w:p>
            <w:pPr>
              <w:spacing w:line="360" w:lineRule="auto"/>
              <w:rPr>
                <w:rFonts w:ascii="宋体" w:hAnsi="宋体" w:cs="宋体"/>
                <w:sz w:val="24"/>
              </w:rPr>
            </w:pPr>
            <w:r>
              <w:rPr>
                <w:rFonts w:hint="eastAsia" w:ascii="宋体" w:hAnsi="宋体" w:cs="宋体"/>
                <w:sz w:val="24"/>
              </w:rPr>
              <w:t>3、支持配置大屏公告显示的内容及显示效果；</w:t>
            </w:r>
          </w:p>
          <w:p>
            <w:pPr>
              <w:spacing w:line="360" w:lineRule="auto"/>
              <w:rPr>
                <w:rFonts w:ascii="宋体" w:hAnsi="宋体" w:cs="宋体"/>
                <w:sz w:val="24"/>
              </w:rPr>
            </w:pPr>
            <w:r>
              <w:rPr>
                <w:rFonts w:hint="eastAsia" w:ascii="宋体" w:hAnsi="宋体" w:cs="宋体"/>
                <w:sz w:val="24"/>
              </w:rPr>
              <w:t>4、对大屏显示内容进行隐私保护。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排班管理</w:t>
            </w:r>
          </w:p>
        </w:tc>
        <w:tc>
          <w:tcPr>
            <w:tcW w:w="5741" w:type="dxa"/>
            <w:vAlign w:val="center"/>
          </w:tcPr>
          <w:p>
            <w:pPr>
              <w:numPr>
                <w:ilvl w:val="0"/>
                <w:numId w:val="14"/>
              </w:numPr>
              <w:spacing w:line="360" w:lineRule="auto"/>
              <w:rPr>
                <w:rFonts w:ascii="宋体" w:hAnsi="宋体" w:cs="宋体"/>
                <w:sz w:val="24"/>
              </w:rPr>
            </w:pPr>
            <w:r>
              <w:rPr>
                <w:rFonts w:hint="eastAsia" w:ascii="宋体" w:hAnsi="宋体" w:cs="宋体"/>
                <w:sz w:val="24"/>
              </w:rPr>
              <w:t>据规则自动完成手术间及人员的安排。支持按照手术申请自动完成手术间及人员的安排；</w:t>
            </w:r>
          </w:p>
          <w:p>
            <w:pPr>
              <w:numPr>
                <w:ilvl w:val="0"/>
                <w:numId w:val="14"/>
              </w:numPr>
              <w:spacing w:line="360" w:lineRule="auto"/>
              <w:rPr>
                <w:rFonts w:ascii="宋体" w:hAnsi="宋体" w:cs="宋体"/>
                <w:sz w:val="24"/>
              </w:rPr>
            </w:pPr>
            <w:r>
              <w:rPr>
                <w:rFonts w:hint="eastAsia" w:ascii="宋体" w:hAnsi="宋体" w:cs="宋体"/>
                <w:sz w:val="24"/>
              </w:rPr>
              <w:t>按照排班规则提供手术间配置、医生配置；</w:t>
            </w:r>
          </w:p>
          <w:p>
            <w:pPr>
              <w:numPr>
                <w:ilvl w:val="0"/>
                <w:numId w:val="14"/>
              </w:numPr>
              <w:spacing w:line="360" w:lineRule="auto"/>
              <w:rPr>
                <w:rFonts w:ascii="宋体" w:hAnsi="宋体" w:cs="宋体"/>
                <w:sz w:val="24"/>
              </w:rPr>
            </w:pPr>
            <w:r>
              <w:rPr>
                <w:rFonts w:hint="eastAsia" w:ascii="宋体" w:hAnsi="宋体" w:cs="宋体"/>
                <w:sz w:val="24"/>
              </w:rPr>
              <w:t>接收从HIS系统中下达的手术申请；</w:t>
            </w:r>
          </w:p>
          <w:p>
            <w:pPr>
              <w:numPr>
                <w:ilvl w:val="0"/>
                <w:numId w:val="14"/>
              </w:numPr>
              <w:spacing w:line="360" w:lineRule="auto"/>
              <w:rPr>
                <w:rFonts w:ascii="宋体" w:hAnsi="宋体" w:cs="宋体"/>
                <w:sz w:val="24"/>
              </w:rPr>
            </w:pPr>
            <w:r>
              <w:rPr>
                <w:rFonts w:hint="eastAsia" w:ascii="宋体" w:hAnsi="宋体" w:cs="宋体"/>
                <w:sz w:val="24"/>
              </w:rPr>
              <w:t>支持操作批量完成手术间及医护人员安排；</w:t>
            </w:r>
          </w:p>
          <w:p>
            <w:pPr>
              <w:numPr>
                <w:ilvl w:val="0"/>
                <w:numId w:val="14"/>
              </w:numPr>
              <w:spacing w:line="360" w:lineRule="auto"/>
              <w:rPr>
                <w:rFonts w:ascii="宋体" w:hAnsi="宋体" w:cs="宋体"/>
                <w:sz w:val="24"/>
              </w:rPr>
            </w:pPr>
            <w:r>
              <w:rPr>
                <w:rFonts w:hint="eastAsia" w:ascii="宋体" w:hAnsi="宋体" w:cs="宋体"/>
                <w:sz w:val="24"/>
              </w:rPr>
              <w:t>根据手术安排情况自动生成手术通知单并打印；</w:t>
            </w:r>
          </w:p>
          <w:p>
            <w:pPr>
              <w:numPr>
                <w:ilvl w:val="0"/>
                <w:numId w:val="14"/>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具有医护人员排班管理，可导出打印。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tcPr>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r>
              <w:rPr>
                <w:rFonts w:hint="eastAsia" w:ascii="宋体" w:hAnsi="宋体" w:cs="宋体"/>
                <w:sz w:val="24"/>
              </w:rPr>
              <w:t>麻醉知识库</w:t>
            </w:r>
          </w:p>
        </w:tc>
        <w:tc>
          <w:tcPr>
            <w:tcW w:w="5741" w:type="dxa"/>
            <w:vAlign w:val="center"/>
          </w:tcPr>
          <w:p>
            <w:pPr>
              <w:numPr>
                <w:ilvl w:val="0"/>
                <w:numId w:val="15"/>
              </w:numPr>
              <w:spacing w:line="360" w:lineRule="auto"/>
              <w:rPr>
                <w:rFonts w:ascii="宋体" w:hAnsi="宋体" w:cs="宋体"/>
                <w:sz w:val="24"/>
              </w:rPr>
            </w:pPr>
            <w:r>
              <w:rPr>
                <w:rFonts w:hint="eastAsia" w:ascii="宋体" w:hAnsi="宋体" w:cs="宋体"/>
                <w:sz w:val="24"/>
              </w:rPr>
              <w:t>提供专业的麻醉知识库，供麻醉医生用户在术中查阅，包括用药说明、麻醉指南。</w:t>
            </w:r>
          </w:p>
          <w:p>
            <w:pPr>
              <w:numPr>
                <w:ilvl w:val="0"/>
                <w:numId w:val="15"/>
              </w:numPr>
              <w:spacing w:line="360" w:lineRule="auto"/>
              <w:rPr>
                <w:rFonts w:ascii="宋体" w:hAnsi="宋体" w:cs="宋体"/>
                <w:sz w:val="24"/>
              </w:rPr>
            </w:pPr>
            <w:r>
              <w:rPr>
                <w:rFonts w:hint="eastAsia" w:ascii="宋体" w:hAnsi="宋体" w:cs="宋体"/>
                <w:sz w:val="24"/>
                <w:u w:color="000000"/>
              </w:rPr>
              <w:t>▲</w:t>
            </w:r>
            <w:r>
              <w:rPr>
                <w:rFonts w:hint="eastAsia" w:ascii="宋体" w:hAnsi="宋体" w:cs="宋体"/>
                <w:sz w:val="24"/>
              </w:rPr>
              <w:t>提供独立功能模块，实现了类似Word的文档排版与管理功能，手术室麻醉科所有相关管理制度实现统一管理和随时调阅，包括规章制度、岗位职责、诊疗规范、操作规程等。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pStyle w:val="79"/>
              <w:numPr>
                <w:ilvl w:val="0"/>
                <w:numId w:val="5"/>
              </w:numPr>
              <w:spacing w:line="360" w:lineRule="auto"/>
              <w:ind w:firstLineChars="0"/>
              <w:jc w:val="left"/>
              <w:rPr>
                <w:rFonts w:ascii="宋体" w:hAnsi="宋体" w:eastAsia="宋体" w:cs="宋体"/>
                <w:sz w:val="24"/>
                <w:szCs w:val="24"/>
              </w:rPr>
            </w:pPr>
          </w:p>
        </w:tc>
        <w:tc>
          <w:tcPr>
            <w:tcW w:w="1843" w:type="dxa"/>
            <w:vAlign w:val="center"/>
          </w:tcPr>
          <w:p>
            <w:pPr>
              <w:spacing w:line="360" w:lineRule="auto"/>
              <w:jc w:val="center"/>
              <w:rPr>
                <w:rFonts w:ascii="宋体" w:hAnsi="宋体" w:cs="宋体"/>
                <w:sz w:val="24"/>
              </w:rPr>
            </w:pPr>
            <w:r>
              <w:rPr>
                <w:rFonts w:hint="eastAsia" w:ascii="宋体" w:hAnsi="宋体" w:cs="宋体"/>
                <w:sz w:val="24"/>
              </w:rPr>
              <w:t>其他</w:t>
            </w:r>
          </w:p>
        </w:tc>
        <w:tc>
          <w:tcPr>
            <w:tcW w:w="5741" w:type="dxa"/>
            <w:vAlign w:val="center"/>
          </w:tcPr>
          <w:p>
            <w:pPr>
              <w:numPr>
                <w:ilvl w:val="0"/>
                <w:numId w:val="16"/>
              </w:numPr>
              <w:spacing w:line="360" w:lineRule="auto"/>
              <w:rPr>
                <w:rFonts w:ascii="宋体" w:hAnsi="宋体" w:cs="宋体"/>
                <w:sz w:val="24"/>
              </w:rPr>
            </w:pPr>
            <w:r>
              <w:rPr>
                <w:rFonts w:hint="eastAsia" w:ascii="宋体" w:hAnsi="宋体" w:cs="宋体"/>
                <w:sz w:val="24"/>
              </w:rPr>
              <w:t>满足医院2个手术间，1个恢复室，1个胃镜室，1个人流室系统的上线；</w:t>
            </w:r>
          </w:p>
          <w:p>
            <w:pPr>
              <w:numPr>
                <w:ilvl w:val="0"/>
                <w:numId w:val="16"/>
              </w:numPr>
              <w:spacing w:line="360" w:lineRule="auto"/>
              <w:rPr>
                <w:rFonts w:ascii="宋体" w:hAnsi="宋体" w:cs="宋体"/>
                <w:sz w:val="24"/>
              </w:rPr>
            </w:pPr>
            <w:r>
              <w:rPr>
                <w:rFonts w:hint="eastAsia" w:ascii="宋体" w:hAnsi="宋体" w:cs="宋体"/>
                <w:sz w:val="24"/>
              </w:rPr>
              <w:t>能够满足医院电子病历四级评测的要求；</w:t>
            </w:r>
          </w:p>
          <w:p>
            <w:pPr>
              <w:pStyle w:val="17"/>
              <w:numPr>
                <w:ilvl w:val="0"/>
                <w:numId w:val="16"/>
              </w:numPr>
              <w:spacing w:line="360" w:lineRule="auto"/>
              <w:rPr>
                <w:rFonts w:ascii="宋体" w:hAnsi="宋体" w:eastAsia="宋体" w:cs="宋体"/>
                <w:color w:val="auto"/>
              </w:rPr>
            </w:pPr>
            <w:r>
              <w:rPr>
                <w:rFonts w:hint="eastAsia" w:ascii="宋体" w:hAnsi="宋体" w:eastAsia="宋体" w:cs="宋体"/>
                <w:color w:val="auto"/>
              </w:rPr>
              <w:t>▲数据库和操作系统提供双虚拟机的热备方案，不允许使用盗版或未经许可的软件，并提供详细技术方案和软件名称，进行实质性响应。</w:t>
            </w:r>
          </w:p>
          <w:p>
            <w:pPr>
              <w:pStyle w:val="17"/>
              <w:numPr>
                <w:ilvl w:val="0"/>
                <w:numId w:val="16"/>
              </w:numPr>
              <w:spacing w:line="360" w:lineRule="auto"/>
              <w:rPr>
                <w:rFonts w:ascii="宋体" w:hAnsi="宋体" w:eastAsia="宋体" w:cs="宋体"/>
                <w:color w:val="auto"/>
              </w:rPr>
            </w:pPr>
            <w:r>
              <w:rPr>
                <w:rFonts w:hint="eastAsia" w:ascii="宋体" w:hAnsi="宋体" w:eastAsia="宋体" w:cs="宋体"/>
                <w:color w:val="auto"/>
              </w:rPr>
              <w:t>能够实现与医院HIS、PACS、LIS及电子病历系统无缝对接，并承担接口费用，提供承诺函</w:t>
            </w:r>
          </w:p>
        </w:tc>
      </w:tr>
    </w:tbl>
    <w:p>
      <w:pPr>
        <w:pStyle w:val="79"/>
        <w:numPr>
          <w:ilvl w:val="1"/>
          <w:numId w:val="4"/>
        </w:numPr>
        <w:spacing w:line="360" w:lineRule="auto"/>
        <w:ind w:firstLineChars="0"/>
        <w:rPr>
          <w:rFonts w:ascii="宋体" w:hAnsi="宋体" w:eastAsia="宋体" w:cs="宋体"/>
          <w:sz w:val="24"/>
          <w:szCs w:val="24"/>
        </w:rPr>
      </w:pPr>
      <w:r>
        <w:rPr>
          <w:rFonts w:hint="eastAsia" w:ascii="宋体" w:hAnsi="宋体" w:eastAsia="宋体" w:cs="宋体"/>
          <w:sz w:val="24"/>
          <w:szCs w:val="24"/>
        </w:rPr>
        <w:t>硬件参数要求</w:t>
      </w:r>
    </w:p>
    <w:tbl>
      <w:tblPr>
        <w:tblStyle w:val="40"/>
        <w:tblW w:w="9067" w:type="dxa"/>
        <w:tblInd w:w="0" w:type="dxa"/>
        <w:tblLayout w:type="fixed"/>
        <w:tblCellMar>
          <w:top w:w="0" w:type="dxa"/>
          <w:left w:w="108" w:type="dxa"/>
          <w:bottom w:w="0" w:type="dxa"/>
          <w:right w:w="108" w:type="dxa"/>
        </w:tblCellMar>
      </w:tblPr>
      <w:tblGrid>
        <w:gridCol w:w="757"/>
        <w:gridCol w:w="1790"/>
        <w:gridCol w:w="6520"/>
      </w:tblGrid>
      <w:tr>
        <w:tblPrEx>
          <w:tblCellMar>
            <w:top w:w="0" w:type="dxa"/>
            <w:left w:w="108" w:type="dxa"/>
            <w:bottom w:w="0" w:type="dxa"/>
            <w:right w:w="108" w:type="dxa"/>
          </w:tblCellMar>
        </w:tblPrEx>
        <w:trPr>
          <w:trHeight w:val="285" w:hRule="atLeast"/>
        </w:trPr>
        <w:tc>
          <w:tcPr>
            <w:tcW w:w="75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序号</w:t>
            </w:r>
          </w:p>
        </w:tc>
        <w:tc>
          <w:tcPr>
            <w:tcW w:w="179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类别</w:t>
            </w:r>
          </w:p>
        </w:tc>
        <w:tc>
          <w:tcPr>
            <w:tcW w:w="6520"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产品型号与规格</w:t>
            </w:r>
          </w:p>
        </w:tc>
      </w:tr>
      <w:tr>
        <w:tblPrEx>
          <w:tblCellMar>
            <w:top w:w="0" w:type="dxa"/>
            <w:left w:w="108" w:type="dxa"/>
            <w:bottom w:w="0" w:type="dxa"/>
            <w:right w:w="108" w:type="dxa"/>
          </w:tblCellMar>
        </w:tblPrEx>
        <w:trPr>
          <w:trHeight w:val="540" w:hRule="atLeast"/>
        </w:trPr>
        <w:tc>
          <w:tcPr>
            <w:tcW w:w="75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790" w:type="dxa"/>
            <w:tcBorders>
              <w:top w:val="single" w:color="auto" w:sz="4" w:space="0"/>
              <w:bottom w:val="single" w:color="auto" w:sz="4" w:space="0"/>
              <w:right w:val="single" w:color="auto" w:sz="4" w:space="0"/>
            </w:tcBorders>
            <w:vAlign w:val="center"/>
          </w:tcPr>
          <w:p>
            <w:pPr>
              <w:widowControl/>
              <w:spacing w:line="360" w:lineRule="auto"/>
              <w:rPr>
                <w:rFonts w:ascii="宋体" w:hAnsi="宋体" w:cs="宋体"/>
                <w:kern w:val="0"/>
                <w:sz w:val="24"/>
              </w:rPr>
            </w:pPr>
            <w:r>
              <w:rPr>
                <w:rFonts w:hint="eastAsia" w:ascii="宋体" w:hAnsi="宋体" w:cs="宋体"/>
                <w:sz w:val="24"/>
              </w:rPr>
              <w:t>计算机</w:t>
            </w:r>
          </w:p>
        </w:tc>
        <w:tc>
          <w:tcPr>
            <w:tcW w:w="6520" w:type="dxa"/>
            <w:tcBorders>
              <w:top w:val="single" w:color="auto" w:sz="4" w:space="0"/>
              <w:left w:val="single" w:color="auto" w:sz="4" w:space="0"/>
              <w:bottom w:val="single" w:color="auto" w:sz="4" w:space="0"/>
              <w:right w:val="single" w:color="auto" w:sz="4" w:space="0"/>
            </w:tcBorders>
            <w:vAlign w:val="center"/>
          </w:tcPr>
          <w:p>
            <w:pPr>
              <w:numPr>
                <w:ilvl w:val="0"/>
                <w:numId w:val="17"/>
              </w:numPr>
              <w:spacing w:line="360" w:lineRule="auto"/>
              <w:rPr>
                <w:rFonts w:ascii="宋体" w:hAnsi="宋体" w:cs="宋体"/>
                <w:sz w:val="24"/>
              </w:rPr>
            </w:pPr>
            <w:r>
              <w:rPr>
                <w:rFonts w:hint="eastAsia" w:ascii="宋体" w:hAnsi="宋体" w:cs="宋体"/>
                <w:sz w:val="24"/>
              </w:rPr>
              <w:t xml:space="preserve">显示器：面板21.5英寸（屏幕比例16：9），分辨率1920*1080； </w:t>
            </w:r>
          </w:p>
          <w:p>
            <w:pPr>
              <w:numPr>
                <w:ilvl w:val="0"/>
                <w:numId w:val="17"/>
              </w:numPr>
              <w:spacing w:line="360" w:lineRule="auto"/>
              <w:rPr>
                <w:rFonts w:ascii="宋体" w:hAnsi="宋体" w:cs="宋体"/>
                <w:sz w:val="24"/>
              </w:rPr>
            </w:pPr>
            <w:r>
              <w:rPr>
                <w:rFonts w:hint="eastAsia" w:ascii="宋体" w:hAnsi="宋体" w:cs="宋体"/>
                <w:sz w:val="24"/>
              </w:rPr>
              <w:t>中央处理器：Intel Core i5 ，内存 8GB DDR3，硬盘120G SSD以上；</w:t>
            </w:r>
          </w:p>
          <w:p>
            <w:pPr>
              <w:numPr>
                <w:ilvl w:val="0"/>
                <w:numId w:val="17"/>
              </w:numPr>
              <w:spacing w:line="360" w:lineRule="auto"/>
              <w:rPr>
                <w:rFonts w:ascii="宋体" w:hAnsi="宋体" w:cs="宋体"/>
                <w:sz w:val="24"/>
              </w:rPr>
            </w:pPr>
            <w:r>
              <w:rPr>
                <w:rFonts w:hint="eastAsia" w:ascii="宋体" w:hAnsi="宋体" w:cs="宋体"/>
                <w:sz w:val="24"/>
              </w:rPr>
              <w:t>带无线网卡Intel 802.11 a/b/g/n Mini PCIe NIC；</w:t>
            </w:r>
          </w:p>
          <w:p>
            <w:pPr>
              <w:numPr>
                <w:ilvl w:val="0"/>
                <w:numId w:val="17"/>
              </w:numPr>
              <w:spacing w:line="360" w:lineRule="auto"/>
              <w:rPr>
                <w:rFonts w:ascii="宋体" w:hAnsi="宋体" w:cs="宋体"/>
                <w:sz w:val="24"/>
              </w:rPr>
            </w:pPr>
            <w:r>
              <w:rPr>
                <w:rFonts w:hint="eastAsia" w:ascii="宋体" w:hAnsi="宋体" w:cs="宋体"/>
                <w:sz w:val="24"/>
              </w:rPr>
              <w:t xml:space="preserve"> 100万像素可升降摄像头/内置麦克风/内置商业级音响</w:t>
            </w:r>
          </w:p>
        </w:tc>
      </w:tr>
      <w:tr>
        <w:tblPrEx>
          <w:tblCellMar>
            <w:top w:w="0" w:type="dxa"/>
            <w:left w:w="108" w:type="dxa"/>
            <w:bottom w:w="0" w:type="dxa"/>
            <w:right w:w="108" w:type="dxa"/>
          </w:tblCellMar>
        </w:tblPrEx>
        <w:trPr>
          <w:trHeight w:val="1350" w:hRule="atLeast"/>
        </w:trPr>
        <w:tc>
          <w:tcPr>
            <w:tcW w:w="75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w:t>
            </w:r>
          </w:p>
        </w:tc>
        <w:tc>
          <w:tcPr>
            <w:tcW w:w="1790" w:type="dxa"/>
            <w:tcBorders>
              <w:top w:val="single" w:color="auto" w:sz="4" w:space="0"/>
              <w:bottom w:val="single" w:color="auto" w:sz="4" w:space="0"/>
              <w:right w:val="single" w:color="auto" w:sz="4" w:space="0"/>
            </w:tcBorders>
            <w:vAlign w:val="center"/>
          </w:tcPr>
          <w:p>
            <w:pPr>
              <w:widowControl/>
              <w:spacing w:line="360" w:lineRule="auto"/>
              <w:rPr>
                <w:rFonts w:ascii="宋体" w:hAnsi="宋体" w:cs="宋体"/>
                <w:kern w:val="0"/>
                <w:sz w:val="24"/>
              </w:rPr>
            </w:pPr>
            <w:r>
              <w:rPr>
                <w:rFonts w:hint="eastAsia" w:ascii="宋体" w:hAnsi="宋体" w:cs="宋体"/>
                <w:sz w:val="24"/>
              </w:rPr>
              <w:t>支架</w:t>
            </w:r>
          </w:p>
        </w:tc>
        <w:tc>
          <w:tcPr>
            <w:tcW w:w="6520" w:type="dxa"/>
            <w:tcBorders>
              <w:top w:val="single" w:color="auto" w:sz="4" w:space="0"/>
              <w:left w:val="single" w:color="auto" w:sz="4" w:space="0"/>
              <w:bottom w:val="single" w:color="auto" w:sz="4" w:space="0"/>
              <w:right w:val="single" w:color="auto" w:sz="4" w:space="0"/>
            </w:tcBorders>
            <w:vAlign w:val="center"/>
          </w:tcPr>
          <w:p>
            <w:pPr>
              <w:numPr>
                <w:ilvl w:val="0"/>
                <w:numId w:val="18"/>
              </w:numPr>
              <w:spacing w:line="360" w:lineRule="auto"/>
              <w:rPr>
                <w:rFonts w:ascii="宋体" w:hAnsi="宋体" w:cs="宋体"/>
                <w:sz w:val="24"/>
              </w:rPr>
            </w:pPr>
            <w:r>
              <w:rPr>
                <w:rFonts w:hint="eastAsia" w:ascii="宋体" w:hAnsi="宋体" w:cs="宋体"/>
                <w:sz w:val="24"/>
              </w:rPr>
              <w:t>支架整体结构形式为立体式,集显示器、键盘鼠标于一体的单臂支架；</w:t>
            </w:r>
          </w:p>
          <w:p>
            <w:pPr>
              <w:numPr>
                <w:ilvl w:val="0"/>
                <w:numId w:val="18"/>
              </w:numPr>
              <w:spacing w:line="360" w:lineRule="auto"/>
              <w:rPr>
                <w:rFonts w:ascii="宋体" w:hAnsi="宋体" w:cs="宋体"/>
                <w:sz w:val="24"/>
              </w:rPr>
            </w:pPr>
            <w:r>
              <w:rPr>
                <w:rFonts w:hint="eastAsia" w:ascii="宋体" w:hAnsi="宋体" w:cs="宋体"/>
                <w:sz w:val="24"/>
              </w:rPr>
              <w:t>主体材质由阻燃ABS塑胶和钢等结构组成。</w:t>
            </w:r>
          </w:p>
          <w:p>
            <w:pPr>
              <w:numPr>
                <w:ilvl w:val="0"/>
                <w:numId w:val="18"/>
              </w:numPr>
              <w:spacing w:line="360" w:lineRule="auto"/>
              <w:rPr>
                <w:rFonts w:ascii="宋体" w:hAnsi="宋体" w:cs="宋体"/>
                <w:sz w:val="24"/>
              </w:rPr>
            </w:pPr>
            <w:r>
              <w:rPr>
                <w:rFonts w:hint="eastAsia" w:ascii="宋体" w:hAnsi="宋体" w:cs="宋体"/>
                <w:sz w:val="24"/>
              </w:rPr>
              <w:t>支持安装≤24″的一体机，承重5-13kg，键盘托承重≤2.5kg,摆动360°,倾斜0〜90°LCD倾斜-5〜35°，摆动+/- 90°,旋转360°,VESA标准接口。</w:t>
            </w:r>
          </w:p>
          <w:p>
            <w:pPr>
              <w:numPr>
                <w:ilvl w:val="0"/>
                <w:numId w:val="18"/>
              </w:numPr>
              <w:spacing w:line="360" w:lineRule="auto"/>
              <w:rPr>
                <w:rFonts w:ascii="宋体" w:hAnsi="宋体" w:cs="宋体"/>
                <w:sz w:val="24"/>
              </w:rPr>
            </w:pPr>
            <w:r>
              <w:rPr>
                <w:rFonts w:hint="eastAsia" w:ascii="宋体" w:hAnsi="宋体" w:cs="宋体"/>
                <w:sz w:val="24"/>
              </w:rPr>
              <w:t>一体机升降部分可以达到124mm,支架整体升降高度可达560mm,支臂调节角度-30〜65°。</w:t>
            </w:r>
          </w:p>
          <w:p>
            <w:pPr>
              <w:numPr>
                <w:ilvl w:val="0"/>
                <w:numId w:val="18"/>
              </w:numPr>
              <w:spacing w:line="360" w:lineRule="auto"/>
              <w:rPr>
                <w:rFonts w:ascii="宋体" w:hAnsi="宋体" w:cs="宋体"/>
                <w:sz w:val="24"/>
              </w:rPr>
            </w:pPr>
            <w:r>
              <w:rPr>
                <w:rFonts w:hint="eastAsia" w:ascii="宋体" w:hAnsi="宋体" w:cs="宋体"/>
                <w:sz w:val="24"/>
              </w:rPr>
              <w:t>.键盘托可折叠,折叠起来整个产品的厚度仅333mm, 整体延伸出长达956mm,键盘托台面可扩展尺寸达 668*255mm。</w:t>
            </w:r>
          </w:p>
          <w:p>
            <w:pPr>
              <w:numPr>
                <w:ilvl w:val="0"/>
                <w:numId w:val="18"/>
              </w:numPr>
              <w:spacing w:line="360" w:lineRule="auto"/>
              <w:rPr>
                <w:rFonts w:ascii="宋体" w:hAnsi="宋体" w:cs="宋体"/>
                <w:sz w:val="24"/>
              </w:rPr>
            </w:pPr>
            <w:r>
              <w:rPr>
                <w:rFonts w:hint="eastAsia" w:ascii="宋体" w:hAnsi="宋体" w:cs="宋体"/>
                <w:sz w:val="24"/>
              </w:rPr>
              <w:t>可坐站两用，整体可向左或向右摆动90°，键盘托可独立倾斜。</w:t>
            </w:r>
          </w:p>
        </w:tc>
      </w:tr>
      <w:tr>
        <w:tblPrEx>
          <w:tblCellMar>
            <w:top w:w="0" w:type="dxa"/>
            <w:left w:w="108" w:type="dxa"/>
            <w:bottom w:w="0" w:type="dxa"/>
            <w:right w:w="108" w:type="dxa"/>
          </w:tblCellMar>
        </w:tblPrEx>
        <w:trPr>
          <w:trHeight w:val="1350" w:hRule="atLeast"/>
        </w:trPr>
        <w:tc>
          <w:tcPr>
            <w:tcW w:w="75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3</w:t>
            </w:r>
          </w:p>
        </w:tc>
        <w:tc>
          <w:tcPr>
            <w:tcW w:w="1790" w:type="dxa"/>
            <w:tcBorders>
              <w:top w:val="single" w:color="auto" w:sz="4" w:space="0"/>
              <w:bottom w:val="single" w:color="auto" w:sz="4" w:space="0"/>
              <w:right w:val="single" w:color="auto" w:sz="4" w:space="0"/>
            </w:tcBorders>
            <w:vAlign w:val="center"/>
          </w:tcPr>
          <w:p>
            <w:pPr>
              <w:widowControl/>
              <w:spacing w:line="360" w:lineRule="auto"/>
              <w:rPr>
                <w:rFonts w:ascii="宋体" w:hAnsi="宋体" w:cs="宋体"/>
                <w:sz w:val="24"/>
              </w:rPr>
            </w:pPr>
            <w:r>
              <w:rPr>
                <w:rFonts w:hint="eastAsia" w:ascii="宋体" w:hAnsi="宋体" w:cs="宋体"/>
                <w:sz w:val="24"/>
              </w:rPr>
              <w:t>推车</w:t>
            </w:r>
          </w:p>
        </w:tc>
        <w:tc>
          <w:tcPr>
            <w:tcW w:w="6520" w:type="dxa"/>
            <w:tcBorders>
              <w:top w:val="single" w:color="auto" w:sz="4" w:space="0"/>
              <w:left w:val="single" w:color="auto" w:sz="4" w:space="0"/>
              <w:bottom w:val="single" w:color="auto" w:sz="4" w:space="0"/>
              <w:right w:val="single" w:color="auto" w:sz="4" w:space="0"/>
            </w:tcBorders>
            <w:vAlign w:val="center"/>
          </w:tcPr>
          <w:p>
            <w:pPr>
              <w:numPr>
                <w:ilvl w:val="0"/>
                <w:numId w:val="19"/>
              </w:numPr>
              <w:spacing w:line="360" w:lineRule="auto"/>
              <w:rPr>
                <w:rFonts w:ascii="宋体" w:hAnsi="宋体" w:cs="宋体"/>
                <w:sz w:val="24"/>
              </w:rPr>
            </w:pPr>
            <w:r>
              <w:rPr>
                <w:rFonts w:hint="eastAsia" w:ascii="宋体" w:hAnsi="宋体" w:cs="宋体"/>
                <w:sz w:val="24"/>
              </w:rPr>
              <w:t>全车总高140-150厘米；直径为10.16厘米的4个锁定尼龙脚轮可以在地面自由移动，使推车能更加牢固的抓紧地面，不会出现操作当中晃动的情况，且适合用于空间狭窄的区域。</w:t>
            </w:r>
          </w:p>
          <w:p>
            <w:pPr>
              <w:numPr>
                <w:ilvl w:val="0"/>
                <w:numId w:val="19"/>
              </w:numPr>
              <w:spacing w:line="360" w:lineRule="auto"/>
              <w:rPr>
                <w:rFonts w:ascii="宋体" w:hAnsi="宋体" w:cs="宋体"/>
                <w:sz w:val="24"/>
              </w:rPr>
            </w:pPr>
            <w:r>
              <w:rPr>
                <w:rFonts w:hint="eastAsia" w:ascii="宋体" w:hAnsi="宋体" w:cs="宋体"/>
                <w:sz w:val="24"/>
              </w:rPr>
              <w:t>基座尺寸：（500-520)×（500-520)mm,铝合金材质一体压铸成型，烤漆工艺处理。</w:t>
            </w:r>
          </w:p>
          <w:p>
            <w:pPr>
              <w:numPr>
                <w:ilvl w:val="0"/>
                <w:numId w:val="19"/>
              </w:numPr>
              <w:spacing w:line="360" w:lineRule="auto"/>
              <w:rPr>
                <w:rFonts w:ascii="宋体" w:hAnsi="宋体" w:cs="宋体"/>
                <w:sz w:val="24"/>
              </w:rPr>
            </w:pPr>
            <w:r>
              <w:rPr>
                <w:rFonts w:hint="eastAsia" w:ascii="宋体" w:hAnsi="宋体" w:cs="宋体"/>
                <w:sz w:val="24"/>
              </w:rPr>
              <w:t>高铝合金成型立柱尺寸为（1100-1300）mm，4个方向都有扩展滑槽，其中正前方为国际标准滑槽，左、右、后3个方向可根据需求增加扩展配件。</w:t>
            </w:r>
          </w:p>
          <w:p>
            <w:pPr>
              <w:numPr>
                <w:ilvl w:val="0"/>
                <w:numId w:val="19"/>
              </w:numPr>
              <w:spacing w:line="360" w:lineRule="auto"/>
              <w:rPr>
                <w:rFonts w:ascii="宋体" w:hAnsi="宋体" w:cs="宋体"/>
                <w:sz w:val="24"/>
              </w:rPr>
            </w:pPr>
            <w:r>
              <w:rPr>
                <w:rFonts w:hint="eastAsia" w:ascii="宋体" w:hAnsi="宋体" w:cs="宋体"/>
                <w:sz w:val="24"/>
              </w:rPr>
              <w:t>键盘使用德国进口无油免润滑滑轨，不会堆积灰尘，更适合在医院内使用，键盘托盘尺寸为（420-440） x （200-210）mm，抽拉行程≥150mm，鼠标托可左右2个方向抽拉。</w:t>
            </w:r>
          </w:p>
          <w:p>
            <w:pPr>
              <w:pStyle w:val="79"/>
              <w:numPr>
                <w:ilvl w:val="0"/>
                <w:numId w:val="19"/>
              </w:numPr>
              <w:spacing w:line="360" w:lineRule="auto"/>
              <w:ind w:firstLineChars="0"/>
              <w:rPr>
                <w:rFonts w:ascii="宋体" w:hAnsi="宋体" w:eastAsia="宋体" w:cs="宋体"/>
                <w:sz w:val="24"/>
                <w:szCs w:val="24"/>
              </w:rPr>
            </w:pPr>
            <w:r>
              <w:rPr>
                <w:rFonts w:hint="eastAsia" w:ascii="宋体" w:hAnsi="宋体" w:eastAsia="宋体" w:cs="宋体"/>
                <w:sz w:val="24"/>
                <w:szCs w:val="24"/>
              </w:rPr>
              <w:t>ABS一体成型台面，前面带推动把手，台面有效书写空间(540-560)*(340-360)MM；推车配备硅胶后把手，符合前后两方向推动。</w:t>
            </w:r>
          </w:p>
        </w:tc>
      </w:tr>
      <w:tr>
        <w:tblPrEx>
          <w:tblCellMar>
            <w:top w:w="0" w:type="dxa"/>
            <w:left w:w="108" w:type="dxa"/>
            <w:bottom w:w="0" w:type="dxa"/>
            <w:right w:w="108" w:type="dxa"/>
          </w:tblCellMar>
        </w:tblPrEx>
        <w:trPr>
          <w:trHeight w:val="651" w:hRule="atLeast"/>
        </w:trPr>
        <w:tc>
          <w:tcPr>
            <w:tcW w:w="75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4</w:t>
            </w:r>
          </w:p>
        </w:tc>
        <w:tc>
          <w:tcPr>
            <w:tcW w:w="1790" w:type="dxa"/>
            <w:tcBorders>
              <w:top w:val="single" w:color="auto" w:sz="4" w:space="0"/>
              <w:bottom w:val="single" w:color="auto" w:sz="4" w:space="0"/>
              <w:right w:val="single" w:color="auto" w:sz="4" w:space="0"/>
            </w:tcBorders>
            <w:vAlign w:val="center"/>
          </w:tcPr>
          <w:p>
            <w:pPr>
              <w:widowControl/>
              <w:spacing w:line="360" w:lineRule="auto"/>
              <w:rPr>
                <w:rFonts w:ascii="宋体" w:hAnsi="宋体" w:cs="宋体"/>
                <w:sz w:val="24"/>
              </w:rPr>
            </w:pPr>
            <w:r>
              <w:rPr>
                <w:rFonts w:hint="eastAsia" w:ascii="宋体" w:hAnsi="宋体" w:cs="宋体"/>
                <w:sz w:val="24"/>
              </w:rPr>
              <w:t>激光打印机</w:t>
            </w:r>
          </w:p>
        </w:tc>
        <w:tc>
          <w:tcPr>
            <w:tcW w:w="652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z w:val="24"/>
              </w:rPr>
            </w:pPr>
            <w:r>
              <w:rPr>
                <w:rFonts w:hint="eastAsia" w:ascii="宋体" w:hAnsi="宋体" w:cs="宋体"/>
                <w:sz w:val="24"/>
              </w:rPr>
              <w:t>A4黑色网络双面</w:t>
            </w:r>
          </w:p>
          <w:p>
            <w:pPr>
              <w:spacing w:line="360" w:lineRule="auto"/>
              <w:rPr>
                <w:rFonts w:ascii="宋体" w:hAnsi="宋体" w:cs="宋体"/>
                <w:sz w:val="24"/>
              </w:rPr>
            </w:pPr>
            <w:r>
              <w:rPr>
                <w:rFonts w:hint="eastAsia" w:ascii="宋体" w:hAnsi="宋体" w:cs="宋体"/>
                <w:sz w:val="24"/>
              </w:rPr>
              <w:t>支持有线/无线网络连接</w:t>
            </w:r>
          </w:p>
        </w:tc>
      </w:tr>
      <w:tr>
        <w:tblPrEx>
          <w:tblCellMar>
            <w:top w:w="0" w:type="dxa"/>
            <w:left w:w="108" w:type="dxa"/>
            <w:bottom w:w="0" w:type="dxa"/>
            <w:right w:w="108" w:type="dxa"/>
          </w:tblCellMar>
        </w:tblPrEx>
        <w:trPr>
          <w:trHeight w:val="221" w:hRule="atLeast"/>
        </w:trPr>
        <w:tc>
          <w:tcPr>
            <w:tcW w:w="75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5</w:t>
            </w:r>
          </w:p>
        </w:tc>
        <w:tc>
          <w:tcPr>
            <w:tcW w:w="1790" w:type="dxa"/>
            <w:tcBorders>
              <w:top w:val="single" w:color="auto" w:sz="4" w:space="0"/>
              <w:bottom w:val="single" w:color="auto" w:sz="4" w:space="0"/>
              <w:right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数据采集套件</w:t>
            </w:r>
          </w:p>
        </w:tc>
        <w:tc>
          <w:tcPr>
            <w:tcW w:w="652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sz w:val="24"/>
              </w:rPr>
            </w:pPr>
            <w:r>
              <w:rPr>
                <w:rFonts w:hint="eastAsia" w:ascii="宋体" w:hAnsi="宋体" w:cs="宋体"/>
                <w:sz w:val="24"/>
              </w:rPr>
              <w:t>网络型麻醉机数据采集套件</w:t>
            </w:r>
          </w:p>
        </w:tc>
      </w:tr>
    </w:tbl>
    <w:p>
      <w:pPr>
        <w:pStyle w:val="2"/>
        <w:spacing w:line="360" w:lineRule="auto"/>
        <w:ind w:firstLine="0" w:firstLineChars="0"/>
        <w:rPr>
          <w:rFonts w:ascii="宋体" w:hAnsi="宋体" w:eastAsia="宋体" w:cs="宋体"/>
          <w:szCs w:val="24"/>
        </w:rPr>
      </w:pPr>
    </w:p>
    <w:p>
      <w:pPr>
        <w:pStyle w:val="2"/>
        <w:spacing w:line="360" w:lineRule="auto"/>
        <w:ind w:firstLine="0" w:firstLineChars="0"/>
        <w:rPr>
          <w:rFonts w:hint="eastAsia" w:ascii="宋体" w:hAnsi="宋体" w:eastAsia="宋体" w:cs="宋体"/>
          <w:szCs w:val="24"/>
          <w:lang w:eastAsia="zh-CN"/>
        </w:rPr>
      </w:pPr>
      <w:r>
        <w:rPr>
          <w:rFonts w:hint="eastAsia" w:ascii="宋体" w:hAnsi="宋体" w:eastAsia="宋体" w:cs="宋体"/>
          <w:szCs w:val="24"/>
        </w:rPr>
        <w:t>备注：</w:t>
      </w:r>
      <w:bookmarkStart w:id="153" w:name="_Hlk45779054"/>
      <w:r>
        <w:rPr>
          <w:rFonts w:hint="eastAsia" w:ascii="宋体" w:hAnsi="宋体" w:eastAsia="宋体" w:cs="宋体"/>
          <w:szCs w:val="24"/>
        </w:rPr>
        <w:t>以上打▲号的参数为重要参数，须提供官网截图、彩页、程序界面截图等证明材料，不符合将扣相应分</w:t>
      </w:r>
      <w:bookmarkEnd w:id="153"/>
      <w:bookmarkStart w:id="154" w:name="_Toc50546506"/>
      <w:r>
        <w:rPr>
          <w:rFonts w:hint="eastAsia" w:ascii="宋体" w:hAnsi="宋体" w:eastAsia="宋体" w:cs="宋体"/>
          <w:szCs w:val="24"/>
          <w:lang w:eastAsia="zh-CN"/>
        </w:rPr>
        <w:t>。</w:t>
      </w:r>
    </w:p>
    <w:p>
      <w:pPr>
        <w:pStyle w:val="2"/>
        <w:spacing w:line="360" w:lineRule="auto"/>
        <w:ind w:firstLine="0" w:firstLineChars="0"/>
        <w:rPr>
          <w:rFonts w:ascii="宋体" w:hAnsi="宋体" w:eastAsia="宋体" w:cs="宋体"/>
          <w:b/>
          <w:bCs/>
          <w:szCs w:val="24"/>
        </w:rPr>
      </w:pPr>
      <w:r>
        <w:rPr>
          <w:rFonts w:hint="eastAsia" w:ascii="宋体" w:hAnsi="宋体" w:eastAsia="宋体" w:cs="宋体"/>
          <w:b/>
          <w:bCs/>
          <w:szCs w:val="24"/>
        </w:rPr>
        <w:t>4.3.4电生理管理系统</w:t>
      </w:r>
      <w:bookmarkEnd w:id="154"/>
      <w:r>
        <w:rPr>
          <w:rFonts w:hint="eastAsia" w:ascii="宋体" w:hAnsi="宋体" w:eastAsia="宋体" w:cs="宋体"/>
          <w:b/>
          <w:bCs/>
          <w:szCs w:val="24"/>
        </w:rPr>
        <w:t>（心电及电生理信息管理系统）</w:t>
      </w:r>
    </w:p>
    <w:p>
      <w:pPr>
        <w:numPr>
          <w:ilvl w:val="0"/>
          <w:numId w:val="20"/>
        </w:numPr>
        <w:spacing w:line="360" w:lineRule="auto"/>
        <w:outlineLvl w:val="0"/>
        <w:rPr>
          <w:rFonts w:ascii="宋体" w:hAnsi="宋体" w:cs="宋体"/>
          <w:sz w:val="24"/>
        </w:rPr>
      </w:pPr>
      <w:bookmarkStart w:id="155" w:name="_Toc10734"/>
      <w:bookmarkStart w:id="156" w:name="_Toc11399"/>
      <w:r>
        <w:rPr>
          <w:rFonts w:hint="eastAsia" w:ascii="宋体" w:hAnsi="宋体" w:cs="宋体"/>
          <w:sz w:val="24"/>
        </w:rPr>
        <w:t>项目说明</w:t>
      </w:r>
      <w:bookmarkEnd w:id="155"/>
      <w:bookmarkEnd w:id="156"/>
    </w:p>
    <w:p>
      <w:pPr>
        <w:spacing w:line="360" w:lineRule="auto"/>
        <w:ind w:firstLine="480" w:firstLineChars="200"/>
        <w:rPr>
          <w:rFonts w:ascii="宋体" w:hAnsi="宋体" w:cs="宋体"/>
          <w:sz w:val="24"/>
        </w:rPr>
      </w:pPr>
      <w:r>
        <w:rPr>
          <w:rFonts w:hint="eastAsia" w:ascii="宋体" w:hAnsi="宋体" w:cs="宋体"/>
          <w:sz w:val="24"/>
        </w:rPr>
        <w:t>心电信息管理系统主要应用于医院心电电生理检查部门,实现心电图、动态心电、动态血压、电生理检查数据的采集、存储、诊断、管理,并与医院现有信息系统，例如HIS、PACS、EMR、体检等相连接,使心电电生理检查真正融入到全院的信息化建设中,并最终实现医疗信息共享的目标。</w:t>
      </w:r>
    </w:p>
    <w:p>
      <w:pPr>
        <w:spacing w:line="360" w:lineRule="auto"/>
        <w:ind w:firstLine="480" w:firstLineChars="200"/>
        <w:rPr>
          <w:rFonts w:ascii="宋体" w:hAnsi="宋体" w:cs="宋体"/>
          <w:sz w:val="24"/>
        </w:rPr>
      </w:pPr>
      <w:r>
        <w:rPr>
          <w:rFonts w:hint="eastAsia" w:ascii="宋体" w:hAnsi="宋体" w:cs="宋体"/>
          <w:sz w:val="24"/>
        </w:rPr>
        <w:t>通过心电信息管理系统的应用,真正实现院内乃至不同医院之间的心电电生理检查的信息化,一方面可以提高检查效率，利用远程网络诊断技术为患者、医院、社会等多方带来诸多便利；另一方面，心电检查作为一项基础检查项目，其信息化是医院电子病历等级评审的一部分，通过心电信息管理系统的建设，可以为医院电子病历等级评审提供技术支持。此外，心电信息化建设也为医院心电学的研究与进步提供了保障,同时提高经济效益和社会效益。</w:t>
      </w:r>
    </w:p>
    <w:p>
      <w:pPr>
        <w:numPr>
          <w:ilvl w:val="0"/>
          <w:numId w:val="20"/>
        </w:numPr>
        <w:spacing w:line="360" w:lineRule="auto"/>
        <w:outlineLvl w:val="0"/>
        <w:rPr>
          <w:rFonts w:ascii="宋体" w:hAnsi="宋体" w:cs="宋体"/>
          <w:sz w:val="24"/>
        </w:rPr>
      </w:pPr>
      <w:bookmarkStart w:id="157" w:name="_Toc7173"/>
      <w:bookmarkStart w:id="158" w:name="_Toc23399"/>
      <w:r>
        <w:rPr>
          <w:rFonts w:hint="eastAsia" w:ascii="宋体" w:hAnsi="宋体" w:cs="宋体"/>
          <w:sz w:val="24"/>
        </w:rPr>
        <w:t>技术参数</w:t>
      </w:r>
      <w:bookmarkEnd w:id="157"/>
      <w:bookmarkEnd w:id="158"/>
    </w:p>
    <w:p>
      <w:pPr>
        <w:numPr>
          <w:ilvl w:val="1"/>
          <w:numId w:val="20"/>
        </w:numPr>
        <w:spacing w:after="72" w:afterLines="30" w:line="360" w:lineRule="auto"/>
        <w:outlineLvl w:val="1"/>
        <w:rPr>
          <w:rFonts w:ascii="宋体" w:hAnsi="宋体" w:cs="宋体"/>
          <w:sz w:val="24"/>
        </w:rPr>
      </w:pPr>
      <w:bookmarkStart w:id="159" w:name="_Toc27660"/>
      <w:bookmarkStart w:id="160" w:name="_Toc18249"/>
      <w:r>
        <w:rPr>
          <w:rFonts w:hint="eastAsia" w:ascii="宋体" w:hAnsi="宋体" w:cs="宋体"/>
          <w:sz w:val="24"/>
        </w:rPr>
        <w:t>系统软件配置清单</w:t>
      </w:r>
      <w:bookmarkEnd w:id="159"/>
      <w:bookmarkEnd w:id="160"/>
    </w:p>
    <w:tbl>
      <w:tblPr>
        <w:tblStyle w:val="40"/>
        <w:tblpPr w:leftFromText="180" w:rightFromText="180" w:vertAnchor="text" w:horzAnchor="margin" w:tblpY="53"/>
        <w:tblW w:w="8293" w:type="dxa"/>
        <w:tblInd w:w="0" w:type="dxa"/>
        <w:tblLayout w:type="fixed"/>
        <w:tblCellMar>
          <w:top w:w="0" w:type="dxa"/>
          <w:left w:w="0" w:type="dxa"/>
          <w:bottom w:w="0" w:type="dxa"/>
          <w:right w:w="0" w:type="dxa"/>
        </w:tblCellMar>
      </w:tblPr>
      <w:tblGrid>
        <w:gridCol w:w="613"/>
        <w:gridCol w:w="2076"/>
        <w:gridCol w:w="3260"/>
        <w:gridCol w:w="567"/>
        <w:gridCol w:w="567"/>
        <w:gridCol w:w="1210"/>
      </w:tblGrid>
      <w:tr>
        <w:tblPrEx>
          <w:tblCellMar>
            <w:top w:w="0" w:type="dxa"/>
            <w:left w:w="0" w:type="dxa"/>
            <w:bottom w:w="0" w:type="dxa"/>
            <w:right w:w="0" w:type="dxa"/>
          </w:tblCellMar>
        </w:tblPrEx>
        <w:trPr>
          <w:trHeight w:val="330" w:hRule="atLeast"/>
        </w:trPr>
        <w:tc>
          <w:tcPr>
            <w:tcW w:w="613"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2076"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sz w:val="24"/>
              </w:rPr>
            </w:pPr>
            <w:r>
              <w:rPr>
                <w:rFonts w:hint="eastAsia" w:ascii="宋体" w:hAnsi="宋体" w:cs="宋体"/>
                <w:b/>
                <w:bCs/>
                <w:color w:val="000000"/>
                <w:kern w:val="0"/>
                <w:sz w:val="24"/>
                <w:lang w:bidi="ar"/>
              </w:rPr>
              <w:t>项目</w:t>
            </w:r>
          </w:p>
        </w:tc>
        <w:tc>
          <w:tcPr>
            <w:tcW w:w="326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sz w:val="24"/>
              </w:rPr>
            </w:pPr>
            <w:r>
              <w:rPr>
                <w:rFonts w:hint="eastAsia" w:ascii="宋体" w:hAnsi="宋体" w:cs="宋体"/>
                <w:b/>
                <w:bCs/>
                <w:color w:val="000000"/>
                <w:kern w:val="0"/>
                <w:sz w:val="24"/>
                <w:lang w:bidi="ar"/>
              </w:rPr>
              <w:t>模块</w:t>
            </w:r>
          </w:p>
        </w:tc>
        <w:tc>
          <w:tcPr>
            <w:tcW w:w="56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sz w:val="24"/>
              </w:rPr>
            </w:pPr>
            <w:r>
              <w:rPr>
                <w:rFonts w:hint="eastAsia" w:ascii="宋体" w:hAnsi="宋体" w:cs="宋体"/>
                <w:b/>
                <w:bCs/>
                <w:color w:val="000000"/>
                <w:kern w:val="0"/>
                <w:sz w:val="24"/>
                <w:lang w:bidi="ar"/>
              </w:rPr>
              <w:t>单位</w:t>
            </w:r>
          </w:p>
        </w:tc>
        <w:tc>
          <w:tcPr>
            <w:tcW w:w="567"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sz w:val="24"/>
              </w:rPr>
            </w:pPr>
            <w:r>
              <w:rPr>
                <w:rFonts w:hint="eastAsia" w:ascii="宋体" w:hAnsi="宋体" w:cs="宋体"/>
                <w:b/>
                <w:bCs/>
                <w:color w:val="000000"/>
                <w:kern w:val="0"/>
                <w:sz w:val="24"/>
                <w:lang w:bidi="ar"/>
              </w:rPr>
              <w:t>数量</w:t>
            </w:r>
          </w:p>
        </w:tc>
        <w:tc>
          <w:tcPr>
            <w:tcW w:w="1210" w:type="dxa"/>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tcMar>
              <w:top w:w="15" w:type="dxa"/>
              <w:left w:w="15" w:type="dxa"/>
              <w:right w:w="15" w:type="dxa"/>
            </w:tcMar>
            <w:vAlign w:val="center"/>
          </w:tcPr>
          <w:p>
            <w:pPr>
              <w:widowControl/>
              <w:spacing w:line="360" w:lineRule="auto"/>
              <w:jc w:val="center"/>
              <w:textAlignment w:val="center"/>
              <w:rPr>
                <w:rFonts w:ascii="宋体" w:hAnsi="宋体" w:cs="宋体"/>
                <w:b/>
                <w:bCs/>
                <w:color w:val="000000"/>
                <w:kern w:val="0"/>
                <w:sz w:val="24"/>
                <w:lang w:bidi="ar"/>
              </w:rPr>
            </w:pPr>
            <w:r>
              <w:rPr>
                <w:rFonts w:hint="eastAsia" w:ascii="宋体" w:hAnsi="宋体" w:cs="宋体"/>
                <w:b/>
                <w:bCs/>
                <w:color w:val="000000"/>
                <w:kern w:val="0"/>
                <w:sz w:val="24"/>
                <w:lang w:bidi="ar"/>
              </w:rPr>
              <w:t>备注</w:t>
            </w:r>
          </w:p>
        </w:tc>
      </w:tr>
      <w:tr>
        <w:tblPrEx>
          <w:tblCellMar>
            <w:top w:w="0" w:type="dxa"/>
            <w:left w:w="0" w:type="dxa"/>
            <w:bottom w:w="0" w:type="dxa"/>
            <w:right w:w="0" w:type="dxa"/>
          </w:tblCellMar>
        </w:tblPrEx>
        <w:trPr>
          <w:trHeight w:val="312" w:hRule="atLeast"/>
        </w:trPr>
        <w:tc>
          <w:tcPr>
            <w:tcW w:w="61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2076"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心电系统中心平台</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数据库服务模块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存储管理器模块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190" w:hRule="atLeast"/>
        </w:trPr>
        <w:tc>
          <w:tcPr>
            <w:tcW w:w="61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DICOM服务模块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130" w:hRule="atLeast"/>
        </w:trPr>
        <w:tc>
          <w:tcPr>
            <w:tcW w:w="61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临床WEB浏览模块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90" w:hRule="atLeast"/>
        </w:trPr>
        <w:tc>
          <w:tcPr>
            <w:tcW w:w="61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危急值提醒与反馈模块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90" w:hRule="atLeast"/>
        </w:trPr>
        <w:tc>
          <w:tcPr>
            <w:tcW w:w="61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2</w:t>
            </w:r>
          </w:p>
        </w:tc>
        <w:tc>
          <w:tcPr>
            <w:tcW w:w="2076"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系统接口模块</w:t>
            </w: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HIS接口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kern w:val="0"/>
                <w:sz w:val="24"/>
              </w:rPr>
              <w:t>接口费用由供应病承担</w:t>
            </w:r>
          </w:p>
        </w:tc>
      </w:tr>
      <w:tr>
        <w:tblPrEx>
          <w:tblCellMar>
            <w:top w:w="0" w:type="dxa"/>
            <w:left w:w="0" w:type="dxa"/>
            <w:bottom w:w="0" w:type="dxa"/>
            <w:right w:w="0" w:type="dxa"/>
          </w:tblCellMar>
        </w:tblPrEx>
        <w:trPr>
          <w:trHeight w:val="90" w:hRule="atLeast"/>
        </w:trPr>
        <w:tc>
          <w:tcPr>
            <w:tcW w:w="61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PACS接口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90" w:hRule="atLeast"/>
        </w:trPr>
        <w:tc>
          <w:tcPr>
            <w:tcW w:w="61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电子病历接口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90" w:hRule="atLeast"/>
        </w:trPr>
        <w:tc>
          <w:tcPr>
            <w:tcW w:w="61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c>
          <w:tcPr>
            <w:tcW w:w="207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体检接口</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套</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1</w:t>
            </w:r>
          </w:p>
        </w:tc>
        <w:tc>
          <w:tcPr>
            <w:tcW w:w="1210"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3</w:t>
            </w:r>
          </w:p>
        </w:tc>
        <w:tc>
          <w:tcPr>
            <w:tcW w:w="2076"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心电诊断中心</w:t>
            </w: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预约登记客户端</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电子叫号客户端</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三合一报告端：静息心电、动态心电、动态血压分析软件</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病例收藏系统</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病例随访系统</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p>
        </w:tc>
        <w:tc>
          <w:tcPr>
            <w:tcW w:w="2076"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pPr>
              <w:spacing w:line="360" w:lineRule="auto"/>
              <w:jc w:val="center"/>
              <w:rPr>
                <w:rFonts w:ascii="宋体" w:hAnsi="宋体" w:cs="宋体"/>
                <w:color w:val="000000"/>
                <w:sz w:val="24"/>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主任统计管理客户端</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sz w:val="24"/>
              </w:rPr>
              <w:t>4</w:t>
            </w:r>
          </w:p>
        </w:tc>
        <w:tc>
          <w:tcPr>
            <w:tcW w:w="2076"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设备连接服务</w:t>
            </w: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sz w:val="24"/>
              </w:rPr>
            </w:pPr>
            <w:r>
              <w:rPr>
                <w:rFonts w:hint="eastAsia" w:ascii="宋体" w:hAnsi="宋体" w:cs="宋体"/>
                <w:color w:val="000000"/>
                <w:kern w:val="0"/>
                <w:sz w:val="24"/>
                <w:lang w:bidi="ar"/>
              </w:rPr>
              <w:t>心电图机连接模块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7</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r>
        <w:tblPrEx>
          <w:tblCellMar>
            <w:top w:w="0" w:type="dxa"/>
            <w:left w:w="0" w:type="dxa"/>
            <w:bottom w:w="0" w:type="dxa"/>
            <w:right w:w="0" w:type="dxa"/>
          </w:tblCellMar>
        </w:tblPrEx>
        <w:trPr>
          <w:trHeight w:val="330" w:hRule="atLeast"/>
        </w:trPr>
        <w:tc>
          <w:tcPr>
            <w:tcW w:w="613"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c>
          <w:tcPr>
            <w:tcW w:w="2076"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c>
          <w:tcPr>
            <w:tcW w:w="32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电生理设备连接模块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套</w:t>
            </w:r>
          </w:p>
        </w:tc>
        <w:tc>
          <w:tcPr>
            <w:tcW w:w="56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6</w:t>
            </w:r>
          </w:p>
        </w:tc>
        <w:tc>
          <w:tcPr>
            <w:tcW w:w="12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idowControl/>
              <w:spacing w:line="360" w:lineRule="auto"/>
              <w:jc w:val="center"/>
              <w:textAlignment w:val="center"/>
              <w:rPr>
                <w:rFonts w:ascii="宋体" w:hAnsi="宋体" w:cs="宋体"/>
                <w:color w:val="000000"/>
                <w:kern w:val="0"/>
                <w:sz w:val="24"/>
                <w:lang w:bidi="ar"/>
              </w:rPr>
            </w:pPr>
          </w:p>
        </w:tc>
      </w:tr>
    </w:tbl>
    <w:p>
      <w:pPr>
        <w:numPr>
          <w:ilvl w:val="1"/>
          <w:numId w:val="20"/>
        </w:numPr>
        <w:spacing w:after="72" w:afterLines="30" w:line="360" w:lineRule="auto"/>
        <w:outlineLvl w:val="1"/>
        <w:rPr>
          <w:rFonts w:ascii="宋体" w:hAnsi="宋体" w:cs="宋体"/>
          <w:sz w:val="24"/>
        </w:rPr>
      </w:pPr>
      <w:bookmarkStart w:id="161" w:name="_Toc14653"/>
      <w:bookmarkStart w:id="162" w:name="_Toc20108"/>
      <w:r>
        <w:rPr>
          <w:rFonts w:hint="eastAsia" w:ascii="宋体" w:hAnsi="宋体" w:cs="宋体"/>
          <w:sz w:val="24"/>
        </w:rPr>
        <w:t>医院设备清单</w:t>
      </w:r>
      <w:bookmarkEnd w:id="161"/>
      <w:bookmarkEnd w:id="162"/>
    </w:p>
    <w:tbl>
      <w:tblPr>
        <w:tblStyle w:val="40"/>
        <w:tblW w:w="8528" w:type="dxa"/>
        <w:tblInd w:w="0" w:type="dxa"/>
        <w:tblLayout w:type="fixed"/>
        <w:tblCellMar>
          <w:top w:w="0" w:type="dxa"/>
          <w:left w:w="108" w:type="dxa"/>
          <w:bottom w:w="0" w:type="dxa"/>
          <w:right w:w="108" w:type="dxa"/>
        </w:tblCellMar>
      </w:tblPr>
      <w:tblGrid>
        <w:gridCol w:w="677"/>
        <w:gridCol w:w="1887"/>
        <w:gridCol w:w="1689"/>
        <w:gridCol w:w="722"/>
        <w:gridCol w:w="681"/>
        <w:gridCol w:w="1349"/>
        <w:gridCol w:w="1523"/>
      </w:tblGrid>
      <w:tr>
        <w:tblPrEx>
          <w:tblCellMar>
            <w:top w:w="0" w:type="dxa"/>
            <w:left w:w="108" w:type="dxa"/>
            <w:bottom w:w="0" w:type="dxa"/>
            <w:right w:w="108" w:type="dxa"/>
          </w:tblCellMar>
        </w:tblPrEx>
        <w:trPr>
          <w:trHeight w:val="300" w:hRule="atLeast"/>
        </w:trPr>
        <w:tc>
          <w:tcPr>
            <w:tcW w:w="677" w:type="dxa"/>
            <w:tcBorders>
              <w:top w:val="single" w:color="auto" w:sz="4" w:space="0"/>
              <w:left w:val="single" w:color="auto" w:sz="4" w:space="0"/>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1887"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设备名称</w:t>
            </w:r>
          </w:p>
        </w:tc>
        <w:tc>
          <w:tcPr>
            <w:tcW w:w="1689"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规格型号</w:t>
            </w:r>
          </w:p>
        </w:tc>
        <w:tc>
          <w:tcPr>
            <w:tcW w:w="722"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单位</w:t>
            </w:r>
          </w:p>
        </w:tc>
        <w:tc>
          <w:tcPr>
            <w:tcW w:w="681"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数量</w:t>
            </w:r>
          </w:p>
        </w:tc>
        <w:tc>
          <w:tcPr>
            <w:tcW w:w="1349"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启用时间</w:t>
            </w:r>
          </w:p>
        </w:tc>
        <w:tc>
          <w:tcPr>
            <w:tcW w:w="1523" w:type="dxa"/>
            <w:tcBorders>
              <w:top w:val="single" w:color="auto" w:sz="4" w:space="0"/>
              <w:left w:val="nil"/>
              <w:bottom w:val="single" w:color="auto" w:sz="4" w:space="0"/>
              <w:right w:val="single" w:color="auto" w:sz="4" w:space="0"/>
            </w:tcBorders>
            <w:shd w:val="clear" w:color="000000" w:fill="BFBFBF"/>
            <w:noWrap/>
            <w:vAlign w:val="center"/>
          </w:tcPr>
          <w:p>
            <w:pPr>
              <w:widowControl/>
              <w:spacing w:line="360" w:lineRule="auto"/>
              <w:jc w:val="center"/>
              <w:rPr>
                <w:rFonts w:ascii="宋体" w:hAnsi="宋体" w:cs="宋体"/>
                <w:b/>
                <w:bCs/>
                <w:color w:val="000000"/>
                <w:kern w:val="0"/>
                <w:sz w:val="24"/>
              </w:rPr>
            </w:pPr>
            <w:r>
              <w:rPr>
                <w:rFonts w:hint="eastAsia" w:ascii="宋体" w:hAnsi="宋体" w:cs="宋体"/>
                <w:b/>
                <w:bCs/>
                <w:color w:val="000000"/>
                <w:kern w:val="0"/>
                <w:sz w:val="24"/>
              </w:rPr>
              <w:t>品牌</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心电图机</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ECG-1250C</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2011.8.24</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2</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心电图机</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ECG-1250C</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2013.4.1</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3</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多道心电图机</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ECG-1350C</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2014.12.24</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4</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心电图机</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ECG-1350C</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2016.9.18</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5</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心电图仪</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ECG-1250P</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2017.11.14</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6</w:t>
            </w:r>
          </w:p>
        </w:tc>
        <w:tc>
          <w:tcPr>
            <w:tcW w:w="1887"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心电图机</w:t>
            </w:r>
          </w:p>
        </w:tc>
        <w:tc>
          <w:tcPr>
            <w:tcW w:w="1689"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ECG-1350P</w:t>
            </w:r>
          </w:p>
        </w:tc>
        <w:tc>
          <w:tcPr>
            <w:tcW w:w="722"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000000" w:fill="FFFFFF"/>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2018.10.16</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7</w:t>
            </w:r>
          </w:p>
        </w:tc>
        <w:tc>
          <w:tcPr>
            <w:tcW w:w="1887"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多道心电图机</w:t>
            </w:r>
          </w:p>
        </w:tc>
        <w:tc>
          <w:tcPr>
            <w:tcW w:w="1689"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ECG-2260</w:t>
            </w:r>
          </w:p>
        </w:tc>
        <w:tc>
          <w:tcPr>
            <w:tcW w:w="722"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000000" w:fill="FFFFFF"/>
            <w:vAlign w:val="center"/>
          </w:tcPr>
          <w:p>
            <w:pPr>
              <w:widowControl/>
              <w:spacing w:line="360" w:lineRule="auto"/>
              <w:jc w:val="center"/>
              <w:rPr>
                <w:rFonts w:ascii="宋体" w:hAnsi="宋体" w:cs="宋体"/>
                <w:kern w:val="0"/>
                <w:sz w:val="24"/>
              </w:rPr>
            </w:pPr>
            <w:r>
              <w:rPr>
                <w:rFonts w:hint="eastAsia" w:ascii="宋体" w:hAnsi="宋体" w:cs="宋体"/>
                <w:kern w:val="0"/>
                <w:sz w:val="24"/>
              </w:rPr>
              <w:t xml:space="preserve">1 </w:t>
            </w:r>
          </w:p>
        </w:tc>
        <w:tc>
          <w:tcPr>
            <w:tcW w:w="1349"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2019.12.17</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光电</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8</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动态心电分析系统</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2010Plus/1810</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套</w:t>
            </w:r>
          </w:p>
        </w:tc>
        <w:tc>
          <w:tcPr>
            <w:tcW w:w="68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2010.4.19</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飞利浦</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9</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动态血压监测系统</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90217</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套</w:t>
            </w:r>
          </w:p>
        </w:tc>
        <w:tc>
          <w:tcPr>
            <w:tcW w:w="68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2012.9.7</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英国太空</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10</w:t>
            </w:r>
          </w:p>
        </w:tc>
        <w:tc>
          <w:tcPr>
            <w:tcW w:w="1887"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周围神经检测仪</w:t>
            </w:r>
          </w:p>
        </w:tc>
        <w:tc>
          <w:tcPr>
            <w:tcW w:w="1689"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NDI-097</w:t>
            </w:r>
          </w:p>
        </w:tc>
        <w:tc>
          <w:tcPr>
            <w:tcW w:w="722" w:type="dxa"/>
            <w:tcBorders>
              <w:top w:val="nil"/>
              <w:left w:val="nil"/>
              <w:bottom w:val="single" w:color="auto" w:sz="4" w:space="0"/>
              <w:right w:val="single" w:color="auto" w:sz="4" w:space="0"/>
            </w:tcBorders>
            <w:shd w:val="clear" w:color="000000" w:fill="FFFFFF"/>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2019.12.25</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上海海神</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11</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肺功能测试仪</w:t>
            </w:r>
          </w:p>
        </w:tc>
        <w:tc>
          <w:tcPr>
            <w:tcW w:w="168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micro Quark</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套</w:t>
            </w:r>
          </w:p>
        </w:tc>
        <w:tc>
          <w:tcPr>
            <w:tcW w:w="681"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2003.11.1</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意大利COSMED</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12</w:t>
            </w:r>
          </w:p>
        </w:tc>
        <w:tc>
          <w:tcPr>
            <w:tcW w:w="1887" w:type="dxa"/>
            <w:tcBorders>
              <w:top w:val="single" w:color="auto" w:sz="4" w:space="0"/>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超声经颅多普勒血流分析仪</w:t>
            </w:r>
          </w:p>
        </w:tc>
        <w:tc>
          <w:tcPr>
            <w:tcW w:w="1689"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JYQ TCD-2000</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2014.12.1</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悦琦</w:t>
            </w:r>
          </w:p>
        </w:tc>
      </w:tr>
      <w:tr>
        <w:tblPrEx>
          <w:tblCellMar>
            <w:top w:w="0" w:type="dxa"/>
            <w:left w:w="108" w:type="dxa"/>
            <w:bottom w:w="0" w:type="dxa"/>
            <w:right w:w="108" w:type="dxa"/>
          </w:tblCellMar>
        </w:tblPrEx>
        <w:trPr>
          <w:trHeight w:val="300" w:hRule="atLeast"/>
        </w:trPr>
        <w:tc>
          <w:tcPr>
            <w:tcW w:w="677"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13</w:t>
            </w:r>
          </w:p>
        </w:tc>
        <w:tc>
          <w:tcPr>
            <w:tcW w:w="1887"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便携式超声经颅多普勒血流分析仪</w:t>
            </w:r>
          </w:p>
        </w:tc>
        <w:tc>
          <w:tcPr>
            <w:tcW w:w="1689"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JYQ TCD-2000</w:t>
            </w:r>
          </w:p>
        </w:tc>
        <w:tc>
          <w:tcPr>
            <w:tcW w:w="722"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台</w:t>
            </w:r>
          </w:p>
        </w:tc>
        <w:tc>
          <w:tcPr>
            <w:tcW w:w="681"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ascii="宋体" w:hAnsi="宋体" w:cs="宋体"/>
                <w:kern w:val="0"/>
                <w:sz w:val="24"/>
              </w:rPr>
            </w:pPr>
            <w:r>
              <w:rPr>
                <w:rFonts w:hint="eastAsia" w:ascii="宋体" w:hAnsi="宋体" w:cs="宋体"/>
                <w:kern w:val="0"/>
                <w:sz w:val="24"/>
              </w:rPr>
              <w:t>1</w:t>
            </w:r>
          </w:p>
        </w:tc>
        <w:tc>
          <w:tcPr>
            <w:tcW w:w="1349"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kern w:val="0"/>
                <w:sz w:val="24"/>
              </w:rPr>
            </w:pPr>
            <w:r>
              <w:rPr>
                <w:rFonts w:hint="eastAsia" w:ascii="宋体" w:hAnsi="宋体" w:cs="宋体"/>
                <w:kern w:val="0"/>
                <w:sz w:val="24"/>
              </w:rPr>
              <w:t>2014.12.1</w:t>
            </w:r>
          </w:p>
        </w:tc>
        <w:tc>
          <w:tcPr>
            <w:tcW w:w="1523" w:type="dxa"/>
            <w:tcBorders>
              <w:top w:val="nil"/>
              <w:left w:val="nil"/>
              <w:bottom w:val="single" w:color="auto" w:sz="4" w:space="0"/>
              <w:right w:val="single" w:color="auto" w:sz="4" w:space="0"/>
            </w:tcBorders>
            <w:shd w:val="clear" w:color="auto" w:fill="auto"/>
            <w:noWrap/>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悦琦</w:t>
            </w:r>
          </w:p>
        </w:tc>
      </w:tr>
    </w:tbl>
    <w:p>
      <w:pPr>
        <w:spacing w:after="72" w:afterLines="30" w:line="360" w:lineRule="auto"/>
        <w:outlineLvl w:val="1"/>
        <w:rPr>
          <w:rFonts w:ascii="宋体" w:hAnsi="宋体" w:cs="宋体"/>
          <w:sz w:val="24"/>
        </w:rPr>
      </w:pPr>
    </w:p>
    <w:p>
      <w:pPr>
        <w:numPr>
          <w:ilvl w:val="1"/>
          <w:numId w:val="20"/>
        </w:numPr>
        <w:spacing w:before="120" w:beforeLines="50" w:line="360" w:lineRule="auto"/>
        <w:outlineLvl w:val="1"/>
        <w:rPr>
          <w:rFonts w:ascii="宋体" w:hAnsi="宋体" w:cs="宋体"/>
          <w:sz w:val="24"/>
        </w:rPr>
      </w:pPr>
      <w:bookmarkStart w:id="163" w:name="_Toc18765"/>
      <w:bookmarkStart w:id="164" w:name="_Toc31416"/>
      <w:r>
        <w:rPr>
          <w:rFonts w:hint="eastAsia" w:ascii="宋体" w:hAnsi="宋体" w:cs="宋体"/>
          <w:sz w:val="24"/>
        </w:rPr>
        <w:t>系统软硬件技术参数</w:t>
      </w:r>
      <w:bookmarkEnd w:id="163"/>
      <w:bookmarkEnd w:id="164"/>
    </w:p>
    <w:p>
      <w:pPr>
        <w:numPr>
          <w:ilvl w:val="2"/>
          <w:numId w:val="20"/>
        </w:numPr>
        <w:spacing w:line="360" w:lineRule="auto"/>
        <w:outlineLvl w:val="2"/>
        <w:rPr>
          <w:rFonts w:ascii="宋体" w:hAnsi="宋体" w:cs="宋体"/>
          <w:b/>
          <w:bCs/>
          <w:sz w:val="24"/>
        </w:rPr>
      </w:pPr>
      <w:bookmarkStart w:id="165" w:name="_Toc2117"/>
      <w:bookmarkStart w:id="166" w:name="_Toc25579"/>
      <w:r>
        <w:rPr>
          <w:rFonts w:hint="eastAsia" w:ascii="宋体" w:hAnsi="宋体" w:cs="宋体"/>
          <w:b/>
          <w:bCs/>
          <w:sz w:val="24"/>
        </w:rPr>
        <w:t>系统服务模块</w:t>
      </w:r>
      <w:bookmarkEnd w:id="165"/>
      <w:bookmarkEnd w:id="166"/>
    </w:p>
    <w:p>
      <w:pPr>
        <w:numPr>
          <w:ilvl w:val="3"/>
          <w:numId w:val="20"/>
        </w:numPr>
        <w:spacing w:line="360" w:lineRule="auto"/>
        <w:outlineLvl w:val="3"/>
        <w:rPr>
          <w:rFonts w:ascii="宋体" w:hAnsi="宋体" w:cs="宋体"/>
          <w:sz w:val="24"/>
        </w:rPr>
      </w:pPr>
      <w:r>
        <w:rPr>
          <w:rFonts w:hint="eastAsia" w:ascii="宋体" w:hAnsi="宋体" w:cs="宋体"/>
          <w:sz w:val="24"/>
        </w:rPr>
        <w:t>数据库服务模块</w:t>
      </w:r>
    </w:p>
    <w:p>
      <w:pPr>
        <w:numPr>
          <w:ilvl w:val="0"/>
          <w:numId w:val="21"/>
        </w:numPr>
        <w:spacing w:line="360" w:lineRule="auto"/>
        <w:ind w:left="845"/>
        <w:rPr>
          <w:rFonts w:ascii="宋体" w:hAnsi="宋体" w:cs="宋体"/>
          <w:sz w:val="24"/>
        </w:rPr>
      </w:pPr>
      <w:r>
        <w:rPr>
          <w:rFonts w:hint="eastAsia" w:ascii="宋体" w:hAnsi="宋体" w:cs="宋体"/>
          <w:sz w:val="24"/>
        </w:rPr>
        <w:t>支持SQLserver、Oracle等大型数据库，有安全、可靠的数据存储、备份方案，有近线、离线数据调阅方案，实现数据的网络存储及应急状态的数据本地存储。具有开放性，支持异种数据库的访问，包括实现对文件数据和桌面数据库的访问、实现对大型异种数据库的访问、实现和高级语言互连的能力等，具有支持并行操作所需的技术，包括多服务器协同技术、事务处理的完整性控制技术。</w:t>
      </w:r>
    </w:p>
    <w:p>
      <w:pPr>
        <w:numPr>
          <w:ilvl w:val="0"/>
          <w:numId w:val="21"/>
        </w:numPr>
        <w:spacing w:line="360" w:lineRule="auto"/>
        <w:ind w:left="845"/>
        <w:rPr>
          <w:rFonts w:ascii="宋体" w:hAnsi="宋体" w:cs="宋体"/>
          <w:sz w:val="24"/>
        </w:rPr>
      </w:pPr>
      <w:r>
        <w:rPr>
          <w:rFonts w:hint="eastAsia" w:ascii="宋体" w:hAnsi="宋体" w:cs="宋体"/>
          <w:sz w:val="24"/>
        </w:rPr>
        <w:t>服务器软件支持集群设计；支持数据库多种方式备份；支持数据库管理功能，支持数据记录查询与检索；按需更新数据库管理系统中的数据；接受医生申请，按权限提供所储存心电图波形数据及相关信息。</w:t>
      </w:r>
    </w:p>
    <w:p>
      <w:pPr>
        <w:numPr>
          <w:ilvl w:val="3"/>
          <w:numId w:val="20"/>
        </w:numPr>
        <w:spacing w:line="360" w:lineRule="auto"/>
        <w:outlineLvl w:val="3"/>
        <w:rPr>
          <w:rFonts w:ascii="宋体" w:hAnsi="宋体" w:cs="宋体"/>
          <w:sz w:val="24"/>
        </w:rPr>
      </w:pPr>
      <w:r>
        <w:rPr>
          <w:rFonts w:hint="eastAsia" w:ascii="宋体" w:hAnsi="宋体" w:cs="宋体"/>
          <w:sz w:val="24"/>
        </w:rPr>
        <w:t>存储管理器模块</w:t>
      </w:r>
    </w:p>
    <w:p>
      <w:pPr>
        <w:numPr>
          <w:ilvl w:val="0"/>
          <w:numId w:val="22"/>
        </w:numPr>
        <w:spacing w:line="360" w:lineRule="auto"/>
        <w:ind w:left="845"/>
        <w:rPr>
          <w:rFonts w:ascii="宋体" w:hAnsi="宋体" w:cs="宋体"/>
          <w:sz w:val="24"/>
        </w:rPr>
      </w:pPr>
      <w:r>
        <w:rPr>
          <w:rFonts w:hint="eastAsia" w:ascii="宋体" w:hAnsi="宋体" w:cs="宋体"/>
          <w:sz w:val="24"/>
        </w:rPr>
        <w:t>医院心电图数据可以进行数字化集中存储及管理，可对心电数据进行查找、统计、测量。提供含有集中存储及管理、查找、统计、测量等词语的医疗器械注册证复印件并圈出对应内容证明。</w:t>
      </w:r>
    </w:p>
    <w:p>
      <w:pPr>
        <w:numPr>
          <w:ilvl w:val="0"/>
          <w:numId w:val="22"/>
        </w:numPr>
        <w:spacing w:line="360" w:lineRule="auto"/>
        <w:ind w:left="845"/>
        <w:rPr>
          <w:rFonts w:ascii="宋体" w:hAnsi="宋体" w:cs="宋体"/>
          <w:sz w:val="24"/>
        </w:rPr>
      </w:pPr>
      <w:r>
        <w:rPr>
          <w:rFonts w:hint="eastAsia" w:ascii="宋体" w:hAnsi="宋体" w:cs="宋体"/>
          <w:sz w:val="24"/>
        </w:rPr>
        <w:t>接收具有DICOM或XML传输协议的心电图机、具有数字输出的动态心电图、运动平板心电图电生理检查设备的数据，对数据进行处理和存储，并可与医院信息管理系统进行整合，通过网络发布报告。提供含有DICOM或XML传输协议，动态心电图、运动平板心电图网络发布报告等词语的医疗器械注册证或其附件的复印件并圈出对应内容证明。</w:t>
      </w:r>
    </w:p>
    <w:p>
      <w:pPr>
        <w:numPr>
          <w:ilvl w:val="3"/>
          <w:numId w:val="20"/>
        </w:numPr>
        <w:spacing w:line="360" w:lineRule="auto"/>
        <w:outlineLvl w:val="3"/>
        <w:rPr>
          <w:rFonts w:ascii="宋体" w:hAnsi="宋体" w:cs="宋体"/>
          <w:sz w:val="24"/>
        </w:rPr>
      </w:pPr>
      <w:r>
        <w:rPr>
          <w:rFonts w:hint="eastAsia" w:ascii="宋体" w:hAnsi="宋体" w:cs="宋体"/>
          <w:sz w:val="24"/>
        </w:rPr>
        <w:t>DICOM服务模块</w:t>
      </w:r>
    </w:p>
    <w:p>
      <w:pPr>
        <w:numPr>
          <w:ilvl w:val="0"/>
          <w:numId w:val="23"/>
        </w:numPr>
        <w:spacing w:line="360" w:lineRule="auto"/>
        <w:ind w:left="845"/>
        <w:rPr>
          <w:rFonts w:ascii="宋体" w:hAnsi="宋体" w:cs="宋体"/>
          <w:sz w:val="24"/>
        </w:rPr>
      </w:pPr>
      <w:r>
        <w:rPr>
          <w:rFonts w:hint="eastAsia" w:ascii="宋体" w:hAnsi="宋体" w:cs="宋体"/>
          <w:sz w:val="24"/>
        </w:rPr>
        <w:t>DICOM WORKLIST功能：支持同符合HL7标准的医院信息系统连接；支持同非标准的医院信息系统连接。提供含有DICOM WORKLIST功能词语，并圈出对应功能描述内容的医疗器械注册证或其附件的复印件证明。</w:t>
      </w:r>
    </w:p>
    <w:p>
      <w:pPr>
        <w:numPr>
          <w:ilvl w:val="3"/>
          <w:numId w:val="20"/>
        </w:numPr>
        <w:spacing w:line="360" w:lineRule="auto"/>
        <w:outlineLvl w:val="3"/>
        <w:rPr>
          <w:rFonts w:ascii="宋体" w:hAnsi="宋体" w:cs="宋体"/>
          <w:sz w:val="24"/>
        </w:rPr>
      </w:pPr>
      <w:r>
        <w:rPr>
          <w:rFonts w:hint="eastAsia" w:ascii="宋体" w:hAnsi="宋体" w:cs="宋体"/>
          <w:sz w:val="24"/>
        </w:rPr>
        <w:t>临床WEB浏览模块</w:t>
      </w:r>
    </w:p>
    <w:p>
      <w:pPr>
        <w:numPr>
          <w:ilvl w:val="0"/>
          <w:numId w:val="24"/>
        </w:numPr>
        <w:spacing w:line="360" w:lineRule="auto"/>
        <w:ind w:left="845"/>
        <w:rPr>
          <w:rFonts w:ascii="宋体" w:hAnsi="宋体" w:cs="宋体"/>
          <w:sz w:val="24"/>
        </w:rPr>
      </w:pPr>
      <w:r>
        <w:rPr>
          <w:rFonts w:hint="eastAsia" w:ascii="宋体" w:hAnsi="宋体" w:cs="宋体"/>
          <w:sz w:val="24"/>
        </w:rPr>
        <w:t>支持嵌入门诊医生站、住院电子病历系统；</w:t>
      </w:r>
    </w:p>
    <w:p>
      <w:pPr>
        <w:numPr>
          <w:ilvl w:val="0"/>
          <w:numId w:val="24"/>
        </w:numPr>
        <w:spacing w:line="360" w:lineRule="auto"/>
        <w:ind w:left="845"/>
        <w:rPr>
          <w:rFonts w:ascii="宋体" w:hAnsi="宋体" w:cs="宋体"/>
          <w:sz w:val="24"/>
        </w:rPr>
      </w:pPr>
      <w:r>
        <w:rPr>
          <w:rFonts w:hint="eastAsia" w:ascii="宋体" w:hAnsi="宋体" w:cs="宋体"/>
          <w:sz w:val="24"/>
        </w:rPr>
        <w:t>当心电图专业医生确认检查报告后，在医院的医生工作站上就可以浏览到具有查看权限的心电图结论，心电波形和打印带网格的心电图报告；</w:t>
      </w:r>
    </w:p>
    <w:p>
      <w:pPr>
        <w:numPr>
          <w:ilvl w:val="0"/>
          <w:numId w:val="24"/>
        </w:numPr>
        <w:spacing w:line="360" w:lineRule="auto"/>
        <w:ind w:left="845"/>
        <w:rPr>
          <w:rFonts w:ascii="宋体" w:hAnsi="宋体" w:cs="宋体"/>
          <w:sz w:val="24"/>
        </w:rPr>
      </w:pPr>
      <w:r>
        <w:rPr>
          <w:rFonts w:hint="eastAsia" w:ascii="宋体" w:hAnsi="宋体" w:cs="宋体"/>
          <w:sz w:val="24"/>
        </w:rPr>
        <w:t>WEB浏览无需安装控件，可以查看原始数据，调整走纸和增益；</w:t>
      </w:r>
    </w:p>
    <w:p>
      <w:pPr>
        <w:numPr>
          <w:ilvl w:val="0"/>
          <w:numId w:val="24"/>
        </w:numPr>
        <w:spacing w:line="360" w:lineRule="auto"/>
        <w:ind w:left="845"/>
        <w:rPr>
          <w:rFonts w:ascii="宋体" w:hAnsi="宋体" w:cs="宋体"/>
          <w:sz w:val="24"/>
        </w:rPr>
      </w:pPr>
      <w:r>
        <w:rPr>
          <w:rFonts w:hint="eastAsia" w:ascii="宋体" w:hAnsi="宋体" w:cs="宋体"/>
          <w:sz w:val="24"/>
        </w:rPr>
        <w:t>支持查看动态心电、动态血压等其他电生理检查报告；</w:t>
      </w:r>
    </w:p>
    <w:p>
      <w:pPr>
        <w:numPr>
          <w:ilvl w:val="0"/>
          <w:numId w:val="24"/>
        </w:numPr>
        <w:spacing w:line="360" w:lineRule="auto"/>
        <w:ind w:left="845"/>
        <w:rPr>
          <w:rFonts w:ascii="宋体" w:hAnsi="宋体" w:cs="宋体"/>
          <w:sz w:val="24"/>
        </w:rPr>
      </w:pPr>
      <w:r>
        <w:rPr>
          <w:rFonts w:hint="eastAsia" w:ascii="宋体" w:hAnsi="宋体" w:cs="宋体"/>
          <w:sz w:val="24"/>
        </w:rPr>
        <w:t>提供临床WEB发布管理系统计算机软件著作权登记证书的复印件证明。</w:t>
      </w:r>
    </w:p>
    <w:p>
      <w:pPr>
        <w:numPr>
          <w:ilvl w:val="3"/>
          <w:numId w:val="20"/>
        </w:numPr>
        <w:spacing w:line="360" w:lineRule="auto"/>
        <w:outlineLvl w:val="3"/>
        <w:rPr>
          <w:rFonts w:ascii="宋体" w:hAnsi="宋体" w:cs="宋体"/>
          <w:sz w:val="24"/>
        </w:rPr>
      </w:pPr>
      <w:r>
        <w:rPr>
          <w:rFonts w:hint="eastAsia" w:ascii="宋体" w:hAnsi="宋体" w:cs="宋体"/>
          <w:sz w:val="24"/>
        </w:rPr>
        <w:t>危急值提醒与反馈模块</w:t>
      </w:r>
    </w:p>
    <w:p>
      <w:pPr>
        <w:numPr>
          <w:ilvl w:val="0"/>
          <w:numId w:val="25"/>
        </w:numPr>
        <w:spacing w:line="360" w:lineRule="auto"/>
        <w:ind w:left="845"/>
        <w:rPr>
          <w:rFonts w:ascii="宋体" w:hAnsi="宋体" w:cs="宋体"/>
          <w:sz w:val="24"/>
        </w:rPr>
      </w:pPr>
      <w:r>
        <w:rPr>
          <w:rFonts w:hint="eastAsia" w:ascii="宋体" w:hAnsi="宋体" w:cs="宋体"/>
          <w:sz w:val="24"/>
        </w:rPr>
        <w:t>支持后台自动分析，对于系统已经判断出存在危险情况的病人标明危急，即时在心诊断客户端发出提醒，以特殊颜色显示在病例列表上方。（要求提供实际软件界面截图）</w:t>
      </w:r>
    </w:p>
    <w:p>
      <w:pPr>
        <w:numPr>
          <w:ilvl w:val="0"/>
          <w:numId w:val="25"/>
        </w:numPr>
        <w:spacing w:line="360" w:lineRule="auto"/>
        <w:ind w:left="845"/>
        <w:rPr>
          <w:rFonts w:ascii="宋体" w:hAnsi="宋体" w:cs="宋体"/>
          <w:sz w:val="24"/>
        </w:rPr>
      </w:pPr>
      <w:r>
        <w:rPr>
          <w:rFonts w:hint="eastAsia" w:ascii="宋体" w:hAnsi="宋体" w:cs="宋体"/>
          <w:sz w:val="24"/>
        </w:rPr>
        <w:t>对于心电诊断客户端已确诊危急病人，通过系统配置，将相应病人检查信息、检查结论自动发送至病房医生工作站或护士工作站，有相应弹窗、声音提示，从而提醒医护人员进行相关危急处理。</w:t>
      </w:r>
    </w:p>
    <w:p>
      <w:pPr>
        <w:numPr>
          <w:ilvl w:val="0"/>
          <w:numId w:val="25"/>
        </w:numPr>
        <w:spacing w:line="360" w:lineRule="auto"/>
        <w:ind w:left="845"/>
        <w:rPr>
          <w:rFonts w:ascii="宋体" w:hAnsi="宋体" w:cs="宋体"/>
          <w:sz w:val="24"/>
        </w:rPr>
      </w:pPr>
      <w:r>
        <w:rPr>
          <w:rFonts w:hint="eastAsia" w:ascii="宋体" w:hAnsi="宋体" w:cs="宋体"/>
          <w:sz w:val="24"/>
        </w:rPr>
        <w:t>提供标准的危急值接口给CDR或者院内统一的危急值管理平台。</w:t>
      </w:r>
    </w:p>
    <w:p>
      <w:pPr>
        <w:numPr>
          <w:ilvl w:val="2"/>
          <w:numId w:val="20"/>
        </w:numPr>
        <w:spacing w:line="360" w:lineRule="auto"/>
        <w:outlineLvl w:val="2"/>
        <w:rPr>
          <w:rFonts w:ascii="宋体" w:hAnsi="宋体" w:cs="宋体"/>
          <w:b/>
          <w:bCs/>
          <w:sz w:val="24"/>
        </w:rPr>
      </w:pPr>
      <w:bookmarkStart w:id="167" w:name="_Toc24990"/>
      <w:bookmarkStart w:id="168" w:name="_Toc24215"/>
      <w:r>
        <w:rPr>
          <w:rFonts w:hint="eastAsia" w:ascii="宋体" w:hAnsi="宋体" w:cs="宋体"/>
          <w:b/>
          <w:bCs/>
          <w:sz w:val="24"/>
        </w:rPr>
        <w:t>系统接口模块</w:t>
      </w:r>
      <w:bookmarkEnd w:id="167"/>
      <w:bookmarkEnd w:id="168"/>
    </w:p>
    <w:p>
      <w:pPr>
        <w:spacing w:line="360" w:lineRule="auto"/>
        <w:ind w:firstLine="480" w:firstLineChars="200"/>
        <w:rPr>
          <w:rFonts w:ascii="宋体" w:hAnsi="宋体" w:cs="宋体"/>
          <w:sz w:val="24"/>
        </w:rPr>
      </w:pPr>
      <w:r>
        <w:rPr>
          <w:rFonts w:hint="eastAsia" w:ascii="宋体" w:hAnsi="宋体" w:cs="宋体"/>
          <w:sz w:val="24"/>
        </w:rPr>
        <w:t>系统对接方式支持：存储过程、中间视图、WebService、HISDLL、以及支持HL7协议的点对点推送信息等几种方式。</w:t>
      </w:r>
    </w:p>
    <w:p>
      <w:pPr>
        <w:numPr>
          <w:ilvl w:val="3"/>
          <w:numId w:val="20"/>
        </w:numPr>
        <w:spacing w:line="360" w:lineRule="auto"/>
        <w:outlineLvl w:val="3"/>
        <w:rPr>
          <w:rFonts w:ascii="宋体" w:hAnsi="宋体" w:cs="宋体"/>
          <w:sz w:val="24"/>
        </w:rPr>
      </w:pPr>
      <w:r>
        <w:rPr>
          <w:rFonts w:hint="eastAsia" w:ascii="宋体" w:hAnsi="宋体" w:cs="宋体"/>
          <w:sz w:val="24"/>
        </w:rPr>
        <w:t>HIS接口</w:t>
      </w:r>
    </w:p>
    <w:p>
      <w:pPr>
        <w:numPr>
          <w:ilvl w:val="0"/>
          <w:numId w:val="26"/>
        </w:numPr>
        <w:spacing w:line="360" w:lineRule="auto"/>
        <w:ind w:left="845"/>
        <w:rPr>
          <w:rFonts w:ascii="宋体" w:hAnsi="宋体" w:cs="宋体"/>
          <w:sz w:val="24"/>
        </w:rPr>
      </w:pPr>
      <w:r>
        <w:rPr>
          <w:rFonts w:hint="eastAsia" w:ascii="宋体" w:hAnsi="宋体" w:cs="宋体"/>
          <w:sz w:val="24"/>
        </w:rPr>
        <w:t>支持与HIS系统集成，实现从HIS当中获取患者资料；支持电子申请预约信息获取。</w:t>
      </w:r>
    </w:p>
    <w:p>
      <w:pPr>
        <w:numPr>
          <w:ilvl w:val="0"/>
          <w:numId w:val="26"/>
        </w:numPr>
        <w:spacing w:line="360" w:lineRule="auto"/>
        <w:ind w:left="845"/>
        <w:rPr>
          <w:rFonts w:ascii="宋体" w:hAnsi="宋体" w:cs="宋体"/>
          <w:sz w:val="24"/>
        </w:rPr>
      </w:pPr>
      <w:r>
        <w:rPr>
          <w:rFonts w:hint="eastAsia" w:ascii="宋体" w:hAnsi="宋体" w:cs="宋体"/>
          <w:sz w:val="24"/>
        </w:rPr>
        <w:t>支持通过接口自动将生成的图像数据回传到HIS系统，支持检查数据集中存储、集中发布、预览以及临床调阅，实现系统互联互通。</w:t>
      </w:r>
    </w:p>
    <w:p>
      <w:pPr>
        <w:numPr>
          <w:ilvl w:val="3"/>
          <w:numId w:val="20"/>
        </w:numPr>
        <w:spacing w:line="360" w:lineRule="auto"/>
        <w:outlineLvl w:val="3"/>
        <w:rPr>
          <w:rFonts w:ascii="宋体" w:hAnsi="宋体" w:cs="宋体"/>
          <w:sz w:val="24"/>
        </w:rPr>
      </w:pPr>
      <w:r>
        <w:rPr>
          <w:rFonts w:hint="eastAsia" w:ascii="宋体" w:hAnsi="宋体" w:cs="宋体"/>
          <w:sz w:val="24"/>
        </w:rPr>
        <w:t>PACS接口</w:t>
      </w:r>
    </w:p>
    <w:p>
      <w:pPr>
        <w:numPr>
          <w:ilvl w:val="0"/>
          <w:numId w:val="27"/>
        </w:numPr>
        <w:spacing w:line="360" w:lineRule="auto"/>
        <w:ind w:left="845"/>
        <w:rPr>
          <w:rFonts w:ascii="宋体" w:hAnsi="宋体" w:cs="宋体"/>
          <w:sz w:val="24"/>
        </w:rPr>
      </w:pPr>
      <w:r>
        <w:rPr>
          <w:rFonts w:hint="eastAsia" w:ascii="宋体" w:hAnsi="宋体" w:cs="宋体"/>
          <w:sz w:val="24"/>
        </w:rPr>
        <w:t>系统支持将心电图、动态心电、动态血压和其他电生理检查结果传输至PACS系统，完成数据对接。</w:t>
      </w:r>
    </w:p>
    <w:p>
      <w:pPr>
        <w:numPr>
          <w:ilvl w:val="3"/>
          <w:numId w:val="20"/>
        </w:numPr>
        <w:spacing w:line="360" w:lineRule="auto"/>
        <w:outlineLvl w:val="3"/>
        <w:rPr>
          <w:rFonts w:ascii="宋体" w:hAnsi="宋体" w:cs="宋体"/>
          <w:sz w:val="24"/>
        </w:rPr>
      </w:pPr>
      <w:r>
        <w:rPr>
          <w:rFonts w:hint="eastAsia" w:ascii="宋体" w:hAnsi="宋体" w:cs="宋体"/>
          <w:sz w:val="24"/>
        </w:rPr>
        <w:t>电子病历接口</w:t>
      </w:r>
    </w:p>
    <w:p>
      <w:pPr>
        <w:numPr>
          <w:ilvl w:val="0"/>
          <w:numId w:val="28"/>
        </w:numPr>
        <w:spacing w:line="360" w:lineRule="auto"/>
        <w:ind w:left="845"/>
        <w:rPr>
          <w:rFonts w:ascii="宋体" w:hAnsi="宋体" w:cs="宋体"/>
          <w:sz w:val="24"/>
        </w:rPr>
      </w:pPr>
      <w:r>
        <w:rPr>
          <w:rFonts w:hint="eastAsia" w:ascii="宋体" w:hAnsi="宋体" w:cs="宋体"/>
          <w:sz w:val="24"/>
        </w:rPr>
        <w:t>系统支持将心电图、动态心电、动态血压和其他电生理检查结果传输至电子病历系统，完成数据对接。</w:t>
      </w:r>
    </w:p>
    <w:p>
      <w:pPr>
        <w:numPr>
          <w:ilvl w:val="3"/>
          <w:numId w:val="20"/>
        </w:numPr>
        <w:spacing w:line="360" w:lineRule="auto"/>
        <w:outlineLvl w:val="3"/>
        <w:rPr>
          <w:rFonts w:ascii="宋体" w:hAnsi="宋体" w:cs="宋体"/>
          <w:sz w:val="24"/>
        </w:rPr>
      </w:pPr>
      <w:r>
        <w:rPr>
          <w:rFonts w:hint="eastAsia" w:ascii="宋体" w:hAnsi="宋体" w:cs="宋体"/>
          <w:sz w:val="24"/>
        </w:rPr>
        <w:t>体检系统接口</w:t>
      </w:r>
    </w:p>
    <w:p>
      <w:pPr>
        <w:numPr>
          <w:ilvl w:val="0"/>
          <w:numId w:val="29"/>
        </w:numPr>
        <w:spacing w:line="360" w:lineRule="auto"/>
        <w:rPr>
          <w:rFonts w:ascii="宋体" w:hAnsi="宋体" w:cs="宋体"/>
          <w:sz w:val="24"/>
        </w:rPr>
      </w:pPr>
      <w:r>
        <w:rPr>
          <w:rFonts w:hint="eastAsia" w:ascii="宋体" w:hAnsi="宋体" w:cs="宋体"/>
          <w:sz w:val="24"/>
        </w:rPr>
        <w:t>系统支持将心电图、动态心电、动态血压和其他电生理检查结果传输至体检系统，完成数据对接。</w:t>
      </w:r>
    </w:p>
    <w:p>
      <w:pPr>
        <w:numPr>
          <w:ilvl w:val="2"/>
          <w:numId w:val="20"/>
        </w:numPr>
        <w:spacing w:line="360" w:lineRule="auto"/>
        <w:outlineLvl w:val="2"/>
        <w:rPr>
          <w:rFonts w:ascii="宋体" w:hAnsi="宋体" w:cs="宋体"/>
          <w:b/>
          <w:bCs/>
          <w:sz w:val="24"/>
        </w:rPr>
      </w:pPr>
      <w:bookmarkStart w:id="169" w:name="_Toc20016"/>
      <w:bookmarkStart w:id="170" w:name="_Toc26375"/>
      <w:r>
        <w:rPr>
          <w:rFonts w:hint="eastAsia" w:ascii="宋体" w:hAnsi="宋体" w:cs="宋体"/>
          <w:b/>
          <w:bCs/>
          <w:sz w:val="24"/>
        </w:rPr>
        <w:t>诊断流程应用</w:t>
      </w:r>
      <w:bookmarkEnd w:id="169"/>
      <w:bookmarkEnd w:id="170"/>
    </w:p>
    <w:p>
      <w:pPr>
        <w:numPr>
          <w:ilvl w:val="3"/>
          <w:numId w:val="20"/>
        </w:numPr>
        <w:spacing w:line="360" w:lineRule="auto"/>
        <w:outlineLvl w:val="3"/>
        <w:rPr>
          <w:rFonts w:ascii="宋体" w:hAnsi="宋体" w:cs="宋体"/>
          <w:sz w:val="24"/>
        </w:rPr>
      </w:pPr>
      <w:r>
        <w:rPr>
          <w:rFonts w:hint="eastAsia" w:ascii="宋体" w:hAnsi="宋体" w:cs="宋体"/>
          <w:sz w:val="24"/>
        </w:rPr>
        <w:t>预约登记客户端</w:t>
      </w:r>
    </w:p>
    <w:p>
      <w:pPr>
        <w:numPr>
          <w:ilvl w:val="0"/>
          <w:numId w:val="30"/>
        </w:numPr>
        <w:spacing w:line="360" w:lineRule="auto"/>
        <w:ind w:left="845"/>
        <w:rPr>
          <w:rFonts w:ascii="宋体" w:hAnsi="宋体" w:cs="宋体"/>
          <w:sz w:val="24"/>
        </w:rPr>
      </w:pPr>
      <w:r>
        <w:rPr>
          <w:rFonts w:hint="eastAsia" w:ascii="宋体" w:hAnsi="宋体" w:cs="宋体"/>
          <w:sz w:val="24"/>
        </w:rPr>
        <w:t xml:space="preserve">通过HIS接口直接获取待检查患者的信息，并且返回心电图检查的注意事项； </w:t>
      </w:r>
    </w:p>
    <w:p>
      <w:pPr>
        <w:numPr>
          <w:ilvl w:val="0"/>
          <w:numId w:val="30"/>
        </w:numPr>
        <w:spacing w:line="360" w:lineRule="auto"/>
        <w:ind w:left="845"/>
        <w:rPr>
          <w:rFonts w:ascii="宋体" w:hAnsi="宋体" w:cs="宋体"/>
          <w:sz w:val="24"/>
        </w:rPr>
      </w:pPr>
      <w:r>
        <w:rPr>
          <w:rFonts w:hint="eastAsia" w:ascii="宋体" w:hAnsi="宋体" w:cs="宋体"/>
          <w:sz w:val="24"/>
        </w:rPr>
        <w:t>支持登记新病人资料，根据登记先后顺序自动排队，并在大屏幕显示已登记患者名称，分配患者进入检查房间或床号；支持临床、门诊医生工作站、体检工作站电子申请单下达；支持打印扫描条型码，病人卡的识别。</w:t>
      </w:r>
    </w:p>
    <w:p>
      <w:pPr>
        <w:numPr>
          <w:ilvl w:val="3"/>
          <w:numId w:val="20"/>
        </w:numPr>
        <w:spacing w:line="360" w:lineRule="auto"/>
        <w:outlineLvl w:val="3"/>
        <w:rPr>
          <w:rFonts w:ascii="宋体" w:hAnsi="宋体" w:cs="宋体"/>
          <w:sz w:val="24"/>
        </w:rPr>
      </w:pPr>
      <w:r>
        <w:rPr>
          <w:rFonts w:hint="eastAsia" w:ascii="宋体" w:hAnsi="宋体" w:cs="宋体"/>
          <w:sz w:val="24"/>
        </w:rPr>
        <w:t>电子叫号客户端</w:t>
      </w:r>
    </w:p>
    <w:p>
      <w:pPr>
        <w:numPr>
          <w:ilvl w:val="0"/>
          <w:numId w:val="31"/>
        </w:numPr>
        <w:spacing w:line="360" w:lineRule="auto"/>
        <w:ind w:left="845"/>
        <w:rPr>
          <w:rFonts w:ascii="宋体" w:hAnsi="宋体" w:cs="宋体"/>
          <w:sz w:val="24"/>
        </w:rPr>
      </w:pPr>
      <w:r>
        <w:rPr>
          <w:rFonts w:hint="eastAsia" w:ascii="宋体" w:hAnsi="宋体" w:cs="宋体"/>
          <w:sz w:val="24"/>
        </w:rPr>
        <w:t>应用于门诊心电图室与预约登记联合工作，通过在候诊区安装液晶显示屏与音响，实现自动语音呼叫患者就诊，并在液晶显示屏上显示待检查患者信息；支持姓名的自动语音呼叫。</w:t>
      </w:r>
    </w:p>
    <w:p>
      <w:pPr>
        <w:numPr>
          <w:ilvl w:val="0"/>
          <w:numId w:val="31"/>
        </w:numPr>
        <w:spacing w:line="360" w:lineRule="auto"/>
        <w:ind w:left="845"/>
        <w:rPr>
          <w:rFonts w:ascii="宋体" w:hAnsi="宋体" w:cs="宋体"/>
          <w:sz w:val="24"/>
        </w:rPr>
      </w:pPr>
      <w:r>
        <w:rPr>
          <w:rFonts w:hint="eastAsia" w:ascii="宋体" w:hAnsi="宋体" w:cs="宋体"/>
          <w:sz w:val="24"/>
        </w:rPr>
        <w:t>提供标准女声语音库，利用虚拟叫号器或物理叫号器，呼叫检查病人；支持姓名的自动语音呼叫；支持自动呼叫和医生手动呼叫两种模式，当前检查病人语音呼叫，采集医生手动触发与软件点击呼叫。</w:t>
      </w:r>
    </w:p>
    <w:p>
      <w:pPr>
        <w:numPr>
          <w:ilvl w:val="3"/>
          <w:numId w:val="20"/>
        </w:numPr>
        <w:spacing w:line="360" w:lineRule="auto"/>
        <w:outlineLvl w:val="3"/>
        <w:rPr>
          <w:rFonts w:ascii="宋体" w:hAnsi="宋体" w:cs="宋体"/>
          <w:sz w:val="24"/>
        </w:rPr>
      </w:pPr>
      <w:r>
        <w:rPr>
          <w:rFonts w:hint="eastAsia" w:ascii="宋体" w:hAnsi="宋体" w:cs="宋体"/>
          <w:sz w:val="24"/>
        </w:rPr>
        <w:t>三合一报告端</w:t>
      </w:r>
    </w:p>
    <w:p>
      <w:pPr>
        <w:numPr>
          <w:ilvl w:val="0"/>
          <w:numId w:val="32"/>
        </w:numPr>
        <w:spacing w:line="360" w:lineRule="auto"/>
        <w:rPr>
          <w:rFonts w:ascii="宋体" w:hAnsi="宋体" w:cs="宋体"/>
          <w:sz w:val="24"/>
        </w:rPr>
      </w:pPr>
      <w:r>
        <w:rPr>
          <w:rFonts w:hint="eastAsia" w:ascii="宋体" w:hAnsi="宋体" w:cs="宋体"/>
          <w:sz w:val="24"/>
        </w:rPr>
        <w:t>支持将静息心电、动态心电、动态血压三种不同类型的检查项目融合到一套报告客户端中使用；</w:t>
      </w:r>
    </w:p>
    <w:p>
      <w:pPr>
        <w:numPr>
          <w:ilvl w:val="0"/>
          <w:numId w:val="32"/>
        </w:numPr>
        <w:spacing w:line="360" w:lineRule="auto"/>
        <w:rPr>
          <w:rFonts w:ascii="宋体" w:hAnsi="宋体" w:cs="宋体"/>
          <w:sz w:val="24"/>
        </w:rPr>
      </w:pPr>
      <w:r>
        <w:rPr>
          <w:rFonts w:hint="eastAsia" w:ascii="宋体" w:hAnsi="宋体" w:cs="宋体"/>
          <w:sz w:val="24"/>
        </w:rPr>
        <w:t>支持同一患者列表显示静息心电、动态心电、动态血压三种不同检查类型的病例，方便医生进查看及检索查询；</w:t>
      </w:r>
    </w:p>
    <w:p>
      <w:pPr>
        <w:numPr>
          <w:ilvl w:val="0"/>
          <w:numId w:val="32"/>
        </w:numPr>
        <w:spacing w:line="360" w:lineRule="auto"/>
        <w:rPr>
          <w:rFonts w:ascii="宋体" w:hAnsi="宋体" w:cs="宋体"/>
          <w:sz w:val="24"/>
        </w:rPr>
      </w:pPr>
      <w:r>
        <w:rPr>
          <w:rFonts w:hint="eastAsia" w:ascii="宋体" w:hAnsi="宋体" w:cs="宋体"/>
          <w:sz w:val="24"/>
        </w:rPr>
        <w:t>支持双击不同检查项目的病例进入相应的原始数据分析界面，使用静息心电、动态心电、动态血压分析工具进行报告分析与编辑；</w:t>
      </w:r>
    </w:p>
    <w:p>
      <w:pPr>
        <w:numPr>
          <w:ilvl w:val="0"/>
          <w:numId w:val="32"/>
        </w:numPr>
        <w:spacing w:line="360" w:lineRule="auto"/>
        <w:rPr>
          <w:rFonts w:ascii="宋体" w:hAnsi="宋体" w:cs="宋体"/>
          <w:sz w:val="24"/>
        </w:rPr>
      </w:pPr>
      <w:r>
        <w:rPr>
          <w:rFonts w:hint="eastAsia" w:ascii="宋体" w:hAnsi="宋体" w:cs="宋体"/>
          <w:sz w:val="24"/>
        </w:rPr>
        <w:t>提供静息动态心电血压综合分析系统计算机软件著作权登记证书的复印件证明并进行现场软件演示。</w:t>
      </w:r>
    </w:p>
    <w:p>
      <w:pPr>
        <w:spacing w:line="360" w:lineRule="auto"/>
        <w:outlineLvl w:val="4"/>
        <w:rPr>
          <w:rFonts w:ascii="宋体" w:hAnsi="宋体" w:cs="宋体"/>
          <w:bCs/>
          <w:sz w:val="24"/>
          <w:highlight w:val="none"/>
        </w:rPr>
      </w:pPr>
      <w:r>
        <w:rPr>
          <w:rFonts w:hint="eastAsia" w:ascii="宋体" w:hAnsi="宋体" w:cs="宋体"/>
          <w:b/>
          <w:bCs/>
          <w:sz w:val="24"/>
          <w:highlight w:val="none"/>
        </w:rPr>
        <w:t>4.2.3.3.1 静息心电分析软件</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描记和分析ECG（常规心电图）、FCG（频谱心电图）、VLP（心室晚电位）、HRV（心率变异）等，为临床医生诊断心脏疾病提供依据。要求提供含有ECG（常规心电图）、FCG（频谱心电图）、VLP（心室晚电位）、HRV（心率变异）等词语的医疗器械注册证或其附件证明。</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描记和分析VCG（空间向量心电图）和TVCG（时间向量心电图），为临床医生诊断心脏疾病提供依据。提供含有VCG（空间向量心电图）和TVCG（时间向量心电图）词语的医疗器械注册证或其附件证明。</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具备自动测量、自动诊断功能。</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系统自动分析的算法具有成人、儿童年龄异化分析、性别差异化分析；</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平行尺功能：等距标尺可对间期倍数快速测量；对于波形重叠的心电图，支持重新排列以方便测量分析，测量精度达毫秒/微伏级。提供软件截图及现场对此功能进行演示。</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同屏对比功能：患者历史检查数据同屏对比功能；支持对比的显示格式有12导联同屏，3导联同屏，指定导联同屏同步对比等形式；</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具备导联纠错功能：在肢体导联接反或胸导联接错的情况下，可以通过软件直接修正，无需重复采集；</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心拍放大分析功能：支持任意心搏单击放大分析，可对每个P、Q、T测量点进行手动微调，使测量结果更加精准；每个单击放大QRS波群测量参数不少于30种，并且支持12导波形叠加对比；</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支持阿托品、心得安试验检查模式，且具有专业报告模板；</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具备长时间心电图采集功能：可连续采集120分钟以上心电图，并分析；</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提供丰富的测量分析工具：多种电子测量尺、平行尺、波形微调、波形定标、多种波形显示方式、波形放大等；</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心脏示意图功能：可针对不同心电图诊断结论，提供对应病变位置心脏示意图，结临床医生及患者提供病变部位参考；（提供带有心脏示意图的心电图报告及现场演示此功能）</w:t>
      </w:r>
    </w:p>
    <w:p>
      <w:pPr>
        <w:numPr>
          <w:ilvl w:val="0"/>
          <w:numId w:val="33"/>
        </w:numPr>
        <w:adjustRightInd w:val="0"/>
        <w:snapToGrid w:val="0"/>
        <w:spacing w:line="360" w:lineRule="auto"/>
        <w:rPr>
          <w:rFonts w:ascii="宋体" w:hAnsi="宋体" w:cs="宋体"/>
          <w:bCs/>
          <w:sz w:val="24"/>
        </w:rPr>
      </w:pPr>
      <w:r>
        <w:rPr>
          <w:rFonts w:hint="eastAsia" w:ascii="宋体" w:hAnsi="宋体" w:cs="宋体"/>
          <w:bCs/>
          <w:sz w:val="24"/>
        </w:rPr>
        <w:t>具备心电事件功能；</w:t>
      </w:r>
    </w:p>
    <w:p>
      <w:pPr>
        <w:numPr>
          <w:ilvl w:val="3"/>
          <w:numId w:val="20"/>
        </w:numPr>
        <w:spacing w:line="360" w:lineRule="auto"/>
        <w:outlineLvl w:val="3"/>
        <w:rPr>
          <w:rFonts w:ascii="宋体" w:hAnsi="宋体" w:cs="宋体"/>
          <w:sz w:val="24"/>
        </w:rPr>
      </w:pPr>
      <w:r>
        <w:rPr>
          <w:rFonts w:hint="eastAsia" w:ascii="宋体" w:hAnsi="宋体" w:cs="宋体"/>
          <w:sz w:val="24"/>
        </w:rPr>
        <w:t>病例收藏系统</w:t>
      </w:r>
    </w:p>
    <w:p>
      <w:pPr>
        <w:numPr>
          <w:ilvl w:val="0"/>
          <w:numId w:val="34"/>
        </w:numPr>
        <w:spacing w:line="360" w:lineRule="auto"/>
        <w:ind w:left="845"/>
        <w:rPr>
          <w:rFonts w:ascii="宋体" w:hAnsi="宋体" w:cs="宋体"/>
          <w:sz w:val="24"/>
        </w:rPr>
      </w:pPr>
      <w:r>
        <w:rPr>
          <w:rFonts w:hint="eastAsia" w:ascii="宋体" w:hAnsi="宋体" w:cs="宋体"/>
          <w:sz w:val="24"/>
        </w:rPr>
        <w:t>支持典型病例收藏功能；</w:t>
      </w:r>
    </w:p>
    <w:p>
      <w:pPr>
        <w:numPr>
          <w:ilvl w:val="0"/>
          <w:numId w:val="34"/>
        </w:numPr>
        <w:spacing w:line="360" w:lineRule="auto"/>
        <w:ind w:left="845"/>
        <w:rPr>
          <w:rFonts w:ascii="宋体" w:hAnsi="宋体" w:cs="宋体"/>
          <w:sz w:val="24"/>
        </w:rPr>
      </w:pPr>
      <w:r>
        <w:rPr>
          <w:rFonts w:hint="eastAsia" w:ascii="宋体" w:hAnsi="宋体" w:cs="宋体"/>
          <w:sz w:val="24"/>
        </w:rPr>
        <w:t>支持个人收藏及公共收藏两种方式。个人收藏仅病例的收藏者有权限进行查看，公共收藏所有用户均有权限进行查看；</w:t>
      </w:r>
    </w:p>
    <w:p>
      <w:pPr>
        <w:numPr>
          <w:ilvl w:val="0"/>
          <w:numId w:val="34"/>
        </w:numPr>
        <w:spacing w:line="360" w:lineRule="auto"/>
        <w:ind w:left="845"/>
        <w:rPr>
          <w:rFonts w:ascii="宋体" w:hAnsi="宋体" w:cs="宋体"/>
          <w:sz w:val="24"/>
        </w:rPr>
      </w:pPr>
      <w:r>
        <w:rPr>
          <w:rFonts w:hint="eastAsia" w:ascii="宋体" w:hAnsi="宋体" w:cs="宋体"/>
          <w:sz w:val="24"/>
        </w:rPr>
        <w:t>可对典型病例进行分类收藏，分类条件可根据使用者需求进行自定义编辑；</w:t>
      </w:r>
    </w:p>
    <w:p>
      <w:pPr>
        <w:numPr>
          <w:ilvl w:val="0"/>
          <w:numId w:val="34"/>
        </w:numPr>
        <w:spacing w:line="360" w:lineRule="auto"/>
        <w:ind w:left="845"/>
        <w:rPr>
          <w:rFonts w:ascii="宋体" w:hAnsi="宋体" w:cs="宋体"/>
          <w:sz w:val="24"/>
        </w:rPr>
      </w:pPr>
      <w:r>
        <w:rPr>
          <w:rFonts w:hint="eastAsia" w:ascii="宋体" w:hAnsi="宋体" w:cs="宋体"/>
          <w:sz w:val="24"/>
        </w:rPr>
        <w:t>支持所收藏的典型病例导出功能，方便科研论文编辑、教学使用；</w:t>
      </w:r>
    </w:p>
    <w:p>
      <w:pPr>
        <w:numPr>
          <w:ilvl w:val="0"/>
          <w:numId w:val="34"/>
        </w:numPr>
        <w:spacing w:line="360" w:lineRule="auto"/>
        <w:ind w:left="845"/>
        <w:rPr>
          <w:rFonts w:ascii="宋体" w:hAnsi="宋体" w:cs="宋体"/>
          <w:sz w:val="24"/>
        </w:rPr>
      </w:pPr>
      <w:r>
        <w:rPr>
          <w:rFonts w:hint="eastAsia" w:ascii="宋体" w:hAnsi="宋体" w:cs="宋体"/>
          <w:sz w:val="24"/>
        </w:rPr>
        <w:t>提供典型库收藏管理系统计算机软件著作权登记证书的复印件证明。</w:t>
      </w:r>
    </w:p>
    <w:p>
      <w:pPr>
        <w:numPr>
          <w:ilvl w:val="3"/>
          <w:numId w:val="20"/>
        </w:numPr>
        <w:spacing w:line="360" w:lineRule="auto"/>
        <w:outlineLvl w:val="3"/>
        <w:rPr>
          <w:rFonts w:ascii="宋体" w:hAnsi="宋体" w:cs="宋体"/>
          <w:sz w:val="24"/>
        </w:rPr>
      </w:pPr>
      <w:r>
        <w:rPr>
          <w:rFonts w:hint="eastAsia" w:ascii="宋体" w:hAnsi="宋体" w:cs="宋体"/>
          <w:sz w:val="24"/>
        </w:rPr>
        <w:t>病例随访系统</w:t>
      </w:r>
    </w:p>
    <w:p>
      <w:pPr>
        <w:numPr>
          <w:ilvl w:val="0"/>
          <w:numId w:val="35"/>
        </w:numPr>
        <w:spacing w:line="360" w:lineRule="auto"/>
        <w:ind w:left="845"/>
        <w:rPr>
          <w:rFonts w:ascii="宋体" w:hAnsi="宋体" w:cs="宋体"/>
          <w:sz w:val="24"/>
        </w:rPr>
      </w:pPr>
      <w:r>
        <w:rPr>
          <w:rFonts w:hint="eastAsia" w:ascii="宋体" w:hAnsi="宋体" w:cs="宋体"/>
          <w:sz w:val="24"/>
        </w:rPr>
        <w:t>为需随访的患者建立随访计划，支持随访时间设置；</w:t>
      </w:r>
    </w:p>
    <w:p>
      <w:pPr>
        <w:numPr>
          <w:ilvl w:val="0"/>
          <w:numId w:val="35"/>
        </w:numPr>
        <w:spacing w:line="360" w:lineRule="auto"/>
        <w:ind w:left="845"/>
        <w:rPr>
          <w:rFonts w:ascii="宋体" w:hAnsi="宋体" w:cs="宋体"/>
          <w:sz w:val="24"/>
        </w:rPr>
      </w:pPr>
      <w:r>
        <w:rPr>
          <w:rFonts w:hint="eastAsia" w:ascii="宋体" w:hAnsi="宋体" w:cs="宋体"/>
          <w:sz w:val="24"/>
        </w:rPr>
        <w:t>具有随访提醒功能，在设置随访时间到达时，用户登录系统有弹窗提醒；</w:t>
      </w:r>
    </w:p>
    <w:p>
      <w:pPr>
        <w:numPr>
          <w:ilvl w:val="0"/>
          <w:numId w:val="35"/>
        </w:numPr>
        <w:spacing w:line="360" w:lineRule="auto"/>
        <w:ind w:left="845"/>
        <w:rPr>
          <w:rFonts w:ascii="宋体" w:hAnsi="宋体" w:cs="宋体"/>
          <w:sz w:val="24"/>
        </w:rPr>
      </w:pPr>
      <w:r>
        <w:rPr>
          <w:rFonts w:hint="eastAsia" w:ascii="宋体" w:hAnsi="宋体" w:cs="宋体"/>
          <w:sz w:val="24"/>
        </w:rPr>
        <w:t>随访内容模板可根据使用者需求进行自定义设计，可设置多种随访内容模板；</w:t>
      </w:r>
    </w:p>
    <w:p>
      <w:pPr>
        <w:numPr>
          <w:ilvl w:val="0"/>
          <w:numId w:val="35"/>
        </w:numPr>
        <w:spacing w:line="360" w:lineRule="auto"/>
        <w:ind w:left="845"/>
        <w:rPr>
          <w:rFonts w:ascii="宋体" w:hAnsi="宋体" w:cs="宋体"/>
          <w:sz w:val="24"/>
        </w:rPr>
      </w:pPr>
      <w:r>
        <w:rPr>
          <w:rFonts w:hint="eastAsia" w:ascii="宋体" w:hAnsi="宋体" w:cs="宋体"/>
          <w:sz w:val="24"/>
        </w:rPr>
        <w:t>支持随访状态显示，如已随访、未随访等；</w:t>
      </w:r>
    </w:p>
    <w:p>
      <w:pPr>
        <w:numPr>
          <w:ilvl w:val="0"/>
          <w:numId w:val="35"/>
        </w:numPr>
        <w:spacing w:line="360" w:lineRule="auto"/>
        <w:ind w:left="845"/>
        <w:rPr>
          <w:rFonts w:ascii="宋体" w:hAnsi="宋体" w:cs="宋体"/>
          <w:sz w:val="24"/>
        </w:rPr>
      </w:pPr>
      <w:r>
        <w:rPr>
          <w:rFonts w:hint="eastAsia" w:ascii="宋体" w:hAnsi="宋体" w:cs="宋体"/>
          <w:sz w:val="24"/>
        </w:rPr>
        <w:t>提供科研随访管理系统计算机软件著作权登记证书的复印件证明。</w:t>
      </w:r>
    </w:p>
    <w:p>
      <w:pPr>
        <w:numPr>
          <w:ilvl w:val="3"/>
          <w:numId w:val="20"/>
        </w:numPr>
        <w:spacing w:line="360" w:lineRule="auto"/>
        <w:outlineLvl w:val="3"/>
        <w:rPr>
          <w:rFonts w:ascii="宋体" w:hAnsi="宋体" w:cs="宋体"/>
          <w:sz w:val="24"/>
        </w:rPr>
      </w:pPr>
      <w:r>
        <w:rPr>
          <w:rFonts w:hint="eastAsia" w:ascii="宋体" w:hAnsi="宋体" w:cs="宋体"/>
          <w:sz w:val="24"/>
        </w:rPr>
        <w:t>主任统计管理客户端</w:t>
      </w:r>
    </w:p>
    <w:p>
      <w:pPr>
        <w:numPr>
          <w:ilvl w:val="0"/>
          <w:numId w:val="36"/>
        </w:numPr>
        <w:spacing w:line="360" w:lineRule="auto"/>
        <w:ind w:left="845"/>
        <w:rPr>
          <w:rFonts w:ascii="宋体" w:hAnsi="宋体" w:cs="宋体"/>
          <w:sz w:val="24"/>
        </w:rPr>
      </w:pPr>
      <w:r>
        <w:rPr>
          <w:rFonts w:hint="eastAsia" w:ascii="宋体" w:hAnsi="宋体" w:cs="宋体"/>
          <w:sz w:val="24"/>
        </w:rPr>
        <w:t>可自由定制数据统计模块，所有的字段信息都可作为统计条件，并组合使用；根据需要可进行工作量、科研、教学统计。</w:t>
      </w:r>
    </w:p>
    <w:p>
      <w:pPr>
        <w:numPr>
          <w:ilvl w:val="0"/>
          <w:numId w:val="36"/>
        </w:numPr>
        <w:spacing w:line="360" w:lineRule="auto"/>
        <w:ind w:left="845"/>
        <w:rPr>
          <w:rFonts w:ascii="宋体" w:hAnsi="宋体" w:cs="宋体"/>
          <w:sz w:val="24"/>
        </w:rPr>
      </w:pPr>
      <w:r>
        <w:rPr>
          <w:rFonts w:hint="eastAsia" w:ascii="宋体" w:hAnsi="宋体" w:cs="宋体"/>
          <w:sz w:val="24"/>
        </w:rPr>
        <w:t>阳性率统计：统计指定时间段内，各个检查项目的检查人次，阳性人次数，阳性率；可按检查项目汇总阳性率。</w:t>
      </w:r>
    </w:p>
    <w:p>
      <w:pPr>
        <w:numPr>
          <w:ilvl w:val="0"/>
          <w:numId w:val="36"/>
        </w:numPr>
        <w:spacing w:line="360" w:lineRule="auto"/>
        <w:ind w:left="845"/>
        <w:rPr>
          <w:rFonts w:ascii="宋体" w:hAnsi="宋体" w:cs="宋体"/>
          <w:sz w:val="24"/>
        </w:rPr>
      </w:pPr>
      <w:r>
        <w:rPr>
          <w:rFonts w:hint="eastAsia" w:ascii="宋体" w:hAnsi="宋体" w:cs="宋体"/>
          <w:sz w:val="24"/>
        </w:rPr>
        <w:t>工作量统计：统计指定时间段内，人员的登记，检查，报告工作量。其中检查和报告的工作量可根据检查项目分类统计和汇总。</w:t>
      </w:r>
    </w:p>
    <w:p>
      <w:pPr>
        <w:numPr>
          <w:ilvl w:val="0"/>
          <w:numId w:val="36"/>
        </w:numPr>
        <w:spacing w:line="360" w:lineRule="auto"/>
        <w:ind w:left="845"/>
        <w:rPr>
          <w:rFonts w:ascii="宋体" w:hAnsi="宋体" w:cs="宋体"/>
          <w:sz w:val="24"/>
        </w:rPr>
      </w:pPr>
      <w:r>
        <w:rPr>
          <w:rFonts w:hint="eastAsia" w:ascii="宋体" w:hAnsi="宋体" w:cs="宋体"/>
          <w:sz w:val="24"/>
        </w:rPr>
        <w:t>检查项目统计：统计指定时间段内，各个检查项目的检查人次。按检查项目汇总。</w:t>
      </w:r>
    </w:p>
    <w:p>
      <w:pPr>
        <w:numPr>
          <w:ilvl w:val="0"/>
          <w:numId w:val="36"/>
        </w:numPr>
        <w:spacing w:line="360" w:lineRule="auto"/>
        <w:ind w:left="845"/>
        <w:rPr>
          <w:rFonts w:ascii="宋体" w:hAnsi="宋体" w:cs="宋体"/>
          <w:sz w:val="24"/>
        </w:rPr>
      </w:pPr>
      <w:r>
        <w:rPr>
          <w:rFonts w:hint="eastAsia" w:ascii="宋体" w:hAnsi="宋体" w:cs="宋体"/>
          <w:sz w:val="24"/>
        </w:rPr>
        <w:t>疾病统计：统计指定时间段内，各种疾病经由检查项目的检出数和汇总数。全部疾病的汇总数。</w:t>
      </w:r>
    </w:p>
    <w:p>
      <w:pPr>
        <w:numPr>
          <w:ilvl w:val="0"/>
          <w:numId w:val="36"/>
        </w:numPr>
        <w:spacing w:line="360" w:lineRule="auto"/>
        <w:ind w:left="845"/>
        <w:rPr>
          <w:rFonts w:ascii="宋体" w:hAnsi="宋体" w:cs="宋体"/>
          <w:sz w:val="24"/>
        </w:rPr>
      </w:pPr>
      <w:r>
        <w:rPr>
          <w:rFonts w:hint="eastAsia" w:ascii="宋体" w:hAnsi="宋体" w:cs="宋体"/>
          <w:sz w:val="24"/>
        </w:rPr>
        <w:t>统计结果可显示统计列表、统计数量、统计报表、统计图表，并可直接打印输出。统计结果可导出成EXCEL或TXT文件。综合查询统计，可任意组合统计条件，统计查询条件可以按照各种逻辑运算结果组合。</w:t>
      </w:r>
    </w:p>
    <w:p>
      <w:pPr>
        <w:numPr>
          <w:ilvl w:val="0"/>
          <w:numId w:val="36"/>
        </w:numPr>
        <w:spacing w:line="360" w:lineRule="auto"/>
        <w:ind w:left="845"/>
        <w:rPr>
          <w:rFonts w:ascii="宋体" w:hAnsi="宋体" w:cs="宋体"/>
          <w:sz w:val="24"/>
        </w:rPr>
      </w:pPr>
      <w:r>
        <w:rPr>
          <w:rFonts w:hint="eastAsia" w:ascii="宋体" w:hAnsi="宋体" w:cs="宋体"/>
          <w:sz w:val="24"/>
        </w:rPr>
        <w:t>提供科室用户管理功能，可对系统用户进行增加、修改、删除功能；支持密码设定与修改功能；</w:t>
      </w:r>
    </w:p>
    <w:p>
      <w:pPr>
        <w:numPr>
          <w:ilvl w:val="0"/>
          <w:numId w:val="36"/>
        </w:numPr>
        <w:spacing w:line="360" w:lineRule="auto"/>
        <w:ind w:left="845"/>
        <w:rPr>
          <w:rFonts w:ascii="宋体" w:hAnsi="宋体" w:cs="宋体"/>
          <w:sz w:val="24"/>
        </w:rPr>
      </w:pPr>
      <w:r>
        <w:rPr>
          <w:rFonts w:hint="eastAsia" w:ascii="宋体" w:hAnsi="宋体" w:cs="宋体"/>
          <w:sz w:val="24"/>
        </w:rPr>
        <w:t>支持医生、护士、技师等用户的角色权限管理，工作量统计等。</w:t>
      </w:r>
    </w:p>
    <w:p>
      <w:pPr>
        <w:numPr>
          <w:ilvl w:val="0"/>
          <w:numId w:val="36"/>
        </w:numPr>
        <w:spacing w:line="360" w:lineRule="auto"/>
        <w:ind w:left="845"/>
        <w:rPr>
          <w:rFonts w:ascii="宋体" w:hAnsi="宋体" w:cs="宋体"/>
          <w:sz w:val="24"/>
        </w:rPr>
      </w:pPr>
      <w:r>
        <w:rPr>
          <w:rFonts w:hint="eastAsia" w:ascii="宋体" w:hAnsi="宋体" w:cs="宋体"/>
          <w:sz w:val="24"/>
        </w:rPr>
        <w:t>支持集中的用户及权限管理程序，通过系统管理员为用户授权，不同权限管理不同的内容；支持用户分组机制，用于简化用户授权。</w:t>
      </w:r>
    </w:p>
    <w:p>
      <w:pPr>
        <w:numPr>
          <w:ilvl w:val="0"/>
          <w:numId w:val="36"/>
        </w:numPr>
        <w:spacing w:line="360" w:lineRule="auto"/>
        <w:ind w:left="845"/>
        <w:rPr>
          <w:rFonts w:ascii="宋体" w:hAnsi="宋体" w:cs="宋体"/>
          <w:sz w:val="24"/>
        </w:rPr>
      </w:pPr>
      <w:r>
        <w:rPr>
          <w:rFonts w:hint="eastAsia" w:ascii="宋体" w:hAnsi="宋体" w:cs="宋体"/>
          <w:sz w:val="24"/>
        </w:rPr>
        <w:t>提供用户访问日志功能，对访问过的数据以及特殊的操作进行记录，并提供记录查看和检索手段。</w:t>
      </w:r>
    </w:p>
    <w:p>
      <w:pPr>
        <w:numPr>
          <w:ilvl w:val="2"/>
          <w:numId w:val="20"/>
        </w:numPr>
        <w:spacing w:line="360" w:lineRule="auto"/>
        <w:outlineLvl w:val="2"/>
        <w:rPr>
          <w:rFonts w:ascii="宋体" w:hAnsi="宋体" w:cs="宋体"/>
          <w:b/>
          <w:bCs/>
          <w:sz w:val="24"/>
        </w:rPr>
      </w:pPr>
      <w:bookmarkStart w:id="171" w:name="_Toc25339"/>
      <w:bookmarkStart w:id="172" w:name="_Toc7203"/>
      <w:r>
        <w:rPr>
          <w:rFonts w:hint="eastAsia" w:ascii="宋体" w:hAnsi="宋体" w:cs="宋体"/>
          <w:b/>
          <w:bCs/>
          <w:sz w:val="24"/>
        </w:rPr>
        <w:t>设备连接应用</w:t>
      </w:r>
      <w:bookmarkEnd w:id="171"/>
      <w:bookmarkEnd w:id="172"/>
    </w:p>
    <w:p>
      <w:pPr>
        <w:numPr>
          <w:ilvl w:val="3"/>
          <w:numId w:val="20"/>
        </w:numPr>
        <w:spacing w:line="360" w:lineRule="auto"/>
        <w:outlineLvl w:val="3"/>
        <w:rPr>
          <w:rFonts w:ascii="宋体" w:hAnsi="宋体" w:cs="宋体"/>
          <w:sz w:val="24"/>
        </w:rPr>
      </w:pPr>
      <w:r>
        <w:rPr>
          <w:rFonts w:hint="eastAsia" w:ascii="宋体" w:hAnsi="宋体" w:cs="宋体"/>
          <w:sz w:val="24"/>
        </w:rPr>
        <w:t>心电图机连接模块</w:t>
      </w:r>
    </w:p>
    <w:p>
      <w:pPr>
        <w:numPr>
          <w:ilvl w:val="0"/>
          <w:numId w:val="37"/>
        </w:numPr>
        <w:spacing w:line="360" w:lineRule="auto"/>
        <w:ind w:left="845"/>
        <w:rPr>
          <w:rFonts w:ascii="宋体" w:hAnsi="宋体" w:cs="宋体"/>
          <w:sz w:val="24"/>
        </w:rPr>
      </w:pPr>
      <w:r>
        <w:rPr>
          <w:rFonts w:hint="eastAsia" w:ascii="宋体" w:hAnsi="宋体" w:cs="宋体"/>
          <w:sz w:val="24"/>
        </w:rPr>
        <w:t>支持连接医院现有7台心电图机，包括获取12导联、15导联、18导联心电图机的原始数据，并能进行分析、参数值显示和归档存储；</w:t>
      </w:r>
    </w:p>
    <w:p>
      <w:pPr>
        <w:numPr>
          <w:ilvl w:val="0"/>
          <w:numId w:val="37"/>
        </w:numPr>
        <w:spacing w:line="360" w:lineRule="auto"/>
        <w:ind w:left="845"/>
        <w:rPr>
          <w:rFonts w:ascii="宋体" w:hAnsi="宋体" w:cs="宋体"/>
          <w:sz w:val="24"/>
        </w:rPr>
      </w:pPr>
      <w:r>
        <w:rPr>
          <w:rFonts w:hint="eastAsia" w:ascii="宋体" w:hAnsi="宋体" w:cs="宋体"/>
          <w:sz w:val="24"/>
        </w:rPr>
        <w:t>支持兼容不同品牌、型号的心电图机数据对接，具有数据输出功能、数字接口的心电图机均可接入系统；</w:t>
      </w:r>
    </w:p>
    <w:p>
      <w:pPr>
        <w:numPr>
          <w:ilvl w:val="0"/>
          <w:numId w:val="37"/>
        </w:numPr>
        <w:spacing w:line="360" w:lineRule="auto"/>
        <w:ind w:left="845"/>
        <w:rPr>
          <w:rFonts w:ascii="宋体" w:hAnsi="宋体" w:cs="宋体"/>
          <w:sz w:val="24"/>
        </w:rPr>
      </w:pPr>
      <w:r>
        <w:rPr>
          <w:rFonts w:hint="eastAsia" w:ascii="宋体" w:hAnsi="宋体" w:cs="宋体"/>
          <w:sz w:val="24"/>
        </w:rPr>
        <w:t>使用者可根据不同的申请单选择不同的检查项目。通过与HIS系统对接，在开始为患者进行检查时，患者信息可自动调入；也可以通过接收患者的待检查信息，输入门诊号、住院号等标识码提取患者基本信息，开始为患者进行检查。</w:t>
      </w:r>
    </w:p>
    <w:p>
      <w:pPr>
        <w:numPr>
          <w:ilvl w:val="0"/>
          <w:numId w:val="37"/>
        </w:numPr>
        <w:spacing w:line="360" w:lineRule="auto"/>
        <w:ind w:left="845"/>
        <w:rPr>
          <w:rFonts w:ascii="宋体" w:hAnsi="宋体" w:cs="宋体"/>
          <w:sz w:val="24"/>
        </w:rPr>
      </w:pPr>
      <w:r>
        <w:rPr>
          <w:rFonts w:hint="eastAsia" w:ascii="宋体" w:hAnsi="宋体" w:cs="宋体"/>
          <w:sz w:val="24"/>
        </w:rPr>
        <w:t>支持WORKLIST功能，支持扫描条码、腕带。</w:t>
      </w:r>
    </w:p>
    <w:p>
      <w:pPr>
        <w:numPr>
          <w:ilvl w:val="3"/>
          <w:numId w:val="20"/>
        </w:numPr>
        <w:spacing w:line="360" w:lineRule="auto"/>
        <w:outlineLvl w:val="3"/>
        <w:rPr>
          <w:rFonts w:ascii="宋体" w:hAnsi="宋体" w:cs="宋体"/>
          <w:sz w:val="24"/>
        </w:rPr>
      </w:pPr>
      <w:r>
        <w:rPr>
          <w:rFonts w:hint="eastAsia" w:ascii="宋体" w:hAnsi="宋体" w:cs="宋体"/>
          <w:sz w:val="24"/>
        </w:rPr>
        <w:t>电生理设备连接模块</w:t>
      </w:r>
    </w:p>
    <w:p>
      <w:pPr>
        <w:numPr>
          <w:ilvl w:val="0"/>
          <w:numId w:val="38"/>
        </w:numPr>
        <w:spacing w:line="360" w:lineRule="auto"/>
        <w:ind w:left="845"/>
        <w:rPr>
          <w:rFonts w:ascii="宋体" w:hAnsi="宋体" w:cs="宋体"/>
          <w:sz w:val="24"/>
        </w:rPr>
      </w:pPr>
      <w:r>
        <w:rPr>
          <w:rFonts w:hint="eastAsia" w:ascii="宋体" w:hAnsi="宋体" w:cs="宋体"/>
          <w:sz w:val="24"/>
        </w:rPr>
        <w:t>系统支持医院功能检查科室6台电生理设备接入，此功能为医院信息化建设重点功能，为保障电生理设备的有效对接，要求提供电生理网络系统计算机软件著作权登记证书复印件证明。</w:t>
      </w:r>
    </w:p>
    <w:p>
      <w:pPr>
        <w:numPr>
          <w:ilvl w:val="0"/>
          <w:numId w:val="38"/>
        </w:numPr>
        <w:spacing w:line="360" w:lineRule="auto"/>
        <w:ind w:left="845"/>
        <w:rPr>
          <w:rFonts w:ascii="宋体" w:hAnsi="宋体" w:cs="宋体"/>
          <w:sz w:val="24"/>
        </w:rPr>
      </w:pPr>
      <w:r>
        <w:rPr>
          <w:rFonts w:hint="eastAsia" w:ascii="宋体" w:hAnsi="宋体" w:cs="宋体"/>
          <w:sz w:val="24"/>
        </w:rPr>
        <w:t>支持电生理设备图文报告上传功能，可获取电生理设备的检查报告，通过与HIS系统对接匹配患者信息，完成图文报告上传和存储，并发布至临床进行共享。</w:t>
      </w:r>
    </w:p>
    <w:p>
      <w:pPr>
        <w:spacing w:line="360" w:lineRule="auto"/>
        <w:outlineLvl w:val="1"/>
        <w:rPr>
          <w:rFonts w:ascii="宋体" w:hAnsi="宋体" w:cs="宋体"/>
          <w:b/>
          <w:sz w:val="24"/>
        </w:rPr>
      </w:pPr>
      <w:bookmarkStart w:id="173" w:name="_Toc12935"/>
      <w:r>
        <w:rPr>
          <w:rFonts w:hint="eastAsia" w:ascii="宋体" w:hAnsi="宋体" w:cs="宋体"/>
          <w:b/>
          <w:sz w:val="24"/>
        </w:rPr>
        <w:t>二．商务要求</w:t>
      </w:r>
      <w:bookmarkEnd w:id="68"/>
      <w:bookmarkEnd w:id="173"/>
    </w:p>
    <w:p>
      <w:pPr>
        <w:widowControl/>
        <w:spacing w:line="360" w:lineRule="auto"/>
        <w:ind w:firstLine="482" w:firstLineChars="200"/>
        <w:jc w:val="left"/>
        <w:rPr>
          <w:rFonts w:ascii="宋体" w:cs="宋体"/>
          <w:sz w:val="24"/>
        </w:rPr>
      </w:pPr>
      <w:r>
        <w:rPr>
          <w:rFonts w:ascii="宋体" w:hAnsi="宋体" w:cs="宋体"/>
          <w:b/>
          <w:bCs/>
          <w:sz w:val="24"/>
        </w:rPr>
        <w:t>1</w:t>
      </w:r>
      <w:r>
        <w:rPr>
          <w:rFonts w:hint="eastAsia" w:ascii="宋体" w:hAnsi="宋体" w:cs="宋体"/>
          <w:b/>
          <w:bCs/>
          <w:sz w:val="24"/>
        </w:rPr>
        <w:t>、合同内容及金额</w:t>
      </w:r>
      <w:r>
        <w:rPr>
          <w:rFonts w:hint="eastAsia" w:ascii="宋体" w:hAnsi="宋体" w:cs="宋体"/>
          <w:sz w:val="24"/>
        </w:rPr>
        <w:t>：即成交单位的磋商内容、现场澄清确认内容（若有）及其成交总金额。</w:t>
      </w:r>
    </w:p>
    <w:p>
      <w:pPr>
        <w:widowControl/>
        <w:spacing w:line="360" w:lineRule="auto"/>
        <w:ind w:firstLine="482" w:firstLineChars="200"/>
        <w:jc w:val="left"/>
        <w:rPr>
          <w:rFonts w:ascii="宋体" w:hAnsi="宋体"/>
          <w:sz w:val="24"/>
          <w:highlight w:val="none"/>
        </w:rPr>
      </w:pPr>
      <w:r>
        <w:rPr>
          <w:rFonts w:ascii="宋体" w:hAnsi="宋体" w:cs="宋体"/>
          <w:b/>
          <w:bCs/>
          <w:sz w:val="24"/>
          <w:highlight w:val="none"/>
        </w:rPr>
        <w:t>2</w:t>
      </w:r>
      <w:r>
        <w:rPr>
          <w:rFonts w:hint="eastAsia" w:ascii="宋体" w:hAnsi="宋体" w:cs="宋体"/>
          <w:b/>
          <w:bCs/>
          <w:sz w:val="24"/>
          <w:highlight w:val="none"/>
        </w:rPr>
        <w:t>、交货期：</w:t>
      </w:r>
      <w:r>
        <w:rPr>
          <w:rFonts w:hint="eastAsia" w:ascii="宋体" w:hAnsi="宋体"/>
          <w:sz w:val="24"/>
          <w:highlight w:val="none"/>
        </w:rPr>
        <w:t>合同签订后60日历天内。</w:t>
      </w:r>
    </w:p>
    <w:p>
      <w:pPr>
        <w:pStyle w:val="17"/>
        <w:ind w:firstLine="482" w:firstLineChars="200"/>
        <w:rPr>
          <w:rFonts w:ascii="宋体" w:hAnsi="宋体" w:eastAsia="宋体" w:cs="宋体"/>
          <w:b/>
          <w:bCs/>
          <w:color w:val="auto"/>
          <w:kern w:val="2"/>
          <w:highlight w:val="none"/>
        </w:rPr>
      </w:pPr>
      <w:r>
        <w:rPr>
          <w:rFonts w:hint="eastAsia" w:ascii="宋体" w:hAnsi="宋体" w:eastAsia="宋体" w:cs="宋体"/>
          <w:b/>
          <w:bCs/>
          <w:color w:val="auto"/>
          <w:kern w:val="2"/>
          <w:highlight w:val="none"/>
        </w:rPr>
        <w:t>3、质保期：</w:t>
      </w:r>
      <w:r>
        <w:rPr>
          <w:rFonts w:hint="eastAsia" w:ascii="宋体" w:hAnsi="宋体" w:eastAsia="宋体" w:cs="宋体"/>
          <w:color w:val="auto"/>
          <w:kern w:val="2"/>
          <w:highlight w:val="none"/>
        </w:rPr>
        <w:t>1年。</w:t>
      </w:r>
    </w:p>
    <w:p>
      <w:pPr>
        <w:widowControl/>
        <w:spacing w:line="360" w:lineRule="auto"/>
        <w:ind w:firstLine="482" w:firstLineChars="200"/>
        <w:jc w:val="left"/>
        <w:rPr>
          <w:rFonts w:ascii="宋体" w:cs="宋体"/>
          <w:sz w:val="24"/>
        </w:rPr>
      </w:pPr>
      <w:r>
        <w:rPr>
          <w:rFonts w:hint="eastAsia" w:ascii="宋体" w:hAnsi="宋体" w:cs="宋体"/>
          <w:b/>
          <w:bCs/>
          <w:sz w:val="24"/>
        </w:rPr>
        <w:t>4、交货地点：</w:t>
      </w:r>
      <w:r>
        <w:rPr>
          <w:rFonts w:hint="eastAsia" w:ascii="宋体" w:hAnsi="宋体" w:cs="宋体"/>
          <w:sz w:val="24"/>
        </w:rPr>
        <w:t>采购方指定地点。</w:t>
      </w:r>
    </w:p>
    <w:p>
      <w:pPr>
        <w:wordWrap w:val="0"/>
        <w:topLinePunct/>
        <w:spacing w:line="360" w:lineRule="auto"/>
        <w:ind w:firstLine="472" w:firstLineChars="196"/>
        <w:rPr>
          <w:rFonts w:ascii="宋体"/>
          <w:b/>
          <w:sz w:val="24"/>
        </w:rPr>
      </w:pPr>
      <w:r>
        <w:rPr>
          <w:rFonts w:hint="eastAsia" w:ascii="宋体" w:hAnsi="宋体"/>
          <w:b/>
          <w:sz w:val="24"/>
        </w:rPr>
        <w:t>5、合同价款</w:t>
      </w:r>
    </w:p>
    <w:p>
      <w:pPr>
        <w:wordWrap w:val="0"/>
        <w:topLinePunct/>
        <w:spacing w:line="360" w:lineRule="auto"/>
        <w:ind w:firstLine="480" w:firstLineChars="200"/>
        <w:rPr>
          <w:rFonts w:ascii="宋体"/>
          <w:sz w:val="24"/>
          <w:highlight w:val="none"/>
        </w:rPr>
      </w:pPr>
      <w:r>
        <w:rPr>
          <w:rFonts w:hint="eastAsia" w:ascii="宋体" w:hAnsi="宋体"/>
          <w:sz w:val="24"/>
          <w:highlight w:val="none"/>
        </w:rPr>
        <w:t>5</w:t>
      </w:r>
      <w:r>
        <w:rPr>
          <w:rFonts w:ascii="宋体" w:hAnsi="宋体"/>
          <w:sz w:val="24"/>
          <w:highlight w:val="none"/>
        </w:rPr>
        <w:t>.1</w:t>
      </w:r>
      <w:r>
        <w:rPr>
          <w:rFonts w:hint="eastAsia" w:ascii="宋体" w:hAnsi="宋体"/>
          <w:sz w:val="24"/>
          <w:highlight w:val="none"/>
        </w:rPr>
        <w:t>付款方式：</w:t>
      </w:r>
      <w:r>
        <w:rPr>
          <w:rFonts w:hint="eastAsia" w:ascii="宋体" w:hAnsi="宋体"/>
          <w:sz w:val="24"/>
          <w:highlight w:val="none"/>
          <w:lang w:val="en-US" w:eastAsia="zh-CN"/>
        </w:rPr>
        <w:t>签订合同前，向采购方缴纳10%以上的的履约保证金。</w:t>
      </w:r>
      <w:r>
        <w:rPr>
          <w:rFonts w:hint="eastAsia" w:ascii="宋体" w:hAnsi="宋体"/>
          <w:sz w:val="24"/>
          <w:highlight w:val="none"/>
        </w:rPr>
        <w:t>合同签订后7个工作日内，采购方支付成交人百分四十（40%）货物款，项目供货安装调试完毕并经终验合格后30天内，成交人持全额发票在采购方办理百分之六十（60%）货物款的支付手续。</w:t>
      </w:r>
      <w:r>
        <w:rPr>
          <w:rFonts w:hint="eastAsia" w:ascii="宋体" w:hAnsi="宋体"/>
          <w:sz w:val="24"/>
          <w:highlight w:val="none"/>
          <w:u w:val="single"/>
          <w:lang w:val="en-US" w:eastAsia="zh-CN"/>
        </w:rPr>
        <w:t>具体缴纳、付款金额及时间在签订合同时确定。</w:t>
      </w:r>
    </w:p>
    <w:p>
      <w:pPr>
        <w:wordWrap w:val="0"/>
        <w:topLinePunct/>
        <w:spacing w:line="360" w:lineRule="auto"/>
        <w:ind w:firstLine="480" w:firstLineChars="200"/>
        <w:rPr>
          <w:rFonts w:ascii="宋体"/>
          <w:sz w:val="24"/>
        </w:rPr>
      </w:pPr>
      <w:r>
        <w:rPr>
          <w:rFonts w:hint="eastAsia" w:ascii="宋体" w:hAnsi="宋体"/>
          <w:sz w:val="24"/>
        </w:rPr>
        <w:t>5</w:t>
      </w:r>
      <w:r>
        <w:rPr>
          <w:rFonts w:ascii="宋体" w:hAnsi="宋体"/>
          <w:sz w:val="24"/>
        </w:rPr>
        <w:t>.2</w:t>
      </w:r>
      <w:r>
        <w:rPr>
          <w:rFonts w:hint="eastAsia" w:ascii="宋体" w:hAnsi="宋体"/>
          <w:sz w:val="24"/>
        </w:rPr>
        <w:t>合同总价一次包死，不受市场价格波动等因素影响。</w:t>
      </w:r>
    </w:p>
    <w:p>
      <w:pPr>
        <w:wordWrap w:val="0"/>
        <w:topLinePunct/>
        <w:spacing w:line="360" w:lineRule="auto"/>
        <w:ind w:firstLine="482" w:firstLineChars="200"/>
        <w:rPr>
          <w:rFonts w:ascii="宋体"/>
          <w:b/>
          <w:sz w:val="24"/>
        </w:rPr>
      </w:pPr>
      <w:r>
        <w:rPr>
          <w:rFonts w:ascii="宋体" w:hAnsi="宋体"/>
          <w:b/>
          <w:sz w:val="24"/>
        </w:rPr>
        <w:t>6</w:t>
      </w:r>
      <w:r>
        <w:rPr>
          <w:rFonts w:hint="eastAsia" w:ascii="宋体" w:hAnsi="宋体"/>
          <w:b/>
          <w:sz w:val="24"/>
        </w:rPr>
        <w:t>、验收</w:t>
      </w:r>
    </w:p>
    <w:p>
      <w:pPr>
        <w:wordWrap w:val="0"/>
        <w:topLinePunct/>
        <w:spacing w:line="360" w:lineRule="auto"/>
        <w:ind w:firstLine="480" w:firstLineChars="200"/>
        <w:rPr>
          <w:rFonts w:ascii="宋体"/>
          <w:sz w:val="24"/>
        </w:rPr>
      </w:pPr>
      <w:r>
        <w:rPr>
          <w:rFonts w:hint="eastAsia" w:ascii="宋体" w:hAnsi="宋体"/>
          <w:sz w:val="24"/>
        </w:rPr>
        <w:t>由采购方组织成交人配合</w:t>
      </w:r>
      <w:r>
        <w:rPr>
          <w:rFonts w:ascii="宋体"/>
          <w:sz w:val="24"/>
        </w:rPr>
        <w:t>,</w:t>
      </w:r>
      <w:r>
        <w:rPr>
          <w:rFonts w:hint="eastAsia" w:ascii="宋体" w:hAnsi="宋体"/>
          <w:sz w:val="24"/>
        </w:rPr>
        <w:t>于成交人交付项目时组织验收。验收应严格按照磋商文件和采购合同进行，保证采购项目与磋商文件和采购合同内容的一致。</w:t>
      </w:r>
    </w:p>
    <w:p>
      <w:pPr>
        <w:wordWrap w:val="0"/>
        <w:spacing w:line="360" w:lineRule="auto"/>
        <w:ind w:firstLine="482" w:firstLineChars="200"/>
        <w:rPr>
          <w:rFonts w:ascii="宋体"/>
          <w:sz w:val="24"/>
        </w:rPr>
      </w:pPr>
      <w:r>
        <w:rPr>
          <w:rFonts w:ascii="宋体" w:hAnsi="宋体" w:cs="黑体"/>
          <w:b/>
          <w:bCs/>
          <w:sz w:val="24"/>
        </w:rPr>
        <w:t>7</w:t>
      </w:r>
      <w:r>
        <w:rPr>
          <w:rFonts w:hint="eastAsia" w:ascii="宋体" w:hAnsi="宋体" w:cs="黑体"/>
          <w:b/>
          <w:bCs/>
          <w:sz w:val="24"/>
        </w:rPr>
        <w:t>、</w:t>
      </w:r>
      <w:r>
        <w:rPr>
          <w:rFonts w:hint="eastAsia" w:ascii="宋体" w:hAnsi="宋体"/>
          <w:b/>
          <w:bCs/>
          <w:sz w:val="24"/>
        </w:rPr>
        <w:t>知识产权</w:t>
      </w:r>
    </w:p>
    <w:p>
      <w:pPr>
        <w:wordWrap w:val="0"/>
        <w:spacing w:line="360" w:lineRule="auto"/>
        <w:ind w:firstLine="480" w:firstLineChars="200"/>
        <w:rPr>
          <w:rFonts w:ascii="宋体"/>
          <w:b/>
          <w:sz w:val="24"/>
        </w:rPr>
      </w:pPr>
      <w:r>
        <w:rPr>
          <w:rFonts w:hint="eastAsia" w:ascii="宋体" w:hAnsi="宋体"/>
          <w:sz w:val="24"/>
        </w:rPr>
        <w:t>即成交人应保证采购人在使用其提供的服务与货物时，不承担任何涉及知识产权、法律诉讼等责任；如产生纠纷问题，造成采购方损失，一切责任由成交人承担。</w:t>
      </w:r>
    </w:p>
    <w:p>
      <w:pPr>
        <w:widowControl/>
        <w:spacing w:line="240" w:lineRule="auto"/>
        <w:jc w:val="left"/>
        <w:rPr>
          <w:rFonts w:ascii="宋体" w:cs="宋体"/>
          <w:b/>
          <w:sz w:val="30"/>
          <w:szCs w:val="30"/>
        </w:rPr>
      </w:pPr>
      <w:r>
        <w:rPr>
          <w:rFonts w:ascii="宋体" w:cs="宋体"/>
          <w:b/>
          <w:sz w:val="30"/>
          <w:szCs w:val="30"/>
        </w:rPr>
        <w:br w:type="page"/>
      </w:r>
    </w:p>
    <w:p>
      <w:pPr>
        <w:numPr>
          <w:ilvl w:val="0"/>
          <w:numId w:val="39"/>
        </w:numPr>
        <w:tabs>
          <w:tab w:val="left" w:pos="3544"/>
        </w:tabs>
        <w:spacing w:line="360" w:lineRule="auto"/>
        <w:jc w:val="center"/>
        <w:outlineLvl w:val="0"/>
        <w:rPr>
          <w:rFonts w:ascii="宋体" w:cs="宋体"/>
          <w:b/>
          <w:sz w:val="30"/>
          <w:szCs w:val="30"/>
        </w:rPr>
      </w:pPr>
      <w:bookmarkStart w:id="174" w:name="_Toc12299"/>
      <w:r>
        <w:rPr>
          <w:rFonts w:hint="eastAsia" w:ascii="宋体" w:hAnsi="宋体" w:cs="宋体"/>
          <w:b/>
          <w:sz w:val="30"/>
          <w:szCs w:val="30"/>
        </w:rPr>
        <w:t>拟签订合同</w:t>
      </w:r>
      <w:bookmarkEnd w:id="69"/>
      <w:bookmarkEnd w:id="174"/>
    </w:p>
    <w:p>
      <w:pPr>
        <w:tabs>
          <w:tab w:val="left" w:pos="3544"/>
        </w:tabs>
        <w:spacing w:line="360" w:lineRule="auto"/>
        <w:jc w:val="center"/>
        <w:outlineLvl w:val="0"/>
        <w:rPr>
          <w:rFonts w:ascii="宋体" w:cs="宋体"/>
          <w:b/>
          <w:sz w:val="30"/>
          <w:szCs w:val="30"/>
        </w:rPr>
      </w:pPr>
      <w:bookmarkStart w:id="175" w:name="_Toc257"/>
      <w:bookmarkStart w:id="176" w:name="_Toc28977"/>
      <w:bookmarkStart w:id="177" w:name="_Toc1851"/>
      <w:r>
        <w:rPr>
          <w:rFonts w:hint="eastAsia" w:ascii="宋体" w:hAnsi="宋体" w:cs="宋体"/>
          <w:b/>
          <w:sz w:val="30"/>
          <w:szCs w:val="30"/>
        </w:rPr>
        <w:t>（参考格式）</w:t>
      </w:r>
      <w:bookmarkEnd w:id="175"/>
      <w:bookmarkEnd w:id="176"/>
      <w:bookmarkEnd w:id="177"/>
    </w:p>
    <w:p>
      <w:pPr>
        <w:tabs>
          <w:tab w:val="left" w:pos="3544"/>
        </w:tabs>
        <w:spacing w:line="360" w:lineRule="auto"/>
        <w:jc w:val="left"/>
        <w:rPr>
          <w:rFonts w:ascii="宋体" w:cs="宋体"/>
          <w:b/>
          <w:sz w:val="24"/>
          <w:szCs w:val="32"/>
        </w:rPr>
      </w:pPr>
      <w:bookmarkStart w:id="178" w:name="_Toc498330536"/>
      <w:r>
        <w:rPr>
          <w:rFonts w:hint="eastAsia" w:ascii="宋体" w:hAnsi="宋体" w:cs="宋体"/>
          <w:b/>
          <w:sz w:val="24"/>
          <w:szCs w:val="32"/>
        </w:rPr>
        <w:t>甲方：</w:t>
      </w:r>
      <w:r>
        <w:rPr>
          <w:rFonts w:hint="eastAsia" w:ascii="宋体" w:hAnsi="宋体" w:cs="宋体"/>
          <w:sz w:val="24"/>
          <w:u w:val="single"/>
        </w:rPr>
        <w:t>（采购单位）</w:t>
      </w:r>
    </w:p>
    <w:p>
      <w:pPr>
        <w:tabs>
          <w:tab w:val="left" w:pos="3544"/>
        </w:tabs>
        <w:spacing w:line="360" w:lineRule="auto"/>
        <w:jc w:val="left"/>
        <w:rPr>
          <w:rFonts w:ascii="宋体" w:cs="宋体"/>
          <w:sz w:val="24"/>
          <w:u w:val="single"/>
        </w:rPr>
      </w:pPr>
      <w:r>
        <w:rPr>
          <w:rFonts w:hint="eastAsia" w:ascii="宋体" w:hAnsi="宋体" w:cs="宋体"/>
          <w:b/>
          <w:sz w:val="24"/>
          <w:szCs w:val="32"/>
        </w:rPr>
        <w:t>乙方</w:t>
      </w:r>
      <w:r>
        <w:rPr>
          <w:rFonts w:hint="eastAsia" w:ascii="宋体" w:hAnsi="宋体" w:cs="宋体"/>
          <w:sz w:val="24"/>
          <w:u w:val="single"/>
        </w:rPr>
        <w:t>：（成交单位）</w:t>
      </w:r>
    </w:p>
    <w:p>
      <w:pPr>
        <w:tabs>
          <w:tab w:val="left" w:pos="3544"/>
        </w:tabs>
        <w:spacing w:line="360" w:lineRule="auto"/>
        <w:ind w:firstLine="480" w:firstLineChars="200"/>
        <w:rPr>
          <w:rFonts w:ascii="宋体" w:cs="宋体"/>
          <w:sz w:val="24"/>
        </w:rPr>
      </w:pPr>
      <w:r>
        <w:rPr>
          <w:rFonts w:hint="eastAsia" w:ascii="宋体" w:hAnsi="宋体" w:cs="宋体"/>
          <w:sz w:val="24"/>
          <w:u w:val="single"/>
        </w:rPr>
        <w:t>项目名称（项目编号），</w:t>
      </w:r>
      <w:r>
        <w:rPr>
          <w:rFonts w:hint="eastAsia" w:ascii="宋体" w:hAnsi="宋体" w:cs="宋体"/>
          <w:sz w:val="24"/>
        </w:rPr>
        <w:t>在同级财政监督管理部门的全程监督管理下，由</w:t>
      </w:r>
      <w:r>
        <w:rPr>
          <w:rFonts w:ascii="宋体" w:hAnsi="宋体" w:cs="宋体"/>
          <w:sz w:val="24"/>
          <w:u w:val="single"/>
        </w:rPr>
        <w:t xml:space="preserve"> </w:t>
      </w:r>
      <w:r>
        <w:rPr>
          <w:rFonts w:hint="eastAsia" w:ascii="宋体" w:hAnsi="宋体" w:cs="宋体"/>
          <w:sz w:val="24"/>
          <w:u w:val="single"/>
        </w:rPr>
        <w:t>陕西博源招标服务有限公司</w:t>
      </w:r>
      <w:r>
        <w:rPr>
          <w:rFonts w:ascii="宋体" w:hAnsi="宋体" w:cs="宋体"/>
          <w:sz w:val="24"/>
          <w:u w:val="single"/>
        </w:rPr>
        <w:t xml:space="preserve"> </w:t>
      </w:r>
      <w:r>
        <w:rPr>
          <w:rFonts w:hint="eastAsia" w:ascii="宋体" w:hAnsi="宋体" w:cs="宋体"/>
          <w:sz w:val="24"/>
        </w:rPr>
        <w:t>组织竞争性磋商，</w:t>
      </w:r>
      <w:r>
        <w:rPr>
          <w:rFonts w:ascii="宋体" w:hAnsi="宋体" w:cs="宋体"/>
          <w:sz w:val="24"/>
          <w:u w:val="single"/>
        </w:rPr>
        <w:t xml:space="preserve"> </w:t>
      </w:r>
      <w:r>
        <w:rPr>
          <w:rFonts w:hint="eastAsia" w:ascii="宋体" w:hAnsi="宋体" w:cs="宋体"/>
          <w:sz w:val="24"/>
          <w:u w:val="single"/>
        </w:rPr>
        <w:t>采购人</w:t>
      </w:r>
      <w:r>
        <w:rPr>
          <w:rFonts w:ascii="宋体" w:hAnsi="宋体" w:cs="宋体"/>
          <w:sz w:val="24"/>
          <w:u w:val="single"/>
        </w:rPr>
        <w:t xml:space="preserve">  </w:t>
      </w:r>
      <w:r>
        <w:rPr>
          <w:rFonts w:hint="eastAsia" w:ascii="宋体" w:hAnsi="宋体" w:cs="宋体"/>
          <w:sz w:val="24"/>
        </w:rPr>
        <w:t>（以下简称“甲方”）确定</w:t>
      </w:r>
      <w:r>
        <w:rPr>
          <w:rFonts w:ascii="宋体" w:hAnsi="宋体" w:cs="宋体"/>
          <w:sz w:val="24"/>
        </w:rPr>
        <w:t xml:space="preserve"> </w:t>
      </w:r>
      <w:r>
        <w:rPr>
          <w:rFonts w:ascii="宋体" w:hAnsi="宋体" w:cs="宋体"/>
          <w:sz w:val="24"/>
          <w:u w:val="single"/>
        </w:rPr>
        <w:t xml:space="preserve">  </w:t>
      </w:r>
      <w:r>
        <w:rPr>
          <w:rFonts w:hint="eastAsia" w:ascii="宋体" w:hAnsi="宋体" w:cs="宋体"/>
          <w:sz w:val="24"/>
          <w:u w:val="single"/>
        </w:rPr>
        <w:t>成交单位</w:t>
      </w:r>
      <w:r>
        <w:rPr>
          <w:rFonts w:ascii="宋体" w:hAnsi="宋体" w:cs="宋体"/>
          <w:sz w:val="24"/>
          <w:u w:val="single"/>
        </w:rPr>
        <w:t xml:space="preserve">  </w:t>
      </w:r>
      <w:r>
        <w:rPr>
          <w:rFonts w:hint="eastAsia" w:ascii="宋体" w:hAnsi="宋体" w:cs="宋体"/>
          <w:sz w:val="24"/>
        </w:rPr>
        <w:t>（以下简称“乙方”）为本项目成交单位。</w:t>
      </w:r>
    </w:p>
    <w:p>
      <w:pPr>
        <w:tabs>
          <w:tab w:val="left" w:pos="3544"/>
        </w:tabs>
        <w:spacing w:line="360" w:lineRule="auto"/>
        <w:ind w:right="210" w:rightChars="100" w:firstLine="464" w:firstLineChars="200"/>
        <w:rPr>
          <w:rFonts w:ascii="宋体" w:cs="宋体"/>
          <w:spacing w:val="-4"/>
          <w:kern w:val="0"/>
          <w:sz w:val="24"/>
        </w:rPr>
      </w:pPr>
      <w:r>
        <w:rPr>
          <w:rFonts w:hint="eastAsia" w:ascii="宋体" w:hAnsi="宋体" w:cs="宋体"/>
          <w:spacing w:val="-4"/>
          <w:kern w:val="0"/>
          <w:sz w:val="24"/>
        </w:rPr>
        <w:t>依据《中华人民共和国合同法》和《中华人民共和国政府采购法》，经双方协商，于</w:t>
      </w:r>
      <w:r>
        <w:rPr>
          <w:rFonts w:ascii="宋体" w:hAnsi="宋体" w:cs="宋体"/>
          <w:spacing w:val="-4"/>
          <w:kern w:val="0"/>
          <w:sz w:val="24"/>
          <w:u w:val="single"/>
        </w:rPr>
        <w:t xml:space="preserve">     </w:t>
      </w:r>
      <w:r>
        <w:rPr>
          <w:rFonts w:ascii="宋体" w:hAnsi="宋体" w:cs="宋体"/>
          <w:b/>
          <w:spacing w:val="-4"/>
          <w:kern w:val="0"/>
          <w:sz w:val="24"/>
          <w:u w:val="single"/>
        </w:rPr>
        <w:t xml:space="preserve"> </w:t>
      </w:r>
      <w:r>
        <w:rPr>
          <w:rFonts w:hint="eastAsia" w:ascii="宋体" w:hAnsi="宋体" w:cs="宋体"/>
          <w:spacing w:val="-4"/>
          <w:kern w:val="0"/>
          <w:sz w:val="24"/>
        </w:rPr>
        <w:t>年</w:t>
      </w:r>
      <w:r>
        <w:rPr>
          <w:rFonts w:ascii="宋体" w:hAnsi="宋体" w:cs="宋体"/>
          <w:spacing w:val="-4"/>
          <w:kern w:val="0"/>
          <w:sz w:val="24"/>
          <w:u w:val="single"/>
        </w:rPr>
        <w:t xml:space="preserve">     </w:t>
      </w:r>
      <w:r>
        <w:rPr>
          <w:rFonts w:hint="eastAsia" w:ascii="宋体" w:hAnsi="宋体" w:cs="宋体"/>
          <w:spacing w:val="-4"/>
          <w:kern w:val="0"/>
          <w:sz w:val="24"/>
        </w:rPr>
        <w:t>月</w:t>
      </w:r>
      <w:r>
        <w:rPr>
          <w:rFonts w:ascii="宋体" w:hAnsi="宋体" w:cs="宋体"/>
          <w:b/>
          <w:spacing w:val="-4"/>
          <w:kern w:val="0"/>
          <w:sz w:val="24"/>
          <w:u w:val="single"/>
        </w:rPr>
        <w:t xml:space="preserve">     </w:t>
      </w:r>
      <w:r>
        <w:rPr>
          <w:rFonts w:hint="eastAsia" w:ascii="宋体" w:hAnsi="宋体" w:cs="宋体"/>
          <w:spacing w:val="-4"/>
          <w:kern w:val="0"/>
          <w:sz w:val="24"/>
        </w:rPr>
        <w:t>日按下述条款和条件签署本合同。</w:t>
      </w:r>
    </w:p>
    <w:p>
      <w:pPr>
        <w:tabs>
          <w:tab w:val="left" w:pos="3544"/>
        </w:tabs>
        <w:spacing w:line="360" w:lineRule="auto"/>
        <w:ind w:firstLine="480" w:firstLineChars="200"/>
        <w:rPr>
          <w:rFonts w:ascii="宋体" w:cs="宋体"/>
          <w:b/>
          <w:bCs/>
          <w:sz w:val="24"/>
        </w:rPr>
      </w:pPr>
      <w:r>
        <w:rPr>
          <w:rFonts w:hint="eastAsia" w:ascii="宋体" w:hAnsi="宋体" w:cs="宋体"/>
          <w:sz w:val="24"/>
        </w:rPr>
        <w:t>甲方通过竞争性磋商采购方式，接受了乙方以总金额</w:t>
      </w:r>
      <w:r>
        <w:rPr>
          <w:rFonts w:ascii="宋体" w:hAnsi="宋体" w:cs="宋体"/>
          <w:b/>
          <w:sz w:val="24"/>
          <w:u w:val="single"/>
        </w:rPr>
        <w:t xml:space="preserve">  </w:t>
      </w:r>
      <w:r>
        <w:rPr>
          <w:rFonts w:hint="eastAsia" w:ascii="宋体" w:hAnsi="宋体" w:cs="宋体"/>
          <w:b/>
          <w:sz w:val="24"/>
          <w:u w:val="single"/>
        </w:rPr>
        <w:t>（大写）</w:t>
      </w:r>
      <w:r>
        <w:rPr>
          <w:rFonts w:ascii="宋体" w:hAnsi="宋体" w:cs="宋体"/>
          <w:b/>
          <w:sz w:val="24"/>
          <w:u w:val="single"/>
        </w:rPr>
        <w:t xml:space="preserve">        </w:t>
      </w:r>
      <w:r>
        <w:rPr>
          <w:rFonts w:hint="eastAsia" w:ascii="宋体" w:hAnsi="宋体" w:cs="宋体"/>
          <w:b/>
          <w:sz w:val="24"/>
          <w:u w:val="single"/>
        </w:rPr>
        <w:t>（</w:t>
      </w:r>
      <w:r>
        <w:rPr>
          <w:rFonts w:ascii="宋体" w:cs="宋体"/>
          <w:b/>
          <w:sz w:val="24"/>
          <w:u w:val="single"/>
        </w:rPr>
        <w:t>¥</w:t>
      </w:r>
      <w:r>
        <w:rPr>
          <w:rFonts w:ascii="宋体" w:hAnsi="宋体" w:cs="宋体"/>
          <w:b/>
          <w:sz w:val="24"/>
          <w:u w:val="single"/>
        </w:rPr>
        <w:t xml:space="preserve">       </w:t>
      </w:r>
      <w:r>
        <w:rPr>
          <w:rFonts w:hint="eastAsia" w:ascii="宋体" w:hAnsi="宋体" w:cs="宋体"/>
          <w:b/>
          <w:sz w:val="24"/>
          <w:u w:val="single"/>
        </w:rPr>
        <w:t>）</w:t>
      </w:r>
      <w:r>
        <w:rPr>
          <w:rFonts w:ascii="宋体" w:hAnsi="宋体" w:cs="宋体"/>
          <w:sz w:val="24"/>
        </w:rPr>
        <w:t>(</w:t>
      </w:r>
      <w:r>
        <w:rPr>
          <w:rFonts w:hint="eastAsia" w:ascii="宋体" w:hAnsi="宋体" w:cs="宋体"/>
          <w:sz w:val="24"/>
        </w:rPr>
        <w:t>以下简称“合同价”</w:t>
      </w:r>
      <w:r>
        <w:rPr>
          <w:rFonts w:ascii="宋体" w:hAnsi="宋体" w:cs="宋体"/>
          <w:sz w:val="24"/>
        </w:rPr>
        <w:t>)</w:t>
      </w:r>
      <w:r>
        <w:rPr>
          <w:rFonts w:hint="eastAsia" w:ascii="宋体" w:hAnsi="宋体" w:cs="宋体"/>
          <w:sz w:val="24"/>
        </w:rPr>
        <w:t>提供的服务及货物。</w:t>
      </w:r>
    </w:p>
    <w:p>
      <w:pPr>
        <w:tabs>
          <w:tab w:val="left" w:pos="3544"/>
        </w:tabs>
        <w:spacing w:line="360" w:lineRule="auto"/>
        <w:ind w:right="210" w:rightChars="100" w:firstLine="480" w:firstLineChars="200"/>
        <w:rPr>
          <w:rFonts w:ascii="宋体" w:cs="宋体"/>
          <w:kern w:val="0"/>
          <w:sz w:val="24"/>
        </w:rPr>
      </w:pPr>
      <w:r>
        <w:rPr>
          <w:rFonts w:hint="eastAsia" w:ascii="宋体" w:hAnsi="宋体" w:cs="宋体"/>
          <w:kern w:val="0"/>
          <w:sz w:val="24"/>
        </w:rPr>
        <w:t>本合同在此声明如下：</w:t>
      </w:r>
    </w:p>
    <w:p>
      <w:pPr>
        <w:tabs>
          <w:tab w:val="left" w:pos="3544"/>
        </w:tabs>
        <w:spacing w:line="360" w:lineRule="auto"/>
        <w:ind w:right="210" w:rightChars="100" w:firstLine="480" w:firstLineChars="200"/>
        <w:rPr>
          <w:rFonts w:ascii="宋体" w:cs="宋体"/>
          <w:kern w:val="0"/>
          <w:sz w:val="24"/>
        </w:rPr>
      </w:pPr>
      <w:r>
        <w:rPr>
          <w:rFonts w:ascii="宋体" w:hAnsi="宋体" w:cs="宋体"/>
          <w:kern w:val="0"/>
          <w:sz w:val="24"/>
        </w:rPr>
        <w:t>1.</w:t>
      </w:r>
      <w:r>
        <w:rPr>
          <w:rFonts w:hint="eastAsia" w:ascii="宋体" w:hAnsi="宋体" w:cs="宋体"/>
          <w:kern w:val="0"/>
          <w:sz w:val="24"/>
        </w:rPr>
        <w:t>本合同中的词语和术语的含义与合同条款中定义的相同。</w:t>
      </w:r>
    </w:p>
    <w:p>
      <w:pPr>
        <w:tabs>
          <w:tab w:val="left" w:pos="3544"/>
        </w:tabs>
        <w:spacing w:line="360" w:lineRule="auto"/>
        <w:ind w:right="210" w:rightChars="100" w:firstLine="480" w:firstLineChars="200"/>
        <w:rPr>
          <w:rFonts w:ascii="宋体" w:cs="宋体"/>
          <w:kern w:val="0"/>
          <w:sz w:val="24"/>
        </w:rPr>
      </w:pPr>
      <w:r>
        <w:rPr>
          <w:rFonts w:ascii="宋体" w:hAnsi="宋体" w:cs="宋体"/>
          <w:kern w:val="0"/>
          <w:sz w:val="24"/>
        </w:rPr>
        <w:t>2.</w:t>
      </w:r>
      <w:r>
        <w:rPr>
          <w:rFonts w:hint="eastAsia" w:ascii="宋体" w:hAnsi="宋体" w:cs="宋体"/>
          <w:kern w:val="0"/>
          <w:sz w:val="24"/>
        </w:rPr>
        <w:t>下述文件是本合同的一部分，并与本合同一起阅读和解释：</w:t>
      </w:r>
    </w:p>
    <w:p>
      <w:pPr>
        <w:tabs>
          <w:tab w:val="left" w:pos="3544"/>
        </w:tabs>
        <w:spacing w:line="360" w:lineRule="auto"/>
        <w:ind w:right="210" w:rightChars="100" w:firstLine="720" w:firstLineChars="300"/>
        <w:rPr>
          <w:rFonts w:ascii="宋体" w:cs="宋体"/>
          <w:sz w:val="24"/>
        </w:rPr>
      </w:pPr>
      <w:r>
        <w:rPr>
          <w:rFonts w:ascii="宋体" w:hAnsi="宋体" w:cs="宋体"/>
          <w:sz w:val="24"/>
        </w:rPr>
        <w:t>1</w:t>
      </w:r>
      <w:r>
        <w:rPr>
          <w:rFonts w:hint="eastAsia" w:ascii="宋体" w:hAnsi="宋体" w:cs="宋体"/>
          <w:sz w:val="24"/>
        </w:rPr>
        <w:t>）合同通用条款</w:t>
      </w:r>
    </w:p>
    <w:p>
      <w:pPr>
        <w:tabs>
          <w:tab w:val="left" w:pos="3544"/>
        </w:tabs>
        <w:spacing w:line="360" w:lineRule="auto"/>
        <w:ind w:right="210" w:rightChars="100" w:firstLine="720" w:firstLineChars="300"/>
        <w:rPr>
          <w:rFonts w:ascii="宋体" w:cs="宋体"/>
          <w:sz w:val="24"/>
        </w:rPr>
      </w:pPr>
      <w:r>
        <w:rPr>
          <w:rFonts w:ascii="宋体" w:hAnsi="宋体" w:cs="宋体"/>
          <w:sz w:val="24"/>
        </w:rPr>
        <w:t>2</w:t>
      </w:r>
      <w:r>
        <w:rPr>
          <w:rFonts w:hint="eastAsia" w:ascii="宋体" w:hAnsi="宋体" w:cs="宋体"/>
          <w:sz w:val="24"/>
        </w:rPr>
        <w:t>）合同条款附件</w:t>
      </w:r>
    </w:p>
    <w:p>
      <w:pPr>
        <w:tabs>
          <w:tab w:val="left" w:pos="3544"/>
        </w:tabs>
        <w:spacing w:line="360" w:lineRule="auto"/>
        <w:ind w:right="210" w:rightChars="100" w:firstLine="720" w:firstLineChars="300"/>
        <w:rPr>
          <w:rFonts w:ascii="宋体" w:cs="宋体"/>
          <w:sz w:val="24"/>
        </w:rPr>
      </w:pPr>
      <w:r>
        <w:rPr>
          <w:rFonts w:ascii="宋体" w:hAnsi="宋体" w:cs="宋体"/>
          <w:sz w:val="24"/>
        </w:rPr>
        <w:t>3</w:t>
      </w:r>
      <w:r>
        <w:rPr>
          <w:rFonts w:hint="eastAsia" w:ascii="宋体" w:hAnsi="宋体" w:cs="宋体"/>
          <w:sz w:val="24"/>
        </w:rPr>
        <w:t>）成交通知书</w:t>
      </w:r>
    </w:p>
    <w:p>
      <w:pPr>
        <w:tabs>
          <w:tab w:val="left" w:pos="3544"/>
        </w:tabs>
        <w:spacing w:line="360" w:lineRule="auto"/>
        <w:ind w:right="210" w:rightChars="100" w:firstLine="720" w:firstLineChars="300"/>
        <w:rPr>
          <w:rFonts w:ascii="宋体" w:cs="宋体"/>
          <w:sz w:val="24"/>
        </w:rPr>
      </w:pPr>
      <w:r>
        <w:rPr>
          <w:rFonts w:ascii="宋体" w:hAnsi="宋体" w:cs="宋体"/>
          <w:sz w:val="24"/>
        </w:rPr>
        <w:t>4</w:t>
      </w:r>
      <w:r>
        <w:rPr>
          <w:rFonts w:hint="eastAsia" w:ascii="宋体" w:hAnsi="宋体" w:cs="宋体"/>
          <w:sz w:val="24"/>
        </w:rPr>
        <w:t>）磋商文件</w:t>
      </w:r>
    </w:p>
    <w:p>
      <w:pPr>
        <w:tabs>
          <w:tab w:val="left" w:pos="3544"/>
        </w:tabs>
        <w:spacing w:line="360" w:lineRule="auto"/>
        <w:ind w:right="210" w:rightChars="100" w:firstLine="720" w:firstLineChars="300"/>
        <w:rPr>
          <w:rFonts w:ascii="宋体" w:cs="宋体"/>
          <w:sz w:val="24"/>
        </w:rPr>
      </w:pPr>
      <w:r>
        <w:rPr>
          <w:rFonts w:ascii="宋体" w:hAnsi="宋体" w:cs="宋体"/>
          <w:sz w:val="24"/>
        </w:rPr>
        <w:t>5</w:t>
      </w:r>
      <w:r>
        <w:rPr>
          <w:rFonts w:hint="eastAsia" w:ascii="宋体" w:hAnsi="宋体" w:cs="宋体"/>
          <w:sz w:val="24"/>
        </w:rPr>
        <w:t>）磋商响应文件</w:t>
      </w:r>
    </w:p>
    <w:p>
      <w:pPr>
        <w:tabs>
          <w:tab w:val="left" w:pos="3544"/>
        </w:tabs>
        <w:spacing w:line="360" w:lineRule="auto"/>
        <w:ind w:right="210" w:rightChars="100" w:firstLine="720" w:firstLineChars="300"/>
        <w:rPr>
          <w:rFonts w:ascii="宋体" w:cs="宋体"/>
          <w:sz w:val="24"/>
        </w:rPr>
      </w:pPr>
      <w:r>
        <w:rPr>
          <w:rFonts w:ascii="宋体" w:hAnsi="宋体" w:cs="宋体"/>
          <w:sz w:val="24"/>
        </w:rPr>
        <w:t>6</w:t>
      </w:r>
      <w:r>
        <w:rPr>
          <w:rFonts w:hint="eastAsia" w:ascii="宋体" w:hAnsi="宋体" w:cs="宋体"/>
          <w:sz w:val="24"/>
        </w:rPr>
        <w:t>）澄清、承诺函（如有）</w:t>
      </w:r>
    </w:p>
    <w:p>
      <w:pPr>
        <w:tabs>
          <w:tab w:val="left" w:pos="3544"/>
        </w:tabs>
        <w:spacing w:line="360" w:lineRule="auto"/>
        <w:ind w:right="210" w:rightChars="100" w:firstLine="720" w:firstLineChars="300"/>
        <w:rPr>
          <w:rFonts w:ascii="宋体" w:cs="宋体"/>
          <w:sz w:val="24"/>
        </w:rPr>
      </w:pPr>
      <w:r>
        <w:rPr>
          <w:rFonts w:ascii="宋体" w:hAnsi="宋体" w:cs="宋体"/>
          <w:sz w:val="24"/>
        </w:rPr>
        <w:t>7</w:t>
      </w:r>
      <w:r>
        <w:rPr>
          <w:rFonts w:hint="eastAsia" w:ascii="宋体" w:hAnsi="宋体" w:cs="宋体"/>
          <w:sz w:val="24"/>
        </w:rPr>
        <w:t>）甲乙双方协商的其他条款</w:t>
      </w:r>
    </w:p>
    <w:p>
      <w:pPr>
        <w:tabs>
          <w:tab w:val="left" w:pos="3544"/>
        </w:tabs>
        <w:spacing w:line="360" w:lineRule="auto"/>
        <w:ind w:left="105" w:leftChars="50" w:right="210" w:rightChars="100" w:firstLine="480" w:firstLineChars="200"/>
        <w:rPr>
          <w:rFonts w:ascii="宋体" w:cs="宋体"/>
          <w:sz w:val="24"/>
        </w:rPr>
      </w:pPr>
      <w:r>
        <w:rPr>
          <w:rFonts w:ascii="宋体" w:hAnsi="宋体" w:cs="宋体"/>
          <w:sz w:val="24"/>
        </w:rPr>
        <w:t>3.</w:t>
      </w:r>
      <w:r>
        <w:rPr>
          <w:rFonts w:hint="eastAsia" w:ascii="宋体" w:hAnsi="宋体" w:cs="宋体"/>
          <w:sz w:val="24"/>
        </w:rPr>
        <w:t>考虑到甲方将按照本合同向乙方支付货款，乙方在此保证全部按照合同的规定向甲方提供本项目服务及货物，并修补缺陷。</w:t>
      </w:r>
    </w:p>
    <w:p>
      <w:pPr>
        <w:tabs>
          <w:tab w:val="left" w:pos="3544"/>
        </w:tabs>
        <w:spacing w:line="360" w:lineRule="auto"/>
        <w:ind w:left="105" w:leftChars="50" w:right="210" w:rightChars="100" w:firstLine="480" w:firstLineChars="200"/>
        <w:rPr>
          <w:rFonts w:ascii="宋体" w:cs="宋体"/>
          <w:sz w:val="24"/>
        </w:rPr>
      </w:pPr>
      <w:r>
        <w:rPr>
          <w:rFonts w:ascii="宋体" w:hAnsi="宋体" w:cs="宋体"/>
          <w:sz w:val="24"/>
        </w:rPr>
        <w:t>4.</w:t>
      </w:r>
      <w:r>
        <w:rPr>
          <w:rFonts w:hint="eastAsia" w:ascii="宋体" w:hAnsi="宋体" w:cs="宋体"/>
          <w:sz w:val="24"/>
        </w:rPr>
        <w:t>考虑到乙方提供的服务及货物并修补缺陷，甲方在此保证按照合同规定的时间和方式向乙方支付合同价或其他按合同规定应支付的金额。</w:t>
      </w:r>
    </w:p>
    <w:p>
      <w:pPr>
        <w:tabs>
          <w:tab w:val="left" w:pos="3544"/>
        </w:tabs>
        <w:spacing w:line="360" w:lineRule="auto"/>
        <w:ind w:left="105" w:leftChars="50" w:right="210" w:rightChars="100" w:firstLine="480" w:firstLineChars="200"/>
        <w:rPr>
          <w:rFonts w:ascii="宋体" w:cs="宋体"/>
          <w:sz w:val="24"/>
        </w:rPr>
      </w:pPr>
      <w:r>
        <w:rPr>
          <w:rFonts w:ascii="宋体" w:hAnsi="宋体" w:cs="宋体"/>
          <w:kern w:val="0"/>
          <w:sz w:val="24"/>
        </w:rPr>
        <w:t>5.</w:t>
      </w:r>
      <w:r>
        <w:rPr>
          <w:rFonts w:hint="eastAsia" w:ascii="宋体" w:hAnsi="宋体" w:cs="宋体"/>
          <w:kern w:val="0"/>
          <w:sz w:val="24"/>
        </w:rPr>
        <w:t>本合同一式</w:t>
      </w:r>
      <w:r>
        <w:rPr>
          <w:rFonts w:ascii="宋体" w:hAnsi="宋体" w:cs="宋体"/>
          <w:kern w:val="0"/>
          <w:sz w:val="24"/>
          <w:u w:val="single"/>
        </w:rPr>
        <w:t xml:space="preserve">  </w:t>
      </w:r>
      <w:r>
        <w:rPr>
          <w:rFonts w:hint="eastAsia" w:ascii="宋体" w:hAnsi="宋体" w:cs="宋体"/>
          <w:kern w:val="0"/>
          <w:sz w:val="24"/>
        </w:rPr>
        <w:t>份，其中，甲方</w:t>
      </w:r>
      <w:r>
        <w:rPr>
          <w:rFonts w:ascii="宋体" w:hAnsi="宋体" w:cs="宋体"/>
          <w:b/>
          <w:kern w:val="0"/>
          <w:sz w:val="24"/>
          <w:u w:val="single"/>
        </w:rPr>
        <w:t xml:space="preserve">   </w:t>
      </w:r>
      <w:r>
        <w:rPr>
          <w:rFonts w:ascii="宋体" w:hAnsi="宋体" w:cs="宋体"/>
          <w:kern w:val="0"/>
          <w:sz w:val="24"/>
          <w:u w:val="single"/>
        </w:rPr>
        <w:t xml:space="preserve"> </w:t>
      </w:r>
      <w:r>
        <w:rPr>
          <w:rFonts w:hint="eastAsia" w:ascii="宋体" w:hAnsi="宋体" w:cs="宋体"/>
          <w:kern w:val="0"/>
          <w:sz w:val="24"/>
        </w:rPr>
        <w:t>份，乙方</w:t>
      </w:r>
      <w:r>
        <w:rPr>
          <w:rFonts w:ascii="宋体" w:hAnsi="宋体" w:cs="宋体"/>
          <w:b/>
          <w:kern w:val="0"/>
          <w:sz w:val="24"/>
          <w:u w:val="single"/>
        </w:rPr>
        <w:t xml:space="preserve">    </w:t>
      </w:r>
      <w:r>
        <w:rPr>
          <w:rFonts w:hint="eastAsia" w:ascii="宋体" w:hAnsi="宋体" w:cs="宋体"/>
          <w:kern w:val="0"/>
          <w:sz w:val="24"/>
        </w:rPr>
        <w:t>份，同级财政监督管理部门</w:t>
      </w:r>
      <w:r>
        <w:rPr>
          <w:rFonts w:ascii="宋体" w:hAnsi="宋体" w:cs="宋体"/>
          <w:b/>
          <w:kern w:val="0"/>
          <w:sz w:val="24"/>
          <w:u w:val="single"/>
        </w:rPr>
        <w:t xml:space="preserve">  </w:t>
      </w:r>
      <w:r>
        <w:rPr>
          <w:rFonts w:hint="eastAsia" w:ascii="宋体" w:hAnsi="宋体" w:cs="宋体"/>
          <w:kern w:val="0"/>
          <w:sz w:val="24"/>
        </w:rPr>
        <w:t>份。</w:t>
      </w:r>
    </w:p>
    <w:p>
      <w:pPr>
        <w:tabs>
          <w:tab w:val="left" w:pos="3544"/>
        </w:tabs>
        <w:spacing w:line="360" w:lineRule="auto"/>
        <w:ind w:firstLine="480" w:firstLineChars="200"/>
        <w:rPr>
          <w:rFonts w:ascii="宋体" w:cs="宋体"/>
          <w:kern w:val="0"/>
          <w:sz w:val="24"/>
        </w:rPr>
      </w:pPr>
    </w:p>
    <w:p>
      <w:pPr>
        <w:rPr>
          <w:rFonts w:ascii="宋体" w:cs="宋体"/>
        </w:rPr>
      </w:pPr>
    </w:p>
    <w:tbl>
      <w:tblPr>
        <w:tblStyle w:val="40"/>
        <w:tblW w:w="8673" w:type="dxa"/>
        <w:jc w:val="center"/>
        <w:tblLayout w:type="fixed"/>
        <w:tblCellMar>
          <w:top w:w="0" w:type="dxa"/>
          <w:left w:w="108" w:type="dxa"/>
          <w:bottom w:w="0" w:type="dxa"/>
          <w:right w:w="108" w:type="dxa"/>
        </w:tblCellMar>
      </w:tblPr>
      <w:tblGrid>
        <w:gridCol w:w="4219"/>
        <w:gridCol w:w="4454"/>
      </w:tblGrid>
      <w:tr>
        <w:tblPrEx>
          <w:tblCellMar>
            <w:top w:w="0" w:type="dxa"/>
            <w:left w:w="108" w:type="dxa"/>
            <w:bottom w:w="0" w:type="dxa"/>
            <w:right w:w="108" w:type="dxa"/>
          </w:tblCellMar>
        </w:tblPrEx>
        <w:trPr>
          <w:trHeight w:val="6063" w:hRule="atLeast"/>
          <w:jc w:val="center"/>
        </w:trPr>
        <w:tc>
          <w:tcPr>
            <w:tcW w:w="4219" w:type="dxa"/>
            <w:tcMar>
              <w:top w:w="113" w:type="dxa"/>
              <w:left w:w="113" w:type="dxa"/>
              <w:bottom w:w="113" w:type="dxa"/>
              <w:right w:w="113" w:type="dxa"/>
            </w:tcMar>
          </w:tcPr>
          <w:p>
            <w:pPr>
              <w:tabs>
                <w:tab w:val="left" w:pos="3544"/>
              </w:tabs>
              <w:autoSpaceDE w:val="0"/>
              <w:autoSpaceDN w:val="0"/>
              <w:spacing w:line="276" w:lineRule="auto"/>
              <w:rPr>
                <w:rFonts w:ascii="宋体" w:hAnsi="宋体" w:cs="宋体"/>
                <w:sz w:val="24"/>
              </w:rPr>
            </w:pPr>
            <w:r>
              <w:rPr>
                <w:rFonts w:hint="eastAsia" w:ascii="宋体" w:hAnsi="宋体" w:cs="宋体"/>
                <w:b/>
                <w:kern w:val="0"/>
                <w:sz w:val="24"/>
              </w:rPr>
              <w:t>甲方名称：</w:t>
            </w:r>
            <w:r>
              <w:rPr>
                <w:rFonts w:ascii="宋体" w:hAnsi="宋体" w:cs="宋体"/>
                <w:sz w:val="24"/>
              </w:rPr>
              <w:t xml:space="preserve"> </w:t>
            </w:r>
          </w:p>
          <w:p>
            <w:pPr>
              <w:tabs>
                <w:tab w:val="left" w:pos="3544"/>
              </w:tabs>
              <w:spacing w:line="276" w:lineRule="auto"/>
              <w:rPr>
                <w:rFonts w:ascii="宋体" w:cs="宋体"/>
                <w:kern w:val="0"/>
                <w:sz w:val="24"/>
              </w:rPr>
            </w:pPr>
            <w:r>
              <w:rPr>
                <w:rFonts w:hint="eastAsia" w:ascii="宋体" w:hAnsi="宋体" w:cs="宋体"/>
                <w:b/>
                <w:kern w:val="0"/>
                <w:sz w:val="24"/>
              </w:rPr>
              <w:t>甲方地址：</w:t>
            </w:r>
          </w:p>
          <w:p>
            <w:pPr>
              <w:tabs>
                <w:tab w:val="left" w:pos="3544"/>
              </w:tabs>
              <w:autoSpaceDE w:val="0"/>
              <w:autoSpaceDN w:val="0"/>
              <w:spacing w:line="276" w:lineRule="auto"/>
              <w:rPr>
                <w:rFonts w:ascii="宋体" w:cs="宋体"/>
                <w:sz w:val="24"/>
              </w:rPr>
            </w:pPr>
            <w:r>
              <w:rPr>
                <w:rFonts w:hint="eastAsia" w:ascii="宋体" w:hAnsi="宋体" w:cs="宋体"/>
                <w:b/>
                <w:kern w:val="0"/>
                <w:sz w:val="24"/>
              </w:rPr>
              <w:t>电</w:t>
            </w:r>
            <w:r>
              <w:rPr>
                <w:rFonts w:ascii="宋体" w:hAnsi="宋体" w:cs="宋体"/>
                <w:b/>
                <w:kern w:val="0"/>
                <w:sz w:val="24"/>
              </w:rPr>
              <w:t xml:space="preserve">    </w:t>
            </w:r>
            <w:r>
              <w:rPr>
                <w:rFonts w:hint="eastAsia" w:ascii="宋体" w:hAnsi="宋体" w:cs="宋体"/>
                <w:b/>
                <w:kern w:val="0"/>
                <w:sz w:val="24"/>
              </w:rPr>
              <w:t>话：</w:t>
            </w: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传</w:t>
            </w:r>
            <w:r>
              <w:rPr>
                <w:rFonts w:ascii="宋体" w:hAnsi="宋体" w:cs="宋体"/>
                <w:b/>
                <w:kern w:val="0"/>
                <w:sz w:val="24"/>
              </w:rPr>
              <w:t xml:space="preserve">    </w:t>
            </w:r>
            <w:r>
              <w:rPr>
                <w:rFonts w:hint="eastAsia" w:ascii="宋体" w:hAnsi="宋体" w:cs="宋体"/>
                <w:b/>
                <w:kern w:val="0"/>
                <w:sz w:val="24"/>
              </w:rPr>
              <w:t>真：</w:t>
            </w:r>
          </w:p>
          <w:p>
            <w:pPr>
              <w:tabs>
                <w:tab w:val="left" w:pos="3544"/>
              </w:tabs>
              <w:autoSpaceDE w:val="0"/>
              <w:autoSpaceDN w:val="0"/>
              <w:spacing w:line="276" w:lineRule="auto"/>
              <w:rPr>
                <w:rFonts w:ascii="宋体" w:cs="宋体"/>
                <w:kern w:val="0"/>
                <w:sz w:val="24"/>
              </w:rPr>
            </w:pPr>
            <w:r>
              <w:rPr>
                <w:rFonts w:hint="eastAsia" w:ascii="宋体" w:hAnsi="宋体" w:cs="宋体"/>
                <w:b/>
                <w:kern w:val="0"/>
                <w:sz w:val="24"/>
              </w:rPr>
              <w:t>邮</w:t>
            </w:r>
            <w:r>
              <w:rPr>
                <w:rFonts w:ascii="宋体" w:hAnsi="宋体" w:cs="宋体"/>
                <w:b/>
                <w:kern w:val="0"/>
                <w:sz w:val="24"/>
              </w:rPr>
              <w:t xml:space="preserve">    </w:t>
            </w:r>
            <w:r>
              <w:rPr>
                <w:rFonts w:hint="eastAsia" w:ascii="宋体" w:hAnsi="宋体" w:cs="宋体"/>
                <w:b/>
                <w:kern w:val="0"/>
                <w:sz w:val="24"/>
              </w:rPr>
              <w:t>编：</w:t>
            </w: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甲方代表签字：</w:t>
            </w:r>
          </w:p>
          <w:p>
            <w:pPr>
              <w:tabs>
                <w:tab w:val="left" w:pos="3544"/>
              </w:tabs>
              <w:spacing w:before="240" w:beforeLines="100" w:line="276" w:lineRule="auto"/>
              <w:rPr>
                <w:rFonts w:ascii="宋体" w:cs="宋体"/>
                <w:b/>
                <w:sz w:val="24"/>
              </w:rPr>
            </w:pPr>
            <w:r>
              <w:rPr>
                <w:rFonts w:hint="eastAsia" w:ascii="宋体" w:hAnsi="宋体" w:cs="宋体"/>
                <w:b/>
                <w:kern w:val="0"/>
                <w:sz w:val="24"/>
              </w:rPr>
              <w:t>甲方盖章：</w:t>
            </w:r>
          </w:p>
        </w:tc>
        <w:tc>
          <w:tcPr>
            <w:tcW w:w="4454" w:type="dxa"/>
          </w:tcPr>
          <w:p>
            <w:pPr>
              <w:tabs>
                <w:tab w:val="left" w:pos="3544"/>
              </w:tabs>
              <w:autoSpaceDE w:val="0"/>
              <w:autoSpaceDN w:val="0"/>
              <w:spacing w:line="276" w:lineRule="auto"/>
              <w:ind w:left="1205" w:hanging="1205" w:hangingChars="500"/>
              <w:rPr>
                <w:rFonts w:ascii="宋体" w:cs="宋体"/>
                <w:b/>
                <w:kern w:val="0"/>
                <w:sz w:val="24"/>
              </w:rPr>
            </w:pPr>
            <w:r>
              <w:rPr>
                <w:rFonts w:hint="eastAsia" w:ascii="宋体" w:hAnsi="宋体" w:cs="宋体"/>
                <w:b/>
                <w:kern w:val="0"/>
                <w:sz w:val="24"/>
              </w:rPr>
              <w:t>乙方名称：</w:t>
            </w:r>
          </w:p>
          <w:p>
            <w:pPr>
              <w:tabs>
                <w:tab w:val="left" w:pos="3544"/>
              </w:tabs>
              <w:autoSpaceDE w:val="0"/>
              <w:autoSpaceDN w:val="0"/>
              <w:spacing w:line="276" w:lineRule="auto"/>
              <w:ind w:left="1205" w:hanging="1205" w:hangingChars="500"/>
              <w:rPr>
                <w:rFonts w:ascii="宋体" w:hAnsi="宋体" w:cs="宋体"/>
                <w:sz w:val="24"/>
              </w:rPr>
            </w:pPr>
            <w:r>
              <w:rPr>
                <w:rFonts w:hint="eastAsia" w:ascii="宋体" w:hAnsi="宋体" w:cs="宋体"/>
                <w:b/>
                <w:sz w:val="24"/>
              </w:rPr>
              <w:t>乙方地址：</w:t>
            </w:r>
            <w:r>
              <w:rPr>
                <w:rFonts w:ascii="宋体" w:hAnsi="宋体" w:cs="宋体"/>
                <w:sz w:val="24"/>
              </w:rPr>
              <w:t xml:space="preserve"> </w:t>
            </w:r>
          </w:p>
          <w:p>
            <w:pPr>
              <w:tabs>
                <w:tab w:val="left" w:pos="3544"/>
              </w:tabs>
              <w:autoSpaceDE w:val="0"/>
              <w:autoSpaceDN w:val="0"/>
              <w:spacing w:line="276" w:lineRule="auto"/>
              <w:rPr>
                <w:rFonts w:ascii="宋体" w:cs="宋体"/>
                <w:b/>
                <w:sz w:val="24"/>
              </w:rPr>
            </w:pPr>
            <w:r>
              <w:rPr>
                <w:rFonts w:hint="eastAsia" w:ascii="宋体" w:hAnsi="宋体" w:cs="宋体"/>
                <w:b/>
                <w:sz w:val="24"/>
              </w:rPr>
              <w:t>电</w:t>
            </w:r>
            <w:r>
              <w:rPr>
                <w:rFonts w:ascii="宋体" w:hAnsi="宋体" w:cs="宋体"/>
                <w:b/>
                <w:sz w:val="24"/>
              </w:rPr>
              <w:t xml:space="preserve">    </w:t>
            </w:r>
            <w:r>
              <w:rPr>
                <w:rFonts w:hint="eastAsia" w:ascii="宋体" w:hAnsi="宋体" w:cs="宋体"/>
                <w:b/>
                <w:sz w:val="24"/>
              </w:rPr>
              <w:t>话：</w:t>
            </w:r>
          </w:p>
          <w:p>
            <w:pPr>
              <w:tabs>
                <w:tab w:val="left" w:pos="3544"/>
              </w:tabs>
              <w:autoSpaceDE w:val="0"/>
              <w:autoSpaceDN w:val="0"/>
              <w:spacing w:line="276" w:lineRule="auto"/>
              <w:rPr>
                <w:rFonts w:ascii="宋体" w:cs="宋体"/>
                <w:sz w:val="24"/>
              </w:rPr>
            </w:pPr>
            <w:r>
              <w:rPr>
                <w:rFonts w:hint="eastAsia" w:ascii="宋体" w:hAnsi="宋体" w:cs="宋体"/>
                <w:b/>
                <w:sz w:val="24"/>
              </w:rPr>
              <w:t>传</w:t>
            </w:r>
            <w:r>
              <w:rPr>
                <w:rFonts w:ascii="宋体" w:hAnsi="宋体" w:cs="宋体"/>
                <w:b/>
                <w:sz w:val="24"/>
              </w:rPr>
              <w:t xml:space="preserve">    </w:t>
            </w:r>
            <w:r>
              <w:rPr>
                <w:rFonts w:hint="eastAsia" w:ascii="宋体" w:hAnsi="宋体" w:cs="宋体"/>
                <w:b/>
                <w:sz w:val="24"/>
              </w:rPr>
              <w:t>真：</w:t>
            </w:r>
          </w:p>
          <w:p>
            <w:pPr>
              <w:tabs>
                <w:tab w:val="left" w:pos="3544"/>
              </w:tabs>
              <w:autoSpaceDE w:val="0"/>
              <w:autoSpaceDN w:val="0"/>
              <w:spacing w:line="276" w:lineRule="auto"/>
              <w:rPr>
                <w:rFonts w:ascii="宋体" w:cs="宋体"/>
                <w:sz w:val="24"/>
              </w:rPr>
            </w:pPr>
            <w:r>
              <w:rPr>
                <w:rFonts w:hint="eastAsia" w:ascii="宋体" w:hAnsi="宋体" w:cs="宋体"/>
                <w:b/>
                <w:sz w:val="24"/>
              </w:rPr>
              <w:t>邮</w:t>
            </w:r>
            <w:r>
              <w:rPr>
                <w:rFonts w:ascii="宋体" w:hAnsi="宋体" w:cs="宋体"/>
                <w:b/>
                <w:sz w:val="24"/>
              </w:rPr>
              <w:t xml:space="preserve">    </w:t>
            </w:r>
            <w:r>
              <w:rPr>
                <w:rFonts w:hint="eastAsia" w:ascii="宋体" w:hAnsi="宋体" w:cs="宋体"/>
                <w:b/>
                <w:sz w:val="24"/>
              </w:rPr>
              <w:t>编：</w:t>
            </w:r>
          </w:p>
          <w:p>
            <w:pPr>
              <w:tabs>
                <w:tab w:val="left" w:pos="3544"/>
              </w:tabs>
              <w:autoSpaceDE w:val="0"/>
              <w:autoSpaceDN w:val="0"/>
              <w:spacing w:line="276" w:lineRule="auto"/>
              <w:rPr>
                <w:rFonts w:ascii="宋体" w:cs="宋体"/>
                <w:b/>
                <w:sz w:val="24"/>
              </w:rPr>
            </w:pPr>
          </w:p>
          <w:p>
            <w:pPr>
              <w:tabs>
                <w:tab w:val="left" w:pos="3544"/>
              </w:tabs>
              <w:autoSpaceDE w:val="0"/>
              <w:autoSpaceDN w:val="0"/>
              <w:spacing w:line="276" w:lineRule="auto"/>
              <w:ind w:left="1181" w:hanging="1181" w:hangingChars="490"/>
              <w:rPr>
                <w:rFonts w:ascii="宋体" w:cs="宋体"/>
                <w:sz w:val="24"/>
              </w:rPr>
            </w:pPr>
            <w:r>
              <w:rPr>
                <w:rFonts w:hint="eastAsia" w:ascii="宋体" w:hAnsi="宋体" w:cs="宋体"/>
                <w:b/>
                <w:sz w:val="24"/>
              </w:rPr>
              <w:t>开户银行：</w:t>
            </w:r>
          </w:p>
          <w:p>
            <w:pPr>
              <w:tabs>
                <w:tab w:val="left" w:pos="3544"/>
              </w:tabs>
              <w:autoSpaceDE w:val="0"/>
              <w:autoSpaceDN w:val="0"/>
              <w:spacing w:line="276" w:lineRule="auto"/>
              <w:ind w:left="1181" w:hanging="1181" w:hangingChars="490"/>
              <w:rPr>
                <w:rFonts w:ascii="宋体" w:cs="宋体"/>
                <w:sz w:val="24"/>
              </w:rPr>
            </w:pPr>
            <w:r>
              <w:rPr>
                <w:rFonts w:hint="eastAsia" w:ascii="宋体" w:hAnsi="宋体" w:cs="宋体"/>
                <w:b/>
                <w:sz w:val="24"/>
              </w:rPr>
              <w:t>帐</w:t>
            </w:r>
            <w:r>
              <w:rPr>
                <w:rFonts w:ascii="宋体" w:hAnsi="宋体" w:cs="宋体"/>
                <w:b/>
                <w:sz w:val="24"/>
              </w:rPr>
              <w:t xml:space="preserve">    </w:t>
            </w:r>
            <w:r>
              <w:rPr>
                <w:rFonts w:hint="eastAsia" w:ascii="宋体" w:hAnsi="宋体" w:cs="宋体"/>
                <w:b/>
                <w:sz w:val="24"/>
              </w:rPr>
              <w:t>号：</w:t>
            </w:r>
          </w:p>
          <w:p>
            <w:pPr>
              <w:tabs>
                <w:tab w:val="left" w:pos="3544"/>
              </w:tabs>
              <w:autoSpaceDE w:val="0"/>
              <w:autoSpaceDN w:val="0"/>
              <w:spacing w:line="276" w:lineRule="auto"/>
              <w:ind w:left="1181" w:hanging="1181" w:hangingChars="490"/>
              <w:rPr>
                <w:rFonts w:ascii="宋体" w:cs="宋体"/>
                <w:b/>
                <w:kern w:val="0"/>
                <w:sz w:val="24"/>
              </w:rPr>
            </w:pPr>
          </w:p>
          <w:p>
            <w:pPr>
              <w:tabs>
                <w:tab w:val="left" w:pos="3544"/>
              </w:tabs>
              <w:autoSpaceDE w:val="0"/>
              <w:autoSpaceDN w:val="0"/>
              <w:spacing w:line="276" w:lineRule="auto"/>
              <w:ind w:left="1181" w:hanging="1181" w:hangingChars="490"/>
              <w:rPr>
                <w:rFonts w:ascii="宋体" w:cs="宋体"/>
                <w:b/>
                <w:kern w:val="0"/>
                <w:sz w:val="24"/>
              </w:rPr>
            </w:pPr>
          </w:p>
          <w:p>
            <w:pPr>
              <w:tabs>
                <w:tab w:val="left" w:pos="3544"/>
              </w:tabs>
              <w:autoSpaceDE w:val="0"/>
              <w:autoSpaceDN w:val="0"/>
              <w:spacing w:line="276" w:lineRule="auto"/>
              <w:rPr>
                <w:rFonts w:ascii="宋体" w:cs="宋体"/>
                <w:b/>
                <w:kern w:val="0"/>
                <w:sz w:val="24"/>
              </w:rPr>
            </w:pPr>
            <w:r>
              <w:rPr>
                <w:rFonts w:hint="eastAsia" w:ascii="宋体" w:hAnsi="宋体" w:cs="宋体"/>
                <w:b/>
                <w:kern w:val="0"/>
                <w:sz w:val="24"/>
              </w:rPr>
              <w:t>乙方代表签字：</w:t>
            </w:r>
          </w:p>
          <w:p>
            <w:pPr>
              <w:tabs>
                <w:tab w:val="left" w:pos="3544"/>
              </w:tabs>
              <w:spacing w:before="240" w:beforeLines="100" w:line="276" w:lineRule="auto"/>
              <w:rPr>
                <w:rFonts w:ascii="宋体" w:cs="宋体"/>
                <w:b/>
                <w:sz w:val="24"/>
              </w:rPr>
            </w:pPr>
            <w:r>
              <w:rPr>
                <w:rFonts w:hint="eastAsia" w:ascii="宋体" w:hAnsi="宋体" w:cs="宋体"/>
                <w:b/>
                <w:kern w:val="0"/>
                <w:sz w:val="24"/>
              </w:rPr>
              <w:t>乙方盖章：</w:t>
            </w:r>
          </w:p>
        </w:tc>
      </w:tr>
    </w:tbl>
    <w:p>
      <w:pPr>
        <w:tabs>
          <w:tab w:val="left" w:pos="3544"/>
        </w:tabs>
        <w:rPr>
          <w:rFonts w:ascii="宋体" w:cs="宋体"/>
        </w:rPr>
      </w:pPr>
    </w:p>
    <w:p>
      <w:pPr>
        <w:tabs>
          <w:tab w:val="left" w:pos="3544"/>
        </w:tabs>
        <w:jc w:val="center"/>
        <w:outlineLvl w:val="0"/>
        <w:rPr>
          <w:rFonts w:ascii="宋体" w:cs="宋体"/>
          <w:b/>
          <w:sz w:val="30"/>
          <w:szCs w:val="30"/>
        </w:rPr>
        <w:sectPr>
          <w:footerReference r:id="rId9" w:type="default"/>
          <w:pgSz w:w="11906" w:h="16838"/>
          <w:pgMar w:top="1440" w:right="1797" w:bottom="1440" w:left="1797" w:header="851" w:footer="992" w:gutter="0"/>
          <w:pgNumType w:start="1"/>
          <w:cols w:space="720" w:num="1"/>
          <w:docGrid w:linePitch="312" w:charSpace="0"/>
        </w:sectPr>
      </w:pPr>
    </w:p>
    <w:p>
      <w:pPr>
        <w:tabs>
          <w:tab w:val="left" w:pos="3544"/>
        </w:tabs>
        <w:jc w:val="center"/>
        <w:outlineLvl w:val="0"/>
        <w:rPr>
          <w:rFonts w:ascii="宋体" w:cs="宋体"/>
          <w:b/>
          <w:sz w:val="30"/>
          <w:szCs w:val="30"/>
        </w:rPr>
      </w:pPr>
      <w:bookmarkStart w:id="179" w:name="_Toc17944"/>
      <w:r>
        <w:rPr>
          <w:rFonts w:hint="eastAsia" w:ascii="宋体" w:hAnsi="宋体" w:cs="宋体"/>
          <w:b/>
          <w:sz w:val="30"/>
          <w:szCs w:val="30"/>
        </w:rPr>
        <w:t>第五部分</w:t>
      </w:r>
      <w:r>
        <w:rPr>
          <w:rFonts w:ascii="宋体" w:hAnsi="宋体" w:cs="宋体"/>
          <w:b/>
          <w:sz w:val="30"/>
          <w:szCs w:val="30"/>
        </w:rPr>
        <w:t xml:space="preserve"> </w:t>
      </w:r>
      <w:r>
        <w:rPr>
          <w:rFonts w:hint="eastAsia" w:ascii="宋体" w:hAnsi="宋体" w:cs="宋体"/>
          <w:b/>
          <w:sz w:val="30"/>
          <w:szCs w:val="30"/>
        </w:rPr>
        <w:t>拟签订合同通用条款</w:t>
      </w:r>
      <w:bookmarkEnd w:id="178"/>
      <w:bookmarkEnd w:id="179"/>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Pr>
        <w:tabs>
          <w:tab w:val="left" w:pos="3544"/>
        </w:tabs>
        <w:autoSpaceDE w:val="0"/>
        <w:autoSpaceDN w:val="0"/>
        <w:adjustRightInd w:val="0"/>
        <w:spacing w:line="360" w:lineRule="auto"/>
        <w:ind w:firstLine="482" w:firstLineChars="200"/>
        <w:rPr>
          <w:rFonts w:ascii="宋体" w:cs="宋体"/>
          <w:b/>
          <w:kern w:val="0"/>
          <w:sz w:val="24"/>
        </w:rPr>
      </w:pPr>
      <w:bookmarkStart w:id="180" w:name="_Toc489869024"/>
      <w:bookmarkStart w:id="181" w:name="_Toc489869362"/>
      <w:bookmarkStart w:id="182" w:name="_Toc490234303"/>
      <w:bookmarkStart w:id="183" w:name="_Toc493678944"/>
      <w:bookmarkStart w:id="184" w:name="_Toc493257953"/>
      <w:bookmarkStart w:id="185" w:name="_Toc489868890"/>
      <w:bookmarkStart w:id="186" w:name="_Toc490234588"/>
      <w:bookmarkStart w:id="187" w:name="_Toc490234475"/>
      <w:bookmarkStart w:id="188" w:name="_Toc489869748"/>
      <w:bookmarkStart w:id="189" w:name="_Toc490234577"/>
      <w:bookmarkStart w:id="190" w:name="_Toc489870024"/>
      <w:bookmarkStart w:id="191" w:name="_Toc490234247"/>
      <w:r>
        <w:rPr>
          <w:rFonts w:ascii="宋体" w:hAnsi="宋体" w:cs="宋体"/>
          <w:b/>
          <w:kern w:val="0"/>
          <w:sz w:val="24"/>
        </w:rPr>
        <w:t>1.</w:t>
      </w:r>
      <w:r>
        <w:rPr>
          <w:rFonts w:hint="eastAsia" w:ascii="宋体" w:hAnsi="宋体" w:cs="宋体"/>
          <w:b/>
          <w:kern w:val="0"/>
          <w:sz w:val="24"/>
        </w:rPr>
        <w:t>定义</w:t>
      </w:r>
    </w:p>
    <w:p>
      <w:pPr>
        <w:tabs>
          <w:tab w:val="left" w:pos="3544"/>
        </w:tabs>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rPr>
        <w:t>本合同下列术语应解释为：</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(1)</w:t>
      </w:r>
      <w:r>
        <w:rPr>
          <w:rFonts w:hint="eastAsia" w:ascii="宋体" w:hAnsi="宋体" w:cs="宋体"/>
          <w:kern w:val="0"/>
          <w:sz w:val="24"/>
        </w:rPr>
        <w:t>“合同”系指甲乙双方签署的、合同格式中载明的甲乙双方所达成的协议，包括所有的附件、附录和上述文件所提到的构成合同的所有文件。</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(2)</w:t>
      </w:r>
      <w:r>
        <w:rPr>
          <w:rFonts w:hint="eastAsia" w:ascii="宋体" w:hAnsi="宋体" w:cs="宋体"/>
          <w:kern w:val="0"/>
          <w:sz w:val="24"/>
        </w:rPr>
        <w:t>“合同价”系指根据合同规定乙方在正确地完全履行合同义务后甲方应支付给乙方的价格。</w:t>
      </w:r>
    </w:p>
    <w:p>
      <w:pPr>
        <w:tabs>
          <w:tab w:val="left" w:pos="3544"/>
        </w:tabs>
        <w:autoSpaceDE w:val="0"/>
        <w:autoSpaceDN w:val="0"/>
        <w:adjustRightInd w:val="0"/>
        <w:spacing w:line="360" w:lineRule="auto"/>
        <w:ind w:firstLine="480" w:firstLineChars="200"/>
        <w:rPr>
          <w:rFonts w:ascii="宋体" w:hAnsi="宋体" w:cs="宋体"/>
          <w:kern w:val="0"/>
          <w:sz w:val="24"/>
        </w:rPr>
      </w:pPr>
      <w:r>
        <w:rPr>
          <w:rFonts w:ascii="宋体" w:hAnsi="宋体" w:cs="宋体"/>
          <w:kern w:val="0"/>
          <w:sz w:val="24"/>
        </w:rPr>
        <w:t xml:space="preserve">(3) </w:t>
      </w:r>
      <w:r>
        <w:rPr>
          <w:rFonts w:hint="eastAsia" w:ascii="宋体" w:hAnsi="宋体" w:cs="宋体"/>
          <w:kern w:val="0"/>
          <w:sz w:val="24"/>
        </w:rPr>
        <w:t>“服务”系指根据合同规定乙方应承担本项目配送、运输、售后等服务，及乙方应承担的其它义务。</w:t>
      </w:r>
      <w:r>
        <w:rPr>
          <w:rFonts w:ascii="宋体" w:hAnsi="宋体" w:cs="宋体"/>
          <w:kern w:val="0"/>
          <w:sz w:val="24"/>
        </w:rPr>
        <w:t xml:space="preserve"> </w:t>
      </w:r>
    </w:p>
    <w:p>
      <w:pPr>
        <w:tabs>
          <w:tab w:val="left" w:pos="3544"/>
        </w:tabs>
        <w:autoSpaceDE w:val="0"/>
        <w:autoSpaceDN w:val="0"/>
        <w:adjustRightInd w:val="0"/>
        <w:spacing w:line="360" w:lineRule="auto"/>
        <w:ind w:firstLine="480" w:firstLineChars="200"/>
        <w:rPr>
          <w:rFonts w:ascii="宋体" w:cs="宋体"/>
          <w:sz w:val="24"/>
        </w:rPr>
      </w:pPr>
      <w:r>
        <w:rPr>
          <w:rFonts w:ascii="宋体" w:hAnsi="宋体" w:cs="宋体"/>
          <w:kern w:val="0"/>
          <w:sz w:val="24"/>
        </w:rPr>
        <w:t>(4)</w:t>
      </w:r>
      <w:r>
        <w:rPr>
          <w:rFonts w:hint="eastAsia" w:ascii="宋体" w:hAnsi="宋体" w:cs="宋体"/>
          <w:sz w:val="24"/>
        </w:rPr>
        <w:t>“货物”系指乙方根据合同规定须向甲方提供</w:t>
      </w:r>
      <w:r>
        <w:rPr>
          <w:rFonts w:hint="eastAsia" w:ascii="宋体" w:hAnsi="宋体" w:cs="宋体"/>
          <w:kern w:val="0"/>
          <w:sz w:val="24"/>
        </w:rPr>
        <w:t>本项目</w:t>
      </w:r>
      <w:r>
        <w:rPr>
          <w:rFonts w:hint="eastAsia" w:ascii="宋体" w:hAnsi="宋体" w:cs="宋体"/>
          <w:sz w:val="24"/>
        </w:rPr>
        <w:t>所需的一切产品、辅材等其它一切与本项目有关的货物。</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(5)</w:t>
      </w:r>
      <w:r>
        <w:rPr>
          <w:rFonts w:hint="eastAsia" w:ascii="宋体" w:hAnsi="宋体" w:cs="宋体"/>
          <w:kern w:val="0"/>
          <w:sz w:val="24"/>
        </w:rPr>
        <w:t>“服务地点”系指本合同项下工作场地。</w:t>
      </w:r>
    </w:p>
    <w:p>
      <w:pPr>
        <w:tabs>
          <w:tab w:val="left" w:pos="3544"/>
        </w:tabs>
        <w:autoSpaceDE w:val="0"/>
        <w:autoSpaceDN w:val="0"/>
        <w:adjustRightInd w:val="0"/>
        <w:spacing w:line="360" w:lineRule="auto"/>
        <w:ind w:firstLine="480" w:firstLineChars="200"/>
        <w:rPr>
          <w:rFonts w:ascii="宋体" w:cs="宋体"/>
          <w:kern w:val="0"/>
          <w:sz w:val="24"/>
        </w:rPr>
      </w:pPr>
      <w:r>
        <w:rPr>
          <w:rFonts w:ascii="宋体" w:hAnsi="宋体" w:cs="宋体"/>
          <w:kern w:val="0"/>
          <w:sz w:val="24"/>
        </w:rPr>
        <w:t>(6)</w:t>
      </w:r>
      <w:r>
        <w:rPr>
          <w:rFonts w:hint="eastAsia" w:ascii="宋体" w:hAnsi="宋体" w:cs="宋体"/>
          <w:kern w:val="0"/>
          <w:sz w:val="24"/>
        </w:rPr>
        <w:t>“天”指日历天数。</w:t>
      </w:r>
    </w:p>
    <w:p>
      <w:pPr>
        <w:tabs>
          <w:tab w:val="left" w:pos="3544"/>
        </w:tabs>
        <w:spacing w:line="360" w:lineRule="auto"/>
        <w:ind w:firstLine="482" w:firstLineChars="200"/>
        <w:rPr>
          <w:rFonts w:ascii="宋体" w:cs="宋体"/>
          <w:b/>
          <w:sz w:val="24"/>
        </w:rPr>
      </w:pPr>
      <w:r>
        <w:rPr>
          <w:rFonts w:ascii="宋体" w:hAnsi="宋体" w:cs="宋体"/>
          <w:b/>
          <w:sz w:val="24"/>
        </w:rPr>
        <w:t>2.</w:t>
      </w:r>
      <w:r>
        <w:rPr>
          <w:rFonts w:hint="eastAsia" w:ascii="宋体" w:hAnsi="宋体" w:cs="宋体"/>
          <w:b/>
          <w:sz w:val="24"/>
        </w:rPr>
        <w:t>适用性</w:t>
      </w:r>
    </w:p>
    <w:p>
      <w:pPr>
        <w:tabs>
          <w:tab w:val="left" w:pos="3544"/>
        </w:tabs>
        <w:spacing w:line="360" w:lineRule="auto"/>
        <w:ind w:firstLine="480" w:firstLineChars="200"/>
        <w:rPr>
          <w:rFonts w:ascii="宋体" w:cs="宋体"/>
          <w:sz w:val="24"/>
        </w:rPr>
      </w:pPr>
      <w:r>
        <w:rPr>
          <w:rFonts w:ascii="宋体" w:hAnsi="宋体" w:cs="宋体"/>
          <w:sz w:val="24"/>
        </w:rPr>
        <w:t xml:space="preserve">2.1 </w:t>
      </w:r>
      <w:r>
        <w:rPr>
          <w:rFonts w:hint="eastAsia" w:ascii="宋体" w:hAnsi="宋体" w:cs="宋体"/>
          <w:sz w:val="24"/>
        </w:rPr>
        <w:t>本合同条款适用于没有被本项目磋商文件规定条款、成交人磋商响应文件承诺条款所取代的范围。</w:t>
      </w:r>
    </w:p>
    <w:p>
      <w:pPr>
        <w:tabs>
          <w:tab w:val="left" w:pos="3544"/>
        </w:tabs>
        <w:spacing w:line="360" w:lineRule="auto"/>
        <w:ind w:firstLine="472" w:firstLineChars="196"/>
        <w:rPr>
          <w:rFonts w:ascii="宋体" w:cs="宋体"/>
          <w:b/>
          <w:kern w:val="0"/>
          <w:sz w:val="24"/>
        </w:rPr>
      </w:pPr>
      <w:r>
        <w:rPr>
          <w:rFonts w:ascii="宋体" w:hAnsi="宋体" w:cs="宋体"/>
          <w:b/>
          <w:kern w:val="0"/>
          <w:sz w:val="24"/>
        </w:rPr>
        <w:t>3.</w:t>
      </w:r>
      <w:r>
        <w:rPr>
          <w:rFonts w:hint="eastAsia" w:ascii="宋体" w:hAnsi="宋体" w:cs="宋体"/>
          <w:b/>
          <w:kern w:val="0"/>
          <w:sz w:val="24"/>
        </w:rPr>
        <w:t>标准</w:t>
      </w:r>
    </w:p>
    <w:p>
      <w:pPr>
        <w:tabs>
          <w:tab w:val="left" w:pos="3544"/>
        </w:tabs>
        <w:spacing w:line="360" w:lineRule="auto"/>
        <w:ind w:firstLine="480" w:firstLineChars="200"/>
        <w:rPr>
          <w:rFonts w:ascii="宋体" w:cs="宋体"/>
          <w:sz w:val="24"/>
        </w:rPr>
      </w:pPr>
      <w:r>
        <w:rPr>
          <w:rFonts w:ascii="宋体" w:hAnsi="宋体" w:cs="宋体"/>
          <w:sz w:val="24"/>
        </w:rPr>
        <w:t xml:space="preserve">3.1 </w:t>
      </w:r>
      <w:r>
        <w:rPr>
          <w:rFonts w:hint="eastAsia" w:ascii="宋体" w:hAnsi="宋体" w:cs="宋体"/>
          <w:sz w:val="24"/>
        </w:rPr>
        <w:t>本合同下提供的货物和服务应符合磋商文件的货物和服务技术要求及商务要求所述的标准。如果没有提及适用标准，则应符合中华人民共和国有关机构发布的最新版本的标准。</w:t>
      </w:r>
    </w:p>
    <w:p>
      <w:pPr>
        <w:tabs>
          <w:tab w:val="left" w:pos="3544"/>
        </w:tabs>
        <w:adjustRightInd w:val="0"/>
        <w:snapToGrid w:val="0"/>
        <w:spacing w:line="360" w:lineRule="auto"/>
        <w:ind w:firstLine="482" w:firstLineChars="200"/>
        <w:rPr>
          <w:rFonts w:ascii="宋体" w:hAnsi="宋体" w:cs="宋体"/>
          <w:b/>
          <w:sz w:val="24"/>
        </w:rPr>
      </w:pPr>
      <w:bookmarkStart w:id="192" w:name="_Toc167712842"/>
      <w:bookmarkStart w:id="193" w:name="_Toc167714040"/>
      <w:bookmarkStart w:id="194" w:name="_Toc167715237"/>
      <w:r>
        <w:rPr>
          <w:rFonts w:ascii="宋体" w:hAnsi="宋体" w:cs="宋体"/>
          <w:b/>
          <w:sz w:val="24"/>
        </w:rPr>
        <w:t xml:space="preserve">4. </w:t>
      </w:r>
      <w:bookmarkEnd w:id="192"/>
      <w:bookmarkEnd w:id="193"/>
      <w:bookmarkEnd w:id="194"/>
      <w:r>
        <w:rPr>
          <w:rFonts w:hint="eastAsia" w:ascii="宋体" w:hAnsi="宋体" w:cs="宋体"/>
          <w:b/>
          <w:sz w:val="24"/>
        </w:rPr>
        <w:t>质量保证</w:t>
      </w:r>
      <w:r>
        <w:rPr>
          <w:rFonts w:ascii="宋体" w:hAnsi="宋体" w:cs="宋体"/>
          <w:b/>
          <w:sz w:val="24"/>
        </w:rPr>
        <w:t xml:space="preserve"> </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4.1 </w:t>
      </w:r>
      <w:r>
        <w:rPr>
          <w:rFonts w:hint="eastAsia" w:ascii="宋体" w:hAnsi="宋体" w:cs="宋体"/>
          <w:sz w:val="24"/>
          <w:szCs w:val="24"/>
        </w:rPr>
        <w:t>甲方负责提供服务时所需的场所。</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4.2 </w:t>
      </w:r>
      <w:r>
        <w:rPr>
          <w:rFonts w:hint="eastAsia" w:ascii="宋体" w:hAnsi="宋体" w:cs="宋体"/>
          <w:sz w:val="24"/>
          <w:szCs w:val="24"/>
        </w:rPr>
        <w:t>甲方有权对乙方进行各种监督，如乙方未达到货物和服务质量标准，甲方有权进行适量赔偿或终止合同。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4.3</w:t>
      </w:r>
      <w:r>
        <w:rPr>
          <w:rFonts w:hint="eastAsia" w:ascii="宋体" w:hAnsi="宋体" w:cs="宋体"/>
          <w:sz w:val="24"/>
          <w:szCs w:val="24"/>
        </w:rPr>
        <w:t>在交货期内，甲方会根据国家相关法律法规、行业规范、内部规章制度及合同，对乙方的人员在重要时间的履约情况进行监督，并不定期进行考核。</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 xml:space="preserve">4.4 </w:t>
      </w:r>
      <w:r>
        <w:rPr>
          <w:rFonts w:hint="eastAsia" w:ascii="宋体" w:hAnsi="宋体" w:cs="宋体"/>
          <w:sz w:val="24"/>
          <w:szCs w:val="24"/>
        </w:rPr>
        <w:t>甲方负责收集整理各方面对本项目工作的意见和建议，乙方应对提出问题进行整改，乙方落实不到位的，甲方可无条件解除合同。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4.5</w:t>
      </w:r>
      <w:r>
        <w:rPr>
          <w:rFonts w:hint="eastAsia" w:ascii="宋体" w:hAnsi="宋体" w:cs="宋体"/>
          <w:sz w:val="24"/>
          <w:szCs w:val="24"/>
        </w:rPr>
        <w:t>甲方如遇政策性调整或其他特殊原因，直至有可能解除承包合同的情况下，可提前书面告知乙方，按照已发生实际费用结算，甲方不承担其他违约责任，即可终止合同。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4.6</w:t>
      </w:r>
      <w:r>
        <w:rPr>
          <w:rFonts w:hint="eastAsia" w:ascii="宋体" w:hAnsi="宋体" w:cs="宋体"/>
          <w:sz w:val="24"/>
          <w:szCs w:val="24"/>
        </w:rPr>
        <w:t>乙方在项目执行过程中，应严格遵守中华人民共和国的现行法律法规，及乙方和甲方内部的相关管理制度，并应保障制度的有效执行。</w:t>
      </w:r>
    </w:p>
    <w:p>
      <w:pPr>
        <w:pStyle w:val="21"/>
        <w:tabs>
          <w:tab w:val="left" w:pos="3544"/>
        </w:tabs>
        <w:adjustRightInd w:val="0"/>
        <w:snapToGrid w:val="0"/>
        <w:spacing w:line="360" w:lineRule="auto"/>
        <w:ind w:firstLine="480" w:firstLineChars="200"/>
        <w:rPr>
          <w:rFonts w:ascii="宋体" w:cs="宋体"/>
          <w:sz w:val="24"/>
          <w:szCs w:val="24"/>
        </w:rPr>
      </w:pPr>
      <w:r>
        <w:rPr>
          <w:rFonts w:ascii="宋体" w:hAnsi="宋体" w:cs="宋体"/>
          <w:sz w:val="24"/>
          <w:szCs w:val="24"/>
        </w:rPr>
        <w:t>4.7</w:t>
      </w:r>
      <w:r>
        <w:rPr>
          <w:rFonts w:hint="eastAsia" w:ascii="宋体" w:hAnsi="宋体" w:cs="宋体"/>
          <w:sz w:val="24"/>
          <w:szCs w:val="24"/>
        </w:rPr>
        <w:t>乙方派驻的实施人员在项目执行过程中，因特殊原因无法继续完成本项目的，在征得甲方的同意后，由乙方及时将人员予以调配，保证工作的正常进行。新替换人员应根据相关规定做好人员备案工作。</w:t>
      </w:r>
    </w:p>
    <w:p>
      <w:pPr>
        <w:tabs>
          <w:tab w:val="left" w:pos="3544"/>
        </w:tabs>
        <w:spacing w:line="360" w:lineRule="auto"/>
        <w:ind w:firstLine="480" w:firstLineChars="200"/>
        <w:rPr>
          <w:rFonts w:ascii="宋体" w:cs="宋体"/>
          <w:sz w:val="24"/>
        </w:rPr>
      </w:pPr>
      <w:r>
        <w:rPr>
          <w:rFonts w:ascii="宋体" w:hAnsi="宋体" w:cs="宋体"/>
          <w:sz w:val="24"/>
        </w:rPr>
        <w:t>4.8</w:t>
      </w:r>
      <w:r>
        <w:rPr>
          <w:rFonts w:hint="eastAsia" w:ascii="宋体" w:hAnsi="宋体" w:cs="宋体"/>
          <w:sz w:val="24"/>
        </w:rPr>
        <w:t>项目执行过程中，乙方派出人员发生的任何意外伤害，均由乙方承担全部责任和赔偿。</w:t>
      </w:r>
    </w:p>
    <w:p>
      <w:pPr>
        <w:tabs>
          <w:tab w:val="left" w:pos="3544"/>
        </w:tabs>
        <w:spacing w:line="360" w:lineRule="auto"/>
        <w:ind w:firstLine="480" w:firstLineChars="200"/>
        <w:rPr>
          <w:rFonts w:ascii="宋体" w:cs="宋体"/>
          <w:sz w:val="24"/>
        </w:rPr>
      </w:pPr>
      <w:r>
        <w:rPr>
          <w:rFonts w:ascii="宋体" w:hAnsi="宋体" w:cs="宋体"/>
          <w:sz w:val="24"/>
        </w:rPr>
        <w:t>4.9</w:t>
      </w:r>
      <w:r>
        <w:rPr>
          <w:rFonts w:hint="eastAsia" w:ascii="宋体" w:hAnsi="宋体" w:cs="宋体"/>
          <w:sz w:val="24"/>
        </w:rPr>
        <w:t>项目执行过程中，乙方必须要按照甲方要求对于突发事件提供应急服务和保障。</w:t>
      </w:r>
    </w:p>
    <w:p>
      <w:pPr>
        <w:tabs>
          <w:tab w:val="left" w:pos="3544"/>
        </w:tabs>
        <w:spacing w:line="360" w:lineRule="auto"/>
        <w:ind w:firstLine="480" w:firstLineChars="200"/>
        <w:rPr>
          <w:rFonts w:ascii="宋体" w:cs="宋体"/>
          <w:sz w:val="24"/>
        </w:rPr>
      </w:pPr>
      <w:r>
        <w:rPr>
          <w:rFonts w:ascii="宋体" w:hAnsi="宋体" w:cs="宋体"/>
          <w:sz w:val="24"/>
        </w:rPr>
        <w:t>4.10</w:t>
      </w:r>
      <w:r>
        <w:rPr>
          <w:rFonts w:hint="eastAsia" w:ascii="宋体" w:hAnsi="宋体" w:cs="宋体"/>
          <w:sz w:val="24"/>
        </w:rPr>
        <w:t>乙方除因特殊情况外，造成实施场地设备设施的损坏、丢失，甲方有权要求乙方进行适当赔偿。</w:t>
      </w:r>
    </w:p>
    <w:p>
      <w:pPr>
        <w:tabs>
          <w:tab w:val="left" w:pos="3544"/>
        </w:tabs>
        <w:autoSpaceDN w:val="0"/>
        <w:spacing w:line="360" w:lineRule="auto"/>
        <w:rPr>
          <w:rFonts w:ascii="宋体" w:cs="宋体"/>
          <w:b/>
          <w:kern w:val="0"/>
          <w:sz w:val="24"/>
        </w:rPr>
      </w:pPr>
      <w:r>
        <w:rPr>
          <w:rFonts w:ascii="宋体" w:hAnsi="宋体" w:cs="宋体"/>
          <w:b/>
          <w:kern w:val="0"/>
          <w:sz w:val="24"/>
        </w:rPr>
        <w:t xml:space="preserve">    5.</w:t>
      </w:r>
      <w:r>
        <w:rPr>
          <w:rFonts w:hint="eastAsia" w:ascii="宋体" w:hAnsi="宋体" w:cs="宋体"/>
          <w:b/>
          <w:kern w:val="0"/>
          <w:sz w:val="24"/>
        </w:rPr>
        <w:t>索赔</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5.1 </w:t>
      </w:r>
      <w:r>
        <w:rPr>
          <w:rFonts w:hint="eastAsia" w:ascii="宋体" w:hAnsi="宋体" w:cs="宋体"/>
          <w:kern w:val="0"/>
          <w:sz w:val="24"/>
        </w:rPr>
        <w:t>如果乙方对偏差负有责任，而甲方在一个月内提出了索赔，乙方应按照甲方同意的下列一种或几种方式结合起来解决索赔事宜：</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⑴</w:t>
      </w:r>
      <w:r>
        <w:rPr>
          <w:rFonts w:ascii="宋体" w:hAnsi="宋体" w:cs="宋体"/>
          <w:kern w:val="0"/>
          <w:sz w:val="24"/>
        </w:rPr>
        <w:t xml:space="preserve"> </w:t>
      </w:r>
      <w:r>
        <w:rPr>
          <w:rFonts w:hint="eastAsia" w:ascii="宋体" w:hAnsi="宋体" w:cs="宋体"/>
          <w:kern w:val="0"/>
          <w:sz w:val="24"/>
        </w:rPr>
        <w:t>乙方同意用合同规定的货币将合同款退还给甲方，并承担由此发生的一切损失和费用，包括利息、银行手续费等其它必要费用。</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w:t>
      </w:r>
      <w:r>
        <w:rPr>
          <w:rFonts w:ascii="宋体" w:hAnsi="宋体" w:cs="宋体"/>
          <w:kern w:val="0"/>
          <w:sz w:val="24"/>
        </w:rPr>
        <w:t xml:space="preserve"> </w:t>
      </w:r>
      <w:r>
        <w:rPr>
          <w:rFonts w:hint="eastAsia" w:ascii="宋体" w:hAnsi="宋体" w:cs="宋体"/>
          <w:kern w:val="0"/>
          <w:sz w:val="24"/>
        </w:rPr>
        <w:t>根据货物和服务的偏差情况、以及甲方所遭受损失的金额，经甲乙双方商定降低服务价格。</w:t>
      </w:r>
    </w:p>
    <w:p>
      <w:pPr>
        <w:tabs>
          <w:tab w:val="left" w:pos="3544"/>
        </w:tabs>
        <w:autoSpaceDN w:val="0"/>
        <w:spacing w:line="360" w:lineRule="auto"/>
        <w:ind w:firstLine="480" w:firstLineChars="200"/>
        <w:rPr>
          <w:rFonts w:ascii="宋体" w:cs="宋体"/>
          <w:b/>
          <w:kern w:val="0"/>
          <w:sz w:val="24"/>
        </w:rPr>
      </w:pPr>
      <w:r>
        <w:rPr>
          <w:rFonts w:ascii="宋体" w:hAnsi="宋体" w:cs="宋体"/>
          <w:kern w:val="0"/>
          <w:sz w:val="24"/>
        </w:rPr>
        <w:t xml:space="preserve">5.2 </w:t>
      </w:r>
      <w:r>
        <w:rPr>
          <w:rFonts w:hint="eastAsia" w:ascii="宋体" w:hAnsi="宋体" w:cs="宋体"/>
          <w:kern w:val="0"/>
          <w:sz w:val="24"/>
        </w:rPr>
        <w:t>如果在甲方发出索赔通知后三十（</w:t>
      </w:r>
      <w:r>
        <w:rPr>
          <w:rFonts w:ascii="宋体" w:hAnsi="宋体" w:cs="宋体"/>
          <w:kern w:val="0"/>
          <w:sz w:val="24"/>
        </w:rPr>
        <w:t>30</w:t>
      </w:r>
      <w:r>
        <w:rPr>
          <w:rFonts w:hint="eastAsia" w:ascii="宋体" w:hAnsi="宋体" w:cs="宋体"/>
          <w:kern w:val="0"/>
          <w:sz w:val="24"/>
        </w:rPr>
        <w:t>）天内，乙方未作答复，上述索赔应视为已被乙方接受。如乙方未能在甲方发出索赔通知后三十（</w:t>
      </w:r>
      <w:r>
        <w:rPr>
          <w:rFonts w:ascii="宋体" w:hAnsi="宋体" w:cs="宋体"/>
          <w:kern w:val="0"/>
          <w:sz w:val="24"/>
        </w:rPr>
        <w:t>30</w:t>
      </w:r>
      <w:r>
        <w:rPr>
          <w:rFonts w:hint="eastAsia" w:ascii="宋体" w:hAnsi="宋体" w:cs="宋体"/>
          <w:kern w:val="0"/>
          <w:sz w:val="24"/>
        </w:rPr>
        <w:t>）天内或甲方同意的延长期限内，按照甲方同意的上述规定的任何一种方法解决索赔事宜，甲方将从未付款项中扣回索赔金额。若索赔金额超过未付款项的，乙方必须进行弥补。</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6.</w:t>
      </w:r>
      <w:r>
        <w:rPr>
          <w:rFonts w:hint="eastAsia" w:ascii="宋体" w:hAnsi="宋体" w:cs="宋体"/>
          <w:b/>
          <w:kern w:val="0"/>
          <w:sz w:val="24"/>
        </w:rPr>
        <w:t>款项结算</w:t>
      </w:r>
    </w:p>
    <w:p>
      <w:pPr>
        <w:pStyle w:val="21"/>
        <w:tabs>
          <w:tab w:val="left" w:pos="3544"/>
        </w:tabs>
        <w:adjustRightInd w:val="0"/>
        <w:snapToGrid w:val="0"/>
        <w:spacing w:line="360" w:lineRule="auto"/>
        <w:ind w:firstLine="480" w:firstLineChars="200"/>
        <w:rPr>
          <w:rFonts w:ascii="宋体" w:cs="宋体"/>
          <w:sz w:val="24"/>
          <w:szCs w:val="24"/>
        </w:rPr>
      </w:pPr>
      <w:r>
        <w:rPr>
          <w:rFonts w:hint="eastAsia" w:ascii="宋体" w:hAnsi="宋体" w:cs="宋体"/>
          <w:sz w:val="24"/>
          <w:szCs w:val="24"/>
        </w:rPr>
        <w:t>按磋商文件第三部分相关内容执行。</w:t>
      </w:r>
    </w:p>
    <w:p>
      <w:pPr>
        <w:tabs>
          <w:tab w:val="left" w:pos="3544"/>
          <w:tab w:val="left" w:pos="3600"/>
        </w:tabs>
        <w:autoSpaceDN w:val="0"/>
        <w:spacing w:line="360" w:lineRule="auto"/>
        <w:ind w:left="359" w:leftChars="171" w:firstLine="120" w:firstLineChars="50"/>
        <w:rPr>
          <w:rFonts w:ascii="宋体" w:cs="宋体"/>
          <w:b/>
          <w:kern w:val="0"/>
          <w:sz w:val="24"/>
        </w:rPr>
      </w:pPr>
      <w:r>
        <w:rPr>
          <w:rFonts w:ascii="宋体" w:hAnsi="宋体" w:cs="宋体"/>
          <w:b/>
          <w:kern w:val="0"/>
          <w:sz w:val="24"/>
        </w:rPr>
        <w:t>7.</w:t>
      </w:r>
      <w:r>
        <w:rPr>
          <w:rFonts w:hint="eastAsia" w:ascii="宋体" w:hAnsi="宋体" w:cs="宋体"/>
          <w:b/>
          <w:kern w:val="0"/>
          <w:sz w:val="24"/>
        </w:rPr>
        <w:t>转让</w:t>
      </w:r>
      <w:r>
        <w:rPr>
          <w:rFonts w:ascii="宋体" w:cs="宋体"/>
          <w:b/>
          <w:kern w:val="0"/>
          <w:sz w:val="24"/>
        </w:rPr>
        <w:tab/>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7.1 </w:t>
      </w:r>
      <w:r>
        <w:rPr>
          <w:rFonts w:hint="eastAsia" w:ascii="宋体" w:hAnsi="宋体" w:cs="宋体"/>
          <w:kern w:val="0"/>
          <w:sz w:val="24"/>
        </w:rPr>
        <w:t>未经甲方事先书面同意，乙方不得部分转让或全部转让其应履行的合同义务。</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8.</w:t>
      </w:r>
      <w:r>
        <w:rPr>
          <w:rFonts w:hint="eastAsia" w:ascii="宋体" w:hAnsi="宋体" w:cs="宋体"/>
          <w:b/>
          <w:kern w:val="0"/>
          <w:sz w:val="24"/>
        </w:rPr>
        <w:t>乙方履约延误</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8.1 </w:t>
      </w:r>
      <w:r>
        <w:rPr>
          <w:rFonts w:hint="eastAsia" w:ascii="宋体" w:hAnsi="宋体" w:cs="宋体"/>
          <w:kern w:val="0"/>
          <w:sz w:val="24"/>
        </w:rPr>
        <w:t>乙方应按照本项目磋商文件中规定的期限内提供服务。</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8.2 </w:t>
      </w:r>
      <w:r>
        <w:rPr>
          <w:rFonts w:hint="eastAsia" w:ascii="宋体" w:hAnsi="宋体" w:cs="宋体"/>
          <w:kern w:val="0"/>
          <w:sz w:val="24"/>
        </w:rPr>
        <w:t>在履行合同过程中，如果乙方遇到妨碍提供货物或服务的情况时，应及时以书面形式将拖延的事实、可能拖延的时间和原因通知甲方。甲方在收到乙方通知后，应尽快对情况进行评价，并确定是否同意，以及是否收取误期赔偿费。延期应通过修改合同的方式由双方认可。</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9.</w:t>
      </w:r>
      <w:r>
        <w:rPr>
          <w:rFonts w:hint="eastAsia" w:ascii="宋体" w:hAnsi="宋体" w:cs="宋体"/>
          <w:b/>
          <w:kern w:val="0"/>
          <w:sz w:val="24"/>
        </w:rPr>
        <w:t>违约终止合同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9.1 </w:t>
      </w:r>
      <w:r>
        <w:rPr>
          <w:rFonts w:hint="eastAsia" w:ascii="宋体" w:hAnsi="宋体" w:cs="宋体"/>
          <w:kern w:val="0"/>
          <w:sz w:val="24"/>
        </w:rPr>
        <w:t>在甲方对乙方违约而采取的任何补救措施不受影响的情况下，甲方可向乙方发出书面违约通知书，提出终止部分或全部合同：</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⑴</w:t>
      </w:r>
      <w:r>
        <w:rPr>
          <w:rFonts w:ascii="宋体" w:hAnsi="宋体" w:cs="宋体"/>
          <w:kern w:val="0"/>
          <w:sz w:val="24"/>
        </w:rPr>
        <w:t xml:space="preserve"> </w:t>
      </w:r>
      <w:r>
        <w:rPr>
          <w:rFonts w:hint="eastAsia" w:ascii="宋体" w:hAnsi="宋体" w:cs="宋体"/>
          <w:kern w:val="0"/>
          <w:sz w:val="24"/>
        </w:rPr>
        <w:t>如果乙方未能在合同规定的期限内或甲方根据合同条款第</w:t>
      </w:r>
      <w:r>
        <w:rPr>
          <w:rFonts w:ascii="宋体" w:hAnsi="宋体" w:cs="宋体"/>
          <w:kern w:val="0"/>
          <w:sz w:val="24"/>
        </w:rPr>
        <w:t>8.2</w:t>
      </w:r>
      <w:r>
        <w:rPr>
          <w:rFonts w:hint="eastAsia" w:ascii="宋体" w:hAnsi="宋体" w:cs="宋体"/>
          <w:kern w:val="0"/>
          <w:sz w:val="24"/>
        </w:rPr>
        <w:t>条的规定同意延长的期限内提供货物和服务</w:t>
      </w:r>
      <w:r>
        <w:rPr>
          <w:rFonts w:hint="eastAsia" w:ascii="宋体" w:hAnsi="宋体" w:cs="宋体"/>
          <w:sz w:val="24"/>
        </w:rPr>
        <w:t>。</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w:t>
      </w:r>
      <w:r>
        <w:rPr>
          <w:rFonts w:ascii="宋体" w:hAnsi="宋体" w:cs="宋体"/>
          <w:kern w:val="0"/>
          <w:sz w:val="24"/>
        </w:rPr>
        <w:t xml:space="preserve"> </w:t>
      </w:r>
      <w:r>
        <w:rPr>
          <w:rFonts w:hint="eastAsia" w:ascii="宋体" w:hAnsi="宋体" w:cs="宋体"/>
          <w:kern w:val="0"/>
          <w:sz w:val="24"/>
        </w:rPr>
        <w:t>如果乙方未能履行合同规定的其它任何义务。</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⑶</w:t>
      </w:r>
      <w:r>
        <w:rPr>
          <w:rFonts w:ascii="宋体" w:hAnsi="宋体" w:cs="宋体"/>
          <w:kern w:val="0"/>
          <w:sz w:val="24"/>
        </w:rPr>
        <w:t xml:space="preserve"> </w:t>
      </w:r>
      <w:r>
        <w:rPr>
          <w:rFonts w:hint="eastAsia" w:ascii="宋体" w:hAnsi="宋体" w:cs="宋体"/>
          <w:kern w:val="0"/>
          <w:sz w:val="24"/>
        </w:rPr>
        <w:t>如果甲方认为乙方在本合同的竞争和实施过程中有腐败和欺诈行为。为此目的，定义下述条件：</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“腐败行为”是指提供、给予、接受或索取任何有价值的物品来影响甲方在采购过程或合同实施过程中的行为。</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“欺诈行为”是指为了影响采购过程或合同实施过程而谎报或隐瞒事实，损害甲方利益的行为。</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9.2 </w:t>
      </w:r>
      <w:r>
        <w:rPr>
          <w:rFonts w:hint="eastAsia" w:ascii="宋体" w:hAnsi="宋体" w:cs="宋体"/>
          <w:kern w:val="0"/>
          <w:sz w:val="24"/>
        </w:rPr>
        <w:t>如果甲方根据上述第</w:t>
      </w:r>
      <w:r>
        <w:rPr>
          <w:rFonts w:ascii="宋体" w:hAnsi="宋体" w:cs="宋体"/>
          <w:kern w:val="0"/>
          <w:sz w:val="24"/>
        </w:rPr>
        <w:t>9.1</w:t>
      </w:r>
      <w:r>
        <w:rPr>
          <w:rFonts w:hint="eastAsia" w:ascii="宋体" w:hAnsi="宋体" w:cs="宋体"/>
          <w:kern w:val="0"/>
          <w:sz w:val="24"/>
        </w:rPr>
        <w:t>条的规定，终止了全部或部分合同，甲方可以依其认为适当的条件和方法购买类似的货物或服务，乙方应承担甲方因购买类似服务而产生的额外支出。但是，乙方应继续执行合同中未终止的部分。</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10.</w:t>
      </w:r>
      <w:r>
        <w:rPr>
          <w:rFonts w:hint="eastAsia" w:ascii="宋体" w:hAnsi="宋体" w:cs="宋体"/>
          <w:b/>
          <w:kern w:val="0"/>
          <w:sz w:val="24"/>
        </w:rPr>
        <w:t>不可抗力</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10.1 </w:t>
      </w:r>
      <w:r>
        <w:rPr>
          <w:rFonts w:hint="eastAsia" w:ascii="宋体" w:hAnsi="宋体" w:cs="宋体"/>
          <w:kern w:val="0"/>
          <w:sz w:val="24"/>
        </w:rPr>
        <w:t>签约双方任何一方由于不可抗力事件的影响而不能执行合同时，履行合同的期限应予延长，其延长的期限应相当于事件所影响的时间。不可抗力事件系指甲乙双方在缔结合同时所不能预见的，并且它的发生及其后果是无法避免和无法克服的事件，诸如战争、严重火灾、洪水、台风、地震等。</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10.2 </w:t>
      </w:r>
      <w:r>
        <w:rPr>
          <w:rFonts w:hint="eastAsia" w:ascii="宋体" w:hAnsi="宋体" w:cs="宋体"/>
          <w:kern w:val="0"/>
          <w:sz w:val="24"/>
        </w:rPr>
        <w:t>受影响一方应在不可抗力事件发生后尽快用书面形式通知对方，并于不可抗力事件发生后十四（</w:t>
      </w:r>
      <w:r>
        <w:rPr>
          <w:rFonts w:ascii="宋体" w:hAnsi="宋体" w:cs="宋体"/>
          <w:kern w:val="0"/>
          <w:sz w:val="24"/>
        </w:rPr>
        <w:t>14</w:t>
      </w:r>
      <w:r>
        <w:rPr>
          <w:rFonts w:hint="eastAsia" w:ascii="宋体" w:hAnsi="宋体" w:cs="宋体"/>
          <w:kern w:val="0"/>
          <w:sz w:val="24"/>
        </w:rPr>
        <w:t>）天内将有关当局出具的证明文件用特快专递或挂号信寄给对方审阅确认。一旦不可抗力事件的影响持续一百二十天（</w:t>
      </w:r>
      <w:r>
        <w:rPr>
          <w:rFonts w:ascii="宋体" w:hAnsi="宋体" w:cs="宋体"/>
          <w:kern w:val="0"/>
          <w:sz w:val="24"/>
        </w:rPr>
        <w:t>120</w:t>
      </w:r>
      <w:r>
        <w:rPr>
          <w:rFonts w:hint="eastAsia" w:ascii="宋体" w:hAnsi="宋体" w:cs="宋体"/>
          <w:kern w:val="0"/>
          <w:sz w:val="24"/>
        </w:rPr>
        <w:t>）天以上，双方应通过友好协商在合理的时间内达成进一步履行合同的协议。</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10.3 </w:t>
      </w:r>
      <w:r>
        <w:rPr>
          <w:rFonts w:hint="eastAsia" w:ascii="宋体" w:hAnsi="宋体" w:cs="宋体"/>
          <w:kern w:val="0"/>
          <w:sz w:val="24"/>
        </w:rPr>
        <w:t>因合同一方迟延履行合同后发生不可抗力的，不能免除迟延履行方的相应责任。</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11.</w:t>
      </w:r>
      <w:r>
        <w:rPr>
          <w:rFonts w:hint="eastAsia" w:ascii="宋体" w:hAnsi="宋体" w:cs="宋体"/>
          <w:b/>
          <w:kern w:val="0"/>
          <w:sz w:val="24"/>
        </w:rPr>
        <w:t>因破产而终止合同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11.1 </w:t>
      </w:r>
      <w:r>
        <w:rPr>
          <w:rFonts w:hint="eastAsia" w:ascii="宋体" w:hAnsi="宋体" w:cs="宋体"/>
          <w:kern w:val="0"/>
          <w:sz w:val="24"/>
        </w:rPr>
        <w:t>如果乙方破产或无清偿能力，甲方可在任何时候以书面形式通知乙方，提出终止合同而不给乙方补偿。该合同的终止将不损害或影响甲方已经采取或将要采取的任何行动或补救措施的权力。</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12.</w:t>
      </w:r>
      <w:r>
        <w:rPr>
          <w:rFonts w:hint="eastAsia" w:ascii="宋体" w:hAnsi="宋体" w:cs="宋体"/>
          <w:b/>
          <w:kern w:val="0"/>
          <w:sz w:val="24"/>
        </w:rPr>
        <w:t>因甲方的便利而终止合同</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12.1 </w:t>
      </w:r>
      <w:r>
        <w:rPr>
          <w:rFonts w:hint="eastAsia" w:ascii="宋体" w:hAnsi="宋体" w:cs="宋体"/>
          <w:kern w:val="0"/>
          <w:sz w:val="24"/>
        </w:rPr>
        <w:t>甲方可在任何时候出于自身的便利向乙方发出书面通知全部或部分终止合同，终止通知应明确该终止合同是出于甲方的便利，并明确合同终止的程度，以及终止的生效日期。</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12.2 </w:t>
      </w:r>
      <w:r>
        <w:rPr>
          <w:rFonts w:hint="eastAsia" w:ascii="宋体" w:hAnsi="宋体" w:cs="宋体"/>
          <w:kern w:val="0"/>
          <w:sz w:val="24"/>
        </w:rPr>
        <w:t>对乙方收到终止通知后三十（</w:t>
      </w:r>
      <w:r>
        <w:rPr>
          <w:rFonts w:ascii="宋体" w:hAnsi="宋体" w:cs="宋体"/>
          <w:kern w:val="0"/>
          <w:sz w:val="24"/>
        </w:rPr>
        <w:t>30</w:t>
      </w:r>
      <w:r>
        <w:rPr>
          <w:rFonts w:hint="eastAsia" w:ascii="宋体" w:hAnsi="宋体" w:cs="宋体"/>
          <w:kern w:val="0"/>
          <w:sz w:val="24"/>
        </w:rPr>
        <w:t>）天内完成的服务，甲方应按原合同价格和条款予以接收，对于剩下的服务，甲方可：</w:t>
      </w:r>
    </w:p>
    <w:p>
      <w:pPr>
        <w:tabs>
          <w:tab w:val="left" w:pos="3544"/>
        </w:tabs>
        <w:autoSpaceDN w:val="0"/>
        <w:spacing w:line="360" w:lineRule="auto"/>
        <w:ind w:firstLine="480" w:firstLineChars="200"/>
        <w:rPr>
          <w:rFonts w:ascii="宋体" w:hAnsi="宋体" w:cs="宋体"/>
          <w:kern w:val="0"/>
          <w:sz w:val="24"/>
        </w:rPr>
      </w:pPr>
      <w:r>
        <w:rPr>
          <w:rFonts w:hint="eastAsia" w:ascii="宋体" w:hAnsi="宋体" w:cs="宋体"/>
          <w:kern w:val="0"/>
          <w:sz w:val="24"/>
        </w:rPr>
        <w:t>⑴</w:t>
      </w:r>
      <w:r>
        <w:rPr>
          <w:rFonts w:ascii="宋体" w:hAnsi="宋体" w:cs="宋体"/>
          <w:kern w:val="0"/>
          <w:sz w:val="24"/>
        </w:rPr>
        <w:t xml:space="preserve"> </w:t>
      </w:r>
      <w:r>
        <w:rPr>
          <w:rFonts w:hint="eastAsia" w:ascii="宋体" w:hAnsi="宋体" w:cs="宋体"/>
          <w:kern w:val="0"/>
          <w:sz w:val="24"/>
        </w:rPr>
        <w:t>仅对部分服务按照原来的合同价格和条款予以接受；</w:t>
      </w:r>
      <w:r>
        <w:rPr>
          <w:rFonts w:ascii="宋体" w:hAnsi="宋体" w:cs="宋体"/>
          <w:kern w:val="0"/>
          <w:sz w:val="24"/>
        </w:rPr>
        <w:t xml:space="preserve"> </w:t>
      </w:r>
    </w:p>
    <w:p>
      <w:pPr>
        <w:tabs>
          <w:tab w:val="left" w:pos="3544"/>
        </w:tabs>
        <w:autoSpaceDN w:val="0"/>
        <w:spacing w:line="360" w:lineRule="auto"/>
        <w:ind w:firstLine="480" w:firstLineChars="200"/>
        <w:rPr>
          <w:rFonts w:ascii="宋体" w:cs="宋体"/>
          <w:kern w:val="0"/>
          <w:sz w:val="24"/>
        </w:rPr>
      </w:pPr>
      <w:r>
        <w:rPr>
          <w:rFonts w:hint="eastAsia" w:ascii="宋体" w:hAnsi="宋体" w:cs="宋体"/>
          <w:kern w:val="0"/>
          <w:sz w:val="24"/>
        </w:rPr>
        <w:t>⑵</w:t>
      </w:r>
      <w:r>
        <w:rPr>
          <w:rFonts w:ascii="宋体" w:hAnsi="宋体" w:cs="宋体"/>
          <w:kern w:val="0"/>
          <w:sz w:val="24"/>
        </w:rPr>
        <w:t xml:space="preserve"> </w:t>
      </w:r>
      <w:r>
        <w:rPr>
          <w:rFonts w:hint="eastAsia" w:ascii="宋体" w:hAnsi="宋体" w:cs="宋体"/>
          <w:kern w:val="0"/>
          <w:sz w:val="24"/>
        </w:rPr>
        <w:t>取消对所剩服务的采购，并按双方商定的金额向乙方支付部分完成服务的费用。</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13.</w:t>
      </w:r>
      <w:r>
        <w:rPr>
          <w:rFonts w:hint="eastAsia" w:ascii="宋体" w:hAnsi="宋体" w:cs="宋体"/>
          <w:b/>
          <w:kern w:val="0"/>
          <w:sz w:val="24"/>
        </w:rPr>
        <w:t>争议的解决</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13.1 </w:t>
      </w:r>
      <w:r>
        <w:rPr>
          <w:rFonts w:hint="eastAsia" w:ascii="宋体" w:hAnsi="宋体" w:cs="宋体"/>
          <w:kern w:val="0"/>
          <w:sz w:val="24"/>
        </w:rPr>
        <w:t>因执行本合同所发生的或与本合同有关的一切争议</w:t>
      </w:r>
      <w:r>
        <w:rPr>
          <w:rFonts w:ascii="宋体" w:cs="宋体"/>
          <w:kern w:val="0"/>
          <w:sz w:val="24"/>
        </w:rPr>
        <w:t>,</w:t>
      </w:r>
      <w:r>
        <w:rPr>
          <w:rFonts w:hint="eastAsia" w:ascii="宋体" w:hAnsi="宋体" w:cs="宋体"/>
          <w:kern w:val="0"/>
          <w:sz w:val="24"/>
        </w:rPr>
        <w:t>双方应通过友好协商解决。如果协商开始后六十（</w:t>
      </w:r>
      <w:r>
        <w:rPr>
          <w:rFonts w:ascii="宋体" w:hAnsi="宋体" w:cs="宋体"/>
          <w:kern w:val="0"/>
          <w:sz w:val="24"/>
        </w:rPr>
        <w:t>60</w:t>
      </w:r>
      <w:r>
        <w:rPr>
          <w:rFonts w:hint="eastAsia" w:ascii="宋体" w:hAnsi="宋体" w:cs="宋体"/>
          <w:kern w:val="0"/>
          <w:sz w:val="24"/>
        </w:rPr>
        <w:t>）天还不能解决，任何一方均可按中华人民共和国有关法律的规定提交仲裁。</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13.2 </w:t>
      </w:r>
      <w:r>
        <w:rPr>
          <w:rFonts w:hint="eastAsia" w:ascii="宋体" w:hAnsi="宋体" w:cs="宋体"/>
          <w:kern w:val="0"/>
          <w:sz w:val="24"/>
        </w:rPr>
        <w:t>仲裁裁决应为最终裁决，对双方均具有约束力。</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13.3 </w:t>
      </w:r>
      <w:r>
        <w:rPr>
          <w:rFonts w:hint="eastAsia" w:ascii="宋体" w:hAnsi="宋体" w:cs="宋体"/>
          <w:kern w:val="0"/>
          <w:sz w:val="24"/>
        </w:rPr>
        <w:t>仲裁费除仲裁机关另有裁决外均应由败诉方负担。</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13.4 </w:t>
      </w:r>
      <w:r>
        <w:rPr>
          <w:rFonts w:hint="eastAsia" w:ascii="宋体" w:hAnsi="宋体" w:cs="宋体"/>
          <w:kern w:val="0"/>
          <w:sz w:val="24"/>
        </w:rPr>
        <w:t>在仲裁期间，除正在进行仲裁的部分外，本合同其它部分应继续执行。</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14.</w:t>
      </w:r>
      <w:r>
        <w:rPr>
          <w:rFonts w:hint="eastAsia" w:ascii="宋体" w:hAnsi="宋体" w:cs="宋体"/>
          <w:b/>
          <w:kern w:val="0"/>
          <w:sz w:val="24"/>
        </w:rPr>
        <w:t>适用法律</w:t>
      </w:r>
    </w:p>
    <w:p>
      <w:pPr>
        <w:tabs>
          <w:tab w:val="left" w:pos="3544"/>
        </w:tabs>
        <w:autoSpaceDN w:val="0"/>
        <w:spacing w:line="360" w:lineRule="auto"/>
        <w:ind w:firstLine="480" w:firstLineChars="200"/>
        <w:rPr>
          <w:rFonts w:ascii="宋体" w:cs="宋体"/>
          <w:b/>
          <w:kern w:val="0"/>
          <w:sz w:val="24"/>
        </w:rPr>
      </w:pPr>
      <w:r>
        <w:rPr>
          <w:rFonts w:ascii="宋体" w:hAnsi="宋体" w:cs="宋体"/>
          <w:kern w:val="0"/>
          <w:sz w:val="24"/>
        </w:rPr>
        <w:t xml:space="preserve">14.1 </w:t>
      </w:r>
      <w:r>
        <w:rPr>
          <w:rFonts w:hint="eastAsia" w:ascii="宋体" w:hAnsi="宋体" w:cs="宋体"/>
          <w:kern w:val="0"/>
          <w:sz w:val="24"/>
        </w:rPr>
        <w:t>本合同应按照中华人民共和国的现行法律进行解释。</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15.</w:t>
      </w:r>
      <w:r>
        <w:rPr>
          <w:rFonts w:hint="eastAsia" w:ascii="宋体" w:hAnsi="宋体" w:cs="宋体"/>
          <w:b/>
          <w:kern w:val="0"/>
          <w:sz w:val="24"/>
        </w:rPr>
        <w:t>通知</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15.1 </w:t>
      </w:r>
      <w:r>
        <w:rPr>
          <w:rFonts w:hint="eastAsia" w:ascii="宋体" w:hAnsi="宋体" w:cs="宋体"/>
          <w:kern w:val="0"/>
          <w:sz w:val="24"/>
        </w:rPr>
        <w:t>本合同一方给对方的通知应用书面形式送到合同专用条款中规定的对方的地址。传真要经书面确认。</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15.2 </w:t>
      </w:r>
      <w:r>
        <w:rPr>
          <w:rFonts w:hint="eastAsia" w:ascii="宋体" w:hAnsi="宋体" w:cs="宋体"/>
          <w:kern w:val="0"/>
          <w:sz w:val="24"/>
        </w:rPr>
        <w:t>通知以送到日期或通知书的生效日期为生效日期，两者中以晚的一个日期为准。</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16.</w:t>
      </w:r>
      <w:r>
        <w:rPr>
          <w:rFonts w:hint="eastAsia" w:ascii="宋体" w:hAnsi="宋体" w:cs="宋体"/>
          <w:b/>
          <w:kern w:val="0"/>
          <w:sz w:val="24"/>
        </w:rPr>
        <w:t>税款</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16.1 </w:t>
      </w:r>
      <w:r>
        <w:rPr>
          <w:rFonts w:hint="eastAsia" w:ascii="宋体" w:hAnsi="宋体" w:cs="宋体"/>
          <w:kern w:val="0"/>
          <w:sz w:val="24"/>
        </w:rPr>
        <w:t>按照中华人民共和国税法和有关部门的规定，甲方需交纳的与本合同有关的一切税费均应由甲方负担。</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16.2 </w:t>
      </w:r>
      <w:r>
        <w:rPr>
          <w:rFonts w:hint="eastAsia" w:ascii="宋体" w:hAnsi="宋体" w:cs="宋体"/>
          <w:kern w:val="0"/>
          <w:sz w:val="24"/>
        </w:rPr>
        <w:t>按照中华人民共和国税法和有关部门的规定，乙方需交纳的与本合同有关的一切税费均应由乙方负担。</w:t>
      </w:r>
    </w:p>
    <w:p>
      <w:pPr>
        <w:tabs>
          <w:tab w:val="left" w:pos="3544"/>
        </w:tabs>
        <w:autoSpaceDN w:val="0"/>
        <w:spacing w:line="360" w:lineRule="auto"/>
        <w:ind w:firstLine="482" w:firstLineChars="200"/>
        <w:rPr>
          <w:rFonts w:ascii="宋体" w:cs="宋体"/>
          <w:b/>
          <w:kern w:val="0"/>
          <w:sz w:val="24"/>
        </w:rPr>
      </w:pPr>
      <w:r>
        <w:rPr>
          <w:rFonts w:ascii="宋体" w:hAnsi="宋体" w:cs="宋体"/>
          <w:b/>
          <w:kern w:val="0"/>
          <w:sz w:val="24"/>
        </w:rPr>
        <w:t>17.</w:t>
      </w:r>
      <w:r>
        <w:rPr>
          <w:rFonts w:hint="eastAsia" w:ascii="宋体" w:hAnsi="宋体" w:cs="宋体"/>
          <w:b/>
          <w:kern w:val="0"/>
          <w:sz w:val="24"/>
        </w:rPr>
        <w:t>合同生效</w:t>
      </w:r>
    </w:p>
    <w:p>
      <w:pPr>
        <w:tabs>
          <w:tab w:val="left" w:pos="3544"/>
        </w:tabs>
        <w:autoSpaceDN w:val="0"/>
        <w:spacing w:line="360" w:lineRule="auto"/>
        <w:ind w:firstLine="480" w:firstLineChars="200"/>
        <w:rPr>
          <w:rFonts w:ascii="宋体" w:cs="宋体"/>
          <w:kern w:val="0"/>
          <w:sz w:val="24"/>
        </w:rPr>
      </w:pPr>
      <w:r>
        <w:rPr>
          <w:rFonts w:ascii="宋体" w:hAnsi="宋体" w:cs="宋体"/>
          <w:kern w:val="0"/>
          <w:sz w:val="24"/>
        </w:rPr>
        <w:t xml:space="preserve">17.1 </w:t>
      </w:r>
      <w:r>
        <w:rPr>
          <w:rFonts w:hint="eastAsia" w:ascii="宋体" w:hAnsi="宋体" w:cs="宋体"/>
          <w:kern w:val="0"/>
          <w:sz w:val="24"/>
        </w:rPr>
        <w:t>本合同应在甲乙双方共同签字并加盖双方公章后生效。</w:t>
      </w:r>
    </w:p>
    <w:p>
      <w:pPr>
        <w:tabs>
          <w:tab w:val="left" w:pos="3544"/>
        </w:tabs>
        <w:jc w:val="center"/>
        <w:outlineLvl w:val="0"/>
        <w:rPr>
          <w:rFonts w:ascii="宋体" w:cs="宋体"/>
          <w:b/>
          <w:sz w:val="32"/>
          <w:szCs w:val="30"/>
        </w:rPr>
        <w:sectPr>
          <w:pgSz w:w="11906" w:h="16838"/>
          <w:pgMar w:top="1440" w:right="1797" w:bottom="1440" w:left="1797" w:header="851" w:footer="992" w:gutter="0"/>
          <w:cols w:space="720" w:num="1"/>
          <w:docGrid w:linePitch="312" w:charSpace="0"/>
        </w:sectPr>
      </w:pPr>
    </w:p>
    <w:p>
      <w:pPr>
        <w:tabs>
          <w:tab w:val="left" w:pos="3544"/>
        </w:tabs>
        <w:jc w:val="center"/>
        <w:outlineLvl w:val="0"/>
        <w:rPr>
          <w:rFonts w:ascii="宋体" w:cs="宋体"/>
          <w:b/>
          <w:sz w:val="32"/>
          <w:szCs w:val="30"/>
        </w:rPr>
      </w:pPr>
      <w:bookmarkStart w:id="195" w:name="_Toc28173"/>
      <w:r>
        <w:rPr>
          <w:rFonts w:hint="eastAsia" w:ascii="宋体" w:hAnsi="宋体" w:cs="宋体"/>
          <w:b/>
          <w:sz w:val="32"/>
          <w:szCs w:val="30"/>
        </w:rPr>
        <w:t>第六部分</w:t>
      </w:r>
      <w:r>
        <w:rPr>
          <w:rFonts w:ascii="宋体" w:hAnsi="宋体" w:cs="宋体"/>
          <w:b/>
          <w:sz w:val="32"/>
          <w:szCs w:val="30"/>
        </w:rPr>
        <w:t xml:space="preserve"> </w:t>
      </w:r>
      <w:r>
        <w:rPr>
          <w:rFonts w:hint="eastAsia" w:ascii="宋体" w:hAnsi="宋体" w:cs="宋体"/>
          <w:b/>
          <w:sz w:val="32"/>
          <w:szCs w:val="30"/>
        </w:rPr>
        <w:t>响应</w:t>
      </w:r>
      <w:bookmarkStart w:id="196" w:name="_Toc479760686"/>
      <w:bookmarkStart w:id="197" w:name="_Toc479760814"/>
      <w:r>
        <w:rPr>
          <w:rFonts w:hint="eastAsia" w:ascii="宋体" w:hAnsi="宋体" w:cs="宋体"/>
          <w:b/>
          <w:sz w:val="32"/>
          <w:szCs w:val="30"/>
        </w:rPr>
        <w:t>文</w:t>
      </w:r>
      <w:bookmarkEnd w:id="196"/>
      <w:bookmarkEnd w:id="197"/>
      <w:bookmarkStart w:id="198" w:name="_Toc479760687"/>
      <w:bookmarkStart w:id="199" w:name="_Toc479760815"/>
      <w:r>
        <w:rPr>
          <w:rFonts w:hint="eastAsia" w:ascii="宋体" w:hAnsi="宋体" w:cs="宋体"/>
          <w:b/>
          <w:sz w:val="32"/>
          <w:szCs w:val="30"/>
        </w:rPr>
        <w:t>件</w:t>
      </w:r>
      <w:bookmarkEnd w:id="198"/>
      <w:bookmarkEnd w:id="199"/>
      <w:bookmarkStart w:id="200" w:name="_Toc479760816"/>
      <w:bookmarkStart w:id="201" w:name="_Toc479760688"/>
      <w:r>
        <w:rPr>
          <w:rFonts w:hint="eastAsia" w:ascii="宋体" w:hAnsi="宋体" w:cs="宋体"/>
          <w:b/>
          <w:sz w:val="32"/>
          <w:szCs w:val="30"/>
        </w:rPr>
        <w:t>格</w:t>
      </w:r>
      <w:bookmarkEnd w:id="200"/>
      <w:bookmarkEnd w:id="201"/>
      <w:bookmarkStart w:id="202" w:name="_Toc479760689"/>
      <w:bookmarkStart w:id="203" w:name="_Toc479760817"/>
      <w:r>
        <w:rPr>
          <w:rFonts w:hint="eastAsia" w:ascii="宋体" w:hAnsi="宋体" w:cs="宋体"/>
          <w:b/>
          <w:sz w:val="32"/>
          <w:szCs w:val="30"/>
        </w:rPr>
        <w:t>式</w:t>
      </w:r>
      <w:bookmarkEnd w:id="180"/>
      <w:bookmarkEnd w:id="181"/>
      <w:bookmarkEnd w:id="182"/>
      <w:bookmarkEnd w:id="183"/>
      <w:bookmarkEnd w:id="184"/>
      <w:bookmarkEnd w:id="185"/>
      <w:bookmarkEnd w:id="186"/>
      <w:bookmarkEnd w:id="187"/>
      <w:bookmarkEnd w:id="188"/>
      <w:bookmarkEnd w:id="189"/>
      <w:bookmarkEnd w:id="190"/>
      <w:bookmarkEnd w:id="191"/>
      <w:bookmarkEnd w:id="195"/>
      <w:bookmarkEnd w:id="202"/>
      <w:bookmarkEnd w:id="203"/>
    </w:p>
    <w:p>
      <w:pPr>
        <w:tabs>
          <w:tab w:val="left" w:pos="840"/>
          <w:tab w:val="left" w:pos="3544"/>
        </w:tabs>
        <w:kinsoku w:val="0"/>
        <w:spacing w:line="360" w:lineRule="auto"/>
        <w:jc w:val="right"/>
        <w:rPr>
          <w:rFonts w:ascii="宋体" w:cs="宋体"/>
          <w:b/>
          <w:sz w:val="28"/>
          <w:szCs w:val="28"/>
        </w:rPr>
      </w:pPr>
      <w:bookmarkStart w:id="204" w:name="_Toc489868891"/>
      <w:bookmarkStart w:id="205" w:name="_Toc489869363"/>
      <w:bookmarkStart w:id="206" w:name="_Toc489870025"/>
      <w:bookmarkStart w:id="207" w:name="_Toc489869025"/>
      <w:bookmarkStart w:id="208" w:name="_Toc489869749"/>
    </w:p>
    <w:p>
      <w:pPr>
        <w:tabs>
          <w:tab w:val="left" w:pos="840"/>
          <w:tab w:val="left" w:pos="3544"/>
        </w:tabs>
        <w:kinsoku w:val="0"/>
        <w:spacing w:line="360" w:lineRule="auto"/>
        <w:jc w:val="center"/>
        <w:rPr>
          <w:rFonts w:ascii="宋体" w:cs="宋体"/>
          <w:b/>
          <w:sz w:val="32"/>
          <w:szCs w:val="44"/>
        </w:rPr>
      </w:pPr>
      <w:r>
        <w:rPr>
          <w:rFonts w:ascii="宋体" w:hAnsi="宋体" w:cs="宋体"/>
          <w:b/>
          <w:sz w:val="28"/>
          <w:szCs w:val="28"/>
        </w:rPr>
        <w:t xml:space="preserve">                                       </w:t>
      </w:r>
      <w:r>
        <w:rPr>
          <w:rFonts w:hint="eastAsia" w:ascii="宋体" w:hAnsi="宋体" w:cs="宋体"/>
          <w:b/>
          <w:sz w:val="28"/>
          <w:szCs w:val="28"/>
        </w:rPr>
        <w:t>（正本或副本）</w:t>
      </w:r>
      <w:bookmarkEnd w:id="204"/>
      <w:bookmarkEnd w:id="205"/>
      <w:bookmarkEnd w:id="206"/>
      <w:bookmarkEnd w:id="207"/>
      <w:bookmarkEnd w:id="208"/>
    </w:p>
    <w:p>
      <w:pPr>
        <w:rPr>
          <w:rFonts w:ascii="宋体" w:hAnsi="宋体" w:cs="宋体"/>
          <w:b/>
          <w:bCs/>
          <w:sz w:val="34"/>
          <w:szCs w:val="34"/>
        </w:rPr>
      </w:pPr>
      <w:r>
        <w:rPr>
          <w:rFonts w:hint="eastAsia" w:ascii="宋体" w:hAnsi="宋体" w:cs="宋体"/>
          <w:b/>
          <w:bCs/>
          <w:sz w:val="34"/>
          <w:szCs w:val="34"/>
        </w:rPr>
        <w:t>项目编号：</w:t>
      </w:r>
      <w:r>
        <w:rPr>
          <w:rFonts w:ascii="宋体" w:hAnsi="宋体" w:cs="宋体"/>
          <w:b/>
          <w:bCs/>
          <w:sz w:val="34"/>
          <w:szCs w:val="34"/>
        </w:rPr>
        <w:t>BY/2020-CS-</w:t>
      </w:r>
      <w:r>
        <w:rPr>
          <w:rFonts w:hint="eastAsia" w:ascii="宋体" w:hAnsi="宋体" w:cs="宋体"/>
          <w:b/>
          <w:bCs/>
          <w:sz w:val="34"/>
          <w:szCs w:val="34"/>
        </w:rPr>
        <w:t>103</w:t>
      </w:r>
    </w:p>
    <w:p>
      <w:pPr>
        <w:rPr>
          <w:rFonts w:ascii="宋体" w:cs="宋体"/>
        </w:rPr>
      </w:pPr>
    </w:p>
    <w:p>
      <w:pPr>
        <w:rPr>
          <w:rFonts w:ascii="宋体" w:cs="宋体"/>
          <w:sz w:val="24"/>
          <w:szCs w:val="32"/>
        </w:rPr>
      </w:pPr>
    </w:p>
    <w:p>
      <w:pPr>
        <w:pStyle w:val="17"/>
        <w:rPr>
          <w:rFonts w:ascii="宋体" w:eastAsia="宋体" w:cs="宋体"/>
          <w:szCs w:val="32"/>
        </w:rPr>
      </w:pPr>
    </w:p>
    <w:p>
      <w:pPr>
        <w:rPr>
          <w:rFonts w:ascii="宋体" w:cs="宋体"/>
          <w:szCs w:val="32"/>
        </w:rPr>
      </w:pPr>
    </w:p>
    <w:p>
      <w:pPr>
        <w:pStyle w:val="17"/>
      </w:pPr>
    </w:p>
    <w:p/>
    <w:p>
      <w:pPr>
        <w:tabs>
          <w:tab w:val="left" w:pos="3544"/>
        </w:tabs>
        <w:jc w:val="center"/>
        <w:rPr>
          <w:rFonts w:hint="eastAsia" w:ascii="宋体" w:hAnsi="宋体" w:cs="宋体"/>
          <w:b/>
          <w:bCs/>
          <w:sz w:val="44"/>
          <w:szCs w:val="44"/>
          <w:lang w:eastAsia="zh-CN"/>
        </w:rPr>
      </w:pPr>
      <w:r>
        <w:rPr>
          <w:rFonts w:hint="eastAsia" w:ascii="宋体" w:hAnsi="宋体" w:cs="宋体"/>
          <w:b/>
          <w:bCs/>
          <w:sz w:val="44"/>
          <w:szCs w:val="44"/>
          <w:lang w:eastAsia="zh-CN"/>
        </w:rPr>
        <w:t>陕西省交通医院电子病历（三级）</w:t>
      </w:r>
    </w:p>
    <w:p>
      <w:pPr>
        <w:tabs>
          <w:tab w:val="left" w:pos="3544"/>
        </w:tabs>
        <w:jc w:val="center"/>
        <w:rPr>
          <w:rFonts w:hint="eastAsia" w:ascii="宋体" w:eastAsia="宋体" w:cs="宋体"/>
          <w:lang w:eastAsia="zh-CN"/>
        </w:rPr>
      </w:pPr>
      <w:r>
        <w:rPr>
          <w:rFonts w:hint="eastAsia" w:ascii="宋体" w:hAnsi="宋体" w:cs="宋体"/>
          <w:b/>
          <w:bCs/>
          <w:sz w:val="44"/>
          <w:szCs w:val="44"/>
          <w:lang w:eastAsia="zh-CN"/>
        </w:rPr>
        <w:t>升级改造采购项目</w:t>
      </w:r>
    </w:p>
    <w:p>
      <w:pPr>
        <w:pStyle w:val="17"/>
      </w:pPr>
    </w:p>
    <w:p>
      <w:pPr>
        <w:tabs>
          <w:tab w:val="left" w:pos="3544"/>
        </w:tabs>
        <w:rPr>
          <w:rFonts w:ascii="宋体" w:cs="宋体"/>
        </w:rPr>
      </w:pPr>
      <w:bookmarkStart w:id="215" w:name="_GoBack"/>
      <w:bookmarkEnd w:id="215"/>
    </w:p>
    <w:p>
      <w:pPr>
        <w:tabs>
          <w:tab w:val="left" w:pos="3544"/>
        </w:tabs>
        <w:spacing w:line="360" w:lineRule="atLeast"/>
        <w:jc w:val="center"/>
        <w:rPr>
          <w:rFonts w:ascii="宋体" w:cs="宋体"/>
          <w:b/>
          <w:bCs/>
          <w:sz w:val="48"/>
          <w:szCs w:val="48"/>
        </w:rPr>
      </w:pPr>
      <w:r>
        <w:rPr>
          <w:rFonts w:hint="eastAsia" w:ascii="宋体" w:hAnsi="宋体" w:cs="宋体"/>
          <w:b/>
          <w:bCs/>
          <w:sz w:val="48"/>
          <w:szCs w:val="48"/>
        </w:rPr>
        <w:t>响</w:t>
      </w:r>
      <w:r>
        <w:rPr>
          <w:rFonts w:ascii="宋体" w:hAnsi="宋体" w:cs="宋体"/>
          <w:b/>
          <w:bCs/>
          <w:sz w:val="48"/>
          <w:szCs w:val="48"/>
        </w:rPr>
        <w:t xml:space="preserve"> </w:t>
      </w:r>
      <w:r>
        <w:rPr>
          <w:rFonts w:hint="eastAsia" w:ascii="宋体" w:hAnsi="宋体" w:cs="宋体"/>
          <w:b/>
          <w:bCs/>
          <w:sz w:val="48"/>
          <w:szCs w:val="48"/>
        </w:rPr>
        <w:t>应</w:t>
      </w:r>
      <w:r>
        <w:rPr>
          <w:rFonts w:ascii="宋体" w:hAnsi="宋体" w:cs="宋体"/>
          <w:b/>
          <w:bCs/>
          <w:sz w:val="48"/>
          <w:szCs w:val="48"/>
        </w:rPr>
        <w:t xml:space="preserve"> </w:t>
      </w:r>
      <w:r>
        <w:rPr>
          <w:rFonts w:hint="eastAsia" w:ascii="宋体" w:hAnsi="宋体" w:cs="宋体"/>
          <w:b/>
          <w:bCs/>
          <w:sz w:val="48"/>
          <w:szCs w:val="48"/>
        </w:rPr>
        <w:t>文</w:t>
      </w:r>
      <w:r>
        <w:rPr>
          <w:rFonts w:ascii="宋体" w:hAnsi="宋体" w:cs="宋体"/>
          <w:b/>
          <w:bCs/>
          <w:sz w:val="48"/>
          <w:szCs w:val="48"/>
        </w:rPr>
        <w:t xml:space="preserve"> </w:t>
      </w:r>
      <w:r>
        <w:rPr>
          <w:rFonts w:hint="eastAsia" w:ascii="宋体" w:hAnsi="宋体" w:cs="宋体"/>
          <w:b/>
          <w:bCs/>
          <w:sz w:val="48"/>
          <w:szCs w:val="48"/>
        </w:rPr>
        <w:t>件</w:t>
      </w: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tabs>
          <w:tab w:val="left" w:pos="3544"/>
        </w:tabs>
        <w:rPr>
          <w:rFonts w:ascii="宋体" w:cs="宋体"/>
          <w:b/>
          <w:bCs/>
        </w:rPr>
      </w:pPr>
    </w:p>
    <w:p>
      <w:pPr>
        <w:pStyle w:val="17"/>
      </w:pPr>
    </w:p>
    <w:p>
      <w:pPr>
        <w:tabs>
          <w:tab w:val="left" w:pos="3544"/>
          <w:tab w:val="center" w:pos="5346"/>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供应商：</w:t>
      </w:r>
      <w:r>
        <w:rPr>
          <w:rFonts w:ascii="宋体" w:hAnsi="宋体" w:cs="宋体"/>
          <w:b/>
          <w:bCs/>
          <w:sz w:val="28"/>
          <w:szCs w:val="28"/>
          <w:u w:val="single"/>
        </w:rPr>
        <w:t xml:space="preserve">       </w:t>
      </w:r>
      <w:r>
        <w:rPr>
          <w:rFonts w:hint="eastAsia" w:ascii="宋体" w:hAnsi="宋体" w:cs="宋体"/>
          <w:b/>
          <w:bCs/>
          <w:sz w:val="28"/>
          <w:szCs w:val="28"/>
          <w:u w:val="single"/>
        </w:rPr>
        <w:t>加盖公章</w:t>
      </w:r>
      <w:r>
        <w:rPr>
          <w:rFonts w:ascii="宋体" w:hAnsi="宋体" w:cs="宋体"/>
          <w:b/>
          <w:bCs/>
          <w:sz w:val="28"/>
          <w:szCs w:val="28"/>
          <w:u w:val="single"/>
        </w:rPr>
        <w:t xml:space="preserve">            </w:t>
      </w:r>
    </w:p>
    <w:p>
      <w:pPr>
        <w:tabs>
          <w:tab w:val="left" w:pos="3544"/>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法定代表人</w:t>
      </w:r>
      <w:r>
        <w:rPr>
          <w:rFonts w:ascii="宋体" w:hAnsi="宋体" w:cs="宋体"/>
          <w:b/>
          <w:bCs/>
          <w:sz w:val="28"/>
          <w:szCs w:val="28"/>
        </w:rPr>
        <w:t>/</w:t>
      </w:r>
      <w:r>
        <w:rPr>
          <w:rFonts w:hint="eastAsia" w:ascii="宋体" w:hAnsi="宋体" w:cs="宋体"/>
          <w:b/>
          <w:bCs/>
          <w:sz w:val="28"/>
          <w:szCs w:val="28"/>
        </w:rPr>
        <w:t>授权代表签字：</w:t>
      </w:r>
      <w:r>
        <w:rPr>
          <w:rFonts w:ascii="宋体" w:hAnsi="宋体" w:cs="宋体"/>
          <w:b/>
          <w:bCs/>
          <w:sz w:val="28"/>
          <w:szCs w:val="28"/>
          <w:u w:val="single"/>
        </w:rPr>
        <w:t xml:space="preserve">        </w:t>
      </w:r>
    </w:p>
    <w:p>
      <w:pPr>
        <w:tabs>
          <w:tab w:val="left" w:pos="3544"/>
        </w:tabs>
        <w:spacing w:line="360" w:lineRule="auto"/>
        <w:ind w:firstLine="1968" w:firstLineChars="700"/>
        <w:jc w:val="left"/>
        <w:rPr>
          <w:rFonts w:ascii="宋体" w:hAnsi="宋体" w:cs="宋体"/>
          <w:b/>
          <w:bCs/>
          <w:sz w:val="28"/>
          <w:szCs w:val="28"/>
          <w:u w:val="single"/>
        </w:rPr>
      </w:pPr>
      <w:r>
        <w:rPr>
          <w:rFonts w:hint="eastAsia" w:ascii="宋体" w:hAnsi="宋体" w:cs="宋体"/>
          <w:b/>
          <w:bCs/>
          <w:sz w:val="28"/>
          <w:szCs w:val="28"/>
        </w:rPr>
        <w:t>日</w:t>
      </w:r>
      <w:r>
        <w:rPr>
          <w:rFonts w:ascii="宋体" w:hAnsi="宋体" w:cs="宋体"/>
          <w:b/>
          <w:bCs/>
          <w:sz w:val="28"/>
          <w:szCs w:val="28"/>
        </w:rPr>
        <w:t xml:space="preserve">  </w:t>
      </w:r>
      <w:r>
        <w:rPr>
          <w:rFonts w:hint="eastAsia" w:ascii="宋体" w:hAnsi="宋体" w:cs="宋体"/>
          <w:b/>
          <w:bCs/>
          <w:sz w:val="28"/>
          <w:szCs w:val="28"/>
        </w:rPr>
        <w:t>期：</w:t>
      </w:r>
      <w:r>
        <w:rPr>
          <w:rFonts w:ascii="宋体" w:hAnsi="宋体" w:cs="宋体"/>
          <w:b/>
          <w:bCs/>
          <w:sz w:val="28"/>
          <w:szCs w:val="28"/>
          <w:u w:val="single"/>
        </w:rPr>
        <w:t xml:space="preserve">                         </w:t>
      </w:r>
    </w:p>
    <w:p>
      <w:pPr>
        <w:tabs>
          <w:tab w:val="left" w:pos="3544"/>
        </w:tabs>
        <w:spacing w:line="360" w:lineRule="atLeast"/>
        <w:jc w:val="left"/>
        <w:rPr>
          <w:rFonts w:ascii="宋体" w:cs="宋体"/>
          <w:b/>
          <w:sz w:val="52"/>
          <w:szCs w:val="32"/>
        </w:rPr>
        <w:sectPr>
          <w:pgSz w:w="11906" w:h="16838"/>
          <w:pgMar w:top="1440" w:right="1797" w:bottom="1440" w:left="1797" w:header="851" w:footer="992" w:gutter="0"/>
          <w:cols w:space="720" w:num="1"/>
          <w:docGrid w:linePitch="312" w:charSpace="0"/>
        </w:sectPr>
      </w:pPr>
    </w:p>
    <w:p>
      <w:pPr>
        <w:tabs>
          <w:tab w:val="left" w:pos="3544"/>
        </w:tabs>
        <w:spacing w:line="360" w:lineRule="atLeast"/>
        <w:jc w:val="center"/>
        <w:rPr>
          <w:rFonts w:ascii="宋体" w:cs="宋体"/>
          <w:b/>
          <w:sz w:val="52"/>
          <w:szCs w:val="32"/>
        </w:rPr>
      </w:pPr>
      <w:r>
        <w:rPr>
          <w:rFonts w:hint="eastAsia" w:ascii="宋体" w:hAnsi="宋体" w:cs="宋体"/>
          <w:b/>
          <w:sz w:val="52"/>
          <w:szCs w:val="32"/>
        </w:rPr>
        <w:t>目</w:t>
      </w:r>
      <w:r>
        <w:rPr>
          <w:rFonts w:ascii="宋体" w:hAnsi="宋体" w:cs="宋体"/>
          <w:b/>
          <w:sz w:val="52"/>
          <w:szCs w:val="32"/>
        </w:rPr>
        <w:t xml:space="preserve">  </w:t>
      </w:r>
      <w:r>
        <w:rPr>
          <w:rFonts w:hint="eastAsia" w:ascii="宋体" w:hAnsi="宋体" w:cs="宋体"/>
          <w:b/>
          <w:sz w:val="52"/>
          <w:szCs w:val="32"/>
        </w:rPr>
        <w:t>录</w:t>
      </w:r>
    </w:p>
    <w:p>
      <w:pPr>
        <w:pStyle w:val="21"/>
        <w:tabs>
          <w:tab w:val="left" w:pos="3544"/>
        </w:tabs>
        <w:spacing w:line="500" w:lineRule="exact"/>
        <w:rPr>
          <w:rFonts w:ascii="宋体" w:cs="宋体"/>
          <w:b/>
          <w:bCs/>
          <w:sz w:val="30"/>
          <w:szCs w:val="30"/>
        </w:rPr>
      </w:pPr>
    </w:p>
    <w:p>
      <w:pPr>
        <w:pStyle w:val="21"/>
        <w:tabs>
          <w:tab w:val="left" w:pos="3544"/>
        </w:tabs>
        <w:spacing w:line="500" w:lineRule="exact"/>
        <w:rPr>
          <w:rFonts w:ascii="宋体" w:cs="宋体"/>
          <w:b/>
          <w:bCs/>
          <w:sz w:val="30"/>
          <w:szCs w:val="30"/>
        </w:rPr>
      </w:pPr>
    </w:p>
    <w:p>
      <w:pPr>
        <w:spacing w:line="360" w:lineRule="auto"/>
        <w:ind w:left="567" w:leftChars="270"/>
        <w:rPr>
          <w:rFonts w:ascii="宋体" w:cs="宋体"/>
          <w:sz w:val="32"/>
          <w:szCs w:val="32"/>
        </w:rPr>
      </w:pPr>
      <w:r>
        <w:rPr>
          <w:rFonts w:ascii="宋体" w:hAnsi="宋体" w:cs="宋体"/>
          <w:sz w:val="32"/>
          <w:szCs w:val="32"/>
        </w:rPr>
        <w:t>1.</w:t>
      </w:r>
      <w:r>
        <w:rPr>
          <w:rFonts w:hint="eastAsia" w:ascii="宋体" w:hAnsi="宋体" w:cs="宋体"/>
          <w:sz w:val="32"/>
          <w:szCs w:val="32"/>
        </w:rPr>
        <w:t>响应函</w:t>
      </w:r>
    </w:p>
    <w:p>
      <w:pPr>
        <w:spacing w:line="360" w:lineRule="auto"/>
        <w:ind w:left="567" w:leftChars="270"/>
        <w:rPr>
          <w:rFonts w:ascii="宋体" w:cs="宋体"/>
          <w:sz w:val="32"/>
          <w:szCs w:val="32"/>
        </w:rPr>
      </w:pPr>
      <w:r>
        <w:rPr>
          <w:rFonts w:ascii="宋体" w:hAnsi="宋体" w:cs="宋体"/>
          <w:sz w:val="32"/>
          <w:szCs w:val="32"/>
        </w:rPr>
        <w:t>2.</w:t>
      </w:r>
      <w:r>
        <w:rPr>
          <w:rFonts w:hint="eastAsia" w:ascii="宋体" w:hAnsi="宋体" w:cs="宋体"/>
          <w:sz w:val="32"/>
          <w:szCs w:val="32"/>
        </w:rPr>
        <w:t>响应（首次）报价表</w:t>
      </w:r>
    </w:p>
    <w:p>
      <w:pPr>
        <w:spacing w:line="360" w:lineRule="auto"/>
        <w:ind w:left="567" w:leftChars="270"/>
        <w:rPr>
          <w:rFonts w:ascii="宋体" w:cs="宋体"/>
          <w:sz w:val="32"/>
          <w:szCs w:val="32"/>
        </w:rPr>
      </w:pPr>
      <w:r>
        <w:rPr>
          <w:rFonts w:ascii="宋体" w:hAnsi="宋体" w:cs="宋体"/>
          <w:sz w:val="32"/>
          <w:szCs w:val="32"/>
        </w:rPr>
        <w:t>3.</w:t>
      </w:r>
      <w:r>
        <w:rPr>
          <w:rFonts w:hint="eastAsia" w:ascii="宋体" w:hAnsi="宋体" w:cs="宋体"/>
          <w:sz w:val="32"/>
          <w:szCs w:val="32"/>
        </w:rPr>
        <w:t>资格证明文件</w:t>
      </w:r>
    </w:p>
    <w:p>
      <w:pPr>
        <w:spacing w:line="360" w:lineRule="auto"/>
        <w:ind w:left="567" w:leftChars="270"/>
        <w:rPr>
          <w:rFonts w:ascii="宋体" w:cs="宋体"/>
          <w:sz w:val="32"/>
          <w:szCs w:val="32"/>
        </w:rPr>
      </w:pPr>
      <w:r>
        <w:rPr>
          <w:rFonts w:ascii="宋体" w:hAnsi="宋体" w:cs="宋体"/>
          <w:sz w:val="32"/>
          <w:szCs w:val="32"/>
        </w:rPr>
        <w:t>4.</w:t>
      </w:r>
      <w:r>
        <w:rPr>
          <w:rFonts w:hint="eastAsia" w:ascii="宋体" w:hAnsi="宋体" w:cs="宋体"/>
          <w:sz w:val="32"/>
          <w:szCs w:val="32"/>
        </w:rPr>
        <w:t>保证金缴纳凭证</w:t>
      </w:r>
    </w:p>
    <w:p>
      <w:pPr>
        <w:spacing w:line="360" w:lineRule="auto"/>
        <w:ind w:left="567" w:leftChars="270"/>
        <w:rPr>
          <w:rFonts w:ascii="宋体" w:cs="宋体"/>
          <w:sz w:val="32"/>
          <w:szCs w:val="32"/>
        </w:rPr>
      </w:pPr>
      <w:r>
        <w:rPr>
          <w:rFonts w:ascii="宋体" w:hAnsi="宋体" w:cs="宋体"/>
          <w:sz w:val="32"/>
          <w:szCs w:val="32"/>
        </w:rPr>
        <w:t>5.</w:t>
      </w:r>
      <w:r>
        <w:rPr>
          <w:rFonts w:hint="eastAsia" w:ascii="宋体" w:hAnsi="宋体" w:cs="宋体"/>
          <w:sz w:val="32"/>
          <w:szCs w:val="32"/>
        </w:rPr>
        <w:t>技术及商务响应偏离表</w:t>
      </w:r>
    </w:p>
    <w:p>
      <w:pPr>
        <w:spacing w:line="360" w:lineRule="auto"/>
        <w:ind w:left="567" w:leftChars="270"/>
        <w:rPr>
          <w:rFonts w:ascii="宋体" w:cs="宋体"/>
          <w:sz w:val="32"/>
          <w:szCs w:val="32"/>
        </w:rPr>
      </w:pPr>
      <w:r>
        <w:rPr>
          <w:rFonts w:ascii="宋体" w:hAnsi="宋体" w:cs="宋体"/>
          <w:sz w:val="32"/>
          <w:szCs w:val="32"/>
        </w:rPr>
        <w:t>6.</w:t>
      </w:r>
      <w:r>
        <w:rPr>
          <w:rFonts w:hint="eastAsia" w:ascii="宋体" w:hAnsi="宋体" w:cs="宋体"/>
          <w:sz w:val="32"/>
          <w:szCs w:val="32"/>
        </w:rPr>
        <w:t>技术证明及服务方案说明</w:t>
      </w:r>
    </w:p>
    <w:p>
      <w:pPr>
        <w:spacing w:line="360" w:lineRule="auto"/>
        <w:ind w:left="567" w:leftChars="270"/>
        <w:rPr>
          <w:rFonts w:ascii="宋体" w:cs="宋体"/>
          <w:sz w:val="32"/>
          <w:szCs w:val="32"/>
        </w:rPr>
      </w:pPr>
      <w:r>
        <w:rPr>
          <w:rFonts w:ascii="宋体" w:hAnsi="宋体" w:cs="宋体"/>
          <w:sz w:val="32"/>
          <w:szCs w:val="32"/>
        </w:rPr>
        <w:t>7.</w:t>
      </w:r>
      <w:r>
        <w:rPr>
          <w:rFonts w:hint="eastAsia" w:ascii="宋体" w:hAnsi="宋体" w:cs="宋体"/>
          <w:sz w:val="32"/>
          <w:szCs w:val="32"/>
        </w:rPr>
        <w:t>供应商拒绝政府采购领域商业贿赂承诺书</w:t>
      </w:r>
    </w:p>
    <w:p>
      <w:pPr>
        <w:pStyle w:val="17"/>
      </w:pPr>
    </w:p>
    <w:p>
      <w:pPr>
        <w:spacing w:line="360" w:lineRule="auto"/>
        <w:jc w:val="left"/>
        <w:rPr>
          <w:rFonts w:ascii="宋体" w:cs="宋体"/>
          <w:b/>
          <w:sz w:val="32"/>
          <w:szCs w:val="21"/>
        </w:rPr>
      </w:pPr>
    </w:p>
    <w:p>
      <w:pPr>
        <w:spacing w:line="360" w:lineRule="auto"/>
        <w:jc w:val="left"/>
        <w:rPr>
          <w:rFonts w:ascii="宋体" w:cs="宋体"/>
          <w:b/>
          <w:sz w:val="28"/>
          <w:szCs w:val="28"/>
        </w:rPr>
      </w:pPr>
      <w:r>
        <w:rPr>
          <w:rFonts w:hint="eastAsia" w:ascii="宋体" w:hAnsi="宋体" w:cs="宋体"/>
          <w:b/>
          <w:sz w:val="28"/>
          <w:szCs w:val="28"/>
        </w:rPr>
        <w:t>注：</w:t>
      </w:r>
    </w:p>
    <w:p>
      <w:pPr>
        <w:spacing w:line="360" w:lineRule="auto"/>
        <w:jc w:val="left"/>
        <w:rPr>
          <w:rFonts w:ascii="宋体" w:cs="宋体"/>
          <w:b/>
          <w:sz w:val="28"/>
          <w:szCs w:val="28"/>
        </w:rPr>
      </w:pPr>
      <w:r>
        <w:rPr>
          <w:rFonts w:ascii="宋体" w:hAnsi="宋体" w:cs="宋体"/>
          <w:b/>
          <w:sz w:val="28"/>
          <w:szCs w:val="28"/>
        </w:rPr>
        <w:t>1</w:t>
      </w:r>
      <w:r>
        <w:rPr>
          <w:rFonts w:hint="eastAsia" w:ascii="宋体" w:hAnsi="宋体" w:cs="宋体"/>
          <w:b/>
          <w:sz w:val="28"/>
          <w:szCs w:val="28"/>
        </w:rPr>
        <w:t>、供应商须按目录顺序编制响应文件，可添加</w:t>
      </w:r>
      <w:r>
        <w:rPr>
          <w:rFonts w:ascii="宋体" w:hAnsi="宋体" w:cs="宋体"/>
          <w:b/>
          <w:sz w:val="28"/>
          <w:szCs w:val="28"/>
        </w:rPr>
        <w:t>2</w:t>
      </w:r>
      <w:r>
        <w:rPr>
          <w:rFonts w:hint="eastAsia" w:ascii="宋体" w:hAnsi="宋体" w:cs="宋体"/>
          <w:b/>
          <w:sz w:val="28"/>
          <w:szCs w:val="28"/>
        </w:rPr>
        <w:t>级或多级目录及细分目录表等</w:t>
      </w:r>
    </w:p>
    <w:p>
      <w:pPr>
        <w:wordWrap w:val="0"/>
        <w:spacing w:line="360" w:lineRule="auto"/>
        <w:rPr>
          <w:rFonts w:ascii="宋体" w:cs="宋体"/>
          <w:b/>
          <w:sz w:val="28"/>
          <w:szCs w:val="28"/>
        </w:rPr>
      </w:pPr>
      <w:r>
        <w:rPr>
          <w:rFonts w:ascii="宋体" w:hAnsi="宋体" w:cs="宋体"/>
          <w:b/>
          <w:sz w:val="28"/>
          <w:szCs w:val="28"/>
        </w:rPr>
        <w:t>2</w:t>
      </w:r>
      <w:r>
        <w:rPr>
          <w:rFonts w:hint="eastAsia" w:ascii="宋体" w:hAnsi="宋体" w:cs="宋体"/>
          <w:b/>
          <w:sz w:val="28"/>
          <w:szCs w:val="28"/>
        </w:rPr>
        <w:t>、磋商文件中凡是要求法定代表人签字、盖章、授权之处，非法人单位负责人参照执行。</w:t>
      </w:r>
    </w:p>
    <w:p>
      <w:pPr>
        <w:spacing w:line="360" w:lineRule="auto"/>
        <w:jc w:val="left"/>
        <w:rPr>
          <w:rFonts w:ascii="宋体" w:cs="宋体"/>
          <w:b/>
          <w:sz w:val="32"/>
          <w:szCs w:val="21"/>
        </w:rPr>
      </w:pPr>
    </w:p>
    <w:p>
      <w:pPr>
        <w:spacing w:line="360" w:lineRule="auto"/>
        <w:jc w:val="left"/>
        <w:rPr>
          <w:rFonts w:ascii="宋体" w:cs="宋体"/>
        </w:rPr>
      </w:pPr>
    </w:p>
    <w:p>
      <w:pPr>
        <w:tabs>
          <w:tab w:val="left" w:pos="4536"/>
        </w:tabs>
        <w:spacing w:line="360" w:lineRule="auto"/>
        <w:jc w:val="center"/>
        <w:rPr>
          <w:rFonts w:ascii="宋体" w:cs="宋体"/>
          <w:b/>
          <w:sz w:val="24"/>
        </w:rPr>
      </w:pPr>
      <w:r>
        <w:rPr>
          <w:rFonts w:ascii="宋体" w:cs="宋体"/>
          <w:b/>
          <w:sz w:val="32"/>
          <w:szCs w:val="32"/>
        </w:rPr>
        <w:br w:type="page"/>
      </w:r>
      <w:r>
        <w:rPr>
          <w:rFonts w:ascii="宋体" w:hAnsi="宋体" w:cs="宋体"/>
          <w:b/>
          <w:sz w:val="28"/>
          <w:szCs w:val="28"/>
        </w:rPr>
        <w:t>1.</w:t>
      </w:r>
      <w:r>
        <w:rPr>
          <w:rFonts w:hint="eastAsia" w:ascii="宋体" w:hAnsi="宋体" w:cs="宋体"/>
          <w:b/>
          <w:sz w:val="28"/>
          <w:szCs w:val="28"/>
        </w:rPr>
        <w:t>磋商响应函</w:t>
      </w:r>
    </w:p>
    <w:p>
      <w:pPr>
        <w:tabs>
          <w:tab w:val="left" w:pos="3544"/>
        </w:tabs>
        <w:spacing w:line="440" w:lineRule="exact"/>
        <w:rPr>
          <w:rFonts w:ascii="宋体" w:cs="宋体"/>
          <w:b/>
          <w:sz w:val="24"/>
        </w:rPr>
      </w:pPr>
      <w:r>
        <w:rPr>
          <w:rFonts w:hint="eastAsia" w:ascii="宋体" w:hAnsi="宋体" w:cs="宋体"/>
          <w:b/>
          <w:sz w:val="24"/>
        </w:rPr>
        <w:t>致：陕西博源招标服务有限公司</w:t>
      </w:r>
    </w:p>
    <w:p>
      <w:pPr>
        <w:tabs>
          <w:tab w:val="left" w:pos="3544"/>
        </w:tabs>
        <w:spacing w:line="440" w:lineRule="exact"/>
        <w:ind w:firstLine="437"/>
        <w:rPr>
          <w:rFonts w:ascii="宋体" w:cs="宋体"/>
          <w:sz w:val="24"/>
        </w:rPr>
      </w:pPr>
      <w:r>
        <w:rPr>
          <w:rFonts w:hint="eastAsia" w:ascii="宋体" w:hAnsi="宋体" w:cs="宋体"/>
          <w:sz w:val="24"/>
        </w:rPr>
        <w:t>根据贵方</w:t>
      </w:r>
      <w:r>
        <w:rPr>
          <w:rFonts w:ascii="宋体" w:hAnsi="宋体" w:cs="宋体"/>
          <w:sz w:val="24"/>
          <w:u w:val="single"/>
        </w:rPr>
        <w:t xml:space="preserve">  </w:t>
      </w:r>
      <w:r>
        <w:rPr>
          <w:rFonts w:hint="eastAsia" w:ascii="宋体" w:hAnsi="宋体" w:cs="宋体"/>
          <w:sz w:val="24"/>
          <w:u w:val="single"/>
        </w:rPr>
        <w:t>项目名称（项目编号）</w:t>
      </w:r>
      <w:r>
        <w:rPr>
          <w:rFonts w:ascii="宋体" w:hAnsi="宋体" w:cs="宋体"/>
          <w:sz w:val="24"/>
          <w:u w:val="single"/>
        </w:rPr>
        <w:t xml:space="preserve">  </w:t>
      </w:r>
      <w:r>
        <w:rPr>
          <w:rFonts w:hint="eastAsia" w:ascii="宋体" w:hAnsi="宋体" w:cs="宋体"/>
          <w:sz w:val="24"/>
        </w:rPr>
        <w:t>的磋商公告，签字代表</w:t>
      </w:r>
      <w:r>
        <w:rPr>
          <w:rFonts w:ascii="宋体" w:hAnsi="宋体" w:cs="宋体"/>
          <w:sz w:val="24"/>
          <w:u w:val="single"/>
        </w:rPr>
        <w:t xml:space="preserve"> </w:t>
      </w:r>
      <w:r>
        <w:rPr>
          <w:rFonts w:hint="eastAsia" w:ascii="宋体" w:hAnsi="宋体" w:cs="宋体"/>
          <w:sz w:val="24"/>
          <w:u w:val="single"/>
        </w:rPr>
        <w:t>（姓名、职务）</w:t>
      </w:r>
      <w:r>
        <w:rPr>
          <w:rFonts w:ascii="宋体" w:hAnsi="宋体" w:cs="宋体"/>
          <w:sz w:val="24"/>
          <w:u w:val="single"/>
        </w:rPr>
        <w:t xml:space="preserve">  </w:t>
      </w:r>
      <w:r>
        <w:rPr>
          <w:rFonts w:hint="eastAsia" w:ascii="宋体" w:hAnsi="宋体" w:cs="宋体"/>
          <w:sz w:val="24"/>
        </w:rPr>
        <w:t>经正式授权并代表供应商</w:t>
      </w:r>
      <w:r>
        <w:rPr>
          <w:rFonts w:ascii="宋体" w:hAnsi="宋体" w:cs="宋体"/>
          <w:sz w:val="24"/>
          <w:u w:val="single"/>
        </w:rPr>
        <w:t xml:space="preserve">      </w:t>
      </w:r>
      <w:r>
        <w:rPr>
          <w:rFonts w:hint="eastAsia" w:ascii="宋体" w:hAnsi="宋体" w:cs="宋体"/>
          <w:sz w:val="24"/>
          <w:u w:val="single"/>
        </w:rPr>
        <w:t>（供应商名称）</w:t>
      </w:r>
      <w:r>
        <w:rPr>
          <w:rFonts w:ascii="宋体" w:hAnsi="宋体" w:cs="宋体"/>
          <w:sz w:val="24"/>
          <w:u w:val="single"/>
        </w:rPr>
        <w:t xml:space="preserve">       </w:t>
      </w:r>
      <w:r>
        <w:rPr>
          <w:rFonts w:hint="eastAsia" w:ascii="宋体" w:hAnsi="宋体" w:cs="宋体"/>
          <w:sz w:val="24"/>
        </w:rPr>
        <w:t>，提交磋商响应文件正本</w:t>
      </w:r>
      <w:r>
        <w:rPr>
          <w:rFonts w:ascii="宋体" w:hAnsi="宋体" w:cs="宋体"/>
          <w:b/>
          <w:sz w:val="24"/>
          <w:u w:val="single"/>
        </w:rPr>
        <w:t xml:space="preserve">  </w:t>
      </w:r>
      <w:r>
        <w:rPr>
          <w:rFonts w:hint="eastAsia" w:ascii="宋体" w:hAnsi="宋体" w:cs="宋体"/>
          <w:sz w:val="24"/>
        </w:rPr>
        <w:t>份、副本</w:t>
      </w:r>
      <w:r>
        <w:rPr>
          <w:rFonts w:ascii="宋体" w:hAnsi="宋体" w:cs="宋体"/>
          <w:b/>
          <w:sz w:val="24"/>
          <w:u w:val="single"/>
        </w:rPr>
        <w:t xml:space="preserve">  </w:t>
      </w:r>
      <w:r>
        <w:rPr>
          <w:rFonts w:hint="eastAsia" w:ascii="宋体" w:hAnsi="宋体" w:cs="宋体"/>
          <w:sz w:val="24"/>
        </w:rPr>
        <w:t>份、电子文件</w:t>
      </w:r>
      <w:r>
        <w:rPr>
          <w:rFonts w:ascii="宋体" w:hAnsi="宋体" w:cs="宋体"/>
          <w:sz w:val="24"/>
          <w:u w:val="single"/>
        </w:rPr>
        <w:t xml:space="preserve">  </w:t>
      </w:r>
      <w:r>
        <w:rPr>
          <w:rFonts w:hint="eastAsia" w:ascii="宋体" w:hAnsi="宋体" w:cs="宋体"/>
          <w:sz w:val="24"/>
        </w:rPr>
        <w:t>份，磋商文件包括以下内容：</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1.</w:t>
      </w:r>
      <w:r>
        <w:rPr>
          <w:rFonts w:hint="eastAsia" w:ascii="宋体" w:hAnsi="宋体" w:cs="宋体"/>
          <w:bCs/>
          <w:sz w:val="24"/>
        </w:rPr>
        <w:t>响应函</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2.</w:t>
      </w:r>
      <w:r>
        <w:rPr>
          <w:rFonts w:hint="eastAsia" w:ascii="宋体" w:hAnsi="宋体" w:cs="宋体"/>
          <w:bCs/>
          <w:sz w:val="24"/>
        </w:rPr>
        <w:t>响应（首次）报价表</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3.</w:t>
      </w:r>
      <w:r>
        <w:rPr>
          <w:rFonts w:hint="eastAsia" w:ascii="宋体" w:hAnsi="宋体" w:cs="宋体"/>
          <w:bCs/>
          <w:sz w:val="24"/>
        </w:rPr>
        <w:t>资格证明文件</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4.</w:t>
      </w:r>
      <w:r>
        <w:rPr>
          <w:rFonts w:hint="eastAsia" w:ascii="宋体" w:hAnsi="宋体" w:cs="宋体"/>
          <w:bCs/>
          <w:sz w:val="24"/>
        </w:rPr>
        <w:t>保证金缴纳凭证</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5.</w:t>
      </w:r>
      <w:r>
        <w:rPr>
          <w:rFonts w:hint="eastAsia" w:ascii="宋体" w:hAnsi="宋体" w:cs="宋体"/>
          <w:bCs/>
          <w:sz w:val="24"/>
        </w:rPr>
        <w:t>技术及商务响应偏离表</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6.</w:t>
      </w:r>
      <w:r>
        <w:rPr>
          <w:rFonts w:hint="eastAsia" w:ascii="宋体" w:hAnsi="宋体" w:cs="宋体"/>
          <w:bCs/>
          <w:sz w:val="24"/>
        </w:rPr>
        <w:t>技术证明及服务方案说明</w:t>
      </w:r>
    </w:p>
    <w:p>
      <w:pPr>
        <w:tabs>
          <w:tab w:val="left" w:pos="3544"/>
        </w:tabs>
        <w:spacing w:before="120" w:beforeLines="50" w:line="440" w:lineRule="exact"/>
        <w:ind w:firstLine="480" w:firstLineChars="200"/>
        <w:rPr>
          <w:rFonts w:ascii="宋体" w:cs="宋体"/>
          <w:bCs/>
          <w:sz w:val="24"/>
        </w:rPr>
      </w:pPr>
      <w:r>
        <w:rPr>
          <w:rFonts w:ascii="宋体" w:hAnsi="宋体" w:cs="宋体"/>
          <w:bCs/>
          <w:sz w:val="24"/>
        </w:rPr>
        <w:t>7.</w:t>
      </w:r>
      <w:r>
        <w:rPr>
          <w:rFonts w:hint="eastAsia" w:ascii="宋体" w:hAnsi="宋体" w:cs="宋体"/>
          <w:bCs/>
          <w:sz w:val="24"/>
        </w:rPr>
        <w:t>供应商拒绝政府采购领域商业贿赂承诺书</w:t>
      </w:r>
    </w:p>
    <w:p>
      <w:pPr>
        <w:tabs>
          <w:tab w:val="left" w:pos="3544"/>
        </w:tabs>
        <w:spacing w:before="120" w:beforeLines="50" w:line="440" w:lineRule="exact"/>
        <w:ind w:firstLine="482" w:firstLineChars="200"/>
        <w:rPr>
          <w:rFonts w:ascii="宋体" w:cs="宋体"/>
          <w:b/>
          <w:sz w:val="24"/>
        </w:rPr>
      </w:pPr>
      <w:r>
        <w:rPr>
          <w:rFonts w:hint="eastAsia" w:ascii="宋体" w:hAnsi="宋体" w:cs="宋体"/>
          <w:b/>
          <w:sz w:val="24"/>
        </w:rPr>
        <w:t>在此，签字代表宣布同意如下：</w:t>
      </w:r>
    </w:p>
    <w:p>
      <w:pPr>
        <w:tabs>
          <w:tab w:val="left" w:pos="3544"/>
        </w:tabs>
        <w:spacing w:line="440" w:lineRule="exact"/>
        <w:ind w:firstLine="480" w:firstLineChars="200"/>
        <w:rPr>
          <w:rFonts w:ascii="宋体" w:cs="宋体"/>
          <w:sz w:val="24"/>
        </w:rPr>
      </w:pPr>
      <w:r>
        <w:rPr>
          <w:rFonts w:ascii="宋体" w:hAnsi="宋体" w:cs="宋体"/>
          <w:sz w:val="24"/>
        </w:rPr>
        <w:t>1.</w:t>
      </w:r>
      <w:r>
        <w:rPr>
          <w:rFonts w:hint="eastAsia" w:ascii="宋体" w:hAnsi="宋体" w:cs="宋体"/>
          <w:sz w:val="24"/>
        </w:rPr>
        <w:t>若成交，我方将按磋商文件的规定履行合同责任和义务。</w:t>
      </w:r>
    </w:p>
    <w:p>
      <w:pPr>
        <w:tabs>
          <w:tab w:val="left" w:pos="3544"/>
        </w:tabs>
        <w:spacing w:line="440" w:lineRule="exact"/>
        <w:ind w:firstLine="480" w:firstLineChars="200"/>
        <w:rPr>
          <w:rFonts w:ascii="宋体" w:cs="宋体"/>
          <w:sz w:val="24"/>
        </w:rPr>
      </w:pPr>
      <w:r>
        <w:rPr>
          <w:rFonts w:ascii="宋体" w:hAnsi="宋体" w:cs="宋体"/>
          <w:sz w:val="24"/>
        </w:rPr>
        <w:t>2.</w:t>
      </w:r>
      <w:r>
        <w:rPr>
          <w:rFonts w:hint="eastAsia" w:ascii="宋体" w:hAnsi="宋体" w:cs="宋体"/>
          <w:sz w:val="24"/>
        </w:rPr>
        <w:t>我方已详细审查全部磋商响应文件，完全理解并同意放弃对这方面有不明及误解的权力。</w:t>
      </w:r>
    </w:p>
    <w:p>
      <w:pPr>
        <w:tabs>
          <w:tab w:val="left" w:pos="3544"/>
        </w:tabs>
        <w:spacing w:line="440" w:lineRule="exact"/>
        <w:ind w:firstLine="480" w:firstLineChars="200"/>
        <w:rPr>
          <w:rFonts w:ascii="宋体" w:cs="宋体"/>
          <w:sz w:val="24"/>
        </w:rPr>
      </w:pPr>
      <w:r>
        <w:rPr>
          <w:rFonts w:ascii="宋体" w:hAnsi="宋体" w:cs="宋体"/>
          <w:sz w:val="24"/>
        </w:rPr>
        <w:t>3.</w:t>
      </w:r>
      <w:r>
        <w:rPr>
          <w:rFonts w:hint="eastAsia" w:ascii="宋体" w:hAnsi="宋体" w:cs="宋体"/>
          <w:sz w:val="24"/>
        </w:rPr>
        <w:t>我方已详细审阅并同意第五部分合同通用条款中的所有内容，完全理解并同意放弃对这方面有不明及误解的权力。</w:t>
      </w:r>
    </w:p>
    <w:p>
      <w:pPr>
        <w:tabs>
          <w:tab w:val="left" w:pos="3544"/>
        </w:tabs>
        <w:spacing w:line="440" w:lineRule="exact"/>
        <w:ind w:firstLine="480" w:firstLineChars="200"/>
        <w:rPr>
          <w:rFonts w:ascii="宋体" w:cs="宋体"/>
          <w:sz w:val="24"/>
        </w:rPr>
      </w:pPr>
      <w:r>
        <w:rPr>
          <w:rFonts w:ascii="宋体" w:hAnsi="宋体" w:cs="宋体"/>
          <w:sz w:val="24"/>
        </w:rPr>
        <w:t>4.</w:t>
      </w:r>
      <w:r>
        <w:rPr>
          <w:rFonts w:hint="eastAsia" w:ascii="宋体" w:hAnsi="宋体" w:cs="宋体"/>
          <w:sz w:val="24"/>
        </w:rPr>
        <w:t>本磋商响应文件的有效期为自磋商开始日起</w:t>
      </w:r>
      <w:r>
        <w:rPr>
          <w:rFonts w:ascii="宋体" w:hAnsi="宋体" w:cs="宋体"/>
          <w:sz w:val="24"/>
          <w:u w:val="single"/>
        </w:rPr>
        <w:t xml:space="preserve">  90 </w:t>
      </w:r>
      <w:r>
        <w:rPr>
          <w:rFonts w:hint="eastAsia" w:ascii="宋体" w:hAnsi="宋体" w:cs="宋体"/>
          <w:sz w:val="24"/>
        </w:rPr>
        <w:t>个日历日（若成交，磋商响应文件有效期与合同有效期一致）。</w:t>
      </w:r>
    </w:p>
    <w:p>
      <w:pPr>
        <w:tabs>
          <w:tab w:val="left" w:pos="3544"/>
        </w:tabs>
        <w:spacing w:line="440" w:lineRule="exact"/>
        <w:ind w:firstLine="480" w:firstLineChars="200"/>
        <w:rPr>
          <w:rFonts w:ascii="宋体" w:cs="宋体"/>
          <w:sz w:val="24"/>
        </w:rPr>
      </w:pPr>
      <w:r>
        <w:rPr>
          <w:rFonts w:ascii="宋体" w:hAnsi="宋体" w:cs="宋体"/>
          <w:sz w:val="24"/>
        </w:rPr>
        <w:t>5.</w:t>
      </w:r>
      <w:r>
        <w:rPr>
          <w:rFonts w:hint="eastAsia" w:ascii="宋体" w:hAnsi="宋体" w:cs="宋体"/>
          <w:sz w:val="24"/>
        </w:rPr>
        <w:t>我方完全理解并同意磋商文件中有关不予退还磋商保证金和磋商无效的条款。</w:t>
      </w:r>
    </w:p>
    <w:p>
      <w:pPr>
        <w:tabs>
          <w:tab w:val="left" w:pos="3544"/>
        </w:tabs>
        <w:spacing w:line="440" w:lineRule="exact"/>
        <w:ind w:firstLine="480" w:firstLineChars="200"/>
        <w:rPr>
          <w:rFonts w:ascii="宋体" w:cs="宋体"/>
          <w:sz w:val="24"/>
        </w:rPr>
      </w:pPr>
      <w:r>
        <w:rPr>
          <w:rFonts w:ascii="宋体" w:hAnsi="宋体" w:cs="宋体"/>
          <w:sz w:val="24"/>
        </w:rPr>
        <w:t>6.</w:t>
      </w:r>
      <w:r>
        <w:rPr>
          <w:rFonts w:hint="eastAsia" w:ascii="宋体" w:hAnsi="宋体" w:cs="宋体"/>
          <w:sz w:val="24"/>
        </w:rPr>
        <w:t>若我方获得成交资格，我方保证按磋商文件规定向贵方支付招标代理服务费。</w:t>
      </w:r>
    </w:p>
    <w:p>
      <w:pPr>
        <w:tabs>
          <w:tab w:val="left" w:pos="3544"/>
        </w:tabs>
        <w:spacing w:line="440" w:lineRule="exact"/>
        <w:ind w:firstLine="480" w:firstLineChars="200"/>
        <w:rPr>
          <w:rFonts w:ascii="宋体" w:cs="宋体"/>
          <w:sz w:val="24"/>
        </w:rPr>
      </w:pPr>
      <w:r>
        <w:rPr>
          <w:rFonts w:ascii="宋体" w:hAnsi="宋体" w:cs="宋体"/>
          <w:sz w:val="24"/>
        </w:rPr>
        <w:t>7.</w:t>
      </w:r>
      <w:r>
        <w:rPr>
          <w:rFonts w:hint="eastAsia" w:ascii="宋体" w:hAnsi="宋体" w:cs="宋体"/>
          <w:sz w:val="24"/>
        </w:rPr>
        <w:t>与本磋商有关的一切正式往来信函请寄：</w:t>
      </w:r>
    </w:p>
    <w:p>
      <w:pPr>
        <w:tabs>
          <w:tab w:val="left" w:pos="3544"/>
        </w:tabs>
        <w:spacing w:line="440" w:lineRule="exact"/>
        <w:ind w:firstLine="480" w:firstLineChars="200"/>
        <w:rPr>
          <w:rFonts w:ascii="宋体" w:cs="宋体"/>
          <w:sz w:val="24"/>
        </w:rPr>
      </w:pPr>
    </w:p>
    <w:p>
      <w:pPr>
        <w:tabs>
          <w:tab w:val="left" w:pos="3544"/>
        </w:tabs>
        <w:spacing w:line="360" w:lineRule="auto"/>
        <w:ind w:firstLine="480" w:firstLineChars="200"/>
        <w:rPr>
          <w:rFonts w:ascii="宋体" w:hAnsi="宋体" w:cs="宋体"/>
          <w:sz w:val="24"/>
          <w:u w:val="single"/>
        </w:rPr>
      </w:pP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w:t>
      </w:r>
      <w:r>
        <w:rPr>
          <w:rFonts w:ascii="宋体" w:hAnsi="宋体" w:cs="宋体"/>
          <w:sz w:val="24"/>
        </w:rPr>
        <w:t xml:space="preserve">  </w:t>
      </w:r>
      <w:r>
        <w:rPr>
          <w:rFonts w:hint="eastAsia" w:ascii="宋体" w:hAnsi="宋体" w:cs="宋体"/>
          <w:sz w:val="24"/>
        </w:rPr>
        <w:t>名</w:t>
      </w:r>
      <w:r>
        <w:rPr>
          <w:rFonts w:ascii="宋体" w:hAnsi="宋体" w:cs="宋体"/>
          <w:sz w:val="24"/>
        </w:rPr>
        <w:t xml:space="preserve">  </w:t>
      </w:r>
      <w:r>
        <w:rPr>
          <w:rFonts w:hint="eastAsia" w:ascii="宋体" w:hAnsi="宋体" w:cs="宋体"/>
          <w:sz w:val="24"/>
        </w:rPr>
        <w:t>称：</w:t>
      </w:r>
      <w:r>
        <w:rPr>
          <w:rFonts w:ascii="宋体" w:hAnsi="宋体" w:cs="宋体"/>
          <w:sz w:val="24"/>
          <w:u w:val="single"/>
        </w:rPr>
        <w:t xml:space="preserve">    </w:t>
      </w:r>
      <w:r>
        <w:rPr>
          <w:rFonts w:hint="eastAsia" w:ascii="宋体" w:hAnsi="宋体" w:cs="宋体"/>
          <w:sz w:val="24"/>
          <w:u w:val="single"/>
        </w:rPr>
        <w:t>（加盖公章）</w:t>
      </w:r>
      <w:r>
        <w:rPr>
          <w:rFonts w:ascii="宋体" w:hAnsi="宋体" w:cs="宋体"/>
          <w:sz w:val="24"/>
          <w:u w:val="single"/>
        </w:rPr>
        <w:t xml:space="preserve">           </w:t>
      </w:r>
    </w:p>
    <w:p>
      <w:pPr>
        <w:tabs>
          <w:tab w:val="left" w:pos="3544"/>
        </w:tabs>
        <w:spacing w:line="360" w:lineRule="auto"/>
        <w:ind w:firstLine="480" w:firstLineChars="200"/>
        <w:rPr>
          <w:rFonts w:ascii="宋体" w:hAnsi="宋体" w:cs="宋体"/>
          <w:sz w:val="24"/>
          <w:u w:val="single"/>
        </w:rPr>
      </w:pPr>
      <w:r>
        <w:rPr>
          <w:rFonts w:hint="eastAsia" w:ascii="宋体" w:hAnsi="宋体" w:cs="宋体"/>
          <w:sz w:val="24"/>
        </w:rPr>
        <w:t>详</w:t>
      </w:r>
      <w:r>
        <w:rPr>
          <w:rFonts w:ascii="宋体" w:hAnsi="宋体" w:cs="宋体"/>
          <w:sz w:val="24"/>
        </w:rPr>
        <w:t xml:space="preserve">   </w:t>
      </w:r>
      <w:r>
        <w:rPr>
          <w:rFonts w:hint="eastAsia" w:ascii="宋体" w:hAnsi="宋体" w:cs="宋体"/>
          <w:sz w:val="24"/>
        </w:rPr>
        <w:t>细</w:t>
      </w:r>
      <w:r>
        <w:rPr>
          <w:rFonts w:ascii="宋体" w:hAnsi="宋体" w:cs="宋体"/>
          <w:sz w:val="24"/>
        </w:rPr>
        <w:t xml:space="preserve">   </w:t>
      </w:r>
      <w:r>
        <w:rPr>
          <w:rFonts w:hint="eastAsia" w:ascii="宋体" w:hAnsi="宋体" w:cs="宋体"/>
          <w:sz w:val="24"/>
        </w:rPr>
        <w:t>地</w:t>
      </w:r>
      <w:r>
        <w:rPr>
          <w:rFonts w:ascii="宋体" w:hAnsi="宋体" w:cs="宋体"/>
          <w:sz w:val="24"/>
        </w:rPr>
        <w:t xml:space="preserve">   </w:t>
      </w:r>
      <w:r>
        <w:rPr>
          <w:rFonts w:hint="eastAsia" w:ascii="宋体" w:hAnsi="宋体" w:cs="宋体"/>
          <w:sz w:val="24"/>
        </w:rPr>
        <w:t>址：</w:t>
      </w:r>
      <w:r>
        <w:rPr>
          <w:rFonts w:ascii="宋体" w:hAnsi="宋体" w:cs="宋体"/>
          <w:sz w:val="24"/>
          <w:u w:val="single"/>
        </w:rPr>
        <w:t xml:space="preserve">                           </w:t>
      </w:r>
    </w:p>
    <w:p>
      <w:pPr>
        <w:numPr>
          <w:ilvl w:val="1"/>
          <w:numId w:val="0"/>
        </w:numPr>
        <w:tabs>
          <w:tab w:val="left" w:pos="360"/>
          <w:tab w:val="left" w:pos="3544"/>
        </w:tabs>
        <w:spacing w:line="360" w:lineRule="auto"/>
        <w:ind w:firstLine="480" w:firstLineChars="200"/>
        <w:rPr>
          <w:rFonts w:ascii="宋体" w:hAnsi="宋体" w:cs="宋体"/>
          <w:sz w:val="24"/>
          <w:u w:val="single"/>
        </w:rPr>
      </w:pPr>
      <w:r>
        <w:rPr>
          <w:rFonts w:hint="eastAsia" w:ascii="宋体" w:hAnsi="宋体" w:cs="宋体"/>
          <w:sz w:val="24"/>
        </w:rPr>
        <w:t>邮</w:t>
      </w:r>
      <w:r>
        <w:rPr>
          <w:rFonts w:ascii="宋体" w:hAnsi="宋体" w:cs="宋体"/>
          <w:sz w:val="24"/>
        </w:rPr>
        <w:t xml:space="preserve">   </w:t>
      </w:r>
      <w:r>
        <w:rPr>
          <w:rFonts w:hint="eastAsia" w:ascii="宋体" w:hAnsi="宋体" w:cs="宋体"/>
          <w:sz w:val="24"/>
        </w:rPr>
        <w:t>政</w:t>
      </w:r>
      <w:r>
        <w:rPr>
          <w:rFonts w:ascii="宋体" w:hAnsi="宋体" w:cs="宋体"/>
          <w:sz w:val="24"/>
        </w:rPr>
        <w:t xml:space="preserve">   </w:t>
      </w:r>
      <w:r>
        <w:rPr>
          <w:rFonts w:hint="eastAsia" w:ascii="宋体" w:hAnsi="宋体" w:cs="宋体"/>
          <w:sz w:val="24"/>
        </w:rPr>
        <w:t>编</w:t>
      </w:r>
      <w:r>
        <w:rPr>
          <w:rFonts w:ascii="宋体" w:hAnsi="宋体" w:cs="宋体"/>
          <w:sz w:val="24"/>
        </w:rPr>
        <w:t xml:space="preserve">   </w:t>
      </w:r>
      <w:r>
        <w:rPr>
          <w:rFonts w:hint="eastAsia" w:ascii="宋体" w:hAnsi="宋体" w:cs="宋体"/>
          <w:sz w:val="24"/>
        </w:rPr>
        <w:t>码：</w:t>
      </w:r>
      <w:r>
        <w:rPr>
          <w:rFonts w:ascii="宋体" w:hAnsi="宋体" w:cs="宋体"/>
          <w:sz w:val="24"/>
          <w:u w:val="single"/>
        </w:rPr>
        <w:t xml:space="preserve">                           </w:t>
      </w:r>
    </w:p>
    <w:p>
      <w:pPr>
        <w:tabs>
          <w:tab w:val="left" w:pos="3544"/>
        </w:tabs>
        <w:autoSpaceDE w:val="0"/>
        <w:autoSpaceDN w:val="0"/>
        <w:adjustRightInd w:val="0"/>
        <w:spacing w:line="360" w:lineRule="auto"/>
        <w:ind w:firstLine="480" w:firstLineChars="200"/>
        <w:rPr>
          <w:rFonts w:ascii="宋体" w:hAnsi="宋体" w:cs="宋体"/>
          <w:sz w:val="24"/>
          <w:u w:val="single"/>
          <w:lang w:val="zh-CN"/>
        </w:rPr>
      </w:pPr>
      <w:r>
        <w:rPr>
          <w:rFonts w:hint="eastAsia" w:ascii="宋体" w:hAnsi="宋体" w:cs="宋体"/>
          <w:sz w:val="24"/>
          <w:lang w:val="zh-CN"/>
        </w:rPr>
        <w:t>电</w:t>
      </w:r>
      <w:r>
        <w:rPr>
          <w:rFonts w:ascii="宋体" w:hAnsi="宋体" w:cs="宋体"/>
          <w:sz w:val="24"/>
          <w:lang w:val="zh-CN"/>
        </w:rPr>
        <w:t xml:space="preserve">             </w:t>
      </w:r>
      <w:r>
        <w:rPr>
          <w:rFonts w:hint="eastAsia" w:ascii="宋体" w:hAnsi="宋体" w:cs="宋体"/>
          <w:sz w:val="24"/>
          <w:lang w:val="zh-CN"/>
        </w:rPr>
        <w:t>话：</w:t>
      </w:r>
      <w:r>
        <w:rPr>
          <w:rFonts w:ascii="宋体" w:hAnsi="宋体" w:cs="宋体"/>
          <w:sz w:val="24"/>
          <w:u w:val="single"/>
          <w:lang w:val="zh-CN"/>
        </w:rPr>
        <w:t xml:space="preserve">                           </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传</w:t>
      </w:r>
      <w:r>
        <w:rPr>
          <w:rFonts w:ascii="宋体" w:hAnsi="宋体" w:cs="宋体"/>
          <w:sz w:val="24"/>
          <w:lang w:val="zh-CN"/>
        </w:rPr>
        <w:t xml:space="preserve">             </w:t>
      </w:r>
      <w:r>
        <w:rPr>
          <w:rFonts w:hint="eastAsia" w:ascii="宋体" w:hAnsi="宋体" w:cs="宋体"/>
          <w:sz w:val="24"/>
          <w:lang w:val="zh-CN"/>
        </w:rPr>
        <w:t>真：</w:t>
      </w:r>
      <w:r>
        <w:rPr>
          <w:rFonts w:ascii="宋体" w:hAnsi="宋体" w:cs="宋体"/>
          <w:sz w:val="24"/>
          <w:u w:val="single"/>
          <w:lang w:val="zh-CN"/>
        </w:rPr>
        <w:t xml:space="preserve">                           </w:t>
      </w:r>
    </w:p>
    <w:p>
      <w:pPr>
        <w:numPr>
          <w:ilvl w:val="1"/>
          <w:numId w:val="0"/>
        </w:numPr>
        <w:tabs>
          <w:tab w:val="left" w:pos="360"/>
          <w:tab w:val="left" w:pos="3544"/>
        </w:tabs>
        <w:spacing w:line="360" w:lineRule="auto"/>
        <w:ind w:firstLine="480" w:firstLineChars="200"/>
        <w:rPr>
          <w:rFonts w:ascii="宋体" w:cs="宋体"/>
          <w:sz w:val="24"/>
        </w:rPr>
      </w:pPr>
      <w:r>
        <w:rPr>
          <w:rFonts w:hint="eastAsia" w:ascii="宋体" w:hAnsi="宋体" w:cs="宋体"/>
          <w:sz w:val="24"/>
        </w:rPr>
        <w:t>电</w:t>
      </w:r>
      <w:r>
        <w:rPr>
          <w:rFonts w:ascii="宋体" w:hAnsi="宋体" w:cs="宋体"/>
          <w:sz w:val="24"/>
        </w:rPr>
        <w:t xml:space="preserve"> </w:t>
      </w:r>
      <w:r>
        <w:rPr>
          <w:rFonts w:hint="eastAsia" w:ascii="宋体" w:hAnsi="宋体" w:cs="宋体"/>
          <w:sz w:val="24"/>
        </w:rPr>
        <w:t>子</w:t>
      </w:r>
      <w:r>
        <w:rPr>
          <w:rFonts w:ascii="宋体" w:hAnsi="宋体" w:cs="宋体"/>
          <w:sz w:val="24"/>
        </w:rPr>
        <w:t xml:space="preserve"> </w:t>
      </w:r>
      <w:r>
        <w:rPr>
          <w:rFonts w:hint="eastAsia" w:ascii="宋体" w:hAnsi="宋体" w:cs="宋体"/>
          <w:sz w:val="24"/>
        </w:rPr>
        <w:t>邮</w:t>
      </w:r>
      <w:r>
        <w:rPr>
          <w:rFonts w:ascii="宋体" w:hAnsi="宋体" w:cs="宋体"/>
          <w:sz w:val="24"/>
        </w:rPr>
        <w:t xml:space="preserve"> </w:t>
      </w:r>
      <w:r>
        <w:rPr>
          <w:rFonts w:hint="eastAsia" w:ascii="宋体" w:hAnsi="宋体" w:cs="宋体"/>
          <w:sz w:val="24"/>
        </w:rPr>
        <w:t>件</w:t>
      </w:r>
      <w:r>
        <w:rPr>
          <w:rFonts w:ascii="宋体" w:hAnsi="宋体" w:cs="宋体"/>
          <w:sz w:val="24"/>
        </w:rPr>
        <w:t xml:space="preserve"> </w:t>
      </w:r>
      <w:r>
        <w:rPr>
          <w:rFonts w:hint="eastAsia" w:ascii="宋体" w:hAnsi="宋体" w:cs="宋体"/>
          <w:sz w:val="24"/>
        </w:rPr>
        <w:t>地</w:t>
      </w:r>
      <w:r>
        <w:rPr>
          <w:rFonts w:ascii="宋体" w:hAnsi="宋体" w:cs="宋体"/>
          <w:sz w:val="24"/>
        </w:rPr>
        <w:t xml:space="preserve"> </w:t>
      </w:r>
      <w:r>
        <w:rPr>
          <w:rFonts w:hint="eastAsia" w:ascii="宋体" w:hAnsi="宋体" w:cs="宋体"/>
          <w:sz w:val="24"/>
        </w:rPr>
        <w:t>址：</w:t>
      </w:r>
      <w:r>
        <w:rPr>
          <w:rFonts w:ascii="宋体" w:hAnsi="宋体" w:cs="宋体"/>
          <w:sz w:val="24"/>
          <w:u w:val="single"/>
        </w:rPr>
        <w:t xml:space="preserve">                           </w:t>
      </w:r>
    </w:p>
    <w:p>
      <w:pPr>
        <w:tabs>
          <w:tab w:val="left" w:pos="3544"/>
        </w:tabs>
        <w:autoSpaceDE w:val="0"/>
        <w:autoSpaceDN w:val="0"/>
        <w:adjustRightInd w:val="0"/>
        <w:spacing w:line="360" w:lineRule="auto"/>
        <w:ind w:firstLine="480" w:firstLineChars="200"/>
        <w:rPr>
          <w:rFonts w:ascii="宋体" w:hAnsi="宋体" w:cs="宋体"/>
          <w:sz w:val="24"/>
          <w:u w:val="single"/>
          <w:lang w:val="zh-CN"/>
        </w:rPr>
      </w:pPr>
      <w:r>
        <w:rPr>
          <w:rFonts w:hint="eastAsia" w:ascii="宋体" w:hAnsi="宋体" w:cs="宋体"/>
          <w:sz w:val="24"/>
          <w:lang w:val="zh-CN"/>
        </w:rPr>
        <w:t>开</w:t>
      </w:r>
      <w:r>
        <w:rPr>
          <w:rFonts w:ascii="宋体" w:hAnsi="宋体" w:cs="宋体"/>
          <w:sz w:val="24"/>
          <w:lang w:val="zh-CN"/>
        </w:rPr>
        <w:t xml:space="preserve">   </w:t>
      </w:r>
      <w:r>
        <w:rPr>
          <w:rFonts w:hint="eastAsia" w:ascii="宋体" w:hAnsi="宋体" w:cs="宋体"/>
          <w:sz w:val="24"/>
          <w:lang w:val="zh-CN"/>
        </w:rPr>
        <w:t>户</w:t>
      </w:r>
      <w:r>
        <w:rPr>
          <w:rFonts w:ascii="宋体" w:hAnsi="宋体" w:cs="宋体"/>
          <w:sz w:val="24"/>
          <w:lang w:val="zh-CN"/>
        </w:rPr>
        <w:t xml:space="preserve">   </w:t>
      </w:r>
      <w:r>
        <w:rPr>
          <w:rFonts w:hint="eastAsia" w:ascii="宋体" w:hAnsi="宋体" w:cs="宋体"/>
          <w:sz w:val="24"/>
          <w:lang w:val="zh-CN"/>
        </w:rPr>
        <w:t>银</w:t>
      </w:r>
      <w:r>
        <w:rPr>
          <w:rFonts w:ascii="宋体" w:hAnsi="宋体" w:cs="宋体"/>
          <w:sz w:val="24"/>
          <w:lang w:val="zh-CN"/>
        </w:rPr>
        <w:t xml:space="preserve">   </w:t>
      </w:r>
      <w:r>
        <w:rPr>
          <w:rFonts w:hint="eastAsia" w:ascii="宋体" w:hAnsi="宋体" w:cs="宋体"/>
          <w:sz w:val="24"/>
          <w:lang w:val="zh-CN"/>
        </w:rPr>
        <w:t>行：</w:t>
      </w:r>
      <w:r>
        <w:rPr>
          <w:rFonts w:ascii="宋体" w:hAnsi="宋体" w:cs="宋体"/>
          <w:sz w:val="24"/>
          <w:u w:val="single"/>
          <w:lang w:val="zh-CN"/>
        </w:rPr>
        <w:t xml:space="preserve">                           </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帐</w:t>
      </w:r>
      <w:r>
        <w:rPr>
          <w:rFonts w:ascii="宋体" w:hAnsi="宋体" w:cs="宋体"/>
          <w:sz w:val="24"/>
          <w:lang w:val="zh-CN"/>
        </w:rPr>
        <w:t xml:space="preserve">             </w:t>
      </w:r>
      <w:r>
        <w:rPr>
          <w:rFonts w:hint="eastAsia" w:ascii="宋体" w:hAnsi="宋体" w:cs="宋体"/>
          <w:sz w:val="24"/>
          <w:lang w:val="zh-CN"/>
        </w:rPr>
        <w:t>号：</w:t>
      </w:r>
      <w:r>
        <w:rPr>
          <w:rFonts w:ascii="宋体" w:hAnsi="宋体" w:cs="宋体"/>
          <w:sz w:val="24"/>
          <w:u w:val="single"/>
          <w:lang w:val="zh-CN"/>
        </w:rPr>
        <w:t xml:space="preserve">                           </w:t>
      </w:r>
    </w:p>
    <w:p>
      <w:pPr>
        <w:tabs>
          <w:tab w:val="left" w:pos="3544"/>
        </w:tabs>
        <w:autoSpaceDE w:val="0"/>
        <w:autoSpaceDN w:val="0"/>
        <w:adjustRightInd w:val="0"/>
        <w:spacing w:line="360" w:lineRule="auto"/>
        <w:ind w:firstLine="480" w:firstLineChars="200"/>
        <w:rPr>
          <w:rFonts w:ascii="宋体" w:cs="宋体"/>
          <w:sz w:val="24"/>
          <w:lang w:val="zh-CN"/>
        </w:rPr>
      </w:pPr>
      <w:r>
        <w:rPr>
          <w:rFonts w:hint="eastAsia" w:ascii="宋体" w:hAnsi="宋体" w:cs="宋体"/>
          <w:sz w:val="24"/>
          <w:lang w:val="zh-CN"/>
        </w:rPr>
        <w:t>法定代表人</w:t>
      </w:r>
      <w:r>
        <w:rPr>
          <w:rFonts w:ascii="宋体" w:hAnsi="宋体" w:cs="宋体"/>
          <w:sz w:val="24"/>
          <w:lang w:val="zh-CN"/>
        </w:rPr>
        <w:t>/</w:t>
      </w:r>
      <w:r>
        <w:rPr>
          <w:rFonts w:hint="eastAsia" w:ascii="宋体" w:hAnsi="宋体" w:cs="宋体"/>
          <w:sz w:val="24"/>
        </w:rPr>
        <w:t>授权</w:t>
      </w:r>
      <w:r>
        <w:rPr>
          <w:rFonts w:hint="eastAsia" w:ascii="宋体" w:hAnsi="宋体" w:cs="宋体"/>
          <w:sz w:val="24"/>
          <w:lang w:val="zh-CN"/>
        </w:rPr>
        <w:t>代表签字：</w:t>
      </w:r>
      <w:r>
        <w:rPr>
          <w:rFonts w:ascii="宋体" w:hAnsi="宋体" w:cs="宋体"/>
          <w:sz w:val="24"/>
          <w:u w:val="single"/>
        </w:rPr>
        <w:t xml:space="preserve">                     </w:t>
      </w:r>
    </w:p>
    <w:p>
      <w:pPr>
        <w:tabs>
          <w:tab w:val="left" w:pos="3544"/>
        </w:tabs>
        <w:spacing w:line="360" w:lineRule="auto"/>
        <w:ind w:firstLine="480" w:firstLineChars="200"/>
        <w:rPr>
          <w:rFonts w:ascii="宋体" w:cs="宋体"/>
          <w:sz w:val="24"/>
        </w:rPr>
      </w:pPr>
      <w:r>
        <w:rPr>
          <w:rFonts w:hint="eastAsia" w:ascii="宋体" w:hAnsi="宋体" w:cs="宋体"/>
          <w:sz w:val="24"/>
          <w:lang w:val="zh-CN"/>
        </w:rPr>
        <w:t>手机：</w:t>
      </w:r>
      <w:r>
        <w:rPr>
          <w:rFonts w:ascii="宋体" w:hAnsi="宋体" w:cs="宋体"/>
          <w:sz w:val="24"/>
          <w:u w:val="single"/>
          <w:lang w:val="zh-CN"/>
        </w:rPr>
        <w:t xml:space="preserve">                   </w:t>
      </w:r>
    </w:p>
    <w:p>
      <w:pPr>
        <w:tabs>
          <w:tab w:val="left" w:pos="3544"/>
        </w:tabs>
        <w:spacing w:line="360" w:lineRule="auto"/>
        <w:ind w:firstLine="720" w:firstLineChars="300"/>
        <w:rPr>
          <w:rFonts w:ascii="宋体" w:cs="宋体"/>
          <w:sz w:val="24"/>
        </w:rPr>
      </w:pPr>
      <w:r>
        <w:rPr>
          <w:rFonts w:ascii="宋体" w:hAnsi="宋体" w:cs="宋体"/>
          <w:sz w:val="24"/>
        </w:rPr>
        <w:t xml:space="preserve"> </w:t>
      </w: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p>
    <w:p>
      <w:pPr>
        <w:tabs>
          <w:tab w:val="left" w:pos="3544"/>
        </w:tabs>
        <w:rPr>
          <w:rFonts w:ascii="宋体" w:cs="宋体"/>
          <w:sz w:val="24"/>
        </w:rPr>
      </w:pPr>
    </w:p>
    <w:p>
      <w:pPr>
        <w:tabs>
          <w:tab w:val="left" w:pos="3544"/>
        </w:tabs>
        <w:spacing w:line="360" w:lineRule="atLeast"/>
        <w:rPr>
          <w:rFonts w:ascii="宋体" w:cs="宋体"/>
          <w:sz w:val="24"/>
        </w:rPr>
        <w:sectPr>
          <w:pgSz w:w="11906" w:h="16838"/>
          <w:pgMar w:top="1440" w:right="1797" w:bottom="1440" w:left="1797" w:header="851" w:footer="992" w:gutter="0"/>
          <w:cols w:space="720" w:num="1"/>
          <w:docGrid w:linePitch="312" w:charSpace="0"/>
        </w:sectPr>
      </w:pPr>
    </w:p>
    <w:p>
      <w:pPr>
        <w:tabs>
          <w:tab w:val="left" w:pos="3544"/>
        </w:tabs>
        <w:spacing w:line="360" w:lineRule="atLeast"/>
        <w:jc w:val="center"/>
        <w:rPr>
          <w:rFonts w:ascii="宋体" w:cs="宋体"/>
          <w:b/>
          <w:sz w:val="28"/>
          <w:szCs w:val="28"/>
        </w:rPr>
      </w:pPr>
      <w:r>
        <w:rPr>
          <w:rFonts w:ascii="宋体" w:hAnsi="宋体" w:cs="宋体"/>
          <w:b/>
          <w:sz w:val="28"/>
          <w:szCs w:val="28"/>
        </w:rPr>
        <w:t>2.</w:t>
      </w:r>
      <w:r>
        <w:rPr>
          <w:rFonts w:hint="eastAsia" w:ascii="宋体" w:hAnsi="宋体" w:cs="宋体"/>
          <w:b/>
          <w:sz w:val="28"/>
          <w:szCs w:val="28"/>
        </w:rPr>
        <w:t>响应（首次）报价表</w:t>
      </w:r>
    </w:p>
    <w:p>
      <w:pPr>
        <w:tabs>
          <w:tab w:val="left" w:pos="3544"/>
        </w:tabs>
        <w:rPr>
          <w:rFonts w:ascii="宋体" w:cs="宋体"/>
          <w:sz w:val="24"/>
        </w:rPr>
      </w:pPr>
      <w:bookmarkStart w:id="209" w:name="_Toc489869750"/>
      <w:bookmarkStart w:id="210" w:name="_Toc489870026"/>
      <w:bookmarkStart w:id="211" w:name="_Toc489868892"/>
      <w:bookmarkStart w:id="212" w:name="_Toc489869364"/>
      <w:bookmarkStart w:id="213" w:name="_Toc489869026"/>
      <w:r>
        <w:rPr>
          <w:rFonts w:ascii="宋体" w:hAnsi="宋体" w:cs="宋体"/>
          <w:b/>
          <w:sz w:val="24"/>
        </w:rPr>
        <w:t>2.1.</w:t>
      </w:r>
      <w:r>
        <w:rPr>
          <w:rFonts w:ascii="宋体" w:hAnsi="宋体" w:cs="宋体"/>
          <w:b/>
          <w:bCs/>
          <w:sz w:val="24"/>
        </w:rPr>
        <w:t xml:space="preserve"> </w:t>
      </w:r>
      <w:r>
        <w:rPr>
          <w:rFonts w:hint="eastAsia" w:ascii="宋体" w:hAnsi="宋体" w:cs="宋体"/>
          <w:b/>
          <w:bCs/>
          <w:sz w:val="24"/>
        </w:rPr>
        <w:t>报价（首次）一览表</w:t>
      </w:r>
      <w:bookmarkEnd w:id="209"/>
      <w:bookmarkEnd w:id="210"/>
      <w:bookmarkEnd w:id="211"/>
      <w:bookmarkEnd w:id="212"/>
      <w:bookmarkEnd w:id="213"/>
    </w:p>
    <w:p>
      <w:pPr>
        <w:tabs>
          <w:tab w:val="left" w:pos="3544"/>
        </w:tabs>
        <w:spacing w:after="120" w:afterLines="50" w:line="240" w:lineRule="auto"/>
        <w:jc w:val="left"/>
        <w:rPr>
          <w:rFonts w:ascii="宋体" w:cs="宋体"/>
          <w:bCs/>
          <w:sz w:val="24"/>
        </w:rPr>
      </w:pPr>
      <w:r>
        <w:rPr>
          <w:rFonts w:hint="eastAsia" w:ascii="宋体" w:hAnsi="宋体" w:cs="宋体"/>
          <w:bCs/>
          <w:sz w:val="24"/>
        </w:rPr>
        <w:t>项目编号：</w:t>
      </w:r>
    </w:p>
    <w:p>
      <w:pPr>
        <w:tabs>
          <w:tab w:val="left" w:pos="3544"/>
        </w:tabs>
        <w:spacing w:after="120" w:afterLines="50" w:line="240" w:lineRule="exact"/>
        <w:jc w:val="left"/>
        <w:rPr>
          <w:rFonts w:ascii="宋体" w:hAnsi="宋体" w:cs="宋体"/>
          <w:sz w:val="24"/>
        </w:rPr>
      </w:pP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w:t>
      </w:r>
      <w:r>
        <w:rPr>
          <w:rFonts w:ascii="宋体" w:hAnsi="宋体" w:cs="宋体"/>
          <w:sz w:val="24"/>
        </w:rPr>
        <w:t xml:space="preserve"> </w:t>
      </w:r>
    </w:p>
    <w:tbl>
      <w:tblPr>
        <w:tblStyle w:val="40"/>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21"/>
        <w:gridCol w:w="2199"/>
        <w:gridCol w:w="2100"/>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2421" w:type="dxa"/>
            <w:vAlign w:val="center"/>
          </w:tcPr>
          <w:p>
            <w:pPr>
              <w:tabs>
                <w:tab w:val="left" w:pos="3544"/>
              </w:tabs>
              <w:jc w:val="center"/>
              <w:rPr>
                <w:rFonts w:ascii="宋体" w:cs="宋体"/>
                <w:b/>
                <w:sz w:val="24"/>
              </w:rPr>
            </w:pPr>
            <w:r>
              <w:rPr>
                <w:rFonts w:hint="eastAsia" w:ascii="宋体" w:hAnsi="宋体" w:cs="宋体"/>
                <w:b/>
                <w:sz w:val="24"/>
              </w:rPr>
              <w:t>响应总报价</w:t>
            </w:r>
          </w:p>
          <w:p>
            <w:pPr>
              <w:tabs>
                <w:tab w:val="left" w:pos="3544"/>
              </w:tabs>
              <w:jc w:val="center"/>
              <w:rPr>
                <w:rFonts w:ascii="宋体" w:cs="宋体"/>
                <w:b/>
                <w:sz w:val="24"/>
              </w:rPr>
            </w:pPr>
            <w:r>
              <w:rPr>
                <w:rFonts w:hint="eastAsia" w:ascii="宋体" w:hAnsi="宋体" w:cs="宋体"/>
                <w:b/>
                <w:sz w:val="24"/>
              </w:rPr>
              <w:t>（人民币</w:t>
            </w:r>
            <w:r>
              <w:rPr>
                <w:rFonts w:ascii="宋体" w:hAnsi="宋体" w:cs="宋体"/>
                <w:b/>
                <w:sz w:val="24"/>
              </w:rPr>
              <w:t>:</w:t>
            </w:r>
            <w:r>
              <w:rPr>
                <w:rFonts w:hint="eastAsia" w:ascii="宋体" w:hAnsi="宋体" w:cs="宋体"/>
                <w:b/>
                <w:sz w:val="24"/>
              </w:rPr>
              <w:t>元）</w:t>
            </w:r>
          </w:p>
        </w:tc>
        <w:tc>
          <w:tcPr>
            <w:tcW w:w="2199" w:type="dxa"/>
            <w:vAlign w:val="center"/>
          </w:tcPr>
          <w:p>
            <w:pPr>
              <w:tabs>
                <w:tab w:val="left" w:pos="3544"/>
              </w:tabs>
              <w:jc w:val="center"/>
              <w:rPr>
                <w:rFonts w:ascii="宋体" w:hAnsi="宋体" w:cs="宋体"/>
                <w:b/>
                <w:sz w:val="24"/>
              </w:rPr>
            </w:pPr>
            <w:r>
              <w:rPr>
                <w:rFonts w:hint="eastAsia" w:ascii="宋体" w:hAnsi="宋体" w:cs="宋体"/>
                <w:b/>
                <w:sz w:val="24"/>
              </w:rPr>
              <w:t>交货期</w:t>
            </w:r>
          </w:p>
          <w:p>
            <w:pPr>
              <w:tabs>
                <w:tab w:val="left" w:pos="3544"/>
              </w:tabs>
              <w:jc w:val="center"/>
              <w:rPr>
                <w:rFonts w:ascii="宋体" w:hAnsi="宋体" w:cs="宋体"/>
                <w:b/>
                <w:sz w:val="24"/>
              </w:rPr>
            </w:pPr>
            <w:r>
              <w:rPr>
                <w:rFonts w:hint="eastAsia" w:ascii="宋体" w:hAnsi="宋体" w:cs="宋体"/>
                <w:b/>
                <w:sz w:val="24"/>
              </w:rPr>
              <w:t>（日历天）</w:t>
            </w:r>
          </w:p>
        </w:tc>
        <w:tc>
          <w:tcPr>
            <w:tcW w:w="2100" w:type="dxa"/>
            <w:vAlign w:val="center"/>
          </w:tcPr>
          <w:p>
            <w:pPr>
              <w:tabs>
                <w:tab w:val="left" w:pos="3544"/>
              </w:tabs>
              <w:jc w:val="center"/>
              <w:rPr>
                <w:rFonts w:ascii="宋体" w:cs="宋体"/>
                <w:b/>
                <w:sz w:val="24"/>
              </w:rPr>
            </w:pPr>
            <w:r>
              <w:rPr>
                <w:rFonts w:hint="eastAsia" w:ascii="宋体" w:cs="宋体"/>
                <w:b/>
                <w:sz w:val="24"/>
              </w:rPr>
              <w:t>质保期</w:t>
            </w:r>
          </w:p>
          <w:p>
            <w:pPr>
              <w:tabs>
                <w:tab w:val="left" w:pos="3544"/>
              </w:tabs>
              <w:jc w:val="center"/>
              <w:rPr>
                <w:rFonts w:ascii="宋体" w:cs="宋体"/>
                <w:b/>
                <w:sz w:val="24"/>
              </w:rPr>
            </w:pPr>
            <w:r>
              <w:rPr>
                <w:rFonts w:hint="eastAsia" w:ascii="宋体" w:cs="宋体"/>
                <w:b/>
                <w:sz w:val="24"/>
              </w:rPr>
              <w:t>（年）</w:t>
            </w:r>
          </w:p>
        </w:tc>
        <w:tc>
          <w:tcPr>
            <w:tcW w:w="1926" w:type="dxa"/>
            <w:vAlign w:val="center"/>
          </w:tcPr>
          <w:p>
            <w:pPr>
              <w:tabs>
                <w:tab w:val="left" w:pos="3544"/>
              </w:tabs>
              <w:jc w:val="center"/>
              <w:rPr>
                <w:rFonts w:ascii="宋体" w:cs="宋体"/>
                <w:b/>
                <w:sz w:val="24"/>
              </w:rPr>
            </w:pPr>
            <w:r>
              <w:rPr>
                <w:rFonts w:hint="eastAsia" w:ascii="宋体" w:hAnsi="宋体" w:cs="宋体"/>
                <w:b/>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2421" w:type="dxa"/>
            <w:vAlign w:val="center"/>
          </w:tcPr>
          <w:p>
            <w:pPr>
              <w:tabs>
                <w:tab w:val="left" w:pos="3544"/>
              </w:tabs>
              <w:rPr>
                <w:rFonts w:ascii="宋体" w:cs="宋体"/>
                <w:b/>
                <w:bCs/>
                <w:sz w:val="24"/>
              </w:rPr>
            </w:pPr>
          </w:p>
        </w:tc>
        <w:tc>
          <w:tcPr>
            <w:tcW w:w="2199" w:type="dxa"/>
          </w:tcPr>
          <w:p>
            <w:pPr>
              <w:tabs>
                <w:tab w:val="left" w:pos="3544"/>
              </w:tabs>
              <w:rPr>
                <w:rFonts w:ascii="宋体" w:cs="宋体"/>
                <w:b/>
                <w:bCs/>
                <w:sz w:val="24"/>
              </w:rPr>
            </w:pPr>
          </w:p>
        </w:tc>
        <w:tc>
          <w:tcPr>
            <w:tcW w:w="2100" w:type="dxa"/>
          </w:tcPr>
          <w:p>
            <w:pPr>
              <w:tabs>
                <w:tab w:val="left" w:pos="3544"/>
              </w:tabs>
              <w:rPr>
                <w:rFonts w:ascii="宋体" w:cs="宋体"/>
                <w:b/>
                <w:bCs/>
                <w:sz w:val="24"/>
              </w:rPr>
            </w:pPr>
          </w:p>
        </w:tc>
        <w:tc>
          <w:tcPr>
            <w:tcW w:w="1926" w:type="dxa"/>
          </w:tcPr>
          <w:p>
            <w:pPr>
              <w:tabs>
                <w:tab w:val="left" w:pos="3544"/>
              </w:tabs>
              <w:jc w:val="center"/>
              <w:rPr>
                <w:rFonts w:ascii="宋体" w:cs="宋体"/>
                <w:b/>
                <w:bCs/>
                <w:sz w:val="24"/>
              </w:rPr>
            </w:pPr>
          </w:p>
          <w:p>
            <w:pPr>
              <w:tabs>
                <w:tab w:val="left" w:pos="3544"/>
              </w:tabs>
              <w:rPr>
                <w:rFonts w:ascii="宋体" w:cs="宋体"/>
                <w:b/>
                <w:bCs/>
                <w:sz w:val="24"/>
              </w:rPr>
            </w:pPr>
          </w:p>
          <w:p>
            <w:pPr>
              <w:tabs>
                <w:tab w:val="left" w:pos="3544"/>
              </w:tabs>
              <w:jc w:val="center"/>
              <w:rPr>
                <w:rFonts w:ascii="宋体" w:hAnsi="宋体" w:cs="宋体"/>
                <w:b/>
                <w:bCs/>
                <w:sz w:val="24"/>
              </w:rPr>
            </w:pPr>
            <w:r>
              <w:rPr>
                <w:rFonts w:ascii="宋体" w:hAnsi="宋体" w:cs="宋体"/>
                <w:b/>
                <w:bCs/>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8646" w:type="dxa"/>
            <w:gridSpan w:val="4"/>
            <w:vAlign w:val="center"/>
          </w:tcPr>
          <w:p>
            <w:pPr>
              <w:tabs>
                <w:tab w:val="left" w:pos="3544"/>
              </w:tabs>
              <w:rPr>
                <w:rFonts w:ascii="宋体" w:cs="宋体"/>
                <w:b/>
                <w:sz w:val="24"/>
              </w:rPr>
            </w:pPr>
            <w:r>
              <w:rPr>
                <w:rFonts w:hint="eastAsia" w:ascii="宋体" w:hAnsi="宋体" w:cs="宋体"/>
                <w:b/>
                <w:sz w:val="24"/>
              </w:rPr>
              <w:t>响应总报价：</w:t>
            </w:r>
            <w:r>
              <w:rPr>
                <w:rFonts w:ascii="宋体" w:hAnsi="宋体" w:cs="宋体"/>
                <w:b/>
                <w:sz w:val="24"/>
              </w:rPr>
              <w:t xml:space="preserve">                       </w:t>
            </w:r>
            <w:r>
              <w:rPr>
                <w:rFonts w:hint="eastAsia" w:ascii="宋体" w:hAnsi="宋体" w:cs="宋体"/>
                <w:b/>
                <w:sz w:val="24"/>
              </w:rPr>
              <w:t>（人民币：元）</w:t>
            </w:r>
          </w:p>
        </w:tc>
      </w:tr>
    </w:tbl>
    <w:p>
      <w:pPr>
        <w:tabs>
          <w:tab w:val="left" w:pos="3544"/>
        </w:tabs>
        <w:spacing w:line="360" w:lineRule="auto"/>
        <w:rPr>
          <w:rFonts w:asciiTheme="minorEastAsia" w:hAnsiTheme="minorEastAsia" w:eastAsiaTheme="minorEastAsia" w:cstheme="minorEastAsia"/>
          <w:sz w:val="24"/>
        </w:rPr>
      </w:pPr>
      <w:r>
        <w:rPr>
          <w:rFonts w:hint="eastAsia" w:ascii="宋体" w:hAnsi="宋体" w:cs="宋体"/>
          <w:iCs/>
          <w:sz w:val="24"/>
        </w:rPr>
        <w:t>注：</w:t>
      </w:r>
      <w:r>
        <w:rPr>
          <w:rFonts w:hint="eastAsia" w:asciiTheme="minorEastAsia" w:hAnsiTheme="minorEastAsia" w:eastAsiaTheme="minorEastAsia" w:cstheme="minorEastAsia"/>
          <w:iCs/>
          <w:sz w:val="24"/>
        </w:rPr>
        <w:t>1.</w:t>
      </w:r>
      <w:r>
        <w:rPr>
          <w:rFonts w:hint="eastAsia" w:asciiTheme="minorEastAsia" w:hAnsiTheme="minorEastAsia" w:eastAsiaTheme="minorEastAsia" w:cstheme="minorEastAsia"/>
          <w:sz w:val="24"/>
        </w:rPr>
        <w:t>供应商须按要求填写，不得随意更改本表格式。</w:t>
      </w:r>
    </w:p>
    <w:p>
      <w:pPr>
        <w:tabs>
          <w:tab w:val="left" w:pos="3544"/>
        </w:tabs>
        <w:spacing w:line="360" w:lineRule="auto"/>
        <w:ind w:firstLine="480" w:firstLineChars="200"/>
        <w:rPr>
          <w:rFonts w:asciiTheme="minorEastAsia" w:hAnsiTheme="minorEastAsia" w:eastAsiaTheme="minorEastAsia" w:cstheme="minorEastAsia"/>
          <w:iCs/>
          <w:sz w:val="24"/>
        </w:rPr>
      </w:pPr>
      <w:r>
        <w:rPr>
          <w:rFonts w:hint="eastAsia" w:asciiTheme="minorEastAsia" w:hAnsiTheme="minorEastAsia" w:eastAsiaTheme="minorEastAsia" w:cstheme="minorEastAsia"/>
          <w:iCs/>
          <w:sz w:val="24"/>
        </w:rPr>
        <w:t>2.满足价格扣除的供应商，须在备注栏中注明扣除类型，声明函与证明材料装订在正副本资格证明文件之后，（若无价格扣除，填“无”）。</w:t>
      </w:r>
    </w:p>
    <w:p>
      <w:pPr>
        <w:wordWrap w:val="0"/>
        <w:topLinePunct/>
        <w:spacing w:line="360" w:lineRule="auto"/>
        <w:ind w:firstLine="480" w:firstLineChars="200"/>
        <w:rPr>
          <w:rFonts w:ascii="宋体" w:cs="宋体"/>
          <w:iCs/>
          <w:sz w:val="24"/>
        </w:rPr>
      </w:pPr>
      <w:r>
        <w:rPr>
          <w:rFonts w:hint="eastAsia" w:asciiTheme="minorEastAsia" w:hAnsiTheme="minorEastAsia" w:eastAsiaTheme="minorEastAsia" w:cstheme="minorEastAsia"/>
          <w:iCs/>
          <w:sz w:val="24"/>
        </w:rPr>
        <w:t>3.报价单位为“元”，保留小数点后两位。</w:t>
      </w: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firstLine="9600" w:firstLineChars="4000"/>
        <w:rPr>
          <w:rFonts w:ascii="宋体" w:cs="宋体"/>
          <w:sz w:val="24"/>
        </w:rPr>
      </w:pPr>
    </w:p>
    <w:p>
      <w:pPr>
        <w:tabs>
          <w:tab w:val="left" w:pos="3544"/>
        </w:tabs>
        <w:spacing w:line="440" w:lineRule="exact"/>
        <w:ind w:right="960"/>
        <w:jc w:val="center"/>
        <w:rPr>
          <w:rFonts w:ascii="宋体" w:cs="宋体"/>
          <w:sz w:val="24"/>
        </w:rPr>
      </w:pPr>
      <w:r>
        <w:rPr>
          <w:rFonts w:ascii="宋体" w:hAnsi="宋体" w:cs="宋体"/>
          <w:sz w:val="24"/>
        </w:rPr>
        <w:t xml:space="preserve">                                    </w:t>
      </w:r>
      <w:r>
        <w:rPr>
          <w:rFonts w:hint="eastAsia" w:ascii="宋体" w:hAnsi="宋体" w:cs="宋体"/>
          <w:sz w:val="24"/>
        </w:rPr>
        <w:t>供应商名称：（加盖公章）</w:t>
      </w:r>
    </w:p>
    <w:p>
      <w:pPr>
        <w:tabs>
          <w:tab w:val="left" w:pos="3544"/>
        </w:tabs>
        <w:spacing w:line="360" w:lineRule="atLeast"/>
        <w:ind w:right="960" w:firstLine="4320" w:firstLineChars="1800"/>
        <w:jc w:val="right"/>
        <w:rPr>
          <w:rFonts w:ascii="宋体" w:cs="宋体"/>
          <w:sz w:val="24"/>
        </w:rPr>
      </w:pPr>
      <w:r>
        <w:rPr>
          <w:rFonts w:ascii="宋体" w:hAnsi="宋体" w:cs="宋体"/>
          <w:sz w:val="24"/>
        </w:rPr>
        <w:t xml:space="preserve">                                  </w:t>
      </w:r>
      <w:r>
        <w:rPr>
          <w:rFonts w:hint="eastAsia" w:ascii="宋体" w:hAnsi="宋体" w:cs="宋体"/>
          <w:sz w:val="24"/>
        </w:rPr>
        <w:t xml:space="preserve">  法定代表人</w:t>
      </w:r>
      <w:r>
        <w:rPr>
          <w:rFonts w:ascii="宋体" w:hAnsi="宋体" w:cs="宋体"/>
          <w:sz w:val="24"/>
        </w:rPr>
        <w:t>/</w:t>
      </w:r>
      <w:r>
        <w:rPr>
          <w:rFonts w:hint="eastAsia" w:ascii="宋体" w:hAnsi="宋体" w:cs="宋体"/>
          <w:sz w:val="24"/>
        </w:rPr>
        <w:t>授权代表签字：</w:t>
      </w:r>
    </w:p>
    <w:p>
      <w:pPr>
        <w:tabs>
          <w:tab w:val="left" w:pos="3544"/>
        </w:tabs>
        <w:spacing w:line="360" w:lineRule="atLeast"/>
        <w:ind w:right="960"/>
        <w:jc w:val="right"/>
        <w:rPr>
          <w:rFonts w:ascii="宋体" w:cs="宋体"/>
          <w:sz w:val="24"/>
        </w:rPr>
      </w:pPr>
    </w:p>
    <w:p>
      <w:pPr>
        <w:tabs>
          <w:tab w:val="left" w:pos="3544"/>
        </w:tabs>
        <w:spacing w:line="360" w:lineRule="atLeast"/>
        <w:ind w:right="960"/>
        <w:jc w:val="center"/>
        <w:rPr>
          <w:rFonts w:ascii="宋体" w:cs="宋体"/>
          <w:sz w:val="24"/>
        </w:rPr>
        <w:sectPr>
          <w:headerReference r:id="rId10" w:type="default"/>
          <w:pgSz w:w="11906" w:h="16838"/>
          <w:pgMar w:top="1440" w:right="1797" w:bottom="1440" w:left="1797" w:header="851" w:footer="992" w:gutter="0"/>
          <w:cols w:space="720" w:num="1"/>
          <w:docGrid w:linePitch="312" w:charSpace="0"/>
        </w:sectPr>
      </w:pP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p>
    <w:p>
      <w:pPr>
        <w:tabs>
          <w:tab w:val="left" w:pos="3544"/>
        </w:tabs>
        <w:spacing w:line="360" w:lineRule="atLeast"/>
        <w:jc w:val="left"/>
        <w:rPr>
          <w:rFonts w:ascii="宋体" w:cs="宋体"/>
          <w:b/>
          <w:sz w:val="24"/>
        </w:rPr>
      </w:pPr>
      <w:r>
        <w:rPr>
          <w:rFonts w:ascii="宋体" w:hAnsi="宋体" w:cs="宋体"/>
          <w:b/>
          <w:sz w:val="24"/>
        </w:rPr>
        <w:t>2.2</w:t>
      </w:r>
      <w:r>
        <w:rPr>
          <w:rFonts w:hint="eastAsia" w:ascii="宋体" w:hAnsi="宋体" w:cs="宋体"/>
          <w:b/>
          <w:sz w:val="24"/>
        </w:rPr>
        <w:t>响应分项（首次）报价表</w:t>
      </w:r>
    </w:p>
    <w:p>
      <w:pPr>
        <w:tabs>
          <w:tab w:val="left" w:pos="3544"/>
        </w:tabs>
        <w:spacing w:line="360" w:lineRule="auto"/>
        <w:ind w:left="643" w:hanging="643"/>
        <w:jc w:val="center"/>
        <w:rPr>
          <w:rFonts w:ascii="宋体" w:cs="宋体"/>
          <w:b/>
          <w:bCs/>
          <w:sz w:val="24"/>
        </w:rPr>
      </w:pPr>
      <w:r>
        <w:rPr>
          <w:rFonts w:hint="eastAsia" w:ascii="宋体" w:hAnsi="宋体" w:cs="宋体"/>
          <w:b/>
          <w:bCs/>
          <w:sz w:val="24"/>
        </w:rPr>
        <w:t>分项（首次）报价表</w:t>
      </w:r>
    </w:p>
    <w:p>
      <w:pPr>
        <w:tabs>
          <w:tab w:val="left" w:pos="3544"/>
        </w:tabs>
        <w:kinsoku w:val="0"/>
        <w:spacing w:line="500" w:lineRule="exact"/>
        <w:ind w:left="479" w:leftChars="228"/>
        <w:rPr>
          <w:rFonts w:ascii="宋体" w:hAnsi="宋体" w:cs="宋体"/>
          <w:sz w:val="24"/>
        </w:rPr>
      </w:pPr>
      <w:r>
        <w:rPr>
          <w:rFonts w:hint="eastAsia" w:ascii="宋体" w:hAnsi="宋体" w:cs="宋体"/>
          <w:sz w:val="24"/>
        </w:rPr>
        <w:t>项目编号：</w:t>
      </w:r>
      <w:r>
        <w:rPr>
          <w:rFonts w:ascii="宋体" w:hAnsi="宋体" w:cs="宋体"/>
          <w:sz w:val="24"/>
        </w:rPr>
        <w:t xml:space="preserve">                                                      </w:t>
      </w:r>
    </w:p>
    <w:p>
      <w:pPr>
        <w:tabs>
          <w:tab w:val="left" w:pos="3544"/>
        </w:tabs>
        <w:kinsoku w:val="0"/>
        <w:spacing w:line="500" w:lineRule="exact"/>
        <w:ind w:left="479" w:leftChars="228"/>
        <w:rPr>
          <w:rFonts w:ascii="宋体" w:cs="宋体"/>
          <w:sz w:val="24"/>
        </w:rPr>
      </w:pP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w:t>
      </w:r>
      <w:r>
        <w:rPr>
          <w:rFonts w:ascii="宋体" w:hAnsi="宋体" w:cs="宋体"/>
          <w:sz w:val="24"/>
        </w:rPr>
        <w:t xml:space="preserve">                                    </w:t>
      </w:r>
    </w:p>
    <w:p>
      <w:pPr>
        <w:tabs>
          <w:tab w:val="left" w:pos="3544"/>
        </w:tabs>
        <w:kinsoku w:val="0"/>
        <w:spacing w:line="500" w:lineRule="exact"/>
        <w:jc w:val="center"/>
        <w:rPr>
          <w:rFonts w:ascii="宋体" w:cs="宋体"/>
          <w:b/>
          <w:bCs/>
          <w:sz w:val="24"/>
        </w:rPr>
      </w:pPr>
      <w:r>
        <w:rPr>
          <w:rFonts w:hint="eastAsia" w:ascii="宋体" w:hAnsi="宋体" w:cs="宋体"/>
          <w:b/>
          <w:bCs/>
          <w:sz w:val="24"/>
        </w:rPr>
        <w:t>格式自拟</w:t>
      </w:r>
    </w:p>
    <w:p>
      <w:pPr>
        <w:tabs>
          <w:tab w:val="left" w:pos="3544"/>
        </w:tabs>
        <w:kinsoku w:val="0"/>
        <w:spacing w:line="500" w:lineRule="exact"/>
        <w:rPr>
          <w:rFonts w:ascii="宋体" w:cs="宋体"/>
          <w:bCs/>
          <w:sz w:val="24"/>
        </w:rPr>
      </w:pPr>
      <w:r>
        <w:rPr>
          <w:rFonts w:hint="eastAsia" w:ascii="宋体" w:hAnsi="宋体" w:cs="宋体"/>
          <w:sz w:val="24"/>
        </w:rPr>
        <w:t>注：</w:t>
      </w:r>
      <w:r>
        <w:rPr>
          <w:rFonts w:ascii="宋体" w:hAnsi="宋体" w:cs="宋体"/>
          <w:sz w:val="24"/>
        </w:rPr>
        <w:t>1</w:t>
      </w:r>
      <w:r>
        <w:rPr>
          <w:rFonts w:hint="eastAsia" w:ascii="宋体" w:hAnsi="宋体" w:cs="宋体"/>
          <w:sz w:val="24"/>
        </w:rPr>
        <w:t>、供应商必须按“</w:t>
      </w:r>
      <w:r>
        <w:rPr>
          <w:rFonts w:hint="eastAsia" w:ascii="宋体" w:hAnsi="宋体" w:cs="宋体"/>
          <w:bCs/>
          <w:sz w:val="24"/>
        </w:rPr>
        <w:t>分项报价表”的格式</w:t>
      </w:r>
      <w:r>
        <w:rPr>
          <w:rFonts w:hint="eastAsia" w:ascii="宋体" w:hAnsi="宋体" w:cs="宋体"/>
          <w:sz w:val="24"/>
        </w:rPr>
        <w:t>详细报出磋商总价的各个组成部分的报价，否则作无效磋商处理。</w:t>
      </w:r>
    </w:p>
    <w:p>
      <w:pPr>
        <w:spacing w:line="400" w:lineRule="exact"/>
        <w:ind w:firstLine="465"/>
        <w:jc w:val="left"/>
        <w:rPr>
          <w:rFonts w:ascii="宋体" w:cs="宋体"/>
          <w:bCs/>
          <w:sz w:val="24"/>
        </w:rPr>
      </w:pPr>
      <w:r>
        <w:rPr>
          <w:rFonts w:ascii="宋体" w:hAnsi="宋体" w:cs="宋体"/>
          <w:bCs/>
          <w:sz w:val="24"/>
        </w:rPr>
        <w:t>2</w:t>
      </w:r>
      <w:r>
        <w:rPr>
          <w:rFonts w:hint="eastAsia" w:ascii="宋体" w:hAnsi="宋体" w:cs="宋体"/>
          <w:bCs/>
          <w:sz w:val="24"/>
        </w:rPr>
        <w:t>、</w:t>
      </w:r>
      <w:r>
        <w:rPr>
          <w:rFonts w:hint="eastAsia" w:ascii="宋体" w:hAnsi="宋体" w:cs="宋体"/>
          <w:sz w:val="24"/>
        </w:rPr>
        <w:t>“</w:t>
      </w:r>
      <w:r>
        <w:rPr>
          <w:rFonts w:hint="eastAsia" w:ascii="宋体" w:hAnsi="宋体" w:cs="宋体"/>
          <w:bCs/>
          <w:sz w:val="24"/>
        </w:rPr>
        <w:t>分项报价表”各分项报价合计应当与“报价一览表”报价合计相等。</w:t>
      </w:r>
    </w:p>
    <w:p>
      <w:pPr>
        <w:adjustRightInd w:val="0"/>
        <w:spacing w:line="400" w:lineRule="exact"/>
        <w:ind w:firstLine="480" w:firstLineChars="200"/>
        <w:jc w:val="left"/>
        <w:rPr>
          <w:rFonts w:ascii="宋体" w:cs="宋体"/>
          <w:sz w:val="28"/>
        </w:rPr>
      </w:pPr>
      <w:r>
        <w:rPr>
          <w:rFonts w:ascii="宋体" w:hAnsi="宋体" w:cs="宋体"/>
          <w:bCs/>
          <w:sz w:val="24"/>
        </w:rPr>
        <w:t>3</w:t>
      </w:r>
      <w:r>
        <w:rPr>
          <w:rFonts w:hint="eastAsia" w:ascii="宋体" w:hAnsi="宋体" w:cs="宋体"/>
          <w:bCs/>
          <w:sz w:val="24"/>
        </w:rPr>
        <w:t>、</w:t>
      </w:r>
      <w:r>
        <w:rPr>
          <w:rFonts w:ascii="宋体" w:hAnsi="宋体" w:cs="宋体"/>
          <w:bCs/>
          <w:sz w:val="24"/>
        </w:rPr>
        <w:t xml:space="preserve"> </w:t>
      </w:r>
      <w:r>
        <w:rPr>
          <w:rFonts w:hint="eastAsia" w:ascii="宋体" w:hAnsi="宋体" w:cs="宋体"/>
          <w:bCs/>
          <w:sz w:val="24"/>
        </w:rPr>
        <w:t>供应商可适当调整该表格式，但不得减少信息内容。</w:t>
      </w:r>
    </w:p>
    <w:p>
      <w:pPr>
        <w:spacing w:line="360" w:lineRule="auto"/>
        <w:ind w:firstLine="396" w:firstLineChars="200"/>
        <w:rPr>
          <w:rFonts w:ascii="宋体" w:cs="宋体"/>
          <w:spacing w:val="-6"/>
        </w:rPr>
      </w:pPr>
    </w:p>
    <w:p>
      <w:pPr>
        <w:tabs>
          <w:tab w:val="left" w:pos="3544"/>
        </w:tabs>
        <w:kinsoku w:val="0"/>
        <w:spacing w:line="360" w:lineRule="auto"/>
        <w:ind w:firstLine="3840" w:firstLineChars="1600"/>
        <w:rPr>
          <w:rFonts w:ascii="宋体" w:cs="宋体"/>
          <w:sz w:val="24"/>
        </w:rPr>
      </w:pPr>
    </w:p>
    <w:p>
      <w:pPr>
        <w:tabs>
          <w:tab w:val="left" w:pos="3544"/>
        </w:tabs>
        <w:kinsoku w:val="0"/>
        <w:spacing w:line="360" w:lineRule="auto"/>
        <w:ind w:firstLine="4800" w:firstLineChars="2000"/>
        <w:rPr>
          <w:rFonts w:ascii="宋体" w:cs="宋体"/>
          <w:spacing w:val="-6"/>
          <w:sz w:val="24"/>
        </w:rPr>
      </w:pPr>
      <w:r>
        <w:rPr>
          <w:rFonts w:hint="eastAsia" w:ascii="宋体" w:hAnsi="宋体" w:cs="宋体"/>
          <w:sz w:val="24"/>
        </w:rPr>
        <w:t>供应商：（加盖公章）</w:t>
      </w:r>
    </w:p>
    <w:p>
      <w:pPr>
        <w:spacing w:line="360" w:lineRule="auto"/>
        <w:ind w:firstLine="4800" w:firstLineChars="20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spacing w:line="360" w:lineRule="auto"/>
        <w:jc w:val="left"/>
        <w:rPr>
          <w:rFonts w:ascii="宋体" w:cs="宋体"/>
          <w:sz w:val="24"/>
        </w:rPr>
      </w:pP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p>
    <w:p>
      <w:pPr>
        <w:pStyle w:val="21"/>
        <w:tabs>
          <w:tab w:val="left" w:pos="3544"/>
        </w:tabs>
        <w:jc w:val="center"/>
        <w:rPr>
          <w:rFonts w:ascii="宋体" w:cs="宋体"/>
          <w:sz w:val="24"/>
          <w:szCs w:val="24"/>
        </w:rPr>
      </w:pPr>
      <w:r>
        <w:rPr>
          <w:rFonts w:ascii="宋体" w:cs="宋体"/>
          <w:b/>
          <w:sz w:val="24"/>
          <w:szCs w:val="24"/>
        </w:rPr>
        <w:br w:type="page"/>
      </w:r>
      <w:r>
        <w:rPr>
          <w:rFonts w:ascii="宋体" w:hAnsi="宋体" w:cs="宋体"/>
          <w:b/>
          <w:sz w:val="28"/>
          <w:szCs w:val="28"/>
        </w:rPr>
        <w:t>3.</w:t>
      </w:r>
      <w:r>
        <w:rPr>
          <w:rFonts w:hint="eastAsia" w:ascii="宋体" w:hAnsi="宋体" w:cs="宋体"/>
          <w:b/>
          <w:sz w:val="28"/>
          <w:szCs w:val="28"/>
        </w:rPr>
        <w:t>资格证明文件</w:t>
      </w:r>
    </w:p>
    <w:p>
      <w:pPr>
        <w:numPr>
          <w:ilvl w:val="0"/>
          <w:numId w:val="2"/>
        </w:numPr>
        <w:tabs>
          <w:tab w:val="left" w:pos="240"/>
          <w:tab w:val="left" w:pos="3544"/>
        </w:tabs>
        <w:wordWrap w:val="0"/>
        <w:spacing w:line="360" w:lineRule="auto"/>
        <w:ind w:left="-120" w:leftChars="-57" w:firstLine="0"/>
        <w:rPr>
          <w:rFonts w:ascii="宋体"/>
          <w:b/>
          <w:bCs/>
          <w:sz w:val="24"/>
        </w:rPr>
      </w:pPr>
      <w:r>
        <w:rPr>
          <w:rFonts w:hint="eastAsia" w:ascii="宋体" w:hAnsi="宋体" w:cs="宋体"/>
          <w:b/>
          <w:bCs/>
          <w:sz w:val="24"/>
        </w:rPr>
        <w:t>（一）基本资格条件</w:t>
      </w:r>
    </w:p>
    <w:p>
      <w:pPr>
        <w:spacing w:line="360" w:lineRule="auto"/>
        <w:ind w:firstLine="480" w:firstLineChars="200"/>
        <w:rPr>
          <w:rFonts w:ascii="宋体"/>
          <w:b/>
          <w:sz w:val="24"/>
        </w:rPr>
      </w:pPr>
      <w:r>
        <w:rPr>
          <w:rFonts w:hint="eastAsia" w:ascii="宋体" w:hAnsi="宋体"/>
          <w:sz w:val="24"/>
        </w:rPr>
        <w:t>符合《中华人民共和国政府采购法》第二十二条的规定：</w:t>
      </w:r>
    </w:p>
    <w:p>
      <w:pPr>
        <w:spacing w:line="360" w:lineRule="auto"/>
        <w:ind w:firstLine="480" w:firstLineChars="200"/>
        <w:rPr>
          <w:rFonts w:ascii="宋体"/>
          <w:sz w:val="24"/>
        </w:rPr>
      </w:pPr>
      <w:r>
        <w:rPr>
          <w:rFonts w:ascii="宋体" w:hAnsi="宋体"/>
          <w:sz w:val="24"/>
        </w:rPr>
        <w:t>1.1</w:t>
      </w:r>
      <w:r>
        <w:rPr>
          <w:rFonts w:hint="eastAsia" w:ascii="宋体" w:hAnsi="宋体"/>
          <w:sz w:val="24"/>
        </w:rPr>
        <w:t>具有独立承担民事责任的法人、其他组织或自然人，提供有效的营业执照等相应证明文件，非法人单位参照执行；</w:t>
      </w:r>
    </w:p>
    <w:p>
      <w:pPr>
        <w:spacing w:line="360" w:lineRule="auto"/>
        <w:ind w:firstLine="480" w:firstLineChars="200"/>
        <w:rPr>
          <w:rFonts w:ascii="宋体"/>
          <w:sz w:val="24"/>
        </w:rPr>
      </w:pPr>
      <w:r>
        <w:rPr>
          <w:rFonts w:ascii="宋体" w:hAnsi="宋体"/>
          <w:sz w:val="24"/>
        </w:rPr>
        <w:t>1.2</w:t>
      </w:r>
      <w:r>
        <w:rPr>
          <w:rFonts w:hint="eastAsia" w:ascii="宋体" w:hAnsi="宋体"/>
          <w:sz w:val="24"/>
        </w:rPr>
        <w:t>财务状况报告：提供</w:t>
      </w:r>
      <w:r>
        <w:rPr>
          <w:rFonts w:ascii="宋体" w:hAnsi="宋体"/>
          <w:sz w:val="24"/>
        </w:rPr>
        <w:t>2019</w:t>
      </w:r>
      <w:r>
        <w:rPr>
          <w:rFonts w:hint="eastAsia" w:ascii="宋体" w:hAnsi="宋体"/>
          <w:sz w:val="24"/>
        </w:rPr>
        <w:t>年度的财务审计报告或开户银行出具的资信证明；</w:t>
      </w:r>
    </w:p>
    <w:p>
      <w:pPr>
        <w:spacing w:line="360" w:lineRule="auto"/>
        <w:ind w:firstLine="480" w:firstLineChars="200"/>
        <w:rPr>
          <w:rFonts w:ascii="宋体"/>
          <w:sz w:val="24"/>
        </w:rPr>
      </w:pPr>
      <w:r>
        <w:rPr>
          <w:rFonts w:ascii="宋体" w:hAnsi="宋体"/>
          <w:sz w:val="24"/>
        </w:rPr>
        <w:t>1.3</w:t>
      </w:r>
      <w:r>
        <w:rPr>
          <w:rFonts w:hint="eastAsia" w:ascii="宋体" w:hAnsi="宋体"/>
          <w:sz w:val="24"/>
        </w:rPr>
        <w:t>税收缴纳证明：提供2019年9月至磋商前至少一个月的纳税凭证或完税证明，依法免税的应提供相关证明材料；</w:t>
      </w:r>
    </w:p>
    <w:p>
      <w:pPr>
        <w:spacing w:line="360" w:lineRule="auto"/>
        <w:ind w:firstLine="480" w:firstLineChars="200"/>
        <w:rPr>
          <w:rFonts w:ascii="宋体"/>
          <w:sz w:val="24"/>
        </w:rPr>
      </w:pPr>
      <w:r>
        <w:rPr>
          <w:rFonts w:ascii="宋体" w:hAnsi="宋体"/>
          <w:sz w:val="24"/>
        </w:rPr>
        <w:t>1.4</w:t>
      </w:r>
      <w:r>
        <w:rPr>
          <w:rFonts w:hint="eastAsia" w:ascii="宋体" w:hAnsi="宋体"/>
          <w:sz w:val="24"/>
        </w:rPr>
        <w:t>社保缴纳证明：提供2019年9月至磋商前至少一个月的社保缴纳证明；</w:t>
      </w:r>
    </w:p>
    <w:p>
      <w:pPr>
        <w:spacing w:line="360" w:lineRule="auto"/>
        <w:ind w:firstLine="480" w:firstLineChars="200"/>
        <w:rPr>
          <w:rFonts w:ascii="宋体"/>
          <w:sz w:val="24"/>
        </w:rPr>
      </w:pPr>
      <w:r>
        <w:rPr>
          <w:rFonts w:ascii="宋体" w:hAnsi="宋体"/>
          <w:sz w:val="24"/>
        </w:rPr>
        <w:t>1.5</w:t>
      </w:r>
      <w:r>
        <w:rPr>
          <w:rFonts w:hint="eastAsia" w:ascii="宋体" w:hAnsi="宋体"/>
          <w:sz w:val="24"/>
        </w:rPr>
        <w:t>提供具有履行本合同所必需的设备和专业技术能力的说明或承诺加盖公章；</w:t>
      </w:r>
    </w:p>
    <w:p>
      <w:pPr>
        <w:widowControl/>
        <w:spacing w:line="360" w:lineRule="auto"/>
        <w:ind w:firstLine="480" w:firstLineChars="200"/>
        <w:jc w:val="left"/>
        <w:rPr>
          <w:rFonts w:ascii="宋体" w:hAnsi="宋体"/>
          <w:sz w:val="24"/>
        </w:rPr>
      </w:pPr>
      <w:r>
        <w:rPr>
          <w:rFonts w:ascii="宋体" w:hAnsi="宋体"/>
          <w:sz w:val="24"/>
        </w:rPr>
        <w:t>1.6</w:t>
      </w:r>
      <w:r>
        <w:rPr>
          <w:rFonts w:hint="eastAsia" w:ascii="宋体" w:hAnsi="宋体"/>
          <w:sz w:val="24"/>
        </w:rPr>
        <w:t>书面声明：参加本次政府采购活动前三年内在经营活动中没有重大违法记录书面声明。</w:t>
      </w:r>
    </w:p>
    <w:p>
      <w:pPr>
        <w:widowControl/>
        <w:spacing w:line="360" w:lineRule="auto"/>
        <w:ind w:firstLine="482" w:firstLineChars="200"/>
        <w:jc w:val="left"/>
        <w:rPr>
          <w:rFonts w:ascii="宋体" w:cs="宋体"/>
          <w:sz w:val="24"/>
        </w:rPr>
      </w:pPr>
      <w:r>
        <w:rPr>
          <w:rFonts w:hint="eastAsia" w:ascii="宋体" w:hAnsi="宋体" w:cs="宋体"/>
          <w:b/>
          <w:bCs/>
          <w:sz w:val="24"/>
          <w:u w:val="single"/>
        </w:rPr>
        <w:t>基本资格条件1.6项按格式要求制作，其它项格式自拟，不可缺少，提供所需资料及证明材料加盖公章。</w:t>
      </w:r>
    </w:p>
    <w:p>
      <w:pPr>
        <w:spacing w:line="360" w:lineRule="auto"/>
        <w:ind w:firstLine="482" w:firstLineChars="200"/>
        <w:rPr>
          <w:rFonts w:ascii="宋体"/>
          <w:sz w:val="24"/>
        </w:rPr>
      </w:pPr>
      <w:r>
        <w:rPr>
          <w:rFonts w:hint="eastAsia" w:ascii="宋体" w:hAnsi="宋体" w:cs="宋体"/>
          <w:b/>
          <w:bCs/>
          <w:sz w:val="24"/>
        </w:rPr>
        <w:t>（二）特定资格条件：</w:t>
      </w:r>
    </w:p>
    <w:p>
      <w:pPr>
        <w:spacing w:line="360" w:lineRule="auto"/>
        <w:ind w:firstLine="480" w:firstLineChars="200"/>
        <w:rPr>
          <w:rFonts w:ascii="宋体"/>
          <w:sz w:val="24"/>
        </w:rPr>
      </w:pPr>
      <w:r>
        <w:rPr>
          <w:rFonts w:ascii="宋体" w:hAnsi="宋体"/>
          <w:sz w:val="24"/>
        </w:rPr>
        <w:t>2.1</w:t>
      </w:r>
      <w:r>
        <w:rPr>
          <w:rFonts w:hint="eastAsia" w:ascii="宋体" w:hAnsi="宋体"/>
          <w:sz w:val="24"/>
        </w:rPr>
        <w:t>供应商应授权合法的人员参加磋商全过程；提供法定代表人授权书及被授权人身份证（法定代表人直接参加磋商的须提供其法人身份证），非法人单位参照执行；</w:t>
      </w:r>
    </w:p>
    <w:p>
      <w:pPr>
        <w:spacing w:line="360" w:lineRule="auto"/>
        <w:ind w:firstLine="480" w:firstLineChars="200"/>
        <w:rPr>
          <w:rFonts w:ascii="宋体" w:hAnsi="宋体"/>
          <w:sz w:val="24"/>
        </w:rPr>
      </w:pPr>
      <w:r>
        <w:rPr>
          <w:rFonts w:ascii="宋体" w:hAnsi="宋体"/>
          <w:sz w:val="24"/>
        </w:rPr>
        <w:t>2.2</w:t>
      </w:r>
      <w:r>
        <w:rPr>
          <w:rFonts w:hint="eastAsia" w:ascii="宋体" w:hAnsi="宋体"/>
          <w:sz w:val="24"/>
        </w:rPr>
        <w:t>提供“信用中国”及“中国政府采购网”网站关于相关主体信用记录查询截图并加盖公章或信用良好声明加盖公章。</w:t>
      </w:r>
    </w:p>
    <w:p>
      <w:pPr>
        <w:spacing w:line="360" w:lineRule="auto"/>
        <w:ind w:firstLine="480" w:firstLineChars="200"/>
        <w:rPr>
          <w:rFonts w:ascii="宋体" w:hAnsi="宋体"/>
          <w:sz w:val="24"/>
        </w:rPr>
      </w:pPr>
      <w:r>
        <w:rPr>
          <w:rFonts w:hint="eastAsia" w:ascii="宋体" w:hAnsi="宋体"/>
          <w:sz w:val="24"/>
        </w:rPr>
        <w:t>2.3提供电子病历系统软件著作权登记证书；</w:t>
      </w:r>
    </w:p>
    <w:p>
      <w:pPr>
        <w:numPr>
          <w:ilvl w:val="0"/>
          <w:numId w:val="2"/>
        </w:numPr>
        <w:tabs>
          <w:tab w:val="left" w:pos="240"/>
          <w:tab w:val="left" w:pos="3544"/>
        </w:tabs>
        <w:wordWrap w:val="0"/>
        <w:topLinePunct/>
        <w:adjustRightInd w:val="0"/>
        <w:snapToGrid w:val="0"/>
        <w:spacing w:line="360" w:lineRule="auto"/>
        <w:ind w:left="-120" w:leftChars="-57"/>
        <w:rPr>
          <w:rFonts w:ascii="宋体" w:cs="宋体"/>
          <w:b/>
          <w:bCs/>
          <w:sz w:val="24"/>
          <w:u w:val="single"/>
        </w:rPr>
      </w:pPr>
      <w:r>
        <w:rPr>
          <w:rFonts w:hint="eastAsia" w:ascii="宋体" w:hAnsi="宋体" w:cs="宋体"/>
          <w:b/>
          <w:bCs/>
          <w:sz w:val="24"/>
          <w:u w:val="single"/>
        </w:rPr>
        <w:t>特定资格条件2.1项按格式及要求制作，其它项格式自拟，不可缺少。</w:t>
      </w:r>
    </w:p>
    <w:p>
      <w:pPr>
        <w:wordWrap w:val="0"/>
        <w:topLinePunct/>
        <w:spacing w:line="360" w:lineRule="auto"/>
        <w:ind w:firstLine="241" w:firstLineChars="100"/>
        <w:rPr>
          <w:rFonts w:ascii="宋体" w:cs="宋体"/>
          <w:b/>
          <w:bCs/>
          <w:sz w:val="24"/>
        </w:rPr>
      </w:pPr>
      <w:r>
        <w:rPr>
          <w:rFonts w:hint="eastAsia" w:ascii="宋体" w:hAnsi="宋体" w:cs="宋体"/>
          <w:b/>
          <w:bCs/>
          <w:sz w:val="24"/>
        </w:rPr>
        <w:t>说明：以上资料复印件应清晰可辨，因辨识不清或复印件不全而引起响应文件无效的，责任由各供应商自行承担。</w:t>
      </w:r>
    </w:p>
    <w:p>
      <w:pPr>
        <w:tabs>
          <w:tab w:val="left" w:pos="3544"/>
        </w:tabs>
        <w:kinsoku w:val="0"/>
        <w:spacing w:line="360" w:lineRule="auto"/>
        <w:ind w:firstLine="4800" w:firstLineChars="2000"/>
        <w:rPr>
          <w:rFonts w:ascii="宋体" w:cs="宋体"/>
          <w:spacing w:val="-6"/>
          <w:sz w:val="24"/>
        </w:rPr>
      </w:pPr>
      <w:r>
        <w:rPr>
          <w:rFonts w:hint="eastAsia" w:ascii="宋体" w:hAnsi="宋体" w:cs="宋体"/>
          <w:sz w:val="24"/>
        </w:rPr>
        <w:t>供应商：（加盖公章）</w:t>
      </w:r>
    </w:p>
    <w:p>
      <w:pPr>
        <w:spacing w:line="360" w:lineRule="auto"/>
        <w:ind w:firstLine="4800" w:firstLineChars="20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p>
    <w:p>
      <w:pPr>
        <w:spacing w:line="360" w:lineRule="auto"/>
        <w:jc w:val="left"/>
      </w:pP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p>
    <w:p>
      <w:pPr>
        <w:tabs>
          <w:tab w:val="left" w:pos="3544"/>
        </w:tabs>
        <w:adjustRightInd w:val="0"/>
        <w:snapToGrid w:val="0"/>
        <w:spacing w:line="360" w:lineRule="auto"/>
        <w:ind w:firstLine="241" w:firstLineChars="100"/>
        <w:jc w:val="center"/>
        <w:rPr>
          <w:rFonts w:ascii="宋体" w:cs="宋体"/>
          <w:b/>
          <w:bCs/>
          <w:sz w:val="24"/>
        </w:rPr>
      </w:pPr>
    </w:p>
    <w:p>
      <w:pPr>
        <w:tabs>
          <w:tab w:val="left" w:pos="3544"/>
        </w:tabs>
        <w:adjustRightInd w:val="0"/>
        <w:snapToGrid w:val="0"/>
        <w:spacing w:line="360" w:lineRule="auto"/>
        <w:ind w:firstLine="241" w:firstLineChars="100"/>
        <w:jc w:val="center"/>
      </w:pPr>
      <w:r>
        <w:rPr>
          <w:rFonts w:hint="eastAsia" w:ascii="宋体" w:hAnsi="宋体" w:cs="宋体"/>
          <w:b/>
          <w:bCs/>
          <w:sz w:val="24"/>
        </w:rPr>
        <w:t>（三）</w:t>
      </w:r>
      <w:r>
        <w:rPr>
          <w:rFonts w:hint="eastAsia" w:ascii="宋体" w:hAnsi="宋体"/>
          <w:b/>
          <w:bCs/>
          <w:sz w:val="24"/>
        </w:rPr>
        <w:t>满足价格折扣的声明函及证明材料（如有）</w:t>
      </w:r>
    </w:p>
    <w:p>
      <w:pPr>
        <w:spacing w:before="100" w:beforeAutospacing="1" w:after="120" w:afterLines="50" w:line="360" w:lineRule="auto"/>
        <w:jc w:val="center"/>
        <w:rPr>
          <w:rFonts w:ascii="宋体" w:cs="宋体"/>
          <w:b/>
          <w:sz w:val="24"/>
        </w:rPr>
      </w:pPr>
      <w:r>
        <w:rPr>
          <w:rFonts w:hint="eastAsia" w:ascii="宋体" w:hAnsi="宋体" w:cs="宋体"/>
          <w:b/>
          <w:sz w:val="24"/>
        </w:rPr>
        <w:t>中小企业声明函</w:t>
      </w:r>
    </w:p>
    <w:p>
      <w:pPr>
        <w:spacing w:before="100" w:beforeAutospacing="1" w:after="120" w:afterLines="50" w:line="360" w:lineRule="auto"/>
        <w:jc w:val="center"/>
        <w:rPr>
          <w:rFonts w:ascii="宋体" w:cs="宋体"/>
          <w:sz w:val="24"/>
        </w:rPr>
      </w:pPr>
      <w:r>
        <w:rPr>
          <w:rFonts w:ascii="宋体" w:hAnsi="宋体" w:cs="宋体"/>
          <w:b/>
          <w:sz w:val="28"/>
          <w:szCs w:val="28"/>
        </w:rPr>
        <w:t xml:space="preserve">   </w:t>
      </w:r>
      <w:r>
        <w:rPr>
          <w:rFonts w:hint="eastAsia" w:ascii="宋体" w:hAnsi="宋体" w:cs="宋体"/>
          <w:sz w:val="24"/>
        </w:rPr>
        <w:t>本公司郑重声明，根据《政府采购促进中小企业发展暂行办法》</w:t>
      </w:r>
      <w:r>
        <w:rPr>
          <w:rFonts w:ascii="宋体" w:hAnsi="宋体" w:cs="宋体"/>
          <w:sz w:val="24"/>
        </w:rPr>
        <w:t>(</w:t>
      </w:r>
      <w:r>
        <w:rPr>
          <w:rFonts w:hint="eastAsia" w:ascii="宋体" w:hAnsi="宋体" w:cs="宋体"/>
          <w:sz w:val="24"/>
        </w:rPr>
        <w:t>财库【</w:t>
      </w:r>
      <w:r>
        <w:rPr>
          <w:rFonts w:ascii="宋体" w:hAnsi="宋体" w:cs="宋体"/>
          <w:sz w:val="24"/>
        </w:rPr>
        <w:t>2011</w:t>
      </w:r>
      <w:r>
        <w:rPr>
          <w:rFonts w:hint="eastAsia" w:ascii="宋体" w:hAnsi="宋体" w:cs="宋体"/>
          <w:sz w:val="24"/>
        </w:rPr>
        <w:t>】</w:t>
      </w:r>
      <w:r>
        <w:rPr>
          <w:rFonts w:ascii="宋体" w:hAnsi="宋体" w:cs="宋体"/>
          <w:sz w:val="24"/>
        </w:rPr>
        <w:t>181</w:t>
      </w:r>
      <w:r>
        <w:rPr>
          <w:rFonts w:hint="eastAsia" w:ascii="宋体" w:hAnsi="宋体" w:cs="宋体"/>
          <w:sz w:val="24"/>
        </w:rPr>
        <w:t>号）的规定，本公司为</w:t>
      </w:r>
      <w:r>
        <w:rPr>
          <w:rFonts w:ascii="宋体" w:hAnsi="宋体" w:cs="宋体"/>
          <w:sz w:val="24"/>
          <w:u w:val="single"/>
        </w:rPr>
        <w:t xml:space="preserve">        </w:t>
      </w:r>
      <w:r>
        <w:rPr>
          <w:rFonts w:ascii="宋体" w:hAnsi="宋体" w:cs="宋体"/>
          <w:sz w:val="24"/>
        </w:rPr>
        <w:t>(</w:t>
      </w:r>
      <w:r>
        <w:rPr>
          <w:rFonts w:hint="eastAsia" w:ascii="宋体" w:hAnsi="宋体" w:cs="宋体"/>
          <w:sz w:val="24"/>
        </w:rPr>
        <w:t>请填写：中型、小型、微型）企业。即，本公司同时满足以下条件：</w:t>
      </w:r>
    </w:p>
    <w:p>
      <w:pPr>
        <w:numPr>
          <w:ilvl w:val="0"/>
          <w:numId w:val="40"/>
        </w:numPr>
        <w:tabs>
          <w:tab w:val="left" w:pos="1620"/>
          <w:tab w:val="left" w:pos="1800"/>
        </w:tabs>
        <w:spacing w:line="500" w:lineRule="exact"/>
        <w:ind w:firstLine="480" w:firstLineChars="200"/>
        <w:rPr>
          <w:rFonts w:ascii="宋体" w:cs="宋体"/>
          <w:sz w:val="24"/>
        </w:rPr>
      </w:pPr>
      <w:r>
        <w:rPr>
          <w:rFonts w:hint="eastAsia" w:ascii="宋体" w:hAnsi="宋体" w:cs="宋体"/>
          <w:sz w:val="24"/>
        </w:rPr>
        <w:t>根据《工业和信息化部、国家统计局、国家发展和改革委员会、财政部关于印发中小企业划分标准规定的通知》（工信部联企业【</w:t>
      </w:r>
      <w:r>
        <w:rPr>
          <w:rFonts w:ascii="宋体" w:hAnsi="宋体" w:cs="宋体"/>
          <w:sz w:val="24"/>
        </w:rPr>
        <w:t>2011</w:t>
      </w:r>
      <w:r>
        <w:rPr>
          <w:rFonts w:hint="eastAsia" w:ascii="宋体" w:hAnsi="宋体" w:cs="宋体"/>
          <w:sz w:val="24"/>
        </w:rPr>
        <w:t>】</w:t>
      </w:r>
      <w:r>
        <w:rPr>
          <w:rFonts w:ascii="宋体" w:hAnsi="宋体" w:cs="宋体"/>
          <w:sz w:val="24"/>
        </w:rPr>
        <w:t>300</w:t>
      </w:r>
      <w:r>
        <w:rPr>
          <w:rFonts w:hint="eastAsia" w:ascii="宋体" w:hAnsi="宋体" w:cs="宋体"/>
          <w:sz w:val="24"/>
        </w:rPr>
        <w:t>号）规定的划分标准，本公司为</w:t>
      </w:r>
      <w:r>
        <w:rPr>
          <w:rFonts w:ascii="宋体" w:hAnsi="宋体" w:cs="宋体"/>
          <w:sz w:val="24"/>
          <w:u w:val="single"/>
        </w:rPr>
        <w:t xml:space="preserve">         </w:t>
      </w:r>
      <w:r>
        <w:rPr>
          <w:rFonts w:hint="eastAsia" w:ascii="宋体" w:hAnsi="宋体" w:cs="宋体"/>
          <w:sz w:val="24"/>
        </w:rPr>
        <w:t>（请填写：中型、小型、微型）企业。</w:t>
      </w:r>
    </w:p>
    <w:p>
      <w:pPr>
        <w:numPr>
          <w:ilvl w:val="0"/>
          <w:numId w:val="40"/>
        </w:numPr>
        <w:tabs>
          <w:tab w:val="left" w:pos="1620"/>
          <w:tab w:val="left" w:pos="1800"/>
        </w:tabs>
        <w:spacing w:line="500" w:lineRule="exact"/>
        <w:ind w:firstLine="480" w:firstLineChars="200"/>
        <w:rPr>
          <w:rFonts w:ascii="宋体" w:cs="宋体"/>
          <w:sz w:val="24"/>
        </w:rPr>
      </w:pPr>
      <w:r>
        <w:rPr>
          <w:rFonts w:hint="eastAsia" w:ascii="宋体" w:hAnsi="宋体" w:cs="宋体"/>
          <w:sz w:val="24"/>
        </w:rPr>
        <w:t>本公司参加</w:t>
      </w:r>
      <w:r>
        <w:rPr>
          <w:rFonts w:ascii="宋体" w:hAnsi="宋体" w:cs="宋体"/>
          <w:sz w:val="24"/>
          <w:u w:val="single"/>
        </w:rPr>
        <w:t xml:space="preserve">             </w:t>
      </w:r>
      <w:r>
        <w:rPr>
          <w:rFonts w:hint="eastAsia" w:ascii="宋体" w:hAnsi="宋体" w:cs="宋体"/>
          <w:sz w:val="24"/>
        </w:rPr>
        <w:t>单位的</w:t>
      </w:r>
      <w:r>
        <w:rPr>
          <w:rFonts w:ascii="宋体" w:hAnsi="宋体" w:cs="宋体"/>
          <w:sz w:val="24"/>
          <w:u w:val="single"/>
        </w:rPr>
        <w:t xml:space="preserve">            </w:t>
      </w:r>
      <w:r>
        <w:rPr>
          <w:rFonts w:hint="eastAsia" w:ascii="宋体" w:hAnsi="宋体" w:cs="宋体"/>
          <w:sz w:val="24"/>
        </w:rPr>
        <w:t>项目采购活动提供本企业制造的货物，由本企业提供服务，或者提供其他</w:t>
      </w:r>
      <w:r>
        <w:rPr>
          <w:rFonts w:ascii="宋体" w:hAnsi="宋体" w:cs="宋体"/>
          <w:sz w:val="24"/>
          <w:u w:val="single"/>
        </w:rPr>
        <w:t xml:space="preserve">        </w:t>
      </w:r>
      <w:r>
        <w:rPr>
          <w:rFonts w:ascii="宋体" w:hAnsi="宋体" w:cs="宋体"/>
          <w:sz w:val="24"/>
        </w:rPr>
        <w:t>(</w:t>
      </w:r>
      <w:r>
        <w:rPr>
          <w:rFonts w:hint="eastAsia" w:ascii="宋体" w:hAnsi="宋体" w:cs="宋体"/>
          <w:sz w:val="24"/>
        </w:rPr>
        <w:t>请填写：中型、小型、微型）企业制造的货物。本条所称货物不包括使用大型企业注册商标的货物。</w:t>
      </w:r>
    </w:p>
    <w:p>
      <w:pPr>
        <w:spacing w:line="500" w:lineRule="exact"/>
        <w:ind w:firstLine="480" w:firstLineChars="200"/>
        <w:rPr>
          <w:rFonts w:ascii="宋体" w:cs="宋体"/>
          <w:sz w:val="24"/>
        </w:rPr>
      </w:pPr>
      <w:r>
        <w:rPr>
          <w:rFonts w:ascii="宋体" w:hAnsi="宋体" w:cs="宋体"/>
          <w:sz w:val="24"/>
        </w:rPr>
        <w:t>3</w:t>
      </w:r>
      <w:r>
        <w:rPr>
          <w:rFonts w:hint="eastAsia" w:ascii="宋体" w:hAnsi="宋体" w:cs="宋体"/>
          <w:sz w:val="24"/>
        </w:rPr>
        <w:t>、本公司属于</w:t>
      </w:r>
      <w:r>
        <w:rPr>
          <w:rFonts w:ascii="宋体" w:hAnsi="宋体" w:cs="宋体"/>
          <w:sz w:val="24"/>
          <w:u w:val="single"/>
        </w:rPr>
        <w:t xml:space="preserve">       </w:t>
      </w:r>
      <w:r>
        <w:rPr>
          <w:rFonts w:hint="eastAsia" w:ascii="宋体" w:hAnsi="宋体" w:cs="宋体"/>
          <w:sz w:val="24"/>
        </w:rPr>
        <w:t>行业，有从业人员</w:t>
      </w:r>
      <w:r>
        <w:rPr>
          <w:rFonts w:ascii="宋体" w:hAnsi="宋体" w:cs="宋体"/>
          <w:sz w:val="24"/>
          <w:u w:val="single"/>
        </w:rPr>
        <w:t xml:space="preserve">     </w:t>
      </w:r>
      <w:r>
        <w:rPr>
          <w:rFonts w:hint="eastAsia" w:ascii="宋体" w:hAnsi="宋体" w:cs="宋体"/>
          <w:sz w:val="24"/>
        </w:rPr>
        <w:t>人，最近一年营业收入为</w:t>
      </w:r>
      <w:r>
        <w:rPr>
          <w:rFonts w:ascii="宋体" w:hAnsi="宋体" w:cs="宋体"/>
          <w:sz w:val="24"/>
          <w:u w:val="single"/>
        </w:rPr>
        <w:t xml:space="preserve">         </w:t>
      </w:r>
      <w:r>
        <w:rPr>
          <w:rFonts w:hint="eastAsia" w:ascii="宋体" w:hAnsi="宋体" w:cs="宋体"/>
          <w:sz w:val="24"/>
        </w:rPr>
        <w:t>元。</w:t>
      </w:r>
    </w:p>
    <w:p>
      <w:pPr>
        <w:tabs>
          <w:tab w:val="left" w:pos="1620"/>
          <w:tab w:val="left" w:pos="1800"/>
        </w:tabs>
        <w:spacing w:line="500" w:lineRule="exact"/>
        <w:ind w:firstLine="480"/>
        <w:rPr>
          <w:rFonts w:ascii="宋体" w:cs="宋体"/>
          <w:sz w:val="24"/>
        </w:rPr>
      </w:pPr>
      <w:r>
        <w:rPr>
          <w:rFonts w:hint="eastAsia" w:ascii="宋体" w:hAnsi="宋体" w:cs="宋体"/>
          <w:sz w:val="24"/>
        </w:rPr>
        <w:t>本公司对上述声明的真实性负责。如有虚假，将依法承担相应责任。</w:t>
      </w:r>
    </w:p>
    <w:p>
      <w:pPr>
        <w:tabs>
          <w:tab w:val="left" w:pos="1620"/>
          <w:tab w:val="left" w:pos="1800"/>
        </w:tabs>
        <w:spacing w:line="500" w:lineRule="exact"/>
        <w:ind w:firstLine="480"/>
        <w:rPr>
          <w:rFonts w:ascii="宋体" w:cs="宋体"/>
          <w:sz w:val="24"/>
        </w:rPr>
      </w:pPr>
    </w:p>
    <w:p>
      <w:pPr>
        <w:tabs>
          <w:tab w:val="left" w:pos="1620"/>
          <w:tab w:val="left" w:pos="1800"/>
        </w:tabs>
        <w:spacing w:line="480" w:lineRule="auto"/>
        <w:rPr>
          <w:rFonts w:ascii="宋体" w:cs="宋体"/>
          <w:sz w:val="24"/>
        </w:rPr>
      </w:pPr>
      <w:r>
        <w:rPr>
          <w:rFonts w:ascii="宋体" w:hAnsi="宋体" w:cs="宋体"/>
          <w:sz w:val="24"/>
        </w:rPr>
        <w:t xml:space="preserve">                                </w:t>
      </w:r>
      <w:r>
        <w:rPr>
          <w:rFonts w:hint="eastAsia" w:ascii="宋体" w:hAnsi="宋体" w:cs="宋体"/>
          <w:sz w:val="24"/>
        </w:rPr>
        <w:t>单位名称：</w:t>
      </w:r>
      <w:r>
        <w:rPr>
          <w:rFonts w:ascii="宋体" w:hAnsi="宋体" w:cs="宋体"/>
          <w:sz w:val="24"/>
          <w:u w:val="single"/>
        </w:rPr>
        <w:t xml:space="preserve">          </w:t>
      </w:r>
      <w:r>
        <w:rPr>
          <w:rFonts w:hint="eastAsia" w:ascii="宋体" w:hAnsi="宋体" w:cs="宋体"/>
          <w:sz w:val="24"/>
        </w:rPr>
        <w:t>（盖单位公章）</w:t>
      </w:r>
    </w:p>
    <w:p>
      <w:pPr>
        <w:tabs>
          <w:tab w:val="left" w:pos="1620"/>
          <w:tab w:val="left" w:pos="1800"/>
        </w:tabs>
        <w:spacing w:line="480" w:lineRule="auto"/>
        <w:rPr>
          <w:rFonts w:ascii="宋体" w:cs="宋体"/>
          <w:sz w:val="24"/>
        </w:rPr>
      </w:pPr>
      <w:r>
        <w:rPr>
          <w:rFonts w:ascii="宋体" w:hAnsi="宋体" w:cs="宋体"/>
          <w:sz w:val="24"/>
        </w:rPr>
        <w:t xml:space="preserve">                                </w:t>
      </w: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r>
        <w:rPr>
          <w:rFonts w:ascii="宋体" w:hAnsi="宋体" w:cs="宋体"/>
          <w:sz w:val="24"/>
        </w:rPr>
        <w:t xml:space="preserve">   </w:t>
      </w: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p>
    <w:p>
      <w:pPr>
        <w:tabs>
          <w:tab w:val="left" w:pos="1620"/>
          <w:tab w:val="left" w:pos="1800"/>
        </w:tabs>
        <w:spacing w:line="500" w:lineRule="exact"/>
        <w:rPr>
          <w:rFonts w:ascii="宋体" w:cs="宋体"/>
          <w:sz w:val="24"/>
        </w:rPr>
      </w:pPr>
      <w:r>
        <w:rPr>
          <w:rFonts w:hint="eastAsia" w:ascii="宋体" w:hAnsi="宋体" w:cs="宋体"/>
          <w:sz w:val="24"/>
        </w:rPr>
        <w:t>备注：</w:t>
      </w:r>
    </w:p>
    <w:p>
      <w:pPr>
        <w:tabs>
          <w:tab w:val="left" w:pos="1620"/>
          <w:tab w:val="left" w:pos="1800"/>
        </w:tabs>
        <w:spacing w:line="500" w:lineRule="exact"/>
        <w:ind w:firstLine="480"/>
        <w:rPr>
          <w:rFonts w:ascii="宋体" w:cs="宋体"/>
          <w:sz w:val="24"/>
        </w:rPr>
      </w:pPr>
      <w:r>
        <w:rPr>
          <w:rFonts w:hint="eastAsia" w:ascii="宋体" w:hAnsi="宋体" w:cs="宋体"/>
          <w:sz w:val="24"/>
        </w:rPr>
        <w:t>填写前请认真阅读工业和信息化部、国家统计局、国家发展和改革委员会、财政部关于印发中小企业划分标准规定的通知》（工信部联企业【</w:t>
      </w:r>
      <w:r>
        <w:rPr>
          <w:rFonts w:ascii="宋体" w:hAnsi="宋体" w:cs="宋体"/>
          <w:sz w:val="24"/>
        </w:rPr>
        <w:t>2011</w:t>
      </w:r>
      <w:r>
        <w:rPr>
          <w:rFonts w:hint="eastAsia" w:ascii="宋体" w:hAnsi="宋体" w:cs="宋体"/>
          <w:sz w:val="24"/>
        </w:rPr>
        <w:t>】</w:t>
      </w:r>
      <w:r>
        <w:rPr>
          <w:rFonts w:ascii="宋体" w:hAnsi="宋体" w:cs="宋体"/>
          <w:sz w:val="24"/>
        </w:rPr>
        <w:t>300</w:t>
      </w:r>
      <w:r>
        <w:rPr>
          <w:rFonts w:hint="eastAsia" w:ascii="宋体" w:hAnsi="宋体" w:cs="宋体"/>
          <w:sz w:val="24"/>
        </w:rPr>
        <w:t>号）和《财政部</w:t>
      </w:r>
      <w:r>
        <w:rPr>
          <w:rFonts w:ascii="宋体" w:hAnsi="宋体" w:cs="宋体"/>
          <w:sz w:val="24"/>
        </w:rPr>
        <w:t xml:space="preserve">  </w:t>
      </w:r>
      <w:r>
        <w:rPr>
          <w:rFonts w:hint="eastAsia" w:ascii="宋体" w:hAnsi="宋体" w:cs="宋体"/>
          <w:sz w:val="24"/>
        </w:rPr>
        <w:t>工业和信息化部关于印发政府采购促进中小企业发展暂行办法的通知》（财库【</w:t>
      </w:r>
      <w:r>
        <w:rPr>
          <w:rFonts w:ascii="宋体" w:hAnsi="宋体" w:cs="宋体"/>
          <w:sz w:val="24"/>
        </w:rPr>
        <w:t>2011</w:t>
      </w:r>
      <w:r>
        <w:rPr>
          <w:rFonts w:hint="eastAsia" w:ascii="宋体" w:hAnsi="宋体" w:cs="宋体"/>
          <w:sz w:val="24"/>
        </w:rPr>
        <w:t>】</w:t>
      </w:r>
      <w:r>
        <w:rPr>
          <w:rFonts w:ascii="宋体" w:hAnsi="宋体" w:cs="宋体"/>
          <w:sz w:val="24"/>
        </w:rPr>
        <w:t>181</w:t>
      </w:r>
      <w:r>
        <w:rPr>
          <w:rFonts w:hint="eastAsia" w:ascii="宋体" w:hAnsi="宋体" w:cs="宋体"/>
          <w:sz w:val="24"/>
        </w:rPr>
        <w:t>号）相关规定。</w:t>
      </w:r>
    </w:p>
    <w:p>
      <w:pPr>
        <w:sectPr>
          <w:headerReference r:id="rId11" w:type="default"/>
          <w:pgSz w:w="11906" w:h="16838"/>
          <w:pgMar w:top="1440" w:right="1797" w:bottom="1440" w:left="1797" w:header="851" w:footer="992" w:gutter="0"/>
          <w:cols w:space="720" w:num="1"/>
          <w:docGrid w:linePitch="312" w:charSpace="0"/>
        </w:sectPr>
      </w:pPr>
    </w:p>
    <w:p>
      <w:pPr>
        <w:tabs>
          <w:tab w:val="left" w:pos="3544"/>
        </w:tabs>
        <w:adjustRightInd w:val="0"/>
        <w:snapToGrid w:val="0"/>
        <w:spacing w:line="360" w:lineRule="auto"/>
        <w:ind w:left="562" w:hanging="562"/>
        <w:jc w:val="center"/>
        <w:rPr>
          <w:rFonts w:ascii="宋体" w:cs="宋体"/>
          <w:sz w:val="28"/>
          <w:szCs w:val="28"/>
          <w:u w:val="single"/>
        </w:rPr>
      </w:pPr>
      <w:r>
        <w:rPr>
          <w:rFonts w:ascii="宋体" w:hAnsi="宋体" w:cs="宋体"/>
          <w:b/>
          <w:bCs/>
          <w:sz w:val="28"/>
          <w:szCs w:val="28"/>
        </w:rPr>
        <w:t>3.1</w:t>
      </w:r>
      <w:r>
        <w:rPr>
          <w:rFonts w:hint="eastAsia" w:ascii="宋体" w:hAnsi="宋体" w:cs="宋体"/>
          <w:b/>
          <w:bCs/>
          <w:sz w:val="28"/>
          <w:szCs w:val="28"/>
        </w:rPr>
        <w:t>法定代表人说明书</w:t>
      </w:r>
      <w:r>
        <w:rPr>
          <w:rFonts w:ascii="宋体" w:hAnsi="宋体" w:cs="宋体"/>
          <w:b/>
          <w:bCs/>
          <w:sz w:val="28"/>
          <w:szCs w:val="28"/>
        </w:rPr>
        <w:t xml:space="preserve"> </w:t>
      </w:r>
      <w:r>
        <w:rPr>
          <w:rFonts w:hint="eastAsia" w:ascii="宋体" w:hAnsi="宋体" w:cs="宋体"/>
          <w:bCs/>
          <w:sz w:val="28"/>
          <w:szCs w:val="28"/>
        </w:rPr>
        <w:t>（格式）</w:t>
      </w:r>
    </w:p>
    <w:p>
      <w:pPr>
        <w:tabs>
          <w:tab w:val="left" w:pos="3544"/>
        </w:tabs>
        <w:spacing w:line="360" w:lineRule="auto"/>
        <w:jc w:val="left"/>
        <w:rPr>
          <w:rFonts w:ascii="宋体" w:cs="宋体"/>
          <w:b/>
          <w:sz w:val="24"/>
        </w:rPr>
      </w:pPr>
    </w:p>
    <w:p>
      <w:pPr>
        <w:tabs>
          <w:tab w:val="left" w:pos="3544"/>
        </w:tabs>
        <w:spacing w:line="360" w:lineRule="auto"/>
        <w:ind w:left="482"/>
        <w:jc w:val="center"/>
        <w:rPr>
          <w:rFonts w:ascii="宋体" w:cs="宋体"/>
          <w:b/>
          <w:sz w:val="24"/>
        </w:rPr>
      </w:pPr>
      <w:r>
        <w:rPr>
          <w:rFonts w:hint="eastAsia" w:ascii="宋体" w:hAnsi="宋体" w:cs="宋体"/>
          <w:b/>
          <w:sz w:val="24"/>
        </w:rPr>
        <w:t>法定代表人说明书</w:t>
      </w:r>
    </w:p>
    <w:p>
      <w:pPr>
        <w:tabs>
          <w:tab w:val="left" w:pos="3544"/>
        </w:tabs>
        <w:kinsoku w:val="0"/>
        <w:spacing w:line="360" w:lineRule="auto"/>
        <w:rPr>
          <w:rFonts w:ascii="宋体" w:cs="宋体"/>
          <w:bCs/>
          <w:sz w:val="24"/>
          <w:u w:val="single"/>
        </w:rPr>
      </w:pPr>
    </w:p>
    <w:p>
      <w:pPr>
        <w:tabs>
          <w:tab w:val="left" w:pos="3544"/>
        </w:tabs>
        <w:kinsoku w:val="0"/>
        <w:spacing w:line="360" w:lineRule="auto"/>
        <w:ind w:firstLine="480" w:firstLineChars="200"/>
        <w:rPr>
          <w:rFonts w:ascii="宋体" w:cs="宋体"/>
          <w:bCs/>
          <w:sz w:val="24"/>
        </w:rPr>
      </w:pPr>
      <w:r>
        <w:rPr>
          <w:rFonts w:ascii="宋体" w:hAnsi="宋体" w:cs="宋体"/>
          <w:bCs/>
          <w:sz w:val="24"/>
          <w:u w:val="single"/>
        </w:rPr>
        <w:t xml:space="preserve">               </w:t>
      </w:r>
      <w:r>
        <w:rPr>
          <w:rFonts w:hint="eastAsia" w:ascii="宋体" w:hAnsi="宋体" w:cs="宋体"/>
          <w:bCs/>
          <w:sz w:val="24"/>
        </w:rPr>
        <w:t>现任我单位</w:t>
      </w:r>
      <w:r>
        <w:rPr>
          <w:rFonts w:ascii="宋体" w:hAnsi="宋体" w:cs="宋体"/>
          <w:bCs/>
          <w:sz w:val="24"/>
          <w:u w:val="single"/>
        </w:rPr>
        <w:t xml:space="preserve">                  </w:t>
      </w:r>
      <w:r>
        <w:rPr>
          <w:rFonts w:ascii="宋体" w:hAnsi="宋体" w:cs="宋体"/>
          <w:bCs/>
          <w:sz w:val="24"/>
        </w:rPr>
        <w:t xml:space="preserve"> </w:t>
      </w:r>
      <w:r>
        <w:rPr>
          <w:rFonts w:hint="eastAsia" w:ascii="宋体" w:hAnsi="宋体" w:cs="宋体"/>
          <w:bCs/>
          <w:sz w:val="24"/>
        </w:rPr>
        <w:t>职务，为法定代表人。</w:t>
      </w:r>
    </w:p>
    <w:p>
      <w:pPr>
        <w:tabs>
          <w:tab w:val="left" w:pos="3544"/>
        </w:tabs>
        <w:kinsoku w:val="0"/>
        <w:spacing w:line="360" w:lineRule="auto"/>
        <w:ind w:firstLine="480" w:firstLineChars="200"/>
        <w:rPr>
          <w:rFonts w:ascii="宋体" w:cs="宋体"/>
          <w:bCs/>
          <w:sz w:val="24"/>
        </w:rPr>
      </w:pPr>
    </w:p>
    <w:p>
      <w:pPr>
        <w:tabs>
          <w:tab w:val="left" w:pos="3544"/>
        </w:tabs>
        <w:kinsoku w:val="0"/>
        <w:spacing w:line="360" w:lineRule="auto"/>
        <w:ind w:firstLine="480" w:firstLineChars="200"/>
        <w:rPr>
          <w:rFonts w:ascii="宋体" w:cs="宋体"/>
          <w:bCs/>
          <w:sz w:val="24"/>
        </w:rPr>
      </w:pPr>
      <w:r>
        <w:rPr>
          <w:rFonts w:hint="eastAsia" w:ascii="宋体" w:hAnsi="宋体" w:cs="宋体"/>
          <w:bCs/>
          <w:sz w:val="24"/>
        </w:rPr>
        <w:t>特此证明。</w:t>
      </w:r>
    </w:p>
    <w:p>
      <w:pPr>
        <w:tabs>
          <w:tab w:val="left" w:pos="3544"/>
        </w:tabs>
        <w:kinsoku w:val="0"/>
        <w:spacing w:line="360" w:lineRule="auto"/>
        <w:ind w:firstLine="480" w:firstLineChars="200"/>
        <w:rPr>
          <w:rFonts w:ascii="宋体" w:cs="宋体"/>
          <w:bCs/>
          <w:sz w:val="24"/>
        </w:rPr>
      </w:pPr>
    </w:p>
    <w:p>
      <w:pPr>
        <w:tabs>
          <w:tab w:val="left" w:pos="3544"/>
        </w:tabs>
        <w:spacing w:line="360" w:lineRule="auto"/>
        <w:ind w:left="480" w:hanging="480"/>
        <w:rPr>
          <w:rFonts w:ascii="宋体" w:cs="宋体"/>
          <w:bCs/>
          <w:sz w:val="24"/>
        </w:rPr>
      </w:pPr>
      <w:r>
        <w:rPr>
          <w:rFonts w:hint="eastAsia" w:ascii="宋体" w:hAnsi="宋体" w:cs="宋体"/>
          <w:bCs/>
          <w:sz w:val="24"/>
        </w:rPr>
        <w:t>有效期限：</w:t>
      </w:r>
      <w:r>
        <w:rPr>
          <w:rFonts w:ascii="宋体" w:hAnsi="宋体" w:cs="宋体"/>
          <w:bCs/>
          <w:sz w:val="24"/>
          <w:u w:val="single"/>
        </w:rPr>
        <w:t xml:space="preserve"> 90  </w:t>
      </w:r>
      <w:r>
        <w:rPr>
          <w:rFonts w:hint="eastAsia" w:ascii="宋体" w:hAnsi="宋体" w:cs="宋体"/>
          <w:bCs/>
          <w:kern w:val="0"/>
          <w:sz w:val="24"/>
        </w:rPr>
        <w:t>个日历日。</w:t>
      </w:r>
    </w:p>
    <w:p>
      <w:pPr>
        <w:tabs>
          <w:tab w:val="left" w:pos="3544"/>
        </w:tabs>
        <w:spacing w:line="360" w:lineRule="auto"/>
        <w:ind w:left="480" w:hanging="480"/>
        <w:rPr>
          <w:rFonts w:ascii="宋体" w:cs="宋体"/>
          <w:bCs/>
          <w:sz w:val="24"/>
        </w:rPr>
      </w:pPr>
    </w:p>
    <w:p>
      <w:pPr>
        <w:tabs>
          <w:tab w:val="left" w:pos="3544"/>
        </w:tabs>
        <w:spacing w:line="360" w:lineRule="auto"/>
        <w:ind w:left="480" w:hanging="480"/>
        <w:rPr>
          <w:rFonts w:ascii="宋体" w:cs="宋体"/>
          <w:bCs/>
          <w:sz w:val="24"/>
          <w:u w:val="single"/>
        </w:rPr>
      </w:pPr>
      <w:r>
        <w:rPr>
          <w:rFonts w:hint="eastAsia" w:ascii="宋体" w:hAnsi="宋体" w:cs="宋体"/>
          <w:bCs/>
          <w:sz w:val="24"/>
        </w:rPr>
        <w:t>法定代表人性别：</w:t>
      </w:r>
      <w:r>
        <w:rPr>
          <w:rFonts w:ascii="宋体" w:hAnsi="宋体" w:cs="宋体"/>
          <w:bCs/>
          <w:sz w:val="24"/>
          <w:u w:val="single"/>
        </w:rPr>
        <w:t xml:space="preserve">         </w:t>
      </w:r>
      <w:r>
        <w:rPr>
          <w:rFonts w:ascii="宋体" w:hAnsi="宋体" w:cs="宋体"/>
          <w:bCs/>
          <w:sz w:val="24"/>
        </w:rPr>
        <w:t xml:space="preserve"> </w:t>
      </w:r>
      <w:r>
        <w:rPr>
          <w:rFonts w:hint="eastAsia" w:ascii="宋体" w:hAnsi="宋体" w:cs="宋体"/>
          <w:bCs/>
          <w:sz w:val="24"/>
        </w:rPr>
        <w:t>年龄：</w:t>
      </w:r>
      <w:r>
        <w:rPr>
          <w:rFonts w:ascii="宋体" w:hAnsi="宋体" w:cs="宋体"/>
          <w:bCs/>
          <w:sz w:val="24"/>
        </w:rPr>
        <w:t>_________</w:t>
      </w:r>
    </w:p>
    <w:p>
      <w:pPr>
        <w:tabs>
          <w:tab w:val="left" w:pos="3544"/>
        </w:tabs>
        <w:spacing w:line="360" w:lineRule="auto"/>
        <w:ind w:left="480" w:hanging="480"/>
        <w:rPr>
          <w:rFonts w:ascii="宋体" w:cs="宋体"/>
          <w:bCs/>
          <w:sz w:val="24"/>
        </w:rPr>
      </w:pPr>
      <w:r>
        <w:rPr>
          <w:rFonts w:hint="eastAsia" w:ascii="宋体" w:hAnsi="宋体" w:cs="宋体"/>
          <w:bCs/>
          <w:sz w:val="24"/>
        </w:rPr>
        <w:t>身份证号码：</w:t>
      </w:r>
      <w:r>
        <w:rPr>
          <w:rFonts w:ascii="宋体" w:hAnsi="宋体" w:cs="宋体"/>
          <w:bCs/>
          <w:sz w:val="24"/>
          <w:u w:val="single"/>
        </w:rPr>
        <w:t xml:space="preserve">                             </w:t>
      </w:r>
    </w:p>
    <w:p>
      <w:pPr>
        <w:tabs>
          <w:tab w:val="left" w:pos="3544"/>
        </w:tabs>
        <w:spacing w:line="360" w:lineRule="auto"/>
        <w:ind w:left="480" w:hanging="480"/>
        <w:rPr>
          <w:rFonts w:ascii="宋体" w:hAnsi="宋体" w:cs="宋体"/>
          <w:bCs/>
          <w:sz w:val="24"/>
          <w:u w:val="single"/>
        </w:rPr>
      </w:pPr>
      <w:r>
        <w:rPr>
          <w:rFonts w:hint="eastAsia" w:ascii="宋体" w:hAnsi="宋体" w:cs="宋体"/>
          <w:bCs/>
          <w:sz w:val="24"/>
        </w:rPr>
        <w:t>法定代表人住址：</w:t>
      </w:r>
      <w:r>
        <w:rPr>
          <w:rFonts w:ascii="宋体" w:hAnsi="宋体" w:cs="宋体"/>
          <w:bCs/>
          <w:sz w:val="24"/>
          <w:u w:val="single"/>
        </w:rPr>
        <w:t xml:space="preserve">                         </w:t>
      </w:r>
    </w:p>
    <w:p>
      <w:pPr>
        <w:tabs>
          <w:tab w:val="left" w:pos="3544"/>
        </w:tabs>
        <w:spacing w:line="360" w:lineRule="auto"/>
        <w:ind w:left="480" w:hanging="480"/>
        <w:rPr>
          <w:rFonts w:ascii="宋体" w:hAnsi="宋体" w:cs="宋体"/>
          <w:bCs/>
          <w:sz w:val="24"/>
          <w:u w:val="single"/>
        </w:rPr>
      </w:pPr>
      <w:r>
        <w:rPr>
          <w:rFonts w:hint="eastAsia" w:ascii="宋体" w:hAnsi="宋体" w:cs="宋体"/>
          <w:bCs/>
          <w:sz w:val="24"/>
        </w:rPr>
        <w:t>电</w:t>
      </w:r>
      <w:r>
        <w:rPr>
          <w:rFonts w:ascii="宋体" w:hAnsi="宋体" w:cs="宋体"/>
          <w:bCs/>
          <w:sz w:val="24"/>
        </w:rPr>
        <w:t xml:space="preserve">      </w:t>
      </w:r>
      <w:r>
        <w:rPr>
          <w:rFonts w:hint="eastAsia" w:ascii="宋体" w:hAnsi="宋体" w:cs="宋体"/>
          <w:bCs/>
          <w:sz w:val="24"/>
        </w:rPr>
        <w:t>话：</w:t>
      </w:r>
      <w:r>
        <w:rPr>
          <w:rFonts w:ascii="宋体" w:hAnsi="宋体" w:cs="宋体"/>
          <w:bCs/>
          <w:sz w:val="24"/>
          <w:u w:val="single"/>
        </w:rPr>
        <w:t xml:space="preserve">                             </w:t>
      </w:r>
    </w:p>
    <w:p>
      <w:pPr>
        <w:tabs>
          <w:tab w:val="left" w:pos="3544"/>
        </w:tabs>
        <w:spacing w:line="360" w:lineRule="auto"/>
        <w:ind w:left="480" w:hanging="480"/>
        <w:rPr>
          <w:rFonts w:ascii="宋体" w:hAnsi="宋体" w:cs="宋体"/>
          <w:bCs/>
          <w:sz w:val="24"/>
          <w:u w:val="single"/>
        </w:rPr>
      </w:pPr>
    </w:p>
    <w:p>
      <w:pPr>
        <w:tabs>
          <w:tab w:val="left" w:pos="3544"/>
        </w:tabs>
        <w:spacing w:line="360" w:lineRule="auto"/>
        <w:ind w:left="480" w:hanging="480"/>
        <w:rPr>
          <w:rFonts w:ascii="宋体" w:cs="宋体"/>
          <w:b/>
          <w:bCs/>
          <w:sz w:val="24"/>
        </w:rPr>
      </w:pPr>
      <w:r>
        <w:rPr>
          <w:rFonts w:hint="eastAsia" w:ascii="宋体" w:hAnsi="宋体" w:cs="宋体"/>
          <w:b/>
          <w:bCs/>
          <w:sz w:val="24"/>
        </w:rPr>
        <w:t>备注：法定代表人直接参加磋商的，请附其身份证复印件加盖单位公章。</w:t>
      </w:r>
    </w:p>
    <w:p>
      <w:pPr>
        <w:pStyle w:val="156"/>
        <w:tabs>
          <w:tab w:val="left" w:pos="3544"/>
        </w:tabs>
        <w:spacing w:line="500" w:lineRule="exact"/>
        <w:ind w:firstLine="2760" w:firstLineChars="1150"/>
        <w:rPr>
          <w:rFonts w:ascii="宋体" w:cs="宋体"/>
          <w:sz w:val="24"/>
          <w:szCs w:val="24"/>
        </w:rPr>
      </w:pPr>
      <w:r>
        <w:rPr>
          <w:rFonts w:hint="eastAsia" w:ascii="宋体" w:hAnsi="宋体" w:cs="宋体"/>
          <w:sz w:val="24"/>
          <w:szCs w:val="24"/>
        </w:rPr>
        <w:t>法定代表人身份证复印件</w:t>
      </w:r>
    </w:p>
    <w:tbl>
      <w:tblPr>
        <w:tblStyle w:val="40"/>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5"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r>
    </w:tbl>
    <w:p>
      <w:pPr>
        <w:tabs>
          <w:tab w:val="left" w:pos="3544"/>
        </w:tabs>
        <w:spacing w:line="360" w:lineRule="auto"/>
        <w:jc w:val="left"/>
        <w:rPr>
          <w:rFonts w:ascii="宋体" w:cs="宋体"/>
          <w:sz w:val="24"/>
        </w:rPr>
      </w:pPr>
    </w:p>
    <w:p>
      <w:pPr>
        <w:tabs>
          <w:tab w:val="left" w:pos="3544"/>
        </w:tabs>
        <w:spacing w:line="440" w:lineRule="exact"/>
        <w:ind w:left="4200" w:leftChars="2000" w:right="960" w:rightChars="457" w:firstLine="9600" w:firstLineChars="4000"/>
        <w:rPr>
          <w:rFonts w:ascii="宋体" w:cs="宋体"/>
          <w:sz w:val="24"/>
        </w:rPr>
      </w:pPr>
      <w:bookmarkStart w:id="214" w:name="_Toc256676961"/>
      <w:r>
        <w:rPr>
          <w:rFonts w:ascii="宋体" w:hAnsi="宋体" w:cs="宋体"/>
          <w:sz w:val="24"/>
        </w:rPr>
        <w:t xml:space="preserve"> </w:t>
      </w:r>
      <w:r>
        <w:rPr>
          <w:rFonts w:hint="eastAsia" w:ascii="宋体" w:hAnsi="宋体" w:cs="宋体"/>
          <w:sz w:val="24"/>
        </w:rPr>
        <w:t>供应商名称</w:t>
      </w:r>
      <w:r>
        <w:rPr>
          <w:rFonts w:ascii="宋体" w:hAnsi="宋体" w:cs="宋体"/>
          <w:sz w:val="24"/>
        </w:rPr>
        <w:t>:</w:t>
      </w:r>
      <w:r>
        <w:rPr>
          <w:rFonts w:hint="eastAsia" w:ascii="宋体" w:hAnsi="宋体" w:cs="宋体"/>
          <w:sz w:val="24"/>
        </w:rPr>
        <w:t>（加盖公章）</w:t>
      </w:r>
    </w:p>
    <w:p>
      <w:pPr>
        <w:tabs>
          <w:tab w:val="left" w:pos="3544"/>
          <w:tab w:val="left" w:pos="3885"/>
        </w:tabs>
        <w:spacing w:line="360" w:lineRule="auto"/>
        <w:ind w:left="4762" w:leftChars="2000" w:hanging="562"/>
        <w:rPr>
          <w:rFonts w:ascii="宋体" w:cs="宋体"/>
          <w:sz w:val="24"/>
        </w:rPr>
      </w:pPr>
    </w:p>
    <w:p>
      <w:pPr>
        <w:tabs>
          <w:tab w:val="left" w:pos="3544"/>
          <w:tab w:val="left" w:pos="3885"/>
        </w:tabs>
        <w:spacing w:line="360" w:lineRule="auto"/>
        <w:ind w:left="4762" w:leftChars="2000" w:hanging="562"/>
        <w:rPr>
          <w:rFonts w:ascii="宋体" w:cs="宋体"/>
          <w:b/>
          <w:sz w:val="24"/>
        </w:rPr>
        <w:sectPr>
          <w:pgSz w:w="11906" w:h="16838"/>
          <w:pgMar w:top="1440" w:right="1797" w:bottom="1440" w:left="1797" w:header="851" w:footer="992" w:gutter="0"/>
          <w:cols w:space="720" w:num="1"/>
          <w:docGrid w:linePitch="312" w:charSpace="0"/>
        </w:sectPr>
      </w:pP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p>
    <w:p>
      <w:pPr>
        <w:tabs>
          <w:tab w:val="left" w:pos="3544"/>
          <w:tab w:val="left" w:pos="3885"/>
        </w:tabs>
        <w:spacing w:line="360" w:lineRule="auto"/>
        <w:ind w:left="562" w:hanging="562"/>
        <w:jc w:val="center"/>
        <w:rPr>
          <w:rFonts w:ascii="宋体" w:cs="宋体"/>
          <w:b/>
          <w:sz w:val="28"/>
          <w:szCs w:val="28"/>
        </w:rPr>
      </w:pPr>
      <w:r>
        <w:rPr>
          <w:rFonts w:ascii="宋体" w:hAnsi="宋体" w:cs="宋体"/>
          <w:b/>
          <w:sz w:val="28"/>
          <w:szCs w:val="28"/>
        </w:rPr>
        <w:t>3.2</w:t>
      </w:r>
      <w:r>
        <w:rPr>
          <w:rFonts w:hint="eastAsia" w:ascii="宋体" w:hAnsi="宋体" w:cs="宋体"/>
          <w:b/>
          <w:bCs/>
          <w:sz w:val="28"/>
          <w:szCs w:val="28"/>
        </w:rPr>
        <w:t>法定代表人授权书</w:t>
      </w:r>
      <w:r>
        <w:rPr>
          <w:rFonts w:hint="eastAsia" w:ascii="宋体" w:hAnsi="宋体" w:cs="宋体"/>
          <w:bCs/>
          <w:sz w:val="28"/>
          <w:szCs w:val="28"/>
        </w:rPr>
        <w:t>（格式）</w:t>
      </w:r>
      <w:bookmarkEnd w:id="214"/>
    </w:p>
    <w:p>
      <w:pPr>
        <w:tabs>
          <w:tab w:val="left" w:pos="3544"/>
        </w:tabs>
        <w:spacing w:line="360" w:lineRule="auto"/>
        <w:ind w:left="562" w:hanging="562"/>
        <w:jc w:val="center"/>
        <w:rPr>
          <w:rFonts w:ascii="宋体" w:cs="宋体"/>
          <w:b/>
          <w:bCs/>
          <w:sz w:val="24"/>
        </w:rPr>
      </w:pPr>
      <w:r>
        <w:rPr>
          <w:rFonts w:hint="eastAsia" w:ascii="宋体" w:hAnsi="宋体" w:cs="宋体"/>
          <w:b/>
          <w:bCs/>
          <w:sz w:val="24"/>
        </w:rPr>
        <w:t>法定代表人授权书</w:t>
      </w:r>
    </w:p>
    <w:p>
      <w:pPr>
        <w:pStyle w:val="156"/>
        <w:tabs>
          <w:tab w:val="left" w:pos="3544"/>
        </w:tabs>
        <w:spacing w:line="500" w:lineRule="exact"/>
        <w:rPr>
          <w:rFonts w:ascii="宋体" w:cs="宋体"/>
          <w:b/>
          <w:bCs/>
          <w:sz w:val="24"/>
          <w:szCs w:val="24"/>
        </w:rPr>
      </w:pPr>
      <w:r>
        <w:rPr>
          <w:rFonts w:hint="eastAsia" w:ascii="宋体" w:hAnsi="宋体" w:cs="宋体"/>
          <w:b/>
          <w:sz w:val="24"/>
          <w:szCs w:val="24"/>
        </w:rPr>
        <w:t>陕西博源招标服务有限公司</w:t>
      </w:r>
      <w:r>
        <w:rPr>
          <w:rFonts w:hint="eastAsia" w:ascii="宋体" w:hAnsi="宋体" w:cs="宋体"/>
          <w:sz w:val="24"/>
          <w:szCs w:val="24"/>
        </w:rPr>
        <w:t>：</w:t>
      </w:r>
    </w:p>
    <w:p>
      <w:pPr>
        <w:pStyle w:val="156"/>
        <w:tabs>
          <w:tab w:val="left" w:pos="3544"/>
        </w:tabs>
        <w:spacing w:line="500" w:lineRule="exact"/>
        <w:ind w:firstLine="480" w:firstLineChars="200"/>
        <w:rPr>
          <w:rFonts w:ascii="宋体" w:cs="宋体"/>
          <w:sz w:val="24"/>
          <w:szCs w:val="24"/>
        </w:rPr>
      </w:pPr>
      <w:r>
        <w:rPr>
          <w:rFonts w:hint="eastAsia" w:ascii="宋体" w:hAnsi="宋体" w:cs="宋体"/>
          <w:sz w:val="24"/>
          <w:szCs w:val="24"/>
        </w:rPr>
        <w:t>本授权书声明：注册于</w:t>
      </w:r>
      <w:r>
        <w:rPr>
          <w:rFonts w:hint="eastAsia" w:ascii="宋体" w:hAnsi="宋体" w:cs="宋体"/>
          <w:sz w:val="24"/>
          <w:szCs w:val="24"/>
          <w:u w:val="single"/>
        </w:rPr>
        <w:t>（工商行政管理局名称）之（单位全称）</w:t>
      </w:r>
      <w:r>
        <w:rPr>
          <w:rFonts w:ascii="宋体" w:hAnsi="宋体" w:cs="宋体"/>
          <w:sz w:val="24"/>
          <w:szCs w:val="24"/>
          <w:u w:val="single"/>
        </w:rPr>
        <w:t xml:space="preserve"> </w:t>
      </w:r>
      <w:r>
        <w:rPr>
          <w:rFonts w:hint="eastAsia" w:ascii="宋体" w:hAnsi="宋体" w:cs="宋体"/>
          <w:sz w:val="24"/>
          <w:szCs w:val="24"/>
        </w:rPr>
        <w:t>的法定代表人</w:t>
      </w:r>
      <w:r>
        <w:rPr>
          <w:rFonts w:hint="eastAsia" w:ascii="宋体" w:hAnsi="宋体" w:cs="宋体"/>
          <w:sz w:val="24"/>
          <w:szCs w:val="24"/>
          <w:u w:val="single"/>
        </w:rPr>
        <w:t>（姓名、性别）</w:t>
      </w:r>
      <w:r>
        <w:rPr>
          <w:rFonts w:hint="eastAsia" w:ascii="宋体" w:hAnsi="宋体" w:cs="宋体"/>
          <w:sz w:val="24"/>
          <w:szCs w:val="24"/>
        </w:rPr>
        <w:t>授权本公司的</w:t>
      </w:r>
      <w:r>
        <w:rPr>
          <w:rFonts w:hint="eastAsia" w:ascii="宋体" w:hAnsi="宋体" w:cs="宋体"/>
          <w:sz w:val="24"/>
          <w:szCs w:val="24"/>
          <w:u w:val="single"/>
        </w:rPr>
        <w:t>（被授权人姓名、性别、职务）</w:t>
      </w:r>
      <w:r>
        <w:rPr>
          <w:rFonts w:hint="eastAsia" w:ascii="宋体" w:hAnsi="宋体" w:cs="宋体"/>
          <w:sz w:val="24"/>
          <w:szCs w:val="24"/>
        </w:rPr>
        <w:t>为合法代理人，就贵方组织的有关</w:t>
      </w:r>
      <w:r>
        <w:rPr>
          <w:rFonts w:ascii="宋体" w:hAnsi="宋体" w:cs="宋体"/>
          <w:sz w:val="24"/>
          <w:szCs w:val="24"/>
          <w:u w:val="single"/>
        </w:rPr>
        <w:t xml:space="preserve">  </w:t>
      </w:r>
      <w:r>
        <w:rPr>
          <w:rFonts w:hint="eastAsia" w:ascii="宋体" w:hAnsi="宋体" w:cs="宋体"/>
          <w:sz w:val="24"/>
          <w:szCs w:val="24"/>
          <w:u w:val="single"/>
        </w:rPr>
        <w:t>（项目名称）</w:t>
      </w:r>
      <w:r>
        <w:rPr>
          <w:rFonts w:ascii="宋体" w:hAnsi="宋体" w:cs="宋体"/>
          <w:sz w:val="24"/>
          <w:szCs w:val="24"/>
          <w:u w:val="single"/>
        </w:rPr>
        <w:t xml:space="preserve"> </w:t>
      </w:r>
      <w:r>
        <w:rPr>
          <w:rFonts w:hint="eastAsia" w:ascii="宋体" w:hAnsi="宋体" w:cs="宋体"/>
          <w:sz w:val="24"/>
          <w:szCs w:val="24"/>
          <w:u w:val="single"/>
        </w:rPr>
        <w:t>（项目编号）</w:t>
      </w:r>
      <w:r>
        <w:rPr>
          <w:rFonts w:ascii="宋体" w:hAnsi="宋体" w:cs="宋体"/>
          <w:sz w:val="24"/>
          <w:szCs w:val="24"/>
          <w:u w:val="single"/>
        </w:rPr>
        <w:t xml:space="preserve"> </w:t>
      </w:r>
      <w:r>
        <w:rPr>
          <w:rFonts w:hint="eastAsia" w:ascii="宋体" w:hAnsi="宋体" w:cs="宋体"/>
          <w:sz w:val="24"/>
          <w:szCs w:val="24"/>
        </w:rPr>
        <w:t>的响应、洽谈、执行等具体事务，签署全部有关响应文件、文书、协议、合同，本公司对被授权人在本项目中的签名承担全部法律责任。本授权书自采购会议之日起计算有效期为</w:t>
      </w:r>
      <w:r>
        <w:rPr>
          <w:rFonts w:ascii="宋体" w:hAnsi="宋体" w:cs="宋体"/>
          <w:sz w:val="24"/>
          <w:szCs w:val="24"/>
          <w:u w:val="single"/>
        </w:rPr>
        <w:t xml:space="preserve"> 90 </w:t>
      </w:r>
      <w:r>
        <w:rPr>
          <w:rFonts w:hint="eastAsia" w:ascii="宋体" w:hAnsi="宋体" w:cs="宋体"/>
          <w:bCs/>
          <w:kern w:val="0"/>
          <w:sz w:val="24"/>
          <w:szCs w:val="24"/>
        </w:rPr>
        <w:t>个日历日</w:t>
      </w:r>
      <w:r>
        <w:rPr>
          <w:rFonts w:hint="eastAsia" w:ascii="宋体" w:hAnsi="宋体" w:cs="宋体"/>
          <w:sz w:val="24"/>
          <w:szCs w:val="24"/>
        </w:rPr>
        <w:t>。</w:t>
      </w:r>
    </w:p>
    <w:p>
      <w:pPr>
        <w:pStyle w:val="156"/>
        <w:tabs>
          <w:tab w:val="left" w:pos="3544"/>
        </w:tabs>
        <w:spacing w:line="500" w:lineRule="exact"/>
        <w:ind w:left="480" w:hanging="480"/>
        <w:rPr>
          <w:rFonts w:ascii="宋体" w:cs="宋体"/>
          <w:sz w:val="24"/>
          <w:szCs w:val="24"/>
        </w:rPr>
      </w:pPr>
      <w:r>
        <w:rPr>
          <w:rFonts w:hint="eastAsia" w:ascii="宋体" w:hAnsi="宋体" w:cs="宋体"/>
          <w:sz w:val="24"/>
          <w:szCs w:val="24"/>
        </w:rPr>
        <w:t>委托单位：</w:t>
      </w:r>
      <w:r>
        <w:rPr>
          <w:rFonts w:ascii="宋体" w:hAnsi="宋体" w:cs="宋体"/>
          <w:sz w:val="24"/>
          <w:szCs w:val="24"/>
          <w:u w:val="single"/>
        </w:rPr>
        <w:t xml:space="preserve"> </w:t>
      </w:r>
      <w:r>
        <w:rPr>
          <w:rFonts w:hint="eastAsia" w:ascii="宋体" w:hAnsi="宋体" w:cs="宋体"/>
          <w:sz w:val="24"/>
          <w:szCs w:val="24"/>
          <w:u w:val="single"/>
        </w:rPr>
        <w:t>（加盖公章）</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法定代表人（签字</w:t>
      </w:r>
      <w:r>
        <w:rPr>
          <w:rFonts w:ascii="宋体" w:hAnsi="宋体" w:cs="宋体"/>
          <w:sz w:val="24"/>
          <w:szCs w:val="24"/>
        </w:rPr>
        <w:t>/</w:t>
      </w:r>
      <w:r>
        <w:rPr>
          <w:rFonts w:hint="eastAsia" w:ascii="宋体" w:hAnsi="宋体" w:cs="宋体"/>
          <w:sz w:val="24"/>
          <w:szCs w:val="24"/>
        </w:rPr>
        <w:t>盖章）：</w:t>
      </w:r>
      <w:r>
        <w:rPr>
          <w:rFonts w:ascii="宋体" w:hAnsi="宋体" w:cs="宋体"/>
          <w:sz w:val="24"/>
          <w:szCs w:val="24"/>
          <w:u w:val="single"/>
        </w:rPr>
        <w:t xml:space="preserve">      </w:t>
      </w:r>
    </w:p>
    <w:p>
      <w:pPr>
        <w:pStyle w:val="156"/>
        <w:tabs>
          <w:tab w:val="left" w:pos="3544"/>
        </w:tabs>
        <w:spacing w:line="500" w:lineRule="exact"/>
        <w:ind w:left="480" w:hanging="480"/>
        <w:rPr>
          <w:rFonts w:ascii="宋体" w:cs="宋体"/>
          <w:sz w:val="24"/>
          <w:szCs w:val="24"/>
        </w:rPr>
      </w:pPr>
      <w:r>
        <w:rPr>
          <w:rFonts w:hint="eastAsia" w:ascii="宋体" w:hAnsi="宋体" w:cs="宋体"/>
          <w:sz w:val="24"/>
          <w:szCs w:val="24"/>
        </w:rPr>
        <w:t>签发日期：</w:t>
      </w:r>
      <w:r>
        <w:rPr>
          <w:rFonts w:ascii="宋体" w:hAnsi="宋体" w:cs="宋体"/>
          <w:sz w:val="24"/>
          <w:szCs w:val="24"/>
          <w:u w:val="single"/>
        </w:rPr>
        <w:t xml:space="preserve">     </w:t>
      </w:r>
      <w:r>
        <w:rPr>
          <w:rFonts w:hint="eastAsia" w:ascii="宋体" w:hAnsi="宋体" w:cs="宋体"/>
          <w:sz w:val="24"/>
          <w:szCs w:val="24"/>
        </w:rPr>
        <w:t>年</w:t>
      </w:r>
      <w:r>
        <w:rPr>
          <w:rFonts w:ascii="宋体" w:hAnsi="宋体" w:cs="宋体"/>
          <w:sz w:val="24"/>
          <w:szCs w:val="24"/>
          <w:u w:val="single"/>
        </w:rPr>
        <w:t xml:space="preserve">    </w:t>
      </w:r>
      <w:r>
        <w:rPr>
          <w:rFonts w:hint="eastAsia" w:ascii="宋体" w:hAnsi="宋体" w:cs="宋体"/>
          <w:sz w:val="24"/>
          <w:szCs w:val="24"/>
        </w:rPr>
        <w:t>月</w:t>
      </w:r>
      <w:r>
        <w:rPr>
          <w:rFonts w:ascii="宋体" w:hAnsi="宋体" w:cs="宋体"/>
          <w:sz w:val="24"/>
          <w:szCs w:val="24"/>
          <w:u w:val="single"/>
        </w:rPr>
        <w:t xml:space="preserve">    </w:t>
      </w:r>
      <w:r>
        <w:rPr>
          <w:rFonts w:hint="eastAsia" w:ascii="宋体" w:hAnsi="宋体" w:cs="宋体"/>
          <w:sz w:val="24"/>
          <w:szCs w:val="24"/>
        </w:rPr>
        <w:t>日</w:t>
      </w:r>
    </w:p>
    <w:p>
      <w:pPr>
        <w:pStyle w:val="156"/>
        <w:tabs>
          <w:tab w:val="left" w:pos="3544"/>
        </w:tabs>
        <w:spacing w:line="500" w:lineRule="exact"/>
        <w:rPr>
          <w:rFonts w:ascii="宋体" w:hAnsi="宋体" w:cs="宋体"/>
          <w:sz w:val="24"/>
          <w:szCs w:val="24"/>
          <w:u w:val="single"/>
        </w:rPr>
      </w:pPr>
      <w:r>
        <w:rPr>
          <w:rFonts w:hint="eastAsia" w:ascii="宋体" w:hAnsi="宋体" w:cs="宋体"/>
          <w:sz w:val="24"/>
          <w:szCs w:val="24"/>
        </w:rPr>
        <w:t>被授权人姓名（签字</w:t>
      </w:r>
      <w:r>
        <w:rPr>
          <w:rFonts w:ascii="宋体" w:hAnsi="宋体" w:cs="宋体"/>
          <w:sz w:val="24"/>
          <w:szCs w:val="24"/>
        </w:rPr>
        <w:t>/</w:t>
      </w:r>
      <w:r>
        <w:rPr>
          <w:rFonts w:hint="eastAsia" w:ascii="宋体" w:hAnsi="宋体" w:cs="宋体"/>
          <w:sz w:val="24"/>
          <w:szCs w:val="24"/>
        </w:rPr>
        <w:t>盖章）：</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性别：</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职务：</w:t>
      </w:r>
      <w:r>
        <w:rPr>
          <w:rFonts w:ascii="宋体" w:hAnsi="宋体" w:cs="宋体"/>
          <w:sz w:val="24"/>
          <w:szCs w:val="24"/>
          <w:u w:val="single"/>
        </w:rPr>
        <w:t xml:space="preserve">        </w:t>
      </w:r>
    </w:p>
    <w:p>
      <w:pPr>
        <w:pStyle w:val="156"/>
        <w:tabs>
          <w:tab w:val="left" w:pos="3544"/>
        </w:tabs>
        <w:spacing w:line="500" w:lineRule="exact"/>
        <w:rPr>
          <w:rFonts w:ascii="宋体" w:hAnsi="宋体" w:cs="宋体"/>
          <w:sz w:val="24"/>
          <w:szCs w:val="24"/>
          <w:u w:val="single"/>
        </w:rPr>
      </w:pPr>
      <w:r>
        <w:rPr>
          <w:rFonts w:hint="eastAsia" w:ascii="宋体" w:hAnsi="宋体" w:cs="宋体"/>
          <w:sz w:val="24"/>
          <w:szCs w:val="24"/>
        </w:rPr>
        <w:t>联系地址：</w:t>
      </w:r>
      <w:r>
        <w:rPr>
          <w:rFonts w:ascii="宋体" w:hAnsi="宋体" w:cs="宋体"/>
          <w:sz w:val="24"/>
          <w:szCs w:val="24"/>
          <w:u w:val="single"/>
        </w:rPr>
        <w:t xml:space="preserve">                                   </w:t>
      </w:r>
    </w:p>
    <w:p>
      <w:pPr>
        <w:pStyle w:val="156"/>
        <w:tabs>
          <w:tab w:val="left" w:pos="3544"/>
        </w:tabs>
        <w:spacing w:line="500" w:lineRule="exact"/>
        <w:rPr>
          <w:rFonts w:ascii="宋体" w:cs="宋体"/>
          <w:b/>
          <w:sz w:val="24"/>
          <w:szCs w:val="24"/>
          <w:u w:val="single"/>
        </w:rPr>
      </w:pPr>
      <w:r>
        <w:rPr>
          <w:rFonts w:hint="eastAsia" w:ascii="宋体" w:hAnsi="宋体" w:cs="宋体"/>
          <w:sz w:val="24"/>
          <w:szCs w:val="24"/>
        </w:rPr>
        <w:t>联系电话：</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传真：</w:t>
      </w:r>
      <w:r>
        <w:rPr>
          <w:rFonts w:ascii="宋体" w:hAnsi="宋体" w:cs="宋体"/>
          <w:sz w:val="24"/>
          <w:szCs w:val="24"/>
          <w:u w:val="single"/>
        </w:rPr>
        <w:t xml:space="preserve">          </w:t>
      </w:r>
    </w:p>
    <w:p>
      <w:pPr>
        <w:pStyle w:val="156"/>
        <w:tabs>
          <w:tab w:val="left" w:pos="3544"/>
        </w:tabs>
        <w:spacing w:line="500" w:lineRule="exact"/>
        <w:ind w:firstLine="2760" w:firstLineChars="1150"/>
        <w:rPr>
          <w:rFonts w:ascii="宋体" w:cs="宋体"/>
          <w:sz w:val="24"/>
          <w:szCs w:val="24"/>
        </w:rPr>
      </w:pPr>
      <w:r>
        <w:rPr>
          <w:rFonts w:hint="eastAsia" w:ascii="宋体" w:hAnsi="宋体" w:cs="宋体"/>
          <w:sz w:val="24"/>
          <w:szCs w:val="24"/>
        </w:rPr>
        <w:t>法定代表人及被授权人身份证复印件</w:t>
      </w:r>
    </w:p>
    <w:tbl>
      <w:tblPr>
        <w:tblStyle w:val="40"/>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5"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被授权人身份证复印件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9" w:hRule="atLeast"/>
          <w:jc w:val="center"/>
        </w:trPr>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法定代表人身份证复印件</w:t>
            </w:r>
          </w:p>
        </w:tc>
        <w:tc>
          <w:tcPr>
            <w:tcW w:w="4285" w:type="dxa"/>
            <w:vAlign w:val="center"/>
          </w:tcPr>
          <w:p>
            <w:pPr>
              <w:pStyle w:val="156"/>
              <w:tabs>
                <w:tab w:val="left" w:pos="3544"/>
              </w:tabs>
              <w:snapToGrid w:val="0"/>
              <w:spacing w:line="500" w:lineRule="exact"/>
              <w:ind w:left="480" w:hanging="480"/>
              <w:jc w:val="center"/>
              <w:rPr>
                <w:rFonts w:ascii="宋体" w:cs="宋体"/>
                <w:sz w:val="24"/>
                <w:szCs w:val="24"/>
              </w:rPr>
            </w:pPr>
            <w:r>
              <w:rPr>
                <w:rFonts w:hint="eastAsia" w:ascii="宋体" w:hAnsi="宋体" w:cs="宋体"/>
                <w:sz w:val="24"/>
                <w:szCs w:val="24"/>
              </w:rPr>
              <w:t>被授权人身份证复印件</w:t>
            </w:r>
          </w:p>
        </w:tc>
      </w:tr>
    </w:tbl>
    <w:p>
      <w:pPr>
        <w:rPr>
          <w:rFonts w:ascii="宋体" w:cs="宋体"/>
          <w:sz w:val="24"/>
        </w:rPr>
        <w:sectPr>
          <w:pgSz w:w="11906" w:h="16838"/>
          <w:pgMar w:top="1440" w:right="1800" w:bottom="1440" w:left="1800" w:header="851" w:footer="992" w:gutter="0"/>
          <w:cols w:space="720" w:num="1"/>
          <w:docGrid w:type="lines" w:linePitch="312" w:charSpace="0"/>
        </w:sectPr>
      </w:pPr>
    </w:p>
    <w:p>
      <w:pPr>
        <w:tabs>
          <w:tab w:val="left" w:pos="3544"/>
        </w:tabs>
        <w:spacing w:line="360" w:lineRule="auto"/>
        <w:jc w:val="center"/>
        <w:rPr>
          <w:rFonts w:ascii="宋体" w:cs="宋体"/>
          <w:b/>
          <w:bCs/>
          <w:sz w:val="28"/>
          <w:szCs w:val="28"/>
        </w:rPr>
      </w:pPr>
      <w:r>
        <w:rPr>
          <w:rFonts w:ascii="宋体" w:hAnsi="宋体" w:cs="宋体"/>
          <w:b/>
          <w:bCs/>
          <w:kern w:val="0"/>
          <w:sz w:val="28"/>
          <w:szCs w:val="28"/>
        </w:rPr>
        <w:t>3</w:t>
      </w:r>
      <w:r>
        <w:rPr>
          <w:rFonts w:ascii="宋体" w:hAnsi="宋体" w:cs="宋体"/>
          <w:b/>
          <w:bCs/>
          <w:sz w:val="28"/>
          <w:szCs w:val="28"/>
        </w:rPr>
        <w:t>.3</w:t>
      </w:r>
      <w:r>
        <w:rPr>
          <w:rFonts w:hint="eastAsia" w:ascii="宋体" w:hAnsi="宋体" w:cs="宋体"/>
          <w:b/>
          <w:bCs/>
          <w:sz w:val="28"/>
          <w:szCs w:val="28"/>
        </w:rPr>
        <w:t>参加政府采购活动前三年内在经营活动中没有重大违法记录</w:t>
      </w:r>
    </w:p>
    <w:p>
      <w:pPr>
        <w:tabs>
          <w:tab w:val="left" w:pos="3544"/>
        </w:tabs>
        <w:spacing w:line="360" w:lineRule="auto"/>
        <w:jc w:val="center"/>
        <w:rPr>
          <w:rFonts w:ascii="宋体" w:cs="宋体"/>
          <w:b/>
          <w:bCs/>
          <w:sz w:val="28"/>
          <w:szCs w:val="28"/>
        </w:rPr>
      </w:pPr>
      <w:r>
        <w:rPr>
          <w:rFonts w:hint="eastAsia" w:ascii="宋体" w:hAnsi="宋体" w:cs="宋体"/>
          <w:b/>
          <w:bCs/>
          <w:sz w:val="28"/>
          <w:szCs w:val="28"/>
        </w:rPr>
        <w:t>书面声明</w:t>
      </w:r>
    </w:p>
    <w:p>
      <w:pPr>
        <w:tabs>
          <w:tab w:val="left" w:pos="3544"/>
        </w:tabs>
        <w:spacing w:line="360" w:lineRule="auto"/>
        <w:jc w:val="center"/>
        <w:rPr>
          <w:rFonts w:ascii="宋体" w:cs="宋体"/>
          <w:kern w:val="0"/>
          <w:sz w:val="24"/>
        </w:rPr>
      </w:pPr>
      <w:r>
        <w:rPr>
          <w:rFonts w:hint="eastAsia" w:ascii="宋体" w:hAnsi="宋体" w:cs="Arial"/>
          <w:b/>
          <w:bCs/>
          <w:kern w:val="0"/>
          <w:sz w:val="24"/>
        </w:rPr>
        <w:t>（格式）</w:t>
      </w:r>
    </w:p>
    <w:p>
      <w:pPr>
        <w:tabs>
          <w:tab w:val="left" w:pos="3544"/>
        </w:tabs>
        <w:spacing w:line="360" w:lineRule="auto"/>
        <w:jc w:val="right"/>
        <w:rPr>
          <w:rFonts w:ascii="宋体" w:hAnsi="宋体" w:cs="宋体"/>
          <w:kern w:val="0"/>
          <w:sz w:val="24"/>
        </w:rPr>
      </w:pPr>
      <w:r>
        <w:rPr>
          <w:rFonts w:ascii="宋体" w:hAnsi="宋体" w:cs="宋体"/>
          <w:kern w:val="0"/>
          <w:sz w:val="24"/>
        </w:rPr>
        <w:t xml:space="preserve"> </w:t>
      </w:r>
    </w:p>
    <w:p>
      <w:pPr>
        <w:tabs>
          <w:tab w:val="left" w:pos="3544"/>
        </w:tabs>
        <w:spacing w:before="120" w:beforeLines="50" w:line="240" w:lineRule="auto"/>
        <w:ind w:left="720" w:hanging="720"/>
        <w:jc w:val="center"/>
        <w:rPr>
          <w:rFonts w:ascii="宋体" w:cs="宋体"/>
          <w:b/>
          <w:bCs/>
          <w:kern w:val="0"/>
          <w:sz w:val="32"/>
          <w:szCs w:val="32"/>
        </w:rPr>
      </w:pPr>
      <w:r>
        <w:rPr>
          <w:rFonts w:hint="eastAsia" w:ascii="宋体" w:hAnsi="宋体" w:cs="宋体"/>
          <w:b/>
          <w:bCs/>
          <w:kern w:val="0"/>
          <w:sz w:val="32"/>
          <w:szCs w:val="32"/>
        </w:rPr>
        <w:t>声</w:t>
      </w:r>
      <w:r>
        <w:rPr>
          <w:rFonts w:ascii="宋体" w:hAnsi="宋体" w:cs="宋体"/>
          <w:b/>
          <w:bCs/>
          <w:kern w:val="0"/>
          <w:sz w:val="32"/>
          <w:szCs w:val="32"/>
        </w:rPr>
        <w:t xml:space="preserve">  </w:t>
      </w:r>
      <w:r>
        <w:rPr>
          <w:rFonts w:hint="eastAsia" w:ascii="宋体" w:hAnsi="宋体" w:cs="宋体"/>
          <w:b/>
          <w:bCs/>
          <w:kern w:val="0"/>
          <w:sz w:val="32"/>
          <w:szCs w:val="32"/>
        </w:rPr>
        <w:t>明</w:t>
      </w:r>
    </w:p>
    <w:p>
      <w:pPr>
        <w:tabs>
          <w:tab w:val="left" w:pos="3544"/>
        </w:tabs>
        <w:spacing w:line="240" w:lineRule="auto"/>
        <w:rPr>
          <w:rFonts w:ascii="宋体"/>
          <w:b/>
          <w:sz w:val="24"/>
        </w:rPr>
      </w:pPr>
    </w:p>
    <w:p>
      <w:pPr>
        <w:tabs>
          <w:tab w:val="left" w:pos="3544"/>
        </w:tabs>
        <w:spacing w:line="460" w:lineRule="exact"/>
        <w:ind w:firstLine="480" w:firstLineChars="200"/>
        <w:rPr>
          <w:rFonts w:ascii="宋体" w:cs="宋体"/>
          <w:kern w:val="0"/>
          <w:sz w:val="24"/>
        </w:rPr>
      </w:pPr>
      <w:r>
        <w:rPr>
          <w:rFonts w:hint="eastAsia" w:ascii="宋体" w:hAnsi="宋体" w:cs="宋体"/>
          <w:kern w:val="0"/>
          <w:sz w:val="24"/>
        </w:rPr>
        <w:t>我单位参与陕西博源招标服务有限公司组织的</w:t>
      </w:r>
      <w:r>
        <w:rPr>
          <w:rFonts w:ascii="宋体" w:hAnsi="宋体" w:cs="宋体"/>
          <w:kern w:val="0"/>
          <w:sz w:val="24"/>
          <w:u w:val="single"/>
        </w:rPr>
        <w:t xml:space="preserve">  </w:t>
      </w:r>
      <w:r>
        <w:rPr>
          <w:rFonts w:hint="eastAsia" w:ascii="宋体" w:hAnsi="宋体" w:cs="宋体"/>
          <w:kern w:val="0"/>
          <w:sz w:val="24"/>
          <w:u w:val="single"/>
        </w:rPr>
        <w:t>项目名称</w:t>
      </w:r>
      <w:r>
        <w:rPr>
          <w:rFonts w:ascii="宋体" w:hAnsi="宋体" w:cs="宋体"/>
          <w:kern w:val="0"/>
          <w:sz w:val="24"/>
          <w:u w:val="single"/>
        </w:rPr>
        <w:t xml:space="preserve"> </w:t>
      </w:r>
      <w:r>
        <w:rPr>
          <w:rFonts w:hint="eastAsia" w:ascii="宋体" w:hAnsi="宋体" w:cs="宋体"/>
          <w:kern w:val="0"/>
          <w:sz w:val="24"/>
          <w:u w:val="single"/>
        </w:rPr>
        <w:t>项目编号</w:t>
      </w:r>
      <w:r>
        <w:rPr>
          <w:rFonts w:hint="eastAsia" w:ascii="宋体" w:hAnsi="宋体" w:cs="宋体"/>
          <w:kern w:val="0"/>
          <w:sz w:val="24"/>
        </w:rPr>
        <w:t>，我单位郑重声明：我方参加本项目前三年内无重大违法活动记录。符合《中华人民共和国政府采购法》规定的供应商资格条件，我方对此声明负全部法律责任。</w:t>
      </w:r>
    </w:p>
    <w:p>
      <w:pPr>
        <w:tabs>
          <w:tab w:val="left" w:pos="3544"/>
        </w:tabs>
        <w:spacing w:line="460" w:lineRule="exact"/>
        <w:ind w:firstLine="480" w:firstLineChars="200"/>
        <w:rPr>
          <w:rFonts w:ascii="宋体" w:cs="宋体"/>
          <w:kern w:val="0"/>
          <w:sz w:val="24"/>
        </w:rPr>
      </w:pPr>
      <w:r>
        <w:rPr>
          <w:rFonts w:hint="eastAsia" w:ascii="宋体" w:hAnsi="宋体" w:cs="宋体"/>
          <w:kern w:val="0"/>
          <w:sz w:val="24"/>
        </w:rPr>
        <w:t>特此声明。</w:t>
      </w:r>
    </w:p>
    <w:p>
      <w:pPr>
        <w:tabs>
          <w:tab w:val="left" w:pos="3544"/>
        </w:tabs>
        <w:spacing w:line="460" w:lineRule="exact"/>
        <w:ind w:firstLine="480" w:firstLineChars="200"/>
        <w:rPr>
          <w:rFonts w:ascii="宋体" w:cs="宋体"/>
          <w:kern w:val="0"/>
          <w:sz w:val="24"/>
        </w:rPr>
      </w:pPr>
    </w:p>
    <w:p>
      <w:pPr>
        <w:spacing w:line="460" w:lineRule="exact"/>
        <w:ind w:firstLine="4080" w:firstLineChars="1700"/>
        <w:jc w:val="left"/>
        <w:rPr>
          <w:rFonts w:ascii="宋体" w:cs="宋体"/>
          <w:kern w:val="0"/>
          <w:sz w:val="24"/>
        </w:rPr>
      </w:pPr>
      <w:r>
        <w:rPr>
          <w:rFonts w:hint="eastAsia" w:ascii="宋体" w:hAnsi="宋体" w:cs="宋体"/>
          <w:kern w:val="0"/>
          <w:sz w:val="24"/>
        </w:rPr>
        <w:t>供应商：</w:t>
      </w:r>
      <w:r>
        <w:rPr>
          <w:rFonts w:hint="eastAsia" w:ascii="宋体" w:hAnsi="宋体" w:cs="宋体"/>
          <w:kern w:val="0"/>
          <w:sz w:val="24"/>
          <w:u w:val="single"/>
        </w:rPr>
        <w:t>（加盖公章）</w:t>
      </w:r>
    </w:p>
    <w:p>
      <w:pPr>
        <w:spacing w:line="460" w:lineRule="exact"/>
        <w:ind w:firstLine="4080" w:firstLineChars="1700"/>
        <w:jc w:val="left"/>
        <w:rPr>
          <w:rFonts w:ascii="宋体" w:cs="宋体"/>
          <w:kern w:val="0"/>
          <w:sz w:val="24"/>
        </w:rPr>
      </w:pPr>
      <w:r>
        <w:rPr>
          <w:rFonts w:hint="eastAsia" w:ascii="宋体" w:hAnsi="宋体" w:cs="宋体"/>
          <w:bCs/>
          <w:kern w:val="0"/>
          <w:sz w:val="24"/>
        </w:rPr>
        <w:t>法定代表人</w:t>
      </w:r>
      <w:r>
        <w:rPr>
          <w:rFonts w:ascii="宋体" w:hAnsi="宋体" w:cs="宋体"/>
          <w:bCs/>
          <w:kern w:val="0"/>
          <w:sz w:val="24"/>
        </w:rPr>
        <w:t>/</w:t>
      </w:r>
      <w:r>
        <w:rPr>
          <w:rFonts w:hint="eastAsia" w:ascii="宋体" w:hAnsi="宋体" w:cs="宋体"/>
          <w:bCs/>
          <w:kern w:val="0"/>
          <w:sz w:val="24"/>
        </w:rPr>
        <w:t>授权代表签字</w:t>
      </w:r>
      <w:r>
        <w:rPr>
          <w:rFonts w:hint="eastAsia" w:ascii="宋体" w:hAnsi="宋体" w:cs="宋体"/>
          <w:kern w:val="0"/>
          <w:sz w:val="24"/>
        </w:rPr>
        <w:t>：</w:t>
      </w:r>
    </w:p>
    <w:p>
      <w:pPr>
        <w:spacing w:line="460" w:lineRule="exact"/>
        <w:ind w:firstLine="480" w:firstLineChars="200"/>
        <w:jc w:val="left"/>
        <w:rPr>
          <w:rFonts w:ascii="宋体" w:cs="宋体"/>
          <w:kern w:val="0"/>
          <w:sz w:val="24"/>
          <w:u w:val="single"/>
        </w:rPr>
      </w:pPr>
      <w:r>
        <w:rPr>
          <w:rFonts w:ascii="宋体" w:cs="宋体"/>
          <w:kern w:val="0"/>
          <w:sz w:val="24"/>
        </w:rPr>
        <w:t> </w:t>
      </w:r>
      <w:r>
        <w:rPr>
          <w:rFonts w:ascii="宋体" w:hAnsi="宋体" w:cs="宋体"/>
          <w:kern w:val="0"/>
          <w:sz w:val="24"/>
        </w:rPr>
        <w:t xml:space="preserve">                            </w:t>
      </w:r>
      <w:r>
        <w:rPr>
          <w:rFonts w:hint="eastAsia" w:ascii="宋体" w:hAnsi="宋体" w:cs="宋体"/>
          <w:kern w:val="0"/>
          <w:sz w:val="24"/>
        </w:rPr>
        <w:t xml:space="preserve"> 地　址：</w:t>
      </w:r>
    </w:p>
    <w:p>
      <w:pPr>
        <w:spacing w:line="500" w:lineRule="exact"/>
        <w:ind w:firstLine="4080" w:firstLineChars="1700"/>
        <w:jc w:val="left"/>
        <w:rPr>
          <w:rFonts w:ascii="宋体" w:cs="宋体"/>
          <w:kern w:val="0"/>
          <w:sz w:val="24"/>
          <w:u w:val="single"/>
        </w:rPr>
      </w:pPr>
      <w:r>
        <w:rPr>
          <w:rFonts w:hint="eastAsia" w:ascii="宋体" w:hAnsi="宋体" w:cs="宋体"/>
          <w:kern w:val="0"/>
          <w:sz w:val="24"/>
        </w:rPr>
        <w:t>邮</w:t>
      </w:r>
      <w:r>
        <w:rPr>
          <w:rFonts w:ascii="宋体" w:hAnsi="宋体" w:cs="宋体"/>
          <w:kern w:val="0"/>
          <w:sz w:val="24"/>
        </w:rPr>
        <w:t xml:space="preserve">  </w:t>
      </w:r>
      <w:r>
        <w:rPr>
          <w:rFonts w:hint="eastAsia" w:ascii="宋体" w:hAnsi="宋体" w:cs="宋体"/>
          <w:kern w:val="0"/>
          <w:sz w:val="24"/>
        </w:rPr>
        <w:t>编：</w:t>
      </w:r>
    </w:p>
    <w:p>
      <w:pPr>
        <w:widowControl/>
        <w:spacing w:line="240" w:lineRule="auto"/>
        <w:jc w:val="left"/>
        <w:rPr>
          <w:rFonts w:ascii="宋体" w:cs="宋体"/>
          <w:b/>
          <w:bCs/>
          <w:kern w:val="0"/>
          <w:sz w:val="24"/>
        </w:rPr>
      </w:pPr>
      <w:r>
        <w:rPr>
          <w:rFonts w:ascii="宋体" w:cs="宋体"/>
          <w:b/>
          <w:bCs/>
          <w:kern w:val="0"/>
          <w:sz w:val="24"/>
        </w:rPr>
        <w:br w:type="page"/>
      </w:r>
    </w:p>
    <w:p>
      <w:pPr>
        <w:spacing w:line="360" w:lineRule="auto"/>
        <w:ind w:left="420" w:leftChars="200"/>
        <w:jc w:val="center"/>
        <w:rPr>
          <w:rFonts w:ascii="宋体" w:cs="宋体"/>
          <w:b/>
          <w:bCs/>
          <w:sz w:val="28"/>
          <w:szCs w:val="28"/>
        </w:rPr>
      </w:pPr>
      <w:r>
        <w:rPr>
          <w:rFonts w:ascii="宋体" w:hAnsi="宋体" w:cs="宋体"/>
          <w:b/>
          <w:bCs/>
          <w:kern w:val="0"/>
          <w:sz w:val="28"/>
          <w:szCs w:val="28"/>
        </w:rPr>
        <w:t>4</w:t>
      </w:r>
      <w:r>
        <w:rPr>
          <w:rFonts w:hint="eastAsia" w:ascii="宋体" w:hAnsi="宋体" w:cs="宋体"/>
          <w:b/>
          <w:bCs/>
          <w:kern w:val="0"/>
          <w:sz w:val="28"/>
          <w:szCs w:val="28"/>
        </w:rPr>
        <w:t>．</w:t>
      </w:r>
      <w:r>
        <w:rPr>
          <w:rFonts w:hint="eastAsia" w:ascii="宋体" w:hAnsi="宋体" w:cs="宋体"/>
          <w:b/>
          <w:bCs/>
          <w:sz w:val="28"/>
          <w:szCs w:val="28"/>
        </w:rPr>
        <w:t>保证金交纳凭证</w:t>
      </w: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b/>
          <w:bCs/>
          <w:sz w:val="24"/>
        </w:rPr>
      </w:pPr>
    </w:p>
    <w:p>
      <w:pPr>
        <w:spacing w:line="360" w:lineRule="auto"/>
        <w:ind w:left="420" w:leftChars="200" w:firstLine="1205" w:firstLineChars="500"/>
        <w:jc w:val="left"/>
        <w:rPr>
          <w:rFonts w:ascii="宋体" w:cs="宋体"/>
          <w:kern w:val="0"/>
          <w:sz w:val="24"/>
        </w:rPr>
      </w:pPr>
      <w:r>
        <w:rPr>
          <w:rFonts w:hint="eastAsia" w:ascii="宋体" w:hAnsi="宋体" w:cs="宋体"/>
          <w:b/>
          <w:bCs/>
          <w:sz w:val="24"/>
        </w:rPr>
        <w:t>（银行转账或电汇回执单复印件加盖单位公章）</w:t>
      </w:r>
    </w:p>
    <w:p>
      <w:pPr>
        <w:spacing w:line="360" w:lineRule="auto"/>
        <w:jc w:val="left"/>
        <w:rPr>
          <w:rFonts w:ascii="宋体" w:cs="宋体"/>
          <w:kern w:val="0"/>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p>
    <w:p>
      <w:pPr>
        <w:spacing w:line="360" w:lineRule="auto"/>
        <w:ind w:firstLine="3600" w:firstLineChars="1500"/>
        <w:jc w:val="left"/>
        <w:rPr>
          <w:rFonts w:ascii="宋体" w:cs="宋体"/>
          <w:sz w:val="24"/>
        </w:rPr>
      </w:pPr>
      <w:r>
        <w:rPr>
          <w:rFonts w:hint="eastAsia" w:ascii="宋体" w:hAnsi="宋体" w:cs="宋体"/>
          <w:sz w:val="24"/>
        </w:rPr>
        <w:t>供应商：（加盖公章）</w:t>
      </w:r>
    </w:p>
    <w:p>
      <w:pPr>
        <w:spacing w:line="360" w:lineRule="auto"/>
        <w:ind w:firstLine="3600" w:firstLineChars="1500"/>
        <w:jc w:val="left"/>
        <w:rPr>
          <w:rFonts w:asci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授权代表（签字或盖章）：</w:t>
      </w:r>
    </w:p>
    <w:p>
      <w:pPr>
        <w:spacing w:line="360" w:lineRule="auto"/>
        <w:ind w:firstLine="3600" w:firstLineChars="1500"/>
        <w:jc w:val="left"/>
        <w:rPr>
          <w:rFonts w:ascii="宋体" w:cs="宋体"/>
          <w:kern w:val="0"/>
          <w:sz w:val="24"/>
        </w:rPr>
        <w:sectPr>
          <w:pgSz w:w="11906" w:h="16838"/>
          <w:pgMar w:top="1440" w:right="1797" w:bottom="1440" w:left="1797" w:header="851" w:footer="992" w:gutter="0"/>
          <w:cols w:space="720" w:num="1"/>
          <w:docGrid w:linePitch="312" w:charSpace="0"/>
        </w:sectPr>
      </w:pPr>
      <w:r>
        <w:rPr>
          <w:rFonts w:hint="eastAsia" w:ascii="宋体" w:hAnsi="宋体" w:cs="宋体"/>
          <w:sz w:val="24"/>
        </w:rPr>
        <w:t>日</w:t>
      </w:r>
      <w:r>
        <w:rPr>
          <w:rFonts w:ascii="宋体" w:hAnsi="宋体" w:cs="宋体"/>
          <w:sz w:val="24"/>
        </w:rPr>
        <w:t xml:space="preserve">  </w:t>
      </w:r>
      <w:r>
        <w:rPr>
          <w:rFonts w:hint="eastAsia" w:ascii="宋体" w:hAnsi="宋体" w:cs="宋体"/>
          <w:sz w:val="24"/>
        </w:rPr>
        <w:t>期：</w:t>
      </w:r>
    </w:p>
    <w:p>
      <w:pPr>
        <w:tabs>
          <w:tab w:val="left" w:pos="3544"/>
        </w:tabs>
        <w:spacing w:line="360" w:lineRule="atLeast"/>
        <w:jc w:val="center"/>
        <w:rPr>
          <w:rFonts w:ascii="宋体" w:cs="宋体"/>
          <w:b/>
          <w:bCs/>
          <w:sz w:val="28"/>
          <w:szCs w:val="28"/>
        </w:rPr>
      </w:pPr>
      <w:r>
        <w:rPr>
          <w:rFonts w:ascii="宋体" w:hAnsi="宋体" w:cs="宋体"/>
          <w:b/>
          <w:sz w:val="28"/>
          <w:szCs w:val="28"/>
        </w:rPr>
        <w:t>5</w:t>
      </w:r>
      <w:r>
        <w:rPr>
          <w:rFonts w:hint="eastAsia" w:ascii="宋体" w:hAnsi="宋体" w:cs="宋体"/>
          <w:b/>
          <w:sz w:val="28"/>
          <w:szCs w:val="28"/>
        </w:rPr>
        <w:t>．</w:t>
      </w:r>
      <w:r>
        <w:rPr>
          <w:rFonts w:hint="eastAsia" w:ascii="宋体" w:hAnsi="宋体" w:cs="宋体"/>
          <w:b/>
          <w:bCs/>
          <w:sz w:val="28"/>
          <w:szCs w:val="28"/>
        </w:rPr>
        <w:t>技术及商务响应偏离表</w:t>
      </w:r>
    </w:p>
    <w:p>
      <w:pPr>
        <w:tabs>
          <w:tab w:val="left" w:pos="3544"/>
        </w:tabs>
        <w:kinsoku w:val="0"/>
        <w:spacing w:line="500" w:lineRule="exact"/>
        <w:ind w:left="-359" w:leftChars="-171" w:firstLine="358"/>
        <w:jc w:val="center"/>
        <w:rPr>
          <w:rFonts w:ascii="宋体" w:cs="宋体"/>
          <w:sz w:val="24"/>
        </w:rPr>
      </w:pPr>
      <w:r>
        <w:rPr>
          <w:rFonts w:ascii="宋体" w:hAnsi="宋体" w:cs="宋体"/>
          <w:b/>
          <w:bCs/>
          <w:sz w:val="24"/>
        </w:rPr>
        <w:t>5.1</w:t>
      </w:r>
      <w:r>
        <w:rPr>
          <w:rFonts w:hint="eastAsia" w:ascii="宋体" w:hAnsi="宋体" w:cs="宋体"/>
          <w:b/>
          <w:bCs/>
          <w:sz w:val="24"/>
        </w:rPr>
        <w:t>技术响应偏离表</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项目编号：</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w:t>
      </w:r>
    </w:p>
    <w:tbl>
      <w:tblPr>
        <w:tblStyle w:val="40"/>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067"/>
        <w:gridCol w:w="2268"/>
        <w:gridCol w:w="2268"/>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35" w:type="dxa"/>
            <w:vAlign w:val="center"/>
          </w:tcPr>
          <w:p>
            <w:pPr>
              <w:jc w:val="center"/>
              <w:rPr>
                <w:rFonts w:ascii="宋体" w:cs="宋体"/>
                <w:b/>
                <w:sz w:val="24"/>
              </w:rPr>
            </w:pPr>
            <w:r>
              <w:rPr>
                <w:rFonts w:hint="eastAsia" w:ascii="宋体" w:hAnsi="宋体" w:cs="宋体"/>
                <w:b/>
                <w:sz w:val="24"/>
              </w:rPr>
              <w:t>序号</w:t>
            </w:r>
          </w:p>
        </w:tc>
        <w:tc>
          <w:tcPr>
            <w:tcW w:w="2067" w:type="dxa"/>
            <w:vAlign w:val="center"/>
          </w:tcPr>
          <w:p>
            <w:pPr>
              <w:jc w:val="center"/>
              <w:rPr>
                <w:rFonts w:ascii="宋体" w:cs="宋体"/>
                <w:b/>
                <w:sz w:val="24"/>
              </w:rPr>
            </w:pPr>
            <w:r>
              <w:rPr>
                <w:rFonts w:hint="eastAsia" w:ascii="宋体" w:hAnsi="宋体" w:cs="宋体"/>
                <w:b/>
                <w:sz w:val="24"/>
              </w:rPr>
              <w:t>磋商文件需求</w:t>
            </w:r>
          </w:p>
        </w:tc>
        <w:tc>
          <w:tcPr>
            <w:tcW w:w="2268" w:type="dxa"/>
            <w:vAlign w:val="center"/>
          </w:tcPr>
          <w:p>
            <w:pPr>
              <w:jc w:val="center"/>
              <w:rPr>
                <w:rFonts w:ascii="宋体" w:cs="宋体"/>
                <w:b/>
                <w:sz w:val="24"/>
              </w:rPr>
            </w:pPr>
            <w:r>
              <w:rPr>
                <w:rFonts w:hint="eastAsia" w:ascii="宋体" w:hAnsi="宋体" w:cs="宋体"/>
                <w:b/>
                <w:sz w:val="24"/>
              </w:rPr>
              <w:t>响应文件情况</w:t>
            </w:r>
          </w:p>
        </w:tc>
        <w:tc>
          <w:tcPr>
            <w:tcW w:w="2268" w:type="dxa"/>
            <w:vAlign w:val="center"/>
          </w:tcPr>
          <w:p>
            <w:pPr>
              <w:jc w:val="center"/>
              <w:rPr>
                <w:rFonts w:ascii="宋体" w:cs="宋体"/>
                <w:b/>
                <w:sz w:val="24"/>
              </w:rPr>
            </w:pPr>
            <w:r>
              <w:rPr>
                <w:rFonts w:hint="eastAsia" w:ascii="宋体" w:hAnsi="宋体" w:cs="宋体"/>
                <w:b/>
                <w:sz w:val="24"/>
              </w:rPr>
              <w:t>偏离情况</w:t>
            </w:r>
          </w:p>
        </w:tc>
        <w:tc>
          <w:tcPr>
            <w:tcW w:w="1719" w:type="dxa"/>
            <w:vAlign w:val="center"/>
          </w:tcPr>
          <w:p>
            <w:pPr>
              <w:jc w:val="center"/>
              <w:rPr>
                <w:rFonts w:ascii="宋体" w:cs="宋体"/>
                <w:b/>
                <w:sz w:val="24"/>
              </w:rPr>
            </w:pPr>
            <w:r>
              <w:rPr>
                <w:rFonts w:hint="eastAsia" w:ascii="宋体" w:hAnsi="宋体" w:cs="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bl>
    <w:p>
      <w:pPr>
        <w:spacing w:line="440" w:lineRule="exact"/>
        <w:rPr>
          <w:rFonts w:ascii="宋体" w:cs="宋体"/>
          <w:b/>
          <w:sz w:val="24"/>
        </w:rPr>
      </w:pPr>
      <w:r>
        <w:rPr>
          <w:rFonts w:hint="eastAsia" w:ascii="宋体" w:hAnsi="宋体" w:cs="宋体"/>
          <w:b/>
          <w:sz w:val="24"/>
        </w:rPr>
        <w:t>注：①磋商文件需求：指在磋商文件中采购人所提出的技术要求。</w:t>
      </w:r>
    </w:p>
    <w:p>
      <w:pPr>
        <w:spacing w:line="440" w:lineRule="exact"/>
        <w:ind w:firstLine="482" w:firstLineChars="200"/>
        <w:rPr>
          <w:rFonts w:ascii="宋体" w:cs="宋体"/>
          <w:b/>
          <w:sz w:val="24"/>
        </w:rPr>
      </w:pPr>
      <w:r>
        <w:rPr>
          <w:rFonts w:hint="eastAsia" w:ascii="宋体" w:hAnsi="宋体" w:cs="宋体"/>
          <w:b/>
          <w:sz w:val="24"/>
        </w:rPr>
        <w:t>②响应文件情况：指在响应文件中供应商对磋商文件技术要求的响应内容。</w:t>
      </w:r>
    </w:p>
    <w:p>
      <w:pPr>
        <w:spacing w:line="440" w:lineRule="exact"/>
        <w:ind w:firstLine="482" w:firstLineChars="200"/>
        <w:rPr>
          <w:rFonts w:ascii="宋体" w:cs="宋体"/>
          <w:b/>
          <w:sz w:val="24"/>
        </w:rPr>
      </w:pPr>
      <w:r>
        <w:rPr>
          <w:rFonts w:hint="eastAsia" w:ascii="宋体" w:hAnsi="宋体" w:cs="宋体"/>
          <w:b/>
          <w:sz w:val="24"/>
        </w:rPr>
        <w:t>③偏离情况包括：优于、低于、无偏离，“优于”请附相关的证明材料。</w:t>
      </w:r>
    </w:p>
    <w:p>
      <w:pPr>
        <w:pStyle w:val="21"/>
        <w:tabs>
          <w:tab w:val="left" w:pos="3544"/>
        </w:tabs>
        <w:rPr>
          <w:rFonts w:ascii="宋体" w:cs="宋体"/>
          <w:sz w:val="24"/>
          <w:szCs w:val="24"/>
        </w:rPr>
      </w:pPr>
    </w:p>
    <w:p>
      <w:pPr>
        <w:pStyle w:val="21"/>
        <w:tabs>
          <w:tab w:val="left" w:pos="3544"/>
        </w:tabs>
        <w:rPr>
          <w:rFonts w:ascii="宋体" w:cs="宋体"/>
          <w:sz w:val="24"/>
          <w:szCs w:val="24"/>
        </w:rPr>
      </w:pPr>
    </w:p>
    <w:p>
      <w:pPr>
        <w:pStyle w:val="21"/>
        <w:tabs>
          <w:tab w:val="left" w:pos="3544"/>
        </w:tabs>
        <w:ind w:firstLine="4320" w:firstLineChars="1800"/>
        <w:rPr>
          <w:rFonts w:asci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（加盖公章）</w:t>
      </w:r>
    </w:p>
    <w:p>
      <w:pPr>
        <w:pStyle w:val="21"/>
        <w:tabs>
          <w:tab w:val="left" w:pos="3544"/>
        </w:tabs>
        <w:ind w:firstLine="4320" w:firstLineChars="1800"/>
        <w:rPr>
          <w:rFonts w:ascii="宋体" w:cs="宋体"/>
          <w:sz w:val="24"/>
          <w:szCs w:val="24"/>
        </w:rPr>
      </w:pPr>
      <w:r>
        <w:rPr>
          <w:rFonts w:hint="eastAsia" w:ascii="宋体" w:hAnsi="宋体" w:cs="宋体"/>
          <w:sz w:val="24"/>
          <w:szCs w:val="24"/>
        </w:rPr>
        <w:t>法定代表人</w:t>
      </w:r>
      <w:r>
        <w:rPr>
          <w:rFonts w:ascii="宋体" w:hAnsi="宋体" w:cs="宋体"/>
          <w:sz w:val="24"/>
          <w:szCs w:val="24"/>
        </w:rPr>
        <w:t>/</w:t>
      </w:r>
      <w:r>
        <w:rPr>
          <w:rFonts w:hint="eastAsia" w:ascii="宋体" w:hAnsi="宋体" w:cs="宋体"/>
          <w:sz w:val="24"/>
          <w:szCs w:val="24"/>
        </w:rPr>
        <w:t>授权代表签字：</w:t>
      </w:r>
    </w:p>
    <w:p>
      <w:pPr>
        <w:pStyle w:val="21"/>
        <w:tabs>
          <w:tab w:val="left" w:pos="3544"/>
        </w:tabs>
        <w:ind w:firstLine="4320" w:firstLineChars="1800"/>
        <w:rPr>
          <w:rFonts w:ascii="宋体" w:cs="宋体"/>
          <w:sz w:val="24"/>
          <w:szCs w:val="24"/>
        </w:rPr>
      </w:pP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p>
      <w:pPr>
        <w:tabs>
          <w:tab w:val="left" w:pos="3544"/>
        </w:tabs>
        <w:kinsoku w:val="0"/>
        <w:spacing w:line="500" w:lineRule="exact"/>
        <w:ind w:left="-359" w:leftChars="-171" w:firstLine="358"/>
        <w:jc w:val="center"/>
        <w:rPr>
          <w:rFonts w:ascii="宋体" w:cs="宋体"/>
          <w:sz w:val="24"/>
        </w:rPr>
      </w:pPr>
      <w:r>
        <w:rPr>
          <w:rFonts w:ascii="宋体" w:cs="宋体"/>
          <w:b/>
          <w:sz w:val="24"/>
        </w:rPr>
        <w:br w:type="page"/>
      </w:r>
      <w:r>
        <w:rPr>
          <w:rFonts w:ascii="宋体" w:hAnsi="宋体" w:cs="宋体"/>
          <w:b/>
          <w:sz w:val="24"/>
        </w:rPr>
        <w:t>5.2</w:t>
      </w:r>
      <w:r>
        <w:rPr>
          <w:rFonts w:hint="eastAsia" w:ascii="宋体" w:hAnsi="宋体" w:cs="宋体"/>
          <w:b/>
          <w:bCs/>
          <w:sz w:val="24"/>
        </w:rPr>
        <w:t>商务响应偏离表</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项目编号：</w:t>
      </w:r>
    </w:p>
    <w:p>
      <w:pPr>
        <w:tabs>
          <w:tab w:val="left" w:pos="3544"/>
        </w:tabs>
        <w:kinsoku w:val="0"/>
        <w:spacing w:line="500" w:lineRule="exact"/>
        <w:ind w:left="-359" w:leftChars="-171" w:firstLine="358"/>
        <w:rPr>
          <w:rFonts w:ascii="宋体" w:cs="宋体"/>
          <w:b/>
          <w:sz w:val="24"/>
        </w:rPr>
      </w:pPr>
      <w:r>
        <w:rPr>
          <w:rFonts w:hint="eastAsia" w:ascii="宋体" w:hAnsi="宋体" w:cs="宋体"/>
          <w:sz w:val="24"/>
        </w:rPr>
        <w:t>供</w:t>
      </w:r>
      <w:r>
        <w:rPr>
          <w:rFonts w:ascii="宋体" w:hAnsi="宋体" w:cs="宋体"/>
          <w:sz w:val="24"/>
        </w:rPr>
        <w:t xml:space="preserve"> </w:t>
      </w:r>
      <w:r>
        <w:rPr>
          <w:rFonts w:hint="eastAsia" w:ascii="宋体" w:hAnsi="宋体" w:cs="宋体"/>
          <w:sz w:val="24"/>
        </w:rPr>
        <w:t>应</w:t>
      </w:r>
      <w:r>
        <w:rPr>
          <w:rFonts w:ascii="宋体" w:hAnsi="宋体" w:cs="宋体"/>
          <w:sz w:val="24"/>
        </w:rPr>
        <w:t xml:space="preserve"> </w:t>
      </w:r>
      <w:r>
        <w:rPr>
          <w:rFonts w:hint="eastAsia" w:ascii="宋体" w:hAnsi="宋体" w:cs="宋体"/>
          <w:sz w:val="24"/>
        </w:rPr>
        <w:t>商：</w:t>
      </w:r>
    </w:p>
    <w:tbl>
      <w:tblPr>
        <w:tblStyle w:val="40"/>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067"/>
        <w:gridCol w:w="2268"/>
        <w:gridCol w:w="2268"/>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35" w:type="dxa"/>
            <w:vAlign w:val="center"/>
          </w:tcPr>
          <w:p>
            <w:pPr>
              <w:jc w:val="center"/>
              <w:rPr>
                <w:rFonts w:ascii="宋体" w:cs="宋体"/>
                <w:b/>
                <w:sz w:val="24"/>
              </w:rPr>
            </w:pPr>
            <w:r>
              <w:rPr>
                <w:rFonts w:hint="eastAsia" w:ascii="宋体" w:hAnsi="宋体" w:cs="宋体"/>
                <w:b/>
                <w:sz w:val="24"/>
              </w:rPr>
              <w:t>序号</w:t>
            </w:r>
          </w:p>
        </w:tc>
        <w:tc>
          <w:tcPr>
            <w:tcW w:w="2067" w:type="dxa"/>
            <w:vAlign w:val="center"/>
          </w:tcPr>
          <w:p>
            <w:pPr>
              <w:jc w:val="center"/>
              <w:rPr>
                <w:rFonts w:ascii="宋体" w:cs="宋体"/>
                <w:b/>
                <w:sz w:val="24"/>
              </w:rPr>
            </w:pPr>
            <w:r>
              <w:rPr>
                <w:rFonts w:hint="eastAsia" w:ascii="宋体" w:hAnsi="宋体" w:cs="宋体"/>
                <w:b/>
                <w:sz w:val="24"/>
              </w:rPr>
              <w:t>磋商文件需求</w:t>
            </w:r>
          </w:p>
        </w:tc>
        <w:tc>
          <w:tcPr>
            <w:tcW w:w="2268" w:type="dxa"/>
            <w:vAlign w:val="center"/>
          </w:tcPr>
          <w:p>
            <w:pPr>
              <w:jc w:val="center"/>
              <w:rPr>
                <w:rFonts w:ascii="宋体" w:cs="宋体"/>
                <w:b/>
                <w:sz w:val="24"/>
              </w:rPr>
            </w:pPr>
            <w:r>
              <w:rPr>
                <w:rFonts w:hint="eastAsia" w:ascii="宋体" w:hAnsi="宋体" w:cs="宋体"/>
                <w:b/>
                <w:sz w:val="24"/>
              </w:rPr>
              <w:t>响应文件情况</w:t>
            </w:r>
          </w:p>
        </w:tc>
        <w:tc>
          <w:tcPr>
            <w:tcW w:w="2268" w:type="dxa"/>
            <w:vAlign w:val="center"/>
          </w:tcPr>
          <w:p>
            <w:pPr>
              <w:jc w:val="center"/>
              <w:rPr>
                <w:rFonts w:ascii="宋体" w:cs="宋体"/>
                <w:b/>
                <w:sz w:val="24"/>
              </w:rPr>
            </w:pPr>
            <w:r>
              <w:rPr>
                <w:rFonts w:hint="eastAsia" w:ascii="宋体" w:hAnsi="宋体" w:cs="宋体"/>
                <w:b/>
                <w:sz w:val="24"/>
              </w:rPr>
              <w:t>偏离情况</w:t>
            </w:r>
          </w:p>
        </w:tc>
        <w:tc>
          <w:tcPr>
            <w:tcW w:w="1719" w:type="dxa"/>
            <w:vAlign w:val="center"/>
          </w:tcPr>
          <w:p>
            <w:pPr>
              <w:jc w:val="center"/>
              <w:rPr>
                <w:rFonts w:ascii="宋体" w:cs="宋体"/>
                <w:b/>
                <w:sz w:val="24"/>
              </w:rPr>
            </w:pPr>
            <w:r>
              <w:rPr>
                <w:rFonts w:hint="eastAsia" w:ascii="宋体" w:hAnsi="宋体" w:cs="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Align w:val="center"/>
          </w:tcPr>
          <w:p>
            <w:pPr>
              <w:jc w:val="center"/>
              <w:rPr>
                <w:rFonts w:ascii="宋体" w:cs="宋体"/>
                <w:sz w:val="24"/>
              </w:rPr>
            </w:pPr>
          </w:p>
        </w:tc>
        <w:tc>
          <w:tcPr>
            <w:tcW w:w="2067"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2268" w:type="dxa"/>
            <w:vAlign w:val="center"/>
          </w:tcPr>
          <w:p>
            <w:pPr>
              <w:jc w:val="center"/>
              <w:rPr>
                <w:rFonts w:ascii="宋体" w:cs="宋体"/>
                <w:sz w:val="24"/>
              </w:rPr>
            </w:pPr>
          </w:p>
        </w:tc>
        <w:tc>
          <w:tcPr>
            <w:tcW w:w="1719" w:type="dxa"/>
            <w:vAlign w:val="center"/>
          </w:tcPr>
          <w:p>
            <w:pPr>
              <w:jc w:val="center"/>
              <w:rPr>
                <w:rFonts w:ascii="宋体" w:cs="宋体"/>
                <w:sz w:val="24"/>
              </w:rPr>
            </w:pPr>
          </w:p>
        </w:tc>
      </w:tr>
    </w:tbl>
    <w:p>
      <w:pPr>
        <w:spacing w:line="440" w:lineRule="exact"/>
        <w:rPr>
          <w:rFonts w:ascii="宋体" w:cs="宋体"/>
          <w:b/>
          <w:sz w:val="24"/>
        </w:rPr>
      </w:pPr>
      <w:r>
        <w:rPr>
          <w:rFonts w:hint="eastAsia" w:ascii="宋体" w:hAnsi="宋体" w:cs="宋体"/>
          <w:b/>
          <w:sz w:val="24"/>
        </w:rPr>
        <w:t>注：①磋商文件需求：指在磋商文件中采购人所提出的商务要求。</w:t>
      </w:r>
    </w:p>
    <w:p>
      <w:pPr>
        <w:spacing w:line="440" w:lineRule="exact"/>
        <w:ind w:firstLine="482" w:firstLineChars="200"/>
        <w:rPr>
          <w:rFonts w:ascii="宋体" w:cs="宋体"/>
          <w:b/>
          <w:sz w:val="24"/>
        </w:rPr>
      </w:pPr>
      <w:r>
        <w:rPr>
          <w:rFonts w:hint="eastAsia" w:ascii="宋体" w:hAnsi="宋体" w:cs="宋体"/>
          <w:b/>
          <w:sz w:val="24"/>
        </w:rPr>
        <w:t>②响应文件情况：指在响应文件中供应商对磋商文件商务要求的响应内容。</w:t>
      </w:r>
    </w:p>
    <w:p>
      <w:pPr>
        <w:pStyle w:val="21"/>
        <w:tabs>
          <w:tab w:val="left" w:pos="3544"/>
        </w:tabs>
        <w:ind w:firstLine="482" w:firstLineChars="200"/>
        <w:rPr>
          <w:rFonts w:ascii="宋体" w:cs="宋体"/>
          <w:sz w:val="24"/>
          <w:szCs w:val="24"/>
        </w:rPr>
      </w:pPr>
      <w:r>
        <w:rPr>
          <w:rFonts w:hint="eastAsia" w:ascii="宋体" w:hAnsi="宋体" w:cs="宋体"/>
          <w:b/>
          <w:sz w:val="24"/>
        </w:rPr>
        <w:t>③偏离情况包括：优于、低于、无偏离，“优于”请附相关的证明材料</w:t>
      </w:r>
    </w:p>
    <w:p>
      <w:pPr>
        <w:pStyle w:val="21"/>
        <w:tabs>
          <w:tab w:val="left" w:pos="3544"/>
        </w:tabs>
        <w:rPr>
          <w:rFonts w:ascii="宋体" w:cs="宋体"/>
          <w:sz w:val="24"/>
          <w:szCs w:val="24"/>
        </w:rPr>
      </w:pPr>
    </w:p>
    <w:p>
      <w:pPr>
        <w:pStyle w:val="21"/>
        <w:tabs>
          <w:tab w:val="left" w:pos="3544"/>
        </w:tabs>
        <w:ind w:firstLine="4320" w:firstLineChars="1800"/>
        <w:rPr>
          <w:rFonts w:ascii="宋体" w:cs="宋体"/>
          <w:sz w:val="24"/>
          <w:szCs w:val="24"/>
        </w:rPr>
      </w:pPr>
    </w:p>
    <w:p>
      <w:pPr>
        <w:pStyle w:val="21"/>
        <w:tabs>
          <w:tab w:val="left" w:pos="3544"/>
        </w:tabs>
        <w:ind w:firstLine="4320" w:firstLineChars="1800"/>
        <w:rPr>
          <w:rFonts w:ascii="宋体" w:cs="宋体"/>
          <w:sz w:val="24"/>
          <w:szCs w:val="24"/>
        </w:rPr>
      </w:pPr>
    </w:p>
    <w:p>
      <w:pPr>
        <w:pStyle w:val="21"/>
        <w:tabs>
          <w:tab w:val="left" w:pos="3544"/>
        </w:tabs>
        <w:ind w:firstLine="4320" w:firstLineChars="1800"/>
        <w:rPr>
          <w:rFonts w:asci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（加盖公章）</w:t>
      </w:r>
    </w:p>
    <w:p>
      <w:pPr>
        <w:pStyle w:val="21"/>
        <w:tabs>
          <w:tab w:val="left" w:pos="3544"/>
        </w:tabs>
        <w:ind w:firstLine="4320" w:firstLineChars="1800"/>
        <w:rPr>
          <w:rFonts w:ascii="宋体" w:cs="宋体"/>
          <w:sz w:val="24"/>
          <w:szCs w:val="24"/>
        </w:rPr>
      </w:pPr>
      <w:r>
        <w:rPr>
          <w:rFonts w:hint="eastAsia" w:ascii="宋体" w:hAnsi="宋体" w:cs="宋体"/>
          <w:sz w:val="24"/>
          <w:szCs w:val="24"/>
        </w:rPr>
        <w:t>法定代表人</w:t>
      </w:r>
      <w:r>
        <w:rPr>
          <w:rFonts w:ascii="宋体" w:hAnsi="宋体" w:cs="宋体"/>
          <w:sz w:val="24"/>
          <w:szCs w:val="24"/>
        </w:rPr>
        <w:t>/</w:t>
      </w:r>
      <w:r>
        <w:rPr>
          <w:rFonts w:hint="eastAsia" w:ascii="宋体" w:hAnsi="宋体" w:cs="宋体"/>
          <w:sz w:val="24"/>
          <w:szCs w:val="24"/>
        </w:rPr>
        <w:t>授权代表签字：</w:t>
      </w:r>
    </w:p>
    <w:p>
      <w:pPr>
        <w:pStyle w:val="21"/>
        <w:tabs>
          <w:tab w:val="left" w:pos="3544"/>
        </w:tabs>
        <w:ind w:firstLine="4320" w:firstLineChars="1800"/>
        <w:rPr>
          <w:rFonts w:ascii="宋体" w:cs="宋体"/>
          <w:sz w:val="24"/>
          <w:szCs w:val="24"/>
        </w:rPr>
      </w:pP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期：</w:t>
      </w:r>
    </w:p>
    <w:p>
      <w:pPr>
        <w:tabs>
          <w:tab w:val="left" w:pos="3544"/>
        </w:tabs>
        <w:spacing w:line="360" w:lineRule="atLeast"/>
        <w:rPr>
          <w:rFonts w:ascii="宋体" w:cs="宋体"/>
          <w:b/>
          <w:sz w:val="24"/>
        </w:rPr>
        <w:sectPr>
          <w:headerReference r:id="rId12" w:type="default"/>
          <w:pgSz w:w="11906" w:h="16838"/>
          <w:pgMar w:top="1440" w:right="1797" w:bottom="1440" w:left="1797" w:header="851" w:footer="992" w:gutter="0"/>
          <w:cols w:space="720" w:num="1"/>
          <w:docGrid w:linePitch="312" w:charSpace="0"/>
        </w:sectPr>
      </w:pPr>
    </w:p>
    <w:p>
      <w:pPr>
        <w:wordWrap w:val="0"/>
        <w:topLinePunct/>
        <w:snapToGrid w:val="0"/>
        <w:spacing w:line="360" w:lineRule="auto"/>
        <w:contextualSpacing/>
        <w:jc w:val="center"/>
        <w:rPr>
          <w:rFonts w:ascii="宋体" w:cs="宋体"/>
          <w:b/>
          <w:bCs/>
          <w:sz w:val="28"/>
          <w:szCs w:val="28"/>
        </w:rPr>
      </w:pPr>
      <w:r>
        <w:rPr>
          <w:rFonts w:ascii="宋体" w:hAnsi="宋体" w:cs="宋体"/>
          <w:b/>
          <w:bCs/>
          <w:sz w:val="28"/>
          <w:szCs w:val="28"/>
        </w:rPr>
        <w:t>6</w:t>
      </w:r>
      <w:r>
        <w:rPr>
          <w:rFonts w:hint="eastAsia" w:ascii="宋体" w:hAnsi="宋体" w:cs="宋体"/>
          <w:b/>
          <w:bCs/>
          <w:sz w:val="28"/>
          <w:szCs w:val="28"/>
        </w:rPr>
        <w:t>．技术证明及服务方案说明</w:t>
      </w:r>
    </w:p>
    <w:p>
      <w:pPr>
        <w:tabs>
          <w:tab w:val="left" w:pos="720"/>
          <w:tab w:val="left" w:pos="8364"/>
        </w:tabs>
        <w:adjustRightInd w:val="0"/>
        <w:snapToGrid w:val="0"/>
        <w:spacing w:line="360" w:lineRule="auto"/>
        <w:ind w:firstLine="480" w:firstLineChars="200"/>
        <w:rPr>
          <w:rFonts w:ascii="宋体" w:cs="宋体"/>
          <w:b/>
          <w:bCs/>
          <w:sz w:val="24"/>
        </w:rPr>
      </w:pPr>
      <w:r>
        <w:rPr>
          <w:rFonts w:ascii="宋体" w:hAnsi="宋体" w:cs="宋体"/>
          <w:sz w:val="24"/>
        </w:rPr>
        <w:t>6.1</w:t>
      </w:r>
      <w:r>
        <w:rPr>
          <w:rFonts w:hint="eastAsia" w:ascii="宋体" w:hAnsi="宋体" w:cs="宋体"/>
          <w:sz w:val="24"/>
        </w:rPr>
        <w:t>由供应商根据采购内容及评审要素自主编写。</w:t>
      </w:r>
    </w:p>
    <w:p>
      <w:pPr>
        <w:wordWrap w:val="0"/>
        <w:topLinePunct/>
        <w:snapToGrid w:val="0"/>
        <w:spacing w:line="360" w:lineRule="auto"/>
        <w:ind w:firstLine="480" w:firstLineChars="200"/>
        <w:contextualSpacing/>
        <w:jc w:val="left"/>
        <w:rPr>
          <w:rFonts w:ascii="宋体" w:cs="宋体"/>
          <w:sz w:val="24"/>
        </w:rPr>
      </w:pPr>
      <w:r>
        <w:rPr>
          <w:rFonts w:ascii="宋体" w:hAnsi="宋体" w:cs="宋体"/>
          <w:sz w:val="24"/>
        </w:rPr>
        <w:t>6.2</w:t>
      </w:r>
      <w:r>
        <w:rPr>
          <w:rFonts w:hint="eastAsia" w:ascii="宋体" w:hAnsi="宋体" w:cs="宋体"/>
          <w:sz w:val="24"/>
        </w:rPr>
        <w:t>供应商认为有必要的其它说明（如有）</w:t>
      </w:r>
    </w:p>
    <w:p>
      <w:pPr>
        <w:wordWrap w:val="0"/>
        <w:topLinePunct/>
        <w:snapToGrid w:val="0"/>
        <w:spacing w:line="360" w:lineRule="auto"/>
        <w:contextualSpacing/>
        <w:jc w:val="left"/>
        <w:rPr>
          <w:rFonts w:ascii="宋体" w:cs="仿宋"/>
          <w:b/>
          <w:bCs/>
          <w:sz w:val="24"/>
        </w:rPr>
      </w:pPr>
    </w:p>
    <w:p>
      <w:pPr>
        <w:pStyle w:val="39"/>
        <w:ind w:firstLine="180"/>
      </w:pPr>
    </w:p>
    <w:p>
      <w:pPr>
        <w:pStyle w:val="21"/>
        <w:tabs>
          <w:tab w:val="left" w:pos="3544"/>
        </w:tabs>
        <w:spacing w:line="360" w:lineRule="auto"/>
        <w:jc w:val="center"/>
        <w:rPr>
          <w:rFonts w:ascii="宋体" w:cs="宋体"/>
          <w:sz w:val="24"/>
        </w:rPr>
      </w:pPr>
      <w:r>
        <w:rPr>
          <w:rFonts w:ascii="宋体" w:hAnsi="宋体" w:cs="宋体"/>
          <w:b/>
          <w:sz w:val="28"/>
          <w:szCs w:val="28"/>
        </w:rPr>
        <w:br w:type="page"/>
      </w:r>
      <w:r>
        <w:rPr>
          <w:rFonts w:ascii="宋体" w:hAnsi="宋体" w:cs="宋体"/>
          <w:b/>
          <w:sz w:val="28"/>
          <w:szCs w:val="28"/>
        </w:rPr>
        <w:t>7.</w:t>
      </w:r>
      <w:r>
        <w:rPr>
          <w:rFonts w:hint="eastAsia" w:ascii="宋体" w:hAnsi="宋体" w:cs="宋体"/>
          <w:b/>
          <w:sz w:val="28"/>
          <w:szCs w:val="28"/>
        </w:rPr>
        <w:t>供应商拒绝政府采购领域商业贿赂承诺书</w:t>
      </w:r>
    </w:p>
    <w:p>
      <w:pPr>
        <w:pStyle w:val="21"/>
        <w:tabs>
          <w:tab w:val="left" w:pos="3544"/>
        </w:tabs>
        <w:spacing w:line="360" w:lineRule="auto"/>
        <w:jc w:val="center"/>
        <w:rPr>
          <w:rFonts w:ascii="宋体" w:cs="宋体"/>
          <w:b/>
          <w:sz w:val="24"/>
          <w:szCs w:val="24"/>
        </w:rPr>
      </w:pPr>
      <w:r>
        <w:rPr>
          <w:rFonts w:hint="eastAsia" w:ascii="宋体" w:hAnsi="宋体" w:cs="宋体"/>
          <w:b/>
          <w:sz w:val="24"/>
          <w:szCs w:val="24"/>
        </w:rPr>
        <w:t>陕西省政府采购供应商拒绝政府采购领域商业贿赂承诺书</w:t>
      </w:r>
    </w:p>
    <w:p>
      <w:pPr>
        <w:tabs>
          <w:tab w:val="left" w:pos="3544"/>
        </w:tabs>
        <w:spacing w:line="360" w:lineRule="auto"/>
        <w:ind w:firstLine="360" w:firstLineChars="150"/>
        <w:rPr>
          <w:rFonts w:ascii="宋体" w:cs="宋体"/>
          <w:sz w:val="24"/>
        </w:rPr>
      </w:pPr>
      <w:r>
        <w:rPr>
          <w:rFonts w:ascii="宋体" w:hAnsi="宋体" w:cs="宋体"/>
          <w:sz w:val="24"/>
        </w:rPr>
        <w:t xml:space="preserve"> </w:t>
      </w:r>
      <w:r>
        <w:rPr>
          <w:rFonts w:hint="eastAsia" w:ascii="宋体" w:hAnsi="宋体" w:cs="宋体"/>
          <w:sz w:val="24"/>
        </w:rPr>
        <w:t>为响应党中央、国务院关于治理政府采购领域商业贿赂行为的号召，我公司在此庄严承诺：</w:t>
      </w:r>
    </w:p>
    <w:p>
      <w:pPr>
        <w:tabs>
          <w:tab w:val="left" w:pos="3544"/>
        </w:tabs>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、在参与政府采购活动中遵纪守法、诚信经营、公平竞标。</w:t>
      </w:r>
    </w:p>
    <w:p>
      <w:pPr>
        <w:tabs>
          <w:tab w:val="left" w:pos="3544"/>
        </w:tabs>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、不向政府采购单位、采购代理机构和政府采购评审专家进行任何形式的商业贿赂以谋取交易机会。</w:t>
      </w:r>
    </w:p>
    <w:p>
      <w:pPr>
        <w:tabs>
          <w:tab w:val="left" w:pos="3544"/>
        </w:tabs>
        <w:spacing w:line="360" w:lineRule="auto"/>
        <w:ind w:firstLine="480" w:firstLineChars="200"/>
        <w:rPr>
          <w:rFonts w:ascii="宋体" w:cs="宋体"/>
          <w:sz w:val="24"/>
        </w:rPr>
      </w:pPr>
      <w:r>
        <w:rPr>
          <w:rFonts w:ascii="宋体" w:hAnsi="宋体" w:cs="宋体"/>
          <w:sz w:val="24"/>
        </w:rPr>
        <w:t>3</w:t>
      </w:r>
      <w:r>
        <w:rPr>
          <w:rFonts w:hint="eastAsia" w:ascii="宋体" w:hAnsi="宋体" w:cs="宋体"/>
          <w:sz w:val="24"/>
        </w:rPr>
        <w:t>、不向政府采购代理机构和采购单位提供虚假资质文件或采用虚假应标方式参与政府采购市场竞争并谋取成交。</w:t>
      </w:r>
    </w:p>
    <w:p>
      <w:pPr>
        <w:tabs>
          <w:tab w:val="left" w:pos="3544"/>
        </w:tabs>
        <w:spacing w:line="360" w:lineRule="auto"/>
        <w:ind w:firstLine="480" w:firstLineChars="200"/>
        <w:rPr>
          <w:rFonts w:ascii="宋体" w:cs="宋体"/>
          <w:sz w:val="24"/>
        </w:rPr>
      </w:pPr>
      <w:r>
        <w:rPr>
          <w:rFonts w:ascii="宋体" w:hAnsi="宋体" w:cs="宋体"/>
          <w:sz w:val="24"/>
        </w:rPr>
        <w:t>4</w:t>
      </w:r>
      <w:r>
        <w:rPr>
          <w:rFonts w:hint="eastAsia" w:ascii="宋体" w:hAnsi="宋体" w:cs="宋体"/>
          <w:sz w:val="24"/>
        </w:rPr>
        <w:t>、不采取“围标、陪标”等商业欺诈手段获得政府采购订单。</w:t>
      </w:r>
    </w:p>
    <w:p>
      <w:pPr>
        <w:tabs>
          <w:tab w:val="left" w:pos="3544"/>
        </w:tabs>
        <w:spacing w:line="360" w:lineRule="auto"/>
        <w:ind w:firstLine="480" w:firstLineChars="200"/>
        <w:rPr>
          <w:rFonts w:ascii="宋体" w:cs="宋体"/>
          <w:sz w:val="24"/>
        </w:rPr>
      </w:pPr>
      <w:r>
        <w:rPr>
          <w:rFonts w:ascii="宋体" w:hAnsi="宋体" w:cs="宋体"/>
          <w:sz w:val="24"/>
        </w:rPr>
        <w:t>5</w:t>
      </w:r>
      <w:r>
        <w:rPr>
          <w:rFonts w:hint="eastAsia" w:ascii="宋体" w:hAnsi="宋体" w:cs="宋体"/>
          <w:sz w:val="24"/>
        </w:rPr>
        <w:t>、不采取不正当手段诋毁、排挤其他供应商。</w:t>
      </w:r>
    </w:p>
    <w:p>
      <w:pPr>
        <w:tabs>
          <w:tab w:val="left" w:pos="3544"/>
        </w:tabs>
        <w:spacing w:line="360" w:lineRule="auto"/>
        <w:ind w:firstLine="480" w:firstLineChars="200"/>
        <w:rPr>
          <w:rFonts w:ascii="宋体" w:cs="宋体"/>
          <w:sz w:val="24"/>
        </w:rPr>
      </w:pPr>
      <w:r>
        <w:rPr>
          <w:rFonts w:ascii="宋体" w:hAnsi="宋体" w:cs="宋体"/>
          <w:sz w:val="24"/>
        </w:rPr>
        <w:t>6</w:t>
      </w:r>
      <w:r>
        <w:rPr>
          <w:rFonts w:hint="eastAsia" w:ascii="宋体" w:hAnsi="宋体" w:cs="宋体"/>
          <w:sz w:val="24"/>
        </w:rPr>
        <w:t>、不在提供商品和服务时“偷梁换柱、以次充好”损害采购单位的合法权益。</w:t>
      </w:r>
    </w:p>
    <w:p>
      <w:pPr>
        <w:tabs>
          <w:tab w:val="left" w:pos="3544"/>
        </w:tabs>
        <w:spacing w:line="360" w:lineRule="auto"/>
        <w:ind w:left="239" w:leftChars="114" w:firstLine="240" w:firstLineChars="100"/>
        <w:rPr>
          <w:rFonts w:ascii="宋体" w:cs="宋体"/>
          <w:sz w:val="24"/>
        </w:rPr>
      </w:pPr>
      <w:r>
        <w:rPr>
          <w:rFonts w:ascii="宋体" w:hAnsi="宋体" w:cs="宋体"/>
          <w:sz w:val="24"/>
        </w:rPr>
        <w:t>7</w:t>
      </w:r>
      <w:r>
        <w:rPr>
          <w:rFonts w:hint="eastAsia" w:ascii="宋体" w:hAnsi="宋体" w:cs="宋体"/>
          <w:sz w:val="24"/>
        </w:rPr>
        <w:t>、不与采购单位、采购代理机构政府采购评审专家或其它供应商恶意串通，进行质疑和投诉，维护政府采购市场秩序。</w:t>
      </w:r>
    </w:p>
    <w:p>
      <w:pPr>
        <w:tabs>
          <w:tab w:val="left" w:pos="3544"/>
        </w:tabs>
        <w:spacing w:line="360" w:lineRule="auto"/>
        <w:ind w:left="239" w:leftChars="114" w:firstLine="240" w:firstLineChars="100"/>
        <w:rPr>
          <w:rFonts w:ascii="宋体" w:cs="宋体"/>
          <w:sz w:val="24"/>
        </w:rPr>
      </w:pPr>
      <w:r>
        <w:rPr>
          <w:rFonts w:ascii="宋体" w:hAnsi="宋体" w:cs="宋体"/>
          <w:sz w:val="24"/>
        </w:rPr>
        <w:t>8</w:t>
      </w:r>
      <w:r>
        <w:rPr>
          <w:rFonts w:hint="eastAsia" w:ascii="宋体" w:hAnsi="宋体" w:cs="宋体"/>
          <w:sz w:val="24"/>
        </w:rPr>
        <w:t>、尊重和接受政府采购监督管理部门的监督和政府采购代理机构的采购要求，承担因违约行为给采购单位造成的损失。</w:t>
      </w:r>
    </w:p>
    <w:p>
      <w:pPr>
        <w:tabs>
          <w:tab w:val="left" w:pos="3544"/>
        </w:tabs>
        <w:spacing w:line="360" w:lineRule="auto"/>
        <w:ind w:firstLine="480" w:firstLineChars="200"/>
        <w:rPr>
          <w:rFonts w:ascii="宋体" w:cs="宋体"/>
          <w:sz w:val="24"/>
        </w:rPr>
      </w:pPr>
      <w:r>
        <w:rPr>
          <w:rFonts w:ascii="宋体" w:hAnsi="宋体" w:cs="宋体"/>
          <w:sz w:val="24"/>
        </w:rPr>
        <w:t>9</w:t>
      </w:r>
      <w:r>
        <w:rPr>
          <w:rFonts w:hint="eastAsia" w:ascii="宋体" w:hAnsi="宋体" w:cs="宋体"/>
          <w:sz w:val="24"/>
        </w:rPr>
        <w:t>、不发生其它有悖于政府采购公开、公平、公正和诚信原则的行为。</w:t>
      </w:r>
    </w:p>
    <w:p>
      <w:pPr>
        <w:tabs>
          <w:tab w:val="left" w:pos="3544"/>
        </w:tabs>
        <w:spacing w:line="360" w:lineRule="auto"/>
        <w:ind w:firstLine="360" w:firstLineChars="150"/>
        <w:rPr>
          <w:rFonts w:ascii="宋体" w:cs="宋体"/>
          <w:sz w:val="24"/>
        </w:rPr>
      </w:pPr>
    </w:p>
    <w:p>
      <w:pPr>
        <w:tabs>
          <w:tab w:val="left" w:pos="3544"/>
        </w:tabs>
        <w:spacing w:line="360" w:lineRule="auto"/>
        <w:jc w:val="center"/>
        <w:rPr>
          <w:rFonts w:ascii="宋体" w:hAnsi="宋体" w:cs="宋体"/>
          <w:sz w:val="24"/>
        </w:rPr>
      </w:pPr>
      <w:r>
        <w:rPr>
          <w:rFonts w:ascii="宋体" w:hAnsi="宋体" w:cs="宋体"/>
          <w:sz w:val="24"/>
        </w:rPr>
        <w:t xml:space="preserve">                 </w:t>
      </w:r>
      <w:r>
        <w:rPr>
          <w:rFonts w:hint="eastAsia" w:ascii="宋体" w:hAnsi="宋体" w:cs="宋体"/>
          <w:sz w:val="24"/>
        </w:rPr>
        <w:t>承诺单位（加盖公章）：</w:t>
      </w:r>
      <w:r>
        <w:rPr>
          <w:rFonts w:ascii="宋体" w:hAnsi="宋体" w:cs="宋体"/>
          <w:sz w:val="24"/>
        </w:rPr>
        <w:t xml:space="preserve"> </w:t>
      </w:r>
    </w:p>
    <w:p>
      <w:pPr>
        <w:tabs>
          <w:tab w:val="left" w:pos="3544"/>
        </w:tabs>
        <w:spacing w:line="360" w:lineRule="auto"/>
        <w:ind w:firstLine="3840" w:firstLineChars="1600"/>
        <w:rPr>
          <w:rFonts w:ascii="宋体" w:hAnsi="宋体" w:cs="宋体"/>
          <w:sz w:val="24"/>
        </w:rPr>
      </w:pPr>
      <w:r>
        <w:rPr>
          <w:rFonts w:hint="eastAsia" w:ascii="宋体" w:hAnsi="宋体" w:cs="宋体"/>
          <w:sz w:val="24"/>
        </w:rPr>
        <w:t>法定代表人</w:t>
      </w:r>
      <w:r>
        <w:rPr>
          <w:rFonts w:ascii="宋体" w:hAnsi="宋体" w:cs="宋体"/>
          <w:sz w:val="24"/>
        </w:rPr>
        <w:t>/</w:t>
      </w:r>
      <w:r>
        <w:rPr>
          <w:rFonts w:hint="eastAsia" w:ascii="宋体" w:hAnsi="宋体" w:cs="宋体"/>
          <w:sz w:val="24"/>
        </w:rPr>
        <w:t>授权代表签字：</w:t>
      </w:r>
      <w:r>
        <w:rPr>
          <w:rFonts w:ascii="宋体" w:hAnsi="宋体" w:cs="宋体"/>
          <w:sz w:val="24"/>
        </w:rPr>
        <w:t xml:space="preserve"> </w:t>
      </w:r>
    </w:p>
    <w:p>
      <w:pPr>
        <w:tabs>
          <w:tab w:val="left" w:pos="3544"/>
        </w:tabs>
        <w:spacing w:line="360" w:lineRule="auto"/>
        <w:jc w:val="center"/>
        <w:rPr>
          <w:rFonts w:ascii="宋体" w:hAnsi="宋体" w:cs="宋体"/>
          <w:sz w:val="24"/>
        </w:rPr>
      </w:pPr>
      <w:r>
        <w:rPr>
          <w:rFonts w:hint="eastAsia" w:ascii="宋体" w:hAnsi="宋体" w:cs="宋体"/>
          <w:sz w:val="24"/>
        </w:rPr>
        <w:t>地址：</w:t>
      </w:r>
      <w:r>
        <w:rPr>
          <w:rFonts w:ascii="宋体" w:hAnsi="宋体" w:cs="宋体"/>
          <w:sz w:val="24"/>
        </w:rPr>
        <w:t xml:space="preserve">                             </w:t>
      </w:r>
    </w:p>
    <w:p>
      <w:pPr>
        <w:tabs>
          <w:tab w:val="left" w:pos="3544"/>
        </w:tabs>
        <w:spacing w:line="360" w:lineRule="auto"/>
        <w:jc w:val="center"/>
        <w:rPr>
          <w:rFonts w:ascii="宋体" w:cs="宋体"/>
          <w:sz w:val="24"/>
        </w:rPr>
      </w:pPr>
      <w:r>
        <w:rPr>
          <w:rFonts w:hint="eastAsia" w:ascii="宋体" w:hAnsi="宋体" w:cs="宋体"/>
          <w:sz w:val="24"/>
        </w:rPr>
        <w:t>邮编：</w:t>
      </w:r>
    </w:p>
    <w:p>
      <w:pPr>
        <w:tabs>
          <w:tab w:val="left" w:pos="3544"/>
        </w:tabs>
        <w:spacing w:line="360" w:lineRule="auto"/>
        <w:jc w:val="center"/>
        <w:rPr>
          <w:rFonts w:ascii="宋体" w:cs="宋体"/>
          <w:sz w:val="24"/>
        </w:rPr>
      </w:pPr>
      <w:r>
        <w:rPr>
          <w:rFonts w:hint="eastAsia" w:ascii="宋体" w:hAnsi="宋体" w:cs="宋体"/>
          <w:sz w:val="24"/>
        </w:rPr>
        <w:t>电话：</w:t>
      </w:r>
    </w:p>
    <w:p>
      <w:pPr>
        <w:tabs>
          <w:tab w:val="left" w:pos="3544"/>
        </w:tabs>
        <w:spacing w:line="360" w:lineRule="auto"/>
        <w:jc w:val="center"/>
        <w:rPr>
          <w:rFonts w:ascii="宋体" w:cs="宋体"/>
          <w:sz w:val="24"/>
        </w:rPr>
      </w:pPr>
      <w:r>
        <w:rPr>
          <w:rFonts w:ascii="宋体" w:hAnsi="宋体" w:cs="宋体"/>
          <w:sz w:val="24"/>
        </w:rPr>
        <w:t xml:space="preserve">        </w:t>
      </w:r>
      <w:r>
        <w:rPr>
          <w:rFonts w:hint="eastAsia" w:ascii="宋体" w:hAnsi="宋体" w:cs="宋体"/>
          <w:sz w:val="24"/>
        </w:rPr>
        <w:t>年</w:t>
      </w:r>
      <w:r>
        <w:rPr>
          <w:rFonts w:ascii="宋体" w:hAnsi="宋体" w:cs="宋体"/>
          <w:sz w:val="24"/>
        </w:rPr>
        <w:t xml:space="preserve">    </w:t>
      </w:r>
      <w:r>
        <w:rPr>
          <w:rFonts w:hint="eastAsia" w:ascii="宋体" w:hAnsi="宋体" w:cs="宋体"/>
          <w:sz w:val="24"/>
        </w:rPr>
        <w:t>月</w:t>
      </w:r>
      <w:r>
        <w:rPr>
          <w:rFonts w:ascii="宋体" w:hAnsi="宋体" w:cs="宋体"/>
          <w:sz w:val="24"/>
        </w:rPr>
        <w:t xml:space="preserve">   </w:t>
      </w:r>
      <w:r>
        <w:rPr>
          <w:rFonts w:hint="eastAsia" w:ascii="宋体" w:hAnsi="宋体" w:cs="宋体"/>
          <w:sz w:val="24"/>
        </w:rPr>
        <w:t>日</w:t>
      </w:r>
    </w:p>
    <w:p>
      <w:pPr>
        <w:widowControl/>
        <w:spacing w:line="240" w:lineRule="auto"/>
        <w:jc w:val="left"/>
        <w:rPr>
          <w:rFonts w:ascii="宋体" w:hAnsi="宋体" w:cs="宋体"/>
          <w:sz w:val="30"/>
          <w:szCs w:val="30"/>
        </w:rPr>
        <w:sectPr>
          <w:headerReference r:id="rId13" w:type="default"/>
          <w:pgSz w:w="11906" w:h="16838"/>
          <w:pgMar w:top="1440" w:right="1800" w:bottom="1440" w:left="1800" w:header="851" w:footer="992" w:gutter="0"/>
          <w:cols w:space="720" w:num="1"/>
          <w:titlePg/>
          <w:docGrid w:type="lines" w:linePitch="312" w:charSpace="0"/>
        </w:sectPr>
      </w:pPr>
    </w:p>
    <w:p>
      <w:pPr>
        <w:pStyle w:val="17"/>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hAnsi="宋体" w:cs="宋体"/>
          <w:sz w:val="30"/>
          <w:szCs w:val="30"/>
        </w:rPr>
      </w:pPr>
    </w:p>
    <w:p>
      <w:pPr>
        <w:widowControl/>
        <w:spacing w:line="240" w:lineRule="auto"/>
        <w:jc w:val="left"/>
        <w:rPr>
          <w:rFonts w:ascii="宋体" w:cs="宋体"/>
          <w:sz w:val="30"/>
          <w:szCs w:val="30"/>
        </w:rPr>
      </w:pPr>
      <w:r>
        <w:rPr>
          <w:rFonts w:hint="eastAsia" w:ascii="宋体" w:hAnsi="宋体" w:cs="宋体"/>
          <w:sz w:val="30"/>
          <w:szCs w:val="30"/>
        </w:rPr>
        <w:t>陕西博源招标服务有限公司</w:t>
      </w:r>
    </w:p>
    <w:p>
      <w:pPr>
        <w:tabs>
          <w:tab w:val="left" w:pos="3544"/>
        </w:tabs>
        <w:spacing w:line="440" w:lineRule="exact"/>
        <w:jc w:val="center"/>
        <w:rPr>
          <w:rFonts w:ascii="宋体" w:cs="宋体"/>
          <w:sz w:val="32"/>
          <w:szCs w:val="32"/>
        </w:rPr>
      </w:pPr>
      <w: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139065</wp:posOffset>
                </wp:positionV>
                <wp:extent cx="5372100" cy="0"/>
                <wp:effectExtent l="0" t="9525" r="0" b="9525"/>
                <wp:wrapNone/>
                <wp:docPr id="2" name="直线 4"/>
                <wp:cNvGraphicFramePr/>
                <a:graphic xmlns:a="http://schemas.openxmlformats.org/drawingml/2006/main">
                  <a:graphicData uri="http://schemas.microsoft.com/office/word/2010/wordprocessingShape">
                    <wps:wsp>
                      <wps:cNvCnPr/>
                      <wps:spPr>
                        <a:xfrm>
                          <a:off x="0" y="0"/>
                          <a:ext cx="53721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0pt;margin-top:10.95pt;height:0pt;width:423pt;z-index:251657216;mso-width-relative:page;mso-height-relative:page;" filled="f" stroked="t" coordsize="21600,21600" o:gfxdata="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K4D8FtMAAAAGAQAADwAAAAAAAAABACAAAAAiAAAAZHJzL2Rvd25yZXYueG1s&#10;UEsBAhQAFAAAAAgAh07iQKnkaerEAQAAggMAAA4AAAAAAAAAAQAgAAAAIgEAAGRycy9lMm9Eb2Mu&#10;eG1sUEsFBgAAAAAGAAYAWQEAAFgFAAAAAA==&#10;">
                <v:fill on="f" focussize="0,0"/>
                <v:stroke weight="1.5pt" color="#000000" joinstyle="round"/>
                <v:imagedata o:title=""/>
                <o:lock v:ext="edit" aspectratio="f"/>
              </v:line>
            </w:pict>
          </mc:Fallback>
        </mc:AlternateContent>
      </w:r>
    </w:p>
    <w:p>
      <w:pPr>
        <w:tabs>
          <w:tab w:val="left" w:pos="3544"/>
        </w:tabs>
        <w:autoSpaceDE w:val="0"/>
        <w:autoSpaceDN w:val="0"/>
        <w:spacing w:line="440" w:lineRule="exact"/>
        <w:ind w:firstLine="105" w:firstLineChars="50"/>
        <w:rPr>
          <w:rFonts w:ascii="宋体" w:cs="宋体"/>
        </w:rPr>
      </w:pPr>
      <w:r>
        <w:rPr>
          <w:rFonts w:hint="eastAsia" w:ascii="宋体" w:hAnsi="宋体" w:cs="宋体"/>
        </w:rPr>
        <w:t>地</w:t>
      </w:r>
      <w:r>
        <w:rPr>
          <w:rFonts w:ascii="宋体" w:hAnsi="宋体" w:cs="宋体"/>
        </w:rPr>
        <w:t xml:space="preserve">    </w:t>
      </w:r>
      <w:r>
        <w:rPr>
          <w:rFonts w:hint="eastAsia" w:ascii="宋体" w:hAnsi="宋体" w:cs="宋体"/>
        </w:rPr>
        <w:t>址</w:t>
      </w:r>
      <w:r>
        <w:rPr>
          <w:rFonts w:hint="eastAsia" w:ascii="宋体" w:hAnsi="宋体" w:cs="宋体"/>
          <w:spacing w:val="-6"/>
        </w:rPr>
        <w:t>：</w:t>
      </w:r>
      <w:r>
        <w:rPr>
          <w:rFonts w:hint="eastAsia" w:ascii="宋体" w:hAnsi="宋体" w:cs="宋体"/>
        </w:rPr>
        <w:t>西安市碑林区环城南路西段</w:t>
      </w:r>
      <w:r>
        <w:rPr>
          <w:rFonts w:ascii="宋体" w:hAnsi="宋体" w:cs="宋体"/>
        </w:rPr>
        <w:t>45</w:t>
      </w:r>
      <w:r>
        <w:rPr>
          <w:rFonts w:hint="eastAsia" w:ascii="宋体" w:hAnsi="宋体" w:cs="宋体"/>
        </w:rPr>
        <w:t>号时代诺利达</w:t>
      </w:r>
      <w:r>
        <w:rPr>
          <w:rFonts w:ascii="宋体" w:hAnsi="宋体" w:cs="宋体"/>
        </w:rPr>
        <w:t>B</w:t>
      </w:r>
      <w:r>
        <w:rPr>
          <w:rFonts w:hint="eastAsia" w:ascii="宋体" w:hAnsi="宋体" w:cs="宋体"/>
        </w:rPr>
        <w:t>区</w:t>
      </w:r>
      <w:r>
        <w:rPr>
          <w:rFonts w:ascii="宋体" w:hAnsi="宋体" w:cs="宋体"/>
        </w:rPr>
        <w:t>6</w:t>
      </w:r>
      <w:r>
        <w:rPr>
          <w:rFonts w:hint="eastAsia" w:ascii="宋体" w:hAnsi="宋体" w:cs="宋体"/>
        </w:rPr>
        <w:t>楼</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邮</w:t>
      </w:r>
      <w:r>
        <w:rPr>
          <w:rFonts w:ascii="宋体" w:hAnsi="宋体" w:cs="宋体"/>
        </w:rPr>
        <w:t xml:space="preserve">    </w:t>
      </w:r>
      <w:r>
        <w:rPr>
          <w:rFonts w:hint="eastAsia" w:ascii="宋体" w:hAnsi="宋体" w:cs="宋体"/>
        </w:rPr>
        <w:t>编：</w:t>
      </w:r>
      <w:r>
        <w:rPr>
          <w:rFonts w:ascii="宋体" w:hAnsi="宋体" w:cs="宋体"/>
        </w:rPr>
        <w:t>710001</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电</w:t>
      </w:r>
      <w:r>
        <w:rPr>
          <w:rFonts w:ascii="宋体" w:hAnsi="宋体" w:cs="宋体"/>
        </w:rPr>
        <w:t xml:space="preserve">    </w:t>
      </w:r>
      <w:r>
        <w:rPr>
          <w:rFonts w:hint="eastAsia" w:ascii="宋体" w:hAnsi="宋体" w:cs="宋体"/>
        </w:rPr>
        <w:t>话：</w:t>
      </w:r>
      <w:r>
        <w:rPr>
          <w:rFonts w:ascii="宋体" w:hAnsi="宋体" w:cs="宋体"/>
        </w:rPr>
        <w:t>029-</w:t>
      </w:r>
      <w:r>
        <w:rPr>
          <w:rFonts w:hint="eastAsia" w:ascii="宋体" w:hAnsi="宋体" w:cs="宋体"/>
        </w:rPr>
        <w:t>85279116</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网</w:t>
      </w:r>
      <w:r>
        <w:rPr>
          <w:rFonts w:ascii="宋体" w:hAnsi="宋体" w:cs="宋体"/>
        </w:rPr>
        <w:t xml:space="preserve">    </w:t>
      </w:r>
      <w:r>
        <w:rPr>
          <w:rFonts w:hint="eastAsia" w:ascii="宋体" w:hAnsi="宋体" w:cs="宋体"/>
        </w:rPr>
        <w:t>址：</w:t>
      </w:r>
      <w:r>
        <w:rPr>
          <w:rFonts w:ascii="宋体" w:hAnsi="宋体" w:cs="宋体"/>
        </w:rPr>
        <w:t>www.sxbyzb.com</w:t>
      </w:r>
    </w:p>
    <w:p>
      <w:pPr>
        <w:tabs>
          <w:tab w:val="left" w:pos="3544"/>
        </w:tabs>
        <w:autoSpaceDE w:val="0"/>
        <w:autoSpaceDN w:val="0"/>
        <w:spacing w:line="440" w:lineRule="exact"/>
        <w:ind w:firstLine="105" w:firstLineChars="50"/>
        <w:rPr>
          <w:rFonts w:ascii="宋体" w:hAnsi="宋体" w:cs="宋体"/>
        </w:rPr>
      </w:pPr>
      <w:r>
        <w:rPr>
          <w:rFonts w:hint="eastAsia" w:ascii="宋体" w:hAnsi="宋体" w:cs="宋体"/>
        </w:rPr>
        <w:t>电子邮箱：</w:t>
      </w:r>
      <w:r>
        <w:rPr>
          <w:rFonts w:ascii="宋体" w:hAnsi="宋体" w:cs="宋体"/>
        </w:rPr>
        <w:t>sxbyzb@163.com</w:t>
      </w:r>
    </w:p>
    <w:p>
      <w:pPr>
        <w:tabs>
          <w:tab w:val="left" w:pos="3544"/>
        </w:tabs>
        <w:autoSpaceDE w:val="0"/>
        <w:autoSpaceDN w:val="0"/>
        <w:spacing w:line="440" w:lineRule="exact"/>
        <w:ind w:firstLine="105" w:firstLineChars="50"/>
        <w:rPr>
          <w:rFonts w:ascii="宋体" w:cs="宋体"/>
        </w:rPr>
      </w:pPr>
      <w:r>
        <w:rPr>
          <w:rFonts w:hint="eastAsia" w:ascii="宋体" w:hAnsi="宋体" w:cs="宋体"/>
        </w:rPr>
        <w:t>开户银行：兴业银行新城支行</w:t>
      </w:r>
    </w:p>
    <w:p>
      <w:pPr>
        <w:tabs>
          <w:tab w:val="left" w:pos="3544"/>
        </w:tabs>
        <w:autoSpaceDE w:val="0"/>
        <w:autoSpaceDN w:val="0"/>
        <w:spacing w:line="440" w:lineRule="exact"/>
        <w:ind w:firstLine="105" w:firstLineChars="50"/>
        <w:rPr>
          <w:rFonts w:ascii="宋体" w:cs="宋体"/>
        </w:rPr>
      </w:pPr>
      <w:r>
        <w:rPr>
          <w:rFonts w:hint="eastAsia" w:ascii="宋体" w:hAnsi="宋体" w:cs="宋体"/>
        </w:rPr>
        <w:t>帐</w:t>
      </w:r>
      <w:r>
        <w:rPr>
          <w:rFonts w:ascii="宋体" w:hAnsi="宋体" w:cs="宋体"/>
        </w:rPr>
        <w:t xml:space="preserve">    </w:t>
      </w:r>
      <w:r>
        <w:rPr>
          <w:rFonts w:hint="eastAsia" w:ascii="宋体" w:hAnsi="宋体" w:cs="宋体"/>
        </w:rPr>
        <w:t>号：</w:t>
      </w:r>
      <w:r>
        <w:rPr>
          <w:rFonts w:ascii="宋体" w:hAnsi="宋体" w:cs="宋体"/>
        </w:rPr>
        <w:t xml:space="preserve">456970 100100 086552 </w:t>
      </w: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479425</wp:posOffset>
                </wp:positionV>
                <wp:extent cx="5372100" cy="0"/>
                <wp:effectExtent l="0" t="9525" r="0" b="9525"/>
                <wp:wrapNone/>
                <wp:docPr id="3" name="直线 5"/>
                <wp:cNvGraphicFramePr/>
                <a:graphic xmlns:a="http://schemas.openxmlformats.org/drawingml/2006/main">
                  <a:graphicData uri="http://schemas.microsoft.com/office/word/2010/wordprocessingShape">
                    <wps:wsp>
                      <wps:cNvCnPr/>
                      <wps:spPr>
                        <a:xfrm>
                          <a:off x="0" y="0"/>
                          <a:ext cx="53721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37.75pt;height:0pt;width:423pt;z-index:251658240;mso-width-relative:page;mso-height-relative:page;" filled="f" stroked="t" coordsize="21600,21600" o:gfxdata="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0NgxdMAAAAGAQAADwAAAAAAAAABACAAAAAiAAAAZHJzL2Rvd25yZXYueG1s&#10;UEsBAhQAFAAAAAgAh07iQMC27TvEAQAAggMAAA4AAAAAAAAAAQAgAAAAIgEAAGRycy9lMm9Eb2Mu&#10;eG1sUEsFBgAAAAAGAAYAWQEAAFgFAAAAAA==&#10;">
                <v:fill on="f" focussize="0,0"/>
                <v:stroke weight="1.5pt" color="#000000" joinstyle="round"/>
                <v:imagedata o:title=""/>
                <o:lock v:ext="edit" aspectratio="f"/>
              </v:line>
            </w:pict>
          </mc:Fallback>
        </mc:AlternateContent>
      </w:r>
    </w:p>
    <w:p>
      <w:pPr>
        <w:rPr>
          <w:rFonts w:ascii="宋体" w:cs="宋体"/>
        </w:rPr>
      </w:pPr>
    </w:p>
    <w:sectPr>
      <w:footerReference r:id="rId15" w:type="first"/>
      <w:footerReference r:id="rId14"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opperplate Gothic Bold">
    <w:panose1 w:val="020E0705020206020404"/>
    <w:charset w:val="00"/>
    <w:family w:val="swiss"/>
    <w:pitch w:val="default"/>
    <w:sig w:usb0="00000003" w:usb1="00000000" w:usb2="00000000" w:usb3="00000000" w:csb0="2000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PAGE   \* MERGEFORMAT</w:instrText>
    </w:r>
    <w:r>
      <w:fldChar w:fldCharType="separate"/>
    </w:r>
    <w:r>
      <w:rPr>
        <w:lang w:val="zh-CN"/>
      </w:rPr>
      <w:t>2</w:t>
    </w:r>
    <w:r>
      <w:rPr>
        <w:lang w:val="zh-CN"/>
      </w:rPr>
      <w:fldChar w:fldCharType="end"/>
    </w:r>
  </w:p>
  <w:p>
    <w:pPr>
      <w:pStyle w:val="26"/>
    </w:pPr>
    <w:r>
      <w:rPr>
        <w:rFonts w:hint="eastAsia"/>
      </w:rPr>
      <w:t>陕西博源招标服务有限公司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center" w:y="1"/>
      <w:rPr>
        <w:rStyle w:val="44"/>
        <w:rFonts w:cs="Arial Unicode MS"/>
      </w:rPr>
    </w:pPr>
    <w:r>
      <w:rPr>
        <w:rStyle w:val="44"/>
        <w:rFonts w:cs="Arial Unicode MS"/>
      </w:rPr>
      <w:fldChar w:fldCharType="begin"/>
    </w:r>
    <w:r>
      <w:rPr>
        <w:rStyle w:val="44"/>
        <w:rFonts w:cs="Arial Unicode MS"/>
      </w:rPr>
      <w:instrText xml:space="preserve">PAGE  </w:instrText>
    </w:r>
    <w:r>
      <w:rPr>
        <w:rStyle w:val="44"/>
        <w:rFonts w:cs="Arial Unicode MS"/>
      </w:rPr>
      <w:fldChar w:fldCharType="end"/>
    </w: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16205" cy="188595"/>
              <wp:effectExtent l="0" t="0" r="0" b="0"/>
              <wp:wrapNone/>
              <wp:docPr id="4" name="文本框 1"/>
              <wp:cNvGraphicFramePr/>
              <a:graphic xmlns:a="http://schemas.openxmlformats.org/drawingml/2006/main">
                <a:graphicData uri="http://schemas.microsoft.com/office/word/2010/wordprocessingShape">
                  <wps:wsp>
                    <wps:cNvSpPr txBox="1"/>
                    <wps:spPr>
                      <a:xfrm>
                        <a:off x="0" y="0"/>
                        <a:ext cx="116205" cy="188595"/>
                      </a:xfrm>
                      <a:prstGeom prst="rect">
                        <a:avLst/>
                      </a:prstGeom>
                      <a:noFill/>
                      <a:ln>
                        <a:noFill/>
                      </a:ln>
                    </wps:spPr>
                    <wps:txbx>
                      <w:txbxContent>
                        <w:p>
                          <w:pPr>
                            <w:pStyle w:val="26"/>
                          </w:pPr>
                          <w:r>
                            <w:fldChar w:fldCharType="begin"/>
                          </w:r>
                          <w:r>
                            <w:instrText xml:space="preserve"> PAGE  \* MERGEFORMAT </w:instrText>
                          </w:r>
                          <w:r>
                            <w:fldChar w:fldCharType="separate"/>
                          </w:r>
                          <w:r>
                            <w:t>24</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85pt;width:9.15pt;mso-position-horizontal:center;mso-position-horizontal-relative:margin;mso-wrap-style:none;z-index:1024;mso-width-relative:page;mso-height-relative:page;" filled="f" stroked="f" coordsize="21600,21600" o:gfxdata="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1Ptps0QAA&#10;AAMBAAAPAAAAAAAAAAEAIAAAACIAAABkcnMvZG93bnJldi54bWxQSwECFAAUAAAACACHTuJAMQ1A&#10;47MBAABJAwAADgAAAAAAAAABACAAAAAgAQAAZHJzL2Uyb0RvYy54bWxQSwUGAAAAAAYABgBZAQAA&#10;RQU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ascii="宋体"/>
        <w:sz w:val="21"/>
        <w:szCs w:val="21"/>
      </w:rPr>
    </w:pPr>
    <w:r>
      <w:rPr>
        <w:rFonts w:hint="eastAsia" w:ascii="宋体" w:hAnsi="宋体"/>
        <w:snapToGrid w:val="0"/>
        <w:color w:val="FF0000"/>
        <w:sz w:val="21"/>
        <w:szCs w:val="21"/>
      </w:rPr>
      <w:t>××××</w:t>
    </w:r>
    <w:r>
      <w:rPr>
        <w:rFonts w:hint="eastAsia" w:ascii="宋体" w:hAnsi="宋体"/>
        <w:snapToGrid w:val="0"/>
        <w:sz w:val="21"/>
        <w:szCs w:val="21"/>
      </w:rPr>
      <w:t>采购项目</w:t>
    </w:r>
    <w:r>
      <w:rPr>
        <w:rFonts w:ascii="宋体" w:hAnsi="宋体"/>
        <w:snapToGrid w:val="0"/>
        <w:sz w:val="21"/>
        <w:szCs w:val="21"/>
      </w:rPr>
      <w:t xml:space="preserve">                                                </w:t>
    </w:r>
    <w:r>
      <w:rPr>
        <w:rFonts w:ascii="宋体" w:hAnsi="宋体"/>
        <w:sz w:val="21"/>
        <w:szCs w:val="21"/>
      </w:rPr>
      <w:t>BY/2020-ZB-</w:t>
    </w:r>
    <w:r>
      <w:rPr>
        <w:rFonts w:hint="eastAsia" w:ascii="宋体" w:hAnsi="宋体"/>
        <w:color w:val="FF0000"/>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jc w:val="left"/>
    </w:pPr>
    <w:r>
      <w:rPr>
        <w:rFonts w:hint="eastAsia" w:ascii="宋体" w:hAnsi="宋体"/>
      </w:rPr>
      <w:t xml:space="preserve">陕西省交通医院电子病历（三级）升级改造采购项目                     </w:t>
    </w:r>
    <w:r>
      <w:rPr>
        <w:rFonts w:ascii="宋体" w:hAnsi="宋体"/>
      </w:rPr>
      <w:t xml:space="preserve">        </w:t>
    </w:r>
    <w:r>
      <w:rPr>
        <w:rFonts w:hint="eastAsia" w:ascii="宋体" w:hAnsi="宋体"/>
      </w:rPr>
      <w:t>BY/2020-CS-103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5230F"/>
    <w:multiLevelType w:val="singleLevel"/>
    <w:tmpl w:val="8085230F"/>
    <w:lvl w:ilvl="0" w:tentative="0">
      <w:start w:val="1"/>
      <w:numFmt w:val="chineseCounting"/>
      <w:suff w:val="space"/>
      <w:lvlText w:val="第%1部分"/>
      <w:lvlJc w:val="left"/>
      <w:rPr>
        <w:rFonts w:hint="eastAsia"/>
      </w:rPr>
    </w:lvl>
  </w:abstractNum>
  <w:abstractNum w:abstractNumId="1">
    <w:nsid w:val="9E891EFA"/>
    <w:multiLevelType w:val="singleLevel"/>
    <w:tmpl w:val="9E891EFA"/>
    <w:lvl w:ilvl="0" w:tentative="0">
      <w:start w:val="1"/>
      <w:numFmt w:val="decimal"/>
      <w:lvlText w:val="(%1)"/>
      <w:lvlJc w:val="left"/>
      <w:pPr>
        <w:ind w:left="425" w:hanging="425"/>
      </w:pPr>
      <w:rPr>
        <w:rFonts w:hint="default"/>
      </w:rPr>
    </w:lvl>
  </w:abstractNum>
  <w:abstractNum w:abstractNumId="2">
    <w:nsid w:val="9EBF0F94"/>
    <w:multiLevelType w:val="singleLevel"/>
    <w:tmpl w:val="9EBF0F94"/>
    <w:lvl w:ilvl="0" w:tentative="0">
      <w:start w:val="1"/>
      <w:numFmt w:val="decimal"/>
      <w:suff w:val="nothing"/>
      <w:lvlText w:val="%1、"/>
      <w:lvlJc w:val="left"/>
      <w:pPr>
        <w:ind w:left="0" w:firstLine="0"/>
      </w:pPr>
      <w:rPr>
        <w:rFonts w:hint="default"/>
      </w:rPr>
    </w:lvl>
  </w:abstractNum>
  <w:abstractNum w:abstractNumId="3">
    <w:nsid w:val="A48488B3"/>
    <w:multiLevelType w:val="singleLevel"/>
    <w:tmpl w:val="A48488B3"/>
    <w:lvl w:ilvl="0" w:tentative="0">
      <w:start w:val="1"/>
      <w:numFmt w:val="decimal"/>
      <w:suff w:val="nothing"/>
      <w:lvlText w:val="%1、"/>
      <w:lvlJc w:val="left"/>
      <w:pPr>
        <w:ind w:left="0" w:firstLine="0"/>
      </w:pPr>
      <w:rPr>
        <w:rFonts w:hint="default"/>
      </w:rPr>
    </w:lvl>
  </w:abstractNum>
  <w:abstractNum w:abstractNumId="4">
    <w:nsid w:val="A6B04E22"/>
    <w:multiLevelType w:val="singleLevel"/>
    <w:tmpl w:val="A6B04E22"/>
    <w:lvl w:ilvl="0" w:tentative="0">
      <w:start w:val="1"/>
      <w:numFmt w:val="decimal"/>
      <w:lvlText w:val="(%1)"/>
      <w:lvlJc w:val="left"/>
      <w:pPr>
        <w:ind w:left="425" w:hanging="425"/>
      </w:pPr>
      <w:rPr>
        <w:rFonts w:hint="default"/>
      </w:rPr>
    </w:lvl>
  </w:abstractNum>
  <w:abstractNum w:abstractNumId="5">
    <w:nsid w:val="A92BCCD1"/>
    <w:multiLevelType w:val="singleLevel"/>
    <w:tmpl w:val="A92BCCD1"/>
    <w:lvl w:ilvl="0" w:tentative="0">
      <w:start w:val="1"/>
      <w:numFmt w:val="decimal"/>
      <w:suff w:val="nothing"/>
      <w:lvlText w:val="%1、"/>
      <w:lvlJc w:val="left"/>
      <w:pPr>
        <w:ind w:left="0" w:firstLine="0"/>
      </w:pPr>
      <w:rPr>
        <w:rFonts w:hint="default"/>
      </w:rPr>
    </w:lvl>
  </w:abstractNum>
  <w:abstractNum w:abstractNumId="6">
    <w:nsid w:val="ACBAA4A7"/>
    <w:multiLevelType w:val="singleLevel"/>
    <w:tmpl w:val="ACBAA4A7"/>
    <w:lvl w:ilvl="0" w:tentative="0">
      <w:start w:val="1"/>
      <w:numFmt w:val="decimal"/>
      <w:lvlText w:val="(%1)"/>
      <w:lvlJc w:val="left"/>
      <w:pPr>
        <w:ind w:left="425" w:hanging="425"/>
      </w:pPr>
      <w:rPr>
        <w:rFonts w:hint="default"/>
      </w:rPr>
    </w:lvl>
  </w:abstractNum>
  <w:abstractNum w:abstractNumId="7">
    <w:nsid w:val="BB01DAAD"/>
    <w:multiLevelType w:val="singleLevel"/>
    <w:tmpl w:val="BB01DAAD"/>
    <w:lvl w:ilvl="0" w:tentative="0">
      <w:start w:val="1"/>
      <w:numFmt w:val="decimal"/>
      <w:lvlText w:val="(%1)"/>
      <w:lvlJc w:val="left"/>
      <w:pPr>
        <w:ind w:left="425" w:hanging="425"/>
      </w:pPr>
      <w:rPr>
        <w:rFonts w:hint="default"/>
      </w:rPr>
    </w:lvl>
  </w:abstractNum>
  <w:abstractNum w:abstractNumId="8">
    <w:nsid w:val="BBCB21D0"/>
    <w:multiLevelType w:val="singleLevel"/>
    <w:tmpl w:val="BBCB21D0"/>
    <w:lvl w:ilvl="0" w:tentative="0">
      <w:start w:val="1"/>
      <w:numFmt w:val="decimal"/>
      <w:lvlText w:val="(%1)"/>
      <w:lvlJc w:val="left"/>
      <w:pPr>
        <w:ind w:left="425" w:hanging="425"/>
      </w:pPr>
      <w:rPr>
        <w:rFonts w:hint="default"/>
      </w:rPr>
    </w:lvl>
  </w:abstractNum>
  <w:abstractNum w:abstractNumId="9">
    <w:nsid w:val="BF1238BB"/>
    <w:multiLevelType w:val="singleLevel"/>
    <w:tmpl w:val="BF1238BB"/>
    <w:lvl w:ilvl="0" w:tentative="0">
      <w:start w:val="1"/>
      <w:numFmt w:val="decimal"/>
      <w:suff w:val="nothing"/>
      <w:lvlText w:val="%1、"/>
      <w:lvlJc w:val="left"/>
      <w:pPr>
        <w:ind w:left="0" w:firstLine="0"/>
      </w:pPr>
      <w:rPr>
        <w:rFonts w:hint="default"/>
      </w:rPr>
    </w:lvl>
  </w:abstractNum>
  <w:abstractNum w:abstractNumId="10">
    <w:nsid w:val="C37F1CA0"/>
    <w:multiLevelType w:val="singleLevel"/>
    <w:tmpl w:val="C37F1CA0"/>
    <w:lvl w:ilvl="0" w:tentative="0">
      <w:start w:val="1"/>
      <w:numFmt w:val="decimal"/>
      <w:lvlText w:val="(%1)"/>
      <w:lvlJc w:val="left"/>
      <w:pPr>
        <w:ind w:left="425" w:hanging="425"/>
      </w:pPr>
      <w:rPr>
        <w:rFonts w:hint="default"/>
      </w:rPr>
    </w:lvl>
  </w:abstractNum>
  <w:abstractNum w:abstractNumId="11">
    <w:nsid w:val="C4497BAA"/>
    <w:multiLevelType w:val="singleLevel"/>
    <w:tmpl w:val="C4497BAA"/>
    <w:lvl w:ilvl="0" w:tentative="0">
      <w:start w:val="1"/>
      <w:numFmt w:val="decimal"/>
      <w:lvlText w:val="(%1)"/>
      <w:lvlJc w:val="left"/>
      <w:pPr>
        <w:ind w:left="425" w:hanging="425"/>
      </w:pPr>
      <w:rPr>
        <w:rFonts w:hint="default"/>
      </w:rPr>
    </w:lvl>
  </w:abstractNum>
  <w:abstractNum w:abstractNumId="12">
    <w:nsid w:val="CA4581F7"/>
    <w:multiLevelType w:val="singleLevel"/>
    <w:tmpl w:val="CA4581F7"/>
    <w:lvl w:ilvl="0" w:tentative="0">
      <w:start w:val="1"/>
      <w:numFmt w:val="decimal"/>
      <w:lvlText w:val="(%1)"/>
      <w:lvlJc w:val="left"/>
      <w:pPr>
        <w:ind w:left="425" w:hanging="425"/>
      </w:pPr>
      <w:rPr>
        <w:rFonts w:hint="default"/>
      </w:rPr>
    </w:lvl>
  </w:abstractNum>
  <w:abstractNum w:abstractNumId="13">
    <w:nsid w:val="CD85AD04"/>
    <w:multiLevelType w:val="singleLevel"/>
    <w:tmpl w:val="CD85AD04"/>
    <w:lvl w:ilvl="0" w:tentative="0">
      <w:start w:val="1"/>
      <w:numFmt w:val="decimal"/>
      <w:suff w:val="nothing"/>
      <w:lvlText w:val="%1、"/>
      <w:lvlJc w:val="left"/>
      <w:pPr>
        <w:ind w:left="0" w:firstLine="0"/>
      </w:pPr>
      <w:rPr>
        <w:rFonts w:hint="default"/>
      </w:rPr>
    </w:lvl>
  </w:abstractNum>
  <w:abstractNum w:abstractNumId="14">
    <w:nsid w:val="D0D47B72"/>
    <w:multiLevelType w:val="singleLevel"/>
    <w:tmpl w:val="D0D47B72"/>
    <w:lvl w:ilvl="0" w:tentative="0">
      <w:start w:val="1"/>
      <w:numFmt w:val="decimal"/>
      <w:suff w:val="nothing"/>
      <w:lvlText w:val="%1、"/>
      <w:lvlJc w:val="left"/>
      <w:pPr>
        <w:ind w:left="0" w:firstLine="0"/>
      </w:pPr>
      <w:rPr>
        <w:rFonts w:hint="default"/>
      </w:rPr>
    </w:lvl>
  </w:abstractNum>
  <w:abstractNum w:abstractNumId="15">
    <w:nsid w:val="D49C416D"/>
    <w:multiLevelType w:val="singleLevel"/>
    <w:tmpl w:val="D49C416D"/>
    <w:lvl w:ilvl="0" w:tentative="0">
      <w:start w:val="1"/>
      <w:numFmt w:val="decimal"/>
      <w:lvlText w:val="(%1)"/>
      <w:lvlJc w:val="left"/>
      <w:pPr>
        <w:ind w:left="425" w:hanging="425"/>
      </w:pPr>
      <w:rPr>
        <w:rFonts w:hint="default"/>
      </w:rPr>
    </w:lvl>
  </w:abstractNum>
  <w:abstractNum w:abstractNumId="16">
    <w:nsid w:val="DC6ABE21"/>
    <w:multiLevelType w:val="singleLevel"/>
    <w:tmpl w:val="DC6ABE21"/>
    <w:lvl w:ilvl="0" w:tentative="0">
      <w:start w:val="1"/>
      <w:numFmt w:val="decimal"/>
      <w:suff w:val="nothing"/>
      <w:lvlText w:val="%1、"/>
      <w:lvlJc w:val="left"/>
      <w:pPr>
        <w:ind w:left="0" w:firstLine="0"/>
      </w:pPr>
      <w:rPr>
        <w:rFonts w:hint="default"/>
      </w:rPr>
    </w:lvl>
  </w:abstractNum>
  <w:abstractNum w:abstractNumId="17">
    <w:nsid w:val="E00F2C8D"/>
    <w:multiLevelType w:val="singleLevel"/>
    <w:tmpl w:val="E00F2C8D"/>
    <w:lvl w:ilvl="0" w:tentative="0">
      <w:start w:val="1"/>
      <w:numFmt w:val="decimal"/>
      <w:suff w:val="nothing"/>
      <w:lvlText w:val="%1、"/>
      <w:lvlJc w:val="left"/>
      <w:pPr>
        <w:ind w:left="0" w:firstLine="0"/>
      </w:pPr>
      <w:rPr>
        <w:rFonts w:hint="default"/>
      </w:rPr>
    </w:lvl>
  </w:abstractNum>
  <w:abstractNum w:abstractNumId="18">
    <w:nsid w:val="FA5DD2D5"/>
    <w:multiLevelType w:val="multilevel"/>
    <w:tmpl w:val="FA5DD2D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00000002"/>
    <w:multiLevelType w:val="multilevel"/>
    <w:tmpl w:val="00000002"/>
    <w:lvl w:ilvl="0" w:tentative="0">
      <w:start w:val="1"/>
      <w:numFmt w:val="bullet"/>
      <w:lvlText w:val=""/>
      <w:lvlJc w:val="left"/>
      <w:pPr>
        <w:tabs>
          <w:tab w:val="left" w:pos="420"/>
        </w:tabs>
        <w:ind w:left="420" w:hanging="420"/>
      </w:pPr>
      <w:rPr>
        <w:rFonts w:hint="default" w:ascii="楷体_GB2312" w:eastAsia="楷体_GB2312"/>
      </w:rPr>
    </w:lvl>
    <w:lvl w:ilvl="1" w:tentative="0">
      <w:start w:val="1"/>
      <w:numFmt w:val="bullet"/>
      <w:lvlText w:val=""/>
      <w:lvlJc w:val="left"/>
      <w:pPr>
        <w:tabs>
          <w:tab w:val="left" w:pos="1260"/>
        </w:tabs>
        <w:ind w:left="1260" w:hanging="420"/>
      </w:pPr>
      <w:rPr>
        <w:rFonts w:hint="default" w:ascii="楷体_GB2312" w:eastAsia="楷体_GB2312"/>
      </w:rPr>
    </w:lvl>
    <w:lvl w:ilvl="2" w:tentative="0">
      <w:start w:val="1"/>
      <w:numFmt w:val="bullet"/>
      <w:lvlText w:val=""/>
      <w:lvlJc w:val="left"/>
      <w:pPr>
        <w:tabs>
          <w:tab w:val="left" w:pos="1680"/>
        </w:tabs>
        <w:ind w:left="1680" w:hanging="420"/>
      </w:pPr>
      <w:rPr>
        <w:rFonts w:hint="default" w:ascii="楷体_GB2312" w:eastAsia="楷体_GB2312"/>
      </w:rPr>
    </w:lvl>
    <w:lvl w:ilvl="3" w:tentative="0">
      <w:start w:val="1"/>
      <w:numFmt w:val="bullet"/>
      <w:lvlText w:val=""/>
      <w:lvlJc w:val="left"/>
      <w:pPr>
        <w:tabs>
          <w:tab w:val="left" w:pos="2100"/>
        </w:tabs>
        <w:ind w:left="2100" w:hanging="420"/>
      </w:pPr>
      <w:rPr>
        <w:rFonts w:hint="default" w:ascii="楷体_GB2312" w:eastAsia="楷体_GB2312"/>
      </w:rPr>
    </w:lvl>
    <w:lvl w:ilvl="4" w:tentative="0">
      <w:start w:val="1"/>
      <w:numFmt w:val="bullet"/>
      <w:lvlText w:val=""/>
      <w:lvlJc w:val="left"/>
      <w:pPr>
        <w:tabs>
          <w:tab w:val="left" w:pos="2520"/>
        </w:tabs>
        <w:ind w:left="2520" w:hanging="420"/>
      </w:pPr>
      <w:rPr>
        <w:rFonts w:hint="default" w:ascii="楷体_GB2312" w:eastAsia="楷体_GB2312"/>
      </w:rPr>
    </w:lvl>
    <w:lvl w:ilvl="5" w:tentative="0">
      <w:start w:val="1"/>
      <w:numFmt w:val="bullet"/>
      <w:lvlText w:val=""/>
      <w:lvlJc w:val="left"/>
      <w:pPr>
        <w:tabs>
          <w:tab w:val="left" w:pos="2940"/>
        </w:tabs>
        <w:ind w:left="2940" w:hanging="420"/>
      </w:pPr>
      <w:rPr>
        <w:rFonts w:hint="default" w:ascii="楷体_GB2312" w:eastAsia="楷体_GB2312"/>
      </w:rPr>
    </w:lvl>
    <w:lvl w:ilvl="6" w:tentative="0">
      <w:start w:val="1"/>
      <w:numFmt w:val="bullet"/>
      <w:lvlText w:val=""/>
      <w:lvlJc w:val="left"/>
      <w:pPr>
        <w:tabs>
          <w:tab w:val="left" w:pos="3360"/>
        </w:tabs>
        <w:ind w:left="3360" w:hanging="420"/>
      </w:pPr>
      <w:rPr>
        <w:rFonts w:hint="default" w:ascii="楷体_GB2312" w:eastAsia="楷体_GB2312"/>
      </w:rPr>
    </w:lvl>
    <w:lvl w:ilvl="7" w:tentative="0">
      <w:start w:val="1"/>
      <w:numFmt w:val="bullet"/>
      <w:lvlText w:val=""/>
      <w:lvlJc w:val="left"/>
      <w:pPr>
        <w:tabs>
          <w:tab w:val="left" w:pos="3780"/>
        </w:tabs>
        <w:ind w:left="3780" w:hanging="420"/>
      </w:pPr>
      <w:rPr>
        <w:rFonts w:hint="default" w:ascii="楷体_GB2312" w:eastAsia="楷体_GB2312"/>
      </w:rPr>
    </w:lvl>
    <w:lvl w:ilvl="8" w:tentative="0">
      <w:start w:val="1"/>
      <w:numFmt w:val="bullet"/>
      <w:lvlText w:val=""/>
      <w:lvlJc w:val="left"/>
      <w:pPr>
        <w:tabs>
          <w:tab w:val="left" w:pos="4200"/>
        </w:tabs>
        <w:ind w:left="4200" w:hanging="420"/>
      </w:pPr>
      <w:rPr>
        <w:rFonts w:hint="default" w:ascii="楷体_GB2312" w:eastAsia="楷体_GB2312"/>
      </w:rPr>
    </w:lvl>
  </w:abstractNum>
  <w:abstractNum w:abstractNumId="20">
    <w:nsid w:val="034A59C0"/>
    <w:multiLevelType w:val="singleLevel"/>
    <w:tmpl w:val="034A59C0"/>
    <w:lvl w:ilvl="0" w:tentative="0">
      <w:start w:val="1"/>
      <w:numFmt w:val="decimal"/>
      <w:suff w:val="nothing"/>
      <w:lvlText w:val="%1、"/>
      <w:lvlJc w:val="left"/>
      <w:pPr>
        <w:ind w:left="0" w:firstLine="0"/>
      </w:pPr>
      <w:rPr>
        <w:rFonts w:hint="default"/>
      </w:rPr>
    </w:lvl>
  </w:abstractNum>
  <w:abstractNum w:abstractNumId="21">
    <w:nsid w:val="0A104B28"/>
    <w:multiLevelType w:val="singleLevel"/>
    <w:tmpl w:val="0A104B28"/>
    <w:lvl w:ilvl="0" w:tentative="0">
      <w:start w:val="1"/>
      <w:numFmt w:val="decimal"/>
      <w:lvlText w:val="%1、"/>
      <w:lvlJc w:val="left"/>
      <w:pPr>
        <w:tabs>
          <w:tab w:val="left" w:pos="397"/>
        </w:tabs>
        <w:ind w:left="454" w:hanging="454"/>
      </w:pPr>
      <w:rPr>
        <w:rFonts w:hint="default"/>
      </w:rPr>
    </w:lvl>
  </w:abstractNum>
  <w:abstractNum w:abstractNumId="22">
    <w:nsid w:val="1405C590"/>
    <w:multiLevelType w:val="singleLevel"/>
    <w:tmpl w:val="1405C590"/>
    <w:lvl w:ilvl="0" w:tentative="0">
      <w:start w:val="1"/>
      <w:numFmt w:val="decimal"/>
      <w:lvlText w:val="(%1)"/>
      <w:lvlJc w:val="left"/>
      <w:pPr>
        <w:ind w:left="425" w:hanging="425"/>
      </w:pPr>
      <w:rPr>
        <w:rFonts w:hint="default"/>
      </w:rPr>
    </w:lvl>
  </w:abstractNum>
  <w:abstractNum w:abstractNumId="23">
    <w:nsid w:val="1707A368"/>
    <w:multiLevelType w:val="singleLevel"/>
    <w:tmpl w:val="1707A368"/>
    <w:lvl w:ilvl="0" w:tentative="0">
      <w:start w:val="1"/>
      <w:numFmt w:val="decimal"/>
      <w:lvlText w:val="(%1)"/>
      <w:lvlJc w:val="left"/>
      <w:pPr>
        <w:ind w:left="425" w:hanging="425"/>
      </w:pPr>
      <w:rPr>
        <w:rFonts w:hint="default"/>
      </w:rPr>
    </w:lvl>
  </w:abstractNum>
  <w:abstractNum w:abstractNumId="24">
    <w:nsid w:val="23924D1A"/>
    <w:multiLevelType w:val="singleLevel"/>
    <w:tmpl w:val="23924D1A"/>
    <w:lvl w:ilvl="0" w:tentative="0">
      <w:start w:val="1"/>
      <w:numFmt w:val="decimal"/>
      <w:suff w:val="nothing"/>
      <w:lvlText w:val="%1、"/>
      <w:lvlJc w:val="left"/>
      <w:pPr>
        <w:ind w:left="0" w:firstLine="0"/>
      </w:pPr>
      <w:rPr>
        <w:rFonts w:hint="default"/>
      </w:rPr>
    </w:lvl>
  </w:abstractNum>
  <w:abstractNum w:abstractNumId="25">
    <w:nsid w:val="25DC1345"/>
    <w:multiLevelType w:val="multilevel"/>
    <w:tmpl w:val="25DC134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D765392"/>
    <w:multiLevelType w:val="singleLevel"/>
    <w:tmpl w:val="2D765392"/>
    <w:lvl w:ilvl="0" w:tentative="0">
      <w:start w:val="1"/>
      <w:numFmt w:val="decimal"/>
      <w:suff w:val="nothing"/>
      <w:lvlText w:val="%1、"/>
      <w:lvlJc w:val="left"/>
      <w:pPr>
        <w:ind w:left="0" w:firstLine="0"/>
      </w:pPr>
      <w:rPr>
        <w:rFonts w:hint="default"/>
      </w:rPr>
    </w:lvl>
  </w:abstractNum>
  <w:abstractNum w:abstractNumId="27">
    <w:nsid w:val="2DA0FC84"/>
    <w:multiLevelType w:val="singleLevel"/>
    <w:tmpl w:val="2DA0FC84"/>
    <w:lvl w:ilvl="0" w:tentative="0">
      <w:start w:val="4"/>
      <w:numFmt w:val="chineseCounting"/>
      <w:suff w:val="space"/>
      <w:lvlText w:val="第%1部分"/>
      <w:lvlJc w:val="left"/>
      <w:rPr>
        <w:rFonts w:hint="eastAsia" w:cs="Times New Roman"/>
      </w:rPr>
    </w:lvl>
  </w:abstractNum>
  <w:abstractNum w:abstractNumId="28">
    <w:nsid w:val="36F81422"/>
    <w:multiLevelType w:val="multilevel"/>
    <w:tmpl w:val="36F81422"/>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8D69A64"/>
    <w:multiLevelType w:val="singleLevel"/>
    <w:tmpl w:val="38D69A64"/>
    <w:lvl w:ilvl="0" w:tentative="0">
      <w:start w:val="1"/>
      <w:numFmt w:val="decimal"/>
      <w:lvlText w:val="(%1)"/>
      <w:lvlJc w:val="left"/>
      <w:pPr>
        <w:ind w:left="425" w:hanging="425"/>
      </w:pPr>
      <w:rPr>
        <w:rFonts w:hint="default"/>
      </w:rPr>
    </w:lvl>
  </w:abstractNum>
  <w:abstractNum w:abstractNumId="30">
    <w:nsid w:val="3D7971B8"/>
    <w:multiLevelType w:val="singleLevel"/>
    <w:tmpl w:val="3D7971B8"/>
    <w:lvl w:ilvl="0" w:tentative="0">
      <w:start w:val="1"/>
      <w:numFmt w:val="decimal"/>
      <w:lvlText w:val="(%1)"/>
      <w:lvlJc w:val="left"/>
      <w:pPr>
        <w:ind w:left="425" w:hanging="425"/>
      </w:pPr>
      <w:rPr>
        <w:rFonts w:hint="default"/>
      </w:rPr>
    </w:lvl>
  </w:abstractNum>
  <w:abstractNum w:abstractNumId="31">
    <w:nsid w:val="3DFD4FCE"/>
    <w:multiLevelType w:val="multilevel"/>
    <w:tmpl w:val="3DFD4FCE"/>
    <w:lvl w:ilvl="0" w:tentative="0">
      <w:start w:val="1"/>
      <w:numFmt w:val="decimal"/>
      <w:lvlText w:val="%1."/>
      <w:lvlJc w:val="left"/>
      <w:pPr>
        <w:ind w:left="987" w:hanging="420"/>
      </w:pPr>
    </w:lvl>
    <w:lvl w:ilvl="1" w:tentative="0">
      <w:start w:val="2"/>
      <w:numFmt w:val="decimal"/>
      <w:isLgl/>
      <w:lvlText w:val="%1.%2"/>
      <w:lvlJc w:val="left"/>
      <w:pPr>
        <w:ind w:left="1707" w:hanging="720"/>
      </w:pPr>
      <w:rPr>
        <w:rFonts w:hint="default"/>
      </w:rPr>
    </w:lvl>
    <w:lvl w:ilvl="2" w:tentative="0">
      <w:start w:val="1"/>
      <w:numFmt w:val="decimal"/>
      <w:isLgl/>
      <w:lvlText w:val="%1.%2.%3"/>
      <w:lvlJc w:val="left"/>
      <w:pPr>
        <w:ind w:left="2127" w:hanging="720"/>
      </w:pPr>
      <w:rPr>
        <w:rFonts w:hint="default"/>
      </w:rPr>
    </w:lvl>
    <w:lvl w:ilvl="3" w:tentative="0">
      <w:start w:val="1"/>
      <w:numFmt w:val="decimal"/>
      <w:isLgl/>
      <w:lvlText w:val="%1.%2.%3.%4"/>
      <w:lvlJc w:val="left"/>
      <w:pPr>
        <w:ind w:left="2907" w:hanging="1080"/>
      </w:pPr>
      <w:rPr>
        <w:rFonts w:hint="default"/>
      </w:rPr>
    </w:lvl>
    <w:lvl w:ilvl="4" w:tentative="0">
      <w:start w:val="1"/>
      <w:numFmt w:val="decimal"/>
      <w:isLgl/>
      <w:lvlText w:val="%1.%2.%3.%4.%5"/>
      <w:lvlJc w:val="left"/>
      <w:pPr>
        <w:ind w:left="3687" w:hanging="1440"/>
      </w:pPr>
      <w:rPr>
        <w:rFonts w:hint="default"/>
      </w:rPr>
    </w:lvl>
    <w:lvl w:ilvl="5" w:tentative="0">
      <w:start w:val="1"/>
      <w:numFmt w:val="decimal"/>
      <w:isLgl/>
      <w:lvlText w:val="%1.%2.%3.%4.%5.%6"/>
      <w:lvlJc w:val="left"/>
      <w:pPr>
        <w:ind w:left="4467" w:hanging="1800"/>
      </w:pPr>
      <w:rPr>
        <w:rFonts w:hint="default"/>
      </w:rPr>
    </w:lvl>
    <w:lvl w:ilvl="6" w:tentative="0">
      <w:start w:val="1"/>
      <w:numFmt w:val="decimal"/>
      <w:isLgl/>
      <w:lvlText w:val="%1.%2.%3.%4.%5.%6.%7"/>
      <w:lvlJc w:val="left"/>
      <w:pPr>
        <w:ind w:left="5247" w:hanging="2160"/>
      </w:pPr>
      <w:rPr>
        <w:rFonts w:hint="default"/>
      </w:rPr>
    </w:lvl>
    <w:lvl w:ilvl="7" w:tentative="0">
      <w:start w:val="1"/>
      <w:numFmt w:val="decimal"/>
      <w:isLgl/>
      <w:lvlText w:val="%1.%2.%3.%4.%5.%6.%7.%8"/>
      <w:lvlJc w:val="left"/>
      <w:pPr>
        <w:ind w:left="5667" w:hanging="2160"/>
      </w:pPr>
      <w:rPr>
        <w:rFonts w:hint="default"/>
      </w:rPr>
    </w:lvl>
    <w:lvl w:ilvl="8" w:tentative="0">
      <w:start w:val="1"/>
      <w:numFmt w:val="decimal"/>
      <w:isLgl/>
      <w:lvlText w:val="%1.%2.%3.%4.%5.%6.%7.%8.%9"/>
      <w:lvlJc w:val="left"/>
      <w:pPr>
        <w:ind w:left="6447" w:hanging="2520"/>
      </w:pPr>
      <w:rPr>
        <w:rFonts w:hint="default"/>
      </w:rPr>
    </w:lvl>
  </w:abstractNum>
  <w:abstractNum w:abstractNumId="32">
    <w:nsid w:val="4EB27991"/>
    <w:multiLevelType w:val="singleLevel"/>
    <w:tmpl w:val="4EB27991"/>
    <w:lvl w:ilvl="0" w:tentative="0">
      <w:start w:val="9"/>
      <w:numFmt w:val="decimal"/>
      <w:suff w:val="nothing"/>
      <w:lvlText w:val="%1、"/>
      <w:lvlJc w:val="left"/>
      <w:rPr>
        <w:rFonts w:cs="Times New Roman"/>
      </w:rPr>
    </w:lvl>
  </w:abstractNum>
  <w:abstractNum w:abstractNumId="33">
    <w:nsid w:val="546F25C3"/>
    <w:multiLevelType w:val="singleLevel"/>
    <w:tmpl w:val="546F25C3"/>
    <w:lvl w:ilvl="0" w:tentative="0">
      <w:start w:val="1"/>
      <w:numFmt w:val="decimal"/>
      <w:lvlText w:val="(%1)"/>
      <w:lvlJc w:val="left"/>
      <w:pPr>
        <w:ind w:left="425" w:hanging="425"/>
      </w:pPr>
      <w:rPr>
        <w:rFonts w:hint="default"/>
      </w:rPr>
    </w:lvl>
  </w:abstractNum>
  <w:abstractNum w:abstractNumId="34">
    <w:nsid w:val="57E3A63A"/>
    <w:multiLevelType w:val="singleLevel"/>
    <w:tmpl w:val="57E3A63A"/>
    <w:lvl w:ilvl="0" w:tentative="0">
      <w:start w:val="1"/>
      <w:numFmt w:val="decimal"/>
      <w:lvlText w:val="(%1)"/>
      <w:lvlJc w:val="left"/>
      <w:pPr>
        <w:ind w:left="425" w:hanging="425"/>
      </w:pPr>
      <w:rPr>
        <w:rFonts w:hint="default"/>
      </w:rPr>
    </w:lvl>
  </w:abstractNum>
  <w:abstractNum w:abstractNumId="35">
    <w:nsid w:val="58491603"/>
    <w:multiLevelType w:val="singleLevel"/>
    <w:tmpl w:val="58491603"/>
    <w:lvl w:ilvl="0" w:tentative="0">
      <w:start w:val="1"/>
      <w:numFmt w:val="decimal"/>
      <w:suff w:val="nothing"/>
      <w:lvlText w:val="%1、"/>
      <w:lvlJc w:val="left"/>
      <w:rPr>
        <w:rFonts w:cs="Times New Roman"/>
      </w:rPr>
    </w:lvl>
  </w:abstractNum>
  <w:abstractNum w:abstractNumId="36">
    <w:nsid w:val="630054C2"/>
    <w:multiLevelType w:val="multilevel"/>
    <w:tmpl w:val="630054C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6508A34"/>
    <w:multiLevelType w:val="singleLevel"/>
    <w:tmpl w:val="66508A34"/>
    <w:lvl w:ilvl="0" w:tentative="0">
      <w:start w:val="1"/>
      <w:numFmt w:val="decimal"/>
      <w:lvlText w:val="(%1)"/>
      <w:lvlJc w:val="left"/>
      <w:pPr>
        <w:ind w:left="425" w:hanging="425"/>
      </w:pPr>
      <w:rPr>
        <w:rFonts w:hint="default"/>
      </w:rPr>
    </w:lvl>
  </w:abstractNum>
  <w:abstractNum w:abstractNumId="38">
    <w:nsid w:val="75422AC0"/>
    <w:multiLevelType w:val="singleLevel"/>
    <w:tmpl w:val="75422AC0"/>
    <w:lvl w:ilvl="0" w:tentative="0">
      <w:start w:val="1"/>
      <w:numFmt w:val="decimal"/>
      <w:lvlText w:val="(%1)"/>
      <w:lvlJc w:val="left"/>
      <w:pPr>
        <w:ind w:left="425" w:hanging="425"/>
      </w:pPr>
      <w:rPr>
        <w:rFonts w:hint="default"/>
      </w:rPr>
    </w:lvl>
  </w:abstractNum>
  <w:abstractNum w:abstractNumId="39">
    <w:nsid w:val="77211AE5"/>
    <w:multiLevelType w:val="singleLevel"/>
    <w:tmpl w:val="77211AE5"/>
    <w:lvl w:ilvl="0" w:tentative="0">
      <w:start w:val="1"/>
      <w:numFmt w:val="decimal"/>
      <w:lvlText w:val="(%1)"/>
      <w:lvlJc w:val="left"/>
      <w:pPr>
        <w:ind w:left="425" w:hanging="425"/>
      </w:pPr>
      <w:rPr>
        <w:rFonts w:hint="default"/>
      </w:rPr>
    </w:lvl>
  </w:abstractNum>
  <w:num w:numId="1">
    <w:abstractNumId w:val="0"/>
  </w:num>
  <w:num w:numId="2">
    <w:abstractNumId w:val="19"/>
  </w:num>
  <w:num w:numId="3">
    <w:abstractNumId w:val="32"/>
  </w:num>
  <w:num w:numId="4">
    <w:abstractNumId w:val="31"/>
  </w:num>
  <w:num w:numId="5">
    <w:abstractNumId w:val="36"/>
  </w:num>
  <w:num w:numId="6">
    <w:abstractNumId w:val="13"/>
  </w:num>
  <w:num w:numId="7">
    <w:abstractNumId w:val="2"/>
  </w:num>
  <w:num w:numId="8">
    <w:abstractNumId w:val="9"/>
  </w:num>
  <w:num w:numId="9">
    <w:abstractNumId w:val="3"/>
  </w:num>
  <w:num w:numId="10">
    <w:abstractNumId w:val="14"/>
  </w:num>
  <w:num w:numId="11">
    <w:abstractNumId w:val="25"/>
  </w:num>
  <w:num w:numId="12">
    <w:abstractNumId w:val="17"/>
  </w:num>
  <w:num w:numId="13">
    <w:abstractNumId w:val="21"/>
  </w:num>
  <w:num w:numId="14">
    <w:abstractNumId w:val="16"/>
  </w:num>
  <w:num w:numId="15">
    <w:abstractNumId w:val="28"/>
  </w:num>
  <w:num w:numId="16">
    <w:abstractNumId w:val="5"/>
  </w:num>
  <w:num w:numId="17">
    <w:abstractNumId w:val="26"/>
  </w:num>
  <w:num w:numId="18">
    <w:abstractNumId w:val="24"/>
  </w:num>
  <w:num w:numId="19">
    <w:abstractNumId w:val="20"/>
  </w:num>
  <w:num w:numId="20">
    <w:abstractNumId w:val="18"/>
  </w:num>
  <w:num w:numId="21">
    <w:abstractNumId w:val="22"/>
  </w:num>
  <w:num w:numId="22">
    <w:abstractNumId w:val="30"/>
  </w:num>
  <w:num w:numId="23">
    <w:abstractNumId w:val="34"/>
  </w:num>
  <w:num w:numId="24">
    <w:abstractNumId w:val="37"/>
  </w:num>
  <w:num w:numId="25">
    <w:abstractNumId w:val="29"/>
  </w:num>
  <w:num w:numId="26">
    <w:abstractNumId w:val="39"/>
  </w:num>
  <w:num w:numId="27">
    <w:abstractNumId w:val="15"/>
  </w:num>
  <w:num w:numId="28">
    <w:abstractNumId w:val="11"/>
  </w:num>
  <w:num w:numId="29">
    <w:abstractNumId w:val="38"/>
  </w:num>
  <w:num w:numId="30">
    <w:abstractNumId w:val="8"/>
  </w:num>
  <w:num w:numId="31">
    <w:abstractNumId w:val="33"/>
  </w:num>
  <w:num w:numId="32">
    <w:abstractNumId w:val="23"/>
  </w:num>
  <w:num w:numId="33">
    <w:abstractNumId w:val="4"/>
  </w:num>
  <w:num w:numId="34">
    <w:abstractNumId w:val="12"/>
  </w:num>
  <w:num w:numId="35">
    <w:abstractNumId w:val="7"/>
  </w:num>
  <w:num w:numId="36">
    <w:abstractNumId w:val="6"/>
  </w:num>
  <w:num w:numId="37">
    <w:abstractNumId w:val="10"/>
  </w:num>
  <w:num w:numId="38">
    <w:abstractNumId w:val="1"/>
  </w:num>
  <w:num w:numId="39">
    <w:abstractNumId w:val="2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596"/>
    <w:rsid w:val="0000499B"/>
    <w:rsid w:val="00006A28"/>
    <w:rsid w:val="000102FA"/>
    <w:rsid w:val="00020A91"/>
    <w:rsid w:val="00042CC7"/>
    <w:rsid w:val="000743FD"/>
    <w:rsid w:val="00083C4D"/>
    <w:rsid w:val="000B5807"/>
    <w:rsid w:val="000C2EC7"/>
    <w:rsid w:val="000C7180"/>
    <w:rsid w:val="0010543C"/>
    <w:rsid w:val="00110DF2"/>
    <w:rsid w:val="0011395A"/>
    <w:rsid w:val="0012481A"/>
    <w:rsid w:val="00126CC3"/>
    <w:rsid w:val="0014677D"/>
    <w:rsid w:val="00153670"/>
    <w:rsid w:val="001B41FD"/>
    <w:rsid w:val="001E7499"/>
    <w:rsid w:val="00223F41"/>
    <w:rsid w:val="00226860"/>
    <w:rsid w:val="002742A3"/>
    <w:rsid w:val="002774E7"/>
    <w:rsid w:val="002D717C"/>
    <w:rsid w:val="002E5AC8"/>
    <w:rsid w:val="00310573"/>
    <w:rsid w:val="00317DC1"/>
    <w:rsid w:val="003303FF"/>
    <w:rsid w:val="00332AB1"/>
    <w:rsid w:val="00341D54"/>
    <w:rsid w:val="003502D9"/>
    <w:rsid w:val="00375741"/>
    <w:rsid w:val="00391FD7"/>
    <w:rsid w:val="00395FDD"/>
    <w:rsid w:val="00396910"/>
    <w:rsid w:val="003A566A"/>
    <w:rsid w:val="003B431A"/>
    <w:rsid w:val="003B6F2A"/>
    <w:rsid w:val="003C7C0D"/>
    <w:rsid w:val="003E41E8"/>
    <w:rsid w:val="003F56FC"/>
    <w:rsid w:val="00402404"/>
    <w:rsid w:val="0040479E"/>
    <w:rsid w:val="00411E71"/>
    <w:rsid w:val="004143DD"/>
    <w:rsid w:val="00424A8A"/>
    <w:rsid w:val="00432CDD"/>
    <w:rsid w:val="00435CF1"/>
    <w:rsid w:val="00475F6D"/>
    <w:rsid w:val="004B0E8C"/>
    <w:rsid w:val="004C411C"/>
    <w:rsid w:val="004C4268"/>
    <w:rsid w:val="004D2C56"/>
    <w:rsid w:val="004E048E"/>
    <w:rsid w:val="004E434B"/>
    <w:rsid w:val="00512476"/>
    <w:rsid w:val="00533566"/>
    <w:rsid w:val="00581006"/>
    <w:rsid w:val="00591933"/>
    <w:rsid w:val="0059492F"/>
    <w:rsid w:val="005A0818"/>
    <w:rsid w:val="005B5AD9"/>
    <w:rsid w:val="00600AFA"/>
    <w:rsid w:val="0061506B"/>
    <w:rsid w:val="00626929"/>
    <w:rsid w:val="00627A4A"/>
    <w:rsid w:val="006469B4"/>
    <w:rsid w:val="0065336A"/>
    <w:rsid w:val="00663BFE"/>
    <w:rsid w:val="0067722E"/>
    <w:rsid w:val="0068396D"/>
    <w:rsid w:val="00684AAA"/>
    <w:rsid w:val="006A1D92"/>
    <w:rsid w:val="006A3596"/>
    <w:rsid w:val="006C7F4D"/>
    <w:rsid w:val="006E52E3"/>
    <w:rsid w:val="006F16E5"/>
    <w:rsid w:val="00717943"/>
    <w:rsid w:val="007371FF"/>
    <w:rsid w:val="00742922"/>
    <w:rsid w:val="00746E94"/>
    <w:rsid w:val="007A34D6"/>
    <w:rsid w:val="007C2092"/>
    <w:rsid w:val="00812AC6"/>
    <w:rsid w:val="00827F8E"/>
    <w:rsid w:val="008478BA"/>
    <w:rsid w:val="00874578"/>
    <w:rsid w:val="00880765"/>
    <w:rsid w:val="00893F0C"/>
    <w:rsid w:val="008C21B0"/>
    <w:rsid w:val="008D573F"/>
    <w:rsid w:val="00902487"/>
    <w:rsid w:val="00907EB9"/>
    <w:rsid w:val="00910C5E"/>
    <w:rsid w:val="00912EC6"/>
    <w:rsid w:val="00923373"/>
    <w:rsid w:val="00945545"/>
    <w:rsid w:val="0098233F"/>
    <w:rsid w:val="009D600A"/>
    <w:rsid w:val="009F325D"/>
    <w:rsid w:val="009F5255"/>
    <w:rsid w:val="00A11B80"/>
    <w:rsid w:val="00A16D4B"/>
    <w:rsid w:val="00A20D0F"/>
    <w:rsid w:val="00A37414"/>
    <w:rsid w:val="00A555F0"/>
    <w:rsid w:val="00A56A82"/>
    <w:rsid w:val="00A60DE6"/>
    <w:rsid w:val="00A931C9"/>
    <w:rsid w:val="00AA31F8"/>
    <w:rsid w:val="00AA56EE"/>
    <w:rsid w:val="00AC44E2"/>
    <w:rsid w:val="00AD1315"/>
    <w:rsid w:val="00AF5674"/>
    <w:rsid w:val="00B03B27"/>
    <w:rsid w:val="00B1105E"/>
    <w:rsid w:val="00B13127"/>
    <w:rsid w:val="00B163B1"/>
    <w:rsid w:val="00B22738"/>
    <w:rsid w:val="00B230FA"/>
    <w:rsid w:val="00B372C6"/>
    <w:rsid w:val="00B41F54"/>
    <w:rsid w:val="00B91077"/>
    <w:rsid w:val="00BA217E"/>
    <w:rsid w:val="00BD7F82"/>
    <w:rsid w:val="00BE4B54"/>
    <w:rsid w:val="00C219BB"/>
    <w:rsid w:val="00C770D2"/>
    <w:rsid w:val="00C815CB"/>
    <w:rsid w:val="00CA170B"/>
    <w:rsid w:val="00CA1BE1"/>
    <w:rsid w:val="00CB3C91"/>
    <w:rsid w:val="00CD0511"/>
    <w:rsid w:val="00D11C8C"/>
    <w:rsid w:val="00D14833"/>
    <w:rsid w:val="00D352BD"/>
    <w:rsid w:val="00D64544"/>
    <w:rsid w:val="00D95D64"/>
    <w:rsid w:val="00DC0FD3"/>
    <w:rsid w:val="00DC4B50"/>
    <w:rsid w:val="00DF1740"/>
    <w:rsid w:val="00E03149"/>
    <w:rsid w:val="00E05FA4"/>
    <w:rsid w:val="00E21704"/>
    <w:rsid w:val="00E310B7"/>
    <w:rsid w:val="00E53713"/>
    <w:rsid w:val="00E6144E"/>
    <w:rsid w:val="00E91D0C"/>
    <w:rsid w:val="00E949FF"/>
    <w:rsid w:val="00E97E10"/>
    <w:rsid w:val="00F25824"/>
    <w:rsid w:val="00F53A14"/>
    <w:rsid w:val="00F72FC6"/>
    <w:rsid w:val="00F97125"/>
    <w:rsid w:val="00F97E50"/>
    <w:rsid w:val="00FC47E8"/>
    <w:rsid w:val="00FD0DC3"/>
    <w:rsid w:val="00FD4577"/>
    <w:rsid w:val="00FD7918"/>
    <w:rsid w:val="01090D31"/>
    <w:rsid w:val="01210C39"/>
    <w:rsid w:val="032146ED"/>
    <w:rsid w:val="03240616"/>
    <w:rsid w:val="034D5621"/>
    <w:rsid w:val="03554241"/>
    <w:rsid w:val="038D6531"/>
    <w:rsid w:val="04071C6B"/>
    <w:rsid w:val="043B1A37"/>
    <w:rsid w:val="045727AC"/>
    <w:rsid w:val="048A00F3"/>
    <w:rsid w:val="04B22099"/>
    <w:rsid w:val="05452234"/>
    <w:rsid w:val="054F0933"/>
    <w:rsid w:val="0550245B"/>
    <w:rsid w:val="0583189B"/>
    <w:rsid w:val="065F13AB"/>
    <w:rsid w:val="068009A7"/>
    <w:rsid w:val="06DB2657"/>
    <w:rsid w:val="076E749C"/>
    <w:rsid w:val="08C07DE1"/>
    <w:rsid w:val="09113411"/>
    <w:rsid w:val="09E2779E"/>
    <w:rsid w:val="0A566F26"/>
    <w:rsid w:val="0AE63B18"/>
    <w:rsid w:val="0B666A1A"/>
    <w:rsid w:val="0C03688D"/>
    <w:rsid w:val="0CB735BE"/>
    <w:rsid w:val="0CDA7F23"/>
    <w:rsid w:val="0D0E69C7"/>
    <w:rsid w:val="0DD97248"/>
    <w:rsid w:val="0E1A53FF"/>
    <w:rsid w:val="0E867694"/>
    <w:rsid w:val="0EB80D84"/>
    <w:rsid w:val="0F376AEB"/>
    <w:rsid w:val="0F4C6905"/>
    <w:rsid w:val="0FA53294"/>
    <w:rsid w:val="1140682D"/>
    <w:rsid w:val="114A377A"/>
    <w:rsid w:val="11567462"/>
    <w:rsid w:val="11F4066D"/>
    <w:rsid w:val="124D36BE"/>
    <w:rsid w:val="13133609"/>
    <w:rsid w:val="13A42396"/>
    <w:rsid w:val="13CD2A68"/>
    <w:rsid w:val="141E40FC"/>
    <w:rsid w:val="14231C05"/>
    <w:rsid w:val="142C1EE5"/>
    <w:rsid w:val="14542B4D"/>
    <w:rsid w:val="154C034D"/>
    <w:rsid w:val="16132662"/>
    <w:rsid w:val="1685524B"/>
    <w:rsid w:val="16B6294C"/>
    <w:rsid w:val="16D80E1B"/>
    <w:rsid w:val="170B75E7"/>
    <w:rsid w:val="1717376B"/>
    <w:rsid w:val="177E17D0"/>
    <w:rsid w:val="180871F5"/>
    <w:rsid w:val="18525F2F"/>
    <w:rsid w:val="18B90B19"/>
    <w:rsid w:val="197355A0"/>
    <w:rsid w:val="197A5A94"/>
    <w:rsid w:val="198A22EF"/>
    <w:rsid w:val="19AD34C4"/>
    <w:rsid w:val="1A387736"/>
    <w:rsid w:val="1A5012A4"/>
    <w:rsid w:val="1A6077B4"/>
    <w:rsid w:val="1AD13F7F"/>
    <w:rsid w:val="1B13614E"/>
    <w:rsid w:val="1B17590A"/>
    <w:rsid w:val="1B2272AE"/>
    <w:rsid w:val="1B8A3AB5"/>
    <w:rsid w:val="1BA6118A"/>
    <w:rsid w:val="1BB87EAD"/>
    <w:rsid w:val="1C4F553D"/>
    <w:rsid w:val="1C820935"/>
    <w:rsid w:val="1D7E7821"/>
    <w:rsid w:val="1D915897"/>
    <w:rsid w:val="1E18508F"/>
    <w:rsid w:val="1E6472C5"/>
    <w:rsid w:val="1E715620"/>
    <w:rsid w:val="1EAE7E30"/>
    <w:rsid w:val="1EC22E7C"/>
    <w:rsid w:val="1F052C1B"/>
    <w:rsid w:val="1FD97F95"/>
    <w:rsid w:val="207C4A6D"/>
    <w:rsid w:val="20D844A1"/>
    <w:rsid w:val="21331B4B"/>
    <w:rsid w:val="21342262"/>
    <w:rsid w:val="214604A7"/>
    <w:rsid w:val="218B7A95"/>
    <w:rsid w:val="22111E05"/>
    <w:rsid w:val="2226541D"/>
    <w:rsid w:val="226D0E83"/>
    <w:rsid w:val="229B4D79"/>
    <w:rsid w:val="22DB6BD0"/>
    <w:rsid w:val="22E818BF"/>
    <w:rsid w:val="25490D20"/>
    <w:rsid w:val="268E4921"/>
    <w:rsid w:val="27683E19"/>
    <w:rsid w:val="27C4485C"/>
    <w:rsid w:val="27D36E3B"/>
    <w:rsid w:val="28587620"/>
    <w:rsid w:val="28756E9E"/>
    <w:rsid w:val="28787A92"/>
    <w:rsid w:val="287E231D"/>
    <w:rsid w:val="28E454C7"/>
    <w:rsid w:val="295A32BA"/>
    <w:rsid w:val="298A1CE0"/>
    <w:rsid w:val="29A555A8"/>
    <w:rsid w:val="29E408C8"/>
    <w:rsid w:val="2B4E7504"/>
    <w:rsid w:val="2B634F78"/>
    <w:rsid w:val="2C4C3D22"/>
    <w:rsid w:val="2CE11E33"/>
    <w:rsid w:val="2D444201"/>
    <w:rsid w:val="2D452214"/>
    <w:rsid w:val="2DA75C43"/>
    <w:rsid w:val="2DD0401A"/>
    <w:rsid w:val="2E0E0CC3"/>
    <w:rsid w:val="2ECA4F69"/>
    <w:rsid w:val="2ED9324D"/>
    <w:rsid w:val="2F5D5398"/>
    <w:rsid w:val="2F9B7185"/>
    <w:rsid w:val="2FC03331"/>
    <w:rsid w:val="2FD26DAC"/>
    <w:rsid w:val="2FF25846"/>
    <w:rsid w:val="30F363E2"/>
    <w:rsid w:val="312C2FED"/>
    <w:rsid w:val="3200075D"/>
    <w:rsid w:val="326057FB"/>
    <w:rsid w:val="33F038AD"/>
    <w:rsid w:val="342F062C"/>
    <w:rsid w:val="34EF0BD9"/>
    <w:rsid w:val="35B26785"/>
    <w:rsid w:val="371D4BF9"/>
    <w:rsid w:val="375D1BD1"/>
    <w:rsid w:val="37815767"/>
    <w:rsid w:val="38857C3B"/>
    <w:rsid w:val="388B2595"/>
    <w:rsid w:val="39E058CD"/>
    <w:rsid w:val="39EC48A5"/>
    <w:rsid w:val="39F02A32"/>
    <w:rsid w:val="39F05705"/>
    <w:rsid w:val="3A5F7073"/>
    <w:rsid w:val="3A944D80"/>
    <w:rsid w:val="3BD022F8"/>
    <w:rsid w:val="3BD20E4A"/>
    <w:rsid w:val="3C197A4B"/>
    <w:rsid w:val="3C1E46ED"/>
    <w:rsid w:val="3C2A06A1"/>
    <w:rsid w:val="3C570CDA"/>
    <w:rsid w:val="3C7D3142"/>
    <w:rsid w:val="3C7D5F00"/>
    <w:rsid w:val="3CA953B9"/>
    <w:rsid w:val="3CC23B18"/>
    <w:rsid w:val="3D4E1E10"/>
    <w:rsid w:val="3E361EEF"/>
    <w:rsid w:val="3E4838C1"/>
    <w:rsid w:val="3E5B43CE"/>
    <w:rsid w:val="3E6018AB"/>
    <w:rsid w:val="3FA86ECC"/>
    <w:rsid w:val="400A42C1"/>
    <w:rsid w:val="405E787C"/>
    <w:rsid w:val="410F2190"/>
    <w:rsid w:val="426A4156"/>
    <w:rsid w:val="42A91798"/>
    <w:rsid w:val="42E75D4A"/>
    <w:rsid w:val="43536B77"/>
    <w:rsid w:val="439A6C7B"/>
    <w:rsid w:val="43E102B4"/>
    <w:rsid w:val="43EF4F59"/>
    <w:rsid w:val="44A23741"/>
    <w:rsid w:val="44D6515A"/>
    <w:rsid w:val="4547372C"/>
    <w:rsid w:val="45521505"/>
    <w:rsid w:val="45D27010"/>
    <w:rsid w:val="46732B8B"/>
    <w:rsid w:val="46736B8A"/>
    <w:rsid w:val="467A2D4A"/>
    <w:rsid w:val="46E76B38"/>
    <w:rsid w:val="47201B8C"/>
    <w:rsid w:val="47EB4E24"/>
    <w:rsid w:val="48312704"/>
    <w:rsid w:val="48CB6A13"/>
    <w:rsid w:val="48FD0781"/>
    <w:rsid w:val="496C2305"/>
    <w:rsid w:val="4B6A1D40"/>
    <w:rsid w:val="4BE15355"/>
    <w:rsid w:val="4BF63192"/>
    <w:rsid w:val="4C800683"/>
    <w:rsid w:val="4D7A64A8"/>
    <w:rsid w:val="4D7E33FA"/>
    <w:rsid w:val="4DEA4540"/>
    <w:rsid w:val="4E5E62A1"/>
    <w:rsid w:val="4E7D27E4"/>
    <w:rsid w:val="4E8A2EAE"/>
    <w:rsid w:val="4F2A7571"/>
    <w:rsid w:val="4F975621"/>
    <w:rsid w:val="4FD85F36"/>
    <w:rsid w:val="501F2861"/>
    <w:rsid w:val="50F31FA7"/>
    <w:rsid w:val="5103178A"/>
    <w:rsid w:val="51167917"/>
    <w:rsid w:val="511F0948"/>
    <w:rsid w:val="51430F96"/>
    <w:rsid w:val="516451A3"/>
    <w:rsid w:val="520D090F"/>
    <w:rsid w:val="523D3EE5"/>
    <w:rsid w:val="52A42924"/>
    <w:rsid w:val="52B33741"/>
    <w:rsid w:val="52F7554F"/>
    <w:rsid w:val="53CA2624"/>
    <w:rsid w:val="54673CDD"/>
    <w:rsid w:val="551E3732"/>
    <w:rsid w:val="55423FC5"/>
    <w:rsid w:val="55485AA0"/>
    <w:rsid w:val="55C324ED"/>
    <w:rsid w:val="581D3114"/>
    <w:rsid w:val="590A4541"/>
    <w:rsid w:val="591714F4"/>
    <w:rsid w:val="59720ED4"/>
    <w:rsid w:val="59B12330"/>
    <w:rsid w:val="5A25415F"/>
    <w:rsid w:val="5A2678D5"/>
    <w:rsid w:val="5A466647"/>
    <w:rsid w:val="5B14516A"/>
    <w:rsid w:val="5B231826"/>
    <w:rsid w:val="5B2B0E7D"/>
    <w:rsid w:val="5B4B592A"/>
    <w:rsid w:val="5B8617BB"/>
    <w:rsid w:val="5C6830B1"/>
    <w:rsid w:val="5D281E21"/>
    <w:rsid w:val="5D772D65"/>
    <w:rsid w:val="5D863827"/>
    <w:rsid w:val="5D8E1FDA"/>
    <w:rsid w:val="5DC6098F"/>
    <w:rsid w:val="5DF636B0"/>
    <w:rsid w:val="5E12555A"/>
    <w:rsid w:val="5E301E63"/>
    <w:rsid w:val="5EED0AA0"/>
    <w:rsid w:val="5F0E53C6"/>
    <w:rsid w:val="5F837CED"/>
    <w:rsid w:val="5FCD73F5"/>
    <w:rsid w:val="606717D1"/>
    <w:rsid w:val="606D67EF"/>
    <w:rsid w:val="607F268F"/>
    <w:rsid w:val="609A40D5"/>
    <w:rsid w:val="60C93946"/>
    <w:rsid w:val="61BD7C1D"/>
    <w:rsid w:val="61C54F91"/>
    <w:rsid w:val="62844150"/>
    <w:rsid w:val="62B25505"/>
    <w:rsid w:val="62C110DC"/>
    <w:rsid w:val="62D82984"/>
    <w:rsid w:val="632D50FA"/>
    <w:rsid w:val="63621F58"/>
    <w:rsid w:val="63BA530C"/>
    <w:rsid w:val="63D86902"/>
    <w:rsid w:val="642C068D"/>
    <w:rsid w:val="64B4760E"/>
    <w:rsid w:val="65C3289E"/>
    <w:rsid w:val="65C87077"/>
    <w:rsid w:val="66E7738B"/>
    <w:rsid w:val="67336D57"/>
    <w:rsid w:val="679072B6"/>
    <w:rsid w:val="68410BF5"/>
    <w:rsid w:val="68C26BFF"/>
    <w:rsid w:val="69197370"/>
    <w:rsid w:val="698701A9"/>
    <w:rsid w:val="69C2406B"/>
    <w:rsid w:val="6B5710E7"/>
    <w:rsid w:val="6B927F7E"/>
    <w:rsid w:val="6BB852EA"/>
    <w:rsid w:val="6BE777CC"/>
    <w:rsid w:val="6C1866A7"/>
    <w:rsid w:val="6CCE1091"/>
    <w:rsid w:val="6D24498F"/>
    <w:rsid w:val="6E976658"/>
    <w:rsid w:val="6F085B5D"/>
    <w:rsid w:val="6F560D67"/>
    <w:rsid w:val="6FAE0A32"/>
    <w:rsid w:val="709E6DEA"/>
    <w:rsid w:val="726C76EC"/>
    <w:rsid w:val="72D55BE6"/>
    <w:rsid w:val="733D58D1"/>
    <w:rsid w:val="73520C26"/>
    <w:rsid w:val="735213FB"/>
    <w:rsid w:val="737562E3"/>
    <w:rsid w:val="738C34F1"/>
    <w:rsid w:val="74026033"/>
    <w:rsid w:val="7421709B"/>
    <w:rsid w:val="745F61CD"/>
    <w:rsid w:val="74E23967"/>
    <w:rsid w:val="75CD590C"/>
    <w:rsid w:val="76555285"/>
    <w:rsid w:val="76775D37"/>
    <w:rsid w:val="768D6657"/>
    <w:rsid w:val="76E36056"/>
    <w:rsid w:val="770E10EA"/>
    <w:rsid w:val="774D1284"/>
    <w:rsid w:val="775655CD"/>
    <w:rsid w:val="77C32A61"/>
    <w:rsid w:val="78436737"/>
    <w:rsid w:val="78461CCA"/>
    <w:rsid w:val="78937EC9"/>
    <w:rsid w:val="794B0DE9"/>
    <w:rsid w:val="798D6F09"/>
    <w:rsid w:val="7A0920E9"/>
    <w:rsid w:val="7A304274"/>
    <w:rsid w:val="7A36195D"/>
    <w:rsid w:val="7A8631DD"/>
    <w:rsid w:val="7B5164AB"/>
    <w:rsid w:val="7BEE79AE"/>
    <w:rsid w:val="7C25400E"/>
    <w:rsid w:val="7D191B6F"/>
    <w:rsid w:val="7D2C4630"/>
    <w:rsid w:val="7D844753"/>
    <w:rsid w:val="7D852686"/>
    <w:rsid w:val="7DA37D4D"/>
    <w:rsid w:val="7DDB3F75"/>
    <w:rsid w:val="7E79299C"/>
    <w:rsid w:val="7F055171"/>
    <w:rsid w:val="7F682F76"/>
    <w:rsid w:val="7FDC4B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name="toa heading"/>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24" w:lineRule="auto"/>
      <w:jc w:val="both"/>
    </w:pPr>
    <w:rPr>
      <w:rFonts w:ascii="Arial Unicode MS" w:hAnsi="Arial Unicode MS" w:eastAsia="宋体" w:cs="Arial Unicode MS"/>
      <w:kern w:val="2"/>
      <w:sz w:val="21"/>
      <w:szCs w:val="24"/>
      <w:lang w:val="en-US" w:eastAsia="zh-CN" w:bidi="ar-SA"/>
    </w:rPr>
  </w:style>
  <w:style w:type="paragraph" w:styleId="3">
    <w:name w:val="heading 1"/>
    <w:basedOn w:val="1"/>
    <w:next w:val="1"/>
    <w:link w:val="49"/>
    <w:qFormat/>
    <w:uiPriority w:val="99"/>
    <w:pPr>
      <w:keepNext/>
      <w:outlineLvl w:val="0"/>
    </w:pPr>
    <w:rPr>
      <w:rFonts w:ascii="Verdana" w:hAnsi="Arial" w:eastAsia="Times New Roman" w:cs="Times New Roman"/>
      <w:b/>
      <w:kern w:val="0"/>
      <w:sz w:val="32"/>
    </w:rPr>
  </w:style>
  <w:style w:type="paragraph" w:styleId="4">
    <w:name w:val="heading 2"/>
    <w:basedOn w:val="1"/>
    <w:next w:val="1"/>
    <w:link w:val="50"/>
    <w:qFormat/>
    <w:uiPriority w:val="99"/>
    <w:pPr>
      <w:keepNext/>
      <w:keepLines/>
      <w:widowControl/>
      <w:spacing w:before="260" w:after="260"/>
      <w:ind w:left="284"/>
      <w:jc w:val="left"/>
      <w:outlineLvl w:val="1"/>
    </w:pPr>
    <w:rPr>
      <w:rFonts w:ascii="Wingdings" w:hAnsi="Wingdings" w:cs="Times New Roman"/>
      <w:b/>
      <w:bCs/>
      <w:kern w:val="0"/>
      <w:sz w:val="28"/>
      <w:szCs w:val="32"/>
    </w:rPr>
  </w:style>
  <w:style w:type="paragraph" w:styleId="5">
    <w:name w:val="heading 3"/>
    <w:basedOn w:val="1"/>
    <w:next w:val="1"/>
    <w:link w:val="51"/>
    <w:qFormat/>
    <w:uiPriority w:val="99"/>
    <w:pPr>
      <w:keepNext/>
      <w:spacing w:beforeLines="200" w:line="400" w:lineRule="exact"/>
      <w:jc w:val="center"/>
      <w:outlineLvl w:val="2"/>
    </w:pPr>
    <w:rPr>
      <w:rFonts w:cs="Times New Roman"/>
      <w:b/>
      <w:bCs/>
      <w:kern w:val="0"/>
      <w:sz w:val="20"/>
    </w:rPr>
  </w:style>
  <w:style w:type="paragraph" w:styleId="6">
    <w:name w:val="heading 4"/>
    <w:basedOn w:val="1"/>
    <w:next w:val="1"/>
    <w:link w:val="52"/>
    <w:qFormat/>
    <w:uiPriority w:val="99"/>
    <w:pPr>
      <w:keepNext/>
      <w:keepLines/>
      <w:tabs>
        <w:tab w:val="left" w:pos="864"/>
      </w:tabs>
      <w:spacing w:before="120" w:line="360" w:lineRule="auto"/>
      <w:ind w:left="864" w:hanging="864"/>
      <w:outlineLvl w:val="3"/>
    </w:pPr>
    <w:rPr>
      <w:rFonts w:ascii="Wingdings" w:hAnsi="Wingdings" w:cs="Times New Roman"/>
      <w:bCs/>
      <w:kern w:val="0"/>
      <w:sz w:val="20"/>
      <w:szCs w:val="28"/>
    </w:rPr>
  </w:style>
  <w:style w:type="paragraph" w:styleId="7">
    <w:name w:val="heading 5"/>
    <w:basedOn w:val="1"/>
    <w:next w:val="1"/>
    <w:link w:val="53"/>
    <w:qFormat/>
    <w:uiPriority w:val="99"/>
    <w:pPr>
      <w:keepNext/>
      <w:keepLines/>
      <w:tabs>
        <w:tab w:val="left" w:pos="1008"/>
        <w:tab w:val="left" w:pos="1218"/>
      </w:tabs>
      <w:spacing w:before="60" w:line="360" w:lineRule="auto"/>
      <w:ind w:left="1008" w:hanging="1008"/>
      <w:outlineLvl w:val="4"/>
    </w:pPr>
    <w:rPr>
      <w:rFonts w:ascii="Symbol" w:hAnsi="Symbol" w:cs="Times New Roman"/>
      <w:bCs/>
      <w:kern w:val="0"/>
      <w:sz w:val="20"/>
    </w:rPr>
  </w:style>
  <w:style w:type="paragraph" w:styleId="8">
    <w:name w:val="heading 6"/>
    <w:basedOn w:val="1"/>
    <w:next w:val="1"/>
    <w:link w:val="54"/>
    <w:qFormat/>
    <w:uiPriority w:val="99"/>
    <w:pPr>
      <w:keepNext/>
      <w:keepLines/>
      <w:tabs>
        <w:tab w:val="left" w:pos="1152"/>
      </w:tabs>
      <w:spacing w:before="60" w:line="360" w:lineRule="auto"/>
      <w:ind w:left="1152" w:hanging="1152"/>
      <w:outlineLvl w:val="5"/>
    </w:pPr>
    <w:rPr>
      <w:rFonts w:ascii="Symbol" w:hAnsi="Symbol" w:cs="Times New Roman"/>
      <w:bCs/>
      <w:kern w:val="0"/>
      <w:sz w:val="20"/>
    </w:rPr>
  </w:style>
  <w:style w:type="paragraph" w:styleId="9">
    <w:name w:val="heading 7"/>
    <w:basedOn w:val="1"/>
    <w:next w:val="1"/>
    <w:link w:val="55"/>
    <w:qFormat/>
    <w:uiPriority w:val="99"/>
    <w:pPr>
      <w:keepNext/>
      <w:tabs>
        <w:tab w:val="left" w:pos="1296"/>
      </w:tabs>
      <w:autoSpaceDE w:val="0"/>
      <w:autoSpaceDN w:val="0"/>
      <w:adjustRightInd w:val="0"/>
      <w:spacing w:line="288" w:lineRule="auto"/>
      <w:ind w:left="1296" w:hanging="1296"/>
      <w:outlineLvl w:val="6"/>
    </w:pPr>
    <w:rPr>
      <w:rFonts w:ascii="Wingdings" w:hAnsi="Wingdings" w:cs="Times New Roman"/>
      <w:b/>
      <w:color w:val="000000"/>
      <w:kern w:val="0"/>
      <w:sz w:val="15"/>
    </w:rPr>
  </w:style>
  <w:style w:type="paragraph" w:styleId="10">
    <w:name w:val="heading 8"/>
    <w:basedOn w:val="1"/>
    <w:next w:val="1"/>
    <w:link w:val="56"/>
    <w:qFormat/>
    <w:uiPriority w:val="99"/>
    <w:pPr>
      <w:keepNext/>
      <w:tabs>
        <w:tab w:val="left" w:pos="1440"/>
      </w:tabs>
      <w:spacing w:line="360" w:lineRule="auto"/>
      <w:ind w:left="1440" w:hanging="1440"/>
      <w:outlineLvl w:val="7"/>
    </w:pPr>
    <w:rPr>
      <w:rFonts w:ascii="Verdana" w:eastAsia="Times New Roman" w:cs="Times New Roman"/>
      <w:b/>
      <w:kern w:val="0"/>
      <w:sz w:val="20"/>
    </w:rPr>
  </w:style>
  <w:style w:type="paragraph" w:styleId="11">
    <w:name w:val="heading 9"/>
    <w:basedOn w:val="1"/>
    <w:next w:val="1"/>
    <w:link w:val="57"/>
    <w:qFormat/>
    <w:uiPriority w:val="99"/>
    <w:pPr>
      <w:keepNext/>
      <w:keepLines/>
      <w:tabs>
        <w:tab w:val="left" w:pos="1584"/>
      </w:tabs>
      <w:spacing w:before="240" w:after="64" w:line="320" w:lineRule="auto"/>
      <w:ind w:left="1584" w:hanging="1584"/>
      <w:outlineLvl w:val="8"/>
    </w:pPr>
    <w:rPr>
      <w:rFonts w:ascii="Wingdings" w:hAnsi="Wingdings" w:eastAsia="微软雅黑" w:cs="Times New Roman"/>
      <w:kern w:val="0"/>
      <w:sz w:val="20"/>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82"/>
    <w:qFormat/>
    <w:uiPriority w:val="99"/>
    <w:pPr>
      <w:ind w:firstLine="420" w:firstLineChars="200"/>
    </w:pPr>
    <w:rPr>
      <w:rFonts w:eastAsia="微软雅黑" w:cs="Times New Roman"/>
      <w:kern w:val="0"/>
      <w:sz w:val="24"/>
      <w:szCs w:val="20"/>
    </w:rPr>
  </w:style>
  <w:style w:type="paragraph" w:styleId="12">
    <w:name w:val="toc 7"/>
    <w:basedOn w:val="1"/>
    <w:next w:val="1"/>
    <w:qFormat/>
    <w:uiPriority w:val="99"/>
    <w:pPr>
      <w:spacing w:line="240" w:lineRule="auto"/>
      <w:ind w:left="2520" w:leftChars="1200"/>
    </w:pPr>
    <w:rPr>
      <w:rFonts w:ascii="Cambria" w:hAnsi="Cambria"/>
      <w:szCs w:val="22"/>
    </w:rPr>
  </w:style>
  <w:style w:type="paragraph" w:styleId="13">
    <w:name w:val="caption"/>
    <w:basedOn w:val="1"/>
    <w:next w:val="1"/>
    <w:link w:val="94"/>
    <w:qFormat/>
    <w:uiPriority w:val="99"/>
    <w:pPr>
      <w:spacing w:before="152" w:after="160"/>
    </w:pPr>
    <w:rPr>
      <w:rFonts w:ascii="Wingdings" w:hAnsi="Wingdings" w:eastAsia="微软雅黑" w:cs="Times New Roman"/>
      <w:kern w:val="0"/>
      <w:sz w:val="20"/>
      <w:szCs w:val="20"/>
    </w:rPr>
  </w:style>
  <w:style w:type="paragraph" w:styleId="14">
    <w:name w:val="Document Map"/>
    <w:basedOn w:val="1"/>
    <w:link w:val="59"/>
    <w:qFormat/>
    <w:uiPriority w:val="99"/>
    <w:pPr>
      <w:shd w:val="clear" w:color="auto" w:fill="000080"/>
    </w:pPr>
    <w:rPr>
      <w:rFonts w:eastAsia="微软雅黑" w:cs="Times New Roman"/>
      <w:kern w:val="0"/>
      <w:sz w:val="20"/>
    </w:rPr>
  </w:style>
  <w:style w:type="paragraph" w:styleId="15">
    <w:name w:val="toa heading"/>
    <w:basedOn w:val="1"/>
    <w:next w:val="1"/>
    <w:semiHidden/>
    <w:qFormat/>
    <w:uiPriority w:val="99"/>
    <w:pPr>
      <w:spacing w:before="120"/>
    </w:pPr>
    <w:rPr>
      <w:rFonts w:ascii="Cambria" w:hAnsi="Cambria" w:cs="Times New Roman"/>
      <w:sz w:val="24"/>
    </w:rPr>
  </w:style>
  <w:style w:type="paragraph" w:styleId="16">
    <w:name w:val="annotation text"/>
    <w:basedOn w:val="1"/>
    <w:link w:val="60"/>
    <w:qFormat/>
    <w:uiPriority w:val="99"/>
    <w:pPr>
      <w:jc w:val="left"/>
    </w:pPr>
  </w:style>
  <w:style w:type="paragraph" w:styleId="17">
    <w:name w:val="Body Text"/>
    <w:basedOn w:val="1"/>
    <w:next w:val="1"/>
    <w:link w:val="58"/>
    <w:qFormat/>
    <w:uiPriority w:val="99"/>
    <w:rPr>
      <w:rFonts w:eastAsia="微软雅黑" w:cs="Times New Roman"/>
      <w:color w:val="993300"/>
      <w:kern w:val="0"/>
      <w:sz w:val="24"/>
    </w:rPr>
  </w:style>
  <w:style w:type="paragraph" w:styleId="18">
    <w:name w:val="Body Text Indent"/>
    <w:basedOn w:val="1"/>
    <w:link w:val="61"/>
    <w:qFormat/>
    <w:uiPriority w:val="99"/>
    <w:pPr>
      <w:ind w:firstLine="480"/>
    </w:pPr>
    <w:rPr>
      <w:rFonts w:ascii="Arial" w:hAnsi="Arial" w:eastAsia="微软雅黑" w:cs="Times New Roman"/>
      <w:kern w:val="0"/>
      <w:sz w:val="20"/>
    </w:rPr>
  </w:style>
  <w:style w:type="paragraph" w:styleId="19">
    <w:name w:val="toc 5"/>
    <w:basedOn w:val="1"/>
    <w:next w:val="1"/>
    <w:qFormat/>
    <w:uiPriority w:val="99"/>
    <w:pPr>
      <w:spacing w:line="240" w:lineRule="auto"/>
      <w:ind w:left="1680" w:leftChars="800"/>
    </w:pPr>
    <w:rPr>
      <w:rFonts w:ascii="Cambria" w:hAnsi="Cambria"/>
      <w:szCs w:val="22"/>
    </w:rPr>
  </w:style>
  <w:style w:type="paragraph" w:styleId="20">
    <w:name w:val="toc 3"/>
    <w:basedOn w:val="1"/>
    <w:next w:val="1"/>
    <w:qFormat/>
    <w:uiPriority w:val="99"/>
    <w:pPr>
      <w:ind w:left="840" w:leftChars="400"/>
    </w:pPr>
  </w:style>
  <w:style w:type="paragraph" w:styleId="21">
    <w:name w:val="Plain Text"/>
    <w:basedOn w:val="1"/>
    <w:link w:val="62"/>
    <w:qFormat/>
    <w:uiPriority w:val="99"/>
    <w:rPr>
      <w:rFonts w:ascii="Arial" w:hAnsi="仿宋" w:cs="仿宋"/>
      <w:szCs w:val="21"/>
    </w:rPr>
  </w:style>
  <w:style w:type="paragraph" w:styleId="22">
    <w:name w:val="toc 8"/>
    <w:basedOn w:val="1"/>
    <w:next w:val="1"/>
    <w:qFormat/>
    <w:uiPriority w:val="99"/>
    <w:pPr>
      <w:spacing w:line="240" w:lineRule="auto"/>
      <w:ind w:left="2940" w:leftChars="1400"/>
    </w:pPr>
    <w:rPr>
      <w:rFonts w:ascii="Cambria" w:hAnsi="Cambria"/>
      <w:szCs w:val="22"/>
    </w:rPr>
  </w:style>
  <w:style w:type="paragraph" w:styleId="23">
    <w:name w:val="Date"/>
    <w:basedOn w:val="1"/>
    <w:next w:val="1"/>
    <w:link w:val="63"/>
    <w:qFormat/>
    <w:uiPriority w:val="99"/>
    <w:pPr>
      <w:spacing w:line="360" w:lineRule="auto"/>
    </w:pPr>
    <w:rPr>
      <w:rFonts w:ascii="Arial" w:eastAsia="微软雅黑" w:cs="Times New Roman"/>
      <w:kern w:val="0"/>
      <w:sz w:val="24"/>
      <w:szCs w:val="20"/>
    </w:rPr>
  </w:style>
  <w:style w:type="paragraph" w:styleId="24">
    <w:name w:val="Body Text Indent 2"/>
    <w:basedOn w:val="1"/>
    <w:link w:val="64"/>
    <w:qFormat/>
    <w:uiPriority w:val="99"/>
    <w:pPr>
      <w:spacing w:after="120" w:line="480" w:lineRule="auto"/>
      <w:ind w:left="420" w:leftChars="200"/>
    </w:pPr>
    <w:rPr>
      <w:rFonts w:eastAsia="微软雅黑" w:cs="Times New Roman"/>
      <w:kern w:val="0"/>
      <w:sz w:val="20"/>
    </w:rPr>
  </w:style>
  <w:style w:type="paragraph" w:styleId="25">
    <w:name w:val="Balloon Text"/>
    <w:basedOn w:val="1"/>
    <w:link w:val="65"/>
    <w:qFormat/>
    <w:uiPriority w:val="99"/>
    <w:rPr>
      <w:rFonts w:eastAsia="微软雅黑" w:cs="Times New Roman"/>
      <w:kern w:val="0"/>
      <w:sz w:val="18"/>
      <w:szCs w:val="18"/>
    </w:rPr>
  </w:style>
  <w:style w:type="paragraph" w:styleId="26">
    <w:name w:val="footer"/>
    <w:basedOn w:val="1"/>
    <w:link w:val="66"/>
    <w:qFormat/>
    <w:uiPriority w:val="99"/>
    <w:pPr>
      <w:tabs>
        <w:tab w:val="center" w:pos="4153"/>
        <w:tab w:val="right" w:pos="8306"/>
      </w:tabs>
      <w:snapToGrid w:val="0"/>
      <w:jc w:val="left"/>
    </w:pPr>
    <w:rPr>
      <w:sz w:val="18"/>
      <w:szCs w:val="18"/>
    </w:rPr>
  </w:style>
  <w:style w:type="paragraph" w:styleId="27">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99"/>
  </w:style>
  <w:style w:type="paragraph" w:styleId="29">
    <w:name w:val="toc 4"/>
    <w:basedOn w:val="1"/>
    <w:next w:val="1"/>
    <w:qFormat/>
    <w:uiPriority w:val="99"/>
    <w:pPr>
      <w:spacing w:line="240" w:lineRule="auto"/>
      <w:ind w:left="1260" w:leftChars="600"/>
    </w:pPr>
    <w:rPr>
      <w:rFonts w:ascii="Cambria" w:hAnsi="Cambria"/>
      <w:szCs w:val="22"/>
    </w:rPr>
  </w:style>
  <w:style w:type="paragraph" w:styleId="30">
    <w:name w:val="Subtitle"/>
    <w:basedOn w:val="1"/>
    <w:next w:val="1"/>
    <w:link w:val="68"/>
    <w:qFormat/>
    <w:uiPriority w:val="99"/>
    <w:pPr>
      <w:spacing w:before="240" w:after="60" w:line="312" w:lineRule="auto"/>
      <w:jc w:val="center"/>
      <w:outlineLvl w:val="1"/>
    </w:pPr>
    <w:rPr>
      <w:rFonts w:ascii="等线 Light" w:hAnsi="Times New Roman" w:eastAsia="等线 Light" w:cs="Times New Roman"/>
      <w:b/>
      <w:bCs/>
      <w:kern w:val="28"/>
      <w:sz w:val="32"/>
      <w:szCs w:val="32"/>
    </w:rPr>
  </w:style>
  <w:style w:type="paragraph" w:styleId="31">
    <w:name w:val="toc 6"/>
    <w:basedOn w:val="1"/>
    <w:next w:val="1"/>
    <w:qFormat/>
    <w:uiPriority w:val="99"/>
    <w:pPr>
      <w:spacing w:line="240" w:lineRule="auto"/>
      <w:ind w:left="2100" w:leftChars="1000"/>
    </w:pPr>
    <w:rPr>
      <w:rFonts w:ascii="Cambria" w:hAnsi="Cambria"/>
      <w:szCs w:val="22"/>
    </w:rPr>
  </w:style>
  <w:style w:type="paragraph" w:styleId="32">
    <w:name w:val="Body Text Indent 3"/>
    <w:basedOn w:val="1"/>
    <w:link w:val="69"/>
    <w:qFormat/>
    <w:uiPriority w:val="99"/>
    <w:pPr>
      <w:spacing w:after="120"/>
      <w:ind w:left="420" w:leftChars="200"/>
    </w:pPr>
    <w:rPr>
      <w:rFonts w:eastAsia="微软雅黑" w:cs="Times New Roman"/>
      <w:kern w:val="0"/>
      <w:sz w:val="16"/>
      <w:szCs w:val="16"/>
    </w:rPr>
  </w:style>
  <w:style w:type="paragraph" w:styleId="33">
    <w:name w:val="toc 2"/>
    <w:basedOn w:val="1"/>
    <w:next w:val="1"/>
    <w:qFormat/>
    <w:uiPriority w:val="99"/>
    <w:pPr>
      <w:ind w:left="420" w:leftChars="200"/>
    </w:pPr>
  </w:style>
  <w:style w:type="paragraph" w:styleId="34">
    <w:name w:val="toc 9"/>
    <w:basedOn w:val="1"/>
    <w:next w:val="1"/>
    <w:qFormat/>
    <w:uiPriority w:val="99"/>
    <w:pPr>
      <w:spacing w:line="240" w:lineRule="auto"/>
      <w:ind w:left="3360" w:leftChars="1600"/>
    </w:pPr>
    <w:rPr>
      <w:rFonts w:ascii="Cambria" w:hAnsi="Cambria"/>
      <w:szCs w:val="22"/>
    </w:rPr>
  </w:style>
  <w:style w:type="paragraph" w:styleId="35">
    <w:name w:val="Body Text 2"/>
    <w:basedOn w:val="1"/>
    <w:link w:val="70"/>
    <w:qFormat/>
    <w:uiPriority w:val="99"/>
    <w:pPr>
      <w:spacing w:after="120" w:line="480" w:lineRule="auto"/>
    </w:pPr>
  </w:style>
  <w:style w:type="paragraph" w:styleId="36">
    <w:name w:val="Normal (Web)"/>
    <w:basedOn w:val="1"/>
    <w:qFormat/>
    <w:uiPriority w:val="99"/>
    <w:pPr>
      <w:widowControl/>
      <w:spacing w:before="100" w:beforeAutospacing="1" w:after="100" w:afterAutospacing="1" w:line="240" w:lineRule="auto"/>
      <w:jc w:val="left"/>
    </w:pPr>
    <w:rPr>
      <w:rFonts w:ascii="Arial" w:hAnsi="Arial" w:cs="Arial"/>
      <w:kern w:val="0"/>
      <w:sz w:val="24"/>
    </w:rPr>
  </w:style>
  <w:style w:type="paragraph" w:styleId="37">
    <w:name w:val="Title"/>
    <w:basedOn w:val="1"/>
    <w:next w:val="1"/>
    <w:link w:val="71"/>
    <w:qFormat/>
    <w:uiPriority w:val="99"/>
    <w:pPr>
      <w:spacing w:before="240" w:after="60"/>
      <w:jc w:val="center"/>
      <w:outlineLvl w:val="0"/>
    </w:pPr>
    <w:rPr>
      <w:rFonts w:ascii="等线 Light" w:hAnsi="Times New Roman" w:eastAsia="等线 Light" w:cs="Times New Roman"/>
      <w:b/>
      <w:bCs/>
      <w:kern w:val="0"/>
      <w:sz w:val="32"/>
      <w:szCs w:val="32"/>
    </w:rPr>
  </w:style>
  <w:style w:type="paragraph" w:styleId="38">
    <w:name w:val="annotation subject"/>
    <w:basedOn w:val="16"/>
    <w:next w:val="16"/>
    <w:link w:val="72"/>
    <w:qFormat/>
    <w:uiPriority w:val="99"/>
    <w:rPr>
      <w:rFonts w:eastAsia="微软雅黑" w:cs="Times New Roman"/>
      <w:b/>
      <w:bCs/>
      <w:kern w:val="0"/>
      <w:sz w:val="20"/>
    </w:rPr>
  </w:style>
  <w:style w:type="paragraph" w:styleId="39">
    <w:name w:val="Body Text First Indent"/>
    <w:basedOn w:val="17"/>
    <w:link w:val="73"/>
    <w:qFormat/>
    <w:uiPriority w:val="99"/>
    <w:pPr>
      <w:spacing w:after="120" w:line="240" w:lineRule="auto"/>
      <w:ind w:firstLine="420" w:firstLineChars="100"/>
    </w:pPr>
    <w:rPr>
      <w:rFonts w:ascii="Calibri" w:hAnsi="Calibri"/>
      <w:sz w:val="18"/>
      <w:szCs w:val="18"/>
    </w:rPr>
  </w:style>
  <w:style w:type="table" w:styleId="41">
    <w:name w:val="Table Grid"/>
    <w:basedOn w:val="40"/>
    <w:qFormat/>
    <w:uiPriority w:val="99"/>
    <w:rPr>
      <w:rFonts w:ascii="Arial Unicode MS" w:hAnsi="Arial Unicode MS" w:cs="Arial Unicode M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basedOn w:val="42"/>
    <w:qFormat/>
    <w:uiPriority w:val="99"/>
    <w:rPr>
      <w:rFonts w:cs="Times New Roman"/>
      <w:b/>
    </w:rPr>
  </w:style>
  <w:style w:type="character" w:styleId="44">
    <w:name w:val="page number"/>
    <w:basedOn w:val="42"/>
    <w:qFormat/>
    <w:uiPriority w:val="99"/>
    <w:rPr>
      <w:rFonts w:cs="Times New Roman"/>
    </w:rPr>
  </w:style>
  <w:style w:type="character" w:styleId="45">
    <w:name w:val="FollowedHyperlink"/>
    <w:basedOn w:val="42"/>
    <w:qFormat/>
    <w:uiPriority w:val="99"/>
    <w:rPr>
      <w:rFonts w:cs="Times New Roman"/>
      <w:color w:val="800080"/>
      <w:u w:val="single"/>
    </w:rPr>
  </w:style>
  <w:style w:type="character" w:styleId="46">
    <w:name w:val="Emphasis"/>
    <w:basedOn w:val="42"/>
    <w:qFormat/>
    <w:uiPriority w:val="99"/>
    <w:rPr>
      <w:rFonts w:cs="Times New Roman"/>
      <w:i/>
    </w:rPr>
  </w:style>
  <w:style w:type="character" w:styleId="47">
    <w:name w:val="Hyperlink"/>
    <w:basedOn w:val="42"/>
    <w:qFormat/>
    <w:uiPriority w:val="99"/>
    <w:rPr>
      <w:rFonts w:cs="Times New Roman"/>
      <w:color w:val="0000FF"/>
      <w:u w:val="single"/>
    </w:rPr>
  </w:style>
  <w:style w:type="character" w:styleId="48">
    <w:name w:val="annotation reference"/>
    <w:basedOn w:val="42"/>
    <w:qFormat/>
    <w:uiPriority w:val="99"/>
    <w:rPr>
      <w:rFonts w:cs="Times New Roman"/>
      <w:sz w:val="21"/>
    </w:rPr>
  </w:style>
  <w:style w:type="character" w:customStyle="1" w:styleId="49">
    <w:name w:val="标题 1 Char"/>
    <w:basedOn w:val="42"/>
    <w:link w:val="3"/>
    <w:qFormat/>
    <w:locked/>
    <w:uiPriority w:val="99"/>
    <w:rPr>
      <w:rFonts w:ascii="Verdana" w:hAnsi="Arial" w:eastAsia="Times New Roman" w:cs="Times New Roman"/>
      <w:b/>
      <w:kern w:val="0"/>
      <w:sz w:val="24"/>
      <w:szCs w:val="24"/>
    </w:rPr>
  </w:style>
  <w:style w:type="character" w:customStyle="1" w:styleId="50">
    <w:name w:val="标题 2 Char"/>
    <w:basedOn w:val="42"/>
    <w:link w:val="4"/>
    <w:qFormat/>
    <w:locked/>
    <w:uiPriority w:val="99"/>
    <w:rPr>
      <w:rFonts w:ascii="Wingdings" w:hAnsi="Wingdings" w:eastAsia="宋体" w:cs="Times New Roman"/>
      <w:b/>
      <w:bCs/>
      <w:kern w:val="0"/>
      <w:sz w:val="32"/>
      <w:szCs w:val="32"/>
    </w:rPr>
  </w:style>
  <w:style w:type="character" w:customStyle="1" w:styleId="51">
    <w:name w:val="标题 3 Char"/>
    <w:basedOn w:val="42"/>
    <w:link w:val="5"/>
    <w:qFormat/>
    <w:locked/>
    <w:uiPriority w:val="99"/>
    <w:rPr>
      <w:rFonts w:ascii="Arial Unicode MS" w:hAnsi="Arial Unicode MS" w:eastAsia="宋体" w:cs="Times New Roman"/>
      <w:b/>
      <w:bCs/>
      <w:kern w:val="0"/>
      <w:sz w:val="24"/>
      <w:szCs w:val="24"/>
    </w:rPr>
  </w:style>
  <w:style w:type="character" w:customStyle="1" w:styleId="52">
    <w:name w:val="标题 4 Char"/>
    <w:basedOn w:val="42"/>
    <w:link w:val="6"/>
    <w:qFormat/>
    <w:locked/>
    <w:uiPriority w:val="99"/>
    <w:rPr>
      <w:rFonts w:ascii="Wingdings" w:hAnsi="Wingdings" w:eastAsia="宋体" w:cs="Times New Roman"/>
      <w:bCs/>
      <w:kern w:val="0"/>
      <w:sz w:val="28"/>
      <w:szCs w:val="28"/>
    </w:rPr>
  </w:style>
  <w:style w:type="character" w:customStyle="1" w:styleId="53">
    <w:name w:val="标题 5 Char"/>
    <w:basedOn w:val="42"/>
    <w:link w:val="7"/>
    <w:qFormat/>
    <w:locked/>
    <w:uiPriority w:val="99"/>
    <w:rPr>
      <w:rFonts w:ascii="Symbol" w:hAnsi="Symbol" w:eastAsia="宋体" w:cs="Times New Roman"/>
      <w:bCs/>
      <w:kern w:val="0"/>
      <w:sz w:val="24"/>
      <w:szCs w:val="24"/>
    </w:rPr>
  </w:style>
  <w:style w:type="character" w:customStyle="1" w:styleId="54">
    <w:name w:val="标题 6 Char"/>
    <w:basedOn w:val="42"/>
    <w:link w:val="8"/>
    <w:qFormat/>
    <w:locked/>
    <w:uiPriority w:val="99"/>
    <w:rPr>
      <w:rFonts w:ascii="Symbol" w:hAnsi="Symbol" w:eastAsia="宋体" w:cs="Times New Roman"/>
      <w:bCs/>
      <w:kern w:val="0"/>
      <w:sz w:val="24"/>
      <w:szCs w:val="24"/>
    </w:rPr>
  </w:style>
  <w:style w:type="character" w:customStyle="1" w:styleId="55">
    <w:name w:val="标题 7 Char"/>
    <w:basedOn w:val="42"/>
    <w:link w:val="9"/>
    <w:qFormat/>
    <w:locked/>
    <w:uiPriority w:val="99"/>
    <w:rPr>
      <w:rFonts w:ascii="Wingdings" w:hAnsi="Wingdings" w:eastAsia="宋体" w:cs="Times New Roman"/>
      <w:b/>
      <w:color w:val="000000"/>
      <w:kern w:val="0"/>
      <w:sz w:val="24"/>
      <w:szCs w:val="24"/>
    </w:rPr>
  </w:style>
  <w:style w:type="character" w:customStyle="1" w:styleId="56">
    <w:name w:val="标题 8 Char"/>
    <w:basedOn w:val="42"/>
    <w:link w:val="10"/>
    <w:qFormat/>
    <w:locked/>
    <w:uiPriority w:val="99"/>
    <w:rPr>
      <w:rFonts w:ascii="Verdana" w:hAnsi="Arial Unicode MS" w:eastAsia="Times New Roman" w:cs="Times New Roman"/>
      <w:b/>
      <w:kern w:val="0"/>
      <w:sz w:val="24"/>
      <w:szCs w:val="24"/>
    </w:rPr>
  </w:style>
  <w:style w:type="character" w:customStyle="1" w:styleId="57">
    <w:name w:val="标题 9 Char"/>
    <w:basedOn w:val="42"/>
    <w:link w:val="11"/>
    <w:qFormat/>
    <w:locked/>
    <w:uiPriority w:val="99"/>
    <w:rPr>
      <w:rFonts w:ascii="Wingdings" w:hAnsi="Wingdings" w:cs="Times New Roman"/>
      <w:kern w:val="0"/>
      <w:sz w:val="21"/>
      <w:szCs w:val="21"/>
    </w:rPr>
  </w:style>
  <w:style w:type="character" w:customStyle="1" w:styleId="58">
    <w:name w:val="正文文本 Char"/>
    <w:basedOn w:val="42"/>
    <w:link w:val="17"/>
    <w:qFormat/>
    <w:locked/>
    <w:uiPriority w:val="99"/>
    <w:rPr>
      <w:rFonts w:ascii="Arial Unicode MS" w:hAnsi="Arial Unicode MS" w:cs="Times New Roman"/>
      <w:color w:val="993300"/>
      <w:sz w:val="24"/>
    </w:rPr>
  </w:style>
  <w:style w:type="character" w:customStyle="1" w:styleId="59">
    <w:name w:val="文档结构图 Char"/>
    <w:basedOn w:val="42"/>
    <w:link w:val="14"/>
    <w:qFormat/>
    <w:locked/>
    <w:uiPriority w:val="99"/>
    <w:rPr>
      <w:rFonts w:ascii="Arial Unicode MS" w:hAnsi="Arial Unicode MS" w:cs="Times New Roman"/>
      <w:sz w:val="24"/>
      <w:shd w:val="clear" w:color="auto" w:fill="000080"/>
    </w:rPr>
  </w:style>
  <w:style w:type="character" w:customStyle="1" w:styleId="60">
    <w:name w:val="批注文字 Char"/>
    <w:basedOn w:val="42"/>
    <w:link w:val="16"/>
    <w:qFormat/>
    <w:locked/>
    <w:uiPriority w:val="99"/>
    <w:rPr>
      <w:rFonts w:ascii="Arial Unicode MS" w:hAnsi="Arial Unicode MS" w:eastAsia="宋体" w:cs="Arial Unicode MS"/>
      <w:sz w:val="24"/>
      <w:szCs w:val="24"/>
    </w:rPr>
  </w:style>
  <w:style w:type="character" w:customStyle="1" w:styleId="61">
    <w:name w:val="正文文本缩进 Char"/>
    <w:basedOn w:val="42"/>
    <w:link w:val="18"/>
    <w:qFormat/>
    <w:locked/>
    <w:uiPriority w:val="99"/>
    <w:rPr>
      <w:rFonts w:ascii="Arial" w:hAnsi="Arial" w:cs="Times New Roman"/>
      <w:sz w:val="24"/>
    </w:rPr>
  </w:style>
  <w:style w:type="character" w:customStyle="1" w:styleId="62">
    <w:name w:val="纯文本 Char"/>
    <w:basedOn w:val="42"/>
    <w:link w:val="21"/>
    <w:qFormat/>
    <w:locked/>
    <w:uiPriority w:val="99"/>
    <w:rPr>
      <w:rFonts w:ascii="Arial" w:hAnsi="仿宋" w:cs="仿宋"/>
      <w:sz w:val="21"/>
      <w:szCs w:val="21"/>
    </w:rPr>
  </w:style>
  <w:style w:type="character" w:customStyle="1" w:styleId="63">
    <w:name w:val="日期 Char"/>
    <w:basedOn w:val="42"/>
    <w:link w:val="23"/>
    <w:qFormat/>
    <w:locked/>
    <w:uiPriority w:val="99"/>
    <w:rPr>
      <w:rFonts w:ascii="Arial" w:hAnsi="Arial Unicode MS" w:cs="Times New Roman"/>
      <w:sz w:val="24"/>
    </w:rPr>
  </w:style>
  <w:style w:type="character" w:customStyle="1" w:styleId="64">
    <w:name w:val="正文文本缩进 2 Char"/>
    <w:basedOn w:val="42"/>
    <w:link w:val="24"/>
    <w:qFormat/>
    <w:locked/>
    <w:uiPriority w:val="99"/>
    <w:rPr>
      <w:rFonts w:ascii="Arial Unicode MS" w:hAnsi="Arial Unicode MS" w:cs="Times New Roman"/>
      <w:sz w:val="24"/>
    </w:rPr>
  </w:style>
  <w:style w:type="character" w:customStyle="1" w:styleId="65">
    <w:name w:val="批注框文本 Char"/>
    <w:basedOn w:val="42"/>
    <w:link w:val="25"/>
    <w:qFormat/>
    <w:locked/>
    <w:uiPriority w:val="99"/>
    <w:rPr>
      <w:rFonts w:ascii="Arial Unicode MS" w:hAnsi="Arial Unicode MS" w:cs="Times New Roman"/>
      <w:sz w:val="18"/>
    </w:rPr>
  </w:style>
  <w:style w:type="character" w:customStyle="1" w:styleId="66">
    <w:name w:val="页脚 Char"/>
    <w:basedOn w:val="42"/>
    <w:link w:val="26"/>
    <w:qFormat/>
    <w:locked/>
    <w:uiPriority w:val="99"/>
    <w:rPr>
      <w:rFonts w:cs="Times New Roman"/>
      <w:sz w:val="18"/>
      <w:szCs w:val="18"/>
    </w:rPr>
  </w:style>
  <w:style w:type="character" w:customStyle="1" w:styleId="67">
    <w:name w:val="页眉 Char"/>
    <w:basedOn w:val="42"/>
    <w:link w:val="27"/>
    <w:qFormat/>
    <w:locked/>
    <w:uiPriority w:val="99"/>
    <w:rPr>
      <w:rFonts w:cs="Times New Roman"/>
      <w:sz w:val="18"/>
      <w:szCs w:val="18"/>
    </w:rPr>
  </w:style>
  <w:style w:type="character" w:customStyle="1" w:styleId="68">
    <w:name w:val="副标题 Char"/>
    <w:basedOn w:val="42"/>
    <w:link w:val="30"/>
    <w:qFormat/>
    <w:locked/>
    <w:uiPriority w:val="99"/>
    <w:rPr>
      <w:rFonts w:ascii="等线 Light" w:eastAsia="等线 Light" w:cs="Times New Roman"/>
      <w:b/>
      <w:kern w:val="28"/>
      <w:sz w:val="32"/>
    </w:rPr>
  </w:style>
  <w:style w:type="character" w:customStyle="1" w:styleId="69">
    <w:name w:val="正文文本缩进 3 Char"/>
    <w:basedOn w:val="42"/>
    <w:link w:val="32"/>
    <w:qFormat/>
    <w:locked/>
    <w:uiPriority w:val="99"/>
    <w:rPr>
      <w:rFonts w:ascii="Arial Unicode MS" w:hAnsi="Arial Unicode MS" w:cs="Times New Roman"/>
      <w:sz w:val="16"/>
    </w:rPr>
  </w:style>
  <w:style w:type="character" w:customStyle="1" w:styleId="70">
    <w:name w:val="正文文本 2 Char"/>
    <w:basedOn w:val="42"/>
    <w:link w:val="35"/>
    <w:semiHidden/>
    <w:qFormat/>
    <w:locked/>
    <w:uiPriority w:val="99"/>
    <w:rPr>
      <w:rFonts w:ascii="Arial Unicode MS" w:hAnsi="Arial Unicode MS" w:eastAsia="宋体" w:cs="Arial Unicode MS"/>
      <w:sz w:val="24"/>
      <w:szCs w:val="24"/>
    </w:rPr>
  </w:style>
  <w:style w:type="character" w:customStyle="1" w:styleId="71">
    <w:name w:val="标题 Char"/>
    <w:basedOn w:val="42"/>
    <w:link w:val="37"/>
    <w:qFormat/>
    <w:locked/>
    <w:uiPriority w:val="99"/>
    <w:rPr>
      <w:rFonts w:ascii="等线 Light" w:eastAsia="等线 Light" w:cs="Times New Roman"/>
      <w:b/>
      <w:sz w:val="32"/>
    </w:rPr>
  </w:style>
  <w:style w:type="character" w:customStyle="1" w:styleId="72">
    <w:name w:val="批注主题 Char"/>
    <w:basedOn w:val="60"/>
    <w:link w:val="38"/>
    <w:qFormat/>
    <w:locked/>
    <w:uiPriority w:val="99"/>
    <w:rPr>
      <w:rFonts w:ascii="Arial Unicode MS" w:hAnsi="Arial Unicode MS" w:eastAsia="宋体" w:cs="Arial Unicode MS"/>
      <w:b/>
      <w:sz w:val="24"/>
      <w:szCs w:val="24"/>
    </w:rPr>
  </w:style>
  <w:style w:type="character" w:customStyle="1" w:styleId="73">
    <w:name w:val="正文首行缩进 Char"/>
    <w:basedOn w:val="58"/>
    <w:link w:val="39"/>
    <w:semiHidden/>
    <w:qFormat/>
    <w:locked/>
    <w:uiPriority w:val="99"/>
    <w:rPr>
      <w:rFonts w:ascii="Arial Unicode MS" w:hAnsi="Arial Unicode MS" w:eastAsia="宋体" w:cs="Arial Unicode MS"/>
      <w:color w:val="993300"/>
      <w:sz w:val="24"/>
      <w:szCs w:val="24"/>
    </w:rPr>
  </w:style>
  <w:style w:type="paragraph" w:customStyle="1" w:styleId="74">
    <w:name w:val="小四 行距: 1.25"/>
    <w:basedOn w:val="1"/>
    <w:qFormat/>
    <w:uiPriority w:val="99"/>
    <w:pPr>
      <w:spacing w:line="300" w:lineRule="auto"/>
    </w:pPr>
    <w:rPr>
      <w:rFonts w:cs="宋体"/>
      <w:sz w:val="24"/>
      <w:szCs w:val="20"/>
    </w:rPr>
  </w:style>
  <w:style w:type="character" w:customStyle="1" w:styleId="75">
    <w:name w:val="正文文本 Char1"/>
    <w:basedOn w:val="42"/>
    <w:semiHidden/>
    <w:qFormat/>
    <w:uiPriority w:val="99"/>
    <w:rPr>
      <w:rFonts w:ascii="Arial Unicode MS" w:hAnsi="Arial Unicode MS" w:eastAsia="宋体" w:cs="Arial Unicode MS"/>
      <w:sz w:val="24"/>
      <w:szCs w:val="24"/>
    </w:rPr>
  </w:style>
  <w:style w:type="character" w:customStyle="1" w:styleId="76">
    <w:name w:val="09正文_wh Char Char"/>
    <w:link w:val="77"/>
    <w:qFormat/>
    <w:locked/>
    <w:uiPriority w:val="99"/>
    <w:rPr>
      <w:rFonts w:eastAsia="宋体"/>
      <w:kern w:val="2"/>
      <w:sz w:val="28"/>
      <w:szCs w:val="22"/>
      <w:lang w:val="en-US" w:eastAsia="zh-CN" w:bidi="ar-SA"/>
    </w:rPr>
  </w:style>
  <w:style w:type="paragraph" w:customStyle="1" w:styleId="77">
    <w:name w:val="09正文_wh"/>
    <w:link w:val="76"/>
    <w:qFormat/>
    <w:uiPriority w:val="99"/>
    <w:pPr>
      <w:spacing w:line="300" w:lineRule="auto"/>
      <w:ind w:firstLine="200" w:firstLineChars="200"/>
      <w:jc w:val="both"/>
    </w:pPr>
    <w:rPr>
      <w:rFonts w:ascii="Calibri" w:hAnsi="Calibri" w:eastAsia="宋体" w:cs="Times New Roman"/>
      <w:kern w:val="2"/>
      <w:sz w:val="28"/>
      <w:szCs w:val="22"/>
      <w:lang w:val="en-US" w:eastAsia="zh-CN" w:bidi="ar-SA"/>
    </w:rPr>
  </w:style>
  <w:style w:type="character" w:customStyle="1" w:styleId="78">
    <w:name w:val="列出段落 Char"/>
    <w:link w:val="79"/>
    <w:qFormat/>
    <w:locked/>
    <w:uiPriority w:val="99"/>
    <w:rPr>
      <w:rFonts w:ascii="Cambria" w:hAnsi="Cambria"/>
    </w:rPr>
  </w:style>
  <w:style w:type="paragraph" w:styleId="79">
    <w:name w:val="List Paragraph"/>
    <w:basedOn w:val="1"/>
    <w:link w:val="78"/>
    <w:qFormat/>
    <w:uiPriority w:val="99"/>
    <w:pPr>
      <w:ind w:firstLine="420" w:firstLineChars="200"/>
    </w:pPr>
    <w:rPr>
      <w:rFonts w:ascii="Cambria" w:hAnsi="Cambria" w:eastAsia="微软雅黑" w:cs="Times New Roman"/>
      <w:kern w:val="0"/>
      <w:sz w:val="20"/>
      <w:szCs w:val="20"/>
    </w:rPr>
  </w:style>
  <w:style w:type="character" w:customStyle="1" w:styleId="80">
    <w:name w:val="招标书 正文 Char Char"/>
    <w:link w:val="81"/>
    <w:qFormat/>
    <w:locked/>
    <w:uiPriority w:val="99"/>
    <w:rPr>
      <w:rFonts w:ascii="Arial Unicode MS" w:hAnsi="Arial" w:eastAsia="Times New Roman"/>
      <w:color w:val="000000"/>
      <w:sz w:val="28"/>
    </w:rPr>
  </w:style>
  <w:style w:type="paragraph" w:customStyle="1" w:styleId="81">
    <w:name w:val="招标书 正文"/>
    <w:basedOn w:val="1"/>
    <w:link w:val="80"/>
    <w:qFormat/>
    <w:uiPriority w:val="99"/>
    <w:pPr>
      <w:widowControl/>
      <w:snapToGrid w:val="0"/>
      <w:spacing w:line="560" w:lineRule="exact"/>
      <w:ind w:firstLine="560" w:firstLineChars="200"/>
      <w:jc w:val="left"/>
    </w:pPr>
    <w:rPr>
      <w:rFonts w:hAnsi="Arial" w:eastAsia="Times New Roman" w:cs="Times New Roman"/>
      <w:color w:val="000000"/>
      <w:kern w:val="0"/>
      <w:sz w:val="28"/>
      <w:szCs w:val="20"/>
    </w:rPr>
  </w:style>
  <w:style w:type="character" w:customStyle="1" w:styleId="82">
    <w:name w:val="正文缩进 Char"/>
    <w:link w:val="2"/>
    <w:qFormat/>
    <w:locked/>
    <w:uiPriority w:val="99"/>
    <w:rPr>
      <w:rFonts w:ascii="Arial Unicode MS" w:hAnsi="Arial Unicode MS"/>
      <w:sz w:val="24"/>
    </w:rPr>
  </w:style>
  <w:style w:type="character" w:customStyle="1" w:styleId="83">
    <w:name w:val="样式3 Char"/>
    <w:link w:val="84"/>
    <w:qFormat/>
    <w:locked/>
    <w:uiPriority w:val="99"/>
    <w:rPr>
      <w:rFonts w:ascii="Arial" w:hAnsi="仿宋"/>
      <w:sz w:val="24"/>
    </w:rPr>
  </w:style>
  <w:style w:type="paragraph" w:customStyle="1" w:styleId="84">
    <w:name w:val="样式3"/>
    <w:basedOn w:val="21"/>
    <w:link w:val="83"/>
    <w:qFormat/>
    <w:uiPriority w:val="99"/>
    <w:pPr>
      <w:spacing w:line="240" w:lineRule="atLeast"/>
      <w:outlineLvl w:val="0"/>
    </w:pPr>
    <w:rPr>
      <w:rFonts w:eastAsia="微软雅黑" w:cs="Times New Roman"/>
      <w:kern w:val="0"/>
      <w:sz w:val="24"/>
      <w:szCs w:val="20"/>
    </w:rPr>
  </w:style>
  <w:style w:type="character" w:customStyle="1" w:styleId="85">
    <w:name w:val="正文文本缩进 3 Char1"/>
    <w:basedOn w:val="42"/>
    <w:semiHidden/>
    <w:qFormat/>
    <w:uiPriority w:val="99"/>
    <w:rPr>
      <w:rFonts w:ascii="Arial Unicode MS" w:hAnsi="Arial Unicode MS" w:eastAsia="宋体" w:cs="Arial Unicode MS"/>
      <w:sz w:val="16"/>
      <w:szCs w:val="16"/>
    </w:rPr>
  </w:style>
  <w:style w:type="character" w:customStyle="1" w:styleId="86">
    <w:name w:val="批注主题 Char1"/>
    <w:basedOn w:val="60"/>
    <w:semiHidden/>
    <w:qFormat/>
    <w:uiPriority w:val="99"/>
    <w:rPr>
      <w:rFonts w:ascii="Arial Unicode MS" w:hAnsi="Arial Unicode MS" w:eastAsia="宋体" w:cs="Arial Unicode MS"/>
      <w:b/>
      <w:bCs/>
      <w:sz w:val="24"/>
      <w:szCs w:val="24"/>
    </w:rPr>
  </w:style>
  <w:style w:type="character" w:customStyle="1" w:styleId="87">
    <w:name w:val="正文文本缩进 Char1"/>
    <w:basedOn w:val="42"/>
    <w:semiHidden/>
    <w:qFormat/>
    <w:uiPriority w:val="99"/>
    <w:rPr>
      <w:rFonts w:ascii="Arial Unicode MS" w:hAnsi="Arial Unicode MS" w:eastAsia="宋体" w:cs="Arial Unicode MS"/>
      <w:sz w:val="24"/>
      <w:szCs w:val="24"/>
    </w:rPr>
  </w:style>
  <w:style w:type="character" w:customStyle="1" w:styleId="88">
    <w:name w:val="批注框文本 Char1"/>
    <w:basedOn w:val="42"/>
    <w:semiHidden/>
    <w:qFormat/>
    <w:uiPriority w:val="99"/>
    <w:rPr>
      <w:rFonts w:ascii="Arial Unicode MS" w:hAnsi="Arial Unicode MS" w:eastAsia="宋体" w:cs="Arial Unicode MS"/>
      <w:sz w:val="18"/>
      <w:szCs w:val="18"/>
    </w:rPr>
  </w:style>
  <w:style w:type="character" w:customStyle="1" w:styleId="89">
    <w:name w:val="Char Char Char Char"/>
    <w:link w:val="90"/>
    <w:qFormat/>
    <w:locked/>
    <w:uiPriority w:val="99"/>
    <w:rPr>
      <w:rFonts w:eastAsia="Times New Roman"/>
      <w:sz w:val="24"/>
    </w:rPr>
  </w:style>
  <w:style w:type="paragraph" w:customStyle="1" w:styleId="90">
    <w:name w:val="Char"/>
    <w:basedOn w:val="1"/>
    <w:link w:val="89"/>
    <w:qFormat/>
    <w:uiPriority w:val="99"/>
    <w:pPr>
      <w:spacing w:line="240" w:lineRule="auto"/>
    </w:pPr>
    <w:rPr>
      <w:rFonts w:ascii="Calibri" w:hAnsi="Calibri" w:eastAsia="Times New Roman" w:cs="Times New Roman"/>
      <w:kern w:val="0"/>
      <w:sz w:val="24"/>
      <w:szCs w:val="20"/>
    </w:rPr>
  </w:style>
  <w:style w:type="character" w:customStyle="1" w:styleId="91">
    <w:name w:val="副标题 Char1"/>
    <w:basedOn w:val="42"/>
    <w:qFormat/>
    <w:uiPriority w:val="99"/>
    <w:rPr>
      <w:rFonts w:ascii="Cambria" w:hAnsi="Cambria" w:eastAsia="宋体" w:cs="Times New Roman"/>
      <w:b/>
      <w:bCs/>
      <w:kern w:val="28"/>
      <w:sz w:val="32"/>
      <w:szCs w:val="32"/>
    </w:rPr>
  </w:style>
  <w:style w:type="character" w:customStyle="1" w:styleId="92">
    <w:name w:val="标题 Char1"/>
    <w:basedOn w:val="42"/>
    <w:qFormat/>
    <w:uiPriority w:val="99"/>
    <w:rPr>
      <w:rFonts w:ascii="Cambria" w:hAnsi="Cambria" w:eastAsia="宋体" w:cs="Times New Roman"/>
      <w:b/>
      <w:bCs/>
      <w:sz w:val="32"/>
      <w:szCs w:val="32"/>
    </w:rPr>
  </w:style>
  <w:style w:type="character" w:customStyle="1" w:styleId="93">
    <w:name w:val="正文文本缩进 2 Char1"/>
    <w:basedOn w:val="42"/>
    <w:semiHidden/>
    <w:qFormat/>
    <w:uiPriority w:val="99"/>
    <w:rPr>
      <w:rFonts w:ascii="Arial Unicode MS" w:hAnsi="Arial Unicode MS" w:eastAsia="宋体" w:cs="Arial Unicode MS"/>
      <w:sz w:val="24"/>
      <w:szCs w:val="24"/>
    </w:rPr>
  </w:style>
  <w:style w:type="character" w:customStyle="1" w:styleId="94">
    <w:name w:val="题注 Char"/>
    <w:link w:val="13"/>
    <w:qFormat/>
    <w:locked/>
    <w:uiPriority w:val="99"/>
    <w:rPr>
      <w:rFonts w:ascii="Wingdings" w:hAnsi="Wingdings"/>
    </w:rPr>
  </w:style>
  <w:style w:type="character" w:customStyle="1" w:styleId="95">
    <w:name w:val="无间隔 Char"/>
    <w:link w:val="96"/>
    <w:qFormat/>
    <w:locked/>
    <w:uiPriority w:val="99"/>
    <w:rPr>
      <w:rFonts w:ascii="Cambria" w:hAnsi="Cambria" w:eastAsia="宋体" w:cs="Arial Unicode MS"/>
      <w:kern w:val="2"/>
      <w:sz w:val="21"/>
      <w:szCs w:val="22"/>
      <w:lang w:val="en-US" w:eastAsia="zh-CN" w:bidi="ar-SA"/>
    </w:rPr>
  </w:style>
  <w:style w:type="paragraph" w:styleId="96">
    <w:name w:val="No Spacing"/>
    <w:link w:val="95"/>
    <w:qFormat/>
    <w:uiPriority w:val="99"/>
    <w:pPr>
      <w:widowControl w:val="0"/>
      <w:jc w:val="both"/>
    </w:pPr>
    <w:rPr>
      <w:rFonts w:ascii="Cambria" w:hAnsi="Cambria" w:eastAsia="宋体" w:cs="Arial Unicode MS"/>
      <w:kern w:val="2"/>
      <w:sz w:val="21"/>
      <w:szCs w:val="22"/>
      <w:lang w:val="en-US" w:eastAsia="zh-CN" w:bidi="ar-SA"/>
    </w:rPr>
  </w:style>
  <w:style w:type="character" w:customStyle="1" w:styleId="97">
    <w:name w:val="日期 Char1"/>
    <w:basedOn w:val="42"/>
    <w:semiHidden/>
    <w:qFormat/>
    <w:uiPriority w:val="99"/>
    <w:rPr>
      <w:rFonts w:ascii="Arial Unicode MS" w:hAnsi="Arial Unicode MS" w:eastAsia="宋体" w:cs="Arial Unicode MS"/>
      <w:sz w:val="24"/>
      <w:szCs w:val="24"/>
    </w:rPr>
  </w:style>
  <w:style w:type="character" w:customStyle="1" w:styleId="98">
    <w:name w:val="文档结构图 Char1"/>
    <w:basedOn w:val="42"/>
    <w:semiHidden/>
    <w:qFormat/>
    <w:uiPriority w:val="99"/>
    <w:rPr>
      <w:rFonts w:ascii="宋体" w:hAnsi="Arial Unicode MS" w:eastAsia="宋体" w:cs="Arial Unicode MS"/>
      <w:sz w:val="18"/>
      <w:szCs w:val="18"/>
    </w:rPr>
  </w:style>
  <w:style w:type="character" w:customStyle="1" w:styleId="99">
    <w:name w:val="正文chx Char"/>
    <w:link w:val="100"/>
    <w:qFormat/>
    <w:locked/>
    <w:uiPriority w:val="99"/>
    <w:rPr>
      <w:rFonts w:ascii="Arial" w:hAnsi="Arial"/>
      <w:sz w:val="24"/>
    </w:rPr>
  </w:style>
  <w:style w:type="paragraph" w:customStyle="1" w:styleId="100">
    <w:name w:val="正文chx"/>
    <w:basedOn w:val="1"/>
    <w:link w:val="99"/>
    <w:qFormat/>
    <w:uiPriority w:val="99"/>
    <w:pPr>
      <w:spacing w:line="360" w:lineRule="auto"/>
      <w:ind w:firstLine="480" w:firstLineChars="200"/>
    </w:pPr>
    <w:rPr>
      <w:rFonts w:ascii="Arial" w:hAnsi="Arial" w:eastAsia="微软雅黑" w:cs="Times New Roman"/>
      <w:kern w:val="0"/>
      <w:sz w:val="24"/>
      <w:szCs w:val="20"/>
    </w:rPr>
  </w:style>
  <w:style w:type="character" w:customStyle="1" w:styleId="101">
    <w:name w:val="批注文字 Char1"/>
    <w:basedOn w:val="42"/>
    <w:semiHidden/>
    <w:qFormat/>
    <w:uiPriority w:val="99"/>
    <w:rPr>
      <w:rFonts w:ascii="Arial Unicode MS" w:hAnsi="Arial Unicode MS" w:eastAsia="宋体" w:cs="Arial Unicode MS"/>
      <w:sz w:val="24"/>
      <w:szCs w:val="24"/>
    </w:rPr>
  </w:style>
  <w:style w:type="paragraph" w:customStyle="1" w:styleId="102">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03">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character" w:customStyle="1" w:styleId="104">
    <w:name w:val="纯文本 Char1"/>
    <w:basedOn w:val="42"/>
    <w:semiHidden/>
    <w:qFormat/>
    <w:uiPriority w:val="99"/>
    <w:rPr>
      <w:rFonts w:ascii="宋体" w:hAnsi="Courier New" w:eastAsia="宋体" w:cs="Courier New"/>
      <w:sz w:val="21"/>
      <w:szCs w:val="21"/>
    </w:rPr>
  </w:style>
  <w:style w:type="character" w:customStyle="1" w:styleId="105">
    <w:name w:val="批注主题 Char2"/>
    <w:basedOn w:val="101"/>
    <w:semiHidden/>
    <w:qFormat/>
    <w:uiPriority w:val="99"/>
    <w:rPr>
      <w:rFonts w:ascii="Arial Unicode MS" w:hAnsi="Arial Unicode MS" w:eastAsia="宋体" w:cs="Arial Unicode MS"/>
      <w:b/>
      <w:bCs/>
      <w:sz w:val="24"/>
      <w:szCs w:val="24"/>
    </w:rPr>
  </w:style>
  <w:style w:type="paragraph" w:customStyle="1" w:styleId="106">
    <w:name w:val="title12"/>
    <w:basedOn w:val="1"/>
    <w:qFormat/>
    <w:uiPriority w:val="99"/>
    <w:pPr>
      <w:widowControl/>
      <w:spacing w:before="150" w:line="510" w:lineRule="atLeast"/>
      <w:jc w:val="left"/>
    </w:pPr>
    <w:rPr>
      <w:rFonts w:ascii="宋体" w:hAnsi="宋体" w:cs="宋体"/>
      <w:b/>
      <w:bCs/>
      <w:kern w:val="0"/>
      <w:sz w:val="23"/>
      <w:szCs w:val="23"/>
    </w:rPr>
  </w:style>
  <w:style w:type="paragraph" w:customStyle="1" w:styleId="107">
    <w:name w:val="样式 宋体小四，1.5 倍行距"/>
    <w:basedOn w:val="1"/>
    <w:qFormat/>
    <w:uiPriority w:val="99"/>
    <w:pPr>
      <w:spacing w:line="360" w:lineRule="auto"/>
    </w:pPr>
    <w:rPr>
      <w:rFonts w:cs="Arial"/>
      <w:sz w:val="24"/>
      <w:szCs w:val="20"/>
    </w:rPr>
  </w:style>
  <w:style w:type="paragraph" w:customStyle="1" w:styleId="108">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09">
    <w:name w:val="xl51"/>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10">
    <w:name w:val="正文文本 21"/>
    <w:basedOn w:val="1"/>
    <w:qFormat/>
    <w:uiPriority w:val="99"/>
    <w:pPr>
      <w:widowControl/>
      <w:overflowPunct w:val="0"/>
      <w:autoSpaceDE w:val="0"/>
      <w:autoSpaceDN w:val="0"/>
      <w:adjustRightInd w:val="0"/>
      <w:spacing w:line="240" w:lineRule="auto"/>
      <w:jc w:val="left"/>
    </w:pPr>
    <w:rPr>
      <w:kern w:val="0"/>
      <w:sz w:val="16"/>
    </w:rPr>
  </w:style>
  <w:style w:type="paragraph" w:customStyle="1" w:styleId="11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12">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13">
    <w:name w:val="xl3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14">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15">
    <w:name w:val="xl50"/>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Arial" w:hAnsi="Arial" w:cs="Arial"/>
      <w:b/>
      <w:bCs/>
      <w:kern w:val="0"/>
      <w:sz w:val="24"/>
    </w:rPr>
  </w:style>
  <w:style w:type="paragraph" w:customStyle="1" w:styleId="116">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paragraph" w:customStyle="1" w:styleId="117">
    <w:name w:val="xl61"/>
    <w:basedOn w:val="1"/>
    <w:qFormat/>
    <w:uiPriority w:val="99"/>
    <w:pPr>
      <w:widowControl/>
      <w:pBdr>
        <w:top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18">
    <w:name w:val="Char Char Char Char Char Char1 Char"/>
    <w:basedOn w:val="1"/>
    <w:qFormat/>
    <w:uiPriority w:val="99"/>
    <w:pPr>
      <w:widowControl/>
      <w:spacing w:after="160" w:line="240" w:lineRule="exact"/>
      <w:jc w:val="left"/>
    </w:pPr>
    <w:rPr>
      <w:rFonts w:ascii="Wingdings" w:hAnsi="Wingdings" w:eastAsia="微软雅黑" w:cs="华文中宋"/>
      <w:b/>
      <w:kern w:val="0"/>
      <w:sz w:val="24"/>
      <w:lang w:eastAsia="en-US"/>
    </w:rPr>
  </w:style>
  <w:style w:type="paragraph" w:customStyle="1" w:styleId="119">
    <w:name w:val="标题2"/>
    <w:basedOn w:val="4"/>
    <w:qFormat/>
    <w:uiPriority w:val="99"/>
    <w:pPr>
      <w:keepLines w:val="0"/>
      <w:widowControl w:val="0"/>
      <w:spacing w:before="0" w:after="0" w:line="720" w:lineRule="exact"/>
      <w:ind w:left="0"/>
    </w:pPr>
    <w:rPr>
      <w:rFonts w:ascii="黑体" w:hAnsi="Copperplate Gothic Bold" w:eastAsia="楷体_GB2312"/>
      <w:b w:val="0"/>
      <w:bCs w:val="0"/>
      <w:szCs w:val="28"/>
    </w:rPr>
  </w:style>
  <w:style w:type="paragraph" w:customStyle="1" w:styleId="120">
    <w:name w:val="TOC 标题1"/>
    <w:basedOn w:val="3"/>
    <w:next w:val="1"/>
    <w:qFormat/>
    <w:uiPriority w:val="99"/>
    <w:pPr>
      <w:keepLines/>
      <w:widowControl/>
      <w:spacing w:before="480" w:line="276" w:lineRule="auto"/>
      <w:jc w:val="left"/>
      <w:outlineLvl w:val="9"/>
    </w:pPr>
    <w:rPr>
      <w:rFonts w:ascii="等线 Light" w:hAnsi="Times New Roman" w:eastAsia="等线 Light"/>
      <w:bCs/>
      <w:color w:val="365F91"/>
      <w:sz w:val="28"/>
      <w:szCs w:val="28"/>
    </w:rPr>
  </w:style>
  <w:style w:type="paragraph" w:customStyle="1" w:styleId="121">
    <w:name w:val="xl57"/>
    <w:basedOn w:val="1"/>
    <w:qFormat/>
    <w:uiPriority w:val="99"/>
    <w:pPr>
      <w:widowControl/>
      <w:pBdr>
        <w:top w:val="single" w:color="auto" w:sz="4" w:space="0"/>
        <w:bottom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2">
    <w:name w:val="#"/>
    <w:basedOn w:val="1"/>
    <w:qFormat/>
    <w:uiPriority w:val="99"/>
    <w:pPr>
      <w:spacing w:line="360" w:lineRule="auto"/>
    </w:pPr>
    <w:rPr>
      <w:sz w:val="24"/>
      <w:szCs w:val="20"/>
    </w:rPr>
  </w:style>
  <w:style w:type="paragraph" w:customStyle="1" w:styleId="123">
    <w:name w:val="xl56"/>
    <w:basedOn w:val="1"/>
    <w:qFormat/>
    <w:uiPriority w:val="99"/>
    <w:pPr>
      <w:widowControl/>
      <w:pBdr>
        <w:top w:val="single" w:color="auto" w:sz="4" w:space="0"/>
        <w:left w:val="single" w:color="auto" w:sz="4" w:space="0"/>
        <w:bottom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4">
    <w:name w:val="列出段落1"/>
    <w:basedOn w:val="1"/>
    <w:qFormat/>
    <w:uiPriority w:val="99"/>
    <w:pPr>
      <w:ind w:firstLine="420" w:firstLineChars="200"/>
    </w:pPr>
  </w:style>
  <w:style w:type="paragraph" w:customStyle="1" w:styleId="125">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26">
    <w:name w:val="样式 首行缩进:  2 字符"/>
    <w:basedOn w:val="1"/>
    <w:qFormat/>
    <w:uiPriority w:val="99"/>
    <w:pPr>
      <w:spacing w:line="400" w:lineRule="exact"/>
      <w:ind w:firstLine="200" w:firstLineChars="200"/>
    </w:pPr>
    <w:rPr>
      <w:rFonts w:ascii="Times New Roman" w:hAnsi="Times New Roman" w:cs="宋体"/>
      <w:sz w:val="24"/>
    </w:rPr>
  </w:style>
  <w:style w:type="paragraph" w:customStyle="1" w:styleId="127">
    <w:name w:val="Char Char3"/>
    <w:basedOn w:val="1"/>
    <w:qFormat/>
    <w:uiPriority w:val="99"/>
    <w:pPr>
      <w:spacing w:line="240" w:lineRule="auto"/>
    </w:pPr>
  </w:style>
  <w:style w:type="paragraph" w:customStyle="1" w:styleId="128">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29">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paragraph" w:customStyle="1" w:styleId="130">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8"/>
      <w:szCs w:val="28"/>
    </w:rPr>
  </w:style>
  <w:style w:type="paragraph" w:customStyle="1" w:styleId="131">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32">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color w:val="000000"/>
      <w:kern w:val="0"/>
      <w:sz w:val="24"/>
    </w:rPr>
  </w:style>
  <w:style w:type="paragraph" w:customStyle="1" w:styleId="133">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b/>
      <w:bCs/>
      <w:kern w:val="0"/>
      <w:sz w:val="24"/>
    </w:rPr>
  </w:style>
  <w:style w:type="paragraph" w:customStyle="1" w:styleId="134">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35">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36">
    <w:name w:val="xl60"/>
    <w:basedOn w:val="1"/>
    <w:qFormat/>
    <w:uiPriority w:val="99"/>
    <w:pPr>
      <w:widowControl/>
      <w:pBdr>
        <w:top w:val="single" w:color="auto" w:sz="4" w:space="0"/>
        <w:lef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37">
    <w:name w:val="xl58"/>
    <w:basedOn w:val="1"/>
    <w:qFormat/>
    <w:uiPriority w:val="99"/>
    <w:pPr>
      <w:widowControl/>
      <w:pBdr>
        <w:top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38">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kern w:val="0"/>
      <w:sz w:val="24"/>
    </w:rPr>
  </w:style>
  <w:style w:type="paragraph" w:customStyle="1" w:styleId="139">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40">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41">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kern w:val="0"/>
      <w:sz w:val="24"/>
    </w:rPr>
  </w:style>
  <w:style w:type="paragraph" w:customStyle="1" w:styleId="142">
    <w:name w:val="List Paragraph1"/>
    <w:basedOn w:val="1"/>
    <w:qFormat/>
    <w:uiPriority w:val="99"/>
    <w:pPr>
      <w:spacing w:line="240" w:lineRule="auto"/>
      <w:ind w:firstLine="420" w:firstLineChars="200"/>
    </w:pPr>
    <w:rPr>
      <w:szCs w:val="20"/>
    </w:rPr>
  </w:style>
  <w:style w:type="paragraph" w:customStyle="1" w:styleId="143">
    <w:name w:val="正文（不缩进）"/>
    <w:basedOn w:val="1"/>
    <w:qFormat/>
    <w:uiPriority w:val="99"/>
    <w:pPr>
      <w:tabs>
        <w:tab w:val="left" w:pos="420"/>
      </w:tabs>
      <w:spacing w:line="360" w:lineRule="auto"/>
    </w:pPr>
    <w:rPr>
      <w:szCs w:val="20"/>
    </w:rPr>
  </w:style>
  <w:style w:type="paragraph" w:customStyle="1" w:styleId="144">
    <w:name w:val="列出段落2"/>
    <w:basedOn w:val="1"/>
    <w:qFormat/>
    <w:uiPriority w:val="99"/>
    <w:pPr>
      <w:spacing w:line="240" w:lineRule="auto"/>
      <w:ind w:firstLine="420" w:firstLineChars="200"/>
    </w:pPr>
  </w:style>
  <w:style w:type="paragraph" w:customStyle="1" w:styleId="145">
    <w:name w:val="Char2 Char Char Char"/>
    <w:basedOn w:val="1"/>
    <w:qFormat/>
    <w:uiPriority w:val="99"/>
    <w:pPr>
      <w:spacing w:line="240" w:lineRule="auto"/>
    </w:pPr>
    <w:rPr>
      <w:rFonts w:ascii="Calibri" w:hAnsi="Calibri"/>
      <w:sz w:val="24"/>
      <w:szCs w:val="20"/>
    </w:rPr>
  </w:style>
  <w:style w:type="paragraph" w:customStyle="1" w:styleId="146">
    <w:name w:val="04正文二级标题"/>
    <w:qFormat/>
    <w:uiPriority w:val="99"/>
    <w:pPr>
      <w:spacing w:line="300" w:lineRule="auto"/>
      <w:ind w:firstLine="200" w:firstLineChars="200"/>
      <w:jc w:val="both"/>
    </w:pPr>
    <w:rPr>
      <w:rFonts w:ascii="Arial Unicode MS" w:hAnsi="Arial Unicode MS" w:eastAsia="微软雅黑" w:cs="Arial Unicode MS"/>
      <w:sz w:val="28"/>
      <w:lang w:val="en-US" w:eastAsia="zh-CN" w:bidi="ar-SA"/>
    </w:rPr>
  </w:style>
  <w:style w:type="paragraph" w:customStyle="1" w:styleId="147">
    <w:name w:val="xl5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b/>
      <w:bCs/>
      <w:kern w:val="0"/>
      <w:sz w:val="28"/>
      <w:szCs w:val="28"/>
    </w:rPr>
  </w:style>
  <w:style w:type="paragraph" w:customStyle="1" w:styleId="148">
    <w:name w:val="xl62"/>
    <w:basedOn w:val="1"/>
    <w:qFormat/>
    <w:uiPriority w:val="99"/>
    <w:pPr>
      <w:widowControl/>
      <w:pBdr>
        <w:top w:val="single" w:color="auto" w:sz="4" w:space="0"/>
        <w:right w:val="single" w:color="auto" w:sz="4" w:space="0"/>
      </w:pBdr>
      <w:spacing w:before="100" w:beforeAutospacing="1" w:after="100" w:afterAutospacing="1" w:line="240" w:lineRule="auto"/>
      <w:jc w:val="left"/>
    </w:pPr>
    <w:rPr>
      <w:rFonts w:ascii="Arial" w:hAnsi="Arial" w:cs="Arial"/>
      <w:b/>
      <w:bCs/>
      <w:kern w:val="0"/>
      <w:sz w:val="24"/>
    </w:rPr>
  </w:style>
  <w:style w:type="paragraph" w:customStyle="1" w:styleId="149">
    <w:name w:val="目录"/>
    <w:basedOn w:val="1"/>
    <w:qFormat/>
    <w:uiPriority w:val="99"/>
    <w:pPr>
      <w:widowControl/>
      <w:spacing w:line="240" w:lineRule="auto"/>
      <w:jc w:val="center"/>
    </w:pPr>
    <w:rPr>
      <w:rFonts w:ascii="Arial"/>
      <w:b/>
      <w:kern w:val="0"/>
      <w:sz w:val="36"/>
      <w:szCs w:val="20"/>
    </w:rPr>
  </w:style>
  <w:style w:type="paragraph" w:customStyle="1" w:styleId="150">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1">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paragraph" w:customStyle="1" w:styleId="152">
    <w:name w:val="xl55"/>
    <w:basedOn w:val="1"/>
    <w:qFormat/>
    <w:uiPriority w:val="99"/>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Arial" w:hAnsi="Arial" w:cs="Arial"/>
      <w:b/>
      <w:bCs/>
      <w:kern w:val="0"/>
      <w:sz w:val="24"/>
    </w:rPr>
  </w:style>
  <w:style w:type="paragraph" w:customStyle="1" w:styleId="15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color w:val="000000"/>
      <w:kern w:val="0"/>
      <w:sz w:val="24"/>
    </w:rPr>
  </w:style>
  <w:style w:type="paragraph" w:customStyle="1" w:styleId="154">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pPr>
    <w:rPr>
      <w:rFonts w:ascii="Arial" w:hAnsi="Arial" w:cs="Arial"/>
      <w:color w:val="000000"/>
      <w:kern w:val="0"/>
      <w:sz w:val="24"/>
    </w:rPr>
  </w:style>
  <w:style w:type="paragraph" w:customStyle="1" w:styleId="155">
    <w:name w:val="xl5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6">
    <w:name w:val="纯文本1"/>
    <w:basedOn w:val="1"/>
    <w:qFormat/>
    <w:uiPriority w:val="99"/>
    <w:pPr>
      <w:widowControl/>
      <w:spacing w:line="240" w:lineRule="auto"/>
      <w:jc w:val="left"/>
    </w:pPr>
    <w:rPr>
      <w:rFonts w:ascii="Arial" w:hAnsi="仿宋" w:cs="仿宋"/>
      <w:szCs w:val="21"/>
    </w:rPr>
  </w:style>
  <w:style w:type="paragraph" w:customStyle="1" w:styleId="157">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Arial" w:hAnsi="Arial" w:cs="Arial"/>
      <w:kern w:val="0"/>
      <w:sz w:val="24"/>
    </w:rPr>
  </w:style>
  <w:style w:type="paragraph" w:customStyle="1" w:styleId="158">
    <w:name w:val="xl39"/>
    <w:basedOn w:val="1"/>
    <w:qFormat/>
    <w:uiPriority w:val="99"/>
    <w:pPr>
      <w:widowControl/>
      <w:spacing w:before="100" w:beforeAutospacing="1" w:after="100" w:afterAutospacing="1" w:line="240" w:lineRule="auto"/>
      <w:jc w:val="left"/>
    </w:pPr>
    <w:rPr>
      <w:rFonts w:ascii="Arial" w:hAnsi="Arial" w:cs="Arial"/>
      <w:kern w:val="0"/>
      <w:sz w:val="24"/>
    </w:rPr>
  </w:style>
  <w:style w:type="paragraph" w:customStyle="1" w:styleId="159">
    <w:name w:val="font5"/>
    <w:basedOn w:val="1"/>
    <w:qFormat/>
    <w:uiPriority w:val="99"/>
    <w:pPr>
      <w:widowControl/>
      <w:spacing w:before="100" w:beforeAutospacing="1" w:after="100" w:afterAutospacing="1" w:line="240" w:lineRule="auto"/>
      <w:jc w:val="left"/>
    </w:pPr>
    <w:rPr>
      <w:rFonts w:ascii="Arial" w:hAnsi="Arial" w:cs="Arial"/>
      <w:kern w:val="0"/>
      <w:sz w:val="18"/>
      <w:szCs w:val="18"/>
    </w:rPr>
  </w:style>
  <w:style w:type="paragraph" w:customStyle="1" w:styleId="160">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ascii="Arial" w:hAnsi="Arial" w:cs="Arial"/>
      <w:kern w:val="0"/>
      <w:sz w:val="24"/>
    </w:rPr>
  </w:style>
  <w:style w:type="character" w:customStyle="1" w:styleId="161">
    <w:name w:val="font201"/>
    <w:qFormat/>
    <w:uiPriority w:val="99"/>
    <w:rPr>
      <w:rFonts w:ascii="宋体" w:hAnsi="宋体" w:eastAsia="宋体"/>
      <w:color w:val="000000"/>
      <w:sz w:val="20"/>
      <w:u w:val="none"/>
    </w:rPr>
  </w:style>
  <w:style w:type="character" w:customStyle="1" w:styleId="162">
    <w:name w:val="font01"/>
    <w:qFormat/>
    <w:uiPriority w:val="99"/>
    <w:rPr>
      <w:rFonts w:ascii="Arial" w:hAnsi="Arial"/>
      <w:color w:val="000000"/>
      <w:sz w:val="20"/>
      <w:u w:val="none"/>
    </w:rPr>
  </w:style>
  <w:style w:type="character" w:customStyle="1" w:styleId="163">
    <w:name w:val="font31"/>
    <w:basedOn w:val="42"/>
    <w:qFormat/>
    <w:uiPriority w:val="99"/>
    <w:rPr>
      <w:rFonts w:ascii="宋体" w:hAnsi="宋体" w:eastAsia="宋体" w:cs="宋体"/>
      <w:color w:val="000000"/>
      <w:sz w:val="24"/>
      <w:szCs w:val="24"/>
      <w:u w:val="none"/>
    </w:rPr>
  </w:style>
  <w:style w:type="character" w:customStyle="1" w:styleId="164">
    <w:name w:val="font11"/>
    <w:basedOn w:val="42"/>
    <w:qFormat/>
    <w:uiPriority w:val="99"/>
    <w:rPr>
      <w:rFonts w:ascii="宋体" w:hAnsi="宋体" w:eastAsia="宋体" w:cs="宋体"/>
      <w:b/>
      <w:color w:val="000000"/>
      <w:sz w:val="24"/>
      <w:szCs w:val="24"/>
      <w:u w:val="none"/>
    </w:rPr>
  </w:style>
  <w:style w:type="character" w:customStyle="1" w:styleId="165">
    <w:name w:val="title_emph1"/>
    <w:qFormat/>
    <w:uiPriority w:val="99"/>
    <w:rPr>
      <w:rFonts w:ascii="Arial" w:hAnsi="Arial"/>
      <w:b/>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77</Pages>
  <Words>6814</Words>
  <Characters>38845</Characters>
  <Lines>323</Lines>
  <Paragraphs>91</Paragraphs>
  <TotalTime>1</TotalTime>
  <ScaleCrop>false</ScaleCrop>
  <LinksUpToDate>false</LinksUpToDate>
  <CharactersWithSpaces>45568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2020-09-29T07:41:00Z</dcterms:created>
  <dc:creator>Windows 用户</dc:creator>
  <cp:lastModifiedBy>醉酒人i</cp:lastModifiedBy>
  <cp:lastPrinted>2020-10-26T01:31:00Z</cp:lastPrinted>
  <dcterms:modified xsi:type="dcterms:W3CDTF">2020-10-26T03:05:09Z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