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宋体" w:hAnsi="宋体" w:eastAsia="宋体"/>
          <w:bCs/>
          <w:sz w:val="30"/>
          <w:szCs w:val="30"/>
        </w:rPr>
      </w:pPr>
      <w:bookmarkStart w:id="0" w:name="_Toc13771245"/>
      <w:r>
        <w:rPr>
          <w:rFonts w:hint="eastAsia" w:ascii="宋体" w:hAnsi="宋体" w:eastAsia="宋体"/>
          <w:bCs/>
          <w:sz w:val="30"/>
          <w:szCs w:val="30"/>
        </w:rPr>
        <w:t>西咸新区公安局大数据合成作战中心及可视化认知分析工具和数据建模协作分析系统建设项目</w:t>
      </w:r>
      <w:r>
        <w:rPr>
          <w:rFonts w:ascii="宋体" w:hAnsi="宋体" w:eastAsia="宋体"/>
          <w:bCs/>
          <w:sz w:val="30"/>
          <w:szCs w:val="30"/>
        </w:rPr>
        <w:t>分项报价表</w:t>
      </w:r>
      <w:bookmarkEnd w:id="0"/>
    </w:p>
    <w:p>
      <w:pPr>
        <w:spacing w:line="360" w:lineRule="auto"/>
        <w:ind w:firstLine="105" w:firstLineChars="50"/>
        <w:rPr>
          <w:rFonts w:ascii="宋体" w:hAnsi="宋体" w:eastAsia="宋体" w:cs="Times New Roman"/>
          <w:bCs/>
          <w:kern w:val="0"/>
          <w:szCs w:val="21"/>
          <w:u w:val="single"/>
        </w:rPr>
      </w:pPr>
      <w:r>
        <w:rPr>
          <w:rFonts w:ascii="宋体" w:hAnsi="宋体" w:eastAsia="宋体"/>
          <w:szCs w:val="21"/>
        </w:rPr>
        <w:t>投标人名称：</w:t>
      </w:r>
      <w:r>
        <w:rPr>
          <w:rFonts w:hint="eastAsia" w:ascii="宋体" w:hAnsi="宋体" w:eastAsia="宋体" w:cs="Times New Roman"/>
          <w:bCs/>
          <w:kern w:val="0"/>
          <w:szCs w:val="21"/>
        </w:rPr>
        <w:t>西安赛能视频技术有限公司</w:t>
      </w:r>
      <w:r>
        <w:rPr>
          <w:rFonts w:ascii="宋体" w:hAnsi="宋体" w:eastAsia="宋体"/>
          <w:szCs w:val="21"/>
        </w:rPr>
        <w:t xml:space="preserve">                       </w:t>
      </w:r>
      <w:r>
        <w:rPr>
          <w:rFonts w:hint="eastAsia" w:ascii="宋体" w:hAnsi="宋体" w:eastAsia="宋体"/>
          <w:szCs w:val="21"/>
        </w:rPr>
        <w:t xml:space="preserve">      </w:t>
      </w:r>
      <w:r>
        <w:rPr>
          <w:rFonts w:ascii="宋体" w:hAnsi="宋体" w:eastAsia="宋体"/>
          <w:szCs w:val="21"/>
        </w:rPr>
        <w:t xml:space="preserve">    </w:t>
      </w:r>
      <w:r>
        <w:rPr>
          <w:rFonts w:hint="eastAsia" w:ascii="宋体" w:hAnsi="宋体" w:eastAsia="宋体"/>
          <w:szCs w:val="21"/>
        </w:rPr>
        <w:t xml:space="preserve">       </w:t>
      </w:r>
    </w:p>
    <w:tbl>
      <w:tblPr>
        <w:tblStyle w:val="23"/>
        <w:tblW w:w="14174"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38"/>
        <w:gridCol w:w="1"/>
        <w:gridCol w:w="1293"/>
        <w:gridCol w:w="2"/>
        <w:gridCol w:w="860"/>
        <w:gridCol w:w="1293"/>
        <w:gridCol w:w="4"/>
        <w:gridCol w:w="1717"/>
        <w:gridCol w:w="6"/>
        <w:gridCol w:w="3112"/>
        <w:gridCol w:w="9"/>
        <w:gridCol w:w="828"/>
        <w:gridCol w:w="9"/>
        <w:gridCol w:w="1196"/>
        <w:gridCol w:w="10"/>
        <w:gridCol w:w="67"/>
        <w:gridCol w:w="1273"/>
        <w:gridCol w:w="39"/>
        <w:gridCol w:w="1303"/>
        <w:gridCol w:w="1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4" w:type="dxa"/>
          <w:trHeight w:val="1028" w:hRule="atLeast"/>
          <w:jc w:val="center"/>
        </w:trPr>
        <w:tc>
          <w:tcPr>
            <w:tcW w:w="1139" w:type="dxa"/>
            <w:gridSpan w:val="2"/>
            <w:shd w:val="clear" w:color="auto" w:fill="auto"/>
            <w:vAlign w:val="center"/>
          </w:tcPr>
          <w:p>
            <w:pPr>
              <w:widowControl/>
              <w:spacing w:line="360" w:lineRule="auto"/>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序号</w:t>
            </w:r>
          </w:p>
        </w:tc>
        <w:tc>
          <w:tcPr>
            <w:tcW w:w="1295" w:type="dxa"/>
            <w:gridSpan w:val="2"/>
            <w:shd w:val="clear" w:color="auto" w:fill="auto"/>
            <w:vAlign w:val="center"/>
          </w:tcPr>
          <w:p>
            <w:pPr>
              <w:widowControl/>
              <w:spacing w:line="360" w:lineRule="auto"/>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名称</w:t>
            </w:r>
          </w:p>
        </w:tc>
        <w:tc>
          <w:tcPr>
            <w:tcW w:w="2157" w:type="dxa"/>
            <w:gridSpan w:val="3"/>
            <w:shd w:val="clear" w:color="auto" w:fill="auto"/>
            <w:vAlign w:val="center"/>
          </w:tcPr>
          <w:p>
            <w:pPr>
              <w:widowControl/>
              <w:spacing w:line="360" w:lineRule="auto"/>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品牌/型号</w:t>
            </w:r>
          </w:p>
        </w:tc>
        <w:tc>
          <w:tcPr>
            <w:tcW w:w="1723" w:type="dxa"/>
            <w:gridSpan w:val="2"/>
            <w:shd w:val="clear" w:color="auto" w:fill="auto"/>
            <w:vAlign w:val="center"/>
          </w:tcPr>
          <w:p>
            <w:pPr>
              <w:widowControl/>
              <w:spacing w:line="360" w:lineRule="auto"/>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制造厂家</w:t>
            </w:r>
          </w:p>
        </w:tc>
        <w:tc>
          <w:tcPr>
            <w:tcW w:w="3121" w:type="dxa"/>
            <w:gridSpan w:val="2"/>
            <w:shd w:val="clear" w:color="auto" w:fill="auto"/>
            <w:vAlign w:val="center"/>
          </w:tcPr>
          <w:p>
            <w:pPr>
              <w:widowControl/>
              <w:spacing w:line="360" w:lineRule="auto"/>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规格和说明</w:t>
            </w:r>
          </w:p>
        </w:tc>
        <w:tc>
          <w:tcPr>
            <w:tcW w:w="837" w:type="dxa"/>
            <w:gridSpan w:val="2"/>
            <w:shd w:val="clear" w:color="auto" w:fill="auto"/>
            <w:vAlign w:val="center"/>
          </w:tcPr>
          <w:p>
            <w:pPr>
              <w:widowControl/>
              <w:spacing w:line="360" w:lineRule="auto"/>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单位</w:t>
            </w:r>
          </w:p>
        </w:tc>
        <w:tc>
          <w:tcPr>
            <w:tcW w:w="1206" w:type="dxa"/>
            <w:gridSpan w:val="2"/>
            <w:shd w:val="clear" w:color="auto" w:fill="auto"/>
            <w:vAlign w:val="center"/>
          </w:tcPr>
          <w:p>
            <w:pPr>
              <w:widowControl/>
              <w:spacing w:line="360" w:lineRule="auto"/>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数量</w:t>
            </w:r>
          </w:p>
        </w:tc>
        <w:tc>
          <w:tcPr>
            <w:tcW w:w="1340" w:type="dxa"/>
            <w:gridSpan w:val="2"/>
            <w:shd w:val="clear" w:color="auto" w:fill="auto"/>
            <w:vAlign w:val="center"/>
          </w:tcPr>
          <w:p>
            <w:pPr>
              <w:widowControl/>
              <w:spacing w:line="360" w:lineRule="auto"/>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单价（人民币元）</w:t>
            </w:r>
          </w:p>
        </w:tc>
        <w:tc>
          <w:tcPr>
            <w:tcW w:w="1342" w:type="dxa"/>
            <w:gridSpan w:val="2"/>
            <w:vAlign w:val="center"/>
          </w:tcPr>
          <w:p>
            <w:pPr>
              <w:widowControl/>
              <w:spacing w:line="360" w:lineRule="auto"/>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备注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4" w:type="dxa"/>
          <w:trHeight w:val="599" w:hRule="atLeast"/>
          <w:jc w:val="center"/>
        </w:trPr>
        <w:tc>
          <w:tcPr>
            <w:tcW w:w="14160" w:type="dxa"/>
            <w:gridSpan w:val="19"/>
            <w:shd w:val="clear" w:color="auto" w:fill="auto"/>
            <w:vAlign w:val="center"/>
          </w:tcPr>
          <w:p>
            <w:pPr>
              <w:widowControl/>
              <w:spacing w:line="360" w:lineRule="auto"/>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1、基础硬件建设</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4" w:type="dxa"/>
          <w:trHeight w:val="538" w:hRule="atLeast"/>
          <w:jc w:val="center"/>
        </w:trPr>
        <w:tc>
          <w:tcPr>
            <w:tcW w:w="14160" w:type="dxa"/>
            <w:gridSpan w:val="19"/>
            <w:shd w:val="clear" w:color="auto" w:fill="auto"/>
            <w:vAlign w:val="center"/>
          </w:tcPr>
          <w:p>
            <w:pPr>
              <w:widowControl/>
              <w:spacing w:line="360" w:lineRule="auto"/>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一、视频显示系统</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4" w:type="dxa"/>
          <w:trHeight w:val="559" w:hRule="atLeast"/>
          <w:jc w:val="center"/>
        </w:trPr>
        <w:tc>
          <w:tcPr>
            <w:tcW w:w="14160" w:type="dxa"/>
            <w:gridSpan w:val="19"/>
            <w:shd w:val="clear" w:color="auto" w:fill="auto"/>
            <w:vAlign w:val="center"/>
          </w:tcPr>
          <w:p>
            <w:pPr>
              <w:widowControl/>
              <w:spacing w:line="360" w:lineRule="auto"/>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（一）、合成作战中心小间距L</w:t>
            </w:r>
            <w:r>
              <w:rPr>
                <w:rFonts w:ascii="宋体" w:hAnsi="宋体" w:eastAsia="宋体" w:cs="宋体"/>
                <w:b/>
                <w:bCs/>
                <w:color w:val="000000"/>
                <w:kern w:val="0"/>
                <w:szCs w:val="21"/>
              </w:rPr>
              <w:t>ED</w:t>
            </w:r>
            <w:r>
              <w:rPr>
                <w:rFonts w:hint="eastAsia" w:ascii="宋体" w:hAnsi="宋体" w:eastAsia="宋体" w:cs="宋体"/>
                <w:b/>
                <w:bCs/>
                <w:color w:val="000000"/>
                <w:kern w:val="0"/>
                <w:szCs w:val="21"/>
              </w:rPr>
              <w:t>显示系统</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室内全彩显</w:t>
            </w:r>
            <w:bookmarkStart w:id="1" w:name="_GoBack"/>
            <w:bookmarkEnd w:id="1"/>
            <w:r>
              <w:rPr>
                <w:rFonts w:hint="eastAsia" w:ascii="宋体" w:hAnsi="宋体" w:eastAsia="宋体" w:cs="宋体"/>
                <w:color w:val="000000"/>
                <w:kern w:val="0"/>
                <w:szCs w:val="21"/>
              </w:rPr>
              <w:t>示屏</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蓝普/P1.56</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深圳蓝普科技有限公司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1、像素间距：1.5625mm；</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2、点密度：409600点/ m²；显示屏箱体尺寸：400mm（宽）×300mm（高）；显示屏箱体分辨率: 256点（列）×192点（行）；显示屏箱体数量: 12列×6行；显示屏净显示尺寸：4.8m（宽）×1.8m（高）=8.64㎡；显示屏总分辨率：3072点（列）×1152点（行）=3,538,944颗像素点；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3、LED灯种类：SMD1010；像素点组成：1R1G1B；</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4、亮度：200cd~800cd/m²可调（色温6500K）；</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5、视角：160°/160°（水平视角/垂直）；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6、平整度：≤0.1mm；</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7、亮度均匀性：≥97%；</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8、色度均匀性：±0.003  Cx,Cy之内；</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9、对比度：5000:1；</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10、防护等级：IP43。</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w:t>
            </w:r>
          </w:p>
        </w:tc>
        <w:tc>
          <w:tcPr>
            <w:tcW w:w="1205"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8.64</w:t>
            </w:r>
          </w:p>
        </w:tc>
        <w:tc>
          <w:tcPr>
            <w:tcW w:w="1389"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39000.00</w:t>
            </w:r>
          </w:p>
        </w:tc>
        <w:tc>
          <w:tcPr>
            <w:tcW w:w="1317" w:type="dxa"/>
            <w:gridSpan w:val="2"/>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接收卡</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诺瓦/ A4S</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西安诺瓦星云科技股份有限公司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1、全功能高端接收卡，单卡带载256×256（PWM IC）像素；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2、采用高密度接插件接口，集成网络变压器；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3、支持LVDS 传输，支持智能模组，支持接收卡预存画面设置，支持灯板Flash 管理，支持温度、供电电压状态监测，支持网线通信状态监测，支持 5pin 液晶模块，支持画面 90 度倍数旋转。</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张</w:t>
            </w:r>
          </w:p>
        </w:tc>
        <w:tc>
          <w:tcPr>
            <w:tcW w:w="1205"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72</w:t>
            </w:r>
          </w:p>
        </w:tc>
        <w:tc>
          <w:tcPr>
            <w:tcW w:w="1389"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450.00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发送卡</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诺瓦/ MCTRL600</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西安诺瓦星云科技股份有限公司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 xml:space="preserve">1、输入分辨率 ：1920×1200，2048×1152，2560×960；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2、带载能力 ：230万像素；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3、具备USB接口控制；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4、具备HDMI / DVI视频接口；视频格式：RGB，YCrCb4:2:2，YCrCb4:4:4；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5、具备HDMI/一路3.5mm接口音频输入；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6、输出接口 ：四网口；视频源位深：8/10/12bit；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7、光探测头 ：1路；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8、供电电压 ：AC-100-240V-50/60HZ。</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05"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89"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LED播放软件</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诺瓦/ V1.0</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西安诺瓦星云科技股份有限公司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LED编辑播放播放软件。</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套</w:t>
            </w:r>
          </w:p>
        </w:tc>
        <w:tc>
          <w:tcPr>
            <w:tcW w:w="1205"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89"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视频处理器</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诺瓦/ VS7</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西安诺瓦星云科技股份有限公司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1、多画面拼接处理器，支持4K×2K@30Hz视频输入，可同时支持7路输入和5个独立窗口；本次配置1路3G-SDI、2路HDMI、4路DVI输入；</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2、单机 4 个 DVI 接口拼接输出，支持水平拼接、垂直拼接和田字拼接；</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3、多窗口显示支持添加5 个窗口任意布局，且每个窗口支持跨接口输出 ；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4、具备HDMI 预监输出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 具备画面控制功能 支持画面一键黑屏，冻结 。</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05"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89"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18500.00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配电柜</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正泰/20KW</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浙江正泰电器股份有限公司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整个系统（含显示屏）的开关实现远程控制上电，实现定时开关。具有短路保护、过流保护、过载保护、漏电保护、过电压及欠压保护、防雷保护、防联动断电及漏电保护。本次配置功率20KW。</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05"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89"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屏体结构</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蓝普/国标定制</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深圳蓝普科技有限公司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根据厅室现场实际定制，采用Q235高强度钢结构，高强度钢结构规格：40 mm *40 mm，铝型材规格：40 mm *20 mm。包边：美观、大方，与厅室装修风格一致。</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项</w:t>
            </w:r>
          </w:p>
        </w:tc>
        <w:tc>
          <w:tcPr>
            <w:tcW w:w="1205"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89"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会议平板显示设备</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希沃/ F75EA</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广州视睿电子科技有限公司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1、显示尺寸：75英寸LED 液晶屏，A级硬屏，机身采用全金属外观， 分辨率1920*1080，可视角度≥178°；</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2、具有“触摸点跟踪定位校正”技术，具有“无线影音传输”技术保证日常教学的使用需求，产品稳定性；</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3、具备手势识别、屏幕密码锁等功能；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4、内置非独立外扩展的摄像头，像素500万，支持二维码扫码识别功能；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5、设备支持通过前置按键一键启动录屏功能；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6、配置配套会议白板软件。</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20000.00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PC电脑</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希沃/ MT23</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广州视睿电子科技有限公司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会议平板显示设备内置电脑模块采用按压式开关，无需工具即可快速拆卸电脑模块。处理器：性能Intel Core i3；内存：4G DDR3内存；硬盘：128G固态硬盘+500G机械硬盘，具有独立非外扩展的视频输出接口：1路HDMI ；1路DP。</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无线传屏器</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希沃/ SM01</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广州视睿电子科技有限公司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可实现外部电脑音视频高清信号实时传输到会议平板显示设备（无论会议平板显示设备处于任何显示通道），且可支持触摸信号回传。</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安装支架</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希沃/ WIB9060C</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广州视睿电子科技有限公司</w:t>
            </w:r>
          </w:p>
        </w:tc>
        <w:tc>
          <w:tcPr>
            <w:tcW w:w="3118" w:type="dxa"/>
            <w:gridSpan w:val="2"/>
            <w:shd w:val="clear" w:color="auto" w:fill="auto"/>
            <w:noWrap/>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固定安装会议平板显示设备，根据会议室现场环境确定安装方式，美观、大方、牢固。</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副</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智能图像处理系统</w:t>
            </w:r>
          </w:p>
        </w:tc>
        <w:tc>
          <w:tcPr>
            <w:tcW w:w="2155" w:type="dxa"/>
            <w:gridSpan w:val="3"/>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淳中/ TITANS-500</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北京淳中科技股份有限公司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1、设备为纯硬件FPGA架构,CrossPoint全总线交换技术；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2、风扇、输入输出板卡可热插拔，在不断电情况下进行更换；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3、开机时间≤10s，启动电源至输出最短画面的时间间隔；</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4、平均故障时间间隔（MTBF）不小于96000小时，保证设备能够稳定运行；</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5、最大单机背板信号处理带宽不小于720Gbps，单路信号带宽不少于3Gbps；</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6、支持图像无缝实时切换功能；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7、支持输入通道字符叠加功能，可自定义字体、颜色、大小、位置、透明度等参数；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8、支持EDID在线编辑功能；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9、支持输出通道测试；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10、前面板可显示设备IP地址，设备型号等基础信息内容；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11、本次项目建设配置接口类型和数量：输入2路HD-SDI,12路DVI，输出2路HD-SDI,12路DVI。配置1套网络传输器。</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85000.00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智能图像处理系统系统软件</w:t>
            </w:r>
          </w:p>
        </w:tc>
        <w:tc>
          <w:tcPr>
            <w:tcW w:w="2155" w:type="dxa"/>
            <w:gridSpan w:val="3"/>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淳中/ V1.0</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北京淳中科技股份有限公司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与智能图像处理系统同一品牌，支持无缝切换、自定义分辨率、字符叠加、场景预存、读取和自动轮巡等功能。</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套</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高清视频指挥调度终端</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华为/ TE50</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华为技术有限公司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1、采用嵌入式操作系统，非Windows、Android系统，非PC、工控机架构；</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3、支持ITU-T H.323、H.320及IETF SIP协议；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4、支持H.263、H.263+、H.264、H.264HP、H.264SVC等图像编码协议；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5、支持H.239和BFCP双流协议；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6、提供4路高清视频输入、4路高清视频输出接口；支持6路音频输入和6路音频输出接口；</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7、具备良好的网络适应性，25%的网络丢包下,图像流畅、清晰、无卡顿、无马赛克现象；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8、支持智能语音呼叫功能。</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58000.00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高清视频指挥调度摄像机</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明日/ UV950A</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深圳市明日实业有限责任公司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1、高清一体化云台摄像机，成像器件：1/2.8英寸CMOS，207万像素；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2、输出信号格式：1080/60p,50p,30p,25p,1080/60,50i等；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3、镜头变焦：12倍光学变焦，水平视场角：72.5度（广角）；</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4、视频输出接口：具备3G-SDI/DVI（HDMI）接口；</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5、预置位255个(遥控器10个)。</w:t>
            </w:r>
          </w:p>
        </w:tc>
        <w:tc>
          <w:tcPr>
            <w:tcW w:w="837"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000000" w:fill="FFFFFF"/>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12500.00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摄像机安装支架</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伟峰/定制</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宁波伟峰影像设备集团有限公司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固定安装摄像机，根据会议室现场环境确定安装方式，美观、大方、牢固。</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副</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视频指挥调度智能终端</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小鱼易连/ ME40</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北京小鱼易连科技有限公司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终端主机1台、光学变焦摄像头1台、拾音器1个。</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套</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46000.00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专业会议扬声器</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BOSE/ DS 100SE</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博士视听系统(上海)有限公司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1、功率100W (400W 峰值 )/8Ω/70/100V；</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2、最大声压级105dB-SPL( 峰值 111 dB - SPL)；灵敏度： 85dB-SPL；</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3、频响范围75Hz-18kHz(-3dB)；</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4、辐射角度180º (H), 75º (V)。</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只</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墙壁安装支架</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BOSE/定制</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博士视听系统(上海)有限公司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固定安装会议音箱。根据会议室现场环境确定安装方式，美观、大方、牢固。</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副</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450.00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专业会议音箱</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BOSE/ DS 100SE</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博士视听系统(上海)有限公司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1、功率100W (400W 峰值 )/8Ω/70/100V；</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2、最大声压级105dB-SPL( 峰值 111 dB - SPL)；灵敏度： 85dB-SPL；</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3、频响范围75Hz-18kHz(-3dB)；</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4、辐射角度180º (H), 75º (V)。</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只</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音响安装支架</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BOSE/定制</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博士视听系统(上海)有限公司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固定安装会议音箱。根据会议室现场环境确定安装方式，美观、大方、牢固。</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副</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450.00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294"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功率放大器</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LAX/ K3</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广州市锐丰音响科技股份有限公司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1、8 欧姆立体声:2×350W；4 欧姆立体:2×630W；8欧姆桥接单声道:1050W；</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2、频率响应（1W）:20Hz-20kHz，+0.5/-0.5dB；</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3、具备防止短路、空载、开/关机噪音、无线电干扰保护电路。</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2600.00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294"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音频信号处理器</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BOSE/ ControlSpace®SP-24</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fldChar w:fldCharType="begin"/>
            </w:r>
            <w:r>
              <w:instrText xml:space="preserve"> HYPERLINK "http://www.baidu.com/link?url=z2TbMQW6fIOwfsOsCQsu2e6ZT8BObFDVJ4fiObbEW_bm5au2omhI_Qa5wI7vl9t1" \t "_blank" </w:instrText>
            </w:r>
            <w:r>
              <w:fldChar w:fldCharType="separate"/>
            </w:r>
            <w:r>
              <w:rPr>
                <w:rFonts w:hint="eastAsia" w:ascii="宋体" w:hAnsi="宋体" w:eastAsia="宋体" w:cs="宋体"/>
                <w:color w:val="000000"/>
                <w:kern w:val="0"/>
                <w:szCs w:val="21"/>
              </w:rPr>
              <w:t>博士视听系统(上海)有限公司</w:t>
            </w:r>
            <w:r>
              <w:rPr>
                <w:rFonts w:hint="eastAsia" w:ascii="宋体" w:hAnsi="宋体" w:eastAsia="宋体" w:cs="宋体"/>
                <w:color w:val="000000"/>
                <w:kern w:val="0"/>
                <w:szCs w:val="21"/>
              </w:rPr>
              <w:fldChar w:fldCharType="end"/>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音频输入： 2路，卡农接口；音频输出： 4路，卡农接口；频率响应：20 Hz ～ 20 KHz (+0/-1 dB)。 A/D 和D/A 转换器：24 位;采样率：48 KHz;最大输出延时：170 毫秒; 最大输入电平：+18 dBu;最大输出电平：+18 dBu;高度：1RU。</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专业调音台</w:t>
            </w:r>
          </w:p>
        </w:tc>
        <w:tc>
          <w:tcPr>
            <w:tcW w:w="2155" w:type="dxa"/>
            <w:gridSpan w:val="3"/>
            <w:shd w:val="clear" w:color="000000" w:fill="FFFFFF"/>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YAMAHA/ MG16XU</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雅马哈乐器音响(中国)投资有限公司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1、10个话筒 / 16个线路输入 (8个单声道 + 4个立体声)； 4编组母线 + 1立体声母线 ； 4 AUX；</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2、带有倒向晶体管电路；单旋钮压缩器； 效果器：SPX，含24组预置效果器；24-bit/192kHz 2进/2出 USB音频功能；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3、具备+48V幻象供电； XLR平衡输出；世界通用的内部全局供电。</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3800.00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手持式无线话筒</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Audio technica/ ATW-2120a</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北京铁三角技术开发有限公司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 10个UHF通道可同时使用。频率扫瞄功能，可寻找及设定在最佳的可使用频率上。分集式接收操作。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2、接收机设有LCD液晶体资料显示。需具备数位式锁调静噪技术。接收机设有平衡式XLR卡农音频输出，及非平衡式6.3mm音频输出。</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3400.00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数字会议主机</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BOSCH/ CCS-CU-CN</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博世（上海）安保系统有限公司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1、内置 MP3 录音和回放功能以及图形显示屏；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2、为系统中的所有代表机供电，控制代表机的话筒；</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3、支持外置有线或无线话筒参与讨论；支持外部音频处理器。</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12000.00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讨论设备带长话筒</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BOSCH/ CCS-DL-CN</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博世（上海）安保系统有限公司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 xml:space="preserve">1、采样频率：44.1kHz（CD级音质）；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2、专利技术，可防止移动电话干扰；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3、本次选用长话筒杆，长度480 毫米（18.9英寸）；                                                                              4、话筒按钮通过指示灯颜色区分其当前状态；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5、支持带电热插拔。</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2600.00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安装电缆</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BOSCH/ LBB4116/20</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博世（上海）安保系统有限公司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专用传输线缆，长度20米。</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根</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多媒体智能中控系统主机</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Crestron/ RMC3</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快思聪亚洲(中国)有限公司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1、板载256MB RAM和4GB闪存；支持外部USB闪存和海量存储设备；行业标准的以太网和有线通信；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2、具备RS-232/422/485串口；两个红外/串口，两个中继，两个数字输入口；使用802.1X认证的硬件级安全；TLS，SSL，SSH，SFTP和网络安全协议；供电网络供电。</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15000.00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移动控制终端</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Apple/ iPad AIR2</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苹果公司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1、屏幕尺寸9.7英寸；屏幕分辨率2048×1536；存储容量32GB；</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2、电容屏多点触控：支持802.11a/b/g/n无线协议。</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3600.00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中控软件编程</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Crestron/ SimpleProV</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fldChar w:fldCharType="begin"/>
            </w:r>
            <w:r>
              <w:instrText xml:space="preserve"> HYPERLINK "http://www.baidu.com/link?url=dJEqDEYt81Bfv0IO29T3JYGevZ7Q459XoTKk8lknoJmMojgToRHGO5UV5LXel_Z7xECaom8ZJr5roTHf-EgMVq" \t "_blank" </w:instrText>
            </w:r>
            <w:r>
              <w:fldChar w:fldCharType="separate"/>
            </w:r>
            <w:r>
              <w:rPr>
                <w:rFonts w:hint="eastAsia" w:ascii="宋体" w:hAnsi="宋体" w:eastAsia="宋体" w:cs="宋体"/>
                <w:color w:val="000000"/>
                <w:kern w:val="0"/>
                <w:szCs w:val="21"/>
              </w:rPr>
              <w:t>快思聪亚洲(中国)有限公司</w:t>
            </w:r>
            <w:r>
              <w:rPr>
                <w:rFonts w:hint="eastAsia" w:ascii="宋体" w:hAnsi="宋体" w:eastAsia="宋体" w:cs="宋体"/>
                <w:color w:val="000000"/>
                <w:kern w:val="0"/>
                <w:szCs w:val="21"/>
              </w:rPr>
              <w:fldChar w:fldCharType="end"/>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中控软件编程，定制界面，根据使用习惯和要求编写应用程序。</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套</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无线接入点</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TP-LINK/ TL-WDR6500</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普联技术有限公司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1、1750M 11AC双频无线路由器；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2、2.4GHz频段无线速率450M；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3、5GHz 频段无线速率1300M。</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000000" w:fill="FFFFFF"/>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340.00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触摸式信息发布设备</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维诺/ DTV-556</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西安维诺信息科技有限公司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1、屏幕尺寸： 55寸；分辨率：1920*1080；色彩：16.7M；亮度：450cd/m2；对比度：5000：1；</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2、内置PC电脑；</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3、根据用户需要设计显示界面。</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13500.00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壁挂安装支架</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维诺/定制</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西安维诺信息科技有限公司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固定触摸式信息发布设备，根据会议室现场环境确定安装方式，美观、大方、牢固。</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副</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多媒体信息发布系统软件</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维诺/ V1.0</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西安维诺信息科技有限公司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1、横竖屏随意切换；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2、支持屏保；自动开、关机；滚动字幕；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3、支持多种播放方式、影音格式。</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套</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办公电脑</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联想/ T4900D</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联想（北京）有限公司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1、处理器：Intel酷睿™I5-7400；</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2、内存：8G DDR4；</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3、硬盘：ITB 7200转；</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4、光驱：DVDRW；</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5、显示器：20寸LED宽屏显示器。含键鼠。</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办公电脑</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联想/ T4900D</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联想（北京）有限公司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1、处理器：Intel酷睿™I5-7400；</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2、内存：8G DDR4；</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3、硬盘：ITB 7200转；</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4、光驱：DVDRW；</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5、显示器：20寸LED宽屏显示器。含键鼠。</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笔记本电脑</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ThinkPad/ E490</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联想（北京）有限公司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1、处理器：Intel酷睿™I5-7400；</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2、内存：8GB DDR4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3、硬盘：1TB+128GB SSD；</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4、14英寸防眩光LED背光显示屏，配置鼠标、包。</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7500.00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扫描复印打印一体机</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佳能/ iR  2204N</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佳能(中国)有限公司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1、扫描复印打印一体机，激光静电转印方式；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2、内存512 MB；</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3、原稿尺寸：A3，灰度等级 256级；</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4、分辨率：复印600×600dpi；打印600×600dpi；扫描300×300dpi；</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5、连续输出速度： 22页/分钟；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6、出纸托盘容量： 250张(A4,80g/m2)。</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普通打印机</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佳能/ iC MF4752</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佳能(中国)有限公司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打印，复印，扫描，传真四合一激光多功能一体机，内存 :128 MB；菜单显示:5行中文/英语；预热时间: 13.5秒；自动输稿器: 35张 (50-105g/m2)；供纸容量:纸盒：250 张 (A4)。</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碎纸机</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得力/33152</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得力集团集团有限公司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碎纸量6张/次，碎纸箱容积20L，可连续碎纸时间40分钟，入纸宽度220mm。</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电话机</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步步高/固定电话机</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广东步步高电子工业有限公司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固定有线电话机。支持免提、夜光照明、时间显示、防雷击等功能。</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部</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程控交换机</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恒捷通信/ HJ-A2010E</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浙江恒捷通信科技有限公司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单纤传24路电话， LC20KM，1U机架式的。</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千兆交换机</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华三/ S5130S-28P-EI</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新华三集团</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1、千兆以太网交换机，交换容量（全双工）336Gbps；包转发率（整机）96Mpps；</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2、24个10/100/1000Base-T自适应以太网端口4个千兆SFP口/4个万兆SFP+口/4个千兆SFP口（2combo口）。</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3800.00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指挥决策条形会议桌</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名辉/4000*1400*750</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名辉家具（珠海）有限公司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1、基材：E0级刨花板，甲醛释放量≤5mg/100g；</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2、贴面：优质耐磨三聚氢胺浸渍饰面；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3、封边：PVC封边条；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4、五金配件：采用DTC优质五金件；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5、美观，高档，体现科技感，参考尺寸：4000*1400*750。</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套</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33000.00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指挥决策会议桌座椅</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谷腾/620*600*560H</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佛山市谷腾家具有限公司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1、特网靠背；</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2、3M防水科技皮饰面；高密度成型海绵 ；尼龙加纤背框；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3、升降腰靠；3D升降扶手； 2.0厚25管电镀架；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4、参考尺寸：620*600*560H。</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把</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指挥决策带书写板座椅</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谷腾/560W*480D*870H</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佛山市谷腾家具有限公司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1、尼龙加玻纤靠背；</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2、定型海绵；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3、写字板配置自开模铝合金活动支架，可180°翻转；</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4、1.8厚电镀或喷粉蛋型管，可拆装四脚椅架，带铝合金活动链接件；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5、参考尺寸：560W*480D*870H。</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把</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950.00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指挥调度控制台</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铁力山/ JC-A</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铁力山(北京)控制技术有限公司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1、参考尺寸：台面深度980mm,距地面高745mm，长度共计1818mm；</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2、框架结构：内部主框架为2.0mm冷轧钢板，台面支撑件为3.0mm冷轧钢板；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3、台面板：内部为复合板，表面为HPL，台面无缝拼接；</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4、前后门板：内部为复合板，表面为HPL整体厚度不低于18mm；</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5、台面封边：使用进口软聚氨酯鸭嘴边弧形封边条、保证操作员工作时手臂自然舒适；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 xml:space="preserve">6、后背墙：铝型材，防静电喷塑处理；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7、布线系统：做到强弱电分离；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 每个席位配置PDU: 标准机架式 最大承载功率2500W。</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组</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22000.00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显示器支架</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铁力山/九方向可调节</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铁力山(北京)控制技术有限公司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单臂固定于控制台背板墙，可9向自由调节、伸缩的铝合金液晶支架，稳定承重标准液晶显示器。</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套</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36</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指挥调度座椅</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谷腾/635*620*1155</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佛山市谷腾家具有限公司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1、高背转椅，带头枕；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2、定型海绵坐垫扪布，配升降扶手；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3、同步倾仰底盘；</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4、350 MM 铝合金脚；</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5、4级气压棒配ф60MM PU 脚轮；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6、参考尺寸：635*620*1155。</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把</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2600.00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300万半球型网络摄像机</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海康威视/ DS-2CD3346WD-I</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杭州海康威视数字技术股份有限公司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1、1/2.7” CMOS ICR日夜型半球型网络摄像机，400万像素；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2、采用高效红外灯,照射距离可达20-30米；支持smart IR，防止夜间红外过曝。</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高清网络录像机</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海康威视/ DS-8616N-I8</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杭州海康威视数字技术股份有限公司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1、网络视频输入16路，网络视频接入带宽 256Mbps； 8个SATA接口，可用于录像和备份；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2、支持国标28181协议接入平台；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3、支持HDMI输出、VGA输出，双千兆网卡，支持双网络IP设定等应用。</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3200.00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存储硬盘</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希捷/4TB</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希捷科技有限公司</w:t>
            </w:r>
          </w:p>
        </w:tc>
        <w:tc>
          <w:tcPr>
            <w:tcW w:w="3118" w:type="dxa"/>
            <w:gridSpan w:val="2"/>
            <w:shd w:val="clear" w:color="auto" w:fill="auto"/>
            <w:noWrap/>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企业级硬盘，4TB。</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块</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指纹门禁一体机</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中控智慧/ F18</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中控智慧科技股份有限公司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1、TCP/IP通讯方式,支持跨网段夸网关连接，门禁功能方面支持高级门禁、Wiegand in/out等功能。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2、采用多MCU设计，每路读头、门锁、出门开关、门磁等都由各自独立的MCU单独控制。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3、采用Flash数据存储，掉电后数据可保存10年3万个持卡人和10万条事件记录。</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2200.00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智能锁</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中控智慧/ AL100</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中控智慧科技股份有限公司</w:t>
            </w:r>
          </w:p>
        </w:tc>
        <w:tc>
          <w:tcPr>
            <w:tcW w:w="3118" w:type="dxa"/>
            <w:gridSpan w:val="2"/>
            <w:shd w:val="clear" w:color="auto" w:fill="auto"/>
            <w:noWrap/>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DC12V输入，工作电流：500mA/250mA，抗拉力：不低于280kg。</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把</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600.00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开门按钮</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中控智慧/ E6</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中控智慧科技股份有限公司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1、具备自动复位功能，配套门禁系统使用，用于出门控制，自带荧光条；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2、86盒尺寸，材质：阻燃混合树脂。</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个</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门禁电源</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中控智慧/ AP103</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中控智慧科技股份有限公司</w:t>
            </w:r>
          </w:p>
        </w:tc>
        <w:tc>
          <w:tcPr>
            <w:tcW w:w="3118" w:type="dxa"/>
            <w:gridSpan w:val="2"/>
            <w:shd w:val="clear" w:color="auto" w:fill="auto"/>
            <w:noWrap/>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电源变压稳定控制器,3A。</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设备机柜</w:t>
            </w:r>
          </w:p>
        </w:tc>
        <w:tc>
          <w:tcPr>
            <w:tcW w:w="2155" w:type="dxa"/>
            <w:gridSpan w:val="3"/>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图腾/ A3.6042</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深圳市图腾通讯科技有限公司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宽600mm*深1000mm*高2055mm（容量42U，后门双开）；配置2个拖盘、1个PDU、风扇及脚轮等。</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台</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工程线缆</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秋叶原/国标</w:t>
            </w:r>
          </w:p>
        </w:tc>
        <w:tc>
          <w:tcPr>
            <w:tcW w:w="1721" w:type="dxa"/>
            <w:gridSpan w:val="2"/>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深圳市秋叶原实业有限公司</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1、电源线缆；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2、六类非屏蔽网线；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3、HDMI连接线；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4、话筒线；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5、专用音箱线。</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项</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94"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工程辅料</w:t>
            </w:r>
          </w:p>
        </w:tc>
        <w:tc>
          <w:tcPr>
            <w:tcW w:w="2155" w:type="dxa"/>
            <w:gridSpan w:val="3"/>
            <w:shd w:val="clear" w:color="auto" w:fill="auto"/>
            <w:noWrap/>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国产/国标</w:t>
            </w:r>
          </w:p>
        </w:tc>
        <w:tc>
          <w:tcPr>
            <w:tcW w:w="1721"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w:t>
            </w:r>
          </w:p>
        </w:tc>
        <w:tc>
          <w:tcPr>
            <w:tcW w:w="3118" w:type="dxa"/>
            <w:gridSpan w:val="2"/>
            <w:shd w:val="clear" w:color="auto" w:fill="auto"/>
            <w:vAlign w:val="center"/>
          </w:tcPr>
          <w:p>
            <w:pPr>
              <w:widowControl/>
              <w:spacing w:line="360" w:lineRule="auto"/>
              <w:rPr>
                <w:rFonts w:ascii="宋体" w:hAnsi="宋体" w:eastAsia="宋体" w:cs="宋体"/>
                <w:color w:val="000000"/>
                <w:kern w:val="0"/>
                <w:szCs w:val="21"/>
              </w:rPr>
            </w:pPr>
            <w:r>
              <w:rPr>
                <w:rFonts w:hint="eastAsia" w:ascii="宋体" w:hAnsi="宋体" w:eastAsia="宋体" w:cs="宋体"/>
                <w:color w:val="000000"/>
                <w:kern w:val="0"/>
                <w:szCs w:val="21"/>
              </w:rPr>
              <w:t>1、插线板，插孔数量五位；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2、24口网络配线架；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3、RCA接头，国标产品。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4、RJ45接头，国标产品。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5、RJ11接头，国标产品。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6、卡侬头，国标产品。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7、大三芯，国标产品。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8、大二芯，国标产品。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9、小三芯，国标产品。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10、线扎，自锁式尼龙扎带5*250mm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11、防水胶带，专业电气1500无铅电工 绝缘胶带/电工胶布。</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12、号码管，10卷/套4平方 。</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13、线管3.6米/根，管径：25mm 。</w:t>
            </w:r>
          </w:p>
        </w:tc>
        <w:tc>
          <w:tcPr>
            <w:tcW w:w="837"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项</w:t>
            </w:r>
          </w:p>
        </w:tc>
        <w:tc>
          <w:tcPr>
            <w:tcW w:w="1282" w:type="dxa"/>
            <w:gridSpan w:val="4"/>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312" w:type="dxa"/>
            <w:gridSpan w:val="2"/>
            <w:shd w:val="clear" w:color="auto" w:fill="auto"/>
            <w:vAlign w:val="center"/>
          </w:tcPr>
          <w:p>
            <w:pPr>
              <w:widowControl/>
              <w:spacing w:line="36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石膏板吊顶拆除</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赛能/人工费</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西安赛能视频技术有限公司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1、决策室吊顶石膏板拆除</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3、垃圾下楼</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46.5</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铝扣板拆除</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赛能/人工费</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西安赛能视频技术有限公司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1、大厅铝板吊顶石膏板拆除</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3、垃圾下楼</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石膏板造型吊顶</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龙牌/主龙骨3000mm*50mm*15mm*1.2mm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付龙骨3000mm*50mm*20mm*0.5mm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石膏板3000mm*1200mm*9mm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河北北新龙牌建材有限公司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1、用热镀轻钢龙骨基础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2、石膏板饰面</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3、在做乳胶漆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4、主龙骨间距在800mm至1200mm之间，用8mm吊丝专用吊顶膨胀丝固定，在用付龙骨在300mm至400mm之间固定</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5、造型部位用阻燃木工板按设计图纸要求做造型，木工板上要求刷防火涂料2至3遍</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6、按照现行标准图集、规范施工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46.5</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灯带</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名安/2440mm*1220mm*18mm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广州市伟亚木制品有限公司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1、用阻燃18mm木工板基础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2、石膏板饰面</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3、再做乳胶漆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19.6</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160.00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软膜天花</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柔力/0.18mm-0.2mm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广州柔力装饰材料有限公司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1、用阻燃18mm木工板基础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2、石膏板饰面</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3、在做防火涂料饰面，安装灯具</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4、软膜，扣边条</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270.00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乳胶漆</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立邦/18升</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苏州立邦涂料有限公司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1、把原有墙皮铲除</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2、刷108胶界面剂固化墙面</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3、板缝之间补石膏，贴网格带或芊维牛皮纸，在刮腻子2至3遍，用200瓦卤素灯泡照明打磨平整</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4、刷乳胶漆2至3遍</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101</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65.00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移动屏风钢架</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鞍钢/8#槽钢</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鞍山钢铁集团有限公司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1、顶基层清理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2、顶面镀锌顶置埋件150mm*200mm*8mm、墙面镀锌后置埋板150mm*150mm*5mm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3、竖向龙骨8#镀锌槽钢，竖向龙骨间距1000mm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4、横龙骨L50mm*5mm镀锌角钢、三角焊接</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5、连接件为5#镀锌角钢，埋板与基层砼为膨胀螺栓连接</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6、按照现行标准图集、规范施工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8.2</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450.00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屏风轨道预埋</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麦思卑斯/65#、85#</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上海麦思卑斯环保科技有限公司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1、65*65双槽合金型材，用专业螺丝固定</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大厅吊顶修复</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龙牌/主龙骨3000mm*50mm*15mm*1.2mm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付龙骨3000mm*50mm*20mm*0.5mm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石膏板3000mm*1200mm*9mm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河北北新龙牌建材有限公司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1、用热镀轻钢龙骨基础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2、石膏板饰面</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3、在做乳胶漆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4、主龙骨间距在800mm至1200mm之间，用8mm吊丝专用吊顶膨胀丝固定，在用付龙骨在300mm至400mm之间固定</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5、造型部位用阻燃木工板按设计图纸要求做造型，木工板上要求刷防火涂料2至3遍.（把原有部分吊顶拆除或切割）</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6、按照现行标准图集、规范施工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47.5</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玻璃隔墙改造</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吉祥/2440mm*1220mm*4mm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上海吉祥建材集团有限公司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1、原有玻璃隔断上做木工板基础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2、铝塑板饰面，结构胶收口</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380.00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拆除玻璃</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赛能/人工费</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西安赛能视频技术有限公司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1、部分玻璃隔断拆除</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3、垃圾下楼</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36</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45.00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拆除原墙面</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赛能/人工费</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西安赛能视频技术有限公司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1、把原有墙面拆除</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3、垃圾下楼</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96</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抗倍特板墙面钢架基础</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鞍钢/8#槽钢</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鞍山钢铁集团有限公司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1、基层清理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2、墙面镀锌后置埋件150mm*200mm*8mm、地面镀锌后置埋板150mm*150mm*5mm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3、竖向龙骨8#镀锌槽钢，竖向龙骨间距1000mm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4、横龙骨L50mm*5mm镀锌角钢、横向龙骨间距600mm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5、连接件为8#镀锌槽钢，埋板与基层砼为膨胀螺栓连接；</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6、按照现行标准图集、规范施工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165.00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抗倍特板墙面铝型材挂件</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乐思福/2440mm*1220mm*8mm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宜昌武星材料科技股份有限公司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1、专用55*1.2*6000抗倍特板专用成品型材，横向300mm间距固定</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85.00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抗倍特板墙面</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乐思福/ H121203/L303008</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宜昌武星材料科技股份有限公司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1、8mm厚干挂板</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2、饰面三聚氰胺面，内心千层牛皮纸浸胶压成</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400.00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铝合金边角收口</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乐思福/ H121203/L303008</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宜昌武星材料科技股份有限公司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1、专业加工铝合金收口条</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65</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85.00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双开玻璃门</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洛玻/2100mm*1450mm*12mm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洛阳玻璃股份有限公司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1、40mm*20mm方管焊接框架</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2、阻燃木工板做不锈钢面层基础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3、304#不锈钢饰面</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樘</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1,800.00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背景墙基础</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龙牌/主龙骨3000mm*50mm*15mm*1.2mm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付龙骨3000mm*50mm*20mm*0.5mm</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石膏板3000mm*1200mm*9mm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河北北新龙牌建材有限公司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1、75#隔墙轻钢龙骨基础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2、阻燃木工板饰面</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布艺硬包</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名安/2440mm*1220mm*18mm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广州市伟亚木制品有限公司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1、12mm奥松板基础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2、公安蓝色布艺硬包布</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220.00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字</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国产/ PVC、字大小420mm高</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1、PVC烤漆字，加工成品安装</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2000.00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警徽</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国产/铸铝、大小直径801mm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1、成品安装</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1000.00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13</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移动屏风</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麦思卑斯/65#、85#</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上海麦思卑斯环保科技有限公司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1、成品铝型材骨架，生态板饰面，加工好现场安装</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24</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1200.00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14</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窗帘</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宏达/定制加工</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广州宏达窗帘有限公司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1、双层布艺遮光窗帘，铝合金轨道</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22</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240.00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墙面吸音板</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声筑/2440mm*136mm*12mm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上海声筑环保科技工程有限公司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1、木龙骨，木工板基础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2、放吸音棉</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3、用木质吸音板饰面</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4、按照现行标准图集、规范施工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54</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220.00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16</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大屏边收口</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名安/2440mm*1220mm*18mm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广州市伟亚木制品有限公司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1、12mm阻燃木工板基础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2、加工成品不锈钢，结构胶固定</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26</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17</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成品木门</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硕臣/2100mm*800mm*45mm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西安永鑫臻品门业有限公司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1、铝型材骨架，生态板饰面</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3、参考尺寸：2100mm*800mm*45mm,单开门</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1800.00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五金</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硕臣/全铜</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西安永鑫臻品门业有限公司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1、五金锁具、合页、门吸</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289.00</w:t>
            </w:r>
          </w:p>
        </w:tc>
        <w:tc>
          <w:tcPr>
            <w:tcW w:w="1317" w:type="dxa"/>
            <w:gridSpan w:val="2"/>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OA地板</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恒锐特/500mm*500mm*35mm全钢</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常州恒锐特机房设备有限公司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1、500*500*30钢质地板，100mm高全丝支架</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2、40*0.4全铜汇流排</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129</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320.00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抗静电地毯</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天伦/500mm*500mm*0.5mm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上海天伦地毯有限公司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1、500*500方块地毯</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129</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160.00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地脚线</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名安/2440mm*1220mm*18mm</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广州市伟亚木制品有限公司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1、9mm阻燃木工板基础</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2、加工成品不锈钢地脚线，结构胶固定</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3、按照现行标准图集、规范施工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55</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95.00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插座、灯具布线</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津成/ ZRBV4#、2.5#全铜线</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天津市津成电线电缆有限公司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1、插座用4#专用ZRBV铜芯线，照明用2.5#专用ZRBV铜芯线</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800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7.20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套管</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伟星/ PVC20Ф</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伟星管业（北京）有限公司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1、20ФPVC套管,用专用吊架固定</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300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辅料</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伟星/ PVC20Ф</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伟星管业（北京）有限公司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1、86底盒、胶布、接线盒、接头、锁母等</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2、按照现行标准图集、规范施工</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平板灯</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佛山/300*1200*36W</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佛山电器照明股份有限公司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1、300*1200平板灯</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36</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250.00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支架</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佛山/ T5/1200mm*18W</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佛山电器照明股份有限公司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1、T5支架灯管，决策室用</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筒灯</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佛山/6寸18W</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佛山电器照明股份有限公司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1、6寸筒灯，成品安装</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24</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空调系统</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格力/ KFR-72LW</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珠海格力电器股份有限公司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1、3P柜机安装</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6,500.00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空调管道</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格力/Ф6.35/Ф15.88</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珠海格力电器股份有限公司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1、柜机安装距离原有配套管道不够，需要增加空调铜管管道</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30</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空调管道配件</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格力/Ф6.35/Ф15.88</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珠海格力电器股份有限公司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1、原有空调移动位置，铜管增加及第二次安装人工费</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2、人工费</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材料运输及上楼</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赛能/人工费</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西安赛能视频技术有限公司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人工费,市政指定专用建筑垃圾清理车（按5车计算，4.2米货车）</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车</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800.00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w:t>
            </w:r>
          </w:p>
        </w:tc>
        <w:tc>
          <w:tcPr>
            <w:tcW w:w="1294"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保洁，垃圾清运</w:t>
            </w:r>
          </w:p>
        </w:tc>
        <w:tc>
          <w:tcPr>
            <w:tcW w:w="2155" w:type="dxa"/>
            <w:gridSpan w:val="3"/>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赛能/人工费</w:t>
            </w: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西安赛能视频技术有限公司</w:t>
            </w:r>
          </w:p>
        </w:tc>
        <w:tc>
          <w:tcPr>
            <w:tcW w:w="3118" w:type="dxa"/>
            <w:gridSpan w:val="2"/>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清理卫生，垃圾外运，专业保洁</w:t>
            </w: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m²</w:t>
            </w: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128</w:t>
            </w: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15.00</w:t>
            </w:r>
          </w:p>
        </w:tc>
        <w:tc>
          <w:tcPr>
            <w:tcW w:w="1317" w:type="dxa"/>
            <w:gridSpan w:val="2"/>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B</w:t>
            </w:r>
          </w:p>
        </w:tc>
        <w:tc>
          <w:tcPr>
            <w:tcW w:w="1294" w:type="dxa"/>
            <w:gridSpan w:val="2"/>
            <w:shd w:val="clear" w:color="auto" w:fill="auto"/>
            <w:vAlign w:val="center"/>
          </w:tcPr>
          <w:p>
            <w:pPr>
              <w:spacing w:line="360" w:lineRule="auto"/>
              <w:ind w:left="-141"/>
              <w:jc w:val="center"/>
              <w:rPr>
                <w:rFonts w:ascii="宋体" w:hAnsi="宋体" w:eastAsia="宋体"/>
                <w:szCs w:val="21"/>
              </w:rPr>
            </w:pPr>
            <w:r>
              <w:rPr>
                <w:rFonts w:ascii="宋体" w:hAnsi="宋体" w:eastAsia="宋体"/>
                <w:szCs w:val="21"/>
              </w:rPr>
              <w:t>备品备件</w:t>
            </w:r>
          </w:p>
        </w:tc>
        <w:tc>
          <w:tcPr>
            <w:tcW w:w="862" w:type="dxa"/>
            <w:gridSpan w:val="2"/>
            <w:shd w:val="clear" w:color="auto" w:fill="auto"/>
            <w:noWrap/>
            <w:vAlign w:val="center"/>
          </w:tcPr>
          <w:p>
            <w:pPr>
              <w:widowControl/>
              <w:jc w:val="center"/>
              <w:rPr>
                <w:rFonts w:ascii="宋体" w:hAnsi="宋体" w:eastAsia="宋体" w:cs="宋体"/>
                <w:color w:val="000000"/>
                <w:kern w:val="0"/>
                <w:sz w:val="20"/>
                <w:szCs w:val="20"/>
              </w:rPr>
            </w:pPr>
          </w:p>
        </w:tc>
        <w:tc>
          <w:tcPr>
            <w:tcW w:w="1293" w:type="dxa"/>
            <w:shd w:val="clear" w:color="auto" w:fill="auto"/>
            <w:vAlign w:val="center"/>
          </w:tcPr>
          <w:p>
            <w:pPr>
              <w:widowControl/>
              <w:jc w:val="center"/>
              <w:rPr>
                <w:rFonts w:ascii="宋体" w:hAnsi="宋体" w:eastAsia="宋体" w:cs="宋体"/>
                <w:color w:val="000000"/>
                <w:kern w:val="0"/>
                <w:sz w:val="20"/>
                <w:szCs w:val="20"/>
              </w:rPr>
            </w:pP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p>
        </w:tc>
        <w:tc>
          <w:tcPr>
            <w:tcW w:w="3118" w:type="dxa"/>
            <w:gridSpan w:val="2"/>
            <w:shd w:val="clear" w:color="auto" w:fill="auto"/>
            <w:vAlign w:val="center"/>
          </w:tcPr>
          <w:p>
            <w:pPr>
              <w:widowControl/>
              <w:jc w:val="center"/>
              <w:rPr>
                <w:rFonts w:ascii="宋体" w:hAnsi="宋体" w:eastAsia="宋体" w:cs="宋体"/>
                <w:color w:val="000000"/>
                <w:kern w:val="0"/>
                <w:sz w:val="20"/>
                <w:szCs w:val="20"/>
              </w:rPr>
            </w:pP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p>
        </w:tc>
        <w:tc>
          <w:tcPr>
            <w:tcW w:w="1282" w:type="dxa"/>
            <w:gridSpan w:val="4"/>
            <w:shd w:val="clear" w:color="auto" w:fill="auto"/>
            <w:vAlign w:val="center"/>
          </w:tcPr>
          <w:p>
            <w:pPr>
              <w:widowControl/>
              <w:jc w:val="center"/>
              <w:rPr>
                <w:rFonts w:ascii="宋体" w:hAnsi="宋体" w:eastAsia="宋体" w:cs="宋体"/>
                <w:color w:val="000000"/>
                <w:kern w:val="0"/>
                <w:sz w:val="20"/>
                <w:szCs w:val="20"/>
              </w:rPr>
            </w:pPr>
          </w:p>
        </w:tc>
        <w:tc>
          <w:tcPr>
            <w:tcW w:w="1312" w:type="dxa"/>
            <w:gridSpan w:val="2"/>
            <w:shd w:val="clear" w:color="auto" w:fill="auto"/>
            <w:vAlign w:val="center"/>
          </w:tcPr>
          <w:p>
            <w:pPr>
              <w:widowControl/>
              <w:jc w:val="center"/>
              <w:rPr>
                <w:rFonts w:ascii="宋体" w:hAnsi="宋体" w:eastAsia="宋体" w:cs="宋体"/>
                <w:color w:val="000000"/>
                <w:kern w:val="0"/>
                <w:sz w:val="20"/>
                <w:szCs w:val="20"/>
              </w:rPr>
            </w:pPr>
          </w:p>
        </w:tc>
        <w:tc>
          <w:tcPr>
            <w:tcW w:w="1317" w:type="dxa"/>
            <w:gridSpan w:val="2"/>
          </w:tcPr>
          <w:p>
            <w:pPr>
              <w:widowControl/>
              <w:spacing w:line="360" w:lineRule="auto"/>
              <w:jc w:val="center"/>
              <w:rPr>
                <w:rFonts w:hint="eastAsia" w:ascii="宋体" w:hAnsi="宋体" w:eastAsia="宋体" w:cs="宋体"/>
                <w:color w:val="000000"/>
                <w:kern w:val="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1138" w:type="dxa"/>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C</w:t>
            </w:r>
          </w:p>
        </w:tc>
        <w:tc>
          <w:tcPr>
            <w:tcW w:w="1294" w:type="dxa"/>
            <w:gridSpan w:val="2"/>
            <w:shd w:val="clear" w:color="auto" w:fill="auto"/>
            <w:vAlign w:val="center"/>
          </w:tcPr>
          <w:p>
            <w:pPr>
              <w:spacing w:line="360" w:lineRule="auto"/>
              <w:ind w:left="-141"/>
              <w:jc w:val="center"/>
              <w:rPr>
                <w:rFonts w:ascii="宋体" w:hAnsi="宋体" w:eastAsia="宋体"/>
                <w:szCs w:val="21"/>
              </w:rPr>
            </w:pPr>
            <w:r>
              <w:rPr>
                <w:rFonts w:ascii="宋体" w:hAnsi="宋体" w:eastAsia="宋体"/>
                <w:szCs w:val="21"/>
              </w:rPr>
              <w:t>专用工具</w:t>
            </w:r>
          </w:p>
        </w:tc>
        <w:tc>
          <w:tcPr>
            <w:tcW w:w="862" w:type="dxa"/>
            <w:gridSpan w:val="2"/>
            <w:shd w:val="clear" w:color="auto" w:fill="auto"/>
            <w:noWrap/>
            <w:vAlign w:val="center"/>
          </w:tcPr>
          <w:p>
            <w:pPr>
              <w:widowControl/>
              <w:jc w:val="center"/>
              <w:rPr>
                <w:rFonts w:ascii="宋体" w:hAnsi="宋体" w:eastAsia="宋体" w:cs="宋体"/>
                <w:color w:val="000000"/>
                <w:kern w:val="0"/>
                <w:sz w:val="20"/>
                <w:szCs w:val="20"/>
              </w:rPr>
            </w:pPr>
          </w:p>
        </w:tc>
        <w:tc>
          <w:tcPr>
            <w:tcW w:w="1293" w:type="dxa"/>
            <w:shd w:val="clear" w:color="auto" w:fill="auto"/>
            <w:vAlign w:val="center"/>
          </w:tcPr>
          <w:p>
            <w:pPr>
              <w:widowControl/>
              <w:jc w:val="center"/>
              <w:rPr>
                <w:rFonts w:ascii="宋体" w:hAnsi="宋体" w:eastAsia="宋体" w:cs="宋体"/>
                <w:color w:val="000000"/>
                <w:kern w:val="0"/>
                <w:sz w:val="20"/>
                <w:szCs w:val="20"/>
              </w:rPr>
            </w:pPr>
          </w:p>
        </w:tc>
        <w:tc>
          <w:tcPr>
            <w:tcW w:w="1721" w:type="dxa"/>
            <w:gridSpan w:val="2"/>
            <w:shd w:val="clear" w:color="auto" w:fill="auto"/>
            <w:vAlign w:val="center"/>
          </w:tcPr>
          <w:p>
            <w:pPr>
              <w:widowControl/>
              <w:jc w:val="center"/>
              <w:rPr>
                <w:rFonts w:ascii="宋体" w:hAnsi="宋体" w:eastAsia="宋体" w:cs="宋体"/>
                <w:color w:val="000000"/>
                <w:kern w:val="0"/>
                <w:sz w:val="20"/>
                <w:szCs w:val="20"/>
              </w:rPr>
            </w:pPr>
          </w:p>
        </w:tc>
        <w:tc>
          <w:tcPr>
            <w:tcW w:w="3118" w:type="dxa"/>
            <w:gridSpan w:val="2"/>
            <w:shd w:val="clear" w:color="auto" w:fill="auto"/>
            <w:vAlign w:val="center"/>
          </w:tcPr>
          <w:p>
            <w:pPr>
              <w:widowControl/>
              <w:jc w:val="center"/>
              <w:rPr>
                <w:rFonts w:ascii="宋体" w:hAnsi="宋体" w:eastAsia="宋体" w:cs="宋体"/>
                <w:color w:val="000000"/>
                <w:kern w:val="0"/>
                <w:sz w:val="20"/>
                <w:szCs w:val="20"/>
              </w:rPr>
            </w:pPr>
          </w:p>
        </w:tc>
        <w:tc>
          <w:tcPr>
            <w:tcW w:w="837" w:type="dxa"/>
            <w:gridSpan w:val="2"/>
            <w:shd w:val="clear" w:color="auto" w:fill="auto"/>
            <w:vAlign w:val="center"/>
          </w:tcPr>
          <w:p>
            <w:pPr>
              <w:widowControl/>
              <w:jc w:val="center"/>
              <w:rPr>
                <w:rFonts w:ascii="宋体" w:hAnsi="宋体" w:eastAsia="宋体" w:cs="宋体"/>
                <w:color w:val="000000"/>
                <w:kern w:val="0"/>
                <w:sz w:val="20"/>
                <w:szCs w:val="20"/>
              </w:rPr>
            </w:pPr>
          </w:p>
        </w:tc>
        <w:tc>
          <w:tcPr>
            <w:tcW w:w="1282" w:type="dxa"/>
            <w:gridSpan w:val="4"/>
            <w:tcBorders>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1312" w:type="dxa"/>
            <w:gridSpan w:val="2"/>
            <w:tcBorders>
              <w:left w:val="single" w:color="auto" w:sz="4" w:space="0"/>
            </w:tcBorders>
            <w:shd w:val="clear" w:color="auto" w:fill="auto"/>
            <w:vAlign w:val="center"/>
          </w:tcPr>
          <w:p>
            <w:pPr>
              <w:widowControl/>
              <w:jc w:val="center"/>
              <w:rPr>
                <w:rFonts w:ascii="宋体" w:hAnsi="宋体" w:eastAsia="宋体" w:cs="宋体"/>
                <w:color w:val="000000"/>
                <w:kern w:val="0"/>
                <w:sz w:val="20"/>
                <w:szCs w:val="20"/>
              </w:rPr>
            </w:pPr>
          </w:p>
        </w:tc>
        <w:tc>
          <w:tcPr>
            <w:tcW w:w="1317" w:type="dxa"/>
            <w:gridSpan w:val="2"/>
          </w:tcPr>
          <w:p>
            <w:pPr>
              <w:widowControl/>
              <w:spacing w:line="360" w:lineRule="auto"/>
              <w:jc w:val="center"/>
              <w:rPr>
                <w:rFonts w:hint="eastAsia" w:ascii="宋体" w:hAnsi="宋体" w:eastAsia="宋体" w:cs="宋体"/>
                <w:color w:val="000000"/>
                <w:kern w:val="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2432" w:type="dxa"/>
            <w:gridSpan w:val="3"/>
            <w:shd w:val="clear" w:color="auto" w:fill="auto"/>
            <w:vAlign w:val="center"/>
          </w:tcPr>
          <w:p>
            <w:pPr>
              <w:widowControl/>
              <w:jc w:val="center"/>
              <w:rPr>
                <w:rFonts w:hint="eastAsia" w:ascii="宋体" w:hAnsi="宋体" w:eastAsia="宋体"/>
                <w:szCs w:val="21"/>
              </w:rPr>
            </w:pPr>
            <w:r>
              <w:rPr>
                <w:rFonts w:hint="eastAsia" w:ascii="宋体" w:hAnsi="宋体" w:eastAsia="宋体"/>
                <w:szCs w:val="21"/>
              </w:rPr>
              <w:t>安装调试费</w:t>
            </w:r>
          </w:p>
        </w:tc>
        <w:tc>
          <w:tcPr>
            <w:tcW w:w="6994" w:type="dxa"/>
            <w:gridSpan w:val="7"/>
            <w:tcBorders>
              <w:right w:val="single" w:color="auto" w:sz="4" w:space="0"/>
            </w:tcBorders>
            <w:shd w:val="clear" w:color="auto" w:fill="auto"/>
            <w:noWrap/>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 w:val="20"/>
                <w:szCs w:val="20"/>
              </w:rPr>
              <w:t>已含</w:t>
            </w:r>
          </w:p>
        </w:tc>
        <w:tc>
          <w:tcPr>
            <w:tcW w:w="2119" w:type="dxa"/>
            <w:gridSpan w:val="6"/>
            <w:tcBorders>
              <w:left w:val="single" w:color="auto" w:sz="4" w:space="0"/>
              <w:right w:val="single" w:color="auto" w:sz="4" w:space="0"/>
            </w:tcBorders>
            <w:shd w:val="clear" w:color="auto" w:fill="auto"/>
            <w:vAlign w:val="center"/>
          </w:tcPr>
          <w:p>
            <w:pPr>
              <w:widowControl/>
              <w:spacing w:line="360" w:lineRule="auto"/>
              <w:jc w:val="center"/>
              <w:rPr>
                <w:rFonts w:hint="eastAsia" w:ascii="宋体" w:hAnsi="宋体" w:eastAsia="宋体" w:cs="宋体"/>
                <w:color w:val="000000"/>
                <w:kern w:val="0"/>
                <w:szCs w:val="21"/>
              </w:rPr>
            </w:pPr>
          </w:p>
        </w:tc>
        <w:tc>
          <w:tcPr>
            <w:tcW w:w="2629" w:type="dxa"/>
            <w:gridSpan w:val="4"/>
            <w:tcBorders>
              <w:left w:val="single" w:color="auto" w:sz="4" w:space="0"/>
            </w:tcBorders>
            <w:shd w:val="clear" w:color="auto" w:fill="auto"/>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已含</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2432" w:type="dxa"/>
            <w:gridSpan w:val="3"/>
            <w:shd w:val="clear" w:color="auto" w:fill="auto"/>
            <w:vAlign w:val="center"/>
          </w:tcPr>
          <w:p>
            <w:pPr>
              <w:spacing w:line="360" w:lineRule="auto"/>
              <w:jc w:val="center"/>
              <w:rPr>
                <w:rFonts w:ascii="宋体" w:hAnsi="宋体" w:eastAsia="宋体"/>
                <w:szCs w:val="21"/>
              </w:rPr>
            </w:pPr>
            <w:r>
              <w:rPr>
                <w:rFonts w:ascii="宋体" w:hAnsi="宋体" w:eastAsia="宋体"/>
                <w:szCs w:val="21"/>
              </w:rPr>
              <w:t>运输费</w:t>
            </w:r>
          </w:p>
          <w:p>
            <w:pPr>
              <w:widowControl/>
              <w:jc w:val="center"/>
              <w:rPr>
                <w:rFonts w:hint="eastAsia" w:ascii="宋体" w:hAnsi="宋体" w:eastAsia="宋体"/>
                <w:szCs w:val="21"/>
              </w:rPr>
            </w:pPr>
            <w:r>
              <w:rPr>
                <w:rFonts w:hint="eastAsia" w:ascii="宋体" w:hAnsi="宋体" w:eastAsia="宋体"/>
                <w:szCs w:val="21"/>
              </w:rPr>
              <w:t>（含保险）</w:t>
            </w:r>
          </w:p>
        </w:tc>
        <w:tc>
          <w:tcPr>
            <w:tcW w:w="6994" w:type="dxa"/>
            <w:gridSpan w:val="7"/>
            <w:tcBorders>
              <w:right w:val="single" w:color="auto" w:sz="4" w:space="0"/>
            </w:tcBorders>
            <w:shd w:val="clear" w:color="auto" w:fill="auto"/>
            <w:noWrap/>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 w:val="20"/>
                <w:szCs w:val="20"/>
              </w:rPr>
              <w:t>已含</w:t>
            </w:r>
          </w:p>
        </w:tc>
        <w:tc>
          <w:tcPr>
            <w:tcW w:w="2119" w:type="dxa"/>
            <w:gridSpan w:val="6"/>
            <w:tcBorders>
              <w:left w:val="single" w:color="auto" w:sz="4" w:space="0"/>
              <w:right w:val="single" w:color="auto" w:sz="4" w:space="0"/>
            </w:tcBorders>
            <w:shd w:val="clear" w:color="auto" w:fill="auto"/>
            <w:vAlign w:val="center"/>
          </w:tcPr>
          <w:p>
            <w:pPr>
              <w:widowControl/>
              <w:spacing w:line="360" w:lineRule="auto"/>
              <w:jc w:val="center"/>
              <w:rPr>
                <w:rFonts w:hint="eastAsia" w:ascii="宋体" w:hAnsi="宋体" w:eastAsia="宋体" w:cs="宋体"/>
                <w:color w:val="000000"/>
                <w:kern w:val="0"/>
                <w:szCs w:val="21"/>
              </w:rPr>
            </w:pPr>
          </w:p>
        </w:tc>
        <w:tc>
          <w:tcPr>
            <w:tcW w:w="2629" w:type="dxa"/>
            <w:gridSpan w:val="4"/>
            <w:tcBorders>
              <w:left w:val="single" w:color="auto" w:sz="4" w:space="0"/>
            </w:tcBorders>
            <w:shd w:val="clear" w:color="auto" w:fill="auto"/>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已含</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jc w:val="center"/>
        </w:trPr>
        <w:tc>
          <w:tcPr>
            <w:tcW w:w="2432" w:type="dxa"/>
            <w:gridSpan w:val="3"/>
            <w:shd w:val="clear" w:color="auto" w:fill="auto"/>
            <w:vAlign w:val="center"/>
          </w:tcPr>
          <w:p>
            <w:pPr>
              <w:widowControl/>
              <w:jc w:val="center"/>
              <w:rPr>
                <w:rFonts w:hint="eastAsia" w:ascii="宋体" w:hAnsi="宋体" w:eastAsia="宋体"/>
                <w:szCs w:val="21"/>
              </w:rPr>
            </w:pPr>
            <w:r>
              <w:rPr>
                <w:rFonts w:hint="eastAsia" w:ascii="宋体" w:hAnsi="宋体" w:eastAsia="宋体"/>
                <w:szCs w:val="21"/>
              </w:rPr>
              <w:t>税费</w:t>
            </w:r>
          </w:p>
        </w:tc>
        <w:tc>
          <w:tcPr>
            <w:tcW w:w="6994" w:type="dxa"/>
            <w:gridSpan w:val="7"/>
            <w:tcBorders>
              <w:right w:val="single" w:color="auto" w:sz="4" w:space="0"/>
            </w:tcBorders>
            <w:shd w:val="clear" w:color="auto" w:fill="auto"/>
            <w:noWrap/>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 w:val="20"/>
                <w:szCs w:val="20"/>
              </w:rPr>
              <w:t>已含</w:t>
            </w:r>
          </w:p>
        </w:tc>
        <w:tc>
          <w:tcPr>
            <w:tcW w:w="2119" w:type="dxa"/>
            <w:gridSpan w:val="6"/>
            <w:tcBorders>
              <w:left w:val="single" w:color="auto" w:sz="4" w:space="0"/>
              <w:right w:val="single" w:color="auto" w:sz="4" w:space="0"/>
            </w:tcBorders>
            <w:shd w:val="clear" w:color="auto" w:fill="auto"/>
            <w:vAlign w:val="center"/>
          </w:tcPr>
          <w:p>
            <w:pPr>
              <w:widowControl/>
              <w:spacing w:line="360" w:lineRule="auto"/>
              <w:jc w:val="center"/>
              <w:rPr>
                <w:rFonts w:hint="eastAsia" w:ascii="宋体" w:hAnsi="宋体" w:eastAsia="宋体" w:cs="宋体"/>
                <w:color w:val="000000"/>
                <w:kern w:val="0"/>
                <w:szCs w:val="21"/>
              </w:rPr>
            </w:pPr>
          </w:p>
        </w:tc>
        <w:tc>
          <w:tcPr>
            <w:tcW w:w="2629" w:type="dxa"/>
            <w:gridSpan w:val="4"/>
            <w:tcBorders>
              <w:left w:val="single" w:color="auto" w:sz="4" w:space="0"/>
            </w:tcBorders>
            <w:shd w:val="clear" w:color="auto" w:fill="auto"/>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无</w:t>
            </w:r>
          </w:p>
        </w:tc>
      </w:tr>
    </w:tbl>
    <w:p>
      <w:pPr>
        <w:rPr>
          <w:rFonts w:ascii="宋体" w:hAnsi="宋体" w:eastAsia="宋体"/>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 id="0" type="#_x0000_t75" style="width:15px;height:15px" o:bullet="t">
        <v:imagedata r:id="rId1" o:title=""/>
      </v:shape>
    </w:pict>
  </w:numPicBullet>
  <w:abstractNum w:abstractNumId="0">
    <w:nsid w:val="16294716"/>
    <w:multiLevelType w:val="multilevel"/>
    <w:tmpl w:val="16294716"/>
    <w:lvl w:ilvl="0" w:tentative="0">
      <w:start w:val="1"/>
      <w:numFmt w:val="decimal"/>
      <w:pStyle w:val="43"/>
      <w:suff w:val="space"/>
      <w:lvlText w:val="%1、"/>
      <w:lvlJc w:val="left"/>
      <w:pPr>
        <w:ind w:left="431" w:hanging="431"/>
      </w:pPr>
      <w:rPr>
        <w:rFonts w:hint="eastAsia" w:ascii="黑体" w:hAnsi="黑体" w:eastAsia="黑体"/>
        <w:b/>
        <w:i w:val="0"/>
        <w:sz w:val="30"/>
        <w:szCs w:val="30"/>
      </w:rPr>
    </w:lvl>
    <w:lvl w:ilvl="1" w:tentative="0">
      <w:start w:val="1"/>
      <w:numFmt w:val="decimal"/>
      <w:pStyle w:val="44"/>
      <w:lvlText w:val="%1.%2"/>
      <w:lvlJc w:val="left"/>
      <w:pPr>
        <w:ind w:left="431" w:hanging="431"/>
      </w:pPr>
      <w:rPr>
        <w:rFonts w:hint="eastAsia" w:ascii="黑体" w:hAnsi="黑体" w:eastAsia="黑体"/>
        <w:b/>
        <w:i w:val="0"/>
        <w:color w:val="auto"/>
        <w:sz w:val="28"/>
        <w:szCs w:val="28"/>
      </w:rPr>
    </w:lvl>
    <w:lvl w:ilvl="2" w:tentative="0">
      <w:start w:val="1"/>
      <w:numFmt w:val="decimal"/>
      <w:pStyle w:val="45"/>
      <w:lvlText w:val="%1.%2.%3"/>
      <w:lvlJc w:val="left"/>
      <w:pPr>
        <w:ind w:left="431" w:hanging="431"/>
      </w:pPr>
      <w:rPr>
        <w:rFonts w:hint="eastAsia" w:ascii="黑体" w:hAnsi="黑体" w:eastAsia="黑体"/>
        <w:b/>
        <w:i w:val="0"/>
        <w:sz w:val="24"/>
        <w:szCs w:val="24"/>
      </w:rPr>
    </w:lvl>
    <w:lvl w:ilvl="3" w:tentative="0">
      <w:start w:val="1"/>
      <w:numFmt w:val="decimal"/>
      <w:pStyle w:val="46"/>
      <w:lvlText w:val="%1.%2.%3.%4"/>
      <w:lvlJc w:val="left"/>
      <w:pPr>
        <w:ind w:left="431" w:hanging="431"/>
      </w:pPr>
      <w:rPr>
        <w:rFonts w:hint="eastAsia" w:ascii="黑体" w:hAnsi="黑体" w:eastAsia="黑体"/>
        <w:b/>
        <w:i w:val="0"/>
        <w:sz w:val="24"/>
        <w:szCs w:val="24"/>
      </w:rPr>
    </w:lvl>
    <w:lvl w:ilvl="4" w:tentative="0">
      <w:start w:val="1"/>
      <w:numFmt w:val="decimal"/>
      <w:pStyle w:val="47"/>
      <w:lvlText w:val="%1.%2.%3.%4.%5"/>
      <w:lvlJc w:val="left"/>
      <w:pPr>
        <w:ind w:left="431" w:hanging="431"/>
      </w:pPr>
      <w:rPr>
        <w:rFonts w:cs="Times New Roman"/>
        <w:b w:val="0"/>
        <w:bCs w:val="0"/>
        <w:i w:val="0"/>
        <w:iCs w:val="0"/>
        <w:caps w:val="0"/>
        <w:smallCaps w:val="0"/>
        <w:strike w:val="0"/>
        <w:dstrike w:val="0"/>
        <w:vanish w:val="0"/>
        <w:color w:val="000000"/>
        <w:spacing w:val="0"/>
        <w:position w:val="0"/>
        <w:u w:val="none"/>
        <w:vertAlign w:val="baseline"/>
      </w:rPr>
    </w:lvl>
    <w:lvl w:ilvl="5" w:tentative="0">
      <w:start w:val="1"/>
      <w:numFmt w:val="decimal"/>
      <w:lvlText w:val="%1.%2.%3.%4.%5.%6"/>
      <w:lvlJc w:val="left"/>
      <w:pPr>
        <w:ind w:left="431" w:hanging="431"/>
      </w:pPr>
      <w:rPr>
        <w:rFonts w:hint="eastAsia"/>
      </w:rPr>
    </w:lvl>
    <w:lvl w:ilvl="6" w:tentative="0">
      <w:start w:val="1"/>
      <w:numFmt w:val="decimal"/>
      <w:lvlText w:val="%1.%2.%3.%4.%5.%6.%7"/>
      <w:lvlJc w:val="left"/>
      <w:pPr>
        <w:ind w:left="431" w:hanging="431"/>
      </w:pPr>
      <w:rPr>
        <w:rFonts w:hint="eastAsia"/>
      </w:rPr>
    </w:lvl>
    <w:lvl w:ilvl="7" w:tentative="0">
      <w:start w:val="1"/>
      <w:numFmt w:val="decimal"/>
      <w:lvlText w:val="%1.%2.%3.%4.%5.%6.%7.%8"/>
      <w:lvlJc w:val="left"/>
      <w:pPr>
        <w:ind w:left="431" w:hanging="431"/>
      </w:pPr>
      <w:rPr>
        <w:rFonts w:hint="eastAsia"/>
      </w:rPr>
    </w:lvl>
    <w:lvl w:ilvl="8" w:tentative="0">
      <w:start w:val="1"/>
      <w:numFmt w:val="decimal"/>
      <w:lvlText w:val="%1.%2.%3.%4.%5.%6.%7.%8.%9"/>
      <w:lvlJc w:val="left"/>
      <w:pPr>
        <w:ind w:left="431" w:hanging="431"/>
      </w:pPr>
      <w:rPr>
        <w:rFonts w:hint="eastAsia"/>
      </w:rPr>
    </w:lvl>
  </w:abstractNum>
  <w:abstractNum w:abstractNumId="1">
    <w:nsid w:val="3D616BDB"/>
    <w:multiLevelType w:val="multilevel"/>
    <w:tmpl w:val="3D616BDB"/>
    <w:lvl w:ilvl="0" w:tentative="0">
      <w:start w:val="1"/>
      <w:numFmt w:val="bullet"/>
      <w:pStyle w:val="38"/>
      <w:lvlText w:val=""/>
      <w:lvlJc w:val="left"/>
      <w:pPr>
        <w:ind w:left="832" w:hanging="420"/>
      </w:pPr>
      <w:rPr>
        <w:rFonts w:hint="default" w:ascii="Wingdings" w:hAnsi="Wingdings"/>
      </w:rPr>
    </w:lvl>
    <w:lvl w:ilvl="1" w:tentative="0">
      <w:start w:val="1"/>
      <w:numFmt w:val="bullet"/>
      <w:lvlText w:val=""/>
      <w:lvlJc w:val="left"/>
      <w:pPr>
        <w:ind w:left="1252" w:hanging="420"/>
      </w:pPr>
      <w:rPr>
        <w:rFonts w:hint="default" w:ascii="Wingdings" w:hAnsi="Wingdings"/>
      </w:rPr>
    </w:lvl>
    <w:lvl w:ilvl="2" w:tentative="0">
      <w:start w:val="1"/>
      <w:numFmt w:val="bullet"/>
      <w:lvlText w:val=""/>
      <w:lvlJc w:val="left"/>
      <w:pPr>
        <w:ind w:left="1672" w:hanging="420"/>
      </w:pPr>
      <w:rPr>
        <w:rFonts w:hint="default" w:ascii="Wingdings" w:hAnsi="Wingdings"/>
      </w:rPr>
    </w:lvl>
    <w:lvl w:ilvl="3" w:tentative="0">
      <w:start w:val="1"/>
      <w:numFmt w:val="bullet"/>
      <w:lvlText w:val=""/>
      <w:lvlJc w:val="left"/>
      <w:pPr>
        <w:ind w:left="2092" w:hanging="420"/>
      </w:pPr>
      <w:rPr>
        <w:rFonts w:hint="default" w:ascii="Wingdings" w:hAnsi="Wingdings"/>
      </w:rPr>
    </w:lvl>
    <w:lvl w:ilvl="4" w:tentative="0">
      <w:start w:val="1"/>
      <w:numFmt w:val="bullet"/>
      <w:lvlText w:val=""/>
      <w:lvlJc w:val="left"/>
      <w:pPr>
        <w:ind w:left="2512" w:hanging="420"/>
      </w:pPr>
      <w:rPr>
        <w:rFonts w:hint="default" w:ascii="Wingdings" w:hAnsi="Wingdings"/>
      </w:rPr>
    </w:lvl>
    <w:lvl w:ilvl="5" w:tentative="0">
      <w:start w:val="1"/>
      <w:numFmt w:val="bullet"/>
      <w:lvlText w:val=""/>
      <w:lvlJc w:val="left"/>
      <w:pPr>
        <w:ind w:left="2932" w:hanging="420"/>
      </w:pPr>
      <w:rPr>
        <w:rFonts w:hint="default" w:ascii="Wingdings" w:hAnsi="Wingdings"/>
      </w:rPr>
    </w:lvl>
    <w:lvl w:ilvl="6" w:tentative="0">
      <w:start w:val="1"/>
      <w:numFmt w:val="bullet"/>
      <w:lvlText w:val=""/>
      <w:lvlJc w:val="left"/>
      <w:pPr>
        <w:ind w:left="3352" w:hanging="420"/>
      </w:pPr>
      <w:rPr>
        <w:rFonts w:hint="default" w:ascii="Wingdings" w:hAnsi="Wingdings"/>
      </w:rPr>
    </w:lvl>
    <w:lvl w:ilvl="7" w:tentative="0">
      <w:start w:val="1"/>
      <w:numFmt w:val="bullet"/>
      <w:lvlText w:val=""/>
      <w:lvlJc w:val="left"/>
      <w:pPr>
        <w:ind w:left="3772" w:hanging="420"/>
      </w:pPr>
      <w:rPr>
        <w:rFonts w:hint="default" w:ascii="Wingdings" w:hAnsi="Wingdings"/>
      </w:rPr>
    </w:lvl>
    <w:lvl w:ilvl="8" w:tentative="0">
      <w:start w:val="1"/>
      <w:numFmt w:val="bullet"/>
      <w:lvlText w:val=""/>
      <w:lvlJc w:val="left"/>
      <w:pPr>
        <w:ind w:left="4192" w:hanging="420"/>
      </w:pPr>
      <w:rPr>
        <w:rFonts w:hint="default" w:ascii="Wingdings" w:hAnsi="Wingdings"/>
      </w:rPr>
    </w:lvl>
  </w:abstractNum>
  <w:abstractNum w:abstractNumId="2">
    <w:nsid w:val="4BF4152E"/>
    <w:multiLevelType w:val="multilevel"/>
    <w:tmpl w:val="4BF4152E"/>
    <w:lvl w:ilvl="0" w:tentative="0">
      <w:start w:val="1"/>
      <w:numFmt w:val="bullet"/>
      <w:pStyle w:val="39"/>
      <w:lvlText w:val=""/>
      <w:lvlPicBulletId w:val="0"/>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6631316A"/>
    <w:multiLevelType w:val="singleLevel"/>
    <w:tmpl w:val="6631316A"/>
    <w:lvl w:ilvl="0" w:tentative="0">
      <w:start w:val="1"/>
      <w:numFmt w:val="bullet"/>
      <w:pStyle w:val="18"/>
      <w:lvlText w:val=""/>
      <w:lvlJc w:val="left"/>
      <w:pPr>
        <w:tabs>
          <w:tab w:val="left" w:pos="360"/>
        </w:tabs>
        <w:ind w:left="340" w:hanging="340"/>
      </w:pPr>
      <w:rPr>
        <w:rFonts w:hint="default" w:ascii="Wingdings" w:hAnsi="Wingdings"/>
        <w:b w:val="0"/>
        <w:i w:val="0"/>
        <w:sz w:val="28"/>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564"/>
    <w:rsid w:val="000E5065"/>
    <w:rsid w:val="00103B90"/>
    <w:rsid w:val="00124C26"/>
    <w:rsid w:val="001D5ED7"/>
    <w:rsid w:val="004C5E11"/>
    <w:rsid w:val="004D4BC7"/>
    <w:rsid w:val="00586479"/>
    <w:rsid w:val="005B10D8"/>
    <w:rsid w:val="006423FD"/>
    <w:rsid w:val="006A55D9"/>
    <w:rsid w:val="00842460"/>
    <w:rsid w:val="008D2FB0"/>
    <w:rsid w:val="008E66A6"/>
    <w:rsid w:val="00A96564"/>
    <w:rsid w:val="00AA3BC3"/>
    <w:rsid w:val="00B46D1E"/>
    <w:rsid w:val="00BC1A94"/>
    <w:rsid w:val="00C365E5"/>
    <w:rsid w:val="00E251FC"/>
    <w:rsid w:val="00FA78C6"/>
    <w:rsid w:val="52E80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9"/>
    <w:qFormat/>
    <w:uiPriority w:val="9"/>
    <w:pPr>
      <w:keepNext/>
      <w:keepLines/>
      <w:spacing w:line="360" w:lineRule="auto"/>
      <w:jc w:val="center"/>
      <w:outlineLvl w:val="0"/>
    </w:pPr>
    <w:rPr>
      <w:rFonts w:eastAsia="华文中宋"/>
      <w:b/>
      <w:bCs/>
      <w:kern w:val="44"/>
      <w:sz w:val="32"/>
      <w:szCs w:val="44"/>
    </w:rPr>
  </w:style>
  <w:style w:type="paragraph" w:styleId="3">
    <w:name w:val="heading 2"/>
    <w:basedOn w:val="1"/>
    <w:next w:val="1"/>
    <w:link w:val="30"/>
    <w:unhideWhenUsed/>
    <w:qFormat/>
    <w:uiPriority w:val="9"/>
    <w:pPr>
      <w:keepNext/>
      <w:keepLines/>
      <w:spacing w:line="360" w:lineRule="auto"/>
      <w:jc w:val="left"/>
      <w:outlineLvl w:val="1"/>
    </w:pPr>
    <w:rPr>
      <w:rFonts w:eastAsia="华文中宋" w:asciiTheme="majorHAnsi" w:hAnsiTheme="majorHAnsi" w:cstheme="majorBidi"/>
      <w:b/>
      <w:bCs/>
      <w:sz w:val="30"/>
      <w:szCs w:val="32"/>
    </w:rPr>
  </w:style>
  <w:style w:type="paragraph" w:styleId="4">
    <w:name w:val="heading 3"/>
    <w:basedOn w:val="1"/>
    <w:next w:val="1"/>
    <w:link w:val="31"/>
    <w:unhideWhenUsed/>
    <w:qFormat/>
    <w:uiPriority w:val="9"/>
    <w:pPr>
      <w:keepNext/>
      <w:keepLines/>
      <w:spacing w:line="360" w:lineRule="auto"/>
      <w:jc w:val="left"/>
      <w:outlineLvl w:val="2"/>
    </w:pPr>
    <w:rPr>
      <w:rFonts w:eastAsia="华文中宋"/>
      <w:b/>
      <w:bCs/>
      <w:sz w:val="28"/>
      <w:szCs w:val="32"/>
    </w:rPr>
  </w:style>
  <w:style w:type="paragraph" w:styleId="5">
    <w:name w:val="heading 4"/>
    <w:basedOn w:val="1"/>
    <w:next w:val="1"/>
    <w:link w:val="32"/>
    <w:unhideWhenUsed/>
    <w:qFormat/>
    <w:uiPriority w:val="9"/>
    <w:pPr>
      <w:keepNext/>
      <w:keepLines/>
      <w:spacing w:line="360" w:lineRule="auto"/>
      <w:jc w:val="left"/>
      <w:outlineLvl w:val="3"/>
    </w:pPr>
    <w:rPr>
      <w:rFonts w:eastAsia="华文中宋" w:asciiTheme="majorHAnsi" w:hAnsiTheme="majorHAnsi" w:cstheme="majorBidi"/>
      <w:b/>
      <w:bCs/>
      <w:sz w:val="24"/>
      <w:szCs w:val="28"/>
    </w:rPr>
  </w:style>
  <w:style w:type="paragraph" w:styleId="6">
    <w:name w:val="heading 5"/>
    <w:basedOn w:val="1"/>
    <w:next w:val="1"/>
    <w:link w:val="33"/>
    <w:unhideWhenUsed/>
    <w:qFormat/>
    <w:uiPriority w:val="9"/>
    <w:pPr>
      <w:keepNext/>
      <w:keepLines/>
      <w:spacing w:line="360" w:lineRule="auto"/>
      <w:jc w:val="left"/>
      <w:outlineLvl w:val="4"/>
    </w:pPr>
    <w:rPr>
      <w:rFonts w:eastAsia="华文中宋"/>
      <w:b/>
      <w:bCs/>
      <w:szCs w:val="28"/>
    </w:rPr>
  </w:style>
  <w:style w:type="paragraph" w:styleId="7">
    <w:name w:val="heading 6"/>
    <w:basedOn w:val="1"/>
    <w:next w:val="1"/>
    <w:link w:val="34"/>
    <w:unhideWhenUsed/>
    <w:qFormat/>
    <w:uiPriority w:val="9"/>
    <w:pPr>
      <w:keepNext/>
      <w:keepLines/>
      <w:spacing w:line="360" w:lineRule="auto"/>
      <w:jc w:val="left"/>
      <w:outlineLvl w:val="5"/>
    </w:pPr>
    <w:rPr>
      <w:rFonts w:eastAsia="华文中宋" w:asciiTheme="majorHAnsi" w:hAnsiTheme="majorHAnsi" w:cstheme="majorBidi"/>
      <w:b/>
      <w:bCs/>
      <w:szCs w:val="24"/>
    </w:rPr>
  </w:style>
  <w:style w:type="paragraph" w:styleId="8">
    <w:name w:val="heading 7"/>
    <w:basedOn w:val="1"/>
    <w:next w:val="1"/>
    <w:link w:val="35"/>
    <w:unhideWhenUsed/>
    <w:qFormat/>
    <w:uiPriority w:val="9"/>
    <w:pPr>
      <w:keepNext/>
      <w:keepLines/>
      <w:spacing w:line="360" w:lineRule="auto"/>
      <w:jc w:val="left"/>
      <w:outlineLvl w:val="6"/>
    </w:pPr>
    <w:rPr>
      <w:rFonts w:eastAsia="华文中宋"/>
      <w:b/>
      <w:bCs/>
      <w:szCs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Layout w:type="fixed"/>
      <w:tblCellMar>
        <w:top w:w="0" w:type="dxa"/>
        <w:left w:w="108" w:type="dxa"/>
        <w:bottom w:w="0" w:type="dxa"/>
        <w:right w:w="108" w:type="dxa"/>
      </w:tblCellMar>
    </w:tblPr>
  </w:style>
  <w:style w:type="paragraph" w:styleId="9">
    <w:name w:val="toc 7"/>
    <w:basedOn w:val="1"/>
    <w:next w:val="1"/>
    <w:unhideWhenUsed/>
    <w:qFormat/>
    <w:uiPriority w:val="39"/>
    <w:pPr>
      <w:spacing w:line="360" w:lineRule="auto"/>
      <w:ind w:left="1200" w:leftChars="1200"/>
      <w:jc w:val="left"/>
    </w:pPr>
    <w:rPr>
      <w:rFonts w:eastAsia="华文中宋"/>
    </w:rPr>
  </w:style>
  <w:style w:type="paragraph" w:styleId="10">
    <w:name w:val="toc 5"/>
    <w:basedOn w:val="1"/>
    <w:next w:val="1"/>
    <w:unhideWhenUsed/>
    <w:qFormat/>
    <w:uiPriority w:val="39"/>
    <w:pPr>
      <w:spacing w:line="360" w:lineRule="auto"/>
      <w:ind w:left="800" w:leftChars="800"/>
      <w:jc w:val="left"/>
    </w:pPr>
    <w:rPr>
      <w:rFonts w:eastAsia="华文中宋"/>
    </w:rPr>
  </w:style>
  <w:style w:type="paragraph" w:styleId="11">
    <w:name w:val="toc 3"/>
    <w:basedOn w:val="1"/>
    <w:next w:val="1"/>
    <w:unhideWhenUsed/>
    <w:qFormat/>
    <w:uiPriority w:val="39"/>
    <w:pPr>
      <w:spacing w:line="360" w:lineRule="auto"/>
      <w:ind w:left="400" w:leftChars="400"/>
      <w:jc w:val="left"/>
    </w:pPr>
    <w:rPr>
      <w:rFonts w:eastAsia="华文中宋"/>
    </w:rPr>
  </w:style>
  <w:style w:type="paragraph" w:styleId="12">
    <w:name w:val="toc 8"/>
    <w:basedOn w:val="1"/>
    <w:next w:val="1"/>
    <w:unhideWhenUsed/>
    <w:qFormat/>
    <w:uiPriority w:val="39"/>
    <w:pPr>
      <w:spacing w:line="360" w:lineRule="auto"/>
      <w:ind w:left="1400" w:leftChars="1400"/>
      <w:jc w:val="left"/>
    </w:pPr>
    <w:rPr>
      <w:rFonts w:eastAsia="华文中宋"/>
    </w:rPr>
  </w:style>
  <w:style w:type="paragraph" w:styleId="13">
    <w:name w:val="Balloon Text"/>
    <w:basedOn w:val="1"/>
    <w:link w:val="36"/>
    <w:semiHidden/>
    <w:unhideWhenUsed/>
    <w:qFormat/>
    <w:uiPriority w:val="99"/>
    <w:rPr>
      <w:sz w:val="18"/>
      <w:szCs w:val="18"/>
    </w:rPr>
  </w:style>
  <w:style w:type="paragraph" w:styleId="14">
    <w:name w:val="footer"/>
    <w:basedOn w:val="1"/>
    <w:link w:val="28"/>
    <w:unhideWhenUsed/>
    <w:qFormat/>
    <w:uiPriority w:val="99"/>
    <w:pPr>
      <w:tabs>
        <w:tab w:val="center" w:pos="4153"/>
        <w:tab w:val="right" w:pos="8306"/>
      </w:tabs>
      <w:snapToGrid w:val="0"/>
      <w:jc w:val="left"/>
    </w:pPr>
    <w:rPr>
      <w:sz w:val="18"/>
      <w:szCs w:val="18"/>
    </w:rPr>
  </w:style>
  <w:style w:type="paragraph" w:styleId="15">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spacing w:line="360" w:lineRule="auto"/>
      <w:jc w:val="left"/>
    </w:pPr>
    <w:rPr>
      <w:rFonts w:eastAsia="华文中宋"/>
    </w:rPr>
  </w:style>
  <w:style w:type="paragraph" w:styleId="17">
    <w:name w:val="toc 4"/>
    <w:basedOn w:val="1"/>
    <w:next w:val="1"/>
    <w:unhideWhenUsed/>
    <w:qFormat/>
    <w:uiPriority w:val="39"/>
    <w:pPr>
      <w:spacing w:line="360" w:lineRule="auto"/>
      <w:ind w:left="600" w:leftChars="600"/>
      <w:jc w:val="left"/>
    </w:pPr>
    <w:rPr>
      <w:rFonts w:eastAsia="华文中宋"/>
    </w:rPr>
  </w:style>
  <w:style w:type="paragraph" w:styleId="18">
    <w:name w:val="List"/>
    <w:basedOn w:val="1"/>
    <w:qFormat/>
    <w:uiPriority w:val="0"/>
    <w:pPr>
      <w:numPr>
        <w:ilvl w:val="0"/>
        <w:numId w:val="1"/>
      </w:numPr>
      <w:spacing w:beforeLines="50" w:afterLines="50" w:line="360" w:lineRule="auto"/>
    </w:pPr>
    <w:rPr>
      <w:rFonts w:ascii="Times New Roman" w:hAnsi="Times New Roman" w:eastAsia="宋体" w:cs="Times New Roman"/>
      <w:kern w:val="24"/>
      <w:sz w:val="24"/>
      <w:szCs w:val="20"/>
    </w:rPr>
  </w:style>
  <w:style w:type="paragraph" w:styleId="19">
    <w:name w:val="toc 6"/>
    <w:basedOn w:val="1"/>
    <w:next w:val="1"/>
    <w:unhideWhenUsed/>
    <w:qFormat/>
    <w:uiPriority w:val="39"/>
    <w:pPr>
      <w:spacing w:line="360" w:lineRule="auto"/>
      <w:ind w:left="1000" w:leftChars="1000"/>
      <w:jc w:val="left"/>
    </w:pPr>
    <w:rPr>
      <w:rFonts w:eastAsia="华文中宋"/>
    </w:rPr>
  </w:style>
  <w:style w:type="paragraph" w:styleId="20">
    <w:name w:val="toc 2"/>
    <w:basedOn w:val="1"/>
    <w:next w:val="1"/>
    <w:unhideWhenUsed/>
    <w:qFormat/>
    <w:uiPriority w:val="39"/>
    <w:pPr>
      <w:spacing w:line="360" w:lineRule="auto"/>
      <w:ind w:left="200" w:leftChars="200"/>
      <w:jc w:val="left"/>
    </w:pPr>
    <w:rPr>
      <w:rFonts w:eastAsia="华文中宋"/>
    </w:rPr>
  </w:style>
  <w:style w:type="paragraph" w:styleId="21">
    <w:name w:val="toc 9"/>
    <w:basedOn w:val="1"/>
    <w:next w:val="1"/>
    <w:unhideWhenUsed/>
    <w:qFormat/>
    <w:uiPriority w:val="39"/>
    <w:pPr>
      <w:ind w:left="3360" w:leftChars="1600"/>
    </w:pPr>
  </w:style>
  <w:style w:type="paragraph" w:styleId="22">
    <w:name w:val="Normal (Web)"/>
    <w:basedOn w:val="1"/>
    <w:link w:val="42"/>
    <w:unhideWhenUsed/>
    <w:qFormat/>
    <w:uiPriority w:val="0"/>
    <w:pPr>
      <w:widowControl/>
      <w:spacing w:before="100" w:beforeAutospacing="1" w:after="100" w:afterAutospacing="1"/>
      <w:jc w:val="left"/>
    </w:pPr>
    <w:rPr>
      <w:rFonts w:ascii="宋体" w:hAnsi="宋体" w:eastAsia="宋体" w:cs="Times New Roman"/>
      <w:kern w:val="0"/>
      <w:sz w:val="24"/>
      <w:szCs w:val="24"/>
      <w:lang w:val="zh-CN" w:eastAsia="zh-CN"/>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6">
    <w:name w:val="Hyperlink"/>
    <w:basedOn w:val="25"/>
    <w:unhideWhenUsed/>
    <w:qFormat/>
    <w:uiPriority w:val="99"/>
    <w:rPr>
      <w:color w:val="0563C1" w:themeColor="hyperlink"/>
      <w:u w:val="single"/>
      <w14:textFill>
        <w14:solidFill>
          <w14:schemeClr w14:val="hlink"/>
        </w14:solidFill>
      </w14:textFill>
    </w:rPr>
  </w:style>
  <w:style w:type="character" w:customStyle="1" w:styleId="27">
    <w:name w:val="页眉 字符"/>
    <w:basedOn w:val="25"/>
    <w:link w:val="15"/>
    <w:qFormat/>
    <w:uiPriority w:val="99"/>
    <w:rPr>
      <w:sz w:val="18"/>
      <w:szCs w:val="18"/>
    </w:rPr>
  </w:style>
  <w:style w:type="character" w:customStyle="1" w:styleId="28">
    <w:name w:val="页脚 字符"/>
    <w:basedOn w:val="25"/>
    <w:link w:val="14"/>
    <w:qFormat/>
    <w:uiPriority w:val="99"/>
    <w:rPr>
      <w:sz w:val="18"/>
      <w:szCs w:val="18"/>
    </w:rPr>
  </w:style>
  <w:style w:type="character" w:customStyle="1" w:styleId="29">
    <w:name w:val="标题 1 字符"/>
    <w:basedOn w:val="25"/>
    <w:link w:val="2"/>
    <w:qFormat/>
    <w:uiPriority w:val="9"/>
    <w:rPr>
      <w:rFonts w:eastAsia="华文中宋"/>
      <w:b/>
      <w:bCs/>
      <w:kern w:val="44"/>
      <w:sz w:val="32"/>
      <w:szCs w:val="44"/>
    </w:rPr>
  </w:style>
  <w:style w:type="character" w:customStyle="1" w:styleId="30">
    <w:name w:val="标题 2 字符"/>
    <w:basedOn w:val="25"/>
    <w:link w:val="3"/>
    <w:qFormat/>
    <w:uiPriority w:val="9"/>
    <w:rPr>
      <w:rFonts w:eastAsia="华文中宋" w:asciiTheme="majorHAnsi" w:hAnsiTheme="majorHAnsi" w:cstheme="majorBidi"/>
      <w:b/>
      <w:bCs/>
      <w:sz w:val="30"/>
      <w:szCs w:val="32"/>
    </w:rPr>
  </w:style>
  <w:style w:type="character" w:customStyle="1" w:styleId="31">
    <w:name w:val="标题 3 字符"/>
    <w:basedOn w:val="25"/>
    <w:link w:val="4"/>
    <w:qFormat/>
    <w:uiPriority w:val="9"/>
    <w:rPr>
      <w:rFonts w:eastAsia="华文中宋"/>
      <w:b/>
      <w:bCs/>
      <w:sz w:val="28"/>
      <w:szCs w:val="32"/>
    </w:rPr>
  </w:style>
  <w:style w:type="character" w:customStyle="1" w:styleId="32">
    <w:name w:val="标题 4 字符"/>
    <w:basedOn w:val="25"/>
    <w:link w:val="5"/>
    <w:qFormat/>
    <w:uiPriority w:val="9"/>
    <w:rPr>
      <w:rFonts w:eastAsia="华文中宋" w:asciiTheme="majorHAnsi" w:hAnsiTheme="majorHAnsi" w:cstheme="majorBidi"/>
      <w:b/>
      <w:bCs/>
      <w:sz w:val="24"/>
      <w:szCs w:val="28"/>
    </w:rPr>
  </w:style>
  <w:style w:type="character" w:customStyle="1" w:styleId="33">
    <w:name w:val="标题 5 字符"/>
    <w:basedOn w:val="25"/>
    <w:link w:val="6"/>
    <w:qFormat/>
    <w:uiPriority w:val="9"/>
    <w:rPr>
      <w:rFonts w:eastAsia="华文中宋"/>
      <w:b/>
      <w:bCs/>
      <w:szCs w:val="28"/>
    </w:rPr>
  </w:style>
  <w:style w:type="character" w:customStyle="1" w:styleId="34">
    <w:name w:val="标题 6 字符"/>
    <w:basedOn w:val="25"/>
    <w:link w:val="7"/>
    <w:qFormat/>
    <w:uiPriority w:val="9"/>
    <w:rPr>
      <w:rFonts w:eastAsia="华文中宋" w:asciiTheme="majorHAnsi" w:hAnsiTheme="majorHAnsi" w:cstheme="majorBidi"/>
      <w:b/>
      <w:bCs/>
      <w:szCs w:val="24"/>
    </w:rPr>
  </w:style>
  <w:style w:type="character" w:customStyle="1" w:styleId="35">
    <w:name w:val="标题 7 字符"/>
    <w:basedOn w:val="25"/>
    <w:link w:val="8"/>
    <w:qFormat/>
    <w:uiPriority w:val="9"/>
    <w:rPr>
      <w:rFonts w:eastAsia="华文中宋"/>
      <w:b/>
      <w:bCs/>
      <w:szCs w:val="24"/>
    </w:rPr>
  </w:style>
  <w:style w:type="character" w:customStyle="1" w:styleId="36">
    <w:name w:val="批注框文本 字符"/>
    <w:basedOn w:val="25"/>
    <w:link w:val="13"/>
    <w:semiHidden/>
    <w:qFormat/>
    <w:uiPriority w:val="99"/>
    <w:rPr>
      <w:sz w:val="18"/>
      <w:szCs w:val="18"/>
    </w:rPr>
  </w:style>
  <w:style w:type="paragraph" w:customStyle="1" w:styleId="37">
    <w:name w:val="09正文_wh"/>
    <w:qFormat/>
    <w:uiPriority w:val="0"/>
    <w:pPr>
      <w:spacing w:line="300" w:lineRule="auto"/>
      <w:ind w:firstLine="200" w:firstLineChars="200"/>
      <w:jc w:val="both"/>
    </w:pPr>
    <w:rPr>
      <w:rFonts w:ascii="Times New Roman" w:hAnsi="Times New Roman" w:eastAsia="宋体" w:cs="Times New Roman"/>
      <w:kern w:val="0"/>
      <w:sz w:val="28"/>
      <w:szCs w:val="22"/>
      <w:lang w:val="en-US" w:eastAsia="zh-CN" w:bidi="ar-SA"/>
    </w:rPr>
  </w:style>
  <w:style w:type="paragraph" w:customStyle="1" w:styleId="38">
    <w:name w:val="样式9"/>
    <w:basedOn w:val="6"/>
    <w:qFormat/>
    <w:uiPriority w:val="0"/>
    <w:pPr>
      <w:numPr>
        <w:ilvl w:val="0"/>
        <w:numId w:val="2"/>
      </w:numPr>
      <w:adjustRightInd w:val="0"/>
      <w:snapToGrid w:val="0"/>
      <w:spacing w:before="280" w:after="290" w:line="376" w:lineRule="auto"/>
      <w:ind w:left="0" w:firstLine="0"/>
      <w:jc w:val="both"/>
    </w:pPr>
    <w:rPr>
      <w:rFonts w:ascii="华文中宋" w:hAnsi="华文中宋" w:cs="Times New Roman"/>
      <w:szCs w:val="21"/>
    </w:rPr>
  </w:style>
  <w:style w:type="paragraph" w:customStyle="1" w:styleId="39">
    <w:name w:val="表1"/>
    <w:basedOn w:val="1"/>
    <w:qFormat/>
    <w:uiPriority w:val="0"/>
    <w:pPr>
      <w:numPr>
        <w:ilvl w:val="0"/>
        <w:numId w:val="3"/>
      </w:numPr>
      <w:spacing w:line="360" w:lineRule="auto"/>
      <w:jc w:val="center"/>
    </w:pPr>
    <w:rPr>
      <w:rFonts w:ascii="Times New Roman" w:hAnsi="Times New Roman" w:eastAsia="宋体" w:cs="Times New Roman"/>
      <w:szCs w:val="24"/>
    </w:rPr>
  </w:style>
  <w:style w:type="paragraph" w:customStyle="1" w:styleId="40">
    <w:name w:val="标题0 4"/>
    <w:basedOn w:val="5"/>
    <w:link w:val="41"/>
    <w:qFormat/>
    <w:uiPriority w:val="0"/>
    <w:pPr>
      <w:shd w:val="clear" w:color="auto" w:fill="FFFFFF"/>
    </w:pPr>
    <w:rPr>
      <w:rFonts w:ascii="华文中宋" w:hAnsi="华文中宋" w:cs="Times New Roman"/>
      <w:sz w:val="28"/>
      <w:szCs w:val="30"/>
      <w:lang w:val="zh-CN" w:eastAsia="zh-CN"/>
    </w:rPr>
  </w:style>
  <w:style w:type="character" w:customStyle="1" w:styleId="41">
    <w:name w:val="标题0 4 Char"/>
    <w:link w:val="40"/>
    <w:uiPriority w:val="0"/>
    <w:rPr>
      <w:rFonts w:ascii="华文中宋" w:hAnsi="华文中宋" w:eastAsia="华文中宋" w:cs="Times New Roman"/>
      <w:b/>
      <w:bCs/>
      <w:sz w:val="28"/>
      <w:szCs w:val="30"/>
      <w:shd w:val="clear" w:color="auto" w:fill="FFFFFF"/>
      <w:lang w:val="zh-CN" w:eastAsia="zh-CN"/>
    </w:rPr>
  </w:style>
  <w:style w:type="character" w:customStyle="1" w:styleId="42">
    <w:name w:val="普通(网站) 字符"/>
    <w:link w:val="22"/>
    <w:qFormat/>
    <w:uiPriority w:val="0"/>
    <w:rPr>
      <w:rFonts w:ascii="宋体" w:hAnsi="宋体" w:eastAsia="宋体" w:cs="Times New Roman"/>
      <w:kern w:val="0"/>
      <w:sz w:val="24"/>
      <w:szCs w:val="24"/>
      <w:lang w:val="zh-CN" w:eastAsia="zh-CN"/>
    </w:rPr>
  </w:style>
  <w:style w:type="paragraph" w:customStyle="1" w:styleId="43">
    <w:name w:val="D1"/>
    <w:basedOn w:val="2"/>
    <w:qFormat/>
    <w:uiPriority w:val="0"/>
    <w:pPr>
      <w:keepLines w:val="0"/>
      <w:numPr>
        <w:ilvl w:val="0"/>
        <w:numId w:val="4"/>
      </w:numPr>
      <w:spacing w:before="120" w:after="60"/>
      <w:jc w:val="left"/>
    </w:pPr>
    <w:rPr>
      <w:rFonts w:ascii="宋体" w:hAnsi="Times New Roman" w:eastAsia="黑体" w:cs="Times New Roman"/>
      <w:bCs w:val="0"/>
      <w:snapToGrid w:val="0"/>
      <w:kern w:val="0"/>
      <w:sz w:val="30"/>
      <w:szCs w:val="30"/>
      <w:lang w:val="zh-CN" w:eastAsia="zh-CN"/>
    </w:rPr>
  </w:style>
  <w:style w:type="paragraph" w:customStyle="1" w:styleId="44">
    <w:name w:val="D2"/>
    <w:basedOn w:val="3"/>
    <w:qFormat/>
    <w:uiPriority w:val="0"/>
    <w:pPr>
      <w:keepLines w:val="0"/>
      <w:numPr>
        <w:ilvl w:val="1"/>
        <w:numId w:val="4"/>
      </w:numPr>
      <w:tabs>
        <w:tab w:val="left" w:pos="567"/>
      </w:tabs>
      <w:spacing w:before="120" w:after="60"/>
    </w:pPr>
    <w:rPr>
      <w:rFonts w:ascii="黑体" w:hAnsi="黑体" w:eastAsia="黑体" w:cs="Times New Roman"/>
      <w:bCs w:val="0"/>
      <w:snapToGrid w:val="0"/>
      <w:spacing w:val="10"/>
      <w:kern w:val="0"/>
      <w:sz w:val="28"/>
      <w:szCs w:val="28"/>
      <w:lang w:val="zh-CN" w:eastAsia="zh-CN"/>
    </w:rPr>
  </w:style>
  <w:style w:type="paragraph" w:customStyle="1" w:styleId="45">
    <w:name w:val="D3"/>
    <w:basedOn w:val="4"/>
    <w:qFormat/>
    <w:uiPriority w:val="0"/>
    <w:pPr>
      <w:keepLines w:val="0"/>
      <w:numPr>
        <w:ilvl w:val="2"/>
        <w:numId w:val="4"/>
      </w:numPr>
      <w:spacing w:before="120" w:after="60"/>
    </w:pPr>
    <w:rPr>
      <w:rFonts w:ascii="宋体" w:hAnsi="Times New Roman" w:eastAsia="黑体" w:cs="Times New Roman"/>
      <w:bCs w:val="0"/>
      <w:snapToGrid w:val="0"/>
      <w:kern w:val="0"/>
      <w:sz w:val="24"/>
      <w:szCs w:val="20"/>
      <w:lang w:val="zh-CN" w:eastAsia="zh-CN"/>
    </w:rPr>
  </w:style>
  <w:style w:type="paragraph" w:customStyle="1" w:styleId="46">
    <w:name w:val="D4"/>
    <w:basedOn w:val="5"/>
    <w:qFormat/>
    <w:uiPriority w:val="0"/>
    <w:pPr>
      <w:keepLines w:val="0"/>
      <w:numPr>
        <w:ilvl w:val="3"/>
        <w:numId w:val="4"/>
      </w:numPr>
      <w:tabs>
        <w:tab w:val="left" w:pos="993"/>
      </w:tabs>
      <w:spacing w:before="120" w:after="60"/>
    </w:pPr>
    <w:rPr>
      <w:rFonts w:ascii="华文中宋" w:hAnsi="华文中宋" w:eastAsia="黑体" w:cs="Times New Roman"/>
      <w:bCs w:val="0"/>
      <w:snapToGrid w:val="0"/>
      <w:kern w:val="0"/>
      <w:szCs w:val="20"/>
      <w:lang w:val="zh-CN" w:eastAsia="zh-CN"/>
    </w:rPr>
  </w:style>
  <w:style w:type="paragraph" w:customStyle="1" w:styleId="47">
    <w:name w:val="D5"/>
    <w:basedOn w:val="6"/>
    <w:qFormat/>
    <w:uiPriority w:val="0"/>
    <w:pPr>
      <w:keepNext w:val="0"/>
      <w:keepLines w:val="0"/>
      <w:numPr>
        <w:ilvl w:val="4"/>
        <w:numId w:val="4"/>
      </w:numPr>
      <w:contextualSpacing/>
    </w:pPr>
    <w:rPr>
      <w:rFonts w:ascii="宋体" w:hAnsi="Times New Roman" w:cs="Times New Roman"/>
      <w:bCs w:val="0"/>
      <w:snapToGrid w:val="0"/>
      <w:kern w:val="0"/>
      <w:sz w:val="24"/>
      <w:szCs w:val="20"/>
      <w:lang w:val="zh-CN" w:eastAsia="zh-CN"/>
    </w:rPr>
  </w:style>
  <w:style w:type="paragraph" w:styleId="48">
    <w:name w:val="List Paragraph"/>
    <w:basedOn w:val="1"/>
    <w:qFormat/>
    <w:uiPriority w:val="34"/>
    <w:pPr>
      <w:ind w:firstLine="420" w:firstLineChars="200"/>
    </w:pPr>
    <w:rPr>
      <w:rFonts w:ascii="Times New Roman" w:hAnsi="Times New Roman" w:eastAsia="宋体" w:cs="Times New Roman"/>
      <w:szCs w:val="20"/>
    </w:rPr>
  </w:style>
  <w:style w:type="paragraph" w:customStyle="1" w:styleId="49">
    <w:name w:val="样式 Body1! + 首行缩进:  2 字符"/>
    <w:basedOn w:val="1"/>
    <w:qFormat/>
    <w:uiPriority w:val="0"/>
    <w:pPr>
      <w:widowControl/>
      <w:tabs>
        <w:tab w:val="left" w:pos="1247"/>
      </w:tabs>
      <w:spacing w:before="120" w:line="288" w:lineRule="auto"/>
      <w:ind w:left="1247"/>
    </w:pPr>
    <w:rPr>
      <w:rFonts w:ascii="Arial" w:hAnsi="Arial" w:eastAsia="宋体" w:cs="Times New Roman"/>
      <w:kern w:val="0"/>
      <w:szCs w:val="21"/>
      <w:lang w:eastAsia="en-US"/>
    </w:rPr>
  </w:style>
  <w:style w:type="paragraph" w:customStyle="1" w:styleId="50">
    <w:name w:val="itemlist"/>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BE5445-8C18-4EBB-BA19-12E85A61DFEA}">
  <ds:schemaRefs/>
</ds:datastoreItem>
</file>

<file path=docProps/app.xml><?xml version="1.0" encoding="utf-8"?>
<Properties xmlns="http://schemas.openxmlformats.org/officeDocument/2006/extended-properties" xmlns:vt="http://schemas.openxmlformats.org/officeDocument/2006/docPropsVTypes">
  <Template>Normal</Template>
  <Pages>38</Pages>
  <Words>2102</Words>
  <Characters>11982</Characters>
  <Lines>99</Lines>
  <Paragraphs>28</Paragraphs>
  <TotalTime>116</TotalTime>
  <ScaleCrop>false</ScaleCrop>
  <LinksUpToDate>false</LinksUpToDate>
  <CharactersWithSpaces>14056</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2019-07-15T01:40:00Z</dcterms:created>
  <dc:creator>86187</dc:creator>
  <cp:lastModifiedBy>KB10</cp:lastModifiedBy>
  <dcterms:modified xsi:type="dcterms:W3CDTF">2019-07-15T11:01:40Z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