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left"/>
        <w:rPr>
          <w:rFonts w:hint="eastAsia" w:ascii="宋体" w:hAnsi="宋体" w:eastAsia="宋体" w:cs="宋体"/>
          <w:b/>
          <w:bCs/>
          <w:sz w:val="32"/>
          <w:szCs w:val="32"/>
          <w:lang w:val="zh-CN"/>
        </w:rPr>
      </w:pPr>
    </w:p>
    <w:p>
      <w:pPr>
        <w:autoSpaceDE w:val="0"/>
        <w:autoSpaceDN w:val="0"/>
        <w:adjustRightInd w:val="0"/>
        <w:snapToGrid w:val="0"/>
        <w:spacing w:line="360" w:lineRule="auto"/>
        <w:jc w:val="left"/>
        <w:rPr>
          <w:rFonts w:hint="eastAsia" w:ascii="宋体" w:hAnsi="宋体" w:eastAsia="宋体" w:cs="宋体"/>
          <w:b/>
          <w:bCs/>
          <w:sz w:val="30"/>
          <w:szCs w:val="30"/>
          <w:lang w:val="zh-CN"/>
        </w:rPr>
      </w:pPr>
      <w:r>
        <w:rPr>
          <w:rFonts w:hint="eastAsia" w:ascii="宋体" w:hAnsi="宋体" w:eastAsia="宋体" w:cs="宋体"/>
          <w:b/>
          <w:bCs/>
          <w:sz w:val="30"/>
          <w:szCs w:val="30"/>
          <w:lang w:val="zh-CN"/>
        </w:rPr>
        <w:t>政府采购项目</w:t>
      </w:r>
    </w:p>
    <w:p>
      <w:pPr>
        <w:autoSpaceDE w:val="0"/>
        <w:autoSpaceDN w:val="0"/>
        <w:adjustRightInd w:val="0"/>
        <w:snapToGrid w:val="0"/>
        <w:spacing w:line="360" w:lineRule="auto"/>
        <w:jc w:val="left"/>
        <w:rPr>
          <w:rFonts w:hint="eastAsia" w:ascii="宋体" w:hAnsi="宋体" w:eastAsia="宋体" w:cs="宋体"/>
          <w:b/>
          <w:bCs/>
          <w:sz w:val="30"/>
          <w:szCs w:val="30"/>
          <w:lang w:val="zh-CN"/>
        </w:rPr>
      </w:pPr>
      <w:r>
        <w:rPr>
          <w:rFonts w:hint="eastAsia" w:ascii="宋体" w:hAnsi="宋体" w:eastAsia="宋体" w:cs="宋体"/>
          <w:b/>
          <w:bCs/>
          <w:sz w:val="30"/>
          <w:szCs w:val="30"/>
          <w:lang w:val="zh-CN"/>
        </w:rPr>
        <w:t>采购项目编号：</w:t>
      </w:r>
      <w:r>
        <w:rPr>
          <w:rFonts w:hint="eastAsia" w:ascii="宋体" w:hAnsi="宋体" w:cs="宋体"/>
          <w:b/>
          <w:bCs/>
          <w:sz w:val="30"/>
          <w:szCs w:val="30"/>
          <w:lang w:val="zh-CN"/>
        </w:rPr>
        <w:t>HJCS2021-168</w:t>
      </w:r>
    </w:p>
    <w:p>
      <w:pPr>
        <w:tabs>
          <w:tab w:val="left" w:pos="5670"/>
        </w:tabs>
        <w:autoSpaceDE w:val="0"/>
        <w:autoSpaceDN w:val="0"/>
        <w:adjustRightInd w:val="0"/>
        <w:snapToGrid w:val="0"/>
        <w:spacing w:line="360" w:lineRule="auto"/>
        <w:jc w:val="center"/>
        <w:rPr>
          <w:rFonts w:hint="eastAsia" w:ascii="宋体" w:hAnsi="宋体" w:eastAsia="宋体" w:cs="宋体"/>
          <w:sz w:val="32"/>
          <w:szCs w:val="32"/>
        </w:rPr>
      </w:pPr>
    </w:p>
    <w:p>
      <w:pPr>
        <w:tabs>
          <w:tab w:val="left" w:pos="5670"/>
        </w:tabs>
        <w:autoSpaceDE w:val="0"/>
        <w:autoSpaceDN w:val="0"/>
        <w:adjustRightInd w:val="0"/>
        <w:snapToGrid w:val="0"/>
        <w:spacing w:line="360" w:lineRule="auto"/>
        <w:jc w:val="center"/>
        <w:rPr>
          <w:rFonts w:hint="eastAsia" w:ascii="宋体" w:hAnsi="宋体" w:eastAsia="宋体" w:cs="宋体"/>
          <w:sz w:val="32"/>
          <w:szCs w:val="32"/>
        </w:rPr>
      </w:pPr>
    </w:p>
    <w:p>
      <w:pPr>
        <w:tabs>
          <w:tab w:val="left" w:pos="5670"/>
        </w:tabs>
        <w:autoSpaceDE w:val="0"/>
        <w:autoSpaceDN w:val="0"/>
        <w:adjustRightInd w:val="0"/>
        <w:snapToGrid w:val="0"/>
        <w:spacing w:line="360" w:lineRule="auto"/>
        <w:jc w:val="center"/>
        <w:rPr>
          <w:rFonts w:hint="eastAsia" w:ascii="宋体" w:hAnsi="宋体" w:eastAsia="宋体" w:cs="宋体"/>
          <w:sz w:val="32"/>
          <w:szCs w:val="32"/>
        </w:rPr>
      </w:pPr>
    </w:p>
    <w:p>
      <w:pPr>
        <w:tabs>
          <w:tab w:val="left" w:pos="5670"/>
        </w:tabs>
        <w:autoSpaceDE w:val="0"/>
        <w:autoSpaceDN w:val="0"/>
        <w:adjustRightInd w:val="0"/>
        <w:snapToGrid w:val="0"/>
        <w:spacing w:line="360" w:lineRule="auto"/>
        <w:jc w:val="center"/>
        <w:rPr>
          <w:rFonts w:hint="eastAsia" w:ascii="宋体" w:hAnsi="宋体" w:eastAsia="宋体" w:cs="宋体"/>
          <w:sz w:val="32"/>
          <w:szCs w:val="32"/>
        </w:rPr>
      </w:pPr>
    </w:p>
    <w:p>
      <w:pPr>
        <w:tabs>
          <w:tab w:val="left" w:pos="5670"/>
        </w:tabs>
        <w:autoSpaceDE w:val="0"/>
        <w:autoSpaceDN w:val="0"/>
        <w:adjustRightInd w:val="0"/>
        <w:snapToGrid w:val="0"/>
        <w:spacing w:line="360" w:lineRule="auto"/>
        <w:jc w:val="center"/>
        <w:rPr>
          <w:rFonts w:hint="eastAsia" w:ascii="宋体" w:hAnsi="宋体" w:eastAsia="宋体" w:cs="宋体"/>
          <w:b/>
          <w:bCs/>
          <w:sz w:val="40"/>
          <w:szCs w:val="40"/>
          <w:lang w:val="zh-CN"/>
        </w:rPr>
      </w:pPr>
      <w:r>
        <w:rPr>
          <w:rFonts w:hint="eastAsia" w:ascii="宋体" w:hAnsi="宋体" w:cs="宋体"/>
          <w:b/>
          <w:bCs/>
          <w:sz w:val="40"/>
          <w:szCs w:val="40"/>
          <w:lang w:val="zh-CN"/>
        </w:rPr>
        <w:t>西安高新第二学校教学用具、教学器材采购项目</w:t>
      </w:r>
    </w:p>
    <w:p>
      <w:pPr>
        <w:tabs>
          <w:tab w:val="left" w:pos="5670"/>
        </w:tabs>
        <w:autoSpaceDE w:val="0"/>
        <w:autoSpaceDN w:val="0"/>
        <w:adjustRightInd w:val="0"/>
        <w:snapToGrid w:val="0"/>
        <w:spacing w:line="360" w:lineRule="auto"/>
        <w:jc w:val="center"/>
        <w:rPr>
          <w:rFonts w:hint="eastAsia" w:ascii="宋体" w:hAnsi="宋体" w:eastAsia="宋体" w:cs="宋体"/>
          <w:b/>
          <w:bCs/>
          <w:sz w:val="56"/>
          <w:szCs w:val="56"/>
          <w:lang w:val="zh-CN"/>
        </w:rPr>
      </w:pPr>
      <w:r>
        <w:rPr>
          <w:rFonts w:hint="eastAsia" w:ascii="宋体" w:hAnsi="宋体" w:eastAsia="宋体" w:cs="宋体"/>
          <w:b/>
          <w:bCs/>
          <w:sz w:val="44"/>
          <w:szCs w:val="44"/>
          <w:lang w:val="zh-CN"/>
        </w:rPr>
        <w:t>竞争性磋商文件</w:t>
      </w:r>
    </w:p>
    <w:p>
      <w:pPr>
        <w:tabs>
          <w:tab w:val="left" w:pos="5670"/>
        </w:tabs>
        <w:autoSpaceDE w:val="0"/>
        <w:autoSpaceDN w:val="0"/>
        <w:adjustRightInd w:val="0"/>
        <w:snapToGrid w:val="0"/>
        <w:spacing w:line="360" w:lineRule="auto"/>
        <w:jc w:val="center"/>
        <w:rPr>
          <w:rFonts w:hint="eastAsia" w:ascii="宋体" w:hAnsi="宋体" w:eastAsia="宋体" w:cs="宋体"/>
          <w:sz w:val="50"/>
          <w:szCs w:val="50"/>
        </w:rPr>
      </w:pPr>
    </w:p>
    <w:p>
      <w:pPr>
        <w:tabs>
          <w:tab w:val="left" w:pos="5670"/>
        </w:tabs>
        <w:autoSpaceDE w:val="0"/>
        <w:autoSpaceDN w:val="0"/>
        <w:adjustRightInd w:val="0"/>
        <w:snapToGrid w:val="0"/>
        <w:spacing w:line="360" w:lineRule="auto"/>
        <w:jc w:val="center"/>
        <w:rPr>
          <w:rFonts w:hint="eastAsia" w:ascii="宋体" w:hAnsi="宋体" w:eastAsia="宋体" w:cs="宋体"/>
          <w:sz w:val="50"/>
          <w:szCs w:val="50"/>
        </w:rPr>
      </w:pPr>
    </w:p>
    <w:p>
      <w:pPr>
        <w:tabs>
          <w:tab w:val="left" w:pos="5670"/>
        </w:tabs>
        <w:autoSpaceDE w:val="0"/>
        <w:autoSpaceDN w:val="0"/>
        <w:adjustRightInd w:val="0"/>
        <w:snapToGrid w:val="0"/>
        <w:spacing w:line="360" w:lineRule="auto"/>
        <w:jc w:val="center"/>
        <w:rPr>
          <w:rFonts w:hint="eastAsia" w:ascii="宋体" w:hAnsi="宋体" w:eastAsia="宋体" w:cs="宋体"/>
          <w:b/>
          <w:bCs/>
          <w:sz w:val="30"/>
          <w:szCs w:val="30"/>
        </w:rPr>
      </w:pPr>
    </w:p>
    <w:p>
      <w:pPr>
        <w:tabs>
          <w:tab w:val="left" w:pos="5670"/>
        </w:tabs>
        <w:autoSpaceDE w:val="0"/>
        <w:autoSpaceDN w:val="0"/>
        <w:adjustRightInd w:val="0"/>
        <w:snapToGrid w:val="0"/>
        <w:spacing w:line="360" w:lineRule="auto"/>
        <w:rPr>
          <w:rFonts w:hint="eastAsia" w:ascii="宋体" w:hAnsi="宋体" w:eastAsia="宋体" w:cs="宋体"/>
          <w:b/>
          <w:bCs/>
          <w:sz w:val="30"/>
          <w:szCs w:val="30"/>
        </w:rPr>
      </w:pPr>
    </w:p>
    <w:p>
      <w:pPr>
        <w:tabs>
          <w:tab w:val="left" w:pos="5670"/>
        </w:tabs>
        <w:autoSpaceDE w:val="0"/>
        <w:autoSpaceDN w:val="0"/>
        <w:adjustRightInd w:val="0"/>
        <w:snapToGrid w:val="0"/>
        <w:spacing w:line="360" w:lineRule="auto"/>
        <w:jc w:val="center"/>
        <w:rPr>
          <w:rFonts w:hint="eastAsia" w:ascii="宋体" w:hAnsi="宋体" w:eastAsia="宋体" w:cs="宋体"/>
          <w:b/>
          <w:bCs/>
          <w:sz w:val="30"/>
          <w:szCs w:val="30"/>
        </w:rPr>
      </w:pPr>
    </w:p>
    <w:p>
      <w:pPr>
        <w:tabs>
          <w:tab w:val="left" w:pos="5670"/>
        </w:tabs>
        <w:autoSpaceDE w:val="0"/>
        <w:autoSpaceDN w:val="0"/>
        <w:adjustRightInd w:val="0"/>
        <w:snapToGrid w:val="0"/>
        <w:spacing w:line="360" w:lineRule="auto"/>
        <w:ind w:firstLine="964" w:firstLineChars="300"/>
        <w:rPr>
          <w:rFonts w:hint="eastAsia" w:ascii="宋体" w:hAnsi="宋体" w:eastAsia="宋体" w:cs="宋体"/>
          <w:b/>
          <w:bCs/>
          <w:sz w:val="32"/>
          <w:szCs w:val="32"/>
          <w:lang w:eastAsia="zh-CN"/>
        </w:rPr>
      </w:pPr>
      <w:r>
        <w:rPr>
          <w:rFonts w:hint="eastAsia" w:ascii="宋体" w:hAnsi="宋体" w:eastAsia="宋体" w:cs="宋体"/>
          <w:b/>
          <w:bCs/>
          <w:sz w:val="32"/>
          <w:szCs w:val="32"/>
        </w:rPr>
        <w:t>采   购   人：</w:t>
      </w:r>
      <w:r>
        <w:rPr>
          <w:rFonts w:hint="eastAsia" w:ascii="宋体" w:hAnsi="宋体" w:cs="宋体"/>
          <w:b/>
          <w:bCs/>
          <w:sz w:val="32"/>
          <w:szCs w:val="32"/>
          <w:lang w:eastAsia="zh-CN"/>
        </w:rPr>
        <w:t>西安高新第二学校</w:t>
      </w:r>
    </w:p>
    <w:p>
      <w:pPr>
        <w:tabs>
          <w:tab w:val="left" w:pos="5670"/>
        </w:tabs>
        <w:autoSpaceDE w:val="0"/>
        <w:autoSpaceDN w:val="0"/>
        <w:adjustRightInd w:val="0"/>
        <w:snapToGrid w:val="0"/>
        <w:spacing w:line="360" w:lineRule="auto"/>
        <w:ind w:firstLine="964" w:firstLineChars="300"/>
        <w:rPr>
          <w:rFonts w:hint="eastAsia" w:ascii="宋体" w:hAnsi="宋体" w:eastAsia="宋体" w:cs="宋体"/>
          <w:b/>
          <w:bCs/>
          <w:sz w:val="32"/>
          <w:szCs w:val="32"/>
        </w:rPr>
      </w:pPr>
      <w:r>
        <w:rPr>
          <w:rFonts w:hint="eastAsia" w:ascii="宋体" w:hAnsi="宋体" w:eastAsia="宋体" w:cs="宋体"/>
          <w:b/>
          <w:bCs/>
          <w:sz w:val="32"/>
          <w:szCs w:val="32"/>
        </w:rPr>
        <w:t>采购代理机构：</w:t>
      </w:r>
      <w:r>
        <w:rPr>
          <w:rFonts w:hint="eastAsia" w:ascii="宋体" w:hAnsi="宋体" w:eastAsia="宋体" w:cs="宋体"/>
          <w:b/>
          <w:bCs/>
          <w:sz w:val="32"/>
          <w:szCs w:val="32"/>
          <w:lang w:val="zh-CN"/>
        </w:rPr>
        <w:t>陕西海佳项目管理有限公司</w:t>
      </w:r>
      <w:r>
        <w:rPr>
          <w:rFonts w:hint="eastAsia" w:ascii="宋体" w:hAnsi="宋体" w:eastAsia="宋体" w:cs="宋体"/>
          <w:b/>
          <w:bCs/>
          <w:sz w:val="32"/>
          <w:szCs w:val="32"/>
        </w:rPr>
        <w:t xml:space="preserve"> </w:t>
      </w:r>
    </w:p>
    <w:p>
      <w:pPr>
        <w:tabs>
          <w:tab w:val="left" w:pos="5670"/>
        </w:tabs>
        <w:autoSpaceDE w:val="0"/>
        <w:autoSpaceDN w:val="0"/>
        <w:adjustRightInd w:val="0"/>
        <w:snapToGrid w:val="0"/>
        <w:spacing w:line="360" w:lineRule="auto"/>
        <w:jc w:val="center"/>
        <w:rPr>
          <w:rFonts w:hint="eastAsia" w:ascii="宋体" w:hAnsi="宋体" w:eastAsia="宋体" w:cs="宋体"/>
          <w:b/>
          <w:bCs/>
          <w:sz w:val="32"/>
          <w:szCs w:val="32"/>
        </w:rPr>
      </w:pPr>
    </w:p>
    <w:p>
      <w:pPr>
        <w:tabs>
          <w:tab w:val="left" w:pos="5460"/>
        </w:tabs>
        <w:autoSpaceDE w:val="0"/>
        <w:autoSpaceDN w:val="0"/>
        <w:adjustRightInd w:val="0"/>
        <w:snapToGrid w:val="0"/>
        <w:spacing w:line="360" w:lineRule="auto"/>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二〇二一年</w:t>
      </w:r>
      <w:r>
        <w:rPr>
          <w:rFonts w:hint="eastAsia" w:ascii="宋体" w:hAnsi="宋体" w:cs="宋体"/>
          <w:b/>
          <w:bCs/>
          <w:sz w:val="32"/>
          <w:szCs w:val="32"/>
          <w:lang w:val="en-US" w:eastAsia="zh-CN"/>
        </w:rPr>
        <w:t>七</w:t>
      </w:r>
      <w:r>
        <w:rPr>
          <w:rFonts w:hint="eastAsia" w:ascii="宋体" w:hAnsi="宋体" w:eastAsia="宋体" w:cs="宋体"/>
          <w:b/>
          <w:bCs/>
          <w:sz w:val="32"/>
          <w:szCs w:val="32"/>
          <w:lang w:val="zh-CN"/>
        </w:rPr>
        <w:t>月</w:t>
      </w:r>
    </w:p>
    <w:p>
      <w:pPr>
        <w:rPr>
          <w:rFonts w:hint="eastAsia"/>
          <w:lang w:val="zh-CN"/>
        </w:rPr>
        <w:sectPr>
          <w:headerReference r:id="rId3" w:type="default"/>
          <w:pgSz w:w="11906" w:h="16838"/>
          <w:pgMar w:top="1418" w:right="1418" w:bottom="1418" w:left="1418" w:header="851" w:footer="992" w:gutter="0"/>
          <w:pgNumType w:fmt="decimal" w:start="0"/>
          <w:cols w:space="720" w:num="1"/>
          <w:titlePg/>
          <w:docGrid w:linePitch="312" w:charSpace="0"/>
        </w:sectPr>
      </w:pPr>
    </w:p>
    <w:p>
      <w:pPr>
        <w:jc w:val="center"/>
        <w:rPr>
          <w:rFonts w:hint="eastAsia" w:ascii="宋体" w:hAnsi="宋体" w:eastAsia="宋体" w:cs="宋体"/>
          <w:color w:val="auto"/>
          <w:sz w:val="32"/>
          <w:szCs w:val="32"/>
          <w:lang w:val="zh-CN"/>
        </w:rPr>
      </w:pPr>
      <w:r>
        <w:rPr>
          <w:rFonts w:hint="eastAsia" w:ascii="宋体" w:hAnsi="宋体" w:eastAsia="宋体" w:cs="宋体"/>
          <w:color w:val="auto"/>
          <w:sz w:val="32"/>
          <w:szCs w:val="32"/>
          <w:lang w:val="zh-CN"/>
        </w:rPr>
        <w:t>目  录</w:t>
      </w:r>
    </w:p>
    <w:p>
      <w:pPr>
        <w:rPr>
          <w:rFonts w:hint="eastAsia" w:ascii="宋体" w:hAnsi="宋体" w:eastAsia="宋体" w:cs="宋体"/>
          <w:lang w:val="zh-CN"/>
        </w:rPr>
      </w:pPr>
    </w:p>
    <w:p>
      <w:pPr>
        <w:rPr>
          <w:rFonts w:hint="eastAsia" w:ascii="宋体" w:hAnsi="宋体" w:eastAsia="宋体" w:cs="宋体"/>
          <w:lang w:val="zh-CN"/>
        </w:rPr>
      </w:pPr>
    </w:p>
    <w:p>
      <w:pPr>
        <w:pStyle w:val="13"/>
        <w:tabs>
          <w:tab w:val="right" w:leader="dot" w:pos="9060"/>
        </w:tabs>
        <w:spacing w:line="480" w:lineRule="auto"/>
        <w:rPr>
          <w:rFonts w:hint="eastAsia" w:ascii="宋体" w:hAnsi="宋体" w:eastAsia="宋体" w:cs="宋体"/>
          <w:smallCaps w:val="0"/>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"_Toc43393724"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第一部分</w:t>
      </w:r>
      <w:r>
        <w:rPr>
          <w:rFonts w:hint="eastAsia" w:ascii="宋体" w:hAnsi="宋体" w:cs="宋体"/>
          <w:smallCaps w:val="0"/>
          <w:sz w:val="24"/>
          <w:szCs w:val="24"/>
          <w:lang w:val="en-US" w:eastAsia="zh-CN"/>
        </w:rPr>
        <w:t xml:space="preserve">  竞争性磋商公告  </w:t>
      </w:r>
      <w:r>
        <w:rPr>
          <w:rFonts w:hint="eastAsia" w:ascii="宋体" w:hAnsi="宋体" w:eastAsia="宋体" w:cs="宋体"/>
          <w:smallCaps w:val="0"/>
          <w:sz w:val="24"/>
          <w:szCs w:val="24"/>
        </w:rPr>
        <w:tab/>
      </w:r>
      <w:r>
        <w:rPr>
          <w:rFonts w:hint="eastAsia" w:ascii="宋体" w:hAnsi="宋体" w:cs="宋体"/>
          <w:smallCaps w:val="0"/>
          <w:sz w:val="24"/>
          <w:szCs w:val="24"/>
          <w:lang w:val="en-US" w:eastAsia="zh-CN"/>
        </w:rPr>
        <w:t>1</w:t>
      </w:r>
      <w:r>
        <w:rPr>
          <w:rFonts w:hint="eastAsia" w:ascii="宋体" w:hAnsi="宋体" w:eastAsia="宋体" w:cs="宋体"/>
          <w:smallCaps w:val="0"/>
          <w:sz w:val="24"/>
          <w:szCs w:val="24"/>
        </w:rPr>
        <w:fldChar w:fldCharType="end"/>
      </w:r>
    </w:p>
    <w:p>
      <w:pPr>
        <w:pStyle w:val="13"/>
        <w:tabs>
          <w:tab w:val="right" w:leader="dot" w:pos="9060"/>
        </w:tabs>
        <w:spacing w:line="480" w:lineRule="auto"/>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"_Toc43393724"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第二部分  竞争性磋商须知</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_Toc43393724 \h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6</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"_Toc43393725"</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一、名词解释</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_Toc43393725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6</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"_Toc43393726"</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二、磋商文件及要求</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_Toc43393726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6</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"_Toc43393727"</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三、磋商及响应文件</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_Toc43393727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7</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"_Toc43393728"</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四、响应文件的密封和提交</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_Toc43393728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11</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"_Toc43393729"</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五、磋商小组职责及义务</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_Toc43393729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13</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"_Toc43393730"</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六、磋商程序</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_Toc43393730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14</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"_Toc43393731"</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七、确定成交单位</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_Toc43393731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25</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iCs w:val="0"/>
          <w:sz w:val="24"/>
          <w:szCs w:val="24"/>
        </w:rPr>
      </w:pPr>
      <w:r>
        <w:rPr>
          <w:rFonts w:hint="eastAsia" w:ascii="宋体" w:hAnsi="宋体" w:eastAsia="宋体" w:cs="宋体"/>
          <w:i w:val="0"/>
          <w:sz w:val="24"/>
          <w:szCs w:val="24"/>
        </w:rPr>
        <w:fldChar w:fldCharType="begin"/>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instrText xml:space="preserve">HYPERLINK \l "_Toc43393732"</w:instrText>
      </w:r>
      <w:r>
        <w:rPr>
          <w:rStyle w:val="23"/>
          <w:rFonts w:hint="eastAsia" w:ascii="宋体" w:hAnsi="宋体" w:eastAsia="宋体" w:cs="宋体"/>
          <w:i w:val="0"/>
          <w:sz w:val="24"/>
          <w:szCs w:val="24"/>
        </w:rPr>
        <w:instrText xml:space="preserve"> </w:instrText>
      </w:r>
      <w:r>
        <w:rPr>
          <w:rFonts w:hint="eastAsia" w:ascii="宋体" w:hAnsi="宋体" w:eastAsia="宋体" w:cs="宋体"/>
          <w:i w:val="0"/>
          <w:sz w:val="24"/>
          <w:szCs w:val="24"/>
        </w:rPr>
        <w:fldChar w:fldCharType="separate"/>
      </w:r>
      <w:r>
        <w:rPr>
          <w:rStyle w:val="23"/>
          <w:rFonts w:hint="eastAsia" w:ascii="宋体" w:hAnsi="宋体" w:eastAsia="宋体" w:cs="宋体"/>
          <w:i w:val="0"/>
          <w:sz w:val="24"/>
          <w:szCs w:val="24"/>
          <w:lang w:val="zh-CN"/>
        </w:rPr>
        <w:t>八、询问与质疑</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_Toc43393732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25</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sz w:val="24"/>
          <w:szCs w:val="24"/>
        </w:rPr>
      </w:pP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HYPERLINK \l "_Toc43393733"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lang w:val="zh-CN"/>
        </w:rPr>
        <w:t>九、合同</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_Toc43393733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26</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sz w:val="24"/>
          <w:szCs w:val="24"/>
        </w:rPr>
      </w:pP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HYPERLINK \l "_Toc43393734"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lang w:val="zh-CN"/>
        </w:rPr>
        <w:t>十、成交服务费</w:t>
      </w:r>
      <w:r>
        <w:rPr>
          <w:rFonts w:hint="eastAsia" w:ascii="宋体" w:hAnsi="宋体" w:eastAsia="宋体" w:cs="宋体"/>
          <w:i w:val="0"/>
          <w:sz w:val="24"/>
          <w:szCs w:val="24"/>
        </w:rPr>
        <w:tab/>
      </w: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PAGEREF _Toc43393734 \h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rPr>
        <w:t>27</w:t>
      </w:r>
      <w:r>
        <w:rPr>
          <w:rFonts w:hint="eastAsia" w:ascii="宋体" w:hAnsi="宋体" w:eastAsia="宋体" w:cs="宋体"/>
          <w:i w:val="0"/>
          <w:sz w:val="24"/>
          <w:szCs w:val="24"/>
        </w:rPr>
        <w:fldChar w:fldCharType="end"/>
      </w:r>
      <w:r>
        <w:rPr>
          <w:rFonts w:hint="eastAsia" w:ascii="宋体" w:hAnsi="宋体" w:eastAsia="宋体" w:cs="宋体"/>
          <w:i w:val="0"/>
          <w:sz w:val="24"/>
          <w:szCs w:val="24"/>
        </w:rPr>
        <w:fldChar w:fldCharType="end"/>
      </w:r>
    </w:p>
    <w:p>
      <w:pPr>
        <w:pStyle w:val="10"/>
        <w:tabs>
          <w:tab w:val="right" w:leader="dot" w:pos="9060"/>
        </w:tabs>
        <w:spacing w:line="480" w:lineRule="auto"/>
        <w:rPr>
          <w:rFonts w:hint="eastAsia" w:ascii="宋体" w:hAnsi="宋体" w:eastAsia="宋体" w:cs="宋体"/>
          <w:i w:val="0"/>
          <w:sz w:val="24"/>
          <w:szCs w:val="24"/>
          <w:lang w:val="en-US" w:eastAsia="zh-CN"/>
        </w:rPr>
      </w:pPr>
      <w:r>
        <w:rPr>
          <w:rFonts w:hint="eastAsia" w:ascii="宋体" w:hAnsi="宋体" w:eastAsia="宋体" w:cs="宋体"/>
          <w:i w:val="0"/>
          <w:sz w:val="24"/>
          <w:szCs w:val="24"/>
        </w:rPr>
        <w:fldChar w:fldCharType="begin"/>
      </w:r>
      <w:r>
        <w:rPr>
          <w:rFonts w:hint="eastAsia" w:ascii="宋体" w:hAnsi="宋体" w:eastAsia="宋体" w:cs="宋体"/>
          <w:i w:val="0"/>
          <w:sz w:val="24"/>
          <w:szCs w:val="24"/>
        </w:rPr>
        <w:instrText xml:space="preserve"> HYPERLINK \l "_Toc43393735" </w:instrText>
      </w:r>
      <w:r>
        <w:rPr>
          <w:rFonts w:hint="eastAsia" w:ascii="宋体" w:hAnsi="宋体" w:eastAsia="宋体" w:cs="宋体"/>
          <w:i w:val="0"/>
          <w:sz w:val="24"/>
          <w:szCs w:val="24"/>
        </w:rPr>
        <w:fldChar w:fldCharType="separate"/>
      </w:r>
      <w:r>
        <w:rPr>
          <w:rFonts w:hint="eastAsia" w:ascii="宋体" w:hAnsi="宋体" w:eastAsia="宋体" w:cs="宋体"/>
          <w:i w:val="0"/>
          <w:sz w:val="24"/>
          <w:szCs w:val="24"/>
          <w:lang w:val="zh-CN"/>
        </w:rPr>
        <w:t>十一、其他情况说明</w:t>
      </w:r>
      <w:r>
        <w:rPr>
          <w:rFonts w:hint="eastAsia" w:ascii="宋体" w:hAnsi="宋体" w:eastAsia="宋体" w:cs="宋体"/>
          <w:i w:val="0"/>
          <w:sz w:val="24"/>
          <w:szCs w:val="24"/>
        </w:rPr>
        <w:tab/>
      </w:r>
      <w:r>
        <w:rPr>
          <w:rFonts w:hint="eastAsia" w:ascii="宋体" w:hAnsi="宋体" w:cs="宋体"/>
          <w:i w:val="0"/>
          <w:sz w:val="24"/>
          <w:szCs w:val="24"/>
          <w:lang w:val="en-US" w:eastAsia="zh-CN"/>
        </w:rPr>
        <w:t>2</w:t>
      </w:r>
      <w:r>
        <w:rPr>
          <w:rFonts w:hint="eastAsia" w:ascii="宋体" w:hAnsi="宋体" w:eastAsia="宋体" w:cs="宋体"/>
          <w:i w:val="0"/>
          <w:sz w:val="24"/>
          <w:szCs w:val="24"/>
        </w:rPr>
        <w:fldChar w:fldCharType="end"/>
      </w:r>
      <w:r>
        <w:rPr>
          <w:rFonts w:hint="eastAsia" w:ascii="宋体" w:hAnsi="宋体" w:cs="宋体"/>
          <w:i w:val="0"/>
          <w:sz w:val="24"/>
          <w:szCs w:val="24"/>
          <w:lang w:val="en-US" w:eastAsia="zh-CN"/>
        </w:rPr>
        <w:t>1</w:t>
      </w:r>
    </w:p>
    <w:p>
      <w:pPr>
        <w:pStyle w:val="13"/>
        <w:tabs>
          <w:tab w:val="right" w:leader="dot" w:pos="9060"/>
        </w:tabs>
        <w:spacing w:line="480" w:lineRule="auto"/>
        <w:rPr>
          <w:rFonts w:hint="eastAsia" w:ascii="宋体" w:hAnsi="宋体" w:eastAsia="宋体" w:cs="宋体"/>
          <w:smallCaps w:val="0"/>
          <w:sz w:val="24"/>
          <w:szCs w:val="24"/>
          <w:lang w:val="en-US" w:eastAsia="zh-CN"/>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"_Toc43393736"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第三部分  采购内容及要求</w:t>
      </w:r>
      <w:r>
        <w:rPr>
          <w:rFonts w:hint="eastAsia" w:ascii="宋体" w:hAnsi="宋体" w:eastAsia="宋体" w:cs="宋体"/>
          <w:smallCaps w:val="0"/>
          <w:sz w:val="24"/>
          <w:szCs w:val="24"/>
        </w:rPr>
        <w:tab/>
      </w:r>
      <w:r>
        <w:rPr>
          <w:rFonts w:hint="eastAsia" w:ascii="宋体" w:hAnsi="宋体" w:eastAsia="宋体" w:cs="宋体"/>
          <w:smallCaps w:val="0"/>
          <w:sz w:val="24"/>
          <w:szCs w:val="24"/>
          <w:lang w:val="en-US" w:eastAsia="zh-CN"/>
        </w:rPr>
        <w:t>2</w:t>
      </w:r>
      <w:r>
        <w:rPr>
          <w:rFonts w:hint="eastAsia" w:ascii="宋体" w:hAnsi="宋体" w:eastAsia="宋体" w:cs="宋体"/>
          <w:smallCaps w:val="0"/>
          <w:sz w:val="24"/>
          <w:szCs w:val="24"/>
        </w:rPr>
        <w:fldChar w:fldCharType="end"/>
      </w:r>
      <w:r>
        <w:rPr>
          <w:rFonts w:hint="eastAsia" w:ascii="宋体" w:hAnsi="宋体" w:cs="宋体"/>
          <w:smallCaps w:val="0"/>
          <w:sz w:val="24"/>
          <w:szCs w:val="24"/>
          <w:lang w:val="en-US" w:eastAsia="zh-CN"/>
        </w:rPr>
        <w:t>2</w:t>
      </w:r>
    </w:p>
    <w:p>
      <w:pPr>
        <w:pStyle w:val="13"/>
        <w:tabs>
          <w:tab w:val="right" w:leader="dot" w:pos="9060"/>
        </w:tabs>
        <w:spacing w:line="480" w:lineRule="auto"/>
        <w:rPr>
          <w:rFonts w:hint="eastAsia" w:ascii="宋体" w:hAnsi="宋体" w:eastAsia="宋体" w:cs="宋体"/>
          <w:smallCaps w:val="0"/>
          <w:sz w:val="24"/>
          <w:szCs w:val="24"/>
        </w:rPr>
      </w:pP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HYPERLINK \l "_Toc43393737"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lang w:val="zh-CN"/>
        </w:rPr>
        <w:t>第四部分  合同草案条款</w:t>
      </w:r>
      <w:r>
        <w:rPr>
          <w:rFonts w:hint="eastAsia" w:ascii="宋体" w:hAnsi="宋体" w:eastAsia="宋体" w:cs="宋体"/>
          <w:smallCaps w:val="0"/>
          <w:sz w:val="24"/>
          <w:szCs w:val="24"/>
        </w:rPr>
        <w:tab/>
      </w:r>
      <w:r>
        <w:rPr>
          <w:rFonts w:hint="eastAsia" w:ascii="宋体" w:hAnsi="宋体" w:eastAsia="宋体" w:cs="宋体"/>
          <w:smallCaps w:val="0"/>
          <w:sz w:val="24"/>
          <w:szCs w:val="24"/>
        </w:rPr>
        <w:fldChar w:fldCharType="begin"/>
      </w:r>
      <w:r>
        <w:rPr>
          <w:rFonts w:hint="eastAsia" w:ascii="宋体" w:hAnsi="宋体" w:eastAsia="宋体" w:cs="宋体"/>
          <w:smallCaps w:val="0"/>
          <w:sz w:val="24"/>
          <w:szCs w:val="24"/>
        </w:rPr>
        <w:instrText xml:space="preserve"> PAGEREF _Toc43393737 \h </w:instrText>
      </w:r>
      <w:r>
        <w:rPr>
          <w:rFonts w:hint="eastAsia" w:ascii="宋体" w:hAnsi="宋体" w:eastAsia="宋体" w:cs="宋体"/>
          <w:smallCaps w:val="0"/>
          <w:sz w:val="24"/>
          <w:szCs w:val="24"/>
        </w:rPr>
        <w:fldChar w:fldCharType="separate"/>
      </w:r>
      <w:r>
        <w:rPr>
          <w:rFonts w:hint="eastAsia" w:ascii="宋体" w:hAnsi="宋体" w:eastAsia="宋体" w:cs="宋体"/>
          <w:smallCaps w:val="0"/>
          <w:sz w:val="24"/>
          <w:szCs w:val="24"/>
        </w:rPr>
        <w:t>40</w:t>
      </w:r>
      <w:r>
        <w:rPr>
          <w:rFonts w:hint="eastAsia" w:ascii="宋体" w:hAnsi="宋体" w:eastAsia="宋体" w:cs="宋体"/>
          <w:smallCaps w:val="0"/>
          <w:sz w:val="24"/>
          <w:szCs w:val="24"/>
        </w:rPr>
        <w:fldChar w:fldCharType="end"/>
      </w:r>
      <w:r>
        <w:rPr>
          <w:rFonts w:hint="eastAsia" w:ascii="宋体" w:hAnsi="宋体" w:eastAsia="宋体" w:cs="宋体"/>
          <w:smallCaps w:val="0"/>
          <w:sz w:val="24"/>
          <w:szCs w:val="24"/>
        </w:rPr>
        <w:fldChar w:fldCharType="end"/>
      </w:r>
    </w:p>
    <w:p>
      <w:pPr>
        <w:pStyle w:val="13"/>
        <w:tabs>
          <w:tab w:val="right" w:leader="dot" w:pos="9060"/>
        </w:tabs>
        <w:spacing w:line="480" w:lineRule="auto"/>
        <w:rPr>
          <w:rFonts w:hint="eastAsia" w:ascii="宋体" w:hAnsi="宋体" w:eastAsia="宋体" w:cs="宋体"/>
          <w:smallCaps w:val="0"/>
          <w:sz w:val="21"/>
          <w:szCs w:val="22"/>
        </w:rPr>
      </w:pPr>
      <w:r>
        <w:rPr>
          <w:rFonts w:hint="eastAsia" w:ascii="宋体" w:hAnsi="宋体" w:eastAsia="宋体" w:cs="宋体"/>
          <w:sz w:val="24"/>
          <w:szCs w:val="24"/>
        </w:rPr>
        <w:fldChar w:fldCharType="begin"/>
      </w:r>
      <w:r>
        <w:rPr>
          <w:rStyle w:val="23"/>
          <w:rFonts w:hint="eastAsia" w:ascii="宋体" w:hAnsi="宋体" w:eastAsia="宋体" w:cs="宋体"/>
          <w:sz w:val="24"/>
          <w:szCs w:val="24"/>
        </w:rPr>
        <w:instrText xml:space="preserve"> </w:instrText>
      </w:r>
      <w:r>
        <w:rPr>
          <w:rFonts w:hint="eastAsia" w:ascii="宋体" w:hAnsi="宋体" w:eastAsia="宋体" w:cs="宋体"/>
          <w:sz w:val="24"/>
          <w:szCs w:val="24"/>
        </w:rPr>
        <w:instrText xml:space="preserve">HYPERLINK \l "_Toc43393738"</w:instrText>
      </w:r>
      <w:r>
        <w:rPr>
          <w:rStyle w:val="23"/>
          <w:rFonts w:hint="eastAsia" w:ascii="宋体" w:hAnsi="宋体" w:eastAsia="宋体" w:cs="宋体"/>
          <w:sz w:val="24"/>
          <w:szCs w:val="24"/>
        </w:rPr>
        <w:instrText xml:space="preserve"> </w:instrText>
      </w:r>
      <w:r>
        <w:rPr>
          <w:rFonts w:hint="eastAsia" w:ascii="宋体" w:hAnsi="宋体" w:eastAsia="宋体" w:cs="宋体"/>
          <w:sz w:val="24"/>
          <w:szCs w:val="24"/>
        </w:rPr>
        <w:fldChar w:fldCharType="separate"/>
      </w:r>
      <w:r>
        <w:rPr>
          <w:rStyle w:val="23"/>
          <w:rFonts w:hint="eastAsia" w:ascii="宋体" w:hAnsi="宋体" w:eastAsia="宋体" w:cs="宋体"/>
          <w:sz w:val="24"/>
          <w:szCs w:val="24"/>
          <w:lang w:val="zh-CN"/>
        </w:rPr>
        <w:t>第五部分   竞争性磋商响应文件格式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_Toc43393738 \h </w:instrText>
      </w:r>
      <w:r>
        <w:rPr>
          <w:rFonts w:hint="eastAsia" w:ascii="宋体" w:hAnsi="宋体" w:eastAsia="宋体" w:cs="宋体"/>
          <w:sz w:val="24"/>
          <w:szCs w:val="24"/>
        </w:rPr>
        <w:fldChar w:fldCharType="separate"/>
      </w:r>
      <w:r>
        <w:rPr>
          <w:rFonts w:hint="eastAsia" w:ascii="宋体" w:hAnsi="宋体" w:eastAsia="宋体" w:cs="宋体"/>
          <w:sz w:val="24"/>
          <w:szCs w:val="24"/>
        </w:rPr>
        <w:t>40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spacing w:line="360" w:lineRule="auto"/>
        <w:rPr>
          <w:rFonts w:hint="eastAsia" w:ascii="宋体" w:hAnsi="宋体" w:eastAsia="宋体" w:cs="宋体"/>
          <w:sz w:val="24"/>
          <w:szCs w:val="24"/>
        </w:rPr>
      </w:pPr>
      <w:r>
        <w:rPr>
          <w:rFonts w:hint="eastAsia" w:ascii="宋体" w:hAnsi="宋体" w:eastAsia="宋体" w:cs="宋体"/>
          <w:bCs/>
          <w:sz w:val="24"/>
          <w:szCs w:val="24"/>
          <w:lang w:val="zh-CN"/>
        </w:rPr>
        <w:fldChar w:fldCharType="end"/>
      </w:r>
    </w:p>
    <w:p>
      <w:pPr>
        <w:rPr>
          <w:rFonts w:hint="eastAsia" w:ascii="宋体" w:hAnsi="宋体" w:eastAsia="宋体" w:cs="宋体"/>
          <w:b/>
          <w:kern w:val="2"/>
          <w:sz w:val="32"/>
          <w:szCs w:val="32"/>
          <w:lang w:val="en-US" w:eastAsia="zh-CN" w:bidi="ar-SA"/>
        </w:rPr>
        <w:sectPr>
          <w:footerReference r:id="rId5" w:type="first"/>
          <w:footerReference r:id="rId4" w:type="default"/>
          <w:pgSz w:w="11906" w:h="16838"/>
          <w:pgMar w:top="1418" w:right="1418" w:bottom="1418" w:left="1418" w:header="851" w:footer="992" w:gutter="0"/>
          <w:pgNumType w:fmt="decimal" w:start="2"/>
          <w:cols w:space="720" w:num="1"/>
          <w:titlePg/>
          <w:docGrid w:linePitch="312" w:charSpace="0"/>
        </w:sectPr>
      </w:pPr>
      <w:r>
        <w:rPr>
          <w:rFonts w:hint="eastAsia" w:ascii="宋体" w:hAnsi="宋体" w:eastAsia="宋体" w:cs="宋体"/>
          <w:sz w:val="24"/>
          <w:szCs w:val="24"/>
        </w:rPr>
        <w:br w:type="page"/>
      </w:r>
    </w:p>
    <w:p>
      <w:pPr>
        <w:bidi w:val="0"/>
        <w:jc w:val="center"/>
        <w:rPr>
          <w:rFonts w:hint="eastAsia" w:ascii="宋体" w:hAnsi="宋体" w:eastAsia="宋体" w:cs="宋体"/>
          <w:b/>
          <w:kern w:val="2"/>
          <w:sz w:val="32"/>
          <w:szCs w:val="32"/>
          <w:lang w:val="zh-CN" w:eastAsia="zh-CN" w:bidi="ar-SA"/>
        </w:rPr>
      </w:pPr>
      <w:r>
        <w:rPr>
          <w:rFonts w:hint="eastAsia" w:ascii="宋体" w:hAnsi="宋体" w:eastAsia="宋体" w:cs="宋体"/>
          <w:b/>
          <w:kern w:val="2"/>
          <w:sz w:val="32"/>
          <w:szCs w:val="32"/>
          <w:lang w:val="en-US" w:eastAsia="zh-CN" w:bidi="ar-SA"/>
        </w:rPr>
        <w:t>第一部分</w:t>
      </w:r>
      <w:r>
        <w:rPr>
          <w:rFonts w:hint="eastAsia" w:ascii="宋体" w:hAnsi="宋体" w:cs="宋体"/>
          <w:b/>
          <w:kern w:val="2"/>
          <w:sz w:val="32"/>
          <w:szCs w:val="32"/>
          <w:lang w:val="en-US" w:eastAsia="zh-CN" w:bidi="ar-SA"/>
        </w:rPr>
        <w:t xml:space="preserve">  </w:t>
      </w:r>
      <w:r>
        <w:rPr>
          <w:rFonts w:hint="eastAsia" w:ascii="宋体" w:hAnsi="宋体" w:eastAsia="宋体" w:cs="宋体"/>
          <w:b/>
          <w:kern w:val="2"/>
          <w:sz w:val="32"/>
          <w:szCs w:val="32"/>
          <w:lang w:val="zh-CN" w:eastAsia="zh-CN" w:bidi="ar-SA"/>
        </w:rPr>
        <w:t>竞争性磋商公告</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560" w:firstLineChars="20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西安高新第二学校教学用具、教学器材采购项目采购项目潜在的供应商可在西安市高新区唐延路35号旺座现代城C座2503室陕西海佳项目管理有限公司招标一部获取采购文件，并于2021-08-10 14:30:00前递交响应文件。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一、项目基本情况：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1、项目编号：HJCS2021-168</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2、项目名称：西安高新第二学校教学用具、教学器材采购项目</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3、预算金额：800,000.00元</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4、最高限价： 无</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5、采购需求： 西安高新第二学校教学用具、教学器材采购项目，1批， 采购预算： 800,000.00元， 项目概况： 西安高新第二学校采购教学用具、教学器材一批，小学科学器材（包括四年级上册第二单元-呼吸与消化、五年级上册第一单元-光、六年级上册第二单元-地球的运动等）；小学数学用具（包括图形计算器、数学益智可互动墙面展板之数与代数系列、数学益智可互动墙面展板之经典巧板系列等）；初中理化生器材（化学）（包括化学实验废水处理装置、电加热器、列管式烘干器等）；初中理化生器材（生物）（包括烘干箱、高压灭菌器、恒温培养箱、兔骨骼标本、化石标本等）；初中理化生器材（物理）（包括手摇抽气机、天文望远镜、阿基米德原理实验器、小型电动机实验器、手摇交直流发电机等）；初中地理器材（包括望远镜、数字式天文望远镜、日、地、月运行仪等）， 简要技术要求、用途： 教学用</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6、合同履行期限：2021-08-12 00:00:00 至 2021-08-27 00:00:00（具体服务起止日期可随合同签订时间相应顺延）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7、本项目是否接受联合体投标：否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二、 响应供应商的资格要求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1、满足《中华人民共和国政府采购法》第二十二条规定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2、落实政府采购政策需满足的资格要求：无，本项目非专门面向中小企业采购</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3、本项目的特定资格要求：供应商应授权合法的人员参加磋商全过程，其中法定代表人直接参加磋商的，须出具法人身份证，并与营业执照上信息一致。法定代表人授权代表参加磋商的，须出具法定代表人授权书及授权代表身份证</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三、 采购文件的获取方式</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时间：即日起至2021-08-06 17:00:00 止</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地点：西安市高新区唐延路35号旺座现代城C座2503室陕西海佳项目管理有限公司招标一部</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方式：现场购买/邮寄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售价： 免费赠送</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注：获取文件时须携带单位介绍信（原件）（或持法定代表人或单位负责人授权书）及被介绍人（授权人）身份证原件（复印件加盖公章）,本项目采购文件获取时间内节假日不休。</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四、 响应文件递交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截止时间： 2021-08-10 14:30:00</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地点：西安市高新区唐延路35号旺座现代城C座2503室陕西海佳项目管理有限公司第一会议室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五、公告期限</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自本公告发布之日起3个工作日。</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六、其他补充事宜</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1、本项目执行的政府采购政策：本项目执行政府强制、优先采购节能产品，优先采购环境标志产品，扶持福利企业，支持中小微企业，支持监狱和戒毒企业、残疾人企业、扶持不发达地区和少数民族地区等相关政策,详见磋商文件。 2、响应文件开启时间同响应文件递交截止时间，响应文件开启地点同响应文件递交地点。</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七、对本次采购提出询问，请按以下方式联系。</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1、采购人信息：西安高新第二学校</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地址：西安市雁塔区高新六路58号</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联系人：何老师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电话：029-88455552</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2、项目联系方式</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项目联系人：陶莹</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电 话：029-88765319</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传 真：/</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3、采购代理机构信息</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名称：陕西海佳项目管理有限公司</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联系地址：西安市高新区唐延路35号旺座现代城C座2503室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10" w:lineRule="atLeast"/>
        <w:ind w:left="0" w:right="0" w:firstLine="42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联系方式：</w:t>
      </w:r>
      <w:r>
        <w:rPr>
          <w:rFonts w:hint="eastAsia" w:ascii="宋体" w:hAnsi="宋体" w:eastAsia="宋体" w:cs="宋体"/>
          <w:kern w:val="2"/>
          <w:sz w:val="28"/>
          <w:szCs w:val="28"/>
          <w:lang w:val="zh-CN" w:eastAsia="zh-CN" w:bidi="ar-SA"/>
        </w:rPr>
        <w:fldChar w:fldCharType="begin"/>
      </w:r>
      <w:r>
        <w:rPr>
          <w:rFonts w:hint="eastAsia" w:ascii="宋体" w:hAnsi="宋体" w:eastAsia="宋体" w:cs="宋体"/>
          <w:kern w:val="2"/>
          <w:sz w:val="28"/>
          <w:szCs w:val="28"/>
          <w:lang w:val="zh-CN" w:eastAsia="zh-CN" w:bidi="ar-SA"/>
        </w:rPr>
        <w:instrText xml:space="preserve"> HYPERLINK "http://www.ccgp.gov.cn/agency/a_agencylist.html" \t "http://www.ccgp-shaanxi.gov.cn/notice/_blank" </w:instrText>
      </w:r>
      <w:r>
        <w:rPr>
          <w:rFonts w:hint="eastAsia" w:ascii="宋体" w:hAnsi="宋体" w:eastAsia="宋体" w:cs="宋体"/>
          <w:kern w:val="2"/>
          <w:sz w:val="28"/>
          <w:szCs w:val="28"/>
          <w:lang w:val="zh-CN" w:eastAsia="zh-CN" w:bidi="ar-SA"/>
        </w:rPr>
        <w:fldChar w:fldCharType="separate"/>
      </w:r>
      <w:r>
        <w:rPr>
          <w:rFonts w:hint="eastAsia" w:ascii="宋体" w:hAnsi="宋体" w:eastAsia="宋体" w:cs="宋体"/>
          <w:kern w:val="2"/>
          <w:sz w:val="28"/>
          <w:szCs w:val="28"/>
          <w:lang w:val="zh-CN" w:eastAsia="zh-CN" w:bidi="ar-SA"/>
        </w:rPr>
        <w:t>http://www.ccgp.gov.cn/agency/a_agencylist.html</w:t>
      </w:r>
      <w:r>
        <w:rPr>
          <w:rFonts w:hint="eastAsia" w:ascii="宋体" w:hAnsi="宋体" w:eastAsia="宋体" w:cs="宋体"/>
          <w:kern w:val="2"/>
          <w:sz w:val="28"/>
          <w:szCs w:val="28"/>
          <w:lang w:val="zh-CN" w:eastAsia="zh-CN" w:bidi="ar-SA"/>
        </w:rPr>
        <w:fldChar w:fldCharType="end"/>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510" w:lineRule="atLeast"/>
        <w:ind w:left="0" w:right="0" w:firstLine="0"/>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八、附件：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10" w:lineRule="atLeast"/>
        <w:ind w:left="0" w:right="0" w:firstLine="420"/>
        <w:jc w:val="right"/>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陕西海佳项目管理有限公司</w:t>
      </w:r>
    </w:p>
    <w:p>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510" w:lineRule="atLeast"/>
        <w:ind w:left="0" w:right="0" w:firstLine="420"/>
        <w:jc w:val="center"/>
        <w:rPr>
          <w:rFonts w:hint="eastAsia" w:ascii="宋体" w:hAnsi="宋体" w:eastAsia="宋体" w:cs="宋体"/>
          <w:kern w:val="2"/>
          <w:sz w:val="28"/>
          <w:szCs w:val="28"/>
          <w:lang w:val="zh-CN" w:eastAsia="zh-CN" w:bidi="ar-SA"/>
        </w:rPr>
      </w:pPr>
      <w:r>
        <w:rPr>
          <w:rFonts w:hint="eastAsia" w:cs="宋体"/>
          <w:kern w:val="2"/>
          <w:sz w:val="28"/>
          <w:szCs w:val="28"/>
          <w:lang w:val="en-US" w:eastAsia="zh-CN" w:bidi="ar-SA"/>
        </w:rPr>
        <w:t xml:space="preserve">                                     </w:t>
      </w:r>
      <w:r>
        <w:rPr>
          <w:rFonts w:hint="eastAsia" w:ascii="宋体" w:hAnsi="宋体" w:eastAsia="宋体" w:cs="宋体"/>
          <w:kern w:val="2"/>
          <w:sz w:val="28"/>
          <w:szCs w:val="28"/>
          <w:lang w:val="zh-CN" w:eastAsia="zh-CN" w:bidi="ar-SA"/>
        </w:rPr>
        <w:t>2021年07月30日</w:t>
      </w:r>
    </w:p>
    <w:p>
      <w:pPr>
        <w:widowControl/>
        <w:snapToGrid w:val="0"/>
        <w:spacing w:line="360" w:lineRule="auto"/>
        <w:ind w:right="-197" w:rightChars="-94"/>
        <w:jc w:val="left"/>
        <w:rPr>
          <w:rFonts w:hint="default" w:ascii="宋体" w:hAnsi="宋体" w:eastAsia="宋体" w:cs="宋体"/>
          <w:b/>
          <w:bCs/>
          <w:sz w:val="44"/>
          <w:szCs w:val="44"/>
          <w:lang w:val="en-US" w:eastAsia="zh-CN"/>
        </w:rPr>
      </w:pPr>
      <w:r>
        <w:rPr>
          <w:rFonts w:hint="eastAsia" w:ascii="宋体" w:hAnsi="宋体" w:cs="宋体"/>
          <w:b/>
          <w:bCs/>
          <w:sz w:val="44"/>
          <w:szCs w:val="44"/>
          <w:lang w:val="en-US" w:eastAsia="zh-CN"/>
        </w:rPr>
        <w:t xml:space="preserve">    </w:t>
      </w:r>
    </w:p>
    <w:p>
      <w:pPr>
        <w:keepNext w:val="0"/>
        <w:keepLines w:val="0"/>
        <w:pageBreakBefore/>
        <w:widowControl/>
        <w:kinsoku/>
        <w:wordWrap/>
        <w:overflowPunct/>
        <w:topLinePunct w:val="0"/>
        <w:autoSpaceDE/>
        <w:autoSpaceDN/>
        <w:bidi w:val="0"/>
        <w:adjustRightInd/>
        <w:snapToGrid w:val="0"/>
        <w:spacing w:line="360" w:lineRule="auto"/>
        <w:ind w:right="-197" w:rightChars="-94"/>
        <w:jc w:val="center"/>
        <w:textAlignment w:val="auto"/>
        <w:rPr>
          <w:rFonts w:hint="eastAsia" w:ascii="宋体" w:hAnsi="宋体" w:eastAsia="宋体" w:cs="宋体"/>
          <w:b/>
          <w:sz w:val="32"/>
          <w:szCs w:val="32"/>
          <w:lang w:val="zh-CN"/>
        </w:rPr>
      </w:pPr>
      <w:bookmarkStart w:id="0" w:name="_Toc43393724"/>
      <w:bookmarkStart w:id="1" w:name="_Toc22289833"/>
      <w:r>
        <w:rPr>
          <w:rFonts w:hint="eastAsia" w:ascii="宋体" w:hAnsi="宋体" w:eastAsia="宋体" w:cs="宋体"/>
          <w:b/>
          <w:sz w:val="32"/>
          <w:szCs w:val="32"/>
          <w:lang w:val="zh-CN"/>
        </w:rPr>
        <w:t>第二部分  竞争性磋商须知</w:t>
      </w:r>
      <w:bookmarkEnd w:id="0"/>
      <w:bookmarkEnd w:id="1"/>
    </w:p>
    <w:p>
      <w:pPr>
        <w:pStyle w:val="6"/>
        <w:spacing w:line="360" w:lineRule="auto"/>
        <w:ind w:firstLine="562" w:firstLineChars="200"/>
        <w:rPr>
          <w:rFonts w:hint="eastAsia" w:ascii="宋体" w:hAnsi="宋体" w:eastAsia="宋体" w:cs="宋体"/>
          <w:b/>
          <w:sz w:val="28"/>
          <w:szCs w:val="28"/>
        </w:rPr>
      </w:pPr>
      <w:bookmarkStart w:id="2" w:name="_Toc22289834"/>
      <w:bookmarkStart w:id="3" w:name="_Toc43393725"/>
      <w:r>
        <w:rPr>
          <w:rFonts w:hint="eastAsia" w:ascii="宋体" w:hAnsi="宋体" w:eastAsia="宋体" w:cs="宋体"/>
          <w:b/>
          <w:sz w:val="28"/>
          <w:szCs w:val="28"/>
          <w:lang w:val="zh-CN"/>
        </w:rPr>
        <w:t>一、名词解释</w:t>
      </w:r>
      <w:bookmarkEnd w:id="2"/>
      <w:bookmarkEnd w:id="3"/>
    </w:p>
    <w:p>
      <w:pPr>
        <w:widowControl/>
        <w:tabs>
          <w:tab w:val="left" w:pos="1620"/>
        </w:tabs>
        <w:snapToGrid w:val="0"/>
        <w:spacing w:line="360" w:lineRule="auto"/>
        <w:ind w:right="-197" w:rightChars="-94" w:firstLine="560" w:firstLineChars="200"/>
        <w:jc w:val="left"/>
        <w:rPr>
          <w:rFonts w:hint="eastAsia" w:ascii="宋体" w:hAnsi="宋体" w:eastAsia="宋体" w:cs="宋体"/>
          <w:kern w:val="0"/>
          <w:sz w:val="28"/>
          <w:szCs w:val="28"/>
        </w:rPr>
      </w:pPr>
      <w:r>
        <w:rPr>
          <w:rFonts w:hint="eastAsia" w:ascii="宋体" w:hAnsi="宋体" w:eastAsia="宋体" w:cs="宋体"/>
          <w:sz w:val="28"/>
          <w:szCs w:val="28"/>
          <w:lang w:val="zh-CN"/>
        </w:rPr>
        <w:t>1、采 购 人：</w:t>
      </w:r>
      <w:r>
        <w:rPr>
          <w:rFonts w:hint="eastAsia" w:ascii="宋体" w:hAnsi="宋体" w:cs="宋体"/>
          <w:sz w:val="28"/>
          <w:szCs w:val="28"/>
          <w:lang w:val="zh-CN"/>
        </w:rPr>
        <w:t>西安高新第二学校</w:t>
      </w:r>
    </w:p>
    <w:p>
      <w:pPr>
        <w:widowControl/>
        <w:tabs>
          <w:tab w:val="left" w:pos="1620"/>
        </w:tabs>
        <w:snapToGrid w:val="0"/>
        <w:spacing w:line="360" w:lineRule="auto"/>
        <w:ind w:right="-197" w:rightChars="-94" w:firstLine="560" w:firstLineChars="200"/>
        <w:jc w:val="left"/>
        <w:rPr>
          <w:rFonts w:hint="default" w:ascii="宋体" w:hAnsi="宋体" w:eastAsia="宋体" w:cs="宋体"/>
          <w:sz w:val="28"/>
          <w:szCs w:val="28"/>
          <w:lang w:val="en-US" w:eastAsia="zh-CN"/>
        </w:rPr>
      </w:pPr>
      <w:r>
        <w:rPr>
          <w:rFonts w:hint="eastAsia" w:ascii="宋体" w:hAnsi="宋体" w:eastAsia="宋体" w:cs="宋体"/>
          <w:sz w:val="28"/>
          <w:szCs w:val="28"/>
          <w:lang w:val="zh-CN"/>
        </w:rPr>
        <w:t>2、监督机构：西安市高新技术开发区财政局</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3、采购代理机构：陕西海佳项目管理有限公司</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4、供应商：响应磋商并且参加磋商竞争的法人、其他组织或者自然人</w:t>
      </w:r>
    </w:p>
    <w:p>
      <w:pPr>
        <w:pStyle w:val="6"/>
        <w:spacing w:line="360" w:lineRule="auto"/>
        <w:ind w:firstLine="562" w:firstLineChars="200"/>
        <w:rPr>
          <w:rFonts w:hint="eastAsia" w:ascii="宋体" w:hAnsi="宋体" w:eastAsia="宋体" w:cs="宋体"/>
          <w:b/>
          <w:sz w:val="28"/>
          <w:szCs w:val="28"/>
          <w:lang w:val="zh-CN"/>
        </w:rPr>
      </w:pPr>
      <w:bookmarkStart w:id="4" w:name="_Toc43393726"/>
      <w:bookmarkStart w:id="5" w:name="_Toc22289835"/>
      <w:r>
        <w:rPr>
          <w:rFonts w:hint="eastAsia" w:ascii="宋体" w:hAnsi="宋体" w:eastAsia="宋体" w:cs="宋体"/>
          <w:b/>
          <w:sz w:val="28"/>
          <w:szCs w:val="28"/>
          <w:lang w:val="zh-CN"/>
        </w:rPr>
        <w:t>二、磋商文件及要求</w:t>
      </w:r>
      <w:bookmarkEnd w:id="4"/>
      <w:bookmarkEnd w:id="5"/>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1、磋商文件组成：磋商文件是根据本项目的特点和</w:t>
      </w:r>
      <w:r>
        <w:rPr>
          <w:rFonts w:hint="eastAsia" w:ascii="宋体" w:hAnsi="宋体" w:eastAsia="宋体" w:cs="宋体"/>
          <w:sz w:val="28"/>
          <w:szCs w:val="28"/>
          <w:lang w:val="en-US" w:eastAsia="zh-CN"/>
        </w:rPr>
        <w:t>采购人</w:t>
      </w:r>
      <w:r>
        <w:rPr>
          <w:rFonts w:hint="eastAsia" w:ascii="宋体" w:hAnsi="宋体" w:eastAsia="宋体" w:cs="宋体"/>
          <w:sz w:val="28"/>
          <w:szCs w:val="28"/>
          <w:lang w:val="zh-CN"/>
        </w:rPr>
        <w:t>的实际需求编制，包括以下内容：</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1-1、竞争性磋商公告</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1-2、竞争性磋商须知</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1-3、</w:t>
      </w:r>
      <w:r>
        <w:rPr>
          <w:rFonts w:hint="eastAsia" w:ascii="宋体" w:hAnsi="宋体" w:cs="宋体"/>
          <w:sz w:val="28"/>
          <w:szCs w:val="28"/>
          <w:lang w:val="en-US" w:eastAsia="zh-CN"/>
        </w:rPr>
        <w:t>采购</w:t>
      </w:r>
      <w:r>
        <w:rPr>
          <w:rFonts w:hint="eastAsia" w:ascii="宋体" w:hAnsi="宋体" w:eastAsia="宋体" w:cs="宋体"/>
          <w:sz w:val="28"/>
          <w:szCs w:val="28"/>
          <w:lang w:val="zh-CN"/>
        </w:rPr>
        <w:t>内容及要求</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1-4、合同草案条款</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1-5、响应文件格式</w:t>
      </w:r>
    </w:p>
    <w:p>
      <w:pPr>
        <w:autoSpaceDE w:val="0"/>
        <w:autoSpaceDN w:val="0"/>
        <w:adjustRightInd w:val="0"/>
        <w:spacing w:line="360" w:lineRule="auto"/>
        <w:ind w:firstLine="570"/>
        <w:rPr>
          <w:rFonts w:hint="eastAsia" w:ascii="宋体" w:hAnsi="宋体" w:eastAsia="宋体" w:cs="宋体"/>
          <w:sz w:val="28"/>
          <w:szCs w:val="28"/>
          <w:lang w:val="zh-CN"/>
        </w:rPr>
      </w:pPr>
      <w:r>
        <w:rPr>
          <w:rFonts w:hint="eastAsia" w:ascii="宋体" w:hAnsi="宋体" w:eastAsia="宋体" w:cs="宋体"/>
          <w:sz w:val="28"/>
          <w:szCs w:val="28"/>
          <w:lang w:val="zh-CN"/>
        </w:rPr>
        <w:t>2、磋商文件的获取：各供应商应从采购代理机构领取磋商文件，仅作为本次磋商使用。</w:t>
      </w:r>
    </w:p>
    <w:p>
      <w:pPr>
        <w:autoSpaceDE w:val="0"/>
        <w:autoSpaceDN w:val="0"/>
        <w:adjustRightInd w:val="0"/>
        <w:spacing w:line="360" w:lineRule="auto"/>
        <w:ind w:firstLine="570"/>
        <w:rPr>
          <w:rFonts w:hint="eastAsia" w:ascii="宋体" w:hAnsi="宋体" w:eastAsia="宋体" w:cs="宋体"/>
          <w:sz w:val="28"/>
          <w:szCs w:val="28"/>
        </w:rPr>
      </w:pPr>
      <w:r>
        <w:rPr>
          <w:rFonts w:hint="eastAsia" w:ascii="宋体" w:hAnsi="宋体" w:eastAsia="宋体" w:cs="宋体"/>
          <w:sz w:val="28"/>
          <w:szCs w:val="28"/>
          <w:lang w:val="zh-CN"/>
        </w:rPr>
        <w:t>3、采购代理机构可对已发出的磋商文件进行必要的澄清或者修改，澄清或者修改的内容可能影响响应文件编制的，澄清或修改的内容应以书面形式在提交首次响应文件截止时间至少五日前通知所有获取磋商文件的供应商，不足五日应延长至五日。澄清或者修改的内容作为磋商文件的组成部分。</w:t>
      </w:r>
    </w:p>
    <w:p>
      <w:pPr>
        <w:autoSpaceDE w:val="0"/>
        <w:autoSpaceDN w:val="0"/>
        <w:adjustRightInd w:val="0"/>
        <w:spacing w:line="360" w:lineRule="auto"/>
        <w:ind w:firstLine="570"/>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val="zh-CN"/>
        </w:rPr>
        <w:t>、对采购活动事项有疑问或有质疑的供应商，应在磋商截止时间两个工作日前，以书面形式提出。采购代理机构将予以答复，涉及变更或修正内容以书面形式通知所有磋商文件收受人，且作为磋商文件的组成部分。</w:t>
      </w:r>
    </w:p>
    <w:p>
      <w:pPr>
        <w:autoSpaceDE w:val="0"/>
        <w:autoSpaceDN w:val="0"/>
        <w:adjustRightInd w:val="0"/>
        <w:spacing w:line="360" w:lineRule="auto"/>
        <w:ind w:firstLine="57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zh-CN"/>
        </w:rPr>
        <w:t>、磋商文件的解释权归采购代理机构。</w:t>
      </w:r>
    </w:p>
    <w:p>
      <w:pPr>
        <w:pStyle w:val="6"/>
        <w:spacing w:line="360" w:lineRule="auto"/>
        <w:ind w:firstLine="562" w:firstLineChars="200"/>
        <w:rPr>
          <w:rFonts w:hint="eastAsia" w:ascii="宋体" w:hAnsi="宋体" w:eastAsia="宋体" w:cs="宋体"/>
          <w:b/>
          <w:sz w:val="28"/>
          <w:szCs w:val="28"/>
          <w:lang w:val="zh-CN"/>
        </w:rPr>
      </w:pPr>
      <w:bookmarkStart w:id="6" w:name="_Toc43393727"/>
      <w:bookmarkStart w:id="7" w:name="_Toc22289836"/>
      <w:r>
        <w:rPr>
          <w:rFonts w:hint="eastAsia" w:ascii="宋体" w:hAnsi="宋体" w:eastAsia="宋体" w:cs="宋体"/>
          <w:b/>
          <w:sz w:val="28"/>
          <w:szCs w:val="28"/>
          <w:lang w:val="zh-CN"/>
        </w:rPr>
        <w:t>三、磋商及响应文件</w:t>
      </w:r>
      <w:bookmarkEnd w:id="6"/>
      <w:bookmarkEnd w:id="7"/>
    </w:p>
    <w:p>
      <w:pPr>
        <w:autoSpaceDE w:val="0"/>
        <w:autoSpaceDN w:val="0"/>
        <w:adjustRightInd w:val="0"/>
        <w:spacing w:line="360" w:lineRule="auto"/>
        <w:ind w:firstLine="629"/>
        <w:rPr>
          <w:rFonts w:hint="eastAsia" w:ascii="宋体" w:hAnsi="宋体" w:eastAsia="宋体" w:cs="宋体"/>
          <w:bCs/>
          <w:sz w:val="28"/>
          <w:szCs w:val="28"/>
        </w:rPr>
      </w:pPr>
      <w:r>
        <w:rPr>
          <w:rFonts w:hint="eastAsia" w:ascii="宋体" w:hAnsi="宋体" w:eastAsia="宋体" w:cs="宋体"/>
          <w:bCs/>
          <w:sz w:val="28"/>
          <w:szCs w:val="28"/>
        </w:rPr>
        <w:t>1、</w:t>
      </w:r>
      <w:r>
        <w:rPr>
          <w:rFonts w:hint="eastAsia" w:ascii="宋体" w:hAnsi="宋体" w:eastAsia="宋体" w:cs="宋体"/>
          <w:sz w:val="28"/>
          <w:szCs w:val="28"/>
        </w:rPr>
        <w:t>各供应商按照磋商文件中的所有事项、格式、条款和要求编制响应文件，对磋商文件的</w:t>
      </w:r>
      <w:r>
        <w:rPr>
          <w:rFonts w:hint="eastAsia" w:ascii="宋体" w:hAnsi="宋体" w:eastAsia="宋体" w:cs="宋体"/>
          <w:bCs/>
          <w:sz w:val="28"/>
          <w:szCs w:val="28"/>
        </w:rPr>
        <w:t>内容及要求作出实质性响应，提交响应资料，并对其提交的响应文件的真实性和合法性承担法律责任。磋商响应应以包为单位，不得在其中选项或将其中内容再行分解。</w:t>
      </w:r>
    </w:p>
    <w:p>
      <w:pPr>
        <w:autoSpaceDE w:val="0"/>
        <w:autoSpaceDN w:val="0"/>
        <w:adjustRightInd w:val="0"/>
        <w:spacing w:line="360" w:lineRule="auto"/>
        <w:ind w:firstLine="629"/>
        <w:rPr>
          <w:rFonts w:hint="eastAsia" w:ascii="宋体" w:hAnsi="宋体" w:eastAsia="宋体" w:cs="宋体"/>
          <w:bCs/>
          <w:sz w:val="28"/>
          <w:szCs w:val="28"/>
        </w:rPr>
      </w:pPr>
      <w:r>
        <w:rPr>
          <w:rFonts w:hint="eastAsia" w:ascii="宋体" w:hAnsi="宋体" w:eastAsia="宋体" w:cs="宋体"/>
          <w:bCs/>
          <w:sz w:val="28"/>
          <w:szCs w:val="28"/>
        </w:rPr>
        <w:t>2、供应商资格要求：</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2-1、基本资格条件：符合《中华人民共和国政府采购法》第二十二条的规定；</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2-1-1、供应商应具有合法注册的法人或其他组织的营业执照等证明文件，自然人的身份证明；</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2-</w:t>
      </w:r>
      <w:r>
        <w:rPr>
          <w:rFonts w:hint="eastAsia" w:ascii="宋体" w:hAnsi="宋体" w:cs="宋体"/>
          <w:kern w:val="0"/>
          <w:sz w:val="28"/>
          <w:szCs w:val="28"/>
          <w:lang w:val="en-US" w:eastAsia="zh-CN"/>
        </w:rPr>
        <w:t>1</w:t>
      </w:r>
      <w:r>
        <w:rPr>
          <w:rFonts w:hint="eastAsia" w:ascii="宋体" w:hAnsi="宋体" w:eastAsia="宋体" w:cs="宋体"/>
          <w:kern w:val="0"/>
          <w:sz w:val="28"/>
          <w:szCs w:val="28"/>
        </w:rPr>
        <w:t>-</w:t>
      </w:r>
      <w:r>
        <w:rPr>
          <w:rFonts w:hint="eastAsia" w:ascii="宋体" w:hAnsi="宋体" w:cs="宋体"/>
          <w:kern w:val="0"/>
          <w:sz w:val="28"/>
          <w:szCs w:val="28"/>
          <w:lang w:val="en-US" w:eastAsia="zh-CN"/>
        </w:rPr>
        <w:t>2</w:t>
      </w:r>
      <w:r>
        <w:rPr>
          <w:rFonts w:hint="eastAsia" w:ascii="宋体" w:hAnsi="宋体" w:eastAsia="宋体" w:cs="宋体"/>
          <w:kern w:val="0"/>
          <w:sz w:val="28"/>
          <w:szCs w:val="28"/>
        </w:rPr>
        <w:t>、供应商应具有良好的商业信誉和健全的财务会计制度（供应商须提供具有财务审计资质单位出具的</w:t>
      </w:r>
      <w:r>
        <w:rPr>
          <w:rFonts w:hint="eastAsia" w:ascii="宋体" w:hAnsi="宋体" w:eastAsia="宋体" w:cs="宋体"/>
          <w:kern w:val="0"/>
          <w:sz w:val="28"/>
          <w:szCs w:val="28"/>
          <w:lang w:val="en-US" w:eastAsia="zh-CN"/>
        </w:rPr>
        <w:t>2020</w:t>
      </w:r>
      <w:r>
        <w:rPr>
          <w:rFonts w:hint="eastAsia" w:ascii="宋体" w:hAnsi="宋体" w:eastAsia="宋体" w:cs="宋体"/>
          <w:kern w:val="0"/>
          <w:sz w:val="28"/>
          <w:szCs w:val="28"/>
        </w:rPr>
        <w:t>年财务报告</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成立时间不足一年的提供开户银行出具的近三个月的资信证明</w:t>
      </w:r>
      <w:r>
        <w:rPr>
          <w:rFonts w:hint="eastAsia" w:ascii="宋体" w:hAnsi="宋体" w:eastAsia="宋体" w:cs="宋体"/>
          <w:kern w:val="0"/>
          <w:sz w:val="28"/>
          <w:szCs w:val="28"/>
        </w:rPr>
        <w:t>）；</w:t>
      </w:r>
    </w:p>
    <w:p>
      <w:pPr>
        <w:widowControl/>
        <w:shd w:val="clear" w:color="auto" w:fill="FFFFFF"/>
        <w:snapToGrid w:val="0"/>
        <w:spacing w:line="360" w:lineRule="auto"/>
        <w:ind w:firstLine="48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 xml:space="preserve"> 2-1-</w:t>
      </w:r>
      <w:r>
        <w:rPr>
          <w:rFonts w:hint="eastAsia" w:ascii="宋体" w:hAnsi="宋体" w:cs="宋体"/>
          <w:kern w:val="0"/>
          <w:sz w:val="28"/>
          <w:szCs w:val="28"/>
          <w:lang w:val="en-US" w:eastAsia="zh-CN"/>
        </w:rPr>
        <w:t>3</w:t>
      </w:r>
      <w:r>
        <w:rPr>
          <w:rFonts w:hint="eastAsia" w:ascii="宋体" w:hAnsi="宋体" w:eastAsia="宋体" w:cs="宋体"/>
          <w:kern w:val="0"/>
          <w:sz w:val="28"/>
          <w:szCs w:val="28"/>
        </w:rPr>
        <w:t>、依法缴纳税收和社会保障资金的相关材料；</w:t>
      </w:r>
      <w:r>
        <w:rPr>
          <w:rFonts w:hint="eastAsia" w:ascii="宋体" w:hAnsi="宋体" w:cs="宋体"/>
          <w:kern w:val="0"/>
          <w:sz w:val="28"/>
          <w:szCs w:val="28"/>
          <w:lang w:eastAsia="zh-CN"/>
        </w:rPr>
        <w:t>（</w:t>
      </w:r>
      <w:r>
        <w:rPr>
          <w:rFonts w:hint="eastAsia" w:ascii="宋体" w:hAnsi="宋体" w:cs="宋体"/>
          <w:kern w:val="0"/>
          <w:sz w:val="28"/>
          <w:szCs w:val="28"/>
          <w:lang w:val="en-US" w:eastAsia="zh-CN"/>
        </w:rPr>
        <w:t>提供近6个月以来任意时段、任意税种的缴纳证明，依法免缴的提供相关证明文件）；</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2-1-</w:t>
      </w:r>
      <w:r>
        <w:rPr>
          <w:rFonts w:hint="eastAsia" w:ascii="宋体" w:hAnsi="宋体" w:cs="宋体"/>
          <w:kern w:val="0"/>
          <w:sz w:val="28"/>
          <w:szCs w:val="28"/>
          <w:lang w:val="en-US" w:eastAsia="zh-CN"/>
        </w:rPr>
        <w:t>4</w:t>
      </w:r>
      <w:r>
        <w:rPr>
          <w:rFonts w:hint="eastAsia" w:ascii="宋体" w:hAnsi="宋体" w:eastAsia="宋体" w:cs="宋体"/>
          <w:kern w:val="0"/>
          <w:sz w:val="28"/>
          <w:szCs w:val="28"/>
        </w:rPr>
        <w:t>、具备履行合同所必需的设备和专业技术能力的证明材料或承诺函；</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2-1-</w:t>
      </w:r>
      <w:r>
        <w:rPr>
          <w:rFonts w:hint="eastAsia" w:ascii="宋体" w:hAnsi="宋体" w:cs="宋体"/>
          <w:kern w:val="0"/>
          <w:sz w:val="28"/>
          <w:szCs w:val="28"/>
          <w:lang w:val="en-US" w:eastAsia="zh-CN"/>
        </w:rPr>
        <w:t>5</w:t>
      </w:r>
      <w:r>
        <w:rPr>
          <w:rFonts w:hint="eastAsia" w:ascii="宋体" w:hAnsi="宋体" w:eastAsia="宋体" w:cs="宋体"/>
          <w:kern w:val="0"/>
          <w:sz w:val="28"/>
          <w:szCs w:val="28"/>
        </w:rPr>
        <w:t>、参加政府采购活动前三年内在经营活动中没有重大违法记录的书面声明；</w:t>
      </w:r>
    </w:p>
    <w:p>
      <w:pPr>
        <w:widowControl/>
        <w:shd w:val="clear" w:color="auto" w:fill="FFFFFF"/>
        <w:snapToGrid w:val="0"/>
        <w:spacing w:line="360" w:lineRule="auto"/>
        <w:ind w:firstLine="480"/>
        <w:jc w:val="left"/>
        <w:rPr>
          <w:rFonts w:hint="eastAsia" w:ascii="宋体" w:hAnsi="宋体" w:eastAsia="宋体" w:cs="宋体"/>
          <w:kern w:val="0"/>
          <w:sz w:val="28"/>
          <w:szCs w:val="28"/>
          <w:lang w:eastAsia="zh-CN"/>
        </w:rPr>
      </w:pPr>
      <w:r>
        <w:rPr>
          <w:rFonts w:hint="eastAsia" w:ascii="宋体" w:hAnsi="宋体" w:eastAsia="宋体" w:cs="宋体"/>
          <w:kern w:val="0"/>
          <w:sz w:val="28"/>
          <w:szCs w:val="28"/>
        </w:rPr>
        <w:t>2-2、特定资格条件：供应商应授权合法的人员参加磋商全过程，其中法定代表人直接参加磋商的，须出具</w:t>
      </w:r>
      <w:r>
        <w:rPr>
          <w:rFonts w:hint="eastAsia" w:ascii="宋体" w:hAnsi="宋体" w:cs="宋体"/>
          <w:kern w:val="0"/>
          <w:sz w:val="28"/>
          <w:szCs w:val="28"/>
          <w:lang w:val="en-US" w:eastAsia="zh-CN"/>
        </w:rPr>
        <w:t>法定代表人</w:t>
      </w:r>
      <w:r>
        <w:rPr>
          <w:rFonts w:hint="eastAsia" w:ascii="宋体" w:hAnsi="宋体" w:eastAsia="宋体" w:cs="宋体"/>
          <w:kern w:val="0"/>
          <w:sz w:val="28"/>
          <w:szCs w:val="28"/>
        </w:rPr>
        <w:t>身份证，并与营业执照上信息一致。法定代表人授权代表参加磋商的，须出具法定代表人授权书及授权代表身份证</w:t>
      </w:r>
      <w:r>
        <w:rPr>
          <w:rFonts w:hint="eastAsia" w:ascii="宋体" w:hAnsi="宋体" w:eastAsia="宋体" w:cs="宋体"/>
          <w:kern w:val="0"/>
          <w:sz w:val="28"/>
          <w:szCs w:val="28"/>
          <w:lang w:eastAsia="zh-CN"/>
        </w:rPr>
        <w:t>。</w:t>
      </w:r>
    </w:p>
    <w:p>
      <w:pPr>
        <w:widowControl/>
        <w:shd w:val="clear" w:color="auto" w:fill="FFFFFF"/>
        <w:snapToGrid w:val="0"/>
        <w:spacing w:line="360" w:lineRule="auto"/>
        <w:ind w:firstLine="480"/>
        <w:jc w:val="left"/>
        <w:rPr>
          <w:rFonts w:hint="eastAsia" w:ascii="宋体" w:hAnsi="宋体" w:eastAsia="宋体" w:cs="宋体"/>
          <w:bCs/>
          <w:sz w:val="28"/>
          <w:szCs w:val="28"/>
        </w:rPr>
      </w:pPr>
      <w:r>
        <w:rPr>
          <w:rFonts w:hint="eastAsia" w:ascii="宋体" w:hAnsi="宋体" w:eastAsia="宋体" w:cs="宋体"/>
          <w:kern w:val="0"/>
          <w:sz w:val="28"/>
          <w:szCs w:val="28"/>
        </w:rPr>
        <w:t>以上为供应商资格要求，各供应商在磋商时须提供以上要求文件原件</w:t>
      </w:r>
      <w:r>
        <w:rPr>
          <w:rFonts w:hint="eastAsia" w:ascii="宋体" w:hAnsi="宋体" w:eastAsia="宋体" w:cs="宋体"/>
          <w:bCs/>
          <w:sz w:val="28"/>
          <w:szCs w:val="28"/>
        </w:rPr>
        <w:t>或加盖供应商红色公章的复印件，附在磋商响应文件中，在评审过程中由磋商小组进行评审，无效或缺项将被视为无效文件。</w:t>
      </w:r>
    </w:p>
    <w:p>
      <w:pPr>
        <w:widowControl/>
        <w:shd w:val="clear" w:color="auto" w:fill="FFFFFF"/>
        <w:snapToGrid w:val="0"/>
        <w:spacing w:line="360" w:lineRule="auto"/>
        <w:ind w:firstLine="480"/>
        <w:jc w:val="left"/>
        <w:rPr>
          <w:rFonts w:hint="eastAsia" w:ascii="宋体" w:hAnsi="宋体" w:eastAsia="宋体" w:cs="宋体"/>
          <w:bCs/>
          <w:sz w:val="28"/>
          <w:szCs w:val="28"/>
        </w:rPr>
      </w:pPr>
      <w:r>
        <w:rPr>
          <w:rFonts w:hint="eastAsia" w:ascii="宋体" w:hAnsi="宋体" w:cs="宋体"/>
          <w:bCs/>
          <w:sz w:val="28"/>
          <w:szCs w:val="28"/>
          <w:lang w:val="en-US" w:eastAsia="zh-CN"/>
        </w:rPr>
        <w:t>3、</w:t>
      </w:r>
      <w:r>
        <w:rPr>
          <w:rFonts w:hint="eastAsia" w:ascii="宋体" w:hAnsi="宋体" w:eastAsia="宋体" w:cs="宋体"/>
          <w:bCs/>
          <w:sz w:val="28"/>
          <w:szCs w:val="28"/>
        </w:rPr>
        <w:t>限制磋商的供应商</w:t>
      </w:r>
    </w:p>
    <w:p>
      <w:pPr>
        <w:autoSpaceDE w:val="0"/>
        <w:autoSpaceDN w:val="0"/>
        <w:adjustRightInd w:val="0"/>
        <w:spacing w:line="360" w:lineRule="auto"/>
        <w:ind w:firstLine="629"/>
        <w:rPr>
          <w:rFonts w:hint="eastAsia" w:ascii="宋体" w:hAnsi="宋体" w:eastAsia="宋体" w:cs="宋体"/>
          <w:bCs/>
          <w:color w:val="FF0000"/>
          <w:sz w:val="28"/>
          <w:szCs w:val="28"/>
        </w:rPr>
      </w:pPr>
      <w:r>
        <w:rPr>
          <w:rFonts w:hint="eastAsia" w:ascii="宋体" w:hAnsi="宋体" w:eastAsia="宋体" w:cs="宋体"/>
          <w:bCs/>
          <w:sz w:val="28"/>
          <w:szCs w:val="28"/>
        </w:rPr>
        <w:t>3-1、供应商单位负责人为同一人或者存在直接控股、管理关系的不同供应商，不得参加同一项目同一包号的政府采购活动。</w:t>
      </w:r>
    </w:p>
    <w:p>
      <w:pPr>
        <w:autoSpaceDE w:val="0"/>
        <w:autoSpaceDN w:val="0"/>
        <w:adjustRightInd w:val="0"/>
        <w:spacing w:line="360" w:lineRule="auto"/>
        <w:ind w:firstLine="629"/>
        <w:rPr>
          <w:rFonts w:hint="eastAsia" w:ascii="宋体" w:hAnsi="宋体" w:eastAsia="宋体" w:cs="宋体"/>
          <w:bCs/>
          <w:sz w:val="28"/>
          <w:szCs w:val="28"/>
        </w:rPr>
      </w:pPr>
      <w:r>
        <w:rPr>
          <w:rFonts w:hint="eastAsia" w:ascii="宋体" w:hAnsi="宋体" w:eastAsia="宋体" w:cs="宋体"/>
          <w:bCs/>
          <w:sz w:val="28"/>
          <w:szCs w:val="28"/>
        </w:rPr>
        <w:t>3-2、为采购项目提供整体设计、规范编制或者项目管理、监理、检测等服务的供应商，不得再参加同一项目同一包号的其他采购活动。</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4</w:t>
      </w:r>
      <w:r>
        <w:rPr>
          <w:rFonts w:hint="eastAsia" w:ascii="宋体" w:hAnsi="宋体" w:eastAsia="宋体" w:cs="宋体"/>
          <w:sz w:val="28"/>
          <w:szCs w:val="28"/>
          <w:lang w:val="zh-CN"/>
        </w:rPr>
        <w:t>、本次采购项目</w:t>
      </w:r>
      <w:r>
        <w:rPr>
          <w:rFonts w:hint="eastAsia" w:ascii="宋体" w:hAnsi="宋体" w:eastAsia="宋体" w:cs="宋体"/>
          <w:sz w:val="28"/>
          <w:szCs w:val="28"/>
          <w:u w:val="single"/>
          <w:lang w:val="zh-CN"/>
        </w:rPr>
        <w:t>不接受</w:t>
      </w:r>
      <w:r>
        <w:rPr>
          <w:rFonts w:hint="eastAsia" w:ascii="宋体" w:hAnsi="宋体" w:eastAsia="宋体" w:cs="宋体"/>
          <w:sz w:val="28"/>
          <w:szCs w:val="28"/>
          <w:lang w:val="zh-CN"/>
        </w:rPr>
        <w:t>联合体磋商。</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、响应文件的编制</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-1、供应商可参照采购代理机构提供的磋商响应文件格式编制，</w:t>
      </w:r>
      <w:r>
        <w:rPr>
          <w:rFonts w:hint="eastAsia" w:ascii="宋体" w:hAnsi="宋体" w:eastAsia="宋体" w:cs="宋体"/>
          <w:b/>
          <w:bCs/>
          <w:sz w:val="28"/>
          <w:szCs w:val="28"/>
          <w:lang w:val="zh-CN"/>
        </w:rPr>
        <w:t>正本一份，副本</w:t>
      </w:r>
      <w:r>
        <w:rPr>
          <w:rFonts w:hint="eastAsia" w:ascii="宋体" w:hAnsi="宋体" w:cs="宋体"/>
          <w:b/>
          <w:bCs/>
          <w:sz w:val="28"/>
          <w:szCs w:val="28"/>
          <w:lang w:val="en-US" w:eastAsia="zh-CN"/>
        </w:rPr>
        <w:t>肆</w:t>
      </w:r>
      <w:r>
        <w:rPr>
          <w:rFonts w:hint="eastAsia" w:ascii="宋体" w:hAnsi="宋体" w:eastAsia="宋体" w:cs="宋体"/>
          <w:b/>
          <w:bCs/>
          <w:sz w:val="28"/>
          <w:szCs w:val="28"/>
          <w:lang w:val="zh-CN"/>
        </w:rPr>
        <w:t>份</w:t>
      </w:r>
      <w:r>
        <w:rPr>
          <w:rFonts w:hint="eastAsia" w:ascii="宋体" w:hAnsi="宋体" w:eastAsia="宋体" w:cs="宋体"/>
          <w:sz w:val="28"/>
          <w:szCs w:val="28"/>
          <w:lang w:val="zh-CN"/>
        </w:rPr>
        <w:t>，并各自装订成册，每套响应文件须清楚地标明“正本”或“副本”，一旦正本与副本不符，以正本为准。</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-2、供应商在编制响应文件时，应依据磋商文件的要求，对磋商文件作出实质性的响应，内容应包括：</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-2-1、对磋商响应函格式中内容的响应；</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-2-2、磋商响应报价货币用人民币，单位为元。</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-2-3、供应商须出具磋商文件要求的证明文件，证明参加磋商供应商是响应本项目磋商的合格供应商。</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-2-4、供应商为本次竞争性磋商活动编制的实施方案，具有履行合同所必须的专业技术能力，配备了相应的商务和技术人员，项目在组织实施、财务保证、服务等方面保障措施。</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5</w:t>
      </w:r>
      <w:r>
        <w:rPr>
          <w:rFonts w:hint="eastAsia" w:ascii="宋体" w:hAnsi="宋体" w:eastAsia="宋体" w:cs="宋体"/>
          <w:sz w:val="28"/>
          <w:szCs w:val="28"/>
          <w:lang w:val="zh-CN"/>
        </w:rPr>
        <w:t>-2-5、供应商提供相应业绩，证明其供应经验及能力。</w:t>
      </w:r>
    </w:p>
    <w:p>
      <w:pPr>
        <w:tabs>
          <w:tab w:val="left" w:pos="9030"/>
        </w:tabs>
        <w:snapToGrid w:val="0"/>
        <w:spacing w:line="360" w:lineRule="auto"/>
        <w:ind w:right="-65" w:firstLine="560" w:firstLineChars="200"/>
        <w:rPr>
          <w:rFonts w:hint="eastAsia" w:ascii="宋体" w:hAnsi="宋体" w:eastAsia="宋体" w:cs="宋体"/>
          <w:sz w:val="28"/>
          <w:szCs w:val="28"/>
        </w:rPr>
      </w:pPr>
      <w:r>
        <w:rPr>
          <w:rFonts w:hint="eastAsia" w:ascii="宋体" w:hAnsi="宋体" w:eastAsia="宋体" w:cs="宋体"/>
          <w:sz w:val="28"/>
          <w:szCs w:val="28"/>
        </w:rPr>
        <w:t>5-2-6、</w:t>
      </w:r>
      <w:r>
        <w:rPr>
          <w:rFonts w:hint="eastAsia" w:ascii="宋体" w:hAnsi="宋体" w:eastAsia="宋体" w:cs="宋体"/>
          <w:sz w:val="28"/>
          <w:szCs w:val="28"/>
          <w:lang w:val="zh-CN"/>
        </w:rPr>
        <w:t>供应商根据磋商文件载明采购活动的实际情况，拟在成交后将成交项目非主体、非关键性工作交由他人完成的，应当在磋商响应文件中注明，并提供交由完成供应商的营业执照、相应资质等内容。</w:t>
      </w:r>
    </w:p>
    <w:p>
      <w:pPr>
        <w:autoSpaceDE w:val="0"/>
        <w:autoSpaceDN w:val="0"/>
        <w:adjustRightInd w:val="0"/>
        <w:snapToGrid w:val="0"/>
        <w:spacing w:line="360" w:lineRule="auto"/>
        <w:ind w:firstLine="645"/>
        <w:rPr>
          <w:rFonts w:hint="eastAsia" w:ascii="宋体" w:hAnsi="宋体" w:eastAsia="宋体" w:cs="宋体"/>
          <w:sz w:val="28"/>
          <w:szCs w:val="28"/>
          <w:highlight w:val="yellow"/>
        </w:rPr>
      </w:pPr>
      <w:r>
        <w:rPr>
          <w:rFonts w:hint="eastAsia" w:ascii="宋体" w:hAnsi="宋体" w:eastAsia="宋体" w:cs="宋体"/>
          <w:sz w:val="28"/>
          <w:szCs w:val="28"/>
        </w:rPr>
        <w:t>5</w:t>
      </w:r>
      <w:r>
        <w:rPr>
          <w:rFonts w:hint="eastAsia" w:ascii="宋体" w:hAnsi="宋体" w:eastAsia="宋体" w:cs="宋体"/>
          <w:sz w:val="28"/>
          <w:szCs w:val="28"/>
          <w:lang w:val="zh-CN"/>
        </w:rPr>
        <w:t>-3、响应文件的正本和所有的副本均需打印或用不褪色蓝（黑）墨水（汁）书写，统一装订、标码。</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rPr>
        <w:t>5-4、响应文件</w:t>
      </w:r>
      <w:r>
        <w:rPr>
          <w:rFonts w:hint="eastAsia" w:ascii="宋体" w:hAnsi="宋体" w:eastAsia="宋体" w:cs="宋体"/>
          <w:sz w:val="28"/>
          <w:szCs w:val="28"/>
          <w:lang w:val="zh-CN"/>
        </w:rPr>
        <w:t>必须加盖供应商单位公章和法定代表人（或其授权代表人）签字或盖章。</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5-5</w:t>
      </w:r>
      <w:r>
        <w:rPr>
          <w:rFonts w:hint="eastAsia" w:ascii="宋体" w:hAnsi="宋体" w:eastAsia="宋体" w:cs="宋体"/>
          <w:sz w:val="28"/>
          <w:szCs w:val="28"/>
          <w:lang w:val="zh-CN"/>
        </w:rPr>
        <w:t>、响应文件不得行间插字、涂改和增删，如有修改错漏处，必须由供应商法定代表人（或其授权代表人）签字或盖章。</w:t>
      </w:r>
    </w:p>
    <w:p>
      <w:pPr>
        <w:tabs>
          <w:tab w:val="left" w:pos="9030"/>
        </w:tabs>
        <w:snapToGrid w:val="0"/>
        <w:spacing w:line="360" w:lineRule="auto"/>
        <w:ind w:right="-65" w:firstLine="560" w:firstLineChars="200"/>
        <w:rPr>
          <w:rFonts w:hint="eastAsia" w:ascii="宋体" w:hAnsi="宋体" w:eastAsia="宋体" w:cs="宋体"/>
          <w:sz w:val="28"/>
          <w:szCs w:val="28"/>
          <w:lang w:val="zh-CN"/>
        </w:rPr>
      </w:pPr>
      <w:r>
        <w:rPr>
          <w:rFonts w:hint="eastAsia" w:ascii="宋体" w:hAnsi="宋体" w:eastAsia="宋体" w:cs="宋体"/>
          <w:sz w:val="28"/>
          <w:szCs w:val="28"/>
        </w:rPr>
        <w:t>6</w:t>
      </w:r>
      <w:r>
        <w:rPr>
          <w:rFonts w:hint="eastAsia" w:ascii="宋体" w:hAnsi="宋体" w:eastAsia="宋体" w:cs="宋体"/>
          <w:sz w:val="28"/>
          <w:szCs w:val="28"/>
          <w:lang w:val="zh-CN"/>
        </w:rPr>
        <w:t>、响应报价要求</w:t>
      </w:r>
    </w:p>
    <w:p>
      <w:pPr>
        <w:autoSpaceDE w:val="0"/>
        <w:autoSpaceDN w:val="0"/>
        <w:adjustRightInd w:val="0"/>
        <w:snapToGrid w:val="0"/>
        <w:spacing w:line="360" w:lineRule="auto"/>
        <w:ind w:firstLine="555"/>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zh-CN"/>
        </w:rPr>
        <w:t>-1、供应商应按照磋商文件规定的服务要求，责任范围和合同条件进行报价，各供应商须在响应文件中的报价表上按要求标明总价、服务期等，任何有选择的报价采购代理机构不予接受。</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zh-CN"/>
        </w:rPr>
        <w:t>-2、响应</w:t>
      </w:r>
      <w:r>
        <w:rPr>
          <w:rFonts w:hint="eastAsia" w:ascii="宋体" w:hAnsi="宋体" w:eastAsia="宋体" w:cs="宋体"/>
          <w:sz w:val="28"/>
          <w:szCs w:val="28"/>
        </w:rPr>
        <w:t>报价是完成磋商内容所需的全部费用。</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6-3、首次响应报价随响应文件提交，最后响应报价在磋商后提交。各供应商应在响应前在最后响应报价表加盖公章，磋商后，填写价格，法定代表人</w:t>
      </w:r>
      <w:r>
        <w:rPr>
          <w:rFonts w:hint="eastAsia" w:ascii="宋体" w:hAnsi="宋体" w:eastAsia="宋体" w:cs="宋体"/>
          <w:sz w:val="28"/>
          <w:szCs w:val="28"/>
          <w:lang w:val="zh-CN"/>
        </w:rPr>
        <w:t>（或其授权代表人）签字或盖章。</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6-4、最后响应报价，在采购内容无实质性变更下，不得高于首次响应报价。对于差异较大的报价，须作出明确的说明。</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zh-CN"/>
        </w:rPr>
        <w:t>-5、</w:t>
      </w:r>
      <w:r>
        <w:rPr>
          <w:rFonts w:hint="eastAsia" w:ascii="宋体" w:hAnsi="宋体" w:eastAsia="宋体" w:cs="宋体"/>
          <w:sz w:val="28"/>
          <w:szCs w:val="28"/>
        </w:rPr>
        <w:t>供应商除首次磋商报价外，其余轮次报价只报总价，不报分项价格，由供应商法定代表人签字或者委托代理人签字或者加盖单位章确认。由委托代理人签字的，应附法人代表授权委托书；供应商为自然人的，应当由本人签字。供应商在最终磋商报价后，（首次磋商报价-最终磋商报价）/首次磋商报价，所得出的优惠率视为分项报价明细表中全部分项的优惠率。此优惠率适用于合同内价格的计算及项目的增减、变更时价格计算。</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cs="宋体"/>
          <w:sz w:val="28"/>
          <w:szCs w:val="28"/>
          <w:lang w:val="en-US" w:eastAsia="zh-CN"/>
        </w:rPr>
        <w:t>6-</w:t>
      </w:r>
      <w:r>
        <w:rPr>
          <w:rFonts w:hint="eastAsia" w:ascii="宋体" w:hAnsi="宋体" w:eastAsia="宋体" w:cs="宋体"/>
          <w:sz w:val="28"/>
          <w:szCs w:val="28"/>
          <w:lang w:val="zh-CN"/>
        </w:rPr>
        <w:t>6、凡因供应商对磋商文件阅读不深、理解不透、误解、疏漏、或因市场行情了解不清造成的后果和风险均由供应商自行负责。</w:t>
      </w: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zh-CN"/>
        </w:rPr>
        <w:t>-7、磋商过程中所产生的一切费用由供应商自行承担。</w:t>
      </w: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6-8</w:t>
      </w:r>
      <w:r>
        <w:rPr>
          <w:rFonts w:hint="eastAsia" w:ascii="宋体" w:hAnsi="宋体" w:eastAsia="宋体" w:cs="宋体"/>
          <w:sz w:val="28"/>
          <w:szCs w:val="28"/>
          <w:lang w:val="zh-CN"/>
        </w:rPr>
        <w:t>、磋商报价超出采购预算的供应商不进入磋商程序。</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bookmarkStart w:id="8" w:name="_Toc22289837"/>
      <w:bookmarkStart w:id="9" w:name="_Toc43393728"/>
      <w:r>
        <w:rPr>
          <w:rFonts w:hint="eastAsia" w:ascii="宋体" w:hAnsi="宋体" w:eastAsia="宋体" w:cs="宋体"/>
          <w:sz w:val="28"/>
          <w:szCs w:val="28"/>
          <w:lang w:val="zh-CN"/>
        </w:rPr>
        <w:t>7、保证金：</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本项目无保证金。</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8、成交供应商有下列情形之一的，情节严重的，由财政部门将其列入不良行为纪录名单予以通报，在一至三年内禁止参加政府采购活动：</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8-1、供应商在提交响应文件截止时间后撤回响应文件的；</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8-2、供应商在响应文件中提供虚假材料的；</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8-3、除因不可抗力或磋商文件认可的情形以外，成交供应商不与</w:t>
      </w:r>
      <w:r>
        <w:rPr>
          <w:rFonts w:hint="eastAsia" w:ascii="宋体" w:hAnsi="宋体" w:eastAsia="宋体" w:cs="宋体"/>
          <w:sz w:val="28"/>
          <w:szCs w:val="28"/>
          <w:lang w:val="en-US" w:eastAsia="zh-CN"/>
        </w:rPr>
        <w:t>采购人</w:t>
      </w:r>
      <w:r>
        <w:rPr>
          <w:rFonts w:hint="eastAsia" w:ascii="宋体" w:hAnsi="宋体" w:eastAsia="宋体" w:cs="宋体"/>
          <w:sz w:val="28"/>
          <w:szCs w:val="28"/>
          <w:lang w:val="zh-CN"/>
        </w:rPr>
        <w:t>签订合同的；</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8-4、供应商与采购人、其他供应商或者采购代理机构恶意串通的；</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8-5、成交供应商将成交项目转让给他人，或者在磋商响应文件中未说明，且未经采购人同意，将成交项目分包给他人的。</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9、响应文件有效期</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9-1、响应文件有效期为自磋商之日起六十（60）个日历日，在有效期内响应文件对供应商具有法律约束力，以保证采购人完成评审、确定成交供应商以及合同签订事项。成交供应商的响应文件有效期自动延长至合同执行完毕。</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9-2、特殊情况需延长有效期的，采购代理机构可于有效期届满之前，要求供应商同意延长有效期，采购代理机构的要求与供应商的答复均应为书面形式。供应商拒绝延长的，其磋商响应文件在原有效期期届满后将不再有效；供应商同意延长的，不允许修改或撤回响应文件。</w:t>
      </w:r>
    </w:p>
    <w:p>
      <w:pPr>
        <w:pStyle w:val="6"/>
        <w:spacing w:line="360" w:lineRule="auto"/>
        <w:ind w:firstLine="562" w:firstLineChars="200"/>
        <w:rPr>
          <w:rFonts w:hint="eastAsia" w:ascii="宋体" w:hAnsi="宋体" w:eastAsia="宋体" w:cs="宋体"/>
          <w:b/>
          <w:sz w:val="28"/>
          <w:szCs w:val="28"/>
          <w:lang w:val="zh-CN"/>
        </w:rPr>
      </w:pPr>
      <w:r>
        <w:rPr>
          <w:rFonts w:hint="eastAsia" w:ascii="宋体" w:hAnsi="宋体" w:eastAsia="宋体" w:cs="宋体"/>
          <w:b/>
          <w:sz w:val="28"/>
          <w:szCs w:val="28"/>
          <w:lang w:val="zh-CN"/>
        </w:rPr>
        <w:t>四、响应文件的密封和提交</w:t>
      </w:r>
      <w:bookmarkEnd w:id="8"/>
      <w:bookmarkEnd w:id="9"/>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1</w:t>
      </w:r>
      <w:r>
        <w:rPr>
          <w:rFonts w:hint="eastAsia" w:ascii="宋体" w:hAnsi="宋体" w:eastAsia="宋体" w:cs="宋体"/>
          <w:sz w:val="28"/>
          <w:szCs w:val="28"/>
          <w:lang w:val="zh-CN"/>
        </w:rPr>
        <w:t>、响应文件密封</w:t>
      </w:r>
    </w:p>
    <w:p>
      <w:pPr>
        <w:autoSpaceDE w:val="0"/>
        <w:autoSpaceDN w:val="0"/>
        <w:adjustRightInd w:val="0"/>
        <w:snapToGrid w:val="0"/>
        <w:spacing w:line="360" w:lineRule="auto"/>
        <w:ind w:firstLine="630"/>
        <w:rPr>
          <w:rFonts w:hint="eastAsia" w:ascii="宋体" w:hAnsi="宋体" w:eastAsia="宋体" w:cs="宋体"/>
          <w:sz w:val="28"/>
          <w:szCs w:val="28"/>
        </w:rPr>
      </w:pPr>
      <w:r>
        <w:rPr>
          <w:rFonts w:hint="eastAsia" w:ascii="宋体" w:hAnsi="宋体" w:eastAsia="宋体" w:cs="宋体"/>
          <w:sz w:val="28"/>
          <w:szCs w:val="28"/>
          <w:lang w:val="zh-CN"/>
        </w:rPr>
        <w:t>1-1、供应商应将响应文件的正本和所有副本，用单独的信封分别密封，在信封上标明文件编号、项目名称，供应商全称（公章）、</w:t>
      </w:r>
      <w:r>
        <w:rPr>
          <w:rFonts w:hint="eastAsia" w:ascii="宋体" w:hAnsi="宋体" w:eastAsia="宋体" w:cs="宋体"/>
          <w:sz w:val="28"/>
          <w:szCs w:val="28"/>
        </w:rPr>
        <w:t>“</w:t>
      </w:r>
      <w:r>
        <w:rPr>
          <w:rFonts w:hint="eastAsia" w:ascii="宋体" w:hAnsi="宋体" w:eastAsia="宋体" w:cs="宋体"/>
          <w:sz w:val="28"/>
          <w:szCs w:val="28"/>
          <w:lang w:val="zh-CN"/>
        </w:rPr>
        <w:t>正本</w:t>
      </w:r>
      <w:r>
        <w:rPr>
          <w:rFonts w:hint="eastAsia" w:ascii="宋体" w:hAnsi="宋体" w:eastAsia="宋体" w:cs="宋体"/>
          <w:sz w:val="28"/>
          <w:szCs w:val="28"/>
        </w:rPr>
        <w:t>”</w:t>
      </w:r>
      <w:r>
        <w:rPr>
          <w:rFonts w:hint="eastAsia" w:ascii="宋体" w:hAnsi="宋体" w:eastAsia="宋体" w:cs="宋体"/>
          <w:sz w:val="28"/>
          <w:szCs w:val="28"/>
          <w:lang w:val="zh-CN"/>
        </w:rPr>
        <w:t>或</w:t>
      </w:r>
      <w:r>
        <w:rPr>
          <w:rFonts w:hint="eastAsia" w:ascii="宋体" w:hAnsi="宋体" w:eastAsia="宋体" w:cs="宋体"/>
          <w:sz w:val="28"/>
          <w:szCs w:val="28"/>
        </w:rPr>
        <w:t>“</w:t>
      </w:r>
      <w:r>
        <w:rPr>
          <w:rFonts w:hint="eastAsia" w:ascii="宋体" w:hAnsi="宋体" w:eastAsia="宋体" w:cs="宋体"/>
          <w:sz w:val="28"/>
          <w:szCs w:val="28"/>
          <w:lang w:val="zh-CN"/>
        </w:rPr>
        <w:t>副本</w:t>
      </w:r>
      <w:r>
        <w:rPr>
          <w:rFonts w:hint="eastAsia" w:ascii="宋体" w:hAnsi="宋体" w:eastAsia="宋体" w:cs="宋体"/>
          <w:sz w:val="28"/>
          <w:szCs w:val="28"/>
        </w:rPr>
        <w:t>”等内容</w:t>
      </w:r>
      <w:r>
        <w:rPr>
          <w:rFonts w:hint="eastAsia" w:ascii="宋体" w:hAnsi="宋体" w:eastAsia="宋体" w:cs="宋体"/>
          <w:sz w:val="28"/>
          <w:szCs w:val="28"/>
          <w:lang w:val="zh-CN"/>
        </w:rPr>
        <w:t>，再加封条密封，在封线处加盖公章（骑缝章）。</w:t>
      </w:r>
    </w:p>
    <w:p>
      <w:pPr>
        <w:autoSpaceDE w:val="0"/>
        <w:autoSpaceDN w:val="0"/>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 xml:space="preserve">    1-2</w:t>
      </w:r>
      <w:r>
        <w:rPr>
          <w:rFonts w:hint="eastAsia" w:ascii="宋体" w:hAnsi="宋体" w:eastAsia="宋体" w:cs="宋体"/>
          <w:sz w:val="28"/>
          <w:szCs w:val="28"/>
          <w:lang w:val="zh-CN"/>
        </w:rPr>
        <w:t>、对于需提供业绩等证明材料原件的采购项目，供应商应将其内容单独密封，并标明提供的明细表。</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1-3</w:t>
      </w:r>
      <w:r>
        <w:rPr>
          <w:rFonts w:hint="eastAsia" w:ascii="宋体" w:hAnsi="宋体" w:eastAsia="宋体" w:cs="宋体"/>
          <w:sz w:val="28"/>
          <w:szCs w:val="28"/>
          <w:lang w:val="zh-CN"/>
        </w:rPr>
        <w:t>、响应文件未按要求密封和加写标记，采购代理机构对误投或过早启封的响应文件概不负责。</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2、响应文件提交</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2-1、供应商应在磋商文件要求提交响应文件的截止时间前将响应文件密封送达磋商地点，递交并办理签收手续。</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2-2、在磋商文件要求提交响应文件的截止时间之后送达的响应文件，为无效文件，采购代理机构应当拒绝接收。</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2-3</w:t>
      </w:r>
      <w:r>
        <w:rPr>
          <w:rFonts w:hint="eastAsia" w:ascii="宋体" w:hAnsi="宋体" w:eastAsia="宋体" w:cs="宋体"/>
          <w:sz w:val="28"/>
          <w:szCs w:val="28"/>
          <w:lang w:val="zh-CN"/>
        </w:rPr>
        <w:t>、供应商在磋商文件递交截止时间前，可以对所提交的响应文件进行补充、修改或者撤回，并书面通知采购代理机构。补充、修改的内容应当按磋商文件要求签署、盖章，并作为响应文件的组成部分。补充、修改的内容与响应文件不一致的，以补充、修改的内容为准。</w:t>
      </w:r>
    </w:p>
    <w:p>
      <w:pPr>
        <w:pStyle w:val="6"/>
        <w:spacing w:line="360" w:lineRule="auto"/>
        <w:ind w:firstLine="562" w:firstLineChars="200"/>
        <w:rPr>
          <w:rFonts w:hint="eastAsia" w:ascii="宋体" w:hAnsi="宋体" w:eastAsia="宋体" w:cs="宋体"/>
          <w:b/>
          <w:sz w:val="28"/>
          <w:szCs w:val="28"/>
          <w:lang w:val="zh-CN"/>
        </w:rPr>
      </w:pPr>
      <w:bookmarkStart w:id="10" w:name="_Toc43393729"/>
      <w:bookmarkStart w:id="11" w:name="_Toc22289838"/>
      <w:r>
        <w:rPr>
          <w:rFonts w:hint="eastAsia" w:ascii="宋体" w:hAnsi="宋体" w:eastAsia="宋体" w:cs="宋体"/>
          <w:b/>
          <w:sz w:val="28"/>
          <w:szCs w:val="28"/>
          <w:lang w:val="zh-CN"/>
        </w:rPr>
        <w:t>五、磋商小组职责及义务</w:t>
      </w:r>
      <w:bookmarkEnd w:id="10"/>
      <w:bookmarkEnd w:id="11"/>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1</w:t>
      </w:r>
      <w:r>
        <w:rPr>
          <w:rFonts w:hint="eastAsia" w:ascii="宋体" w:hAnsi="宋体" w:eastAsia="宋体" w:cs="宋体"/>
          <w:sz w:val="28"/>
          <w:szCs w:val="28"/>
          <w:lang w:val="zh-CN"/>
        </w:rPr>
        <w:t>、磋商小组组成：在磋商开始前，组建磋商小组，磋商小组由采购人代表及有关专家组成。</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2、磋商小组职责</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2-1、确认磋商文件。</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2-2、确定符合资质条件的供应商参加磋商。</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2-3、审查供应商的响应文件并做出评价。</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2-4、要求供应商解释或者澄清其响应文件。</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2-5、编写评审报告。</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2-6、告知采购人或采购代理机构在评审过程中发现供应商违法违规行为。</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3、磋商小组义务</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3-1、遵纪守法、客观、公正、廉洁地履行职责；</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3-2、根据磋商文件的规定独立进行评审，对个人的评审意见承担法律责任；</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3-3、参与评审报告的起草；</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3-4、配合采购人、采购代理机构答复供应商提出的质疑；</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3-5、配合财政部门的投诉处理和监督检查工作。</w:t>
      </w:r>
    </w:p>
    <w:p>
      <w:pPr>
        <w:autoSpaceDE w:val="0"/>
        <w:autoSpaceDN w:val="0"/>
        <w:adjustRightInd w:val="0"/>
        <w:snapToGrid w:val="0"/>
        <w:spacing w:line="360" w:lineRule="auto"/>
        <w:ind w:firstLine="630"/>
        <w:rPr>
          <w:rFonts w:hint="eastAsia" w:ascii="宋体" w:hAnsi="宋体" w:eastAsia="宋体" w:cs="宋体"/>
          <w:sz w:val="28"/>
          <w:szCs w:val="28"/>
        </w:rPr>
      </w:pPr>
      <w:r>
        <w:rPr>
          <w:rFonts w:hint="eastAsia" w:ascii="宋体" w:hAnsi="宋体" w:eastAsia="宋体" w:cs="宋体"/>
          <w:sz w:val="28"/>
          <w:szCs w:val="28"/>
          <w:lang w:val="zh-CN"/>
        </w:rPr>
        <w:t>3、确认磋商文件：磋商小组对磋商文件进行审阅，无异议进行签字确认；有异议进行修改，修改内容经采购人确认后，磋商小组以书面形式通知所有供应商。</w:t>
      </w:r>
    </w:p>
    <w:p>
      <w:pPr>
        <w:pStyle w:val="6"/>
        <w:spacing w:line="360" w:lineRule="auto"/>
        <w:ind w:firstLine="562" w:firstLineChars="200"/>
        <w:rPr>
          <w:rFonts w:hint="eastAsia" w:ascii="宋体" w:hAnsi="宋体" w:eastAsia="宋体" w:cs="宋体"/>
          <w:b/>
          <w:sz w:val="28"/>
          <w:szCs w:val="28"/>
          <w:lang w:val="zh-CN"/>
        </w:rPr>
      </w:pPr>
      <w:r>
        <w:rPr>
          <w:rFonts w:hint="eastAsia" w:ascii="宋体" w:hAnsi="宋体" w:eastAsia="宋体" w:cs="宋体"/>
          <w:b/>
          <w:sz w:val="28"/>
          <w:szCs w:val="28"/>
          <w:lang w:val="zh-CN"/>
        </w:rPr>
        <w:t xml:space="preserve"> </w:t>
      </w:r>
      <w:bookmarkStart w:id="12" w:name="_Toc43393730"/>
      <w:bookmarkStart w:id="13" w:name="_Toc22289839"/>
      <w:r>
        <w:rPr>
          <w:rFonts w:hint="eastAsia" w:ascii="宋体" w:hAnsi="宋体" w:eastAsia="宋体" w:cs="宋体"/>
          <w:b/>
          <w:sz w:val="28"/>
          <w:szCs w:val="28"/>
          <w:lang w:val="zh-CN"/>
        </w:rPr>
        <w:t>六、磋商程序</w:t>
      </w:r>
      <w:bookmarkEnd w:id="12"/>
      <w:bookmarkEnd w:id="13"/>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1、磋商会议</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1-1</w:t>
      </w:r>
      <w:r>
        <w:rPr>
          <w:rFonts w:hint="eastAsia" w:ascii="宋体" w:hAnsi="宋体" w:eastAsia="宋体" w:cs="宋体"/>
          <w:sz w:val="28"/>
          <w:szCs w:val="28"/>
          <w:lang w:val="zh-CN"/>
        </w:rPr>
        <w:t>、在磋商文件规定的时间和地点，由采购代理机构组织磋商工作，供应商须委派代表参加，签名以证明其出席。</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1-2、由供应商或其推荐的代表与采购监督人共同检查响应文件的密封情况，经检查无误后，签字确认。</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1-3、采购代理机构工作人员按照顺序，将各供应商首次响应文件的份数等内容公布，无异议后，由供应商法定代表人（或授权代表人）和监督人签字确认。</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1-4、磋商过程由采购代理机构指定专人记录。</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2、响应文件评审</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响应文件的资格性审查：依据法律法规和磋商文件的规定，对响应文件中的资格要求文件、信用查询记录等进行审查，以确认供应商具备相应资格。资格性审查出现下列情况者（但不限于），按无效文件处理。</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2-1-1、供应商资格不符合</w:t>
      </w:r>
      <w:r>
        <w:rPr>
          <w:rFonts w:hint="eastAsia" w:ascii="宋体" w:hAnsi="宋体" w:eastAsia="宋体" w:cs="宋体"/>
          <w:kern w:val="0"/>
          <w:sz w:val="28"/>
          <w:szCs w:val="28"/>
        </w:rPr>
        <w:t>《中华人民共和国政府采购法》第二十二条的规定和特定资格条件要求的。</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2-1-2、供应商没有经过正常渠道领取磋商文件或供应商的名称与登记领取磋商文件单位的名称不符。</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2-1-3、磋商响应文件中未提交法定代表人授权书（法定代表人直接参加磋商未按要求提交其有效身份证）或授权书的合法性或有效性不符合磋商文件规定。授权代表本单位证明的有效性或符合性不符合要求的。</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2-1-4、信用查询中</w:t>
      </w:r>
      <w:r>
        <w:rPr>
          <w:rFonts w:hint="eastAsia" w:ascii="宋体" w:hAnsi="宋体" w:eastAsia="宋体" w:cs="宋体"/>
          <w:bCs/>
          <w:sz w:val="28"/>
          <w:szCs w:val="28"/>
        </w:rPr>
        <w:t>列入失信被执行人、重大税收违法案件当事人名单、政府采购严重违法失信行为记录名单及其他不符合《中华人民共和国政府采购法》第二十二条规定条件的供应商，拒绝参与政府采购活动。</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2-1-5、采购人或采购代理机构</w:t>
      </w:r>
      <w:r>
        <w:rPr>
          <w:rFonts w:hint="eastAsia" w:ascii="宋体" w:hAnsi="宋体" w:eastAsia="宋体" w:cs="宋体"/>
          <w:bCs/>
          <w:sz w:val="28"/>
          <w:szCs w:val="28"/>
        </w:rPr>
        <w:t>通过“信用中国”网站(www.creditchina.gov.cn)、中国政府采购网(</w:t>
      </w:r>
      <w:r>
        <w:rPr>
          <w:rFonts w:hint="eastAsia" w:ascii="宋体" w:hAnsi="宋体" w:eastAsia="宋体" w:cs="宋体"/>
          <w:bCs/>
          <w:sz w:val="28"/>
          <w:szCs w:val="28"/>
        </w:rPr>
        <w:fldChar w:fldCharType="begin"/>
      </w:r>
      <w:r>
        <w:rPr>
          <w:rFonts w:hint="eastAsia" w:ascii="宋体" w:hAnsi="宋体" w:eastAsia="宋体" w:cs="宋体"/>
          <w:bCs/>
          <w:sz w:val="28"/>
          <w:szCs w:val="28"/>
        </w:rPr>
        <w:instrText xml:space="preserve">HYPERLINK "http://www.ccgp.gov.cn"</w:instrText>
      </w:r>
      <w:r>
        <w:rPr>
          <w:rFonts w:hint="eastAsia" w:ascii="宋体" w:hAnsi="宋体" w:eastAsia="宋体" w:cs="宋体"/>
          <w:bCs/>
          <w:sz w:val="28"/>
          <w:szCs w:val="28"/>
        </w:rPr>
        <w:fldChar w:fldCharType="separate"/>
      </w:r>
      <w:r>
        <w:rPr>
          <w:rFonts w:hint="eastAsia" w:ascii="宋体" w:hAnsi="宋体" w:eastAsia="宋体" w:cs="宋体"/>
          <w:bCs/>
          <w:sz w:val="28"/>
          <w:szCs w:val="28"/>
        </w:rPr>
        <w:t>www.ccgp.gov.cn</w:t>
      </w:r>
      <w:r>
        <w:rPr>
          <w:rFonts w:hint="eastAsia" w:ascii="宋体" w:hAnsi="宋体" w:eastAsia="宋体" w:cs="宋体"/>
          <w:bCs/>
          <w:sz w:val="28"/>
          <w:szCs w:val="28"/>
        </w:rPr>
        <w:fldChar w:fldCharType="end"/>
      </w:r>
      <w:r>
        <w:rPr>
          <w:rFonts w:hint="eastAsia" w:ascii="宋体" w:hAnsi="宋体" w:eastAsia="宋体" w:cs="宋体"/>
          <w:bCs/>
          <w:sz w:val="28"/>
          <w:szCs w:val="28"/>
        </w:rPr>
        <w:t>) 等查询相关主体信用记录，并将查询网页打印、存档备查。</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2-1-6</w:t>
      </w:r>
      <w:r>
        <w:rPr>
          <w:rFonts w:hint="eastAsia" w:ascii="宋体" w:hAnsi="宋体" w:eastAsia="宋体" w:cs="宋体"/>
          <w:bCs/>
          <w:sz w:val="28"/>
          <w:szCs w:val="28"/>
        </w:rPr>
        <w:t>、截止时点为评审截止时间前，在本磋商文件规定的查询时间之外，网站信息发生的任何变更均不作为资格审查依据。</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bCs/>
          <w:sz w:val="28"/>
          <w:szCs w:val="28"/>
        </w:rPr>
        <w:t>供应商不良信用记录以采购人或采购代理机构查询结果为准。供应商自行提供的与网站信息不一致的其他证明材料亦不作为资格审查依据。</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rPr>
        <w:t>2</w:t>
      </w:r>
      <w:r>
        <w:rPr>
          <w:rFonts w:hint="eastAsia" w:ascii="宋体" w:hAnsi="宋体" w:eastAsia="宋体" w:cs="宋体"/>
          <w:sz w:val="28"/>
          <w:szCs w:val="28"/>
          <w:lang w:val="zh-CN"/>
        </w:rPr>
        <w:t>-2、磋商响应文件有效性、完整性和响应性审查：依据磋商文件的规定，对响应文件的有效性、完整性和响应性进行审查，以确定是否满足磋商文件要求，出现下列情况者（但不限于），按无效文件处理。</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2-2-1、供应商未按磋商文件要求加盖单位公章；</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2-2-2、磋商响应文件未按磋商文件要求法定代表人或其授权代表签字；</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2-2-3、无有效期或有效期达不到磋商文件的要求。</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2-2-4、供应商首次磋商报价出现选择性报价。</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2-2-5、首次磋商报价超出采购预算；</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2-2-6、响应文件中对合同草案条款附加了采购人难以接受的条件。</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2-2-7、磋商内容出现漏项或数量与要求不符。</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w:t>
      </w:r>
      <w:r>
        <w:rPr>
          <w:rFonts w:hint="eastAsia" w:ascii="宋体" w:hAnsi="宋体" w:eastAsia="宋体" w:cs="宋体"/>
          <w:sz w:val="28"/>
          <w:szCs w:val="28"/>
          <w:lang w:val="en-US" w:eastAsia="zh-CN"/>
        </w:rPr>
        <w:t>8</w:t>
      </w:r>
      <w:r>
        <w:rPr>
          <w:rFonts w:hint="eastAsia" w:ascii="宋体" w:hAnsi="宋体" w:eastAsia="宋体" w:cs="宋体"/>
          <w:sz w:val="28"/>
          <w:szCs w:val="28"/>
          <w:lang w:val="zh-CN"/>
        </w:rPr>
        <w:t>、响应报价与市场价偏离较大，低于成本，形成不正当竞争。</w:t>
      </w:r>
    </w:p>
    <w:p>
      <w:pPr>
        <w:autoSpaceDE w:val="0"/>
        <w:autoSpaceDN w:val="0"/>
        <w:adjustRightInd w:val="0"/>
        <w:snapToGrid w:val="0"/>
        <w:spacing w:line="360" w:lineRule="auto"/>
        <w:ind w:firstLine="630"/>
        <w:rPr>
          <w:rFonts w:hint="eastAsia" w:ascii="宋体" w:hAnsi="宋体" w:eastAsia="宋体" w:cs="宋体"/>
          <w:sz w:val="28"/>
          <w:szCs w:val="28"/>
          <w:lang w:val="zh-CN"/>
        </w:rPr>
      </w:pPr>
      <w:r>
        <w:rPr>
          <w:rFonts w:hint="eastAsia" w:ascii="宋体" w:hAnsi="宋体" w:eastAsia="宋体" w:cs="宋体"/>
          <w:sz w:val="28"/>
          <w:szCs w:val="28"/>
          <w:lang w:val="zh-CN"/>
        </w:rPr>
        <w:t>2-2-</w:t>
      </w:r>
      <w:r>
        <w:rPr>
          <w:rFonts w:hint="eastAsia" w:ascii="宋体" w:hAnsi="宋体" w:eastAsia="宋体" w:cs="宋体"/>
          <w:sz w:val="28"/>
          <w:szCs w:val="28"/>
          <w:lang w:val="en-US" w:eastAsia="zh-CN"/>
        </w:rPr>
        <w:t>9</w:t>
      </w:r>
      <w:r>
        <w:rPr>
          <w:rFonts w:hint="eastAsia" w:ascii="宋体" w:hAnsi="宋体" w:eastAsia="宋体" w:cs="宋体"/>
          <w:sz w:val="28"/>
          <w:szCs w:val="28"/>
          <w:lang w:val="zh-CN"/>
        </w:rPr>
        <w:t>、供应商提供虚假证明，开具虚假资质，出现虚假应答或故意隐瞒行为。</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3、磋商：磋商小组与各供应商分别进行磋商，并给所有参加磋商供应商平等的磋商机会。</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3-1、磋商小组在对响应文件的有效性、完整性和响应程度进行审核时，以书面形式要求供应商对响应文件中含义不明确、同类问题表述不一致、或者明显文字和计算错误的内容做出必要的澄清、说明或更正。供应商澄清、说明或者更正应当由法定代表人或者授权代表签字或者加盖公章。澄清、说明或者更正不得超出响应范围，或者改变响应文件的实质性内容。</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3-2、磋商过程中，磋商小组可以根据磋商文件和磋商情况实质性变动采购需求中的技术、服务要求以及合同草案条款，但不得变动磋商文件中的其他内容。实质性变动的内容，须经采购人代表确认，并成为磋商文件的有效组成部分。</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3-3、供应商应在磋商小组规定的时间内，以书面形式进行澄清、说明或者更正，并由法定代表人或者授权代表签字或者加盖公章。</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4、最后报价</w:t>
      </w:r>
    </w:p>
    <w:p>
      <w:pPr>
        <w:adjustRightInd w:val="0"/>
        <w:snapToGrid w:val="0"/>
        <w:spacing w:line="360" w:lineRule="auto"/>
        <w:ind w:firstLine="548" w:firstLineChars="196"/>
        <w:rPr>
          <w:rFonts w:hint="eastAsia" w:ascii="宋体" w:hAnsi="宋体" w:eastAsia="宋体" w:cs="宋体"/>
          <w:sz w:val="28"/>
          <w:szCs w:val="28"/>
        </w:rPr>
      </w:pPr>
      <w:r>
        <w:rPr>
          <w:rFonts w:hint="eastAsia" w:ascii="宋体" w:hAnsi="宋体" w:eastAsia="宋体" w:cs="宋体"/>
          <w:sz w:val="28"/>
          <w:szCs w:val="28"/>
        </w:rPr>
        <w:t>4-1、磋商结束后，提交最后报价的供应商不少于3家。磋商小组要求实质性响应的供应商在规定时间内提交最后报价，最后报价是供应商响应文件的有效组成部分。</w:t>
      </w:r>
    </w:p>
    <w:p>
      <w:pPr>
        <w:autoSpaceDE w:val="0"/>
        <w:autoSpaceDN w:val="0"/>
        <w:adjustRightInd w:val="0"/>
        <w:snapToGrid w:val="0"/>
        <w:spacing w:line="360" w:lineRule="auto"/>
        <w:ind w:firstLine="630"/>
        <w:rPr>
          <w:rFonts w:hint="eastAsia" w:ascii="宋体" w:hAnsi="宋体" w:eastAsia="宋体" w:cs="宋体"/>
          <w:sz w:val="28"/>
          <w:szCs w:val="28"/>
        </w:rPr>
      </w:pPr>
      <w:r>
        <w:rPr>
          <w:rFonts w:hint="eastAsia" w:ascii="宋体" w:hAnsi="宋体" w:eastAsia="宋体" w:cs="宋体"/>
          <w:sz w:val="28"/>
          <w:szCs w:val="28"/>
        </w:rPr>
        <w:t>4-2、最后报价应按报价的格式内容填写，并且同时提交最后响应报价表等内容。</w:t>
      </w:r>
    </w:p>
    <w:p>
      <w:pPr>
        <w:autoSpaceDE w:val="0"/>
        <w:autoSpaceDN w:val="0"/>
        <w:adjustRightInd w:val="0"/>
        <w:snapToGrid w:val="0"/>
        <w:spacing w:line="360" w:lineRule="auto"/>
        <w:ind w:firstLine="630"/>
        <w:rPr>
          <w:rFonts w:hint="eastAsia" w:ascii="宋体" w:hAnsi="宋体" w:eastAsia="宋体" w:cs="宋体"/>
          <w:sz w:val="28"/>
          <w:szCs w:val="28"/>
        </w:rPr>
      </w:pPr>
      <w:r>
        <w:rPr>
          <w:rFonts w:hint="eastAsia" w:ascii="宋体" w:hAnsi="宋体" w:eastAsia="宋体" w:cs="宋体"/>
          <w:sz w:val="28"/>
          <w:szCs w:val="28"/>
        </w:rPr>
        <w:t>5、比较与评价</w:t>
      </w:r>
    </w:p>
    <w:p>
      <w:pPr>
        <w:autoSpaceDE w:val="0"/>
        <w:autoSpaceDN w:val="0"/>
        <w:adjustRightInd w:val="0"/>
        <w:snapToGrid w:val="0"/>
        <w:spacing w:line="360" w:lineRule="auto"/>
        <w:ind w:firstLine="627"/>
        <w:rPr>
          <w:rFonts w:hint="eastAsia" w:ascii="宋体" w:hAnsi="宋体" w:eastAsia="宋体" w:cs="宋体"/>
          <w:sz w:val="28"/>
          <w:szCs w:val="28"/>
          <w:lang w:val="zh-CN"/>
        </w:rPr>
      </w:pPr>
      <w:r>
        <w:rPr>
          <w:rFonts w:hint="eastAsia" w:ascii="宋体" w:hAnsi="宋体" w:eastAsia="宋体" w:cs="宋体"/>
          <w:sz w:val="28"/>
          <w:szCs w:val="28"/>
          <w:lang w:val="zh-CN"/>
        </w:rPr>
        <w:t>5-1、磋商小组在评审过程中，发现响应文件出现下列情况之一者，按以下原则修正：</w:t>
      </w:r>
    </w:p>
    <w:p>
      <w:pPr>
        <w:autoSpaceDE w:val="0"/>
        <w:autoSpaceDN w:val="0"/>
        <w:adjustRightInd w:val="0"/>
        <w:snapToGrid w:val="0"/>
        <w:spacing w:line="360" w:lineRule="auto"/>
        <w:ind w:firstLine="627"/>
        <w:rPr>
          <w:rFonts w:hint="eastAsia" w:ascii="宋体" w:hAnsi="宋体" w:eastAsia="宋体" w:cs="宋体"/>
          <w:sz w:val="28"/>
          <w:szCs w:val="28"/>
        </w:rPr>
      </w:pPr>
      <w:r>
        <w:rPr>
          <w:rFonts w:hint="eastAsia" w:ascii="宋体" w:hAnsi="宋体" w:eastAsia="宋体" w:cs="宋体"/>
          <w:sz w:val="28"/>
          <w:szCs w:val="28"/>
        </w:rPr>
        <w:t>5-1-1、大写金额与小写金额不一致的，以大写金额为准；</w:t>
      </w:r>
    </w:p>
    <w:p>
      <w:pPr>
        <w:autoSpaceDE w:val="0"/>
        <w:autoSpaceDN w:val="0"/>
        <w:adjustRightInd w:val="0"/>
        <w:snapToGrid w:val="0"/>
        <w:spacing w:line="360" w:lineRule="auto"/>
        <w:ind w:firstLine="627"/>
        <w:rPr>
          <w:rFonts w:hint="eastAsia" w:ascii="宋体" w:hAnsi="宋体" w:eastAsia="宋体" w:cs="宋体"/>
          <w:sz w:val="28"/>
          <w:szCs w:val="28"/>
        </w:rPr>
      </w:pPr>
      <w:r>
        <w:rPr>
          <w:rFonts w:hint="eastAsia" w:ascii="宋体" w:hAnsi="宋体" w:eastAsia="宋体" w:cs="宋体"/>
          <w:sz w:val="28"/>
          <w:szCs w:val="28"/>
        </w:rPr>
        <w:t>5-1-2、总价金额与按单价汇总金额不一致的，以单价金额计算结果为准；</w:t>
      </w:r>
    </w:p>
    <w:p>
      <w:pPr>
        <w:autoSpaceDE w:val="0"/>
        <w:autoSpaceDN w:val="0"/>
        <w:adjustRightInd w:val="0"/>
        <w:snapToGrid w:val="0"/>
        <w:spacing w:line="360" w:lineRule="auto"/>
        <w:ind w:firstLine="627"/>
        <w:rPr>
          <w:rFonts w:hint="eastAsia" w:ascii="宋体" w:hAnsi="宋体" w:eastAsia="宋体" w:cs="宋体"/>
          <w:sz w:val="28"/>
          <w:szCs w:val="28"/>
        </w:rPr>
      </w:pPr>
      <w:r>
        <w:rPr>
          <w:rFonts w:hint="eastAsia" w:ascii="宋体" w:hAnsi="宋体" w:eastAsia="宋体" w:cs="宋体"/>
          <w:sz w:val="28"/>
          <w:szCs w:val="28"/>
        </w:rPr>
        <w:t>5-1-3、单价金额小数点有明显错位的，应以总价为准，并修改单价；</w:t>
      </w:r>
    </w:p>
    <w:p>
      <w:pPr>
        <w:autoSpaceDE w:val="0"/>
        <w:autoSpaceDN w:val="0"/>
        <w:adjustRightInd w:val="0"/>
        <w:snapToGrid w:val="0"/>
        <w:spacing w:line="360" w:lineRule="auto"/>
        <w:ind w:firstLine="627"/>
        <w:rPr>
          <w:rFonts w:hint="eastAsia" w:ascii="宋体" w:hAnsi="宋体" w:eastAsia="宋体" w:cs="宋体"/>
          <w:sz w:val="28"/>
          <w:szCs w:val="28"/>
        </w:rPr>
      </w:pPr>
      <w:r>
        <w:rPr>
          <w:rFonts w:hint="eastAsia" w:ascii="宋体" w:hAnsi="宋体" w:eastAsia="宋体" w:cs="宋体"/>
          <w:sz w:val="28"/>
          <w:szCs w:val="28"/>
        </w:rPr>
        <w:t>5-1-4、对不同文字文本响应文件的解释发生异议的，以中文文本为准；</w:t>
      </w:r>
    </w:p>
    <w:p>
      <w:pPr>
        <w:autoSpaceDE w:val="0"/>
        <w:autoSpaceDN w:val="0"/>
        <w:adjustRightInd w:val="0"/>
        <w:snapToGrid w:val="0"/>
        <w:spacing w:line="360" w:lineRule="auto"/>
        <w:ind w:firstLine="627"/>
        <w:rPr>
          <w:rFonts w:hint="eastAsia" w:ascii="宋体" w:hAnsi="宋体" w:eastAsia="宋体" w:cs="宋体"/>
          <w:sz w:val="28"/>
          <w:szCs w:val="28"/>
          <w:lang w:val="zh-CN"/>
        </w:rPr>
      </w:pPr>
      <w:r>
        <w:rPr>
          <w:rFonts w:hint="eastAsia" w:ascii="宋体" w:hAnsi="宋体" w:eastAsia="宋体" w:cs="宋体"/>
          <w:sz w:val="28"/>
          <w:szCs w:val="28"/>
          <w:lang w:val="zh-CN"/>
        </w:rPr>
        <w:t>5-1-5、文字与图表不一致的，以文字为准；</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5-1-6、正本与副本不一致的，以正本为准；</w:t>
      </w:r>
    </w:p>
    <w:p>
      <w:pPr>
        <w:autoSpaceDE w:val="0"/>
        <w:autoSpaceDN w:val="0"/>
        <w:adjustRightInd w:val="0"/>
        <w:snapToGrid w:val="0"/>
        <w:spacing w:line="360" w:lineRule="auto"/>
        <w:ind w:firstLine="645"/>
        <w:rPr>
          <w:rFonts w:hint="eastAsia" w:ascii="宋体" w:hAnsi="宋体" w:eastAsia="宋体" w:cs="宋体"/>
          <w:kern w:val="0"/>
          <w:sz w:val="28"/>
          <w:szCs w:val="28"/>
        </w:rPr>
      </w:pPr>
      <w:r>
        <w:rPr>
          <w:rFonts w:hint="eastAsia" w:ascii="宋体" w:hAnsi="宋体" w:eastAsia="宋体" w:cs="宋体"/>
          <w:sz w:val="28"/>
          <w:szCs w:val="28"/>
          <w:lang w:val="zh-CN"/>
        </w:rPr>
        <w:t>5-1-7、</w:t>
      </w:r>
      <w:r>
        <w:rPr>
          <w:rFonts w:hint="eastAsia" w:ascii="宋体" w:hAnsi="宋体" w:eastAsia="宋体" w:cs="宋体"/>
          <w:kern w:val="0"/>
          <w:sz w:val="28"/>
          <w:szCs w:val="28"/>
        </w:rPr>
        <w:t>响应文件的文字叙述与制造厂商的产品样本/检测报告不符时，以产品样本/检测报告为准。</w:t>
      </w:r>
    </w:p>
    <w:p>
      <w:pPr>
        <w:autoSpaceDE w:val="0"/>
        <w:autoSpaceDN w:val="0"/>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 xml:space="preserve">    5-2、按照磋商文件规定的评审方法和标准，对审查合格的文件进行商务和技术评审，综合比较和评价，最低报价不做为成交的唯一条件。</w:t>
      </w:r>
    </w:p>
    <w:p>
      <w:pPr>
        <w:snapToGrid w:val="0"/>
        <w:spacing w:line="360" w:lineRule="auto"/>
        <w:ind w:firstLine="420" w:firstLineChars="15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bCs/>
          <w:sz w:val="28"/>
          <w:szCs w:val="28"/>
        </w:rPr>
        <w:t>6、</w:t>
      </w:r>
      <w:r>
        <w:rPr>
          <w:rFonts w:hint="eastAsia" w:ascii="宋体" w:hAnsi="宋体" w:eastAsia="宋体" w:cs="宋体"/>
          <w:bCs/>
          <w:sz w:val="28"/>
          <w:szCs w:val="28"/>
          <w:lang w:val="zh-CN"/>
        </w:rPr>
        <w:t>评审程序</w:t>
      </w:r>
      <w:r>
        <w:rPr>
          <w:rFonts w:hint="eastAsia" w:ascii="宋体" w:hAnsi="宋体" w:eastAsia="宋体" w:cs="宋体"/>
          <w:sz w:val="28"/>
          <w:szCs w:val="28"/>
          <w:lang w:val="zh-CN"/>
        </w:rPr>
        <w:t>：采取逐项分步评审方式，每一步评审不符合者，不进入下一步评审，全部评审合格的供应商进行最后的综合评审和打分，按最后得分由高向低排序，推荐成交候选单位。</w:t>
      </w:r>
    </w:p>
    <w:p>
      <w:pPr>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7、评审方法：综合评分法（总计100分）</w:t>
      </w:r>
    </w:p>
    <w:p>
      <w:pPr>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评审因素及权值：</w:t>
      </w:r>
    </w:p>
    <w:p>
      <w:pPr>
        <w:pStyle w:val="9"/>
        <w:tabs>
          <w:tab w:val="left" w:pos="600"/>
        </w:tabs>
        <w:spacing w:line="360" w:lineRule="auto"/>
        <w:ind w:firstLine="0"/>
        <w:jc w:val="center"/>
        <w:rPr>
          <w:rFonts w:hint="eastAsia" w:ascii="黑体" w:hAnsi="宋体" w:eastAsia="黑体"/>
          <w:color w:val="auto"/>
          <w:szCs w:val="32"/>
        </w:rPr>
      </w:pPr>
      <w:r>
        <w:rPr>
          <w:rFonts w:hint="eastAsia" w:ascii="黑体" w:hAnsi="宋体" w:eastAsia="黑体"/>
          <w:color w:val="auto"/>
          <w:szCs w:val="32"/>
        </w:rPr>
        <w:t>综合评分明细表</w:t>
      </w:r>
    </w:p>
    <w:tbl>
      <w:tblPr>
        <w:tblStyle w:val="15"/>
        <w:tblW w:w="8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3"/>
        <w:gridCol w:w="1334"/>
        <w:gridCol w:w="6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1303" w:type="dxa"/>
            <w:noWrap w:val="0"/>
            <w:vAlign w:val="center"/>
          </w:tcPr>
          <w:p>
            <w:pPr>
              <w:pStyle w:val="9"/>
              <w:tabs>
                <w:tab w:val="left" w:pos="600"/>
              </w:tabs>
              <w:spacing w:line="400" w:lineRule="exact"/>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评审因素</w:t>
            </w:r>
          </w:p>
        </w:tc>
        <w:tc>
          <w:tcPr>
            <w:tcW w:w="7502" w:type="dxa"/>
            <w:gridSpan w:val="2"/>
            <w:noWrap w:val="0"/>
            <w:vAlign w:val="center"/>
          </w:tcPr>
          <w:p>
            <w:pPr>
              <w:pStyle w:val="9"/>
              <w:tabs>
                <w:tab w:val="left" w:pos="600"/>
              </w:tabs>
              <w:spacing w:line="400" w:lineRule="exact"/>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 xml:space="preserve">评审标准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303" w:type="dxa"/>
            <w:noWrap w:val="0"/>
            <w:vAlign w:val="center"/>
          </w:tcPr>
          <w:p>
            <w:pPr>
              <w:pStyle w:val="9"/>
              <w:tabs>
                <w:tab w:val="left" w:pos="600"/>
              </w:tabs>
              <w:ind w:firstLine="0"/>
              <w:jc w:val="center"/>
              <w:rPr>
                <w:rFonts w:hint="default" w:ascii="宋体" w:hAnsi="宋体" w:eastAsia="宋体" w:cs="宋体"/>
                <w:b/>
                <w:color w:val="auto"/>
                <w:sz w:val="21"/>
                <w:szCs w:val="21"/>
                <w:lang w:val="en-US" w:eastAsia="zh-CN"/>
              </w:rPr>
            </w:pPr>
            <w:r>
              <w:rPr>
                <w:rFonts w:hint="eastAsia" w:ascii="宋体" w:hAnsi="宋体" w:cs="宋体"/>
                <w:b/>
                <w:color w:val="auto"/>
                <w:sz w:val="21"/>
                <w:szCs w:val="21"/>
                <w:lang w:val="en-US" w:eastAsia="zh-CN"/>
              </w:rPr>
              <w:t>商务评审</w:t>
            </w:r>
          </w:p>
        </w:tc>
        <w:tc>
          <w:tcPr>
            <w:tcW w:w="1334" w:type="dxa"/>
            <w:noWrap w:val="0"/>
            <w:vAlign w:val="center"/>
          </w:tcPr>
          <w:p>
            <w:pPr>
              <w:pStyle w:val="9"/>
              <w:tabs>
                <w:tab w:val="left" w:pos="600"/>
              </w:tabs>
              <w:spacing w:line="400" w:lineRule="exact"/>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磋商报价</w:t>
            </w:r>
          </w:p>
          <w:p>
            <w:pPr>
              <w:pStyle w:val="9"/>
              <w:tabs>
                <w:tab w:val="left" w:pos="600"/>
              </w:tabs>
              <w:spacing w:line="400" w:lineRule="exact"/>
              <w:ind w:firstLine="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30</w:t>
            </w:r>
            <w:r>
              <w:rPr>
                <w:rFonts w:hint="eastAsia" w:ascii="宋体" w:hAnsi="宋体" w:cs="宋体"/>
                <w:color w:val="auto"/>
                <w:sz w:val="21"/>
                <w:szCs w:val="21"/>
                <w:lang w:val="en-US" w:eastAsia="zh-CN"/>
              </w:rPr>
              <w:t>分</w:t>
            </w:r>
          </w:p>
        </w:tc>
        <w:tc>
          <w:tcPr>
            <w:tcW w:w="6168" w:type="dxa"/>
            <w:noWrap w:val="0"/>
            <w:vAlign w:val="center"/>
          </w:tcPr>
          <w:p>
            <w:pPr>
              <w:pStyle w:val="9"/>
              <w:tabs>
                <w:tab w:val="left" w:pos="600"/>
              </w:tabs>
              <w:spacing w:line="360" w:lineRule="auto"/>
              <w:ind w:firstLine="420" w:firstLineChars="200"/>
              <w:rPr>
                <w:rFonts w:ascii="宋体" w:hAnsi="宋体"/>
                <w:sz w:val="21"/>
                <w:szCs w:val="21"/>
              </w:rPr>
            </w:pPr>
            <w:r>
              <w:rPr>
                <w:rFonts w:hint="eastAsia" w:ascii="宋体" w:hAnsi="宋体"/>
                <w:sz w:val="21"/>
                <w:szCs w:val="21"/>
              </w:rPr>
              <w:t>满足磋商文件要求且</w:t>
            </w:r>
            <w:r>
              <w:rPr>
                <w:rFonts w:hint="eastAsia" w:ascii="宋体" w:hAnsi="宋体"/>
                <w:sz w:val="21"/>
                <w:szCs w:val="21"/>
                <w:lang w:val="en-US" w:eastAsia="zh-CN"/>
              </w:rPr>
              <w:t>最终</w:t>
            </w:r>
            <w:r>
              <w:rPr>
                <w:rFonts w:hint="eastAsia" w:ascii="宋体" w:hAnsi="宋体"/>
                <w:sz w:val="21"/>
                <w:szCs w:val="21"/>
              </w:rPr>
              <w:t>磋商价格最低的磋商报价为磋商基准价，其价格分为满分。其他磋商供应商的价格分统一按照下列公式计算：磋商报价得分=（磋商基准价/磋商报价）×价格分值</w:t>
            </w:r>
          </w:p>
          <w:p>
            <w:pPr>
              <w:pStyle w:val="9"/>
              <w:tabs>
                <w:tab w:val="left" w:pos="600"/>
              </w:tabs>
              <w:spacing w:line="380" w:lineRule="exact"/>
              <w:ind w:firstLine="420" w:firstLineChars="200"/>
              <w:rPr>
                <w:rFonts w:hint="eastAsia" w:ascii="宋体" w:hAnsi="宋体" w:eastAsia="宋体" w:cs="宋体"/>
                <w:color w:val="auto"/>
                <w:sz w:val="21"/>
                <w:szCs w:val="21"/>
                <w:lang w:val="en-US" w:eastAsia="zh-CN"/>
              </w:rPr>
            </w:pPr>
            <w:r>
              <w:rPr>
                <w:rFonts w:hint="eastAsia" w:ascii="宋体" w:hAnsi="宋体"/>
                <w:sz w:val="21"/>
                <w:szCs w:val="21"/>
              </w:rPr>
              <w:t>符合磋商文件规定的小微企业、监狱企业、残疾人福利性单位优惠条件的供应商，价格给予6%的扣除，用扣除后的价格参与评审。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5" w:hRule="atLeast"/>
        </w:trPr>
        <w:tc>
          <w:tcPr>
            <w:tcW w:w="1303" w:type="dxa"/>
            <w:vMerge w:val="restart"/>
            <w:noWrap w:val="0"/>
            <w:vAlign w:val="center"/>
          </w:tcPr>
          <w:p>
            <w:pPr>
              <w:pStyle w:val="9"/>
              <w:tabs>
                <w:tab w:val="left" w:pos="600"/>
              </w:tabs>
              <w:spacing w:line="400" w:lineRule="exact"/>
              <w:ind w:firstLine="0"/>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rPr>
              <w:t>技术</w:t>
            </w:r>
            <w:r>
              <w:rPr>
                <w:rFonts w:hint="eastAsia" w:ascii="宋体" w:hAnsi="宋体" w:eastAsia="宋体" w:cs="宋体"/>
                <w:b/>
                <w:color w:val="auto"/>
                <w:sz w:val="21"/>
                <w:szCs w:val="21"/>
                <w:lang w:val="en-US" w:eastAsia="zh-CN"/>
              </w:rPr>
              <w:t>方案</w:t>
            </w:r>
          </w:p>
          <w:p>
            <w:pPr>
              <w:pStyle w:val="9"/>
              <w:tabs>
                <w:tab w:val="left" w:pos="600"/>
              </w:tabs>
              <w:spacing w:line="400" w:lineRule="exact"/>
              <w:ind w:firstLine="0"/>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评审</w:t>
            </w:r>
          </w:p>
          <w:p>
            <w:pPr>
              <w:pStyle w:val="9"/>
              <w:tabs>
                <w:tab w:val="left" w:pos="600"/>
              </w:tabs>
              <w:spacing w:line="400" w:lineRule="exact"/>
              <w:ind w:firstLine="0"/>
              <w:jc w:val="center"/>
              <w:rPr>
                <w:rFonts w:hint="default"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4</w:t>
            </w:r>
            <w:r>
              <w:rPr>
                <w:rFonts w:hint="eastAsia" w:ascii="宋体" w:hAnsi="宋体" w:cs="宋体"/>
                <w:b/>
                <w:color w:val="auto"/>
                <w:sz w:val="21"/>
                <w:szCs w:val="21"/>
                <w:lang w:val="en-US" w:eastAsia="zh-CN"/>
              </w:rPr>
              <w:t>4</w:t>
            </w:r>
            <w:r>
              <w:rPr>
                <w:rFonts w:hint="eastAsia" w:ascii="宋体" w:hAnsi="宋体" w:eastAsia="宋体" w:cs="宋体"/>
                <w:b/>
                <w:color w:val="auto"/>
                <w:sz w:val="21"/>
                <w:szCs w:val="21"/>
                <w:lang w:val="en-US" w:eastAsia="zh-CN"/>
              </w:rPr>
              <w:t>分</w:t>
            </w:r>
          </w:p>
          <w:p>
            <w:pPr>
              <w:pStyle w:val="9"/>
              <w:tabs>
                <w:tab w:val="left" w:pos="600"/>
              </w:tabs>
              <w:spacing w:line="400" w:lineRule="exact"/>
              <w:ind w:firstLine="0"/>
              <w:jc w:val="center"/>
              <w:rPr>
                <w:rFonts w:hint="eastAsia" w:ascii="宋体" w:hAnsi="宋体" w:eastAsia="宋体" w:cs="宋体"/>
                <w:b/>
                <w:color w:val="auto"/>
                <w:sz w:val="21"/>
                <w:szCs w:val="21"/>
                <w:lang w:val="en-US" w:eastAsia="zh-CN"/>
              </w:rPr>
            </w:pPr>
          </w:p>
        </w:tc>
        <w:tc>
          <w:tcPr>
            <w:tcW w:w="1334" w:type="dxa"/>
            <w:noWrap w:val="0"/>
            <w:vAlign w:val="center"/>
          </w:tcPr>
          <w:p>
            <w:pPr>
              <w:pStyle w:val="14"/>
              <w:spacing w:before="0" w:beforeAutospacing="0" w:after="0" w:afterAutospacing="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技术参数</w:t>
            </w:r>
          </w:p>
          <w:p>
            <w:pPr>
              <w:pStyle w:val="14"/>
              <w:spacing w:before="0" w:beforeAutospacing="0" w:after="0" w:afterAutospacing="0"/>
              <w:jc w:val="center"/>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20</w:t>
            </w:r>
            <w:r>
              <w:rPr>
                <w:rFonts w:hint="eastAsia" w:ascii="宋体" w:hAnsi="宋体" w:eastAsia="宋体" w:cs="宋体"/>
                <w:bCs/>
                <w:color w:val="auto"/>
                <w:sz w:val="21"/>
                <w:szCs w:val="21"/>
              </w:rPr>
              <w:t>分</w:t>
            </w:r>
          </w:p>
        </w:tc>
        <w:tc>
          <w:tcPr>
            <w:tcW w:w="6168" w:type="dxa"/>
            <w:noWrap w:val="0"/>
            <w:vAlign w:val="center"/>
          </w:tcPr>
          <w:p>
            <w:pPr>
              <w:pStyle w:val="9"/>
              <w:tabs>
                <w:tab w:val="left" w:pos="600"/>
              </w:tabs>
              <w:spacing w:line="360" w:lineRule="auto"/>
              <w:ind w:firstLine="420" w:firstLineChars="200"/>
              <w:rPr>
                <w:rFonts w:hint="eastAsia" w:ascii="宋体" w:hAnsi="宋体"/>
                <w:sz w:val="21"/>
                <w:szCs w:val="21"/>
                <w:lang w:val="en-US" w:eastAsia="zh-CN"/>
              </w:rPr>
            </w:pPr>
            <w:r>
              <w:rPr>
                <w:rFonts w:hint="eastAsia" w:ascii="宋体" w:hAnsi="宋体"/>
                <w:sz w:val="21"/>
                <w:szCs w:val="21"/>
                <w:lang w:val="en-US" w:eastAsia="zh-CN"/>
              </w:rPr>
              <w:t>技术参数和配置完全满足或高于磋商文件要求的，得20分；与磋商文件要求有非实质性偏离的，</w:t>
            </w:r>
            <w:r>
              <w:rPr>
                <w:rFonts w:hint="eastAsia" w:ascii="宋体" w:hAnsi="宋体" w:cs="宋体"/>
                <w:sz w:val="21"/>
                <w:szCs w:val="21"/>
                <w:highlight w:val="none"/>
              </w:rPr>
              <w:t>带▲的为重要参数，有一项不满足扣3分</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其他参数</w:t>
            </w:r>
            <w:r>
              <w:rPr>
                <w:rFonts w:hint="eastAsia" w:ascii="宋体" w:hAnsi="宋体"/>
                <w:sz w:val="21"/>
                <w:szCs w:val="21"/>
                <w:lang w:val="en-US" w:eastAsia="zh-CN"/>
              </w:rPr>
              <w:t>每一项扣2分，扣完为止。(磋商文件中的技术指标若有要求供应商提供相应检测报告、功能视频演示界面截图等佐证材料的,如供应商未提供相应材料,按照以上扣分原则进行扣分)</w:t>
            </w:r>
          </w:p>
          <w:p>
            <w:pPr>
              <w:pStyle w:val="9"/>
              <w:tabs>
                <w:tab w:val="left" w:pos="600"/>
              </w:tabs>
              <w:spacing w:line="360" w:lineRule="auto"/>
              <w:ind w:firstLine="420" w:firstLineChars="200"/>
              <w:rPr>
                <w:rFonts w:hint="eastAsia" w:ascii="宋体" w:hAnsi="宋体" w:eastAsia="宋体" w:cs="宋体"/>
                <w:color w:val="auto"/>
                <w:sz w:val="21"/>
                <w:szCs w:val="21"/>
              </w:rPr>
            </w:pPr>
            <w:r>
              <w:rPr>
                <w:rFonts w:hint="eastAsia" w:ascii="宋体" w:hAnsi="宋体"/>
                <w:sz w:val="21"/>
                <w:szCs w:val="21"/>
                <w:lang w:val="en-US" w:eastAsia="zh-CN"/>
              </w:rPr>
              <w:t>注：供应商应逐条对应技术参数进行应答，并提供充足的佐证材料,包括但不限于检验报告（国家权威机构出具的抽样检测报告）、产品彩页、产品说明书、官网功能截图等，予以证明参数的技术响应性。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3"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实施方案</w:t>
            </w:r>
          </w:p>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5分</w:t>
            </w:r>
          </w:p>
        </w:tc>
        <w:tc>
          <w:tcPr>
            <w:tcW w:w="6168" w:type="dxa"/>
            <w:noWrap w:val="0"/>
            <w:vAlign w:val="center"/>
          </w:tcPr>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供应商针对本项目提供完善合理的项目实施方案</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方案合理、完善、详尽，完全满足项目的要求且可行性强的得5分；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方案合理、完善、详尽，满足项目的要求且有一定可行性的得4分；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方案合理、完善、详尽，基本满足项目的要求且基本可行性的得3分；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方案基本合理、完善，基本满足项目的要求且基本可行性的得2分；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方案合理性及可行性较差的得1分；</w:t>
            </w:r>
          </w:p>
          <w:p>
            <w:pPr>
              <w:pStyle w:val="9"/>
              <w:tabs>
                <w:tab w:val="left" w:pos="600"/>
              </w:tabs>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未提供或方案存在明显不合理的不得分。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1"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人员配备及安排</w:t>
            </w:r>
          </w:p>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5分</w:t>
            </w:r>
          </w:p>
        </w:tc>
        <w:tc>
          <w:tcPr>
            <w:tcW w:w="6168" w:type="dxa"/>
            <w:noWrap w:val="0"/>
            <w:vAlign w:val="center"/>
          </w:tcPr>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供应商针对本项目实施提供合理的人员配备方案及</w:t>
            </w:r>
            <w:r>
              <w:rPr>
                <w:rFonts w:hint="eastAsia" w:ascii="宋体" w:hAnsi="宋体" w:cs="宋体"/>
                <w:color w:val="auto"/>
                <w:sz w:val="21"/>
                <w:szCs w:val="21"/>
                <w:lang w:val="en-US" w:eastAsia="zh-CN"/>
              </w:rPr>
              <w:t>人员</w:t>
            </w:r>
            <w:r>
              <w:rPr>
                <w:rFonts w:hint="eastAsia" w:ascii="宋体" w:hAnsi="宋体" w:eastAsia="宋体" w:cs="宋体"/>
                <w:color w:val="auto"/>
                <w:sz w:val="21"/>
                <w:szCs w:val="21"/>
                <w:lang w:val="en-US" w:eastAsia="zh-CN"/>
              </w:rPr>
              <w:t>安排</w:t>
            </w:r>
            <w:r>
              <w:rPr>
                <w:rFonts w:hint="eastAsia" w:ascii="宋体" w:hAnsi="宋体" w:cs="宋体"/>
                <w:color w:val="auto"/>
                <w:sz w:val="21"/>
                <w:szCs w:val="21"/>
                <w:lang w:val="en-US" w:eastAsia="zh-CN"/>
              </w:rPr>
              <w:t>。</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管理及技术人员配备充足，组织结构、专业搭配合理，经验丰富，总体技术能力强的得5分；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管理及技术人员配备充足，组织结构、专业搭配合理，经验较丰富，总体技术能力有一定实力的得4分；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管理及技术人员配备基本充足，组织结构、专业搭配基本合理，总体技术能力基本能满足项目需求的得3分；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管理及技术人员配备一般，组织结构、专业搭配欠合理，总体技术能力一般的得2分；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管理及技术人员配备一般，组织结构、专业搭配较差，总体技术能力较差的得1分；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未提供或配备方案存在明显不</w:t>
            </w:r>
            <w:r>
              <w:rPr>
                <w:rFonts w:hint="eastAsia" w:ascii="宋体" w:hAnsi="宋体" w:eastAsia="宋体" w:cs="宋体"/>
                <w:color w:val="auto"/>
                <w:sz w:val="21"/>
                <w:szCs w:val="21"/>
              </w:rPr>
              <w:t>合理的</w:t>
            </w:r>
            <w:r>
              <w:rPr>
                <w:rFonts w:hint="eastAsia" w:ascii="宋体" w:hAnsi="宋体" w:eastAsia="宋体" w:cs="宋体"/>
                <w:color w:val="auto"/>
                <w:sz w:val="21"/>
                <w:szCs w:val="21"/>
                <w:lang w:val="en-US" w:eastAsia="zh-CN"/>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生产进度计划及保证措施</w:t>
            </w:r>
          </w:p>
          <w:p>
            <w:pPr>
              <w:pStyle w:val="9"/>
              <w:tabs>
                <w:tab w:val="left" w:pos="600"/>
              </w:tabs>
              <w:spacing w:line="400" w:lineRule="exact"/>
              <w:ind w:firstLine="0"/>
              <w:jc w:val="center"/>
              <w:rPr>
                <w:rFonts w:hint="eastAsia" w:ascii="宋体" w:hAnsi="宋体" w:eastAsia="宋体" w:cs="宋体"/>
                <w:color w:val="auto"/>
                <w:sz w:val="21"/>
                <w:szCs w:val="21"/>
                <w:lang w:val="en-US" w:eastAsia="zh-CN"/>
              </w:rPr>
            </w:pPr>
            <w:r>
              <w:rPr>
                <w:rFonts w:hint="eastAsia" w:ascii="宋体" w:hAnsi="宋体" w:eastAsia="宋体" w:cs="宋体"/>
                <w:b/>
                <w:bCs/>
                <w:color w:val="auto"/>
                <w:kern w:val="0"/>
                <w:sz w:val="21"/>
                <w:szCs w:val="21"/>
                <w:lang w:val="en-US" w:eastAsia="zh-CN" w:bidi="ar-SA"/>
              </w:rPr>
              <w:t>5分</w:t>
            </w:r>
          </w:p>
        </w:tc>
        <w:tc>
          <w:tcPr>
            <w:tcW w:w="6168" w:type="dxa"/>
            <w:noWrap w:val="0"/>
            <w:vAlign w:val="center"/>
          </w:tcPr>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根据项目的实际情况，结合项目特点，提供完善、全面的生产进度计划及保证措施，针对性强、可行性强的得5分；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生产进度计划</w:t>
            </w:r>
            <w:r>
              <w:rPr>
                <w:rFonts w:hint="eastAsia" w:ascii="宋体" w:hAnsi="宋体" w:eastAsia="宋体" w:cs="宋体"/>
                <w:color w:val="auto"/>
                <w:sz w:val="21"/>
                <w:szCs w:val="21"/>
                <w:lang w:val="en-US" w:eastAsia="zh-CN"/>
              </w:rPr>
              <w:t>贴合实际情况，满足项目要求，保证措施具有一定得针对性和可行性的得4分；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生产进度计划</w:t>
            </w:r>
            <w:r>
              <w:rPr>
                <w:rFonts w:hint="eastAsia" w:ascii="宋体" w:hAnsi="宋体" w:eastAsia="宋体" w:cs="宋体"/>
                <w:color w:val="auto"/>
                <w:sz w:val="21"/>
                <w:szCs w:val="21"/>
                <w:lang w:val="en-US" w:eastAsia="zh-CN"/>
              </w:rPr>
              <w:t>基本符合项目项目要求，保证措施基本可行的得3分；</w:t>
            </w:r>
          </w:p>
          <w:p>
            <w:pPr>
              <w:pStyle w:val="9"/>
              <w:tabs>
                <w:tab w:val="left" w:pos="600"/>
              </w:tabs>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生产进度计划</w:t>
            </w:r>
            <w:r>
              <w:rPr>
                <w:rFonts w:hint="eastAsia" w:ascii="宋体" w:hAnsi="宋体" w:eastAsia="宋体" w:cs="宋体"/>
                <w:color w:val="auto"/>
                <w:sz w:val="21"/>
                <w:szCs w:val="21"/>
                <w:lang w:val="en-US" w:eastAsia="zh-CN"/>
              </w:rPr>
              <w:t>与项目项目的实际情况及要求贴合度一般，保证措施可行较差的得2分；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提供的</w:t>
            </w:r>
            <w:r>
              <w:rPr>
                <w:rFonts w:hint="eastAsia" w:ascii="宋体" w:hAnsi="宋体" w:eastAsia="宋体" w:cs="宋体"/>
                <w:color w:val="auto"/>
                <w:sz w:val="21"/>
                <w:szCs w:val="21"/>
              </w:rPr>
              <w:t>生产进度计划</w:t>
            </w:r>
            <w:r>
              <w:rPr>
                <w:rFonts w:hint="eastAsia" w:ascii="宋体" w:hAnsi="宋体" w:eastAsia="宋体" w:cs="宋体"/>
                <w:color w:val="auto"/>
                <w:sz w:val="21"/>
                <w:szCs w:val="21"/>
                <w:lang w:val="en-US" w:eastAsia="zh-CN"/>
              </w:rPr>
              <w:t>或</w:t>
            </w:r>
            <w:r>
              <w:rPr>
                <w:rFonts w:hint="eastAsia" w:ascii="宋体" w:hAnsi="宋体" w:eastAsia="宋体" w:cs="宋体"/>
                <w:color w:val="auto"/>
                <w:sz w:val="21"/>
                <w:szCs w:val="21"/>
              </w:rPr>
              <w:t>保证措施</w:t>
            </w:r>
            <w:r>
              <w:rPr>
                <w:rFonts w:hint="eastAsia" w:ascii="宋体" w:hAnsi="宋体" w:eastAsia="宋体" w:cs="宋体"/>
                <w:color w:val="auto"/>
                <w:sz w:val="21"/>
                <w:szCs w:val="21"/>
                <w:lang w:val="en-US" w:eastAsia="zh-CN"/>
              </w:rPr>
              <w:t>简单笼统，合理性和可行性较差的得1分；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未提供或方案存在明显不</w:t>
            </w:r>
            <w:r>
              <w:rPr>
                <w:rFonts w:hint="eastAsia" w:ascii="宋体" w:hAnsi="宋体" w:eastAsia="宋体" w:cs="宋体"/>
                <w:color w:val="auto"/>
                <w:sz w:val="21"/>
                <w:szCs w:val="21"/>
              </w:rPr>
              <w:t>合理的</w:t>
            </w:r>
            <w:r>
              <w:rPr>
                <w:rFonts w:hint="eastAsia" w:ascii="宋体" w:hAnsi="宋体" w:eastAsia="宋体" w:cs="宋体"/>
                <w:color w:val="auto"/>
                <w:sz w:val="21"/>
                <w:szCs w:val="21"/>
                <w:lang w:val="en-US" w:eastAsia="zh-CN"/>
              </w:rPr>
              <w:t>不得分。</w:t>
            </w:r>
          </w:p>
          <w:p>
            <w:pPr>
              <w:pStyle w:val="9"/>
              <w:tabs>
                <w:tab w:val="left" w:pos="600"/>
              </w:tabs>
              <w:ind w:firstLine="420" w:firstLineChars="200"/>
              <w:rPr>
                <w:rFonts w:hint="eastAsia" w:ascii="宋体" w:hAnsi="宋体" w:eastAsia="宋体" w:cs="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spacing w:line="400" w:lineRule="exact"/>
              <w:ind w:firstLine="0"/>
              <w:jc w:val="center"/>
              <w:rPr>
                <w:rFonts w:hint="eastAsia" w:ascii="宋体" w:hAnsi="宋体" w:eastAsia="宋体" w:cs="宋体"/>
                <w:b/>
                <w:bCs/>
                <w:color w:val="auto"/>
                <w:kern w:val="0"/>
                <w:sz w:val="21"/>
                <w:szCs w:val="21"/>
                <w:lang w:val="en-US" w:eastAsia="zh-CN" w:bidi="ar-SA"/>
              </w:rPr>
            </w:pPr>
            <w:r>
              <w:rPr>
                <w:rFonts w:hint="eastAsia" w:ascii="宋体" w:hAnsi="宋体" w:eastAsia="宋体" w:cs="宋体"/>
                <w:b/>
                <w:bCs/>
                <w:color w:val="auto"/>
                <w:kern w:val="0"/>
                <w:sz w:val="21"/>
                <w:szCs w:val="21"/>
                <w:lang w:val="en-US" w:eastAsia="zh-CN" w:bidi="ar-SA"/>
              </w:rPr>
              <w:t>质量保证体系与措施</w:t>
            </w:r>
          </w:p>
          <w:p>
            <w:pPr>
              <w:pStyle w:val="9"/>
              <w:tabs>
                <w:tab w:val="left" w:pos="600"/>
              </w:tabs>
              <w:spacing w:line="400" w:lineRule="exact"/>
              <w:ind w:firstLine="0"/>
              <w:jc w:val="center"/>
              <w:rPr>
                <w:rFonts w:hint="eastAsia" w:ascii="宋体" w:hAnsi="宋体" w:eastAsia="宋体" w:cs="宋体"/>
                <w:color w:val="auto"/>
                <w:sz w:val="21"/>
                <w:szCs w:val="21"/>
                <w:lang w:val="en-US" w:eastAsia="zh-CN"/>
              </w:rPr>
            </w:pPr>
            <w:r>
              <w:rPr>
                <w:rFonts w:hint="eastAsia" w:ascii="宋体" w:hAnsi="宋体" w:eastAsia="宋体" w:cs="宋体"/>
                <w:b/>
                <w:bCs/>
                <w:color w:val="auto"/>
                <w:kern w:val="0"/>
                <w:sz w:val="21"/>
                <w:szCs w:val="21"/>
                <w:lang w:val="en-US" w:eastAsia="zh-CN" w:bidi="ar-SA"/>
              </w:rPr>
              <w:t>5分</w:t>
            </w:r>
          </w:p>
        </w:tc>
        <w:tc>
          <w:tcPr>
            <w:tcW w:w="6168" w:type="dxa"/>
            <w:noWrap w:val="0"/>
            <w:vAlign w:val="center"/>
          </w:tcPr>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产品的生产、配送、存储、安装、调试等确保项目实施质量的管理体系完善、全面，组织措施针对性强、可行性强的得5分；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确保项目实施质量得管理体系完善全面，组织措施有一定得针对性及可行性的得4分；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确保项目实施质量得管理体系基本完善，组织措施基本可行的得3分；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确保项目实施质量得管理体系不够全面，组织措施可行性较差的得2分；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提供的质量保证体系与措施简单笼统，合理性和可行性较差的得1分；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未提供或方案存在明显不</w:t>
            </w:r>
            <w:r>
              <w:rPr>
                <w:rFonts w:hint="eastAsia" w:ascii="宋体" w:hAnsi="宋体" w:eastAsia="宋体" w:cs="宋体"/>
                <w:color w:val="auto"/>
                <w:sz w:val="21"/>
                <w:szCs w:val="21"/>
              </w:rPr>
              <w:t>合理的</w:t>
            </w:r>
            <w:r>
              <w:rPr>
                <w:rFonts w:hint="eastAsia" w:ascii="宋体" w:hAnsi="宋体" w:eastAsia="宋体" w:cs="宋体"/>
                <w:color w:val="auto"/>
                <w:sz w:val="21"/>
                <w:szCs w:val="21"/>
                <w:lang w:val="en-US" w:eastAsia="zh-CN"/>
              </w:rPr>
              <w:t>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节能环保</w:t>
            </w:r>
          </w:p>
          <w:p>
            <w:pPr>
              <w:pStyle w:val="9"/>
              <w:tabs>
                <w:tab w:val="left" w:pos="600"/>
              </w:tabs>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产品</w:t>
            </w:r>
          </w:p>
          <w:p>
            <w:pPr>
              <w:pStyle w:val="9"/>
              <w:tabs>
                <w:tab w:val="left" w:pos="600"/>
              </w:tabs>
              <w:ind w:firstLine="0"/>
              <w:jc w:val="center"/>
              <w:rPr>
                <w:rFonts w:hint="eastAsia" w:ascii="宋体" w:hAnsi="宋体" w:eastAsia="宋体" w:cs="宋体"/>
                <w:bCs/>
                <w:color w:val="auto"/>
                <w:sz w:val="21"/>
                <w:szCs w:val="21"/>
                <w:lang w:eastAsia="zh-CN"/>
              </w:rPr>
            </w:pPr>
            <w:r>
              <w:rPr>
                <w:rFonts w:hint="eastAsia" w:ascii="宋体" w:hAnsi="宋体" w:cs="宋体"/>
                <w:bCs/>
                <w:color w:val="auto"/>
                <w:sz w:val="21"/>
                <w:szCs w:val="21"/>
                <w:lang w:val="en-US" w:eastAsia="zh-CN"/>
              </w:rPr>
              <w:t>2</w:t>
            </w:r>
            <w:r>
              <w:rPr>
                <w:rFonts w:hint="eastAsia" w:ascii="宋体" w:hAnsi="宋体" w:eastAsia="宋体" w:cs="宋体"/>
                <w:bCs/>
                <w:color w:val="auto"/>
                <w:sz w:val="21"/>
                <w:szCs w:val="21"/>
              </w:rPr>
              <w:t>分</w:t>
            </w:r>
          </w:p>
          <w:p>
            <w:pPr>
              <w:pStyle w:val="9"/>
              <w:tabs>
                <w:tab w:val="left" w:pos="600"/>
              </w:tabs>
              <w:ind w:firstLine="0"/>
              <w:jc w:val="center"/>
              <w:rPr>
                <w:rFonts w:hint="eastAsia" w:ascii="宋体" w:hAnsi="宋体" w:eastAsia="宋体" w:cs="宋体"/>
                <w:b/>
                <w:color w:val="auto"/>
                <w:sz w:val="21"/>
                <w:szCs w:val="21"/>
              </w:rPr>
            </w:pPr>
          </w:p>
        </w:tc>
        <w:tc>
          <w:tcPr>
            <w:tcW w:w="6168" w:type="dxa"/>
            <w:noWrap w:val="0"/>
            <w:vAlign w:val="center"/>
          </w:tcPr>
          <w:p>
            <w:pPr>
              <w:pStyle w:val="9"/>
              <w:tabs>
                <w:tab w:val="left" w:pos="600"/>
              </w:tabs>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所投产品认定为节能产品</w:t>
            </w:r>
            <w:r>
              <w:rPr>
                <w:rFonts w:hint="eastAsia" w:ascii="宋体" w:hAnsi="宋体" w:cs="宋体"/>
                <w:color w:val="auto"/>
                <w:sz w:val="21"/>
                <w:szCs w:val="21"/>
                <w:lang w:eastAsia="zh-CN"/>
              </w:rPr>
              <w:t>、</w:t>
            </w:r>
            <w:r>
              <w:rPr>
                <w:rFonts w:hint="eastAsia" w:ascii="宋体" w:hAnsi="宋体" w:eastAsia="宋体" w:cs="宋体"/>
                <w:color w:val="auto"/>
                <w:sz w:val="21"/>
                <w:szCs w:val="21"/>
              </w:rPr>
              <w:t>环保产品的每种产品得</w:t>
            </w:r>
            <w:r>
              <w:rPr>
                <w:rFonts w:hint="eastAsia" w:ascii="宋体" w:hAnsi="宋体" w:cs="宋体"/>
                <w:color w:val="auto"/>
                <w:sz w:val="21"/>
                <w:szCs w:val="21"/>
                <w:lang w:val="en-US" w:eastAsia="zh-CN"/>
              </w:rPr>
              <w:t>1</w:t>
            </w:r>
            <w:r>
              <w:rPr>
                <w:rFonts w:hint="eastAsia" w:ascii="宋体" w:hAnsi="宋体" w:eastAsia="宋体" w:cs="宋体"/>
                <w:color w:val="auto"/>
                <w:sz w:val="21"/>
                <w:szCs w:val="21"/>
              </w:rPr>
              <w:t>分，最高得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分；既是节能产品又是环保产品可同时得分，非节能、环保产品的不得分。</w:t>
            </w:r>
          </w:p>
          <w:p>
            <w:pPr>
              <w:pStyle w:val="9"/>
              <w:tabs>
                <w:tab w:val="left" w:pos="600"/>
              </w:tabs>
              <w:ind w:firstLine="420" w:firstLineChars="200"/>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属于强制采购的节能产品，不再给予加分。</w:t>
            </w:r>
          </w:p>
          <w:p>
            <w:pPr>
              <w:pStyle w:val="9"/>
              <w:tabs>
                <w:tab w:val="left" w:pos="600"/>
              </w:tabs>
              <w:ind w:firstLine="422" w:firstLineChars="200"/>
              <w:rPr>
                <w:rFonts w:hint="eastAsia" w:ascii="宋体" w:hAnsi="宋体" w:eastAsia="宋体" w:cs="宋体"/>
                <w:color w:val="auto"/>
                <w:kern w:val="0"/>
                <w:sz w:val="21"/>
                <w:szCs w:val="21"/>
                <w:lang w:val="en-US" w:eastAsia="zh-CN"/>
              </w:rPr>
            </w:pPr>
            <w:r>
              <w:rPr>
                <w:rFonts w:hint="eastAsia" w:ascii="宋体" w:hAnsi="宋体" w:eastAsia="宋体" w:cs="宋体"/>
                <w:b/>
                <w:bCs/>
                <w:color w:val="auto"/>
                <w:kern w:val="0"/>
                <w:sz w:val="21"/>
                <w:szCs w:val="21"/>
                <w:lang w:val="en-US" w:eastAsia="zh-CN"/>
              </w:rPr>
              <w:t>注：</w:t>
            </w:r>
            <w:r>
              <w:rPr>
                <w:rFonts w:hint="eastAsia" w:ascii="宋体" w:hAnsi="宋体" w:eastAsia="宋体" w:cs="宋体"/>
                <w:b/>
                <w:bCs/>
                <w:color w:val="auto"/>
                <w:sz w:val="21"/>
                <w:szCs w:val="21"/>
              </w:rPr>
              <w:t>节能产品环境标志产品为品目清单中产品并取得认证证书，且在有效期内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1303" w:type="dxa"/>
            <w:vMerge w:val="continue"/>
            <w:noWrap w:val="0"/>
            <w:vAlign w:val="center"/>
          </w:tcPr>
          <w:p>
            <w:pPr>
              <w:pStyle w:val="9"/>
              <w:tabs>
                <w:tab w:val="left" w:pos="600"/>
              </w:tabs>
              <w:spacing w:line="400" w:lineRule="exact"/>
              <w:jc w:val="center"/>
              <w:rPr>
                <w:rFonts w:hint="eastAsia" w:ascii="宋体" w:hAnsi="宋体" w:eastAsia="宋体" w:cs="宋体"/>
                <w:color w:val="auto"/>
                <w:sz w:val="21"/>
                <w:szCs w:val="21"/>
              </w:rPr>
            </w:pPr>
          </w:p>
        </w:tc>
        <w:tc>
          <w:tcPr>
            <w:tcW w:w="1334" w:type="dxa"/>
            <w:noWrap w:val="0"/>
            <w:vAlign w:val="center"/>
          </w:tcPr>
          <w:p>
            <w:pPr>
              <w:pStyle w:val="9"/>
              <w:tabs>
                <w:tab w:val="left" w:pos="600"/>
              </w:tabs>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产品包装</w:t>
            </w:r>
          </w:p>
          <w:p>
            <w:pPr>
              <w:pStyle w:val="9"/>
              <w:tabs>
                <w:tab w:val="left" w:pos="600"/>
              </w:tabs>
              <w:ind w:firstLine="0"/>
              <w:jc w:val="center"/>
              <w:rPr>
                <w:rFonts w:hint="eastAsia" w:ascii="宋体" w:hAnsi="宋体" w:eastAsia="宋体" w:cs="宋体"/>
                <w:color w:val="auto"/>
                <w:sz w:val="21"/>
                <w:szCs w:val="21"/>
              </w:rPr>
            </w:pPr>
            <w:r>
              <w:rPr>
                <w:rFonts w:hint="eastAsia" w:ascii="宋体" w:hAnsi="宋体" w:eastAsia="宋体" w:cs="宋体"/>
                <w:color w:val="auto"/>
                <w:sz w:val="21"/>
                <w:szCs w:val="21"/>
              </w:rPr>
              <w:t>2分</w:t>
            </w:r>
          </w:p>
        </w:tc>
        <w:tc>
          <w:tcPr>
            <w:tcW w:w="6168" w:type="dxa"/>
            <w:noWrap w:val="0"/>
            <w:vAlign w:val="center"/>
          </w:tcPr>
          <w:p>
            <w:pPr>
              <w:pStyle w:val="9"/>
              <w:tabs>
                <w:tab w:val="left" w:pos="600"/>
              </w:tabs>
              <w:ind w:firstLine="0"/>
              <w:rPr>
                <w:rFonts w:hint="eastAsia" w:ascii="宋体" w:hAnsi="宋体" w:eastAsia="宋体" w:cs="宋体"/>
                <w:color w:val="auto"/>
                <w:sz w:val="21"/>
                <w:szCs w:val="21"/>
              </w:rPr>
            </w:pPr>
            <w:r>
              <w:rPr>
                <w:rFonts w:hint="eastAsia" w:ascii="宋体" w:hAnsi="宋体" w:eastAsia="宋体" w:cs="宋体"/>
                <w:color w:val="auto"/>
                <w:sz w:val="21"/>
                <w:szCs w:val="21"/>
              </w:rPr>
              <w:t>承诺采用《商品包装政府采购需求标准（试行）》（财办库[2020]）123号）或者《快递包装政府采购需求标准（试行）》（财办库[2020]）123号）进行产品包装的，得2分，无承诺不得分。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1303" w:type="dxa"/>
            <w:vMerge w:val="restart"/>
            <w:noWrap w:val="0"/>
            <w:vAlign w:val="center"/>
          </w:tcPr>
          <w:p>
            <w:pPr>
              <w:spacing w:line="380" w:lineRule="exact"/>
              <w:ind w:firstLine="28"/>
              <w:jc w:val="center"/>
              <w:rPr>
                <w:rFonts w:hint="eastAsia"/>
                <w:b/>
                <w:bCs/>
              </w:rPr>
            </w:pPr>
            <w:r>
              <w:rPr>
                <w:rFonts w:hint="eastAsia"/>
                <w:b/>
                <w:bCs/>
              </w:rPr>
              <w:t>履约能力</w:t>
            </w:r>
          </w:p>
          <w:p>
            <w:pPr>
              <w:pStyle w:val="2"/>
              <w:jc w:val="center"/>
              <w:rPr>
                <w:rFonts w:hint="default"/>
                <w:lang w:val="en-US"/>
              </w:rPr>
            </w:pPr>
            <w:r>
              <w:rPr>
                <w:rFonts w:hint="eastAsia" w:ascii="宋体" w:hAnsi="宋体" w:cs="宋体"/>
                <w:b/>
                <w:bCs/>
                <w:color w:val="auto"/>
                <w:sz w:val="21"/>
                <w:szCs w:val="21"/>
                <w:lang w:val="en-US" w:eastAsia="zh-CN"/>
              </w:rPr>
              <w:t>6分</w:t>
            </w:r>
          </w:p>
        </w:tc>
        <w:tc>
          <w:tcPr>
            <w:tcW w:w="1334" w:type="dxa"/>
            <w:noWrap w:val="0"/>
            <w:vAlign w:val="center"/>
          </w:tcPr>
          <w:p>
            <w:pPr>
              <w:pStyle w:val="9"/>
              <w:tabs>
                <w:tab w:val="left" w:pos="600"/>
              </w:tabs>
              <w:ind w:firstLine="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类似业绩</w:t>
            </w:r>
          </w:p>
          <w:p>
            <w:pPr>
              <w:pStyle w:val="9"/>
              <w:tabs>
                <w:tab w:val="left" w:pos="600"/>
              </w:tabs>
              <w:ind w:firstLine="0" w:firstLineChars="0"/>
              <w:jc w:val="center"/>
              <w:rPr>
                <w:rFonts w:hint="eastAsia" w:ascii="宋体" w:hAnsi="宋体" w:eastAsia="宋体" w:cs="宋体"/>
                <w:b/>
                <w:color w:val="auto"/>
                <w:sz w:val="21"/>
                <w:szCs w:val="21"/>
                <w:lang w:eastAsia="zh-CN"/>
              </w:rPr>
            </w:pPr>
            <w:r>
              <w:rPr>
                <w:rFonts w:hint="eastAsia" w:ascii="宋体" w:hAnsi="宋体" w:cs="宋体"/>
                <w:bCs/>
                <w:color w:val="auto"/>
                <w:sz w:val="21"/>
                <w:szCs w:val="21"/>
                <w:lang w:val="en-US" w:eastAsia="zh-CN"/>
              </w:rPr>
              <w:t>3</w:t>
            </w:r>
            <w:r>
              <w:rPr>
                <w:rFonts w:hint="eastAsia" w:ascii="宋体" w:hAnsi="宋体" w:eastAsia="宋体" w:cs="宋体"/>
                <w:bCs/>
                <w:color w:val="auto"/>
                <w:sz w:val="21"/>
                <w:szCs w:val="21"/>
              </w:rPr>
              <w:t>分</w:t>
            </w:r>
          </w:p>
        </w:tc>
        <w:tc>
          <w:tcPr>
            <w:tcW w:w="6168" w:type="dxa"/>
            <w:noWrap w:val="0"/>
            <w:vAlign w:val="center"/>
          </w:tcPr>
          <w:p>
            <w:pPr>
              <w:ind w:firstLine="315" w:firstLineChars="150"/>
              <w:rPr>
                <w:rFonts w:hint="eastAsia" w:ascii="宋体" w:hAnsi="宋体" w:eastAsia="宋体" w:cs="宋体"/>
                <w:color w:val="auto"/>
                <w:sz w:val="21"/>
                <w:szCs w:val="21"/>
              </w:rPr>
            </w:pPr>
            <w:r>
              <w:rPr>
                <w:rFonts w:hint="eastAsia" w:ascii="宋体" w:hAnsi="宋体" w:eastAsia="宋体" w:cs="宋体"/>
                <w:color w:val="auto"/>
                <w:sz w:val="21"/>
                <w:szCs w:val="21"/>
              </w:rPr>
              <w:t>以供应商近三年</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2018年1月1日之后</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同类业绩（以合同</w:t>
            </w:r>
            <w:r>
              <w:rPr>
                <w:rFonts w:hint="eastAsia" w:ascii="宋体" w:hAnsi="宋体" w:cs="宋体"/>
                <w:color w:val="auto"/>
                <w:sz w:val="21"/>
                <w:szCs w:val="21"/>
                <w:lang w:val="en-US" w:eastAsia="zh-CN"/>
              </w:rPr>
              <w:t>签订</w:t>
            </w:r>
            <w:r>
              <w:rPr>
                <w:rFonts w:hint="eastAsia" w:ascii="宋体" w:hAnsi="宋体" w:eastAsia="宋体" w:cs="宋体"/>
                <w:color w:val="auto"/>
                <w:sz w:val="21"/>
                <w:szCs w:val="21"/>
              </w:rPr>
              <w:t>时间为准），每份合同为1个业绩</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每提供一个得1分</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最高得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分。</w:t>
            </w:r>
            <w:r>
              <w:rPr>
                <w:rFonts w:hint="eastAsia" w:ascii="宋体" w:hAnsi="宋体" w:eastAsia="宋体" w:cs="宋体"/>
                <w:color w:val="auto"/>
                <w:sz w:val="21"/>
                <w:szCs w:val="21"/>
              </w:rPr>
              <w:t>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1303" w:type="dxa"/>
            <w:vMerge w:val="continue"/>
            <w:noWrap w:val="0"/>
            <w:vAlign w:val="center"/>
          </w:tcPr>
          <w:p>
            <w:pPr>
              <w:spacing w:line="380" w:lineRule="exact"/>
              <w:ind w:firstLine="28" w:firstLineChars="0"/>
              <w:jc w:val="center"/>
              <w:rPr>
                <w:rFonts w:hint="eastAsia" w:ascii="宋体" w:hAnsi="宋体" w:eastAsia="宋体" w:cs="宋体"/>
                <w:b/>
                <w:color w:val="auto"/>
                <w:sz w:val="21"/>
                <w:szCs w:val="21"/>
              </w:rPr>
            </w:pPr>
          </w:p>
        </w:tc>
        <w:tc>
          <w:tcPr>
            <w:tcW w:w="1334" w:type="dxa"/>
            <w:noWrap w:val="0"/>
            <w:vAlign w:val="center"/>
          </w:tcPr>
          <w:p>
            <w:pPr>
              <w:ind w:firstLine="28"/>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产品渠道</w:t>
            </w:r>
          </w:p>
          <w:p>
            <w:pPr>
              <w:ind w:firstLine="28" w:firstLineChars="0"/>
              <w:jc w:val="center"/>
              <w:rPr>
                <w:rFonts w:hint="eastAsia" w:ascii="宋体" w:hAnsi="宋体" w:eastAsia="宋体" w:cs="宋体"/>
                <w:b/>
                <w:color w:val="auto"/>
                <w:sz w:val="21"/>
                <w:szCs w:val="21"/>
              </w:rPr>
            </w:pPr>
            <w:r>
              <w:rPr>
                <w:rFonts w:hint="eastAsia" w:ascii="宋体" w:hAnsi="宋体" w:cs="宋体"/>
                <w:b/>
                <w:color w:val="auto"/>
                <w:sz w:val="21"/>
                <w:szCs w:val="21"/>
                <w:lang w:val="en-US" w:eastAsia="zh-CN"/>
              </w:rPr>
              <w:t>3</w:t>
            </w:r>
            <w:r>
              <w:rPr>
                <w:rFonts w:hint="eastAsia" w:ascii="宋体" w:hAnsi="宋体" w:eastAsia="宋体" w:cs="宋体"/>
                <w:b/>
                <w:color w:val="auto"/>
                <w:sz w:val="21"/>
                <w:szCs w:val="21"/>
              </w:rPr>
              <w:t>分</w:t>
            </w:r>
          </w:p>
        </w:tc>
        <w:tc>
          <w:tcPr>
            <w:tcW w:w="6168" w:type="dxa"/>
            <w:noWrap w:val="0"/>
            <w:vAlign w:val="center"/>
          </w:tcPr>
          <w:p>
            <w:pPr>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产品来源渠道：提供产品来源渠道证明包括但不限于授权书（或代理证书、承诺书）、销售协议等，得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分，供应商为制造商的直接得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分，供应商未提供的不得分。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1303" w:type="dxa"/>
            <w:vMerge w:val="restart"/>
            <w:noWrap w:val="0"/>
            <w:vAlign w:val="center"/>
          </w:tcPr>
          <w:p>
            <w:pPr>
              <w:spacing w:line="400" w:lineRule="exact"/>
              <w:ind w:firstLine="28" w:firstLineChars="0"/>
              <w:jc w:val="center"/>
              <w:rPr>
                <w:rFonts w:hint="default" w:ascii="宋体" w:hAnsi="宋体" w:eastAsia="宋体" w:cs="宋体"/>
                <w:b/>
                <w:color w:val="auto"/>
                <w:sz w:val="21"/>
                <w:szCs w:val="21"/>
                <w:lang w:val="en-US"/>
              </w:rPr>
            </w:pPr>
            <w:r>
              <w:rPr>
                <w:rFonts w:hint="eastAsia" w:eastAsia="宋体" w:cs="Times New Roman"/>
                <w:b/>
                <w:bCs/>
              </w:rPr>
              <w:t>售后服务</w:t>
            </w:r>
            <w:r>
              <w:rPr>
                <w:rFonts w:hint="eastAsia" w:cs="Times New Roman"/>
                <w:b/>
                <w:bCs/>
                <w:lang w:val="en-US" w:eastAsia="zh-CN"/>
              </w:rPr>
              <w:t>20</w:t>
            </w:r>
            <w:r>
              <w:rPr>
                <w:rFonts w:hint="eastAsia" w:eastAsia="宋体" w:cs="Times New Roman"/>
                <w:b/>
                <w:bCs/>
                <w:lang w:val="en-US" w:eastAsia="zh-CN"/>
              </w:rPr>
              <w:t>分</w:t>
            </w:r>
          </w:p>
        </w:tc>
        <w:tc>
          <w:tcPr>
            <w:tcW w:w="1334" w:type="dxa"/>
            <w:noWrap w:val="0"/>
            <w:vAlign w:val="center"/>
          </w:tcPr>
          <w:p>
            <w:pPr>
              <w:spacing w:line="380" w:lineRule="exact"/>
              <w:ind w:firstLine="28"/>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承诺的响应时间和故障处理时间</w:t>
            </w:r>
          </w:p>
          <w:p>
            <w:pPr>
              <w:spacing w:line="380" w:lineRule="exact"/>
              <w:ind w:firstLine="28" w:firstLineChars="0"/>
              <w:jc w:val="center"/>
              <w:rPr>
                <w:rFonts w:hint="eastAsia" w:ascii="宋体" w:hAnsi="宋体" w:eastAsia="宋体" w:cs="宋体"/>
                <w:b/>
                <w:color w:val="auto"/>
                <w:sz w:val="21"/>
                <w:szCs w:val="21"/>
                <w:lang w:val="en-US" w:eastAsia="zh-CN"/>
              </w:rPr>
            </w:pPr>
            <w:r>
              <w:rPr>
                <w:rFonts w:hint="eastAsia" w:ascii="宋体" w:hAnsi="宋体" w:cs="宋体"/>
                <w:b/>
                <w:color w:val="auto"/>
                <w:sz w:val="21"/>
                <w:szCs w:val="21"/>
                <w:lang w:val="en-US" w:eastAsia="zh-CN"/>
              </w:rPr>
              <w:t>6</w:t>
            </w:r>
            <w:r>
              <w:rPr>
                <w:rFonts w:hint="eastAsia" w:ascii="宋体" w:hAnsi="宋体" w:eastAsia="宋体" w:cs="宋体"/>
                <w:b/>
                <w:color w:val="auto"/>
                <w:sz w:val="21"/>
                <w:szCs w:val="21"/>
                <w:lang w:val="en-US" w:eastAsia="zh-CN"/>
              </w:rPr>
              <w:t>分</w:t>
            </w:r>
          </w:p>
        </w:tc>
        <w:tc>
          <w:tcPr>
            <w:tcW w:w="6168" w:type="dxa"/>
            <w:noWrap w:val="0"/>
            <w:vAlign w:val="center"/>
          </w:tcPr>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供应商根据磋商文件的要求，提供详细</w:t>
            </w:r>
            <w:r>
              <w:rPr>
                <w:rFonts w:hint="eastAsia" w:ascii="宋体" w:hAnsi="宋体" w:cs="宋体"/>
                <w:color w:val="auto"/>
                <w:sz w:val="21"/>
                <w:szCs w:val="21"/>
                <w:lang w:val="en-US" w:eastAsia="zh-CN"/>
              </w:rPr>
              <w:t>、完善</w:t>
            </w:r>
            <w:r>
              <w:rPr>
                <w:rFonts w:hint="eastAsia" w:ascii="宋体" w:hAnsi="宋体" w:eastAsia="宋体" w:cs="宋体"/>
                <w:color w:val="auto"/>
                <w:sz w:val="21"/>
                <w:szCs w:val="21"/>
                <w:lang w:val="en-US" w:eastAsia="zh-CN"/>
              </w:rPr>
              <w:t>的</w:t>
            </w:r>
            <w:r>
              <w:rPr>
                <w:rFonts w:hint="eastAsia" w:ascii="宋体" w:hAnsi="宋体" w:cs="宋体"/>
                <w:color w:val="auto"/>
                <w:sz w:val="21"/>
                <w:szCs w:val="21"/>
                <w:lang w:val="en-US" w:eastAsia="zh-CN"/>
              </w:rPr>
              <w:t>售后服务</w:t>
            </w:r>
            <w:r>
              <w:rPr>
                <w:rFonts w:hint="eastAsia" w:ascii="宋体" w:hAnsi="宋体" w:eastAsia="宋体" w:cs="宋体"/>
                <w:color w:val="auto"/>
                <w:sz w:val="21"/>
                <w:szCs w:val="21"/>
                <w:lang w:val="en-US" w:eastAsia="zh-CN"/>
              </w:rPr>
              <w:t>响应时间</w:t>
            </w:r>
            <w:r>
              <w:rPr>
                <w:rFonts w:hint="eastAsia" w:ascii="宋体" w:hAnsi="宋体" w:cs="宋体"/>
                <w:color w:val="auto"/>
                <w:sz w:val="21"/>
                <w:szCs w:val="21"/>
                <w:lang w:val="en-US" w:eastAsia="zh-CN"/>
              </w:rPr>
              <w:t>承诺，响应时间快，并提供</w:t>
            </w:r>
            <w:r>
              <w:rPr>
                <w:rFonts w:hint="eastAsia" w:ascii="宋体" w:hAnsi="宋体" w:eastAsia="宋体" w:cs="宋体"/>
                <w:color w:val="auto"/>
                <w:sz w:val="21"/>
                <w:szCs w:val="21"/>
                <w:lang w:val="en-US" w:eastAsia="zh-CN"/>
              </w:rPr>
              <w:t>故障处理</w:t>
            </w:r>
            <w:r>
              <w:rPr>
                <w:rFonts w:hint="eastAsia" w:ascii="宋体" w:hAnsi="宋体" w:cs="宋体"/>
                <w:color w:val="auto"/>
                <w:sz w:val="21"/>
                <w:szCs w:val="21"/>
                <w:lang w:val="en-US" w:eastAsia="zh-CN"/>
              </w:rPr>
              <w:t>措施，合理性和可行性强的得6分</w:t>
            </w:r>
            <w:r>
              <w:rPr>
                <w:rFonts w:hint="eastAsia" w:ascii="宋体" w:hAnsi="宋体" w:eastAsia="宋体" w:cs="宋体"/>
                <w:color w:val="auto"/>
                <w:sz w:val="21"/>
                <w:szCs w:val="21"/>
                <w:lang w:val="en-US" w:eastAsia="zh-CN"/>
              </w:rPr>
              <w:t>；</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供应商提供详细的售后服务响应时间承诺，响应时间</w:t>
            </w:r>
            <w:r>
              <w:rPr>
                <w:rFonts w:hint="eastAsia" w:ascii="宋体" w:hAnsi="宋体" w:cs="宋体"/>
                <w:color w:val="auto"/>
                <w:sz w:val="21"/>
                <w:szCs w:val="21"/>
                <w:lang w:val="en-US" w:eastAsia="zh-CN"/>
              </w:rPr>
              <w:t>较快</w:t>
            </w:r>
            <w:r>
              <w:rPr>
                <w:rFonts w:hint="eastAsia" w:ascii="宋体" w:hAnsi="宋体" w:eastAsia="宋体" w:cs="宋体"/>
                <w:color w:val="auto"/>
                <w:sz w:val="21"/>
                <w:szCs w:val="21"/>
                <w:lang w:val="en-US" w:eastAsia="zh-CN"/>
              </w:rPr>
              <w:t>，并提供故障处理措施，</w:t>
            </w:r>
            <w:r>
              <w:rPr>
                <w:rFonts w:hint="eastAsia" w:ascii="宋体" w:hAnsi="宋体" w:cs="宋体"/>
                <w:color w:val="auto"/>
                <w:sz w:val="21"/>
                <w:szCs w:val="21"/>
                <w:lang w:val="en-US" w:eastAsia="zh-CN"/>
              </w:rPr>
              <w:t>有一定得</w:t>
            </w:r>
            <w:r>
              <w:rPr>
                <w:rFonts w:hint="eastAsia" w:ascii="宋体" w:hAnsi="宋体" w:eastAsia="宋体" w:cs="宋体"/>
                <w:color w:val="auto"/>
                <w:sz w:val="21"/>
                <w:szCs w:val="21"/>
                <w:lang w:val="en-US" w:eastAsia="zh-CN"/>
              </w:rPr>
              <w:t>合理性和可行性的得</w:t>
            </w: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供应商提供详细的售后服务响应时间承诺</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响应时间</w:t>
            </w:r>
            <w:r>
              <w:rPr>
                <w:rFonts w:hint="eastAsia" w:ascii="宋体" w:hAnsi="宋体" w:cs="宋体"/>
                <w:color w:val="auto"/>
                <w:sz w:val="21"/>
                <w:szCs w:val="21"/>
                <w:lang w:val="en-US" w:eastAsia="zh-CN"/>
              </w:rPr>
              <w:t>基本</w:t>
            </w:r>
            <w:r>
              <w:rPr>
                <w:rFonts w:hint="eastAsia" w:ascii="宋体" w:hAnsi="宋体" w:eastAsia="宋体" w:cs="宋体"/>
                <w:color w:val="auto"/>
                <w:sz w:val="21"/>
                <w:szCs w:val="21"/>
                <w:lang w:val="en-US" w:eastAsia="zh-CN"/>
              </w:rPr>
              <w:t>及时，故障处理措施</w:t>
            </w:r>
            <w:r>
              <w:rPr>
                <w:rFonts w:hint="eastAsia" w:ascii="宋体" w:hAnsi="宋体" w:cs="宋体"/>
                <w:color w:val="auto"/>
                <w:sz w:val="21"/>
                <w:szCs w:val="21"/>
                <w:lang w:val="en-US" w:eastAsia="zh-CN"/>
              </w:rPr>
              <w:t>基本</w:t>
            </w:r>
            <w:r>
              <w:rPr>
                <w:rFonts w:hint="eastAsia" w:ascii="宋体" w:hAnsi="宋体" w:eastAsia="宋体" w:cs="宋体"/>
                <w:color w:val="auto"/>
                <w:sz w:val="21"/>
                <w:szCs w:val="21"/>
                <w:lang w:val="en-US" w:eastAsia="zh-CN"/>
              </w:rPr>
              <w:t>合理可行的得</w:t>
            </w:r>
            <w:r>
              <w:rPr>
                <w:rFonts w:hint="eastAsia" w:ascii="宋体" w:hAnsi="宋体" w:cs="宋体"/>
                <w:color w:val="auto"/>
                <w:sz w:val="21"/>
                <w:szCs w:val="21"/>
                <w:lang w:val="en-US" w:eastAsia="zh-CN"/>
              </w:rPr>
              <w:t>4</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供应商提供售后服务响应时间承诺</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响应时间</w:t>
            </w:r>
            <w:r>
              <w:rPr>
                <w:rFonts w:hint="eastAsia" w:ascii="宋体" w:hAnsi="宋体" w:cs="宋体"/>
                <w:color w:val="auto"/>
                <w:sz w:val="21"/>
                <w:szCs w:val="21"/>
                <w:lang w:val="en-US" w:eastAsia="zh-CN"/>
              </w:rPr>
              <w:t>基本满足磋商文件要求</w:t>
            </w:r>
            <w:r>
              <w:rPr>
                <w:rFonts w:hint="eastAsia" w:ascii="宋体" w:hAnsi="宋体" w:eastAsia="宋体" w:cs="宋体"/>
                <w:color w:val="auto"/>
                <w:sz w:val="21"/>
                <w:szCs w:val="21"/>
                <w:lang w:val="en-US" w:eastAsia="zh-CN"/>
              </w:rPr>
              <w:t>，故障处理措施</w:t>
            </w:r>
            <w:r>
              <w:rPr>
                <w:rFonts w:hint="eastAsia" w:ascii="宋体" w:hAnsi="宋体" w:cs="宋体"/>
                <w:color w:val="auto"/>
                <w:sz w:val="21"/>
                <w:szCs w:val="21"/>
                <w:lang w:val="en-US" w:eastAsia="zh-CN"/>
              </w:rPr>
              <w:t>基本</w:t>
            </w:r>
            <w:r>
              <w:rPr>
                <w:rFonts w:hint="eastAsia" w:ascii="宋体" w:hAnsi="宋体" w:eastAsia="宋体" w:cs="宋体"/>
                <w:color w:val="auto"/>
                <w:sz w:val="21"/>
                <w:szCs w:val="21"/>
                <w:lang w:val="en-US" w:eastAsia="zh-CN"/>
              </w:rPr>
              <w:t>合理可行</w:t>
            </w:r>
            <w:r>
              <w:rPr>
                <w:rFonts w:hint="eastAsia" w:ascii="宋体" w:hAnsi="宋体" w:cs="宋体"/>
                <w:color w:val="auto"/>
                <w:sz w:val="21"/>
                <w:szCs w:val="21"/>
                <w:lang w:val="en-US" w:eastAsia="zh-CN"/>
              </w:rPr>
              <w:t>比较差</w:t>
            </w:r>
            <w:r>
              <w:rPr>
                <w:rFonts w:hint="eastAsia" w:ascii="宋体" w:hAnsi="宋体" w:eastAsia="宋体" w:cs="宋体"/>
                <w:color w:val="auto"/>
                <w:sz w:val="21"/>
                <w:szCs w:val="21"/>
                <w:lang w:val="en-US" w:eastAsia="zh-CN"/>
              </w:rPr>
              <w:t>的得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分；</w:t>
            </w:r>
          </w:p>
          <w:p>
            <w:pPr>
              <w:pStyle w:val="2"/>
              <w:rPr>
                <w:rFonts w:hint="default"/>
                <w:lang w:val="en-US" w:eastAsia="zh-CN"/>
              </w:rPr>
            </w:pPr>
            <w:r>
              <w:rPr>
                <w:rFonts w:hint="eastAsia"/>
                <w:lang w:val="en-US" w:eastAsia="zh-CN"/>
              </w:rPr>
              <w:t xml:space="preserve">    </w:t>
            </w:r>
            <w:r>
              <w:rPr>
                <w:rFonts w:hint="eastAsia" w:ascii="宋体" w:hAnsi="宋体" w:eastAsia="宋体" w:cs="宋体"/>
                <w:color w:val="auto"/>
                <w:sz w:val="21"/>
                <w:szCs w:val="21"/>
                <w:lang w:val="en-US" w:eastAsia="zh-CN"/>
              </w:rPr>
              <w:t>供应商提供售后服务响应时间承诺</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应时间较慢，故障处理措施</w:t>
            </w:r>
            <w:r>
              <w:rPr>
                <w:rFonts w:hint="eastAsia" w:ascii="宋体" w:hAnsi="宋体" w:cs="宋体"/>
                <w:color w:val="auto"/>
                <w:sz w:val="21"/>
                <w:szCs w:val="21"/>
                <w:lang w:val="en-US" w:eastAsia="zh-CN"/>
              </w:rPr>
              <w:t>合理性、</w:t>
            </w:r>
            <w:r>
              <w:rPr>
                <w:rFonts w:hint="eastAsia" w:ascii="宋体" w:hAnsi="宋体" w:eastAsia="宋体" w:cs="宋体"/>
                <w:color w:val="auto"/>
                <w:sz w:val="21"/>
                <w:szCs w:val="21"/>
                <w:lang w:val="en-US" w:eastAsia="zh-CN"/>
              </w:rPr>
              <w:t>可行</w:t>
            </w:r>
            <w:r>
              <w:rPr>
                <w:rFonts w:hint="eastAsia" w:ascii="宋体" w:hAnsi="宋体" w:cs="宋体"/>
                <w:color w:val="auto"/>
                <w:sz w:val="21"/>
                <w:szCs w:val="21"/>
                <w:lang w:val="en-US" w:eastAsia="zh-CN"/>
              </w:rPr>
              <w:t>性比较差</w:t>
            </w:r>
            <w:r>
              <w:rPr>
                <w:rFonts w:hint="eastAsia" w:ascii="宋体" w:hAnsi="宋体" w:eastAsia="宋体" w:cs="宋体"/>
                <w:color w:val="auto"/>
                <w:sz w:val="21"/>
                <w:szCs w:val="21"/>
                <w:lang w:val="en-US" w:eastAsia="zh-CN"/>
              </w:rPr>
              <w:t>的得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供应商承诺响应时间较慢，</w:t>
            </w:r>
            <w:r>
              <w:rPr>
                <w:rFonts w:hint="eastAsia" w:ascii="宋体" w:hAnsi="宋体" w:cs="宋体"/>
                <w:color w:val="auto"/>
                <w:sz w:val="21"/>
                <w:szCs w:val="21"/>
                <w:lang w:val="en-US" w:eastAsia="zh-CN"/>
              </w:rPr>
              <w:t>未提供</w:t>
            </w:r>
            <w:r>
              <w:rPr>
                <w:rFonts w:hint="eastAsia" w:ascii="宋体" w:hAnsi="宋体" w:eastAsia="宋体" w:cs="宋体"/>
                <w:color w:val="auto"/>
                <w:sz w:val="21"/>
                <w:szCs w:val="21"/>
                <w:lang w:val="en-US" w:eastAsia="zh-CN"/>
              </w:rPr>
              <w:t>故障处理措施</w:t>
            </w:r>
            <w:r>
              <w:rPr>
                <w:rFonts w:hint="eastAsia" w:ascii="宋体" w:hAnsi="宋体" w:cs="宋体"/>
                <w:color w:val="auto"/>
                <w:sz w:val="21"/>
                <w:szCs w:val="21"/>
                <w:lang w:val="en-US" w:eastAsia="zh-CN"/>
              </w:rPr>
              <w:t>或措施</w:t>
            </w:r>
            <w:r>
              <w:rPr>
                <w:rFonts w:hint="eastAsia" w:ascii="宋体" w:hAnsi="宋体" w:eastAsia="宋体" w:cs="宋体"/>
                <w:color w:val="auto"/>
                <w:sz w:val="21"/>
                <w:szCs w:val="21"/>
                <w:lang w:val="en-US" w:eastAsia="zh-CN"/>
              </w:rPr>
              <w:t>简单的得1分；</w:t>
            </w:r>
          </w:p>
          <w:p>
            <w:pPr>
              <w:ind w:firstLine="420" w:firstLineChars="200"/>
              <w:rPr>
                <w:rFonts w:hint="eastAsia" w:ascii="宋体" w:hAnsi="宋体" w:eastAsia="宋体" w:cs="宋体"/>
                <w:sz w:val="21"/>
                <w:szCs w:val="21"/>
                <w:lang w:val="en-US" w:eastAsia="zh-CN"/>
              </w:rPr>
            </w:pPr>
            <w:r>
              <w:rPr>
                <w:rFonts w:hint="eastAsia" w:ascii="宋体" w:hAnsi="宋体" w:eastAsia="宋体" w:cs="宋体"/>
                <w:color w:val="auto"/>
                <w:sz w:val="21"/>
                <w:szCs w:val="21"/>
                <w:lang w:val="en-US" w:eastAsia="zh-CN"/>
              </w:rPr>
              <w:t>未提供或明显存在不合理性的不得分。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1303" w:type="dxa"/>
            <w:vMerge w:val="continue"/>
            <w:noWrap w:val="0"/>
            <w:vAlign w:val="center"/>
          </w:tcPr>
          <w:p>
            <w:pPr>
              <w:spacing w:line="400" w:lineRule="exact"/>
              <w:ind w:firstLine="28" w:firstLineChars="0"/>
              <w:jc w:val="center"/>
              <w:rPr>
                <w:rFonts w:hint="eastAsia" w:ascii="宋体" w:hAnsi="宋体" w:eastAsia="宋体" w:cs="宋体"/>
                <w:b/>
                <w:color w:val="auto"/>
                <w:sz w:val="21"/>
                <w:szCs w:val="21"/>
              </w:rPr>
            </w:pPr>
          </w:p>
        </w:tc>
        <w:tc>
          <w:tcPr>
            <w:tcW w:w="1334" w:type="dxa"/>
            <w:noWrap w:val="0"/>
            <w:vAlign w:val="center"/>
          </w:tcPr>
          <w:p>
            <w:pPr>
              <w:spacing w:line="380" w:lineRule="exact"/>
              <w:ind w:firstLine="28"/>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售后服务点及售后服务人员的设置情况及保障情况</w:t>
            </w:r>
          </w:p>
          <w:p>
            <w:pPr>
              <w:spacing w:line="380" w:lineRule="exact"/>
              <w:ind w:firstLine="28" w:firstLineChars="0"/>
              <w:jc w:val="center"/>
              <w:rPr>
                <w:rFonts w:hint="eastAsia" w:ascii="宋体" w:hAnsi="宋体" w:eastAsia="宋体" w:cs="宋体"/>
                <w:b/>
                <w:color w:val="auto"/>
                <w:kern w:val="2"/>
                <w:sz w:val="21"/>
                <w:szCs w:val="21"/>
                <w:lang w:val="en-US" w:eastAsia="zh-CN" w:bidi="ar-SA"/>
              </w:rPr>
            </w:pPr>
            <w:r>
              <w:rPr>
                <w:rFonts w:hint="eastAsia" w:ascii="宋体" w:hAnsi="宋体" w:cs="宋体"/>
                <w:b/>
                <w:color w:val="auto"/>
                <w:sz w:val="21"/>
                <w:szCs w:val="21"/>
                <w:lang w:val="en-US" w:eastAsia="zh-CN"/>
              </w:rPr>
              <w:t>5</w:t>
            </w:r>
            <w:r>
              <w:rPr>
                <w:rFonts w:hint="eastAsia" w:ascii="宋体" w:hAnsi="宋体" w:eastAsia="宋体" w:cs="宋体"/>
                <w:b/>
                <w:color w:val="auto"/>
                <w:sz w:val="21"/>
                <w:szCs w:val="21"/>
                <w:lang w:val="en-US" w:eastAsia="zh-CN"/>
              </w:rPr>
              <w:t>分</w:t>
            </w:r>
          </w:p>
        </w:tc>
        <w:tc>
          <w:tcPr>
            <w:tcW w:w="6168" w:type="dxa"/>
            <w:noWrap w:val="0"/>
            <w:vAlign w:val="center"/>
          </w:tcPr>
          <w:p>
            <w:pPr>
              <w:pStyle w:val="2"/>
              <w:ind w:firstLine="420" w:firstLineChars="200"/>
              <w:rPr>
                <w:rFonts w:hint="eastAsia" w:ascii="宋体" w:hAnsi="宋体" w:cs="宋体"/>
                <w:color w:val="auto"/>
                <w:sz w:val="21"/>
                <w:szCs w:val="21"/>
                <w:lang w:val="en-US" w:eastAsia="zh-CN"/>
              </w:rPr>
            </w:pPr>
            <w:r>
              <w:rPr>
                <w:rFonts w:hint="eastAsia" w:ascii="宋体" w:hAnsi="宋体" w:eastAsia="宋体" w:cs="宋体"/>
                <w:color w:val="auto"/>
                <w:sz w:val="21"/>
                <w:szCs w:val="21"/>
                <w:lang w:val="en-US" w:eastAsia="zh-CN"/>
              </w:rPr>
              <w:t>供应商售后服务机构健全，</w:t>
            </w:r>
            <w:r>
              <w:rPr>
                <w:rFonts w:hint="eastAsia" w:ascii="宋体" w:hAnsi="宋体" w:cs="宋体"/>
                <w:color w:val="auto"/>
                <w:sz w:val="21"/>
                <w:szCs w:val="21"/>
                <w:lang w:val="en-US" w:eastAsia="zh-CN"/>
              </w:rPr>
              <w:t>服务能力完善，且售后服务</w:t>
            </w:r>
            <w:r>
              <w:rPr>
                <w:rFonts w:hint="eastAsia" w:ascii="宋体" w:hAnsi="宋体" w:eastAsia="宋体" w:cs="宋体"/>
                <w:color w:val="auto"/>
                <w:sz w:val="21"/>
                <w:szCs w:val="21"/>
                <w:lang w:val="en-US" w:eastAsia="zh-CN"/>
              </w:rPr>
              <w:t>人员充足、保障充分</w:t>
            </w:r>
            <w:r>
              <w:rPr>
                <w:rFonts w:hint="eastAsia" w:ascii="宋体" w:hAnsi="宋体" w:cs="宋体"/>
                <w:color w:val="auto"/>
                <w:sz w:val="21"/>
                <w:szCs w:val="21"/>
                <w:lang w:val="en-US" w:eastAsia="zh-CN"/>
              </w:rPr>
              <w:t>的得5分；</w:t>
            </w:r>
          </w:p>
          <w:p>
            <w:pPr>
              <w:pStyle w:val="2"/>
              <w:ind w:firstLine="420" w:firstLineChars="200"/>
              <w:rPr>
                <w:rFonts w:hint="eastAsia" w:ascii="宋体" w:hAnsi="宋体" w:cs="宋体"/>
                <w:color w:val="auto"/>
                <w:sz w:val="21"/>
                <w:szCs w:val="21"/>
                <w:lang w:val="en-US" w:eastAsia="zh-CN"/>
              </w:rPr>
            </w:pPr>
            <w:r>
              <w:rPr>
                <w:rFonts w:hint="eastAsia" w:ascii="宋体" w:hAnsi="宋体" w:eastAsia="宋体" w:cs="宋体"/>
                <w:color w:val="auto"/>
                <w:sz w:val="21"/>
                <w:szCs w:val="21"/>
                <w:lang w:val="en-US" w:eastAsia="zh-CN"/>
              </w:rPr>
              <w:t>供应商</w:t>
            </w:r>
            <w:r>
              <w:rPr>
                <w:rFonts w:hint="eastAsia" w:ascii="宋体" w:hAnsi="宋体" w:cs="宋体"/>
                <w:color w:val="auto"/>
                <w:sz w:val="21"/>
                <w:szCs w:val="21"/>
                <w:lang w:val="en-US" w:eastAsia="zh-CN"/>
              </w:rPr>
              <w:t>有</w:t>
            </w:r>
            <w:r>
              <w:rPr>
                <w:rFonts w:hint="eastAsia" w:ascii="宋体" w:hAnsi="宋体" w:eastAsia="宋体" w:cs="宋体"/>
                <w:color w:val="auto"/>
                <w:sz w:val="21"/>
                <w:szCs w:val="21"/>
                <w:lang w:val="en-US" w:eastAsia="zh-CN"/>
              </w:rPr>
              <w:t>售后服务机构</w:t>
            </w:r>
            <w:r>
              <w:rPr>
                <w:rFonts w:hint="eastAsia" w:ascii="宋体" w:hAnsi="宋体" w:cs="宋体"/>
                <w:color w:val="auto"/>
                <w:sz w:val="21"/>
                <w:szCs w:val="21"/>
                <w:lang w:val="en-US" w:eastAsia="zh-CN"/>
              </w:rPr>
              <w:t>（服务点）</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服务能力完善，能</w:t>
            </w:r>
            <w:r>
              <w:rPr>
                <w:rFonts w:hint="eastAsia" w:ascii="宋体" w:hAnsi="宋体" w:eastAsia="宋体" w:cs="宋体"/>
                <w:color w:val="auto"/>
                <w:sz w:val="21"/>
                <w:szCs w:val="21"/>
                <w:lang w:val="en-US" w:eastAsia="zh-CN"/>
              </w:rPr>
              <w:t>满足项目要求</w:t>
            </w:r>
            <w:r>
              <w:rPr>
                <w:rFonts w:hint="eastAsia" w:ascii="宋体" w:hAnsi="宋体" w:cs="宋体"/>
                <w:color w:val="auto"/>
                <w:sz w:val="21"/>
                <w:szCs w:val="21"/>
                <w:lang w:val="en-US" w:eastAsia="zh-CN"/>
              </w:rPr>
              <w:t>，且配置一定得售后服务</w:t>
            </w:r>
            <w:r>
              <w:rPr>
                <w:rFonts w:hint="eastAsia" w:ascii="宋体" w:hAnsi="宋体" w:eastAsia="宋体" w:cs="宋体"/>
                <w:color w:val="auto"/>
                <w:sz w:val="21"/>
                <w:szCs w:val="21"/>
                <w:lang w:val="en-US" w:eastAsia="zh-CN"/>
              </w:rPr>
              <w:t>人员</w:t>
            </w:r>
            <w:r>
              <w:rPr>
                <w:rFonts w:hint="eastAsia" w:ascii="宋体" w:hAnsi="宋体" w:cs="宋体"/>
                <w:color w:val="auto"/>
                <w:sz w:val="21"/>
                <w:szCs w:val="21"/>
                <w:lang w:val="en-US" w:eastAsia="zh-CN"/>
              </w:rPr>
              <w:t>的得4分；</w:t>
            </w:r>
          </w:p>
          <w:p>
            <w:pPr>
              <w:pStyle w:val="2"/>
              <w:ind w:firstLine="420" w:firstLineChars="200"/>
              <w:rPr>
                <w:rFonts w:hint="eastAsia" w:ascii="宋体" w:hAnsi="宋体" w:cs="宋体"/>
                <w:color w:val="auto"/>
                <w:sz w:val="21"/>
                <w:szCs w:val="21"/>
                <w:lang w:val="en-US" w:eastAsia="zh-CN"/>
              </w:rPr>
            </w:pPr>
            <w:r>
              <w:rPr>
                <w:rFonts w:hint="eastAsia" w:ascii="宋体" w:hAnsi="宋体" w:eastAsia="宋体" w:cs="宋体"/>
                <w:color w:val="auto"/>
                <w:sz w:val="21"/>
                <w:szCs w:val="21"/>
                <w:lang w:val="en-US" w:eastAsia="zh-CN"/>
              </w:rPr>
              <w:t>供应商</w:t>
            </w:r>
            <w:r>
              <w:rPr>
                <w:rFonts w:hint="eastAsia" w:ascii="宋体" w:hAnsi="宋体" w:cs="宋体"/>
                <w:color w:val="auto"/>
                <w:sz w:val="21"/>
                <w:szCs w:val="21"/>
                <w:lang w:val="en-US" w:eastAsia="zh-CN"/>
              </w:rPr>
              <w:t>有</w:t>
            </w:r>
            <w:r>
              <w:rPr>
                <w:rFonts w:hint="eastAsia" w:ascii="宋体" w:hAnsi="宋体" w:eastAsia="宋体" w:cs="宋体"/>
                <w:color w:val="auto"/>
                <w:sz w:val="21"/>
                <w:szCs w:val="21"/>
                <w:lang w:val="en-US" w:eastAsia="zh-CN"/>
              </w:rPr>
              <w:t>售后服务机构</w:t>
            </w:r>
            <w:r>
              <w:rPr>
                <w:rFonts w:hint="eastAsia" w:ascii="宋体" w:hAnsi="宋体" w:cs="宋体"/>
                <w:color w:val="auto"/>
                <w:sz w:val="21"/>
                <w:szCs w:val="21"/>
                <w:lang w:val="en-US" w:eastAsia="zh-CN"/>
              </w:rPr>
              <w:t>（服务点）</w:t>
            </w:r>
            <w:r>
              <w:rPr>
                <w:rFonts w:hint="eastAsia" w:ascii="宋体" w:hAnsi="宋体" w:eastAsia="宋体" w:cs="宋体"/>
                <w:color w:val="auto"/>
                <w:sz w:val="21"/>
                <w:szCs w:val="21"/>
                <w:lang w:val="en-US" w:eastAsia="zh-CN"/>
              </w:rPr>
              <w:t>，</w:t>
            </w:r>
            <w:r>
              <w:rPr>
                <w:rFonts w:hint="eastAsia" w:ascii="宋体" w:hAnsi="宋体" w:cs="宋体"/>
                <w:color w:val="auto"/>
                <w:sz w:val="21"/>
                <w:szCs w:val="21"/>
                <w:lang w:val="en-US" w:eastAsia="zh-CN"/>
              </w:rPr>
              <w:t>基本能</w:t>
            </w:r>
            <w:r>
              <w:rPr>
                <w:rFonts w:hint="eastAsia" w:ascii="宋体" w:hAnsi="宋体" w:eastAsia="宋体" w:cs="宋体"/>
                <w:color w:val="auto"/>
                <w:sz w:val="21"/>
                <w:szCs w:val="21"/>
                <w:lang w:val="en-US" w:eastAsia="zh-CN"/>
              </w:rPr>
              <w:t>满足项目要求</w:t>
            </w:r>
            <w:r>
              <w:rPr>
                <w:rFonts w:hint="eastAsia" w:ascii="宋体" w:hAnsi="宋体" w:cs="宋体"/>
                <w:color w:val="auto"/>
                <w:sz w:val="21"/>
                <w:szCs w:val="21"/>
                <w:lang w:val="en-US" w:eastAsia="zh-CN"/>
              </w:rPr>
              <w:t>，售后服务</w:t>
            </w:r>
            <w:r>
              <w:rPr>
                <w:rFonts w:hint="eastAsia" w:ascii="宋体" w:hAnsi="宋体" w:eastAsia="宋体" w:cs="宋体"/>
                <w:color w:val="auto"/>
                <w:sz w:val="21"/>
                <w:szCs w:val="21"/>
                <w:lang w:val="en-US" w:eastAsia="zh-CN"/>
              </w:rPr>
              <w:t>人员</w:t>
            </w:r>
            <w:r>
              <w:rPr>
                <w:rFonts w:hint="eastAsia" w:ascii="宋体" w:hAnsi="宋体" w:cs="宋体"/>
                <w:color w:val="auto"/>
                <w:sz w:val="21"/>
                <w:szCs w:val="21"/>
                <w:lang w:val="en-US" w:eastAsia="zh-CN"/>
              </w:rPr>
              <w:t>基本</w:t>
            </w:r>
            <w:r>
              <w:rPr>
                <w:rFonts w:hint="eastAsia" w:ascii="宋体" w:hAnsi="宋体" w:eastAsia="宋体" w:cs="宋体"/>
                <w:color w:val="auto"/>
                <w:sz w:val="21"/>
                <w:szCs w:val="21"/>
                <w:lang w:val="en-US" w:eastAsia="zh-CN"/>
              </w:rPr>
              <w:t>充足</w:t>
            </w:r>
            <w:r>
              <w:rPr>
                <w:rFonts w:hint="eastAsia" w:ascii="宋体" w:hAnsi="宋体" w:cs="宋体"/>
                <w:color w:val="auto"/>
                <w:sz w:val="21"/>
                <w:szCs w:val="21"/>
                <w:lang w:val="en-US" w:eastAsia="zh-CN"/>
              </w:rPr>
              <w:t>的得3分；</w:t>
            </w:r>
          </w:p>
          <w:p>
            <w:pPr>
              <w:pStyle w:val="2"/>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供应商有售后服务机构（服务点），但设置简单，且人员配置少的得2分；</w:t>
            </w:r>
          </w:p>
          <w:p>
            <w:pPr>
              <w:pStyle w:val="2"/>
              <w:ind w:firstLine="420" w:firstLineChars="200"/>
              <w:rPr>
                <w:rFonts w:hint="default" w:ascii="宋体" w:hAnsi="宋体" w:cs="宋体"/>
                <w:color w:val="auto"/>
                <w:sz w:val="21"/>
                <w:szCs w:val="21"/>
                <w:lang w:val="en-US" w:eastAsia="zh-CN"/>
              </w:rPr>
            </w:pPr>
            <w:r>
              <w:rPr>
                <w:rFonts w:hint="eastAsia" w:ascii="宋体" w:hAnsi="宋体" w:cs="宋体"/>
                <w:color w:val="auto"/>
                <w:sz w:val="21"/>
                <w:szCs w:val="21"/>
                <w:lang w:val="en-US" w:eastAsia="zh-CN"/>
              </w:rPr>
              <w:t>供应商仅提供售后服务机构（服务点）或仅提供售后服务人员，且机构设置简单或人员配置少的得1分；</w:t>
            </w:r>
          </w:p>
          <w:p>
            <w:pPr>
              <w:pStyle w:val="2"/>
              <w:ind w:firstLine="420" w:firstLineChars="200"/>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未提供或明显存在不合理性的不得分。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1303" w:type="dxa"/>
            <w:vMerge w:val="continue"/>
            <w:noWrap w:val="0"/>
            <w:vAlign w:val="center"/>
          </w:tcPr>
          <w:p>
            <w:pPr>
              <w:spacing w:line="400" w:lineRule="exact"/>
              <w:ind w:firstLine="28" w:firstLineChars="0"/>
              <w:jc w:val="center"/>
              <w:rPr>
                <w:rFonts w:hint="eastAsia" w:ascii="宋体" w:hAnsi="宋体" w:eastAsia="宋体" w:cs="宋体"/>
                <w:b/>
                <w:color w:val="auto"/>
                <w:sz w:val="21"/>
                <w:szCs w:val="21"/>
              </w:rPr>
            </w:pPr>
          </w:p>
        </w:tc>
        <w:tc>
          <w:tcPr>
            <w:tcW w:w="1334" w:type="dxa"/>
            <w:noWrap w:val="0"/>
            <w:vAlign w:val="center"/>
          </w:tcPr>
          <w:p>
            <w:pPr>
              <w:spacing w:line="380" w:lineRule="exact"/>
              <w:ind w:firstLine="28"/>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备品备件仓储的设置情况</w:t>
            </w:r>
          </w:p>
          <w:p>
            <w:pPr>
              <w:spacing w:line="380" w:lineRule="exact"/>
              <w:ind w:firstLine="28" w:firstLineChars="0"/>
              <w:jc w:val="center"/>
              <w:rPr>
                <w:rFonts w:hint="eastAsia" w:ascii="宋体" w:hAnsi="宋体" w:eastAsia="宋体" w:cs="宋体"/>
                <w:b/>
                <w:color w:val="auto"/>
                <w:sz w:val="21"/>
                <w:szCs w:val="21"/>
                <w:lang w:val="en-US" w:eastAsia="zh-CN"/>
              </w:rPr>
            </w:pPr>
            <w:r>
              <w:rPr>
                <w:rFonts w:hint="eastAsia" w:ascii="宋体" w:hAnsi="宋体" w:cs="宋体"/>
                <w:b/>
                <w:color w:val="auto"/>
                <w:sz w:val="21"/>
                <w:szCs w:val="21"/>
                <w:lang w:val="en-US" w:eastAsia="zh-CN"/>
              </w:rPr>
              <w:t>3</w:t>
            </w:r>
            <w:r>
              <w:rPr>
                <w:rFonts w:hint="eastAsia" w:ascii="宋体" w:hAnsi="宋体" w:eastAsia="宋体" w:cs="宋体"/>
                <w:b/>
                <w:color w:val="auto"/>
                <w:sz w:val="21"/>
                <w:szCs w:val="21"/>
                <w:lang w:val="en-US" w:eastAsia="zh-CN"/>
              </w:rPr>
              <w:t>分</w:t>
            </w:r>
          </w:p>
        </w:tc>
        <w:tc>
          <w:tcPr>
            <w:tcW w:w="6168" w:type="dxa"/>
            <w:noWrap w:val="0"/>
            <w:vAlign w:val="center"/>
          </w:tcPr>
          <w:p>
            <w:pPr>
              <w:ind w:firstLine="420" w:firstLineChars="200"/>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供应商</w:t>
            </w:r>
            <w:r>
              <w:rPr>
                <w:rFonts w:hint="eastAsia" w:ascii="宋体" w:hAnsi="宋体" w:eastAsia="宋体" w:cs="宋体"/>
                <w:color w:val="auto"/>
                <w:sz w:val="21"/>
                <w:szCs w:val="21"/>
                <w:lang w:val="en-US" w:eastAsia="zh-CN"/>
              </w:rPr>
              <w:t>设置备品备件仓库且品类齐全</w:t>
            </w:r>
            <w:r>
              <w:rPr>
                <w:rFonts w:hint="eastAsia" w:ascii="宋体" w:hAnsi="宋体" w:cs="宋体"/>
                <w:color w:val="auto"/>
                <w:sz w:val="21"/>
                <w:szCs w:val="21"/>
                <w:lang w:val="en-US" w:eastAsia="zh-CN"/>
              </w:rPr>
              <w:t>，能满足采购人的使用，保障采购人顺利教学的得3分；</w:t>
            </w:r>
          </w:p>
          <w:p>
            <w:pPr>
              <w:ind w:firstLine="420" w:firstLineChars="200"/>
              <w:rPr>
                <w:rFonts w:hint="eastAsia" w:ascii="宋体" w:hAnsi="宋体" w:cs="宋体"/>
                <w:color w:val="auto"/>
                <w:sz w:val="21"/>
                <w:szCs w:val="21"/>
                <w:lang w:val="en-US" w:eastAsia="zh-CN"/>
              </w:rPr>
            </w:pPr>
            <w:r>
              <w:rPr>
                <w:rFonts w:hint="eastAsia" w:ascii="宋体" w:hAnsi="宋体" w:cs="宋体"/>
                <w:color w:val="auto"/>
                <w:sz w:val="21"/>
                <w:szCs w:val="21"/>
                <w:lang w:val="en-US" w:eastAsia="zh-CN"/>
              </w:rPr>
              <w:t>供应商</w:t>
            </w:r>
            <w:r>
              <w:rPr>
                <w:rFonts w:hint="eastAsia" w:ascii="宋体" w:hAnsi="宋体" w:eastAsia="宋体" w:cs="宋体"/>
                <w:color w:val="auto"/>
                <w:sz w:val="21"/>
                <w:szCs w:val="21"/>
                <w:lang w:val="en-US" w:eastAsia="zh-CN"/>
              </w:rPr>
              <w:t>设置备品备件仓库</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品类较全</w:t>
            </w:r>
            <w:r>
              <w:rPr>
                <w:rFonts w:hint="eastAsia" w:ascii="宋体" w:hAnsi="宋体" w:cs="宋体"/>
                <w:color w:val="auto"/>
                <w:sz w:val="21"/>
                <w:szCs w:val="21"/>
                <w:lang w:val="en-US" w:eastAsia="zh-CN"/>
              </w:rPr>
              <w:t>的得2分；</w:t>
            </w:r>
          </w:p>
          <w:p>
            <w:pPr>
              <w:ind w:firstLine="420" w:firstLineChars="200"/>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供应商</w:t>
            </w:r>
            <w:r>
              <w:rPr>
                <w:rFonts w:hint="eastAsia" w:ascii="宋体" w:hAnsi="宋体" w:eastAsia="宋体" w:cs="宋体"/>
                <w:color w:val="auto"/>
                <w:sz w:val="21"/>
                <w:szCs w:val="21"/>
                <w:lang w:val="en-US" w:eastAsia="zh-CN"/>
              </w:rPr>
              <w:t>设置备品备件仓库</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品类较少或描述简单</w:t>
            </w:r>
            <w:r>
              <w:rPr>
                <w:rFonts w:hint="eastAsia" w:ascii="宋体" w:hAnsi="宋体" w:cs="宋体"/>
                <w:color w:val="auto"/>
                <w:sz w:val="21"/>
                <w:szCs w:val="21"/>
                <w:lang w:val="en-US" w:eastAsia="zh-CN"/>
              </w:rPr>
              <w:t>的得1分；</w:t>
            </w:r>
          </w:p>
          <w:p>
            <w:pPr>
              <w:pStyle w:val="2"/>
              <w:ind w:firstLine="420" w:firstLineChars="200"/>
              <w:rPr>
                <w:rFonts w:hint="eastAsia" w:ascii="宋体" w:hAnsi="宋体" w:eastAsia="宋体" w:cs="宋体"/>
                <w:color w:val="auto"/>
                <w:kern w:val="2"/>
                <w:sz w:val="21"/>
                <w:szCs w:val="21"/>
                <w:lang w:val="en-US" w:eastAsia="zh-CN" w:bidi="ar-SA"/>
              </w:rPr>
            </w:pPr>
            <w:r>
              <w:rPr>
                <w:rFonts w:hint="eastAsia" w:ascii="宋体" w:hAnsi="宋体" w:cs="宋体"/>
                <w:color w:val="auto"/>
                <w:sz w:val="21"/>
                <w:szCs w:val="21"/>
                <w:lang w:val="en-US" w:eastAsia="zh-CN"/>
              </w:rPr>
              <w:t>未提供或备品备件明显与项目内容不相关的不得分。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303" w:type="dxa"/>
            <w:vMerge w:val="continue"/>
            <w:noWrap w:val="0"/>
            <w:vAlign w:val="center"/>
          </w:tcPr>
          <w:p>
            <w:pPr>
              <w:spacing w:line="400" w:lineRule="exact"/>
              <w:ind w:firstLine="28" w:firstLineChars="0"/>
              <w:jc w:val="center"/>
              <w:rPr>
                <w:rFonts w:hint="eastAsia" w:ascii="宋体" w:hAnsi="宋体" w:eastAsia="宋体" w:cs="宋体"/>
                <w:b/>
                <w:color w:val="auto"/>
                <w:sz w:val="21"/>
                <w:szCs w:val="21"/>
              </w:rPr>
            </w:pPr>
          </w:p>
        </w:tc>
        <w:tc>
          <w:tcPr>
            <w:tcW w:w="1334" w:type="dxa"/>
            <w:noWrap w:val="0"/>
            <w:vAlign w:val="center"/>
          </w:tcPr>
          <w:p>
            <w:pPr>
              <w:spacing w:line="380" w:lineRule="exact"/>
              <w:ind w:firstLine="28"/>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培训方案</w:t>
            </w:r>
          </w:p>
          <w:p>
            <w:pPr>
              <w:spacing w:line="380" w:lineRule="exact"/>
              <w:ind w:firstLine="28" w:firstLineChars="0"/>
              <w:jc w:val="center"/>
              <w:rPr>
                <w:rFonts w:hint="eastAsia" w:ascii="宋体" w:hAnsi="宋体" w:eastAsia="宋体" w:cs="宋体"/>
                <w:b/>
                <w:color w:val="auto"/>
                <w:sz w:val="21"/>
                <w:szCs w:val="21"/>
              </w:rPr>
            </w:pPr>
            <w:r>
              <w:rPr>
                <w:rFonts w:hint="eastAsia" w:ascii="宋体" w:hAnsi="宋体" w:cs="宋体"/>
                <w:b/>
                <w:color w:val="auto"/>
                <w:sz w:val="21"/>
                <w:szCs w:val="21"/>
                <w:lang w:val="en-US" w:eastAsia="zh-CN"/>
              </w:rPr>
              <w:t>6</w:t>
            </w:r>
            <w:r>
              <w:rPr>
                <w:rFonts w:hint="eastAsia" w:ascii="宋体" w:hAnsi="宋体" w:eastAsia="宋体" w:cs="宋体"/>
                <w:b/>
                <w:color w:val="auto"/>
                <w:sz w:val="21"/>
                <w:szCs w:val="21"/>
                <w:lang w:val="en-US" w:eastAsia="zh-CN"/>
              </w:rPr>
              <w:t>分</w:t>
            </w:r>
          </w:p>
        </w:tc>
        <w:tc>
          <w:tcPr>
            <w:tcW w:w="6168" w:type="dxa"/>
            <w:noWrap w:val="0"/>
            <w:vAlign w:val="center"/>
          </w:tcPr>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培训内容切合项目实际需要，培训方案详细具体</w:t>
            </w:r>
            <w:r>
              <w:rPr>
                <w:rFonts w:hint="eastAsia" w:ascii="宋体" w:hAnsi="宋体" w:cs="宋体"/>
                <w:color w:val="auto"/>
                <w:sz w:val="21"/>
                <w:szCs w:val="21"/>
                <w:lang w:val="en-US" w:eastAsia="zh-CN"/>
              </w:rPr>
              <w:t>、完善</w:t>
            </w:r>
            <w:r>
              <w:rPr>
                <w:rFonts w:hint="eastAsia" w:ascii="宋体" w:hAnsi="宋体" w:eastAsia="宋体" w:cs="宋体"/>
                <w:color w:val="auto"/>
                <w:sz w:val="21"/>
                <w:szCs w:val="21"/>
                <w:lang w:val="en-US" w:eastAsia="zh-CN"/>
              </w:rPr>
              <w:t>，有详尽的培训计划，可行性强的得</w:t>
            </w:r>
            <w:r>
              <w:rPr>
                <w:rFonts w:hint="eastAsia" w:ascii="宋体" w:hAnsi="宋体" w:cs="宋体"/>
                <w:color w:val="auto"/>
                <w:sz w:val="21"/>
                <w:szCs w:val="21"/>
                <w:lang w:val="en-US" w:eastAsia="zh-CN"/>
              </w:rPr>
              <w:t>6</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培训内容切合项目实际需要，培训方案详细具体，有一定可行性的得</w:t>
            </w:r>
            <w:r>
              <w:rPr>
                <w:rFonts w:hint="eastAsia" w:ascii="宋体" w:hAnsi="宋体" w:cs="宋体"/>
                <w:color w:val="auto"/>
                <w:sz w:val="21"/>
                <w:szCs w:val="21"/>
                <w:lang w:val="en-US" w:eastAsia="zh-CN"/>
              </w:rPr>
              <w:t>5</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培训内容基本切合项目实际需要，培训方案基本完整，可行性</w:t>
            </w:r>
            <w:r>
              <w:rPr>
                <w:rFonts w:hint="eastAsia" w:ascii="宋体" w:hAnsi="宋体" w:cs="宋体"/>
                <w:color w:val="auto"/>
                <w:sz w:val="21"/>
                <w:szCs w:val="21"/>
                <w:lang w:val="en-US" w:eastAsia="zh-CN"/>
              </w:rPr>
              <w:t>一般</w:t>
            </w:r>
            <w:r>
              <w:rPr>
                <w:rFonts w:hint="eastAsia" w:ascii="宋体" w:hAnsi="宋体" w:eastAsia="宋体" w:cs="宋体"/>
                <w:color w:val="auto"/>
                <w:sz w:val="21"/>
                <w:szCs w:val="21"/>
                <w:lang w:val="en-US" w:eastAsia="zh-CN"/>
              </w:rPr>
              <w:t>的得</w:t>
            </w:r>
            <w:r>
              <w:rPr>
                <w:rFonts w:hint="eastAsia" w:ascii="宋体" w:hAnsi="宋体" w:cs="宋体"/>
                <w:color w:val="auto"/>
                <w:sz w:val="21"/>
                <w:szCs w:val="21"/>
                <w:lang w:val="en-US" w:eastAsia="zh-CN"/>
              </w:rPr>
              <w:t>4</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培训内容基本切合项目实际需要，培训方案完整性、可行性较差的得</w:t>
            </w:r>
            <w:r>
              <w:rPr>
                <w:rFonts w:hint="eastAsia" w:ascii="宋体" w:hAnsi="宋体" w:cs="宋体"/>
                <w:color w:val="auto"/>
                <w:sz w:val="21"/>
                <w:szCs w:val="21"/>
                <w:lang w:val="en-US" w:eastAsia="zh-CN"/>
              </w:rPr>
              <w:t>3</w:t>
            </w:r>
            <w:r>
              <w:rPr>
                <w:rFonts w:hint="eastAsia" w:ascii="宋体" w:hAnsi="宋体" w:eastAsia="宋体" w:cs="宋体"/>
                <w:color w:val="auto"/>
                <w:sz w:val="21"/>
                <w:szCs w:val="21"/>
                <w:lang w:val="en-US" w:eastAsia="zh-CN"/>
              </w:rPr>
              <w:t>分；</w:t>
            </w:r>
          </w:p>
          <w:p>
            <w:pPr>
              <w:ind w:firstLine="420" w:firstLineChars="200"/>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供应商提供了</w:t>
            </w:r>
            <w:r>
              <w:rPr>
                <w:rFonts w:hint="eastAsia" w:ascii="宋体" w:hAnsi="宋体" w:eastAsia="宋体" w:cs="宋体"/>
                <w:color w:val="auto"/>
                <w:sz w:val="21"/>
                <w:szCs w:val="21"/>
                <w:lang w:val="en-US" w:eastAsia="zh-CN"/>
              </w:rPr>
              <w:t>培训内容或培训方案</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合理性和可行性较差的得</w:t>
            </w:r>
            <w:r>
              <w:rPr>
                <w:rFonts w:hint="eastAsia" w:ascii="宋体" w:hAnsi="宋体" w:cs="宋体"/>
                <w:color w:val="auto"/>
                <w:sz w:val="21"/>
                <w:szCs w:val="21"/>
                <w:lang w:val="en-US" w:eastAsia="zh-CN"/>
              </w:rPr>
              <w:t>2</w:t>
            </w:r>
            <w:r>
              <w:rPr>
                <w:rFonts w:hint="eastAsia" w:ascii="宋体" w:hAnsi="宋体" w:eastAsia="宋体" w:cs="宋体"/>
                <w:color w:val="auto"/>
                <w:sz w:val="21"/>
                <w:szCs w:val="21"/>
                <w:lang w:val="en-US" w:eastAsia="zh-CN"/>
              </w:rPr>
              <w:t>分；</w:t>
            </w:r>
          </w:p>
          <w:p>
            <w:pPr>
              <w:pStyle w:val="2"/>
              <w:rPr>
                <w:rFonts w:hint="default"/>
                <w:lang w:val="en-US" w:eastAsia="zh-CN"/>
              </w:rPr>
            </w:pPr>
            <w:r>
              <w:rPr>
                <w:rFonts w:hint="eastAsia" w:ascii="宋体" w:hAnsi="宋体" w:cs="宋体"/>
                <w:color w:val="auto"/>
                <w:sz w:val="21"/>
                <w:szCs w:val="21"/>
                <w:lang w:val="en-US" w:eastAsia="zh-CN"/>
              </w:rPr>
              <w:t xml:space="preserve">    供应商提供培训方案及培训内容简单笼统，有缺漏项，不能能满足需求，不能体现合理性和可行性的得1分；</w:t>
            </w:r>
          </w:p>
          <w:p>
            <w:pPr>
              <w:ind w:firstLine="420" w:firstLineChars="200"/>
              <w:rPr>
                <w:rFonts w:hint="eastAsia" w:ascii="宋体" w:hAnsi="宋体" w:eastAsia="宋体" w:cs="宋体"/>
                <w:color w:val="auto"/>
                <w:sz w:val="21"/>
                <w:szCs w:val="21"/>
                <w:lang w:eastAsia="zh-CN"/>
              </w:rPr>
            </w:pPr>
            <w:r>
              <w:rPr>
                <w:rFonts w:hint="eastAsia" w:ascii="宋体" w:hAnsi="宋体" w:eastAsia="宋体" w:cs="宋体"/>
                <w:color w:val="auto"/>
                <w:sz w:val="21"/>
                <w:szCs w:val="21"/>
                <w:lang w:val="en-US" w:eastAsia="zh-CN"/>
              </w:rPr>
              <w:t>未提供或方案存在明显不</w:t>
            </w:r>
            <w:r>
              <w:rPr>
                <w:rFonts w:hint="eastAsia" w:ascii="宋体" w:hAnsi="宋体" w:eastAsia="宋体" w:cs="宋体"/>
                <w:color w:val="auto"/>
                <w:sz w:val="21"/>
                <w:szCs w:val="21"/>
              </w:rPr>
              <w:t>合理的</w:t>
            </w:r>
            <w:r>
              <w:rPr>
                <w:rFonts w:hint="eastAsia" w:ascii="宋体" w:hAnsi="宋体" w:eastAsia="宋体" w:cs="宋体"/>
                <w:color w:val="auto"/>
                <w:sz w:val="21"/>
                <w:szCs w:val="21"/>
                <w:lang w:val="en-US" w:eastAsia="zh-CN"/>
              </w:rPr>
              <w:t>不得分。</w:t>
            </w:r>
          </w:p>
        </w:tc>
      </w:tr>
    </w:tbl>
    <w:p>
      <w:pPr>
        <w:numPr>
          <w:ilvl w:val="0"/>
          <w:numId w:val="1"/>
        </w:numPr>
        <w:autoSpaceDE w:val="0"/>
        <w:autoSpaceDN w:val="0"/>
        <w:adjustRightInd w:val="0"/>
        <w:snapToGrid w:val="0"/>
        <w:spacing w:line="360" w:lineRule="auto"/>
        <w:rPr>
          <w:rFonts w:hint="eastAsia" w:ascii="宋体" w:hAnsi="宋体" w:eastAsia="宋体" w:cs="宋体"/>
          <w:bCs/>
          <w:sz w:val="28"/>
          <w:szCs w:val="28"/>
          <w:lang w:val="zh-CN"/>
        </w:rPr>
      </w:pPr>
      <w:r>
        <w:rPr>
          <w:rFonts w:hint="eastAsia" w:ascii="宋体" w:hAnsi="宋体" w:eastAsia="宋体" w:cs="宋体"/>
          <w:bCs/>
          <w:sz w:val="28"/>
          <w:szCs w:val="28"/>
          <w:lang w:val="zh-CN"/>
        </w:rPr>
        <w:t>需要落实的政府采购政策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关于印发《政府采购促进中小企业发展管理办法》的通知--财库[2020]46号</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在政府采购活动中，供应商提供的货物、工程或者服务符合下列情形的，享受《办法》规定的中小企业扶持政策: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(一)在货物采购项目中，货物由中小企业制造，即货物由中小企业生产且使用该中小企业商号或者注册商标；</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(二)在工程采购项目中，工程由中小企业承建，即工程施工单位为中小企业；</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(三)在服务采购项目中，服务由中小企业承接，即提供服务的人员为中小企业依照《中华人民共和国劳动合同法》订立劳动合同的从业人员。</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在货物采购项目中，供应商提供的货物既有中小企业制造货物，也有大型企业制造货物的，不享受《办法》规定的中小企业扶持政策。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以联合体形式参加政府采购活动，联合体各方均为中小企业的，联合体视同中小企业。其中，联合体各方均为小微企业的，联合体视同小微企业。</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依据《办法》规定享受扶持政策获得政府采购合同的，小微企业不得将合同分包给大中型企业，中型企业不得将合同分包给大型企业。</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根据《政府采购促进中小企业发展管理办法》的通知（财库〔2020〕46号）规定，参加政府采购活动的中小企业应当提供《中小企业声明函》（见附件）。供应商提供的《中小企业声明函》资料必须真实，否则，按照有关规定予以处理。</w:t>
      </w:r>
    </w:p>
    <w:p>
      <w:pPr>
        <w:adjustRightInd w:val="0"/>
        <w:snapToGrid w:val="0"/>
        <w:spacing w:line="360" w:lineRule="auto"/>
        <w:ind w:firstLine="645"/>
        <w:rPr>
          <w:rFonts w:hint="eastAsia" w:ascii="宋体" w:hAnsi="宋体" w:eastAsia="宋体" w:cs="宋体"/>
          <w:sz w:val="28"/>
          <w:szCs w:val="28"/>
        </w:rPr>
      </w:pPr>
      <w:r>
        <w:rPr>
          <w:rFonts w:hint="eastAsia" w:ascii="宋体" w:hAnsi="宋体" w:cs="宋体"/>
          <w:sz w:val="28"/>
          <w:szCs w:val="28"/>
          <w:lang w:eastAsia="zh-CN"/>
        </w:rPr>
        <w:t>磋商小组</w:t>
      </w:r>
      <w:r>
        <w:rPr>
          <w:rFonts w:hint="eastAsia" w:ascii="宋体" w:hAnsi="宋体" w:eastAsia="宋体" w:cs="宋体"/>
          <w:sz w:val="28"/>
          <w:szCs w:val="28"/>
        </w:rPr>
        <w:t>根据《政府采购促进中小企业发展管理办法》的相关规定，小微企业报价给予6%(工程项目为3%)的扣除，用扣除后的价格参加评审。适用招标投标法的政府采购工程建设项目，采用综合评估法但未采用低价优先法计算价格分的，评标时应当在采用原报价进行评分的基础上增加其价格得分的3%作为其价格分。</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2%(工程项目为1%)的扣除，用扣除后的价格参加评审。适用招标投标法的政府采购工程建设项目，采用综合评估法但未采用低价优先法计算价格分的，评标时应当在采用原报价进行评分的基础上增加其价格得分的1%作为其价格分。组成联合体或者接受分包的小微企业与联合体内其他企业、分包企业之间存在直接控股、管理关系的，不享受价格扣除优惠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 xml:space="preserve">（2）财政部司法部关于政府采购支持监狱企业发展有关问题的通知--财库〔2014〕68号 </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根据《关于政府采购支持监狱企业发展有关问题的通知》（财库（2014）68号）规定，在政府采购活动中，监狱企业视同小型、微型企业，享受政府采购促进中小企业发展的政府采购政策。评标小组对监狱企业的价格给予6%的扣除，用扣除后的价格参与评审。</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（3）《关于政府采购优先购买福利性企业产品和服务的意见》（陕民发（2015）1号）</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根据《关于政府采购优先购买福利性企业产品和服务的意见》（陕民发（2015）1号）规定，在政府采购活动中，本省福利性企业享受我省规定的采购扶持政策。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评标小组对投标单位提供的福利企业的证明文件进行核实后，根据相关规定，对福利企业的价格给予6%的扣除，用扣除后的价格参与评审。</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（4）《国务院办公厅关于建立政府强制采购节能产品制度的通知》--国办发〔2007〕51号</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各级政府机构使用财政性资金进行政府采购活动时，在技术、服务等指标满足采购需求的前提下，要优先采购节能产品，对部分节能效果、性能等达到要求的产品，实行强制采购。</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 xml:space="preserve">（5）《节能产品政府采购实施意见》--（财库[2004]185号） </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根据《节能产品政府采购实施意见》--（财库[2004]185号）规定，政府采购属于节能清单中产品时，在技术、服务等指标同等条件下，应当优先采购节能清单所列的节能产品。</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在投标时投标单位应提供有效证明材料（证明材料须加盖投标单位红色公章）。（注：产品属于品目清单范围中实施政府强制采购的，需提供依据国家确定的认证机构出具的、处于有效期之内的节能产品，属于品目清单范围中实施政府优先采购的，依据提供的品目清单和认证证书实施政府优先采购）。</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（6）《环境标志产品政府采购实施的意见》--财库[2006]90号</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根据《环境标志产品政府采购实施的意见》--财库[2006]90号规定，采购人采购的产品属于清单中品目的，在性能、技术、服务等指标同等条件下，应当优先采购清单中的产品。</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在投标时投标单位应提供有效证明材料（证明材料须加盖投标单位红色公章）。（注：产品属于品目清单范围中实施政府强制采购的，需提供依据国家确定的认证机构出具的、处于有效期之内的环境标志产品认证证书，属于品目清单范围中实施政府优先采购的，依据提供的品目清单和认证证书实施政府优先采购）。</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（7）《关于促进残疾人就业政府采购政策的通知》--财库〔2017〕144号</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符合条件的残疾人福利性单位在参加政府采购活动时，应提供本通知规定的《残疾人福利性单位声明函》，并对声明的真实性负责。</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（8）政府采购支持脱贫攻坚政策</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优先采购贫困地区农副产品和物业服务、采购农副产品的，同等条件下应优先采购贫困地区农副产品。使用财政资金采购物业服务的，有条件的应当优先采购注册地在832个国家级贫困县域内，且聘用建档立卡贫困县人员物业公司提供的物业服务。</w:t>
      </w:r>
    </w:p>
    <w:p>
      <w:pPr>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9、推荐成交候选供应商名单：磋商小组根据以上内容进行综合比较，自主打分，由高到低进行汇总排序，推荐出成交候选单位。磋商小组依据评审结果写出评审报告。</w:t>
      </w:r>
      <w:bookmarkStart w:id="14" w:name="_Toc22289840"/>
    </w:p>
    <w:p>
      <w:pPr>
        <w:pStyle w:val="6"/>
        <w:spacing w:line="360" w:lineRule="auto"/>
        <w:ind w:firstLine="562" w:firstLineChars="200"/>
        <w:rPr>
          <w:rFonts w:hint="eastAsia" w:ascii="宋体" w:hAnsi="宋体" w:eastAsia="宋体" w:cs="宋体"/>
          <w:b/>
          <w:sz w:val="28"/>
          <w:szCs w:val="28"/>
          <w:lang w:val="zh-CN"/>
        </w:rPr>
      </w:pPr>
      <w:bookmarkStart w:id="15" w:name="_Toc43393731"/>
      <w:r>
        <w:rPr>
          <w:rFonts w:hint="eastAsia" w:ascii="宋体" w:hAnsi="宋体" w:eastAsia="宋体" w:cs="宋体"/>
          <w:b/>
          <w:sz w:val="28"/>
          <w:szCs w:val="28"/>
          <w:lang w:val="zh-CN"/>
        </w:rPr>
        <w:t>七、确定成交单位</w:t>
      </w:r>
      <w:bookmarkEnd w:id="14"/>
      <w:bookmarkEnd w:id="15"/>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rPr>
        <w:t>1</w:t>
      </w:r>
      <w:r>
        <w:rPr>
          <w:rFonts w:hint="eastAsia" w:ascii="宋体" w:hAnsi="宋体" w:eastAsia="宋体" w:cs="宋体"/>
          <w:sz w:val="28"/>
          <w:szCs w:val="28"/>
          <w:lang w:val="zh-CN"/>
        </w:rPr>
        <w:t>、采购代理机构应在评审结束后两个工作日内，将评审报告送采购人确定成交单位。</w:t>
      </w:r>
    </w:p>
    <w:p>
      <w:pPr>
        <w:autoSpaceDE w:val="0"/>
        <w:autoSpaceDN w:val="0"/>
        <w:adjustRightInd w:val="0"/>
        <w:snapToGrid w:val="0"/>
        <w:spacing w:line="360" w:lineRule="auto"/>
        <w:ind w:firstLine="645"/>
        <w:rPr>
          <w:rFonts w:hint="eastAsia" w:ascii="宋体" w:hAnsi="宋体" w:eastAsia="宋体" w:cs="宋体"/>
          <w:sz w:val="28"/>
          <w:szCs w:val="28"/>
        </w:rPr>
      </w:pPr>
      <w:r>
        <w:rPr>
          <w:rFonts w:hint="eastAsia" w:ascii="宋体" w:hAnsi="宋体" w:eastAsia="宋体" w:cs="宋体"/>
          <w:sz w:val="28"/>
          <w:szCs w:val="28"/>
        </w:rPr>
        <w:t>2、采购人在收到评审报告后五个工作日内，根据评审报告对评审过程及结果进行严格审核后确定成交供应商，复函采购代理机构。</w:t>
      </w:r>
    </w:p>
    <w:p>
      <w:pPr>
        <w:tabs>
          <w:tab w:val="left" w:pos="1050"/>
        </w:tabs>
        <w:autoSpaceDE w:val="0"/>
        <w:autoSpaceDN w:val="0"/>
        <w:adjustRightInd w:val="0"/>
        <w:snapToGrid w:val="0"/>
        <w:spacing w:line="360" w:lineRule="auto"/>
        <w:ind w:left="105" w:firstLine="640"/>
        <w:rPr>
          <w:rFonts w:hint="eastAsia" w:ascii="宋体" w:hAnsi="宋体" w:eastAsia="宋体" w:cs="宋体"/>
          <w:sz w:val="28"/>
          <w:szCs w:val="28"/>
          <w:lang w:val="zh-CN"/>
        </w:rPr>
      </w:pPr>
      <w:r>
        <w:rPr>
          <w:rFonts w:hint="eastAsia" w:ascii="宋体" w:hAnsi="宋体" w:eastAsia="宋体" w:cs="宋体"/>
          <w:sz w:val="28"/>
          <w:szCs w:val="28"/>
          <w:lang w:val="zh-CN"/>
        </w:rPr>
        <w:t>3、采购代理机构在接到采购人的成交复函后，在财政部门指定的政府采购信息发布媒体上发布成交公告，公告期限为一个工作日，并向成交供应商发出</w:t>
      </w:r>
      <w:r>
        <w:rPr>
          <w:rFonts w:hint="eastAsia" w:ascii="宋体" w:hAnsi="宋体" w:eastAsia="宋体" w:cs="宋体"/>
          <w:sz w:val="28"/>
          <w:szCs w:val="28"/>
        </w:rPr>
        <w:t>“成交</w:t>
      </w:r>
      <w:r>
        <w:rPr>
          <w:rFonts w:hint="eastAsia" w:ascii="宋体" w:hAnsi="宋体" w:eastAsia="宋体" w:cs="宋体"/>
          <w:sz w:val="28"/>
          <w:szCs w:val="28"/>
          <w:lang w:val="zh-CN"/>
        </w:rPr>
        <w:t>通知书</w:t>
      </w:r>
      <w:r>
        <w:rPr>
          <w:rFonts w:hint="eastAsia" w:ascii="宋体" w:hAnsi="宋体" w:eastAsia="宋体" w:cs="宋体"/>
          <w:sz w:val="28"/>
          <w:szCs w:val="28"/>
        </w:rPr>
        <w:t>”</w:t>
      </w:r>
      <w:r>
        <w:rPr>
          <w:rFonts w:hint="eastAsia" w:ascii="宋体" w:hAnsi="宋体" w:eastAsia="宋体" w:cs="宋体"/>
          <w:sz w:val="28"/>
          <w:szCs w:val="28"/>
          <w:lang w:val="zh-CN"/>
        </w:rPr>
        <w:t>。</w:t>
      </w:r>
    </w:p>
    <w:p>
      <w:pPr>
        <w:tabs>
          <w:tab w:val="left" w:pos="1050"/>
        </w:tabs>
        <w:autoSpaceDE w:val="0"/>
        <w:autoSpaceDN w:val="0"/>
        <w:adjustRightInd w:val="0"/>
        <w:snapToGrid w:val="0"/>
        <w:spacing w:line="360" w:lineRule="auto"/>
        <w:ind w:left="105" w:firstLine="640"/>
        <w:rPr>
          <w:rFonts w:hint="eastAsia" w:ascii="宋体" w:hAnsi="宋体" w:eastAsia="宋体" w:cs="宋体"/>
          <w:sz w:val="28"/>
          <w:szCs w:val="28"/>
        </w:rPr>
      </w:pPr>
      <w:r>
        <w:rPr>
          <w:rFonts w:hint="eastAsia" w:ascii="宋体" w:hAnsi="宋体" w:eastAsia="宋体" w:cs="宋体"/>
          <w:sz w:val="28"/>
          <w:szCs w:val="28"/>
          <w:lang w:val="zh-CN"/>
        </w:rPr>
        <w:t>4、采购代理机构将评审过程及成交供应商情况书面报监督机构备案。</w:t>
      </w:r>
    </w:p>
    <w:p>
      <w:pPr>
        <w:pStyle w:val="6"/>
        <w:spacing w:line="360" w:lineRule="auto"/>
        <w:ind w:firstLine="562" w:firstLineChars="200"/>
        <w:rPr>
          <w:rFonts w:hint="eastAsia" w:ascii="宋体" w:hAnsi="宋体" w:eastAsia="宋体" w:cs="宋体"/>
          <w:b/>
          <w:sz w:val="28"/>
          <w:szCs w:val="28"/>
          <w:lang w:val="zh-CN"/>
        </w:rPr>
      </w:pPr>
      <w:bookmarkStart w:id="16" w:name="_Toc43393732"/>
      <w:bookmarkStart w:id="17" w:name="_Toc22289841"/>
      <w:r>
        <w:rPr>
          <w:rFonts w:hint="eastAsia" w:ascii="宋体" w:hAnsi="宋体" w:eastAsia="宋体" w:cs="宋体"/>
          <w:b/>
          <w:sz w:val="28"/>
          <w:szCs w:val="28"/>
          <w:lang w:val="zh-CN"/>
        </w:rPr>
        <w:t>八、询问与质疑</w:t>
      </w:r>
      <w:bookmarkEnd w:id="16"/>
      <w:bookmarkEnd w:id="17"/>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1、供应商对政府采购活动事项有疑问的，可以向采购人、采购代理机构提出询问。</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2、供应商认为采购文件、采购过程、中标或者成交结果使自己的权益受到损害的，可以在知道或者应知其权益受到损害之日起7个工作日内，以书面形式向采购代理机构提出质疑。</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3、供应商在法定质疑期内须一次性提出针对同一采购程序环节的质疑。</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4、供应商提出质疑应当提交质疑函和必要的证明材料。质疑函应当包括下列内容：</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4-1、供应商的姓名或者名称、地址、邮编、联系人及联系电话；</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4-2、质疑项目的名称、编号；</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4-3、具体、明确的质疑事项和与质疑事项相关的请求；</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4-4、事实依据；</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4-5、必要的法律依据；</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4-6、提出质疑的日期。</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供应商为自然人的，应当由本人签字；供应商为法人或者其他组织的，应当由法定代表人、主要负责人，或者其授权代表签字或者盖章，并加盖公章。</w:t>
      </w:r>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5、符合要求的质疑，采购代理机构将予以受理并答复，联系电话：029-88765319，联系人：陶莹。</w:t>
      </w:r>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6、供应商进行虚假和恶意质疑的，采购代理机构将提供相关资料报监督机构，按其情况进行相应处理。</w:t>
      </w:r>
    </w:p>
    <w:p>
      <w:pPr>
        <w:pStyle w:val="6"/>
        <w:spacing w:line="360" w:lineRule="auto"/>
        <w:ind w:firstLine="562" w:firstLineChars="200"/>
        <w:rPr>
          <w:rFonts w:hint="eastAsia" w:ascii="宋体" w:hAnsi="宋体" w:eastAsia="宋体" w:cs="宋体"/>
          <w:b/>
          <w:sz w:val="28"/>
          <w:szCs w:val="28"/>
          <w:lang w:val="zh-CN"/>
        </w:rPr>
      </w:pPr>
      <w:bookmarkStart w:id="18" w:name="_Toc22289843"/>
      <w:bookmarkStart w:id="19" w:name="_Toc43393733"/>
      <w:r>
        <w:rPr>
          <w:rFonts w:hint="eastAsia" w:ascii="宋体" w:hAnsi="宋体" w:eastAsia="宋体" w:cs="宋体"/>
          <w:b/>
          <w:sz w:val="28"/>
          <w:szCs w:val="28"/>
          <w:lang w:val="zh-CN"/>
        </w:rPr>
        <w:t>九、合同</w:t>
      </w:r>
      <w:bookmarkEnd w:id="18"/>
      <w:bookmarkEnd w:id="19"/>
    </w:p>
    <w:p>
      <w:pPr>
        <w:autoSpaceDE w:val="0"/>
        <w:autoSpaceDN w:val="0"/>
        <w:adjustRightInd w:val="0"/>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rPr>
        <w:t>1、</w:t>
      </w:r>
      <w:r>
        <w:rPr>
          <w:rFonts w:hint="eastAsia" w:ascii="宋体" w:hAnsi="宋体" w:eastAsia="宋体" w:cs="宋体"/>
          <w:sz w:val="28"/>
          <w:szCs w:val="28"/>
          <w:lang w:val="zh-CN"/>
        </w:rPr>
        <w:t>自成交通知书发出后三十日内，按照磋商文件和成交供应商响应文件的约定，采购人与成交供应商洽谈合同条款，并签订合同。磋商文件及成交供应商的响应文件均作为合同的组成部分。</w:t>
      </w:r>
    </w:p>
    <w:p>
      <w:pPr>
        <w:tabs>
          <w:tab w:val="left" w:pos="0"/>
        </w:tabs>
        <w:autoSpaceDE w:val="0"/>
        <w:autoSpaceDN w:val="0"/>
        <w:adjustRightInd w:val="0"/>
        <w:snapToGrid w:val="0"/>
        <w:spacing w:line="360" w:lineRule="auto"/>
        <w:ind w:firstLine="564"/>
        <w:rPr>
          <w:rFonts w:hint="eastAsia" w:ascii="宋体" w:hAnsi="宋体" w:eastAsia="宋体" w:cs="宋体"/>
          <w:sz w:val="28"/>
          <w:szCs w:val="28"/>
          <w:lang w:val="zh-CN"/>
        </w:rPr>
      </w:pPr>
      <w:r>
        <w:rPr>
          <w:rFonts w:hint="eastAsia" w:ascii="宋体" w:hAnsi="宋体" w:eastAsia="宋体" w:cs="宋体"/>
          <w:sz w:val="28"/>
          <w:szCs w:val="28"/>
        </w:rPr>
        <w:t>2、</w:t>
      </w:r>
      <w:r>
        <w:rPr>
          <w:rFonts w:hint="eastAsia" w:ascii="宋体" w:hAnsi="宋体" w:eastAsia="宋体" w:cs="宋体"/>
          <w:sz w:val="28"/>
          <w:szCs w:val="28"/>
          <w:lang w:val="zh-CN"/>
        </w:rPr>
        <w:t>确定成交单位后，成交供应商因自身原因未按程序签订合同，采购人将取消其成交资格，同时报请监督机构备案。在此情况下，采购人可按评审结果顺序将合同授予下一成交候选人或重新采购。</w:t>
      </w:r>
    </w:p>
    <w:p>
      <w:pPr>
        <w:pStyle w:val="6"/>
        <w:snapToGrid w:val="0"/>
        <w:spacing w:line="360" w:lineRule="auto"/>
        <w:ind w:firstLine="562" w:firstLineChars="200"/>
        <w:rPr>
          <w:rFonts w:hint="eastAsia" w:ascii="宋体" w:hAnsi="宋体" w:eastAsia="宋体" w:cs="宋体"/>
          <w:b/>
          <w:sz w:val="28"/>
          <w:szCs w:val="28"/>
          <w:lang w:val="zh-CN"/>
        </w:rPr>
      </w:pPr>
      <w:bookmarkStart w:id="20" w:name="_Toc43393734"/>
      <w:bookmarkStart w:id="21" w:name="_Toc22289844"/>
      <w:r>
        <w:rPr>
          <w:rFonts w:hint="eastAsia" w:ascii="宋体" w:hAnsi="宋体" w:eastAsia="宋体" w:cs="宋体"/>
          <w:b/>
          <w:sz w:val="28"/>
          <w:szCs w:val="28"/>
          <w:lang w:val="zh-CN"/>
        </w:rPr>
        <w:t>十、成交服务费</w:t>
      </w:r>
      <w:bookmarkEnd w:id="20"/>
      <w:bookmarkEnd w:id="21"/>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1、成交供应商在领取成交通知书前，须向采购代理机构支付代理服务费，代理服务费参照原国家计委计价格【2002】1980号文的计算方法收取。</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2、成交单位的代理服务费交纳信息</w:t>
      </w:r>
    </w:p>
    <w:p>
      <w:pPr>
        <w:snapToGrid w:val="0"/>
        <w:spacing w:line="360" w:lineRule="auto"/>
        <w:ind w:firstLine="560" w:firstLineChars="200"/>
        <w:rPr>
          <w:rFonts w:hint="eastAsia" w:ascii="宋体" w:hAnsi="宋体" w:eastAsia="宋体" w:cs="宋体"/>
          <w:sz w:val="28"/>
          <w:szCs w:val="28"/>
          <w:lang w:val="zh-CN"/>
        </w:rPr>
      </w:pPr>
      <w:bookmarkStart w:id="22" w:name="_Toc22289845"/>
      <w:bookmarkStart w:id="23" w:name="_Toc43393735"/>
      <w:r>
        <w:rPr>
          <w:rFonts w:hint="eastAsia" w:ascii="宋体" w:hAnsi="宋体" w:eastAsia="宋体" w:cs="宋体"/>
          <w:sz w:val="28"/>
          <w:szCs w:val="28"/>
          <w:lang w:val="zh-CN"/>
        </w:rPr>
        <w:t>开户银行： 招</w:t>
      </w:r>
      <w:bookmarkStart w:id="24" w:name="OLE_LINK1"/>
      <w:r>
        <w:rPr>
          <w:rFonts w:hint="eastAsia" w:ascii="宋体" w:hAnsi="宋体" w:eastAsia="宋体" w:cs="宋体"/>
          <w:sz w:val="28"/>
          <w:szCs w:val="28"/>
          <w:lang w:val="zh-CN"/>
        </w:rPr>
        <w:t>商银行股份有限公司西安城西支行</w:t>
      </w:r>
      <w:bookmarkEnd w:id="24"/>
    </w:p>
    <w:p>
      <w:pPr>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账    号： 129911759510401</w:t>
      </w:r>
    </w:p>
    <w:p>
      <w:pPr>
        <w:snapToGrid w:val="0"/>
        <w:spacing w:line="360" w:lineRule="auto"/>
        <w:ind w:firstLine="560" w:firstLineChars="200"/>
        <w:rPr>
          <w:rFonts w:hint="eastAsia" w:ascii="宋体" w:hAnsi="宋体" w:eastAsia="宋体" w:cs="宋体"/>
          <w:sz w:val="28"/>
          <w:szCs w:val="28"/>
          <w:lang w:val="zh-CN"/>
        </w:rPr>
      </w:pPr>
      <w:r>
        <w:rPr>
          <w:rFonts w:hint="eastAsia" w:ascii="宋体" w:hAnsi="宋体" w:eastAsia="宋体" w:cs="宋体"/>
          <w:sz w:val="28"/>
          <w:szCs w:val="28"/>
          <w:lang w:val="zh-CN"/>
        </w:rPr>
        <w:t xml:space="preserve">联 系 人： 白丽娜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zh-CN"/>
        </w:rPr>
        <w:t>联系电话：029-88765319</w:t>
      </w:r>
    </w:p>
    <w:p>
      <w:pPr>
        <w:snapToGrid w:val="0"/>
        <w:spacing w:line="360" w:lineRule="auto"/>
        <w:ind w:firstLine="562" w:firstLineChars="200"/>
        <w:rPr>
          <w:rFonts w:hint="eastAsia" w:ascii="宋体" w:hAnsi="宋体" w:eastAsia="宋体" w:cs="宋体"/>
          <w:b/>
          <w:bCs/>
          <w:sz w:val="28"/>
          <w:szCs w:val="28"/>
          <w:lang w:val="zh-CN"/>
        </w:rPr>
      </w:pPr>
      <w:r>
        <w:rPr>
          <w:rFonts w:hint="eastAsia" w:ascii="宋体" w:hAnsi="宋体" w:eastAsia="宋体" w:cs="宋体"/>
          <w:b/>
          <w:bCs/>
          <w:sz w:val="28"/>
          <w:szCs w:val="28"/>
          <w:lang w:val="zh-CN"/>
        </w:rPr>
        <w:t>十一、其他情况说明</w:t>
      </w:r>
      <w:bookmarkEnd w:id="22"/>
      <w:bookmarkEnd w:id="23"/>
    </w:p>
    <w:p>
      <w:pPr>
        <w:autoSpaceDE w:val="0"/>
        <w:autoSpaceDN w:val="0"/>
        <w:adjustRightInd w:val="0"/>
        <w:snapToGrid w:val="0"/>
        <w:spacing w:line="360" w:lineRule="auto"/>
        <w:ind w:firstLine="645"/>
        <w:rPr>
          <w:rFonts w:hint="eastAsia" w:ascii="宋体" w:hAnsi="宋体" w:eastAsia="宋体" w:cs="宋体"/>
          <w:sz w:val="28"/>
          <w:szCs w:val="28"/>
          <w:lang w:val="zh-CN"/>
        </w:rPr>
      </w:pPr>
      <w:r>
        <w:rPr>
          <w:rFonts w:hint="eastAsia" w:ascii="宋体" w:hAnsi="宋体" w:eastAsia="宋体" w:cs="宋体"/>
          <w:sz w:val="28"/>
          <w:szCs w:val="28"/>
          <w:lang w:val="zh-CN"/>
        </w:rPr>
        <w:t>磋商截止时间结束后，递交响应文件或者经评审的实质性响应磋商文件的供应商不足三家，采购代理机构请示监督机构后，终止竞争性磋商活动或继续磋商。</w:t>
      </w:r>
    </w:p>
    <w:p>
      <w:pPr>
        <w:bidi w:val="0"/>
        <w:rPr>
          <w:rFonts w:hint="eastAsia"/>
          <w:lang w:val="zh-CN"/>
        </w:rPr>
      </w:pPr>
      <w:bookmarkStart w:id="25" w:name="_Toc22289846"/>
      <w:bookmarkStart w:id="26" w:name="_Toc43393736"/>
    </w:p>
    <w:p>
      <w:pPr>
        <w:bidi w:val="0"/>
        <w:rPr>
          <w:rFonts w:hint="eastAsia"/>
          <w:lang w:val="zh-CN"/>
        </w:rPr>
      </w:pPr>
    </w:p>
    <w:p>
      <w:pPr>
        <w:bidi w:val="0"/>
        <w:rPr>
          <w:rFonts w:hint="eastAsia"/>
          <w:lang w:val="zh-CN"/>
        </w:rPr>
      </w:pPr>
    </w:p>
    <w:p>
      <w:pPr>
        <w:bidi w:val="0"/>
        <w:rPr>
          <w:rFonts w:hint="eastAsia"/>
          <w:lang w:val="zh-CN"/>
        </w:rPr>
      </w:pPr>
    </w:p>
    <w:p>
      <w:pPr>
        <w:pStyle w:val="4"/>
        <w:jc w:val="both"/>
        <w:rPr>
          <w:rFonts w:hint="eastAsia" w:ascii="宋体" w:hAnsi="宋体" w:eastAsia="宋体" w:cs="宋体"/>
          <w:b/>
          <w:sz w:val="32"/>
          <w:szCs w:val="32"/>
          <w:lang w:val="zh-CN"/>
        </w:rPr>
      </w:pPr>
    </w:p>
    <w:p>
      <w:pPr>
        <w:pStyle w:val="5"/>
        <w:rPr>
          <w:rFonts w:hint="eastAsia" w:ascii="宋体" w:hAnsi="宋体" w:eastAsia="宋体" w:cs="宋体"/>
          <w:lang w:val="zh-CN"/>
        </w:rPr>
      </w:pPr>
      <w:r>
        <w:rPr>
          <w:rFonts w:hint="eastAsia" w:ascii="宋体" w:hAnsi="宋体" w:eastAsia="宋体" w:cs="宋体"/>
          <w:lang w:val="zh-CN"/>
        </w:rPr>
        <w:br w:type="page"/>
      </w:r>
    </w:p>
    <w:p>
      <w:pPr>
        <w:pStyle w:val="4"/>
        <w:numPr>
          <w:ilvl w:val="0"/>
          <w:numId w:val="2"/>
        </w:numPr>
        <w:jc w:val="center"/>
        <w:rPr>
          <w:rFonts w:hint="eastAsia" w:ascii="宋体" w:hAnsi="宋体" w:eastAsia="宋体" w:cs="宋体"/>
          <w:b/>
          <w:sz w:val="32"/>
          <w:szCs w:val="32"/>
          <w:lang w:val="zh-CN"/>
        </w:rPr>
      </w:pPr>
      <w:r>
        <w:rPr>
          <w:rFonts w:hint="eastAsia" w:ascii="宋体" w:hAnsi="宋体" w:eastAsia="宋体" w:cs="宋体"/>
          <w:b/>
          <w:sz w:val="32"/>
          <w:szCs w:val="32"/>
          <w:lang w:val="zh-CN"/>
        </w:rPr>
        <w:t xml:space="preserve"> 采购内容及要求</w:t>
      </w:r>
      <w:bookmarkEnd w:id="25"/>
      <w:bookmarkEnd w:id="26"/>
    </w:p>
    <w:p>
      <w:pPr>
        <w:pStyle w:val="4"/>
        <w:spacing w:before="240" w:beforeLines="100" w:after="0" w:line="360" w:lineRule="auto"/>
        <w:rPr>
          <w:rFonts w:hint="eastAsia" w:ascii="宋体" w:hAnsi="宋体" w:eastAsia="宋体" w:cs="宋体"/>
          <w:b w:val="0"/>
          <w:color w:val="auto"/>
          <w:sz w:val="28"/>
          <w:szCs w:val="28"/>
        </w:rPr>
      </w:pPr>
      <w:bookmarkStart w:id="27" w:name="_Toc217446094"/>
      <w:r>
        <w:rPr>
          <w:rFonts w:hint="eastAsia" w:ascii="宋体" w:hAnsi="宋体" w:eastAsia="宋体" w:cs="宋体"/>
          <w:b w:val="0"/>
          <w:color w:val="auto"/>
          <w:sz w:val="28"/>
          <w:szCs w:val="28"/>
        </w:rPr>
        <w:t>1.项目概况及总体要求</w:t>
      </w:r>
    </w:p>
    <w:p>
      <w:pPr>
        <w:pStyle w:val="4"/>
        <w:spacing w:before="120" w:beforeLines="50" w:after="120" w:afterLines="50" w:line="360" w:lineRule="auto"/>
        <w:rPr>
          <w:rFonts w:hint="eastAsia" w:ascii="宋体" w:hAnsi="宋体" w:eastAsia="宋体" w:cs="宋体"/>
          <w:i w:val="0"/>
          <w:iCs w:val="0"/>
          <w:caps w:val="0"/>
          <w:color w:val="333333"/>
          <w:spacing w:val="0"/>
          <w:sz w:val="28"/>
          <w:szCs w:val="28"/>
          <w:shd w:val="clear" w:fill="FFFFFF"/>
          <w:lang w:val="en-US" w:eastAsia="zh-CN"/>
        </w:rPr>
      </w:pPr>
      <w:r>
        <w:rPr>
          <w:rFonts w:hint="eastAsia" w:ascii="宋体" w:hAnsi="宋体" w:eastAsia="宋体" w:cs="宋体"/>
          <w:b w:val="0"/>
          <w:color w:val="auto"/>
          <w:sz w:val="28"/>
          <w:szCs w:val="28"/>
          <w:lang w:eastAsia="zh-CN"/>
        </w:rPr>
        <w:t xml:space="preserve"> </w:t>
      </w:r>
      <w:r>
        <w:rPr>
          <w:rFonts w:hint="eastAsia" w:ascii="宋体" w:hAnsi="宋体" w:eastAsia="宋体" w:cs="宋体"/>
          <w:b w:val="0"/>
          <w:color w:val="auto"/>
          <w:sz w:val="28"/>
          <w:szCs w:val="28"/>
          <w:lang w:val="en-US" w:eastAsia="zh-CN"/>
        </w:rPr>
        <w:t xml:space="preserve">  </w:t>
      </w:r>
      <w:bookmarkEnd w:id="27"/>
      <w:r>
        <w:rPr>
          <w:rFonts w:hint="eastAsia" w:ascii="宋体" w:hAnsi="宋体" w:eastAsia="宋体" w:cs="宋体"/>
          <w:b w:val="0"/>
          <w:color w:val="auto"/>
          <w:sz w:val="28"/>
          <w:szCs w:val="28"/>
          <w:lang w:val="en-US" w:eastAsia="zh-CN"/>
        </w:rPr>
        <w:t>西安高新第二学校采购教学用具、教学器材一批，小学科学器材（包括四年级上册第二单元-呼吸与消化、五年级上册第一单元-光、六年级上册第二单元-地球的运动等）；小学数学用具（包括图形计算器、数学益智可互动墙面展板之数与代数系列、数学益智可互动墙面展板之经典巧板系列等）；初中理化生器材（化学）（包括化学实验废水处理装置、电加热器、列管式烘干器等）；初中理化生器材（生物）（包括烘干箱、高压灭菌器、恒温培养箱、兔骨骼标本、化石标本等）；初中理化生器材（物理）（包括手摇抽气机、天文望远镜、阿基米德原理实验器、小型电动机实验器、手摇交直流发电机等）；初中地理器材（包括望远镜、数字式天文望远镜、日、地、月运行仪等）</w:t>
      </w:r>
      <w:r>
        <w:rPr>
          <w:rFonts w:hint="eastAsia" w:ascii="宋体" w:hAnsi="宋体" w:eastAsia="宋体" w:cs="宋体"/>
          <w:i w:val="0"/>
          <w:iCs w:val="0"/>
          <w:caps w:val="0"/>
          <w:color w:val="333333"/>
          <w:spacing w:val="0"/>
          <w:sz w:val="28"/>
          <w:szCs w:val="28"/>
          <w:shd w:val="clear" w:fill="FFFFFF"/>
          <w:lang w:val="en-US" w:eastAsia="zh-CN"/>
        </w:rPr>
        <w:t>。</w:t>
      </w:r>
    </w:p>
    <w:p>
      <w:pPr>
        <w:pStyle w:val="4"/>
        <w:spacing w:before="120" w:beforeLines="50" w:after="120" w:afterLines="50" w:line="360" w:lineRule="auto"/>
        <w:rPr>
          <w:rFonts w:hint="default" w:ascii="宋体" w:hAnsi="宋体" w:eastAsia="宋体" w:cs="宋体"/>
          <w:b w:val="0"/>
          <w:color w:val="auto"/>
          <w:sz w:val="28"/>
          <w:szCs w:val="28"/>
          <w:lang w:val="en-US" w:eastAsia="zh-CN"/>
        </w:rPr>
      </w:pPr>
      <w:r>
        <w:rPr>
          <w:rFonts w:hint="eastAsia" w:ascii="宋体" w:hAnsi="宋体" w:eastAsia="宋体" w:cs="宋体"/>
          <w:b w:val="0"/>
          <w:color w:val="auto"/>
          <w:sz w:val="28"/>
          <w:szCs w:val="28"/>
        </w:rPr>
        <w:t>2.货物需求一览表及技术要求</w:t>
      </w:r>
      <w:r>
        <w:rPr>
          <w:rFonts w:hint="eastAsia" w:ascii="宋体" w:hAnsi="宋体" w:eastAsia="宋体" w:cs="宋体"/>
          <w:b w:val="0"/>
          <w:color w:val="auto"/>
          <w:sz w:val="28"/>
          <w:szCs w:val="28"/>
          <w:lang w:eastAsia="zh-CN"/>
        </w:rPr>
        <w:t>（</w:t>
      </w:r>
      <w:r>
        <w:rPr>
          <w:rFonts w:hint="eastAsia" w:ascii="宋体" w:hAnsi="宋体" w:eastAsia="宋体" w:cs="宋体"/>
          <w:b w:val="0"/>
          <w:color w:val="auto"/>
          <w:sz w:val="28"/>
          <w:szCs w:val="28"/>
          <w:lang w:val="en-US" w:eastAsia="zh-CN"/>
        </w:rPr>
        <w:t>需求清单后附）</w:t>
      </w:r>
    </w:p>
    <w:p>
      <w:pPr>
        <w:pStyle w:val="6"/>
        <w:spacing w:before="0" w:after="0" w:line="360" w:lineRule="auto"/>
        <w:ind w:firstLine="560" w:firstLineChars="200"/>
        <w:rPr>
          <w:rFonts w:hint="eastAsia" w:ascii="宋体" w:hAnsi="宋体" w:eastAsia="宋体" w:cs="宋体"/>
          <w:b/>
          <w:bCs/>
          <w:color w:val="000000"/>
          <w:kern w:val="0"/>
          <w:szCs w:val="21"/>
          <w:lang w:eastAsia="zh-CN" w:bidi="ar"/>
        </w:rPr>
      </w:pPr>
      <w:r>
        <w:rPr>
          <w:rFonts w:hint="eastAsia" w:ascii="宋体" w:hAnsi="宋体" w:eastAsia="宋体" w:cs="宋体"/>
          <w:b w:val="0"/>
          <w:bCs/>
          <w:color w:val="auto"/>
          <w:sz w:val="28"/>
          <w:szCs w:val="28"/>
        </w:rPr>
        <w:t>2.1</w:t>
      </w:r>
      <w:r>
        <w:rPr>
          <w:rFonts w:hint="eastAsia" w:ascii="宋体" w:hAnsi="宋体" w:eastAsia="宋体" w:cs="宋体"/>
          <w:b w:val="0"/>
          <w:color w:val="auto"/>
          <w:sz w:val="28"/>
          <w:szCs w:val="28"/>
        </w:rPr>
        <w:t>核心产品的名称：</w:t>
      </w:r>
      <w:r>
        <w:rPr>
          <w:rFonts w:hint="eastAsia" w:ascii="宋体" w:hAnsi="宋体" w:eastAsia="宋体" w:cs="宋体"/>
          <w:b/>
          <w:bCs/>
          <w:color w:val="auto"/>
          <w:sz w:val="28"/>
          <w:szCs w:val="28"/>
          <w:lang w:val="en-US" w:eastAsia="zh-CN"/>
        </w:rPr>
        <w:t>/</w:t>
      </w:r>
    </w:p>
    <w:p>
      <w:pPr>
        <w:pStyle w:val="6"/>
        <w:spacing w:before="0" w:after="0" w:line="360" w:lineRule="auto"/>
        <w:ind w:firstLine="560" w:firstLineChars="200"/>
        <w:rPr>
          <w:rFonts w:hint="eastAsia" w:ascii="宋体" w:hAnsi="宋体" w:eastAsia="宋体" w:cs="宋体"/>
          <w:b w:val="0"/>
          <w:color w:val="auto"/>
          <w:sz w:val="28"/>
          <w:szCs w:val="28"/>
          <w:lang w:eastAsia="zh-CN"/>
        </w:rPr>
      </w:pPr>
      <w:r>
        <w:rPr>
          <w:rFonts w:hint="eastAsia" w:ascii="宋体" w:hAnsi="宋体" w:eastAsia="宋体" w:cs="宋体"/>
          <w:b w:val="0"/>
          <w:bCs/>
          <w:color w:val="auto"/>
          <w:sz w:val="28"/>
          <w:szCs w:val="28"/>
        </w:rPr>
        <w:t>2.</w:t>
      </w:r>
      <w:r>
        <w:rPr>
          <w:rFonts w:hint="eastAsia" w:ascii="宋体" w:hAnsi="宋体" w:eastAsia="宋体" w:cs="宋体"/>
          <w:b w:val="0"/>
          <w:bCs/>
          <w:color w:val="auto"/>
          <w:sz w:val="28"/>
          <w:szCs w:val="28"/>
          <w:lang w:val="en-US" w:eastAsia="zh-CN"/>
        </w:rPr>
        <w:t>2</w:t>
      </w:r>
      <w:r>
        <w:rPr>
          <w:rFonts w:hint="eastAsia" w:ascii="宋体" w:hAnsi="宋体" w:eastAsia="宋体" w:cs="宋体"/>
          <w:b w:val="0"/>
          <w:bCs/>
          <w:color w:val="auto"/>
          <w:sz w:val="28"/>
          <w:szCs w:val="28"/>
        </w:rPr>
        <w:t xml:space="preserve"> 下列产品为强制采购的节能产品：</w:t>
      </w:r>
      <w:r>
        <w:rPr>
          <w:rFonts w:hint="eastAsia" w:ascii="宋体" w:hAnsi="宋体" w:eastAsia="宋体" w:cs="宋体"/>
          <w:b/>
          <w:bCs w:val="0"/>
          <w:color w:val="auto"/>
          <w:sz w:val="28"/>
          <w:szCs w:val="28"/>
          <w:lang w:val="en-US" w:eastAsia="zh-CN"/>
        </w:rPr>
        <w:t>/</w:t>
      </w:r>
    </w:p>
    <w:p>
      <w:pPr>
        <w:pStyle w:val="6"/>
        <w:spacing w:before="0" w:after="0" w:line="360" w:lineRule="auto"/>
        <w:ind w:firstLine="560" w:firstLineChars="200"/>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w:t>
      </w:r>
      <w:r>
        <w:rPr>
          <w:rFonts w:hint="eastAsia" w:ascii="宋体" w:hAnsi="宋体" w:eastAsia="宋体" w:cs="宋体"/>
          <w:b w:val="0"/>
          <w:bCs/>
          <w:color w:val="auto"/>
          <w:sz w:val="28"/>
          <w:szCs w:val="28"/>
          <w:lang w:val="en-US" w:eastAsia="zh-CN"/>
        </w:rPr>
        <w:t>3</w:t>
      </w:r>
      <w:r>
        <w:rPr>
          <w:rFonts w:hint="eastAsia" w:ascii="宋体" w:hAnsi="宋体" w:eastAsia="宋体" w:cs="宋体"/>
          <w:b w:val="0"/>
          <w:bCs/>
          <w:color w:val="auto"/>
          <w:sz w:val="28"/>
          <w:szCs w:val="28"/>
        </w:rPr>
        <w:t>货物需求一览表及技术要求（见附表）</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 xml:space="preserve"> 本章未明确货物（产品）执行标准、规范的，则按下列方法进行选择：</w:t>
      </w:r>
    </w:p>
    <w:p>
      <w:pPr>
        <w:pStyle w:val="5"/>
        <w:spacing w:line="360" w:lineRule="auto"/>
        <w:ind w:left="840" w:hanging="1120" w:hangingChars="400"/>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eq \o\ac(</w:instrText>
      </w:r>
      <w:r>
        <w:rPr>
          <w:rFonts w:hint="eastAsia" w:ascii="宋体" w:hAnsi="宋体" w:eastAsia="宋体" w:cs="宋体"/>
          <w:color w:val="auto"/>
          <w:position w:val="-5"/>
          <w:sz w:val="42"/>
          <w:szCs w:val="28"/>
        </w:rPr>
        <w:instrText xml:space="preserve">□</w:instrText>
      </w:r>
      <w:r>
        <w:rPr>
          <w:rFonts w:hint="eastAsia" w:ascii="宋体" w:hAnsi="宋体" w:eastAsia="宋体" w:cs="宋体"/>
          <w:color w:val="auto"/>
          <w:position w:val="0"/>
          <w:sz w:val="28"/>
          <w:szCs w:val="28"/>
        </w:rPr>
        <w:instrText xml:space="preserve">,√)</w:instrTex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 xml:space="preserve"> 必须执行：国家、行业强制性标准。</w:t>
      </w:r>
    </w:p>
    <w:p>
      <w:pPr>
        <w:pStyle w:val="5"/>
        <w:spacing w:line="360" w:lineRule="auto"/>
        <w:ind w:left="840" w:hanging="1120" w:hangingChars="400"/>
        <w:rPr>
          <w:rFonts w:hint="eastAsia" w:ascii="宋体" w:hAnsi="宋体" w:eastAsia="宋体" w:cs="宋体"/>
          <w:color w:val="auto"/>
          <w:sz w:val="28"/>
          <w:szCs w:val="28"/>
        </w:rPr>
      </w:pPr>
      <w:r>
        <w:rPr>
          <w:rFonts w:hint="eastAsia" w:ascii="宋体" w:hAnsi="宋体" w:eastAsia="宋体" w:cs="宋体"/>
          <w:color w:val="auto"/>
          <w:sz w:val="28"/>
          <w:szCs w:val="28"/>
        </w:rPr>
        <w:t xml:space="preserve">    2.</w:t>
      </w: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 xml:space="preserve"> 货物（产品）包装要求：</w:t>
      </w:r>
    </w:p>
    <w:p>
      <w:pPr>
        <w:pStyle w:val="5"/>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1）当货物（产品）包装使用塑料、纸质、木材等包装材料时，除应当按照国家、行业规定的包装要求进行包装外，还需按照《商品包装政府采购需求标准（试行）》（财办库[2020]）123号）规定的环保要求进行包装。</w:t>
      </w:r>
    </w:p>
    <w:p>
      <w:pPr>
        <w:pStyle w:val="5"/>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（2）当货物（产品）采用快递交货方式时，快递包装除应当按照国家、行业规定的包装要求进行包装外，还需按照《快递包装政府采购需求标准（试行）》（财办库[2020]）123号）规定的环保要求进行包装。</w:t>
      </w:r>
    </w:p>
    <w:p>
      <w:pPr>
        <w:pStyle w:val="5"/>
        <w:spacing w:before="120" w:beforeLines="50" w:after="120" w:afterLines="50" w:line="360" w:lineRule="auto"/>
        <w:ind w:firstLine="0"/>
        <w:rPr>
          <w:rFonts w:hint="eastAsia" w:ascii="宋体" w:hAnsi="宋体" w:eastAsia="宋体" w:cs="宋体"/>
          <w:bCs/>
          <w:color w:val="auto"/>
          <w:sz w:val="28"/>
          <w:szCs w:val="28"/>
        </w:rPr>
      </w:pPr>
      <w:r>
        <w:rPr>
          <w:rFonts w:hint="eastAsia" w:ascii="宋体" w:hAnsi="宋体" w:eastAsia="宋体" w:cs="宋体"/>
          <w:color w:val="auto"/>
          <w:sz w:val="28"/>
          <w:szCs w:val="28"/>
        </w:rPr>
        <w:t>3.</w:t>
      </w:r>
      <w:r>
        <w:rPr>
          <w:rFonts w:hint="eastAsia" w:ascii="宋体" w:hAnsi="宋体" w:eastAsia="宋体" w:cs="宋体"/>
          <w:bCs/>
          <w:color w:val="auto"/>
          <w:sz w:val="28"/>
          <w:szCs w:val="28"/>
        </w:rPr>
        <w:t>商务要求</w:t>
      </w:r>
    </w:p>
    <w:p>
      <w:pPr>
        <w:pStyle w:val="5"/>
        <w:spacing w:line="360" w:lineRule="auto"/>
        <w:ind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3.1 货物（产品）交货时间（期限）和地点：</w:t>
      </w:r>
    </w:p>
    <w:p>
      <w:pPr>
        <w:pStyle w:val="5"/>
        <w:spacing w:line="360" w:lineRule="auto"/>
        <w:ind w:firstLine="420" w:firstLineChars="15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交货时间：合同签订后15日历天</w:t>
      </w:r>
    </w:p>
    <w:p>
      <w:pPr>
        <w:pStyle w:val="5"/>
        <w:spacing w:line="360" w:lineRule="auto"/>
        <w:ind w:firstLine="420" w:firstLineChars="15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交货地点：采购人指定地点</w:t>
      </w:r>
    </w:p>
    <w:p>
      <w:pPr>
        <w:pStyle w:val="5"/>
        <w:tabs>
          <w:tab w:val="left" w:pos="360"/>
          <w:tab w:val="left" w:pos="540"/>
        </w:tabs>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rPr>
        <w:t>3.2 货物（产品）运输、安装及调试由成交供应商负责。采用公路或铁路运输方式，选择风险小、运费低和运距短的运输路线。运杂费一次性包死在总价内，采购人不再额外支付，包括从生产厂家到使用（安装）现场的包装、装载、运输、卸载、现场保管、二次倒运等费用。</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rPr>
        <w:t>3.3 货物（产品）的验收：见合同条款。</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rPr>
        <w:t>3.4 货物（产品）验收依据：见合同条款。</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rPr>
        <w:t>3.5 货物（产品）的质保期</w:t>
      </w:r>
      <w:r>
        <w:rPr>
          <w:rFonts w:hint="eastAsia" w:ascii="宋体" w:hAnsi="宋体" w:eastAsia="宋体" w:cs="宋体"/>
          <w:color w:val="auto"/>
          <w:sz w:val="28"/>
          <w:szCs w:val="28"/>
          <w:lang w:val="en-US" w:eastAsia="zh-CN"/>
        </w:rPr>
        <w:t>除特殊要求外，其余产品均</w:t>
      </w:r>
      <w:r>
        <w:rPr>
          <w:rFonts w:hint="eastAsia" w:ascii="宋体" w:hAnsi="宋体" w:eastAsia="宋体" w:cs="宋体"/>
          <w:color w:val="auto"/>
          <w:sz w:val="28"/>
          <w:szCs w:val="28"/>
        </w:rPr>
        <w:t>不少于</w:t>
      </w:r>
      <w:r>
        <w:rPr>
          <w:rFonts w:hint="eastAsia" w:ascii="宋体" w:hAnsi="宋体" w:cs="宋体"/>
          <w:color w:val="auto"/>
          <w:sz w:val="28"/>
          <w:szCs w:val="28"/>
          <w:u w:val="single"/>
          <w:lang w:val="en-US" w:eastAsia="zh-CN"/>
        </w:rPr>
        <w:t>3</w:t>
      </w:r>
      <w:r>
        <w:rPr>
          <w:rFonts w:hint="eastAsia" w:ascii="宋体" w:hAnsi="宋体" w:cs="宋体"/>
          <w:color w:val="auto"/>
          <w:sz w:val="28"/>
          <w:szCs w:val="28"/>
          <w:lang w:val="en-US" w:eastAsia="zh-CN"/>
        </w:rPr>
        <w:t>年</w:t>
      </w:r>
      <w:r>
        <w:rPr>
          <w:rFonts w:hint="eastAsia" w:ascii="宋体" w:hAnsi="宋体" w:eastAsia="宋体" w:cs="宋体"/>
          <w:color w:val="auto"/>
          <w:sz w:val="28"/>
          <w:szCs w:val="28"/>
        </w:rPr>
        <w:t>。成交供应商承诺超过磋商文件要求的，按其承诺期质保。质保期起始时间为终验合格之日。</w:t>
      </w:r>
    </w:p>
    <w:p>
      <w:pPr>
        <w:pStyle w:val="5"/>
        <w:spacing w:before="120" w:beforeLines="50" w:after="120" w:afterLines="50" w:line="360" w:lineRule="auto"/>
        <w:ind w:firstLine="0"/>
        <w:rPr>
          <w:rFonts w:hint="eastAsia" w:ascii="宋体" w:hAnsi="宋体" w:eastAsia="宋体" w:cs="宋体"/>
          <w:bCs/>
          <w:color w:val="auto"/>
          <w:sz w:val="28"/>
          <w:szCs w:val="28"/>
        </w:rPr>
      </w:pPr>
      <w:r>
        <w:rPr>
          <w:rFonts w:hint="eastAsia" w:ascii="宋体" w:hAnsi="宋体" w:eastAsia="宋体" w:cs="宋体"/>
          <w:color w:val="auto"/>
          <w:sz w:val="28"/>
          <w:szCs w:val="28"/>
        </w:rPr>
        <w:t>4.</w:t>
      </w:r>
      <w:r>
        <w:rPr>
          <w:rFonts w:hint="eastAsia" w:ascii="宋体" w:hAnsi="宋体" w:eastAsia="宋体" w:cs="宋体"/>
          <w:bCs/>
          <w:color w:val="auto"/>
          <w:sz w:val="28"/>
          <w:szCs w:val="28"/>
        </w:rPr>
        <w:t>服务要求</w:t>
      </w:r>
    </w:p>
    <w:p>
      <w:pPr>
        <w:pStyle w:val="5"/>
        <w:spacing w:line="360" w:lineRule="auto"/>
        <w:ind w:firstLine="506" w:firstLineChars="181"/>
        <w:rPr>
          <w:rFonts w:hint="eastAsia" w:ascii="宋体" w:hAnsi="宋体" w:eastAsia="宋体" w:cs="宋体"/>
          <w:bCs/>
          <w:color w:val="auto"/>
          <w:sz w:val="28"/>
          <w:szCs w:val="28"/>
        </w:rPr>
      </w:pPr>
      <w:r>
        <w:rPr>
          <w:rFonts w:hint="eastAsia" w:ascii="宋体" w:hAnsi="宋体" w:eastAsia="宋体" w:cs="宋体"/>
          <w:bCs/>
          <w:color w:val="auto"/>
          <w:sz w:val="28"/>
          <w:szCs w:val="28"/>
        </w:rPr>
        <w:t xml:space="preserve">4.1 </w:t>
      </w:r>
      <w:r>
        <w:rPr>
          <w:rFonts w:hint="eastAsia" w:ascii="宋体" w:hAnsi="宋体" w:cs="宋体"/>
          <w:bCs/>
          <w:color w:val="auto"/>
          <w:sz w:val="28"/>
          <w:szCs w:val="28"/>
          <w:lang w:val="en-US" w:eastAsia="zh-CN"/>
        </w:rPr>
        <w:t>商务</w:t>
      </w:r>
      <w:r>
        <w:rPr>
          <w:rFonts w:hint="eastAsia" w:ascii="宋体" w:hAnsi="宋体" w:eastAsia="宋体" w:cs="宋体"/>
          <w:bCs/>
          <w:color w:val="auto"/>
          <w:sz w:val="28"/>
          <w:szCs w:val="28"/>
        </w:rPr>
        <w:t>服务要求：</w:t>
      </w:r>
    </w:p>
    <w:p>
      <w:pPr>
        <w:pStyle w:val="5"/>
        <w:spacing w:line="360" w:lineRule="auto"/>
        <w:ind w:firstLine="417" w:firstLineChars="149"/>
        <w:rPr>
          <w:rFonts w:hint="default" w:ascii="宋体" w:hAnsi="宋体" w:eastAsia="宋体" w:cs="宋体"/>
          <w:bCs/>
          <w:color w:val="auto"/>
          <w:sz w:val="28"/>
          <w:szCs w:val="28"/>
          <w:lang w:val="en-US" w:eastAsia="zh-CN"/>
        </w:rPr>
      </w:pPr>
      <w:r>
        <w:rPr>
          <w:rFonts w:hint="eastAsia" w:ascii="宋体" w:hAnsi="宋体" w:eastAsia="宋体" w:cs="宋体"/>
          <w:bCs/>
          <w:color w:val="auto"/>
          <w:sz w:val="28"/>
          <w:szCs w:val="28"/>
          <w:lang w:val="en-US" w:eastAsia="zh-CN"/>
        </w:rPr>
        <w:t>成交供应商应在中标后尽快与采购人联</w:t>
      </w:r>
      <w:r>
        <w:rPr>
          <w:rFonts w:hint="eastAsia" w:ascii="宋体" w:hAnsi="宋体" w:cs="宋体"/>
          <w:bCs/>
          <w:color w:val="auto"/>
          <w:sz w:val="28"/>
          <w:szCs w:val="28"/>
          <w:lang w:val="en-US" w:eastAsia="zh-CN"/>
        </w:rPr>
        <w:t>系，签订合同并供货，保证不影响采购人正常开学使用。</w:t>
      </w:r>
    </w:p>
    <w:p>
      <w:pPr>
        <w:pStyle w:val="5"/>
        <w:spacing w:line="360" w:lineRule="auto"/>
        <w:ind w:firstLine="506" w:firstLineChars="181"/>
        <w:rPr>
          <w:rFonts w:hint="eastAsia" w:ascii="宋体" w:hAnsi="宋体" w:eastAsia="宋体" w:cs="宋体"/>
          <w:color w:val="auto"/>
          <w:sz w:val="28"/>
          <w:szCs w:val="28"/>
        </w:rPr>
      </w:pPr>
      <w:r>
        <w:rPr>
          <w:rFonts w:hint="eastAsia" w:ascii="宋体" w:hAnsi="宋体" w:eastAsia="宋体" w:cs="宋体"/>
          <w:bCs/>
          <w:color w:val="auto"/>
          <w:sz w:val="28"/>
          <w:szCs w:val="28"/>
        </w:rPr>
        <w:t>4.2</w:t>
      </w:r>
      <w:r>
        <w:rPr>
          <w:rFonts w:hint="eastAsia" w:ascii="宋体" w:hAnsi="宋体" w:eastAsia="宋体" w:cs="宋体"/>
          <w:color w:val="auto"/>
          <w:sz w:val="28"/>
          <w:szCs w:val="28"/>
        </w:rPr>
        <w:t xml:space="preserve"> 售后服务要求：</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1）</w:t>
      </w:r>
      <w:r>
        <w:rPr>
          <w:rFonts w:hint="eastAsia" w:ascii="宋体" w:hAnsi="宋体" w:eastAsia="宋体" w:cs="宋体"/>
          <w:bCs/>
          <w:color w:val="auto"/>
          <w:sz w:val="28"/>
          <w:szCs w:val="28"/>
          <w:lang w:val="en-US" w:eastAsia="zh-CN"/>
        </w:rPr>
        <w:t>成交供应商</w:t>
      </w:r>
      <w:r>
        <w:rPr>
          <w:rFonts w:hint="eastAsia" w:ascii="宋体" w:hAnsi="宋体" w:eastAsia="宋体" w:cs="宋体"/>
          <w:color w:val="auto"/>
          <w:sz w:val="28"/>
          <w:szCs w:val="28"/>
        </w:rPr>
        <w:t>对其所提供软硬件设备、材料等负责备品配件的供应,长期提供维修服务，并提供技术咨询等服务。质保期内应无偿负责的维修和替换等工作。超出质保期只收取维修所需原设备、材料成本费用。</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服务响应时限：7*24小时服务，提供售后服务电话（应具有：固定电话、移动电话、传真）。</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派专人对学校提供售后服务，并每月定期对所提供的软硬件设备、材料等进行巡检，做好巡检记录。</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维修工作时间不大于24小时，更换工作时间不大于72小时。</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5</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若</w:t>
      </w:r>
      <w:r>
        <w:rPr>
          <w:rFonts w:hint="eastAsia" w:ascii="宋体" w:hAnsi="宋体" w:eastAsia="宋体" w:cs="宋体"/>
          <w:bCs/>
          <w:color w:val="auto"/>
          <w:sz w:val="28"/>
          <w:szCs w:val="28"/>
          <w:lang w:val="en-US" w:eastAsia="zh-CN"/>
        </w:rPr>
        <w:t>成交供应商</w:t>
      </w:r>
      <w:r>
        <w:rPr>
          <w:rFonts w:hint="eastAsia" w:ascii="宋体" w:hAnsi="宋体" w:eastAsia="宋体" w:cs="宋体"/>
          <w:color w:val="auto"/>
          <w:sz w:val="28"/>
          <w:szCs w:val="28"/>
        </w:rPr>
        <w:t>未按照合同规定的售后服务要求执行，</w:t>
      </w:r>
      <w:r>
        <w:rPr>
          <w:rFonts w:hint="eastAsia" w:ascii="宋体" w:hAnsi="宋体" w:eastAsia="宋体" w:cs="宋体"/>
          <w:color w:val="auto"/>
          <w:sz w:val="28"/>
          <w:szCs w:val="28"/>
          <w:lang w:val="en-US" w:eastAsia="zh-CN"/>
        </w:rPr>
        <w:t>学校</w:t>
      </w:r>
      <w:r>
        <w:rPr>
          <w:rFonts w:hint="eastAsia" w:ascii="宋体" w:hAnsi="宋体" w:eastAsia="宋体" w:cs="宋体"/>
          <w:color w:val="auto"/>
          <w:sz w:val="28"/>
          <w:szCs w:val="28"/>
        </w:rPr>
        <w:t>有权自行选择第三方进行维护和修理，所产生的费用将从质保金中扣除。</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lang w:eastAsia="zh-CN"/>
        </w:rPr>
        <w:t>）</w:t>
      </w:r>
      <w:r>
        <w:rPr>
          <w:rFonts w:hint="eastAsia" w:ascii="宋体" w:hAnsi="宋体" w:eastAsia="宋体" w:cs="宋体"/>
          <w:bCs/>
          <w:color w:val="auto"/>
          <w:sz w:val="28"/>
          <w:szCs w:val="28"/>
          <w:lang w:val="en-US" w:eastAsia="zh-CN"/>
        </w:rPr>
        <w:t>成交供应商</w:t>
      </w:r>
      <w:r>
        <w:rPr>
          <w:rFonts w:hint="eastAsia" w:ascii="宋体" w:hAnsi="宋体" w:eastAsia="宋体" w:cs="宋体"/>
          <w:color w:val="auto"/>
          <w:sz w:val="28"/>
          <w:szCs w:val="28"/>
        </w:rPr>
        <w:t>应无偿对学校指定人员在现场进行维护、使用说明的培训，使用</w:t>
      </w:r>
      <w:r>
        <w:rPr>
          <w:rFonts w:hint="eastAsia" w:ascii="宋体" w:hAnsi="宋体" w:eastAsia="宋体" w:cs="宋体"/>
          <w:color w:val="auto"/>
          <w:sz w:val="28"/>
          <w:szCs w:val="28"/>
          <w:lang w:val="en-US" w:eastAsia="zh-CN"/>
        </w:rPr>
        <w:t>学校</w:t>
      </w:r>
      <w:r>
        <w:rPr>
          <w:rFonts w:hint="eastAsia" w:ascii="宋体" w:hAnsi="宋体" w:eastAsia="宋体" w:cs="宋体"/>
          <w:color w:val="auto"/>
          <w:sz w:val="28"/>
          <w:szCs w:val="28"/>
        </w:rPr>
        <w:t>够完成现场日常操作，技术人员能完成系统维护工作，并制作维护使用手册。</w:t>
      </w:r>
    </w:p>
    <w:p>
      <w:pPr>
        <w:pStyle w:val="5"/>
        <w:spacing w:line="360" w:lineRule="auto"/>
        <w:ind w:firstLineChars="200"/>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6</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在保修期内更换系统中部件（包括软件和硬件），其保修期应相应延长。</w:t>
      </w:r>
    </w:p>
    <w:p>
      <w:pPr>
        <w:pStyle w:val="5"/>
        <w:spacing w:line="360" w:lineRule="auto"/>
        <w:ind w:firstLineChars="200"/>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7</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质保期：3年</w:t>
      </w:r>
      <w:r>
        <w:rPr>
          <w:rFonts w:hint="eastAsia" w:ascii="宋体" w:hAnsi="宋体" w:eastAsia="宋体" w:cs="宋体"/>
          <w:color w:val="auto"/>
          <w:sz w:val="28"/>
          <w:szCs w:val="28"/>
          <w:lang w:eastAsia="zh-CN"/>
        </w:rPr>
        <w:t>。</w:t>
      </w:r>
    </w:p>
    <w:p>
      <w:pPr>
        <w:spacing w:line="360" w:lineRule="auto"/>
        <w:ind w:firstLine="560" w:firstLineChars="20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5.其他</w:t>
      </w:r>
    </w:p>
    <w:p>
      <w:pPr>
        <w:pStyle w:val="5"/>
        <w:spacing w:line="360" w:lineRule="auto"/>
        <w:ind w:firstLineChars="200"/>
        <w:rPr>
          <w:rFonts w:hint="eastAsia" w:ascii="宋体" w:hAnsi="宋体" w:eastAsia="宋体" w:cs="宋体"/>
          <w:color w:val="auto"/>
          <w:kern w:val="0"/>
          <w:sz w:val="28"/>
          <w:szCs w:val="28"/>
        </w:rPr>
      </w:pPr>
      <w:r>
        <w:rPr>
          <w:rFonts w:hint="eastAsia" w:ascii="宋体" w:hAnsi="宋体" w:cs="宋体"/>
          <w:color w:val="auto"/>
          <w:kern w:val="0"/>
          <w:sz w:val="28"/>
          <w:szCs w:val="28"/>
          <w:lang w:val="en-US" w:eastAsia="zh-CN"/>
        </w:rPr>
        <w:t>本项目所有的</w:t>
      </w:r>
      <w:r>
        <w:rPr>
          <w:rFonts w:hint="eastAsia" w:ascii="宋体" w:hAnsi="宋体" w:eastAsia="宋体" w:cs="宋体"/>
          <w:color w:val="auto"/>
          <w:kern w:val="0"/>
          <w:sz w:val="28"/>
          <w:szCs w:val="28"/>
        </w:rPr>
        <w:t>采购标的对应的中小企业划分标准所属行业为</w:t>
      </w:r>
      <w:r>
        <w:rPr>
          <w:rFonts w:hint="eastAsia" w:ascii="宋体" w:hAnsi="宋体" w:eastAsia="宋体" w:cs="宋体"/>
          <w:b/>
          <w:bCs/>
          <w:color w:val="auto"/>
          <w:kern w:val="0"/>
          <w:sz w:val="28"/>
          <w:szCs w:val="28"/>
        </w:rPr>
        <w:t>工业</w:t>
      </w:r>
      <w:r>
        <w:rPr>
          <w:rFonts w:hint="eastAsia" w:ascii="宋体" w:hAnsi="宋体" w:eastAsia="宋体" w:cs="宋体"/>
          <w:color w:val="auto"/>
          <w:kern w:val="0"/>
          <w:sz w:val="28"/>
          <w:szCs w:val="28"/>
        </w:rPr>
        <w:t>。</w:t>
      </w:r>
    </w:p>
    <w:p>
      <w:pPr>
        <w:pStyle w:val="5"/>
        <w:spacing w:line="360" w:lineRule="auto"/>
        <w:ind w:firstLineChars="20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w:t>
      </w:r>
      <w:bookmarkStart w:id="58" w:name="_GoBack"/>
      <w:bookmarkEnd w:id="58"/>
      <w:r>
        <w:rPr>
          <w:rFonts w:hint="eastAsia" w:ascii="宋体" w:hAnsi="宋体" w:eastAsia="宋体" w:cs="宋体"/>
          <w:color w:val="auto"/>
          <w:kern w:val="0"/>
          <w:sz w:val="28"/>
          <w:szCs w:val="28"/>
        </w:rPr>
        <w:t>下的为微型企业。</w:t>
      </w:r>
      <w:r>
        <w:rPr>
          <w:rFonts w:hint="eastAsia" w:ascii="宋体" w:hAnsi="宋体" w:eastAsia="宋体" w:cs="宋体"/>
          <w:color w:val="auto"/>
          <w:kern w:val="0"/>
          <w:sz w:val="28"/>
          <w:szCs w:val="28"/>
        </w:rPr>
        <w:br w:type="page"/>
      </w:r>
    </w:p>
    <w:tbl>
      <w:tblPr>
        <w:tblStyle w:val="15"/>
        <w:tblpPr w:leftFromText="180" w:rightFromText="180" w:vertAnchor="text" w:horzAnchor="page" w:tblpX="1501" w:tblpY="259"/>
        <w:tblOverlap w:val="never"/>
        <w:tblW w:w="8980" w:type="dxa"/>
        <w:tblInd w:w="0" w:type="dxa"/>
        <w:tblLayout w:type="autofit"/>
        <w:tblCellMar>
          <w:top w:w="0" w:type="dxa"/>
          <w:left w:w="108" w:type="dxa"/>
          <w:bottom w:w="0" w:type="dxa"/>
          <w:right w:w="108" w:type="dxa"/>
        </w:tblCellMar>
      </w:tblPr>
      <w:tblGrid>
        <w:gridCol w:w="661"/>
        <w:gridCol w:w="1694"/>
        <w:gridCol w:w="549"/>
        <w:gridCol w:w="549"/>
        <w:gridCol w:w="5527"/>
      </w:tblGrid>
      <w:tr>
        <w:tblPrEx>
          <w:tblCellMar>
            <w:top w:w="0" w:type="dxa"/>
            <w:left w:w="108" w:type="dxa"/>
            <w:bottom w:w="0" w:type="dxa"/>
            <w:right w:w="108" w:type="dxa"/>
          </w:tblCellMar>
        </w:tblPrEx>
        <w:trPr>
          <w:trHeight w:val="739" w:hRule="atLeast"/>
        </w:trPr>
        <w:tc>
          <w:tcPr>
            <w:tcW w:w="898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bookmarkStart w:id="28" w:name="_Toc38801712"/>
            <w:bookmarkStart w:id="29" w:name="_Toc43393737"/>
            <w:r>
              <w:rPr>
                <w:rFonts w:hint="eastAsia" w:ascii="宋体" w:hAnsi="宋体" w:eastAsia="宋体" w:cs="宋体"/>
                <w:b/>
                <w:color w:val="000000"/>
                <w:sz w:val="21"/>
                <w:szCs w:val="21"/>
              </w:rPr>
              <w:t>小学科学试验箱</w:t>
            </w:r>
          </w:p>
        </w:tc>
      </w:tr>
      <w:tr>
        <w:tblPrEx>
          <w:tblCellMar>
            <w:top w:w="0" w:type="dxa"/>
            <w:left w:w="108" w:type="dxa"/>
            <w:bottom w:w="0" w:type="dxa"/>
            <w:right w:w="108" w:type="dxa"/>
          </w:tblCellMar>
        </w:tblPrEx>
        <w:trPr>
          <w:trHeight w:val="739"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1694"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设备名称</w:t>
            </w:r>
          </w:p>
        </w:tc>
        <w:tc>
          <w:tcPr>
            <w:tcW w:w="549"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数量</w:t>
            </w:r>
          </w:p>
        </w:tc>
        <w:tc>
          <w:tcPr>
            <w:tcW w:w="549"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单位</w:t>
            </w:r>
          </w:p>
        </w:tc>
        <w:tc>
          <w:tcPr>
            <w:tcW w:w="5527"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参数性能</w:t>
            </w:r>
          </w:p>
        </w:tc>
      </w:tr>
      <w:tr>
        <w:tblPrEx>
          <w:tblCellMar>
            <w:top w:w="0" w:type="dxa"/>
            <w:left w:w="108" w:type="dxa"/>
            <w:bottom w:w="0" w:type="dxa"/>
            <w:right w:w="108" w:type="dxa"/>
          </w:tblCellMar>
        </w:tblPrEx>
        <w:trPr>
          <w:trHeight w:val="3262"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694"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一年级上册第一单元 --走近科学(sj)</w:t>
            </w:r>
          </w:p>
        </w:tc>
        <w:tc>
          <w:tcPr>
            <w:tcW w:w="549"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single" w:color="auto" w:sz="4" w:space="0"/>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包含：滚小球支架-底座、滚小球斜坡、毛巾、塑料罐 、塑料瓶、量筒、滚小球支架-支撑杆、柱卡扣、纤维棒、塑料球、不锈钢球、双头铅笔延长杆、铅笔节能套、短铅笔、铅笔延长器、吸管、透明胶带、安全剪刀、橡皮筋、色素-蓝，满足学生实验需求。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一年级上册第二单元--用感官观察(sj)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包含：水果叉、眼罩、蜡烛、火柴、品尝杯、菊花茶罐 、红茶罐、绿茶罐、带灯放大镜、简易显微镜、听诊器、闻香盒，满足学生实验需求。</w:t>
            </w:r>
          </w:p>
        </w:tc>
      </w:tr>
      <w:tr>
        <w:tblPrEx>
          <w:tblCellMar>
            <w:top w:w="0" w:type="dxa"/>
            <w:left w:w="108" w:type="dxa"/>
            <w:bottom w:w="0" w:type="dxa"/>
            <w:right w:w="108" w:type="dxa"/>
          </w:tblCellMar>
        </w:tblPrEx>
        <w:trPr>
          <w:trHeight w:val="25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一年级上册第三单元--用大脑思考(sj)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包含：碰碰球、暗盒、玻璃球、泡沫块 ，满足学生实验需求。</w:t>
            </w:r>
          </w:p>
        </w:tc>
      </w:tr>
      <w:tr>
        <w:tblPrEx>
          <w:tblCellMar>
            <w:top w:w="0" w:type="dxa"/>
            <w:left w:w="108" w:type="dxa"/>
            <w:bottom w:w="0" w:type="dxa"/>
            <w:right w:w="108" w:type="dxa"/>
          </w:tblCellMar>
        </w:tblPrEx>
        <w:trPr>
          <w:trHeight w:val="272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一年级上册第四单元--用双手创造(sj)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大米塑料罐、研钵、擀面杖、吸管1、吸管2、木棒、双面胶、安全剪刀、气球、透明胶带、车轮、车轴、鹅卵石、贝壳、纽扣、螺母、木块、玻璃球、回形针、纸盒、塑料小车车身、衣食住行卡片盒、衣食住行卡片，满足学生实验需求。</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一年级下册第一单元--石头与泥土(sj)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白石子、青石子、木纹石、绿玉石、机制黄大粒、鸡血沙大粒、黑工沙大粒、橡皮筋、带灯放大镜、大头针、大头针、塑料盘、泥土罐、筛子5目、筛子20目、筛子80目、培养皿、河沙罐、水的净化底座、水的净化材料桶、水的净化连接件、塑料瓶、铝箔，满足学生实验需求。</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一年级下册第二单元--水(sj)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塑料杯、五角星瓶、圆形瓶、方形瓶、锥形瓶、小水轮叶片、小水轮中间件、柱卡扣、小铁架台固定块-长、纤维棒、小铁架台固定块-紧锁螺丝、反冲不锈钢支柱、元宝螺母、硅胶管、导管夹、玻璃滴管、不锈钢药勺、搅拌棒、滤纸、盐、红糖、沙子、面粉、圆形水槽、水轮架、小铁架台底板，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一年级下册第三单元--空气(sj)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包含：保鲜袋、马夹袋、粉笔、砖块、石子、泡沫、玻璃球、塑料瓶、长条气球、螺旋气球、圆形气球、心形气球、带灯放大镜、脚踏打气筒，满足学生实验需求。</w:t>
            </w:r>
          </w:p>
        </w:tc>
      </w:tr>
      <w:tr>
        <w:tblPrEx>
          <w:tblCellMar>
            <w:top w:w="0" w:type="dxa"/>
            <w:left w:w="108" w:type="dxa"/>
            <w:bottom w:w="0" w:type="dxa"/>
            <w:right w:w="108" w:type="dxa"/>
          </w:tblCellMar>
        </w:tblPrEx>
        <w:trPr>
          <w:trHeight w:val="25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一年级下册第四单元--动物与植物(sj)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包含：蜡笔、皮尺、动物分类卡片、动物卡片、动物局部图卡、动物图卡，满足学生实验需求。</w:t>
            </w:r>
          </w:p>
        </w:tc>
      </w:tr>
      <w:tr>
        <w:tblPrEx>
          <w:tblCellMar>
            <w:top w:w="0" w:type="dxa"/>
            <w:left w:w="108" w:type="dxa"/>
            <w:bottom w:w="0" w:type="dxa"/>
            <w:right w:w="108" w:type="dxa"/>
          </w:tblCellMar>
        </w:tblPrEx>
        <w:trPr>
          <w:trHeight w:val="25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二年级上册第一单元--关心天气(sj)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包含：天气符号卡片、蜡笔、纸花、喷瓶、盐、24节气卡片，满足学生实验需求。</w:t>
            </w:r>
          </w:p>
        </w:tc>
      </w:tr>
      <w:tr>
        <w:tblPrEx>
          <w:tblCellMar>
            <w:top w:w="0" w:type="dxa"/>
            <w:left w:w="108" w:type="dxa"/>
            <w:bottom w:w="0" w:type="dxa"/>
            <w:right w:w="108" w:type="dxa"/>
          </w:tblCellMar>
        </w:tblPrEx>
        <w:trPr>
          <w:trHeight w:val="25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二年级上册第二单元--天空中的星体(sj)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包含：单筒伸缩望远镜、教学激光笔、星空投影、月相观察底板、月相观察转子、塑料瓶、黑色自封袋，满足学生实验需求。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二年级上册第三单元--用力以后(sj)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包含：儿童拉力器、橡皮筋、铁丝、橡皮、海绵、气球、滑块盒、轮胎、轮毂、小车-纤维棒、吸管、乒乓球、钩码、吸管、底板、面板、挂钩，满足学生实验需求。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二年级上册第四单元--奇妙的光(sj)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包含：电筒、垫纸板、塑料杯、风向标、硫酸纸、保鲜袋、木块、红色玻璃板、黄色玻璃板、蓝色玻璃板、玻璃纸、安全剪刀、透明胶、双面胶、纸盒，满足学生实验需求。</w:t>
            </w:r>
          </w:p>
        </w:tc>
      </w:tr>
      <w:tr>
        <w:tblPrEx>
          <w:tblCellMar>
            <w:top w:w="0" w:type="dxa"/>
            <w:left w:w="108" w:type="dxa"/>
            <w:bottom w:w="0" w:type="dxa"/>
            <w:right w:w="108" w:type="dxa"/>
          </w:tblCellMar>
        </w:tblPrEx>
        <w:trPr>
          <w:trHeight w:val="2386"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二年级下册第一单元--它们是用什么做的(sj)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包含：陶瓷片、玻璃片、石子、布片、木板、纸片、塑料片、铁片、塑料杯、不锈钢杯、木杯、玻璃杯、陶瓷杯、一次性纸杯、纸杯托、蜡烛，满足学生实验需求。</w:t>
            </w:r>
          </w:p>
        </w:tc>
      </w:tr>
      <w:tr>
        <w:tblPrEx>
          <w:tblCellMar>
            <w:top w:w="0" w:type="dxa"/>
            <w:left w:w="108" w:type="dxa"/>
            <w:bottom w:w="0" w:type="dxa"/>
            <w:right w:w="108" w:type="dxa"/>
          </w:tblCellMar>
        </w:tblPrEx>
        <w:trPr>
          <w:trHeight w:val="326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二年级下册第二单元--玩磁铁(sj)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曲别针、燕尾夹、钥匙、铃铛、铝盒、铁珠、铁钉、直尺、缝衣针、泡沫球、木块、磁环立柱、原木棒、大头针、组合指南针、指南针、圆柱形磁铁、条形磁铁、U型磁铁、、环形磁铁、磁环底座、旋转支架、旋转托架、方形水槽，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二年级下册第三单元--土壤与生命(sj)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包含：塑料薄片、黑卡纸、自吸水花盆、水培装置、带灯放大镜、蚂蚁饲养观察装置、塑料瓶、植物油、塑料试管、胶头滴管、安全剪刀、透明胶、双面胶、园艺工具，满足学生实验需求。</w:t>
            </w:r>
          </w:p>
        </w:tc>
      </w:tr>
      <w:tr>
        <w:tblPrEx>
          <w:tblCellMar>
            <w:top w:w="0" w:type="dxa"/>
            <w:left w:w="108" w:type="dxa"/>
            <w:bottom w:w="0" w:type="dxa"/>
            <w:right w:w="108" w:type="dxa"/>
          </w:tblCellMar>
        </w:tblPrEx>
        <w:trPr>
          <w:trHeight w:val="394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二年级下册第四单元--打开工具箱(sj)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一字螺丝刀、十字螺丝刀、扳手、羊角锤、铁钉、老虎钳、不锈钢直尺、三角梁、十字沉头螺丝、一字沉头螺丝、十字盘头螺丝、一字盘头螺丝、外六角法兰面螺丝、外六角法兰面螺丝、外六角十字螺丝、木板木条盒、木板1、木板2、、木条60、木条100、木条110、木条120、木条126、螺丝、木条、钢锯，满足学生实验需求。</w:t>
            </w:r>
          </w:p>
        </w:tc>
      </w:tr>
      <w:tr>
        <w:tblPrEx>
          <w:tblCellMar>
            <w:top w:w="0" w:type="dxa"/>
            <w:left w:w="108" w:type="dxa"/>
            <w:bottom w:w="0" w:type="dxa"/>
            <w:right w:w="108" w:type="dxa"/>
          </w:tblCellMar>
        </w:tblPrEx>
        <w:trPr>
          <w:trHeight w:val="306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三级上册第一单元-认识空气（sj）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配置及用材:粉笔，塑料杯，注射器，橡皮泥，塑料瓶，漏斗，平衡尺，脚踏打气筒，电子秤，小铁架台底板，篮球，集气瓶，风的形成实验盒，保鲜袋，塑料盒，硅胶塞，平衡刻度盘，天平刀口，滑块短，纤维棒，小铁架台支柱，气球自封袋，线绳，橡皮擦，粉笔，蜡烛，纸蛇袋，火柴，线香，通风管，蜡烛底座，毛玻璃片，电池，塑，水槽</w:t>
            </w:r>
            <w:r>
              <w:rPr>
                <w:rFonts w:hint="eastAsia" w:ascii="宋体" w:hAnsi="宋体" w:eastAsia="宋体" w:cs="宋体"/>
                <w:color w:val="000000"/>
                <w:sz w:val="21"/>
                <w:szCs w:val="21"/>
                <w:lang w:val="en-US" w:eastAsia="zh-CN"/>
              </w:rPr>
              <w:t>等</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三级上册第二单元-研究土壤（sj）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主要配置及用材:纸巾，放大镜，铲子，塑料烧杯，塑料罐，沙质土，黏质土，壤土，水的净化底座，水的净化材料筒，水的净化连接件，自封袋，塑料盘，浇花花洒头，塑料瓶</w:t>
            </w:r>
            <w:r>
              <w:rPr>
                <w:rFonts w:hint="eastAsia" w:ascii="宋体" w:hAnsi="宋体" w:eastAsia="宋体" w:cs="宋体"/>
                <w:color w:val="000000"/>
                <w:sz w:val="21"/>
                <w:szCs w:val="21"/>
                <w:lang w:val="en-US" w:eastAsia="zh-CN"/>
              </w:rPr>
              <w:t>等</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三级上册第三单元-固体和液体（sj）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配置及用材:纱巾，面粉，食盐，羽毛，自封袋，塑料烧杯，塑料盒，玩偶1，玩偶2，羊角锤，安全剪刀，安全水果刀，蜡烛，牙签，水平泡，棉球，搅拌棒，药匙，粉笔，食用油，蜂蜜，量筒，塑料瓶，黄豆，玉米粉，绿豆，木屑，铁屑，红糖，沙子，培养皿，水的净化底座，水的净化材料筒，水的净化连接件</w:t>
            </w:r>
            <w:r>
              <w:rPr>
                <w:rFonts w:hint="eastAsia" w:ascii="宋体" w:hAnsi="宋体" w:eastAsia="宋体" w:cs="宋体"/>
                <w:color w:val="000000"/>
                <w:sz w:val="21"/>
                <w:szCs w:val="21"/>
                <w:lang w:val="en-US" w:eastAsia="zh-CN"/>
              </w:rPr>
              <w:t>等</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三级上册第四单元-地球上的水资源（sj）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配置及用材:塑料盘，塑料烧杯，浇花花洒头，塑料瓶，陶泥，仿真植物，仿真松针，仿真小佛座莲，水的净化底座，水的净化材料筒，水的净化连接件，混彩石子，混彩石子，沙子罐，沙子，食盐，塑料盆，塑料杯，石头，棉球，胶头滴管，不锈钢勺，搅拌棒，药匙，蒸发皿，保鲜膜，标签，注射器</w:t>
            </w:r>
            <w:r>
              <w:rPr>
                <w:rFonts w:hint="eastAsia" w:ascii="宋体" w:hAnsi="宋体" w:eastAsia="宋体" w:cs="宋体"/>
                <w:color w:val="000000"/>
                <w:sz w:val="21"/>
                <w:szCs w:val="21"/>
                <w:lang w:val="en-US" w:eastAsia="zh-CN"/>
              </w:rPr>
              <w:t>等</w:t>
            </w:r>
          </w:p>
        </w:tc>
      </w:tr>
      <w:tr>
        <w:tblPrEx>
          <w:tblCellMar>
            <w:top w:w="0" w:type="dxa"/>
            <w:left w:w="108" w:type="dxa"/>
            <w:bottom w:w="0" w:type="dxa"/>
            <w:right w:w="108" w:type="dxa"/>
          </w:tblCellMar>
        </w:tblPrEx>
        <w:trPr>
          <w:trHeight w:val="272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三级上册第五单元-人的呼吸和消化（sj）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配置及用材:人体躯干模型，平口袋，自封袋，肺活量测试仪，塑料瓶，图卡袋，自封袋，呼吸器官图卡，食物旅行图卡，消化系统围裙，碘酒，食物卡片盒，食物卡片，皂基，塑料罐，硅胶模具，蜂蜜，精油，干花，色素(红色),色素（蓝色），一次性吹嘴，弯头吸管，滴管，电池9V，电源适配器</w:t>
            </w:r>
            <w:r>
              <w:rPr>
                <w:rFonts w:hint="eastAsia" w:ascii="宋体" w:hAnsi="宋体" w:eastAsia="宋体" w:cs="宋体"/>
                <w:color w:val="000000"/>
                <w:sz w:val="21"/>
                <w:szCs w:val="21"/>
                <w:lang w:val="en-US" w:eastAsia="zh-CN"/>
              </w:rPr>
              <w:t>等</w:t>
            </w:r>
          </w:p>
        </w:tc>
      </w:tr>
      <w:tr>
        <w:tblPrEx>
          <w:tblCellMar>
            <w:top w:w="0" w:type="dxa"/>
            <w:left w:w="108" w:type="dxa"/>
            <w:bottom w:w="0" w:type="dxa"/>
            <w:right w:w="108" w:type="dxa"/>
          </w:tblCellMar>
        </w:tblPrEx>
        <w:trPr>
          <w:trHeight w:val="326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22</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三年级下册第一单元-植物的一生(SJ)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番茄种子，黄瓜种子，冬瓜种子，自吸水花盆，园艺工具，浇花花洒头，蚕豆，苹果种子，红松种子，红枣种子，不锈钢勺子，塑料罐，塑料尺，吸水纸，塑料试管，平底烧瓶，美工刀，食用色素-红色，镊子等实验器材，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23</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三年级下册第二单元-植物与环境(SJ)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包含：带灯放大镜，不锈钢勺子，塑料碟，湿巾，蜡纸，牙签，自吸水花盆，美工刀，防水布，手持简易显微镜，碗莲种子，青苔标本，卷柏等实验器材，满足学生实验需求。</w:t>
            </w:r>
          </w:p>
        </w:tc>
      </w:tr>
      <w:tr>
        <w:tblPrEx>
          <w:tblCellMar>
            <w:top w:w="0" w:type="dxa"/>
            <w:left w:w="108" w:type="dxa"/>
            <w:bottom w:w="0" w:type="dxa"/>
            <w:right w:w="108" w:type="dxa"/>
          </w:tblCellMar>
        </w:tblPrEx>
        <w:trPr>
          <w:trHeight w:val="394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24</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三年级下册第三单元-声音的奥秘(SJ)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保鲜袋，塑料尺，安全剪刀，透明胶，硫酸纸，气球，线绳，塑料试管，音钹，小鼓，音叉256hz，音叉512hz，音叉座，鼓槌，两用气筒，真空装置，手机防水袋，铁架台底板，铁架台支柱，短滑块，纤维棒，纸屏架，泡沫小球，鼓膜振动模拟装置，共鸣盒，钢片琴，钢片琴架，三角铁，玻璃杯，风铃管等实验器材，满足学生实验需求。</w:t>
            </w:r>
          </w:p>
        </w:tc>
      </w:tr>
      <w:tr>
        <w:tblPrEx>
          <w:tblCellMar>
            <w:top w:w="0" w:type="dxa"/>
            <w:left w:w="108" w:type="dxa"/>
            <w:bottom w:w="0" w:type="dxa"/>
            <w:right w:w="108" w:type="dxa"/>
          </w:tblCellMar>
        </w:tblPrEx>
        <w:trPr>
          <w:trHeight w:val="272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三年级下册第四单元-身边的材料(SJ)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棉花，腈纶棉，木板，复合板，打印纸，蜡光纸，牛皮纸，皱纹纸，胶头滴管，食用色素-红，砂纸，铜棒，铁棒，铝棒，铜丝，铁丝，铝丝，羊角锤，铜片，铁片，铝片，铜柱体，铁柱体，铝柱体，托盘天平，砝码，塑料尺，不锈钢尺，塑料袋，纸袋，塑料碗，瓷碗，羊毛线，塑料绳等实验器材，满足学生实验需求。</w:t>
            </w:r>
          </w:p>
        </w:tc>
      </w:tr>
      <w:tr>
        <w:tblPrEx>
          <w:tblCellMar>
            <w:top w:w="0" w:type="dxa"/>
            <w:left w:w="108" w:type="dxa"/>
            <w:bottom w:w="0" w:type="dxa"/>
            <w:right w:w="108" w:type="dxa"/>
          </w:tblCellMar>
        </w:tblPrEx>
        <w:trPr>
          <w:trHeight w:val="25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三年级下册第五单元-观测天气(SJ)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包含：气温计，塑料瓶，安全剪刀，雨量器，纸标尺，风向标，风力计，冰格，食盐等实验器材，满足学生实验需求。</w:t>
            </w:r>
          </w:p>
        </w:tc>
      </w:tr>
      <w:tr>
        <w:tblPrEx>
          <w:tblCellMar>
            <w:top w:w="0" w:type="dxa"/>
            <w:left w:w="108" w:type="dxa"/>
            <w:bottom w:w="0" w:type="dxa"/>
            <w:right w:w="108" w:type="dxa"/>
          </w:tblCellMar>
        </w:tblPrEx>
        <w:trPr>
          <w:trHeight w:val="326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27</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四年级上册第一单元-动物大家族(SJ)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包含：带灯放大镜，人体骨骼结构，线轴，圆木片，线绳，安全剪刀，透明胶带，水槽/鱼缸，食用色素-红，胶头滴管，鸽子羽毛，塑料烧杯，猪油，保鲜袋，橡皮筋等实验器材，满足学生实验需求。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四年级上册第二单元-物体的运动(SJ)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包含：陀螺，风车，塑料尺，线绳，1号电池，小水轮，燕尾夹，彩色橡胶圈，橡胶塞，钩码，竹蜻蜓，软式飞盘，计时器，卷尺等实验器材，满足学生实验需求。</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29</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四年级上册第三单元-常见的力(SJ)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手抛降落伞，小车，重力筒，线绳，支杆定滑轮和桌边夹组，钩码，条形磁铁，小钢珠，直轨道，橡皮筋，钢尺，弹簧，泡沫块，握力器，儿童拉力器，拉簧，面板，挂钩，弹簧测力计，气球，弹力球，滑块-木，砂纸，橡皮泥，石块，试剂瓶，电子秤，塑料球，沙子，垫圈，纸船等实验器材，满足学生实验需求。</w:t>
            </w:r>
          </w:p>
        </w:tc>
      </w:tr>
      <w:tr>
        <w:tblPrEx>
          <w:tblCellMar>
            <w:top w:w="0" w:type="dxa"/>
            <w:left w:w="108" w:type="dxa"/>
            <w:bottom w:w="0" w:type="dxa"/>
            <w:right w:w="108" w:type="dxa"/>
          </w:tblCellMar>
        </w:tblPrEx>
        <w:trPr>
          <w:trHeight w:val="4280"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四年级上册第四单元-简单电路(SJ)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老式手电筒，一号电池，小灯泡，导线(双头U型插)，导线(香蕉插)，鳄鱼夹导线，小电机，蜂鸣器，灯座，铁钉，玻璃片，香蕉鳄鱼插头，透明电珠底座，导线(两头剥线)，锌片，铜片，导线(两头鳄鱼夹)，一元硬币，电池，回形针，图钉，木板，1号电池盒，牙签，铅笔芯，塑料尺，橡皮，瓷勺，木筷，药匙，电源盒，电珠盒，单刀单掷开关，双夹盒，电路暗盒，人体导电，塑料烧杯，食盐，led等实验器材，满足学生实验需求。</w:t>
            </w:r>
          </w:p>
        </w:tc>
      </w:tr>
      <w:tr>
        <w:tblPrEx>
          <w:tblCellMar>
            <w:top w:w="0" w:type="dxa"/>
            <w:left w:w="108" w:type="dxa"/>
            <w:bottom w:w="0" w:type="dxa"/>
            <w:right w:w="108" w:type="dxa"/>
          </w:tblCellMar>
        </w:tblPrEx>
        <w:trPr>
          <w:trHeight w:val="360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31</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四年级上册第五单元-岩石与矿物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四年级上册专项学习-像工程师那样(SJ)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15种常见岩石标本，带灯放大镜，塑料烧杯，胶头滴管，铁钉，15种常见矿石标本，铜钥匙，玻璃片，石膏粉，玻璃棒，led，铜箔胶带，电烙铁套装，双面胶，彩色绝缘胶带，纽扣电池，纽扣电池盒，透明硅胶管，发光手环，彩色魔术贴等实验器材，满足学生实验需求。</w:t>
            </w:r>
          </w:p>
        </w:tc>
      </w:tr>
      <w:tr>
        <w:tblPrEx>
          <w:tblCellMar>
            <w:top w:w="0" w:type="dxa"/>
            <w:left w:w="108" w:type="dxa"/>
            <w:bottom w:w="0" w:type="dxa"/>
            <w:right w:w="108" w:type="dxa"/>
          </w:tblCellMar>
        </w:tblPrEx>
        <w:trPr>
          <w:trHeight w:val="326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四年级下册第一单元-冷和热(SJ)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烧杯，红水温度计，铁架台底板，铁架台支柱，滑块-短，紧缩螺丝，线绳，安全剪刀，铁架台托盘，石棉网，锥形瓶，硅胶塞，导管，气球，铜球，铜环，不锈钢酒精灯，乒乓球，冰格，试管夹，玻璃试管等实验器材，满足学生实验需求。</w:t>
            </w:r>
          </w:p>
        </w:tc>
      </w:tr>
      <w:tr>
        <w:tblPrEx>
          <w:tblCellMar>
            <w:top w:w="0" w:type="dxa"/>
            <w:left w:w="108" w:type="dxa"/>
            <w:bottom w:w="0" w:type="dxa"/>
            <w:right w:w="108" w:type="dxa"/>
          </w:tblCellMar>
        </w:tblPrEx>
        <w:trPr>
          <w:trHeight w:val="2386"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33</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四年级下册第二单元-地球、月球与太阳(SJ)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充气地球仪，气筒，小帆船，彩笔，吸盘记号旗，正圆气球，沙子，塑料盘，手电筒，月相模拟观察装置，石子，橡胶球，铝箔纸，太阳高度测量器，底座，纤维棒，不锈钢指南针，陆地板块纸，月相形状图卡，月相记录图表-黑，月相记录图表-白，月相图卡，日影模拟图卡，地平日晷白卡纸等实验器材，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34</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四年级下册第三单元-昆虫(SJ)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包含：儿童安全热熔胶枪，热熔胶棒，开心果果壳，细树枝，蚕饲养盒，温度计，鹅毛，结茧网，清理网，镊子，方格纸，蚕的一生标本，塑料罐等实验器材，满足学生实验需求。</w:t>
            </w:r>
          </w:p>
        </w:tc>
      </w:tr>
      <w:tr>
        <w:tblPrEx>
          <w:tblCellMar>
            <w:top w:w="0" w:type="dxa"/>
            <w:left w:w="108" w:type="dxa"/>
            <w:bottom w:w="0" w:type="dxa"/>
            <w:right w:w="108" w:type="dxa"/>
          </w:tblCellMar>
        </w:tblPrEx>
        <w:trPr>
          <w:trHeight w:val="29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35</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四年级下册第四单元-繁殖(SJ)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包含：蚕豆，玉米，带灯放大镜，镊子，玉米发芽过程标本，塑料杯，纱布，生瓜子，塑料盒，花洒头，塑料尺，自吸水花盆，小鸡孵化过程图卡等实验器材，满足学生实验需求。</w:t>
            </w:r>
          </w:p>
        </w:tc>
      </w:tr>
      <w:tr>
        <w:tblPrEx>
          <w:tblCellMar>
            <w:top w:w="0" w:type="dxa"/>
            <w:left w:w="108" w:type="dxa"/>
            <w:bottom w:w="0" w:type="dxa"/>
            <w:right w:w="108" w:type="dxa"/>
          </w:tblCellMar>
        </w:tblPrEx>
        <w:trPr>
          <w:trHeight w:val="326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36</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四年级下册第五单元-生物与环境(SJ)</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细树枝，原色麻绳，白醋，黑卡纸，保鲜膜，铝片温度计，小苏打，锥形瓶，硅胶塞，硅胶管，玻璃杯，铁架台底板，铁架台支柱，纤维棒，线绳，安全剪刀，紧缩螺丝，滑块-短，计时器等实验器材，满足学生实验需求。</w:t>
            </w:r>
          </w:p>
        </w:tc>
      </w:tr>
      <w:tr>
        <w:tblPrEx>
          <w:tblCellMar>
            <w:top w:w="0" w:type="dxa"/>
            <w:left w:w="108" w:type="dxa"/>
            <w:bottom w:w="0" w:type="dxa"/>
            <w:right w:w="108" w:type="dxa"/>
          </w:tblCellMar>
        </w:tblPrEx>
        <w:trPr>
          <w:trHeight w:val="274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37</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五年级上册第一单元-光</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手电筒、燕尾夹、白卡纸-孔、白卡纸、仿真苹果、透明玻璃板、打印纸、激光笔、塑料盒、檀香、盘香架、火柴、木棒、小鱼模型、三棱镜、棉线、安全剪刀、陀螺、牛顿盘卡纸、彩笔、黑卡纸、平面镜1、纸盒子、潜望镜、平面镜2，满足学生实验需求。</w:t>
            </w:r>
          </w:p>
        </w:tc>
      </w:tr>
      <w:tr>
        <w:tblPrEx>
          <w:tblCellMar>
            <w:top w:w="0" w:type="dxa"/>
            <w:left w:w="108" w:type="dxa"/>
            <w:bottom w:w="0" w:type="dxa"/>
            <w:right w:w="108" w:type="dxa"/>
          </w:tblCellMar>
        </w:tblPrEx>
        <w:trPr>
          <w:trHeight w:val="248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38</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五年级上册第二单元-地球表面的变化</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3d中国地形图、3d世界地形图、岩石标本、橡皮泥红、橡皮泥黄、橡皮泥蓝、保鲜袋、塑料盒、小铲子、不锈钢酒精灯、石棉网、火柴、铁架台、升降台、护目镜、小毛巾、不锈钢小盆、塑料盘、塑料瓶、彩砂，满足学生实验需求。</w:t>
            </w:r>
          </w:p>
        </w:tc>
      </w:tr>
      <w:tr>
        <w:tblPrEx>
          <w:tblCellMar>
            <w:top w:w="0" w:type="dxa"/>
            <w:left w:w="108" w:type="dxa"/>
            <w:bottom w:w="0" w:type="dxa"/>
            <w:right w:w="108" w:type="dxa"/>
          </w:tblCellMar>
        </w:tblPrEx>
        <w:trPr>
          <w:trHeight w:val="2228"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39</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五年级上册第三单元-计量时间</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包含：塑料杯、火柴、线香、计时器、蜡烛、烧杯、铁架台、塑料瓶（200ml）、棉线、安全剪刀、螺母、沙漏、塑料瓶（500ml），满足学生实验需求。</w:t>
            </w:r>
          </w:p>
        </w:tc>
      </w:tr>
      <w:tr>
        <w:tblPrEx>
          <w:tblCellMar>
            <w:top w:w="0" w:type="dxa"/>
            <w:left w:w="108" w:type="dxa"/>
            <w:bottom w:w="0" w:type="dxa"/>
            <w:right w:w="108" w:type="dxa"/>
          </w:tblCellMar>
        </w:tblPrEx>
        <w:trPr>
          <w:trHeight w:val="197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40</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五年级上册第四单元-健康生活</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包含：哑铃、棉线、安全剪刀、木棒、橡皮筋、人体关节模型、洗耳球、硅胶管、小沙包，满足学生实验需求。</w:t>
            </w:r>
          </w:p>
        </w:tc>
      </w:tr>
      <w:tr>
        <w:tblPrEx>
          <w:tblCellMar>
            <w:top w:w="0" w:type="dxa"/>
            <w:left w:w="108" w:type="dxa"/>
            <w:bottom w:w="0" w:type="dxa"/>
            <w:right w:w="108" w:type="dxa"/>
          </w:tblCellMar>
        </w:tblPrEx>
        <w:trPr>
          <w:trHeight w:val="2228"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41</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五年级下册第一单元-生物与环境</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箱体外观尺寸（mm）：485×370×150mm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包含：绿豆、培养皿、蚯蚓饲养盒、食物链图卡、镊子、生态瓶、沙子、水草种子、黑卡纸、自封袋、塑料杯，满足学生实验需求。</w:t>
            </w:r>
          </w:p>
        </w:tc>
      </w:tr>
      <w:tr>
        <w:tblPrEx>
          <w:tblCellMar>
            <w:top w:w="0" w:type="dxa"/>
            <w:left w:w="108" w:type="dxa"/>
            <w:bottom w:w="0" w:type="dxa"/>
            <w:right w:w="108" w:type="dxa"/>
          </w:tblCellMar>
        </w:tblPrEx>
        <w:trPr>
          <w:trHeight w:val="248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42</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五年级下册第二单元-船的研究</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包含：木板1、船形木板、棉线、安全剪刀、曲别针、垫圈、塑料盘、木棒、橡皮筋、木片、橡皮泥、铝箔、玻璃珠、船形泡沫板、电动风力小船配件包1、电动风力小船配件包2，满足学生实验需求。</w:t>
            </w:r>
          </w:p>
        </w:tc>
      </w:tr>
      <w:tr>
        <w:tblPrEx>
          <w:tblCellMar>
            <w:top w:w="0" w:type="dxa"/>
            <w:left w:w="108" w:type="dxa"/>
            <w:bottom w:w="0" w:type="dxa"/>
            <w:right w:w="108" w:type="dxa"/>
          </w:tblCellMar>
        </w:tblPrEx>
        <w:trPr>
          <w:trHeight w:val="171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43</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五年级下册第三单元-环境与我们</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485×370×150mm 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包含：垃圾分类套装、搅拌器、小毛巾、垫板、木棒、塑料烧杯，满足学生实验需求。</w:t>
            </w:r>
          </w:p>
        </w:tc>
      </w:tr>
      <w:tr>
        <w:tblPrEx>
          <w:tblCellMar>
            <w:top w:w="0" w:type="dxa"/>
            <w:left w:w="108" w:type="dxa"/>
            <w:bottom w:w="0" w:type="dxa"/>
            <w:right w:w="108" w:type="dxa"/>
          </w:tblCellMar>
        </w:tblPrEx>
        <w:trPr>
          <w:trHeight w:val="623"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44</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五年级下册第四单元-热</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烧杯、铁架台、升降台、棉线、安全剪刀、不锈钢酒精灯、石棉网、温度计、冰格、感温勺、感温粉、感温贴纸、感温油墨、铜棒、玻璃试管、塑料勺、木勺、陶瓷勺、不锈钢勺子、热传导演示器、凡士林、火柴、不锈钢杯、塑料泡沫保温套，满足学生实验需求。</w:t>
            </w:r>
          </w:p>
        </w:tc>
      </w:tr>
      <w:tr>
        <w:tblPrEx>
          <w:tblCellMar>
            <w:top w:w="0" w:type="dxa"/>
            <w:left w:w="108" w:type="dxa"/>
            <w:bottom w:w="0" w:type="dxa"/>
            <w:right w:w="108" w:type="dxa"/>
          </w:tblCellMar>
        </w:tblPrEx>
        <w:trPr>
          <w:trHeight w:val="2228"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45</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六年级上册第一单元-微小世界</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包含：放大镜、玻璃片、凸透镜、凹透镜、塑料瓶、铜丝、保鲜袋、显微镜、装片、手持简易显微镜、载玻片、盖玻片、滴管、生物解剖器7件七件套、碘液、烧杯、干草，满足学生实验需求。</w:t>
            </w:r>
          </w:p>
        </w:tc>
      </w:tr>
      <w:tr>
        <w:tblPrEx>
          <w:tblCellMar>
            <w:top w:w="0" w:type="dxa"/>
            <w:left w:w="108" w:type="dxa"/>
            <w:bottom w:w="0" w:type="dxa"/>
            <w:right w:w="108" w:type="dxa"/>
          </w:tblCellMar>
        </w:tblPrEx>
        <w:trPr>
          <w:trHeight w:val="2228"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46</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六年级上册第二单元-地球的运动</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包含：地球仪、橡皮泥红、橡皮泥黄、橡皮泥蓝、彩笔、泡沫球、铜丝、手电筒、吸管、反光小圆片、圭表、圆盘、乒乓球，满足学生实验需求。</w:t>
            </w:r>
          </w:p>
        </w:tc>
      </w:tr>
      <w:tr>
        <w:tblPrEx>
          <w:tblCellMar>
            <w:top w:w="0" w:type="dxa"/>
            <w:left w:w="108" w:type="dxa"/>
            <w:bottom w:w="0" w:type="dxa"/>
            <w:right w:w="108" w:type="dxa"/>
          </w:tblCellMar>
        </w:tblPrEx>
        <w:trPr>
          <w:trHeight w:val="2228"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47</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六年级上册第三单元-工具与技术</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包含：羊角锤、核桃夹、一字螺丝刀、十字螺丝刀、斜面、塑料槽、木棒、木块、车轮、车轴、安全剪刀、解剖剪、塑料导线、活字印刷、独轮车套件，满足学生实验需求。</w:t>
            </w:r>
          </w:p>
        </w:tc>
      </w:tr>
      <w:tr>
        <w:tblPrEx>
          <w:tblCellMar>
            <w:top w:w="0" w:type="dxa"/>
            <w:left w:w="108" w:type="dxa"/>
            <w:bottom w:w="0" w:type="dxa"/>
            <w:right w:w="108" w:type="dxa"/>
          </w:tblCellMar>
        </w:tblPrEx>
        <w:trPr>
          <w:trHeight w:val="249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48</w:t>
            </w:r>
          </w:p>
        </w:tc>
        <w:tc>
          <w:tcPr>
            <w:tcW w:w="1694"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六年级上册第四单元-能量</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54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箱</w:t>
            </w:r>
          </w:p>
        </w:tc>
        <w:tc>
          <w:tcPr>
            <w:tcW w:w="5527"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箱体外观尺寸（mm）：</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485×370×150mm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箱体颜色：灰色</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箱体材料：高密度工程塑料（聚丙烯）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箱体内部构造：采用EPV珍珠棉隔离填充材料，每种实验器材有相对应插槽，每种实验器材设有固定位置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本箱</w:t>
            </w:r>
            <w:r>
              <w:rPr>
                <w:rFonts w:hint="eastAsia" w:ascii="宋体" w:hAnsi="宋体" w:eastAsia="宋体" w:cs="宋体"/>
                <w:color w:val="000000"/>
                <w:sz w:val="21"/>
                <w:szCs w:val="21"/>
                <w:lang w:val="en-US" w:eastAsia="zh-CN"/>
              </w:rPr>
              <w:t>至少</w:t>
            </w:r>
            <w:r>
              <w:rPr>
                <w:rFonts w:hint="eastAsia" w:ascii="宋体" w:hAnsi="宋体" w:eastAsia="宋体" w:cs="宋体"/>
                <w:color w:val="000000"/>
                <w:sz w:val="21"/>
                <w:szCs w:val="21"/>
              </w:rPr>
              <w:t>包含：太阳能小车、指南针、5号电池盒、单刀单子开关、小灯座、导线、小灯泡、长导线、铁钉、回形针、1号电池盒、5号电池、1号电池、小电动机（拆开）、小电动机（带线）、铜丝、铜芯导线、橡皮筋、电动机模型、发电机，满足学生实验需求。</w:t>
            </w:r>
          </w:p>
        </w:tc>
      </w:tr>
    </w:tbl>
    <w:p>
      <w:pPr>
        <w:rPr>
          <w:rFonts w:hint="eastAsia" w:ascii="宋体" w:hAnsi="宋体" w:eastAsia="宋体" w:cs="宋体"/>
          <w:sz w:val="21"/>
          <w:szCs w:val="21"/>
        </w:rPr>
      </w:pPr>
    </w:p>
    <w:p>
      <w:pPr>
        <w:spacing w:line="220" w:lineRule="atLeast"/>
        <w:rPr>
          <w:rFonts w:hint="eastAsia" w:ascii="宋体" w:hAnsi="宋体" w:eastAsia="宋体" w:cs="宋体"/>
          <w:sz w:val="21"/>
          <w:szCs w:val="21"/>
        </w:rPr>
      </w:pPr>
    </w:p>
    <w:tbl>
      <w:tblPr>
        <w:tblStyle w:val="15"/>
        <w:tblW w:w="8877" w:type="dxa"/>
        <w:tblInd w:w="93" w:type="dxa"/>
        <w:tblLayout w:type="autofit"/>
        <w:tblCellMar>
          <w:top w:w="0" w:type="dxa"/>
          <w:left w:w="108" w:type="dxa"/>
          <w:bottom w:w="0" w:type="dxa"/>
          <w:right w:w="108" w:type="dxa"/>
        </w:tblCellMar>
      </w:tblPr>
      <w:tblGrid>
        <w:gridCol w:w="661"/>
        <w:gridCol w:w="1623"/>
        <w:gridCol w:w="577"/>
        <w:gridCol w:w="495"/>
        <w:gridCol w:w="5521"/>
      </w:tblGrid>
      <w:tr>
        <w:tblPrEx>
          <w:tblCellMar>
            <w:top w:w="0" w:type="dxa"/>
            <w:left w:w="108" w:type="dxa"/>
            <w:bottom w:w="0" w:type="dxa"/>
            <w:right w:w="108" w:type="dxa"/>
          </w:tblCellMar>
        </w:tblPrEx>
        <w:trPr>
          <w:trHeight w:val="597" w:hRule="atLeast"/>
        </w:trPr>
        <w:tc>
          <w:tcPr>
            <w:tcW w:w="66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623"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bCs/>
                <w:sz w:val="21"/>
                <w:szCs w:val="21"/>
              </w:rPr>
            </w:pPr>
            <w:r>
              <w:rPr>
                <w:rFonts w:hint="eastAsia" w:ascii="宋体" w:hAnsi="宋体" w:eastAsia="宋体" w:cs="宋体"/>
                <w:b/>
                <w:bCs/>
                <w:sz w:val="21"/>
                <w:szCs w:val="21"/>
              </w:rPr>
              <w:t>设备名称</w:t>
            </w:r>
          </w:p>
        </w:tc>
        <w:tc>
          <w:tcPr>
            <w:tcW w:w="577"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bCs/>
                <w:sz w:val="21"/>
                <w:szCs w:val="21"/>
              </w:rPr>
            </w:pPr>
            <w:r>
              <w:rPr>
                <w:rFonts w:hint="eastAsia" w:ascii="宋体" w:hAnsi="宋体" w:eastAsia="宋体" w:cs="宋体"/>
                <w:b/>
                <w:bCs/>
                <w:sz w:val="21"/>
                <w:szCs w:val="21"/>
              </w:rPr>
              <w:t>数量</w:t>
            </w:r>
          </w:p>
        </w:tc>
        <w:tc>
          <w:tcPr>
            <w:tcW w:w="495"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bCs/>
                <w:sz w:val="21"/>
                <w:szCs w:val="21"/>
              </w:rPr>
            </w:pPr>
            <w:r>
              <w:rPr>
                <w:rFonts w:hint="eastAsia" w:ascii="宋体" w:hAnsi="宋体" w:eastAsia="宋体" w:cs="宋体"/>
                <w:b/>
                <w:bCs/>
                <w:sz w:val="21"/>
                <w:szCs w:val="21"/>
              </w:rPr>
              <w:t>单位</w:t>
            </w:r>
          </w:p>
        </w:tc>
        <w:tc>
          <w:tcPr>
            <w:tcW w:w="552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b/>
                <w:bCs/>
                <w:sz w:val="21"/>
                <w:szCs w:val="21"/>
              </w:rPr>
            </w:pPr>
            <w:r>
              <w:rPr>
                <w:rFonts w:hint="eastAsia" w:ascii="宋体" w:hAnsi="宋体" w:eastAsia="宋体" w:cs="宋体"/>
                <w:b/>
                <w:bCs/>
                <w:sz w:val="21"/>
                <w:szCs w:val="21"/>
              </w:rPr>
              <w:t>设备技术参数</w:t>
            </w:r>
          </w:p>
        </w:tc>
      </w:tr>
      <w:tr>
        <w:tblPrEx>
          <w:tblCellMar>
            <w:top w:w="0" w:type="dxa"/>
            <w:left w:w="108" w:type="dxa"/>
            <w:bottom w:w="0" w:type="dxa"/>
            <w:right w:w="108" w:type="dxa"/>
          </w:tblCellMar>
        </w:tblPrEx>
        <w:trPr>
          <w:trHeight w:val="127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图形计算器</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一、硬件指标：</w:t>
            </w:r>
            <w:r>
              <w:rPr>
                <w:rFonts w:hint="eastAsia" w:ascii="宋体" w:hAnsi="宋体" w:eastAsia="宋体" w:cs="宋体"/>
                <w:sz w:val="21"/>
                <w:szCs w:val="21"/>
              </w:rPr>
              <w:br w:type="textWrapping"/>
            </w:r>
            <w:r>
              <w:rPr>
                <w:rFonts w:hint="eastAsia" w:ascii="宋体" w:hAnsi="宋体" w:eastAsia="宋体" w:cs="宋体"/>
                <w:sz w:val="21"/>
                <w:szCs w:val="21"/>
              </w:rPr>
              <w:t>中文彩屏显示；显示屏尺寸≥3.2寸；显示屏像素≥320 x 240；分辨率≥125 DPI电池：充电电池（内置）；内存≥100 MB储存内存；</w:t>
            </w:r>
            <w:r>
              <w:rPr>
                <w:rFonts w:hint="eastAsia" w:ascii="宋体" w:hAnsi="宋体" w:eastAsia="宋体" w:cs="宋体"/>
                <w:b/>
                <w:bCs/>
                <w:sz w:val="21"/>
                <w:szCs w:val="21"/>
              </w:rPr>
              <w:t>操作内存：不小于64MB操作内存；</w:t>
            </w:r>
            <w:r>
              <w:rPr>
                <w:rFonts w:hint="eastAsia" w:ascii="宋体" w:hAnsi="宋体" w:eastAsia="宋体" w:cs="宋体"/>
                <w:b/>
                <w:bCs/>
                <w:sz w:val="21"/>
                <w:szCs w:val="21"/>
                <w:lang w:eastAsia="zh-CN"/>
              </w:rPr>
              <w:t>▲</w:t>
            </w:r>
            <w:r>
              <w:rPr>
                <w:rFonts w:hint="eastAsia" w:ascii="宋体" w:hAnsi="宋体" w:eastAsia="宋体" w:cs="宋体"/>
                <w:b/>
                <w:bCs/>
                <w:sz w:val="21"/>
                <w:szCs w:val="21"/>
              </w:rPr>
              <w:t>独立的英文字母按键，符合学生在数学学习中，中英文和公式输入的要求；</w:t>
            </w:r>
            <w:r>
              <w:rPr>
                <w:rFonts w:hint="eastAsia" w:ascii="宋体" w:hAnsi="宋体" w:eastAsia="宋体" w:cs="宋体"/>
                <w:sz w:val="21"/>
                <w:szCs w:val="21"/>
              </w:rPr>
              <w:t>单独公式编辑器快捷键，常用公式不低于20个；主要功能键中文标识；设置【ctrl】、【delete】、【tab】、【cap】、【shift】等与电脑键盘同意义的功能键，匹配用户使用习惯，符合掌上电脑意义；单独的充电和数据传输接口、MINI USB 接口和安全数字输入输出接口(SDIO);满足在无线互动教学的环境下，同时进行数据采集实验和分析。</w:t>
            </w:r>
            <w:r>
              <w:rPr>
                <w:rFonts w:hint="eastAsia" w:ascii="宋体" w:hAnsi="宋体" w:eastAsia="宋体" w:cs="宋体"/>
                <w:sz w:val="21"/>
                <w:szCs w:val="21"/>
              </w:rPr>
              <w:br w:type="textWrapping"/>
            </w:r>
            <w:r>
              <w:rPr>
                <w:rFonts w:hint="eastAsia" w:ascii="宋体" w:hAnsi="宋体" w:eastAsia="宋体" w:cs="宋体"/>
                <w:sz w:val="21"/>
                <w:szCs w:val="21"/>
              </w:rPr>
              <w:t>二、内置软件功能：</w:t>
            </w:r>
            <w:r>
              <w:rPr>
                <w:rFonts w:hint="eastAsia" w:ascii="宋体" w:hAnsi="宋体" w:eastAsia="宋体" w:cs="宋体"/>
                <w:sz w:val="21"/>
                <w:szCs w:val="21"/>
              </w:rPr>
              <w:br w:type="textWrapping"/>
            </w:r>
            <w:r>
              <w:rPr>
                <w:rFonts w:hint="eastAsia" w:ascii="宋体" w:hAnsi="宋体" w:eastAsia="宋体" w:cs="宋体"/>
                <w:sz w:val="21"/>
                <w:szCs w:val="21"/>
              </w:rPr>
              <w:t>全中文菜单显示，全中文输入(学生机可直接输入中文)。</w:t>
            </w:r>
            <w:r>
              <w:rPr>
                <w:rFonts w:hint="eastAsia" w:ascii="宋体" w:hAnsi="宋体" w:eastAsia="宋体" w:cs="宋体"/>
                <w:sz w:val="21"/>
                <w:szCs w:val="21"/>
              </w:rPr>
              <w:br w:type="textWrapping"/>
            </w:r>
            <w:r>
              <w:rPr>
                <w:rFonts w:hint="eastAsia" w:ascii="宋体" w:hAnsi="宋体" w:eastAsia="宋体" w:cs="宋体"/>
                <w:sz w:val="21"/>
                <w:szCs w:val="21"/>
              </w:rPr>
              <w:t>软件主要功能：CAS（计算机符号代数系统）功能，函数及二次曲线作图分析；几何；电子表格；统计分析，记事本，数据采集程序。Windows菜单风格；支持页面管理功能。</w:t>
            </w:r>
            <w:r>
              <w:rPr>
                <w:rFonts w:hint="eastAsia" w:ascii="宋体" w:hAnsi="宋体" w:eastAsia="宋体" w:cs="宋体"/>
                <w:sz w:val="21"/>
                <w:szCs w:val="21"/>
              </w:rPr>
              <w:br w:type="textWrapping"/>
            </w:r>
            <w:r>
              <w:rPr>
                <w:rFonts w:hint="eastAsia" w:ascii="宋体" w:hAnsi="宋体" w:eastAsia="宋体" w:cs="宋体"/>
                <w:sz w:val="21"/>
                <w:szCs w:val="21"/>
              </w:rPr>
              <w:t xml:space="preserve">1. </w:t>
            </w:r>
            <w:r>
              <w:rPr>
                <w:rFonts w:hint="eastAsia" w:ascii="宋体" w:hAnsi="宋体" w:eastAsia="宋体" w:cs="宋体"/>
                <w:b/>
                <w:bCs/>
                <w:sz w:val="21"/>
                <w:szCs w:val="21"/>
              </w:rPr>
              <w:t>可加载元素周期表，支持Python编程</w:t>
            </w:r>
            <w:r>
              <w:rPr>
                <w:rFonts w:hint="eastAsia" w:ascii="宋体" w:hAnsi="宋体" w:eastAsia="宋体" w:cs="宋体"/>
                <w:sz w:val="21"/>
                <w:szCs w:val="21"/>
              </w:rPr>
              <w:t>；</w:t>
            </w:r>
            <w:r>
              <w:rPr>
                <w:rFonts w:hint="eastAsia" w:ascii="宋体" w:hAnsi="宋体" w:eastAsia="宋体" w:cs="宋体"/>
                <w:sz w:val="21"/>
                <w:szCs w:val="21"/>
              </w:rPr>
              <w:br w:type="textWrapping"/>
            </w:r>
            <w:r>
              <w:rPr>
                <w:rFonts w:hint="eastAsia" w:ascii="宋体" w:hAnsi="宋体" w:eastAsia="宋体" w:cs="宋体"/>
                <w:sz w:val="21"/>
                <w:szCs w:val="21"/>
              </w:rPr>
              <w:t>2. 拥有中文智能联想输入法(手持计算器内部功能) ；</w:t>
            </w:r>
            <w:r>
              <w:rPr>
                <w:rFonts w:hint="eastAsia" w:ascii="宋体" w:hAnsi="宋体" w:eastAsia="宋体" w:cs="宋体"/>
                <w:sz w:val="21"/>
                <w:szCs w:val="21"/>
              </w:rPr>
              <w:br w:type="textWrapping"/>
            </w:r>
            <w:r>
              <w:rPr>
                <w:rFonts w:hint="eastAsia" w:ascii="宋体" w:hAnsi="宋体" w:eastAsia="宋体" w:cs="宋体"/>
                <w:sz w:val="21"/>
                <w:szCs w:val="21"/>
              </w:rPr>
              <w:t>3.</w:t>
            </w:r>
            <w:r>
              <w:rPr>
                <w:rFonts w:hint="eastAsia" w:ascii="宋体" w:hAnsi="宋体" w:eastAsia="宋体" w:cs="宋体"/>
                <w:b/>
                <w:bCs/>
                <w:sz w:val="21"/>
                <w:szCs w:val="21"/>
              </w:rPr>
              <w:t>可分四屏显示</w:t>
            </w:r>
            <w:r>
              <w:rPr>
                <w:rFonts w:hint="eastAsia" w:ascii="宋体" w:hAnsi="宋体" w:eastAsia="宋体" w:cs="宋体"/>
                <w:sz w:val="21"/>
                <w:szCs w:val="21"/>
              </w:rPr>
              <w:t>，每个屏幕的内容可以在计算，图形，表格，统计，实验等模块间自由组合，比如可以同时呈现函数、图像、表格之间的相关关系,当三者之间任一参数发生变化，与其对应的表达式、图像、数据同时改变；</w:t>
            </w:r>
            <w:r>
              <w:rPr>
                <w:rFonts w:hint="eastAsia" w:ascii="宋体" w:hAnsi="宋体" w:eastAsia="宋体" w:cs="宋体"/>
                <w:sz w:val="21"/>
                <w:szCs w:val="21"/>
              </w:rPr>
              <w:br w:type="textWrapping"/>
            </w:r>
            <w:r>
              <w:rPr>
                <w:rFonts w:hint="eastAsia" w:ascii="宋体" w:hAnsi="宋体" w:eastAsia="宋体" w:cs="宋体"/>
                <w:sz w:val="21"/>
                <w:szCs w:val="21"/>
              </w:rPr>
              <w:t>4.动态图像与绘图：在坐标系中输入函数表达式,即可直接抓移该函数图像，实现平移、放缩等图形变换，并观察相对应的方程和数据的变化；</w:t>
            </w:r>
            <w:r>
              <w:rPr>
                <w:rFonts w:hint="eastAsia" w:ascii="宋体" w:hAnsi="宋体" w:eastAsia="宋体" w:cs="宋体"/>
                <w:sz w:val="21"/>
                <w:szCs w:val="21"/>
              </w:rPr>
              <w:br w:type="textWrapping"/>
            </w:r>
            <w:r>
              <w:rPr>
                <w:rFonts w:hint="eastAsia" w:ascii="宋体" w:hAnsi="宋体" w:eastAsia="宋体" w:cs="宋体"/>
                <w:sz w:val="21"/>
                <w:szCs w:val="21"/>
              </w:rPr>
              <w:t>5.具有三维坐标系，可直接输入函数表达式绘制立体图形，并进行各种图形变化；</w:t>
            </w:r>
            <w:r>
              <w:rPr>
                <w:rFonts w:hint="eastAsia" w:ascii="宋体" w:hAnsi="宋体" w:eastAsia="宋体" w:cs="宋体"/>
                <w:sz w:val="21"/>
                <w:szCs w:val="21"/>
              </w:rPr>
              <w:br w:type="textWrapping"/>
            </w:r>
            <w:r>
              <w:rPr>
                <w:rFonts w:hint="eastAsia" w:ascii="宋体" w:hAnsi="宋体" w:eastAsia="宋体" w:cs="宋体"/>
                <w:sz w:val="21"/>
                <w:szCs w:val="21"/>
              </w:rPr>
              <w:t>6.可在课件中插入JPG等格式图片文件，可以在计算器、图形、几何、数据和统计等应用程序中通过软件插入多种格式图片进行分析，将数学知识与实际生活紧密相连；</w:t>
            </w:r>
            <w:r>
              <w:rPr>
                <w:rFonts w:hint="eastAsia" w:ascii="宋体" w:hAnsi="宋体" w:eastAsia="宋体" w:cs="宋体"/>
                <w:sz w:val="21"/>
                <w:szCs w:val="21"/>
              </w:rPr>
              <w:br w:type="textWrapping"/>
            </w:r>
            <w:r>
              <w:rPr>
                <w:rFonts w:hint="eastAsia" w:ascii="宋体" w:hAnsi="宋体" w:eastAsia="宋体" w:cs="宋体"/>
                <w:sz w:val="21"/>
                <w:szCs w:val="21"/>
              </w:rPr>
              <w:t>7.通过配套计算器软件，可以把office办公软件中的数据、文字、公式、图片等以简单的复制粘贴的方式，制作到课件中，并发送到学生的图形计算器中，便于学生学习研究。</w:t>
            </w:r>
            <w:r>
              <w:rPr>
                <w:rFonts w:hint="eastAsia" w:ascii="宋体" w:hAnsi="宋体" w:eastAsia="宋体" w:cs="宋体"/>
                <w:sz w:val="21"/>
                <w:szCs w:val="21"/>
              </w:rPr>
              <w:br w:type="textWrapping"/>
            </w:r>
            <w:r>
              <w:rPr>
                <w:rFonts w:hint="eastAsia" w:ascii="宋体" w:hAnsi="宋体" w:eastAsia="宋体" w:cs="宋体"/>
                <w:sz w:val="21"/>
                <w:szCs w:val="21"/>
              </w:rPr>
              <w:t>三、可扩展性</w:t>
            </w:r>
            <w:r>
              <w:rPr>
                <w:rFonts w:hint="eastAsia" w:ascii="宋体" w:hAnsi="宋体" w:eastAsia="宋体" w:cs="宋体"/>
                <w:sz w:val="21"/>
                <w:szCs w:val="21"/>
              </w:rPr>
              <w:br w:type="textWrapping"/>
            </w:r>
            <w:r>
              <w:rPr>
                <w:rFonts w:hint="eastAsia" w:ascii="宋体" w:hAnsi="宋体" w:eastAsia="宋体" w:cs="宋体"/>
                <w:sz w:val="21"/>
                <w:szCs w:val="21"/>
              </w:rPr>
              <w:t>1.计算器可与传感器进行连接，能够方便地采集数据进行数理分析。</w:t>
            </w:r>
            <w:r>
              <w:rPr>
                <w:rFonts w:hint="eastAsia" w:ascii="宋体" w:hAnsi="宋体" w:eastAsia="宋体" w:cs="宋体"/>
                <w:sz w:val="21"/>
                <w:szCs w:val="21"/>
              </w:rPr>
              <w:br w:type="textWrapping"/>
            </w:r>
            <w:r>
              <w:rPr>
                <w:rFonts w:hint="eastAsia" w:ascii="宋体" w:hAnsi="宋体" w:eastAsia="宋体" w:cs="宋体"/>
                <w:sz w:val="21"/>
                <w:szCs w:val="21"/>
              </w:rPr>
              <w:t>2.通过无线课堂教学系统，可同时与课堂内所有图形计算器实时连接，实现课堂中教师与学生之间的实时信息交流，反馈和评价，实现互动教学，提高学生的课堂参与度。</w:t>
            </w:r>
            <w:r>
              <w:rPr>
                <w:rFonts w:hint="eastAsia" w:ascii="宋体" w:hAnsi="宋体" w:eastAsia="宋体" w:cs="宋体"/>
                <w:sz w:val="21"/>
                <w:szCs w:val="21"/>
              </w:rPr>
              <w:br w:type="textWrapping"/>
            </w:r>
            <w:r>
              <w:rPr>
                <w:rFonts w:hint="eastAsia" w:ascii="宋体" w:hAnsi="宋体" w:eastAsia="宋体" w:cs="宋体"/>
                <w:sz w:val="21"/>
                <w:szCs w:val="21"/>
              </w:rPr>
              <w:t>3.计算器可拓展和连接STEM创客芯片、创新者系统等创客模块，可利用计算器的简易编程语言通过开源创客模块和多种电子元件、传感器等进行创意实验和STEM综合实践。</w:t>
            </w:r>
            <w:r>
              <w:rPr>
                <w:rFonts w:hint="eastAsia" w:ascii="宋体" w:hAnsi="宋体" w:eastAsia="宋体" w:cs="宋体"/>
                <w:sz w:val="21"/>
                <w:szCs w:val="21"/>
              </w:rPr>
              <w:br w:type="textWrapping"/>
            </w:r>
            <w:r>
              <w:rPr>
                <w:rFonts w:hint="eastAsia" w:ascii="宋体" w:hAnsi="宋体" w:eastAsia="宋体" w:cs="宋体"/>
                <w:b/>
                <w:bCs/>
                <w:sz w:val="21"/>
                <w:szCs w:val="21"/>
                <w:lang w:val="en-US" w:eastAsia="zh-CN"/>
              </w:rPr>
              <w:t>提供以下功能视频演示界面截图插入文件中</w:t>
            </w:r>
            <w:r>
              <w:rPr>
                <w:rFonts w:hint="eastAsia" w:ascii="宋体" w:hAnsi="宋体" w:eastAsia="宋体" w:cs="宋体"/>
                <w:b/>
                <w:bCs/>
                <w:sz w:val="21"/>
                <w:szCs w:val="21"/>
              </w:rPr>
              <w:br w:type="textWrapping"/>
            </w:r>
            <w:r>
              <w:rPr>
                <w:rFonts w:hint="eastAsia" w:ascii="宋体" w:hAnsi="宋体" w:eastAsia="宋体" w:cs="宋体"/>
                <w:b/>
                <w:bCs/>
                <w:sz w:val="21"/>
                <w:szCs w:val="21"/>
              </w:rPr>
              <w:t>（1）可四分屏显示，四个屏幕分别显示不同功能；</w:t>
            </w:r>
            <w:r>
              <w:rPr>
                <w:rFonts w:hint="eastAsia" w:ascii="宋体" w:hAnsi="宋体" w:eastAsia="宋体" w:cs="宋体"/>
                <w:b/>
                <w:bCs/>
                <w:sz w:val="21"/>
                <w:szCs w:val="21"/>
              </w:rPr>
              <w:br w:type="textWrapping"/>
            </w:r>
            <w:r>
              <w:rPr>
                <w:rFonts w:hint="eastAsia" w:ascii="宋体" w:hAnsi="宋体" w:eastAsia="宋体" w:cs="宋体"/>
                <w:b/>
                <w:bCs/>
                <w:sz w:val="21"/>
                <w:szCs w:val="21"/>
              </w:rPr>
              <w:t>（2）可加载元素周期表，实时查看；</w:t>
            </w:r>
            <w:r>
              <w:rPr>
                <w:rFonts w:hint="eastAsia" w:ascii="宋体" w:hAnsi="宋体" w:eastAsia="宋体" w:cs="宋体"/>
                <w:b/>
                <w:bCs/>
                <w:sz w:val="21"/>
                <w:szCs w:val="21"/>
              </w:rPr>
              <w:br w:type="textWrapping"/>
            </w:r>
            <w:r>
              <w:rPr>
                <w:rFonts w:hint="eastAsia" w:ascii="宋体" w:hAnsi="宋体" w:eastAsia="宋体" w:cs="宋体"/>
                <w:b/>
                <w:bCs/>
                <w:sz w:val="21"/>
                <w:szCs w:val="21"/>
              </w:rPr>
              <w:t>（3）以动画形式教学分数意义；</w:t>
            </w:r>
            <w:r>
              <w:rPr>
                <w:rFonts w:hint="eastAsia" w:ascii="宋体" w:hAnsi="宋体" w:eastAsia="宋体" w:cs="宋体"/>
                <w:b/>
                <w:bCs/>
                <w:sz w:val="21"/>
                <w:szCs w:val="21"/>
              </w:rPr>
              <w:br w:type="textWrapping"/>
            </w:r>
            <w:r>
              <w:rPr>
                <w:rFonts w:hint="eastAsia" w:ascii="宋体" w:hAnsi="宋体" w:eastAsia="宋体" w:cs="宋体"/>
                <w:b/>
                <w:bCs/>
                <w:sz w:val="21"/>
                <w:szCs w:val="21"/>
              </w:rPr>
              <w:t>（4）绘制柱状图、饼状图，并能够灵活切换；</w:t>
            </w:r>
            <w:r>
              <w:rPr>
                <w:rFonts w:hint="eastAsia" w:ascii="宋体" w:hAnsi="宋体" w:eastAsia="宋体" w:cs="宋体"/>
                <w:sz w:val="21"/>
                <w:szCs w:val="21"/>
              </w:rPr>
              <w:br w:type="textWrapping"/>
            </w:r>
            <w:r>
              <w:rPr>
                <w:rFonts w:hint="eastAsia" w:ascii="宋体" w:hAnsi="宋体" w:eastAsia="宋体" w:cs="宋体"/>
                <w:b/>
                <w:bCs/>
                <w:sz w:val="21"/>
                <w:szCs w:val="21"/>
              </w:rPr>
              <w:t>提供厂家授权、提供检测报告。</w:t>
            </w:r>
          </w:p>
        </w:tc>
      </w:tr>
      <w:tr>
        <w:tblPrEx>
          <w:tblCellMar>
            <w:top w:w="0" w:type="dxa"/>
            <w:left w:w="108" w:type="dxa"/>
            <w:bottom w:w="0" w:type="dxa"/>
            <w:right w:w="108" w:type="dxa"/>
          </w:tblCellMar>
        </w:tblPrEx>
        <w:trPr>
          <w:trHeight w:val="102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数学益智可互动墙面展板之数与代数系列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 xml:space="preserve">数与代数系列：四面开式合金边框，具有互动操作功能、多主题界面及快速更换功能，多主题界面板存储功能，可挂、可架、可移动；规格 </w:t>
            </w:r>
            <w:r>
              <w:rPr>
                <w:rFonts w:hint="eastAsia" w:ascii="宋体" w:hAnsi="宋体" w:eastAsia="宋体" w:cs="宋体"/>
                <w:sz w:val="21"/>
                <w:szCs w:val="21"/>
                <w:lang w:val="en-US" w:eastAsia="zh-CN"/>
              </w:rPr>
              <w:t>≥</w:t>
            </w:r>
            <w:r>
              <w:rPr>
                <w:rFonts w:hint="eastAsia" w:ascii="宋体" w:hAnsi="宋体" w:eastAsia="宋体" w:cs="宋体"/>
                <w:sz w:val="21"/>
                <w:szCs w:val="21"/>
              </w:rPr>
              <w:t>900×600×40㎜，  6个主题界面；操作器具全实木质，印刷精美，规格</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 50×50×12㎜。</w:t>
            </w:r>
          </w:p>
        </w:tc>
      </w:tr>
      <w:tr>
        <w:tblPrEx>
          <w:tblCellMar>
            <w:top w:w="0" w:type="dxa"/>
            <w:left w:w="108" w:type="dxa"/>
            <w:bottom w:w="0" w:type="dxa"/>
            <w:right w:w="108" w:type="dxa"/>
          </w:tblCellMar>
        </w:tblPrEx>
        <w:trPr>
          <w:trHeight w:val="127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数学益智可互动墙面展板之经典巧板系列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 xml:space="preserve">经典巧板系列：四面开式合金边框，具有互动操作功能、多主题界面及快速更换功能，多主题界面板存储功能，可挂、可架、可移动；规格 </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900×600×40㎜，应包含博士板、七巧板、东瀛巧板、百鸟蛋、心巧板，益智图等  10个主题界面；操作器具全实木质，雕刻精美，规格 </w:t>
            </w:r>
            <w:r>
              <w:rPr>
                <w:rFonts w:hint="eastAsia" w:ascii="宋体" w:hAnsi="宋体" w:eastAsia="宋体" w:cs="宋体"/>
                <w:sz w:val="21"/>
                <w:szCs w:val="21"/>
                <w:lang w:val="en-US" w:eastAsia="zh-CN"/>
              </w:rPr>
              <w:t>≥</w:t>
            </w:r>
            <w:r>
              <w:rPr>
                <w:rFonts w:hint="eastAsia" w:ascii="宋体" w:hAnsi="宋体" w:eastAsia="宋体" w:cs="宋体"/>
                <w:sz w:val="21"/>
                <w:szCs w:val="21"/>
              </w:rPr>
              <w:t>141×141×12㎜。</w:t>
            </w:r>
          </w:p>
        </w:tc>
      </w:tr>
      <w:tr>
        <w:tblPrEx>
          <w:tblCellMar>
            <w:top w:w="0" w:type="dxa"/>
            <w:left w:w="108" w:type="dxa"/>
            <w:bottom w:w="0" w:type="dxa"/>
            <w:right w:w="108" w:type="dxa"/>
          </w:tblCellMar>
        </w:tblPrEx>
        <w:trPr>
          <w:trHeight w:val="77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数学益智可互动墙面展板之经典五连方系列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经典五连方系列：四面开式合金边框，具有互动操作功能、多主题界面及快速更换功能，多主题界面板存储功能，可挂、可架、可移动；规格</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 900×600×40㎜，应包含  8个主题界面；操作器具全实木质，雕刻精美，连方单体规格 </w:t>
            </w:r>
            <w:r>
              <w:rPr>
                <w:rFonts w:hint="eastAsia" w:ascii="宋体" w:hAnsi="宋体" w:eastAsia="宋体" w:cs="宋体"/>
                <w:sz w:val="21"/>
                <w:szCs w:val="21"/>
                <w:lang w:val="en-US" w:eastAsia="zh-CN"/>
              </w:rPr>
              <w:t>≥</w:t>
            </w:r>
            <w:r>
              <w:rPr>
                <w:rFonts w:hint="eastAsia" w:ascii="宋体" w:hAnsi="宋体" w:eastAsia="宋体" w:cs="宋体"/>
                <w:sz w:val="21"/>
                <w:szCs w:val="21"/>
              </w:rPr>
              <w:t>25×25×12㎜。</w:t>
            </w:r>
          </w:p>
        </w:tc>
      </w:tr>
      <w:tr>
        <w:tblPrEx>
          <w:tblCellMar>
            <w:top w:w="0" w:type="dxa"/>
            <w:left w:w="108" w:type="dxa"/>
            <w:bottom w:w="0" w:type="dxa"/>
            <w:right w:w="108" w:type="dxa"/>
          </w:tblCellMar>
        </w:tblPrEx>
        <w:trPr>
          <w:trHeight w:val="127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数学益智可互动墙面展板之逻辑推理数独系列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 xml:space="preserve">逻辑推理数独系列：四面开式合金边框，具有互动操作功能、主题界面快速更换功能，多主题界面板存储功能，可挂、可架、可移动；规格 </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900×600×40㎜，应包含迷你数独、标准九宫数独主题等游戏界面；操作器具两色塑质强磁性，区别性显著，规格 </w:t>
            </w:r>
            <w:r>
              <w:rPr>
                <w:rFonts w:hint="eastAsia" w:ascii="宋体" w:hAnsi="宋体" w:eastAsia="宋体" w:cs="宋体"/>
                <w:sz w:val="21"/>
                <w:szCs w:val="21"/>
                <w:lang w:val="en-US" w:eastAsia="zh-CN"/>
              </w:rPr>
              <w:t>≥</w:t>
            </w:r>
            <w:r>
              <w:rPr>
                <w:rFonts w:hint="eastAsia" w:ascii="宋体" w:hAnsi="宋体" w:eastAsia="宋体" w:cs="宋体"/>
                <w:sz w:val="21"/>
                <w:szCs w:val="21"/>
              </w:rPr>
              <w:t>30×30×6㎜，数量  81颗。</w:t>
            </w:r>
          </w:p>
        </w:tc>
      </w:tr>
      <w:tr>
        <w:tblPrEx>
          <w:tblCellMar>
            <w:top w:w="0" w:type="dxa"/>
            <w:left w:w="108" w:type="dxa"/>
            <w:bottom w:w="0" w:type="dxa"/>
            <w:right w:w="108" w:type="dxa"/>
          </w:tblCellMar>
        </w:tblPrEx>
        <w:trPr>
          <w:trHeight w:val="127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数学益智可互动墙面展板之博弈系列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博弈系列:四面开式合金边框，具有互动操作功能、快速更换主题界面功能，多主题界面板存储功能，可挂、可架、可移动；规格</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 900×600×40㎜，应包含智取王位、狭路相逢、奇谋巧对、八仙过海、快递小哥、峰回路转、独粒钻石、单身贵族等主题  10个游戏界面；操作器具实木质，规格</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 45×32㎜，数量  32颗。</w:t>
            </w:r>
          </w:p>
        </w:tc>
      </w:tr>
      <w:tr>
        <w:tblPrEx>
          <w:tblCellMar>
            <w:top w:w="0" w:type="dxa"/>
            <w:left w:w="108" w:type="dxa"/>
            <w:bottom w:w="0" w:type="dxa"/>
            <w:right w:w="108" w:type="dxa"/>
          </w:tblCellMar>
        </w:tblPrEx>
        <w:trPr>
          <w:trHeight w:val="153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模块化几何模型搭建套装</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内含标准化组件286块，包含等边三角形100片、等腰三角形60片、正方形60片、长方形30片、五边形36片，专用橡皮筋600根。</w:t>
            </w:r>
            <w:r>
              <w:rPr>
                <w:rFonts w:hint="eastAsia" w:ascii="宋体" w:hAnsi="宋体" w:eastAsia="宋体" w:cs="宋体"/>
                <w:sz w:val="21"/>
                <w:szCs w:val="21"/>
              </w:rPr>
              <w:br w:type="textWrapping"/>
            </w:r>
            <w:r>
              <w:rPr>
                <w:rFonts w:hint="eastAsia" w:ascii="宋体" w:hAnsi="宋体" w:eastAsia="宋体" w:cs="宋体"/>
                <w:sz w:val="21"/>
                <w:szCs w:val="21"/>
              </w:rPr>
              <w:t>套装可以构建起正多面体、棱柱和反棱柱、棱锥和双棱锥、棱台以及组合体等多种立体几何体模型，是一套极具价值的学习工具，可以最大限度激发学生的创造性，帮助学生建立空间意识，培养学生的空间想象力，达到教学目标。</w:t>
            </w:r>
          </w:p>
        </w:tc>
      </w:tr>
      <w:tr>
        <w:tblPrEx>
          <w:tblCellMar>
            <w:top w:w="0" w:type="dxa"/>
            <w:left w:w="108" w:type="dxa"/>
            <w:bottom w:w="0" w:type="dxa"/>
            <w:right w:w="108" w:type="dxa"/>
          </w:tblCellMar>
        </w:tblPrEx>
        <w:trPr>
          <w:trHeight w:val="17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鲁班系列</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规格尺寸：</w:t>
            </w:r>
            <w:r>
              <w:rPr>
                <w:rFonts w:hint="eastAsia" w:ascii="宋体" w:hAnsi="宋体" w:eastAsia="宋体" w:cs="宋体"/>
                <w:sz w:val="21"/>
                <w:szCs w:val="21"/>
                <w:lang w:val="en-US" w:eastAsia="zh-CN"/>
              </w:rPr>
              <w:t>≥</w:t>
            </w:r>
            <w:r>
              <w:rPr>
                <w:rFonts w:hint="eastAsia" w:ascii="宋体" w:hAnsi="宋体" w:eastAsia="宋体" w:cs="宋体"/>
                <w:sz w:val="21"/>
                <w:szCs w:val="21"/>
              </w:rPr>
              <w:t>1200*700*950mmmm；</w:t>
            </w:r>
            <w:r>
              <w:rPr>
                <w:rFonts w:hint="eastAsia" w:ascii="宋体" w:hAnsi="宋体" w:eastAsia="宋体" w:cs="宋体"/>
                <w:sz w:val="21"/>
                <w:szCs w:val="21"/>
              </w:rPr>
              <w:br w:type="textWrapping"/>
            </w:r>
            <w:r>
              <w:rPr>
                <w:rFonts w:hint="eastAsia" w:ascii="宋体" w:hAnsi="宋体" w:eastAsia="宋体" w:cs="宋体"/>
                <w:sz w:val="21"/>
                <w:szCs w:val="21"/>
              </w:rPr>
              <w:t>主要材料：细木工板、环保油漆等；</w:t>
            </w:r>
            <w:r>
              <w:rPr>
                <w:rFonts w:hint="eastAsia" w:ascii="宋体" w:hAnsi="宋体" w:eastAsia="宋体" w:cs="宋体"/>
                <w:sz w:val="21"/>
                <w:szCs w:val="21"/>
              </w:rPr>
              <w:br w:type="textWrapping"/>
            </w:r>
            <w:r>
              <w:rPr>
                <w:rFonts w:hint="eastAsia" w:ascii="宋体" w:hAnsi="宋体" w:eastAsia="宋体" w:cs="宋体"/>
                <w:sz w:val="21"/>
                <w:szCs w:val="21"/>
              </w:rPr>
              <w:t>能源要求：不需要220V电源供电；</w:t>
            </w:r>
            <w:r>
              <w:rPr>
                <w:rFonts w:hint="eastAsia" w:ascii="宋体" w:hAnsi="宋体" w:eastAsia="宋体" w:cs="宋体"/>
                <w:sz w:val="21"/>
                <w:szCs w:val="21"/>
              </w:rPr>
              <w:br w:type="textWrapping"/>
            </w:r>
            <w:r>
              <w:rPr>
                <w:rFonts w:hint="eastAsia" w:ascii="宋体" w:hAnsi="宋体" w:eastAsia="宋体" w:cs="宋体"/>
                <w:sz w:val="21"/>
                <w:szCs w:val="21"/>
              </w:rPr>
              <w:t>功能原理：鲁班锁是根据"榫"、"卯"相互契合的原理，一榫一卯，一凸一凹，六根木头吻合而成的。是中国古代的一种数学玩具，运用古代建筑中的榫卯结构,在连接时凸凹相接,如果有半点错位就不可能相互连接、咬合在一起。</w:t>
            </w:r>
          </w:p>
        </w:tc>
      </w:tr>
      <w:tr>
        <w:tblPrEx>
          <w:tblCellMar>
            <w:top w:w="0" w:type="dxa"/>
            <w:left w:w="108" w:type="dxa"/>
            <w:bottom w:w="0" w:type="dxa"/>
            <w:right w:w="108" w:type="dxa"/>
          </w:tblCellMar>
        </w:tblPrEx>
        <w:trPr>
          <w:trHeight w:val="102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勾股定理</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规格尺寸：</w:t>
            </w:r>
            <w:r>
              <w:rPr>
                <w:rFonts w:hint="eastAsia" w:ascii="宋体" w:hAnsi="宋体" w:eastAsia="宋体" w:cs="宋体"/>
                <w:sz w:val="21"/>
                <w:szCs w:val="21"/>
                <w:lang w:val="en-US" w:eastAsia="zh-CN"/>
              </w:rPr>
              <w:t>≥</w:t>
            </w:r>
            <w:r>
              <w:rPr>
                <w:rFonts w:hint="eastAsia" w:ascii="宋体" w:hAnsi="宋体" w:eastAsia="宋体" w:cs="宋体"/>
                <w:color w:val="000000"/>
                <w:sz w:val="21"/>
                <w:szCs w:val="21"/>
              </w:rPr>
              <w:t>750*550mm；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直角三角形、锐角三角形、钝角三角形，以每个边的长度做成一个正方形的容器，通过翻转三个面上的圆盘，使容器中液体多少的对比发生变化，从而直观的方式证明了"勾股定理。即勾三股四弦五。</w:t>
            </w:r>
          </w:p>
        </w:tc>
      </w:tr>
      <w:tr>
        <w:tblPrEx>
          <w:tblCellMar>
            <w:top w:w="0" w:type="dxa"/>
            <w:left w:w="108" w:type="dxa"/>
            <w:bottom w:w="0" w:type="dxa"/>
            <w:right w:w="108" w:type="dxa"/>
          </w:tblCellMar>
        </w:tblPrEx>
        <w:trPr>
          <w:trHeight w:val="1784"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七巧板</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规格尺寸：</w:t>
            </w:r>
            <w:r>
              <w:rPr>
                <w:rFonts w:hint="eastAsia" w:ascii="宋体" w:hAnsi="宋体" w:eastAsia="宋体" w:cs="宋体"/>
                <w:sz w:val="21"/>
                <w:szCs w:val="21"/>
                <w:lang w:val="en-US" w:eastAsia="zh-CN"/>
              </w:rPr>
              <w:t>≥</w:t>
            </w:r>
            <w:r>
              <w:rPr>
                <w:rFonts w:hint="eastAsia" w:ascii="宋体" w:hAnsi="宋体" w:eastAsia="宋体" w:cs="宋体"/>
                <w:color w:val="000000"/>
                <w:sz w:val="21"/>
                <w:szCs w:val="21"/>
              </w:rPr>
              <w:t>630*550*1350mm；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传统智力玩具，可以摆出任意图形。七巧板被人誉为智力玩具中的“四大金刚”之一。体现中国古老文化和智慧之光的玩具已成了世界智力游戏界的“宠儿”，在世界益智玩具中具有崇高的地位。其原因不仅在于它们的历史悠久，同时在于其丰富的智力内涵，而且大多数在很早就传到国外，成为西方人津津乐道和迷恋的玩物，有的甚至导致了许多西方新的智力玩具的衍生和发明。</w:t>
            </w:r>
          </w:p>
        </w:tc>
      </w:tr>
      <w:tr>
        <w:tblPrEx>
          <w:tblCellMar>
            <w:top w:w="0" w:type="dxa"/>
            <w:left w:w="108" w:type="dxa"/>
            <w:bottom w:w="0" w:type="dxa"/>
            <w:right w:w="108" w:type="dxa"/>
          </w:tblCellMar>
        </w:tblPrEx>
        <w:trPr>
          <w:trHeight w:val="153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方轮车</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规格尺寸：</w:t>
            </w:r>
            <w:r>
              <w:rPr>
                <w:rFonts w:hint="eastAsia" w:ascii="宋体" w:hAnsi="宋体" w:eastAsia="宋体" w:cs="宋体"/>
                <w:sz w:val="21"/>
                <w:szCs w:val="21"/>
                <w:lang w:val="en-US" w:eastAsia="zh-CN"/>
              </w:rPr>
              <w:t>≥</w:t>
            </w:r>
            <w:r>
              <w:rPr>
                <w:rFonts w:hint="eastAsia" w:ascii="宋体" w:hAnsi="宋体" w:eastAsia="宋体" w:cs="宋体"/>
                <w:color w:val="000000"/>
                <w:sz w:val="21"/>
                <w:szCs w:val="21"/>
              </w:rPr>
              <w:t>1300*450*650mm；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此奥秘在轨道上：轨道由正确尺寸、一事实上形状的啮合块组成，而啮合块的弯曲程度由悬链状曲线确定，其尺寸取决于方形轮的边长，悬链线全长应等于方形轮边长。因此，当方形轮在合适的悬链线啮合块轨道上滚动时，轨道的起伏使车轴重心始终保持同一高度，这意味轮子始终处平衡状态，车子是平稳运行的。</w:t>
            </w:r>
          </w:p>
        </w:tc>
      </w:tr>
      <w:tr>
        <w:tblPrEx>
          <w:tblCellMar>
            <w:top w:w="0" w:type="dxa"/>
            <w:left w:w="108" w:type="dxa"/>
            <w:bottom w:w="0" w:type="dxa"/>
            <w:right w:w="108" w:type="dxa"/>
          </w:tblCellMar>
        </w:tblPrEx>
        <w:trPr>
          <w:trHeight w:val="2292"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梵天塔</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规格尺寸：</w:t>
            </w:r>
            <w:r>
              <w:rPr>
                <w:rFonts w:hint="eastAsia" w:ascii="宋体" w:hAnsi="宋体" w:eastAsia="宋体" w:cs="宋体"/>
                <w:sz w:val="21"/>
                <w:szCs w:val="21"/>
                <w:lang w:val="en-US" w:eastAsia="zh-CN"/>
              </w:rPr>
              <w:t>≥</w:t>
            </w:r>
            <w:r>
              <w:rPr>
                <w:rFonts w:hint="eastAsia" w:ascii="宋体" w:hAnsi="宋体" w:eastAsia="宋体" w:cs="宋体"/>
                <w:color w:val="000000"/>
                <w:sz w:val="21"/>
                <w:szCs w:val="21"/>
              </w:rPr>
              <w:t>￠780*750mm；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主要材料：进口亚克力、优质细木工板、环保油漆等；</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学科内容：数学——递推法；</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能源要求：不需要220V电源供电；</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功能原理：当圆盘有3个时：用下面三个阶段的走法进行思考：第一阶段：将2个圆盘由第1个底座移到第2个底座，这需要3次的移动。第2阶段，将1个圆盘由第1个底座移到第3个底座，这需要1次的移动。第3阶段：将2个圆盘由第2个底座移到第三个底座，这需要3次移动。合计三个阶段共需要7次移动。</w:t>
            </w:r>
          </w:p>
        </w:tc>
      </w:tr>
      <w:tr>
        <w:tblPrEx>
          <w:tblCellMar>
            <w:top w:w="0" w:type="dxa"/>
            <w:left w:w="108" w:type="dxa"/>
            <w:bottom w:w="0" w:type="dxa"/>
            <w:right w:w="108" w:type="dxa"/>
          </w:tblCellMar>
        </w:tblPrEx>
        <w:trPr>
          <w:trHeight w:val="59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可替换式挂图灯箱</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尺寸：60cm*60cm定制，可开启式超薄铝合金成型灯箱，3cm边框、表面静电喷涂、颜色为闪光银，Led光源。</w:t>
            </w:r>
          </w:p>
        </w:tc>
      </w:tr>
      <w:tr>
        <w:tblPrEx>
          <w:tblCellMar>
            <w:top w:w="0" w:type="dxa"/>
            <w:left w:w="108" w:type="dxa"/>
            <w:bottom w:w="0" w:type="dxa"/>
            <w:right w:w="108" w:type="dxa"/>
          </w:tblCellMar>
        </w:tblPrEx>
        <w:trPr>
          <w:trHeight w:val="2545"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教学挂图灯箱片</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张</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尺寸：</w:t>
            </w:r>
            <w:r>
              <w:rPr>
                <w:rFonts w:hint="eastAsia" w:ascii="宋体" w:hAnsi="宋体" w:eastAsia="宋体" w:cs="宋体"/>
                <w:sz w:val="21"/>
                <w:szCs w:val="21"/>
                <w:lang w:val="en-US" w:eastAsia="zh-CN"/>
              </w:rPr>
              <w:t>≥</w:t>
            </w:r>
            <w:r>
              <w:rPr>
                <w:rFonts w:hint="eastAsia" w:ascii="宋体" w:hAnsi="宋体" w:eastAsia="宋体" w:cs="宋体"/>
                <w:sz w:val="21"/>
                <w:szCs w:val="21"/>
              </w:rPr>
              <w:t>55cm*55cm，灯箱片要求：</w:t>
            </w:r>
            <w:r>
              <w:rPr>
                <w:rFonts w:hint="eastAsia" w:ascii="宋体" w:hAnsi="宋体" w:eastAsia="宋体" w:cs="宋体"/>
                <w:sz w:val="21"/>
                <w:szCs w:val="21"/>
                <w:lang w:val="en-US" w:eastAsia="zh-CN"/>
              </w:rPr>
              <w:t>≥</w:t>
            </w:r>
            <w:r>
              <w:rPr>
                <w:rFonts w:hint="eastAsia" w:ascii="宋体" w:hAnsi="宋体" w:eastAsia="宋体" w:cs="宋体"/>
                <w:sz w:val="21"/>
                <w:szCs w:val="21"/>
              </w:rPr>
              <w:t xml:space="preserve">1440dpi高清晰度灯箱片，覆亮膜，内容涉及：埃舍尔绘画系列（埃舍尔、极限圆Ⅲ、日与月、天与水、鱼和规模、Gravity、Eight Heads、多立克柱、瀑布、黑白骑士、画手、蜥蜴），国外数学家系列（泰勒斯、毕达哥拉斯、芝诺、德谟克利特、柏拉图、亚里士多德、欧几里德、阿基米德、伽利略、开普勒、笛卡尔、牛顿、泰勒、欧拉、高斯、罗素、爱因斯坦、斐波那契），中国数学家系列（熊庆来、华罗庚、陈省身、陈景润、潘承洞、苏步青、吴文俊、杨乐、丘成桐、刘徽、祖冲之、沈括、秦九韶、郭守敬、徐光启、李善兰），建筑与数学系列（天坛&amp;泰姬陵、文艺复兴时期建筑油画、雪花曲线、地震与对数）。 </w:t>
            </w:r>
          </w:p>
        </w:tc>
      </w:tr>
      <w:tr>
        <w:tblPrEx>
          <w:tblCellMar>
            <w:top w:w="0" w:type="dxa"/>
            <w:left w:w="108" w:type="dxa"/>
            <w:bottom w:w="0" w:type="dxa"/>
            <w:right w:w="108" w:type="dxa"/>
          </w:tblCellMar>
        </w:tblPrEx>
        <w:trPr>
          <w:trHeight w:val="59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可替换式挂图灯箱</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尺寸：</w:t>
            </w:r>
            <w:r>
              <w:rPr>
                <w:rFonts w:hint="eastAsia" w:ascii="宋体" w:hAnsi="宋体" w:eastAsia="宋体" w:cs="宋体"/>
                <w:sz w:val="21"/>
                <w:szCs w:val="21"/>
                <w:lang w:val="en-US" w:eastAsia="zh-CN"/>
              </w:rPr>
              <w:t>≥</w:t>
            </w:r>
            <w:r>
              <w:rPr>
                <w:rFonts w:hint="eastAsia" w:ascii="宋体" w:hAnsi="宋体" w:eastAsia="宋体" w:cs="宋体"/>
                <w:sz w:val="21"/>
                <w:szCs w:val="21"/>
              </w:rPr>
              <w:t>120cm*60cm定制，可开启式超薄铝合金成型灯箱，3cm边框、表面静电喷涂、颜色为闪光银，Led光源。</w:t>
            </w:r>
          </w:p>
        </w:tc>
      </w:tr>
      <w:tr>
        <w:tblPrEx>
          <w:tblCellMar>
            <w:top w:w="0" w:type="dxa"/>
            <w:left w:w="108" w:type="dxa"/>
            <w:bottom w:w="0" w:type="dxa"/>
            <w:right w:w="108" w:type="dxa"/>
          </w:tblCellMar>
        </w:tblPrEx>
        <w:trPr>
          <w:trHeight w:val="127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教学挂图灯箱片</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张</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尺寸：</w:t>
            </w:r>
            <w:r>
              <w:rPr>
                <w:rFonts w:hint="eastAsia" w:ascii="宋体" w:hAnsi="宋体" w:eastAsia="宋体" w:cs="宋体"/>
                <w:sz w:val="21"/>
                <w:szCs w:val="21"/>
                <w:lang w:val="en-US" w:eastAsia="zh-CN"/>
              </w:rPr>
              <w:t>≥</w:t>
            </w:r>
            <w:r>
              <w:rPr>
                <w:rFonts w:hint="eastAsia" w:ascii="宋体" w:hAnsi="宋体" w:eastAsia="宋体" w:cs="宋体"/>
                <w:sz w:val="21"/>
                <w:szCs w:val="21"/>
              </w:rPr>
              <w:t>120cm*60cm定制，灯箱片要求：</w:t>
            </w:r>
            <w:r>
              <w:rPr>
                <w:rFonts w:hint="eastAsia" w:ascii="宋体" w:hAnsi="宋体" w:eastAsia="宋体" w:cs="宋体"/>
                <w:sz w:val="21"/>
                <w:szCs w:val="21"/>
                <w:lang w:val="en-US" w:eastAsia="zh-CN"/>
              </w:rPr>
              <w:t>≥</w:t>
            </w:r>
            <w:r>
              <w:rPr>
                <w:rFonts w:hint="eastAsia" w:ascii="宋体" w:hAnsi="宋体" w:eastAsia="宋体" w:cs="宋体"/>
                <w:sz w:val="21"/>
                <w:szCs w:val="21"/>
              </w:rPr>
              <w:t>1440dpi高清晰度灯箱片，覆亮膜，内容涉及：埃舍尔绘画--骑士，绘画与数学系列（达芬奇—最后的晚餐、拉斐尔—雅典学派），分形系列（分形1、分形2），中国剩余定理，7种方法证明勾股定理（1）、7种方法证明勾股定理（2）、7种方法证明勾股定理（3）、魔方与数学</w:t>
            </w:r>
          </w:p>
        </w:tc>
      </w:tr>
      <w:tr>
        <w:tblPrEx>
          <w:tblCellMar>
            <w:top w:w="0" w:type="dxa"/>
            <w:left w:w="108" w:type="dxa"/>
            <w:bottom w:w="0" w:type="dxa"/>
            <w:right w:w="108" w:type="dxa"/>
          </w:tblCellMar>
        </w:tblPrEx>
        <w:trPr>
          <w:trHeight w:val="771"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数学知识展板</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张</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教室装饰知识展板、工艺边框，版面由专业设计人员设计，美观实用。内容包含：斐波那契数列与植物花瓣、模拟美丽的花朵的数学方程、动物中的数学等。</w:t>
            </w:r>
          </w:p>
        </w:tc>
      </w:tr>
      <w:tr>
        <w:tblPrEx>
          <w:tblCellMar>
            <w:top w:w="0" w:type="dxa"/>
            <w:left w:w="108" w:type="dxa"/>
            <w:bottom w:w="0" w:type="dxa"/>
            <w:right w:w="108" w:type="dxa"/>
          </w:tblCellMar>
        </w:tblPrEx>
        <w:trPr>
          <w:trHeight w:val="59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小学教具</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包含小学教材所设计的各种教具，适合不同学段的小学使用；与教材匹配。</w:t>
            </w:r>
          </w:p>
        </w:tc>
      </w:tr>
      <w:tr>
        <w:tblPrEx>
          <w:tblCellMar>
            <w:top w:w="0" w:type="dxa"/>
            <w:left w:w="108" w:type="dxa"/>
            <w:bottom w:w="0" w:type="dxa"/>
            <w:right w:w="108" w:type="dxa"/>
          </w:tblCellMar>
        </w:tblPrEx>
        <w:trPr>
          <w:trHeight w:val="59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1623"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几何益智组合套装</w:t>
            </w:r>
          </w:p>
        </w:tc>
        <w:tc>
          <w:tcPr>
            <w:tcW w:w="577"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适合不同年龄段小学生益智活动，充分认识平面图形、空间图形等。</w:t>
            </w:r>
          </w:p>
        </w:tc>
      </w:tr>
      <w:tr>
        <w:tblPrEx>
          <w:tblCellMar>
            <w:top w:w="0" w:type="dxa"/>
            <w:left w:w="108" w:type="dxa"/>
            <w:bottom w:w="0" w:type="dxa"/>
            <w:right w:w="108" w:type="dxa"/>
          </w:tblCellMar>
        </w:tblPrEx>
        <w:trPr>
          <w:trHeight w:val="597"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三维立体几何模型</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包括正多面体、旋转体、体积关系、切割与截面、表面展开图、空间的线、内接等方面的内容.</w:t>
            </w:r>
          </w:p>
        </w:tc>
      </w:tr>
      <w:tr>
        <w:tblPrEx>
          <w:tblCellMar>
            <w:top w:w="0" w:type="dxa"/>
            <w:left w:w="108" w:type="dxa"/>
            <w:bottom w:w="0" w:type="dxa"/>
            <w:right w:w="108" w:type="dxa"/>
          </w:tblCellMar>
        </w:tblPrEx>
        <w:trPr>
          <w:trHeight w:val="606" w:hRule="atLeast"/>
        </w:trPr>
        <w:tc>
          <w:tcPr>
            <w:tcW w:w="661"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1623"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几何模型教学系统</w:t>
            </w:r>
          </w:p>
        </w:tc>
        <w:tc>
          <w:tcPr>
            <w:tcW w:w="577"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495"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21" w:type="dxa"/>
            <w:tcBorders>
              <w:top w:val="nil"/>
              <w:left w:val="nil"/>
              <w:bottom w:val="single" w:color="auto" w:sz="4" w:space="0"/>
              <w:right w:val="single" w:color="auto" w:sz="4" w:space="0"/>
            </w:tcBorders>
            <w:shd w:val="clear" w:color="auto" w:fill="auto"/>
            <w:vAlign w:val="center"/>
          </w:tcPr>
          <w:p>
            <w:pPr>
              <w:adjustRightInd/>
              <w:snapToGrid/>
              <w:spacing w:after="0"/>
              <w:rPr>
                <w:rFonts w:hint="eastAsia" w:ascii="宋体" w:hAnsi="宋体" w:eastAsia="宋体" w:cs="宋体"/>
                <w:sz w:val="21"/>
                <w:szCs w:val="21"/>
              </w:rPr>
            </w:pPr>
            <w:r>
              <w:rPr>
                <w:rFonts w:hint="eastAsia" w:ascii="宋体" w:hAnsi="宋体" w:eastAsia="宋体" w:cs="宋体"/>
                <w:sz w:val="21"/>
                <w:szCs w:val="21"/>
              </w:rPr>
              <w:t>与三维立体几何实体模型对应，可以动态展示、修改参数、旋转、展开/合拢等。安装于教学智慧黑板上。</w:t>
            </w:r>
          </w:p>
        </w:tc>
      </w:tr>
    </w:tbl>
    <w:p>
      <w:pPr>
        <w:spacing w:line="220" w:lineRule="atLeast"/>
        <w:rPr>
          <w:rFonts w:hint="eastAsia" w:ascii="宋体" w:hAnsi="宋体" w:eastAsia="宋体" w:cs="宋体"/>
          <w:sz w:val="21"/>
          <w:szCs w:val="21"/>
        </w:rPr>
      </w:pPr>
    </w:p>
    <w:tbl>
      <w:tblPr>
        <w:tblStyle w:val="15"/>
        <w:tblW w:w="9120" w:type="dxa"/>
        <w:tblInd w:w="93" w:type="dxa"/>
        <w:tblLayout w:type="fixed"/>
        <w:tblCellMar>
          <w:top w:w="0" w:type="dxa"/>
          <w:left w:w="108" w:type="dxa"/>
          <w:bottom w:w="0" w:type="dxa"/>
          <w:right w:w="108" w:type="dxa"/>
        </w:tblCellMar>
      </w:tblPr>
      <w:tblGrid>
        <w:gridCol w:w="659"/>
        <w:gridCol w:w="67"/>
        <w:gridCol w:w="1566"/>
        <w:gridCol w:w="532"/>
        <w:gridCol w:w="71"/>
        <w:gridCol w:w="706"/>
        <w:gridCol w:w="5519"/>
      </w:tblGrid>
      <w:tr>
        <w:tblPrEx>
          <w:tblCellMar>
            <w:top w:w="0" w:type="dxa"/>
            <w:left w:w="108" w:type="dxa"/>
            <w:bottom w:w="0" w:type="dxa"/>
            <w:right w:w="108" w:type="dxa"/>
          </w:tblCellMar>
        </w:tblPrEx>
        <w:trPr>
          <w:trHeight w:val="494" w:hRule="atLeast"/>
        </w:trPr>
        <w:tc>
          <w:tcPr>
            <w:tcW w:w="9120" w:type="dxa"/>
            <w:gridSpan w:val="7"/>
            <w:tcBorders>
              <w:top w:val="single" w:color="auto" w:sz="4" w:space="0"/>
              <w:left w:val="single" w:color="auto" w:sz="4" w:space="0"/>
              <w:bottom w:val="single" w:color="auto" w:sz="4" w:space="0"/>
              <w:right w:val="single" w:color="auto" w:sz="4" w:space="0"/>
            </w:tcBorders>
            <w:shd w:val="clear" w:color="000000" w:fill="FFFFFF"/>
            <w:noWrap/>
            <w:vAlign w:val="center"/>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化学仪器</w:t>
            </w:r>
          </w:p>
        </w:tc>
      </w:tr>
      <w:tr>
        <w:tblPrEx>
          <w:tblCellMar>
            <w:top w:w="0" w:type="dxa"/>
            <w:left w:w="108" w:type="dxa"/>
            <w:bottom w:w="0" w:type="dxa"/>
            <w:right w:w="108" w:type="dxa"/>
          </w:tblCellMar>
        </w:tblPrEx>
        <w:trPr>
          <w:trHeight w:val="512"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adjustRightInd/>
              <w:snapToGrid/>
              <w:spacing w:after="0"/>
              <w:jc w:val="center"/>
              <w:rPr>
                <w:rFonts w:hint="eastAsia" w:ascii="宋体" w:hAnsi="宋体" w:eastAsia="宋体" w:cs="宋体"/>
                <w:b/>
                <w:color w:val="000000"/>
                <w:sz w:val="21"/>
                <w:szCs w:val="21"/>
                <w:lang w:val="en-US" w:eastAsia="zh-CN" w:bidi="ar-SA"/>
              </w:rPr>
            </w:pPr>
            <w:r>
              <w:rPr>
                <w:rFonts w:hint="eastAsia" w:ascii="宋体" w:hAnsi="宋体" w:eastAsia="宋体" w:cs="宋体"/>
                <w:b/>
                <w:color w:val="000000"/>
                <w:sz w:val="21"/>
                <w:szCs w:val="21"/>
              </w:rPr>
              <w:t>序号</w:t>
            </w:r>
          </w:p>
        </w:tc>
        <w:tc>
          <w:tcPr>
            <w:tcW w:w="1566" w:type="dxa"/>
            <w:tcBorders>
              <w:top w:val="nil"/>
              <w:left w:val="nil"/>
              <w:bottom w:val="single" w:color="auto" w:sz="4" w:space="0"/>
              <w:right w:val="single" w:color="auto" w:sz="4" w:space="0"/>
            </w:tcBorders>
            <w:shd w:val="clear" w:color="000000" w:fill="FFFFFF"/>
            <w:vAlign w:val="center"/>
          </w:tcPr>
          <w:p>
            <w:pPr>
              <w:adjustRightInd/>
              <w:snapToGrid/>
              <w:spacing w:after="0"/>
              <w:jc w:val="center"/>
              <w:rPr>
                <w:rFonts w:hint="eastAsia" w:ascii="宋体" w:hAnsi="宋体" w:eastAsia="宋体" w:cs="宋体"/>
                <w:b/>
                <w:color w:val="000000"/>
                <w:sz w:val="21"/>
                <w:szCs w:val="21"/>
                <w:lang w:val="en-US" w:eastAsia="zh-CN" w:bidi="ar-SA"/>
              </w:rPr>
            </w:pPr>
            <w:r>
              <w:rPr>
                <w:rFonts w:hint="eastAsia" w:ascii="宋体" w:hAnsi="宋体" w:eastAsia="宋体" w:cs="宋体"/>
                <w:b/>
                <w:color w:val="000000"/>
                <w:sz w:val="21"/>
                <w:szCs w:val="21"/>
              </w:rPr>
              <w:t>设备名称</w:t>
            </w:r>
          </w:p>
        </w:tc>
        <w:tc>
          <w:tcPr>
            <w:tcW w:w="532" w:type="dxa"/>
            <w:tcBorders>
              <w:top w:val="nil"/>
              <w:left w:val="nil"/>
              <w:bottom w:val="single" w:color="auto" w:sz="4" w:space="0"/>
              <w:right w:val="single" w:color="auto" w:sz="4" w:space="0"/>
            </w:tcBorders>
            <w:shd w:val="clear" w:color="000000" w:fill="FFFFFF"/>
            <w:noWrap/>
            <w:vAlign w:val="center"/>
          </w:tcPr>
          <w:p>
            <w:pPr>
              <w:adjustRightInd/>
              <w:snapToGrid/>
              <w:spacing w:after="0"/>
              <w:jc w:val="center"/>
              <w:rPr>
                <w:rFonts w:hint="eastAsia" w:ascii="宋体" w:hAnsi="宋体" w:eastAsia="宋体" w:cs="宋体"/>
                <w:b/>
                <w:color w:val="000000"/>
                <w:sz w:val="21"/>
                <w:szCs w:val="21"/>
                <w:lang w:val="en-US" w:eastAsia="zh-CN" w:bidi="ar-SA"/>
              </w:rPr>
            </w:pPr>
            <w:r>
              <w:rPr>
                <w:rFonts w:hint="eastAsia" w:ascii="宋体" w:hAnsi="宋体" w:eastAsia="宋体" w:cs="宋体"/>
                <w:b/>
                <w:color w:val="000000"/>
                <w:sz w:val="21"/>
                <w:szCs w:val="21"/>
              </w:rPr>
              <w:t>数量</w:t>
            </w:r>
          </w:p>
        </w:tc>
        <w:tc>
          <w:tcPr>
            <w:tcW w:w="777" w:type="dxa"/>
            <w:gridSpan w:val="2"/>
            <w:tcBorders>
              <w:top w:val="nil"/>
              <w:left w:val="nil"/>
              <w:bottom w:val="single" w:color="auto" w:sz="4" w:space="0"/>
              <w:right w:val="single" w:color="auto" w:sz="4" w:space="0"/>
            </w:tcBorders>
            <w:shd w:val="clear" w:color="000000" w:fill="FFFFFF"/>
            <w:noWrap/>
            <w:vAlign w:val="center"/>
          </w:tcPr>
          <w:p>
            <w:pPr>
              <w:adjustRightInd/>
              <w:snapToGrid/>
              <w:spacing w:after="0"/>
              <w:jc w:val="center"/>
              <w:rPr>
                <w:rFonts w:hint="eastAsia" w:ascii="宋体" w:hAnsi="宋体" w:eastAsia="宋体" w:cs="宋体"/>
                <w:b/>
                <w:color w:val="000000"/>
                <w:sz w:val="21"/>
                <w:szCs w:val="21"/>
                <w:lang w:val="en-US" w:eastAsia="zh-CN" w:bidi="ar-SA"/>
              </w:rPr>
            </w:pPr>
            <w:r>
              <w:rPr>
                <w:rFonts w:hint="eastAsia" w:ascii="宋体" w:hAnsi="宋体" w:eastAsia="宋体" w:cs="宋体"/>
                <w:b/>
                <w:color w:val="000000"/>
                <w:sz w:val="21"/>
                <w:szCs w:val="21"/>
              </w:rPr>
              <w:t>单位</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jc w:val="center"/>
              <w:rPr>
                <w:rFonts w:hint="eastAsia" w:ascii="宋体" w:hAnsi="宋体" w:eastAsia="宋体" w:cs="宋体"/>
                <w:b/>
                <w:color w:val="000000"/>
                <w:sz w:val="21"/>
                <w:szCs w:val="21"/>
                <w:lang w:val="en-US" w:eastAsia="zh-CN" w:bidi="ar-SA"/>
              </w:rPr>
            </w:pPr>
            <w:r>
              <w:rPr>
                <w:rFonts w:hint="eastAsia" w:ascii="宋体" w:hAnsi="宋体" w:eastAsia="宋体" w:cs="宋体"/>
                <w:b/>
                <w:color w:val="000000"/>
                <w:sz w:val="21"/>
                <w:szCs w:val="21"/>
              </w:rPr>
              <w:t>参数性能</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化学实验废水处理装置</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主体透明，能进行pH测试、酸碱废液中和、重金属凝聚和过滤，兼作教学使用，能处理中学常见无机化学废液，同时可以通过仪器内的活性炭吸附少量混入的有机物。应配备适量的凝聚剂和助凝剂，至少应配备更换用活性炭包1个。处理量≥6L/次</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废液分类回收桶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塑料制，25L</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电加热器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single" w:color="auto" w:sz="4" w:space="0"/>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密封式</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列管式烘干器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由外壳不少于13支通风管、电源线、发热器、风扇等组成。通风管用外径12mm的金属管制作，管壁厚≥2mm，长度185mm，每支通风管上均布10个直径5mm的通气孔。功率≥250W，绝缘电阻大于100MΩ</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烘干箱</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电热鼓风型，功率≥600W，1.5级（温度均匀性为±0.03℃，温度波动性为1.5℃），烘干温度250℃以下，箱体内有隔板，内部容积≥350mm×350mm×350mm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教学电源</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交流2V～12V，5A，每2V一档；直流1.5V～12V，2A，分为1.5V、3V、4.5V、6V、9V、12V，共6档</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仪器车</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辆</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600mm×400mm×800mm，不锈钢材质，至少两层，各层带可拆卸护栏，总载重≥60kg</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试剂瓶托盘</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搪瓷材质，内沿≥400mm×290mm×50mm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实验用品提篮</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木制，配有提手，490mm×360mm×290mm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一字螺丝刀</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Ф6mm，长150mm，工作端带磁性</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十字螺丝刀</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Ф6mm，长150mm，工作端带磁性</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钢丝钳</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160mm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钢锤</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0.25kg，羊角锤</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三角锉</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250mm，带柄</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民用剪刀</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3号，150mm，A型</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刀口式，材质为不锈钢管、钢管或黄铜管，每组不少于4支，外径分别为9mm、8mm、7mm、6mm，并配一支带柄金属通扦</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打孔夹板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硬木或硬塑料制</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打孔器刮刀</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刮刀宜用65M板制成，表面热处理，55HRC～60HRC，总长为70mm±0.5mm，宽14.5mm±0.1mm，厚1.8mm±0.5mm，刀口角度宜为60°±5°，锋刃＜0.1mm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电动钻孔器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钻头可拆卸，应配有2个以上不同孔径的钻头</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托盘天平</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100g，0.1g</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托盘天平</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500g，0.5g</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电子天平</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1000g，0.1g</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红液温度计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0℃～100℃，分度值1℃，示值误差＜1.5℃</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水银温度计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0℃～200℃，分度值1℃，示值误差＜0.5℃，有保护套</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多用电表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直流电流、电压、电阻2.5级，交流电压5级</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酸度计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笔式，pH测量范围0～14，分辨力0.1，读数清晰，有自动关机节电模式，配校准试剂</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教学支架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方形座，含铁夹、复夹、铁圈，重心稳定不晃动，夹持器内侧应有垫衬</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三脚架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铁制，环内径</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75mm，高</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150mm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木制或塑料制，8孔，孔径21mm，立柱粘结牢固</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木制或塑料制，8孔，孔径25mm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木制或塑料制，8孔，孔径35mm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漏斗架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木制或塑料制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滴定台</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人造石或大理石白色台面，重心稳定不晃动，底部有四个橡胶垫脚</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滴定夹</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铝制，加持部位有防滑脱凹槽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多用滴管架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塑料制，底部有圆形凹槽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容量瓶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250mL透明硼硅酸盐玻璃制，刻度线应在瓶颈下部三分之二处，清晰耐久，粗细均匀</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容量瓶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500mL透明硼硅酸盐玻璃制，刻度线应在瓶颈下部三分之二处，清晰耐久，粗细均匀</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滴定管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酸式，具塞，25mL透明钠钙玻璃制，良好外观，不应有积水条纹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滴定管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碱式，无塞，25mL透明钠钙玻璃制，良好外观，不应有积水条纹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Φ12mm×70mm透明硼硅酸盐玻璃制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Φ15mm×150mm透明硼硅酸盐玻璃制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Φ18mm×180mm透明硼硅酸盐玻璃制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Φ20mm×200mm透明硼硅酸盐玻璃制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Φ32mm×200mm透明硼硅酸盐玻璃制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口部具支试管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Φ20mm×200mm透明硼硅酸盐玻璃制，管底厚薄应均匀，支管连接应平滑牢固，不应有偏歪</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硬质玻璃管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Φ15mm×150mm透明硼硅酸盐玻璃制，耐热温度≥800℃，试管两端口部应卷口</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硬质玻璃管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Φ20mm×250mm透明硼硅酸盐玻璃制，耐热温度≥800℃，试管两端口部应卷口</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250mL，圆底透明硼硅酸盐玻璃制，玻璃薄厚均匀，底部应规整</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250mL，平底透明硼硅酸盐玻璃制，平底烧瓶放在平台上时，应直立不摇晃、不转动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锥形瓶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100mL透明硼硅酸盐玻璃制，放在平台上应直立不摇晃、不转动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锥形瓶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250mL透明硼硅酸盐玻璃制，放在平台上应直立不摇晃、不转动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蒸馏烧瓶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250mL透明硼硅酸盐玻璃制，烧瓶的颈部同一截面应该呈圆形，颈的口部不应呈锥形，并适当提高强度</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集气瓶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125mL透明钠钙玻璃制，磨砂面应均匀地覆盖瓶口端面与盖板，磨砂面不应有光斑；盖板四角应倒角，四边应磨光盖板与瓶口密合性应符合：盖板与瓶口充分湿润盖合后，倒提瓶体盖板在瓶口上保持30s不脱落</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集气瓶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250mL透明钠钙玻璃制，磨砂面应均匀地覆盖瓶口端面与盖板，磨砂面不应有光斑；盖板四角应倒角，四边应磨光盖板与瓶口密合性应符合：盖板与瓶口充分湿润盖合后，倒提瓶体盖板在瓶口上保持30s不脱落</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液封除毒气集气瓶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250mL瓶口光滑，液封口深度≥1cm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茶色广口瓶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3000mL透明钠钙玻璃制，瓶塞与瓶口紧实，不晃动；口部应圆整光滑，底部应平整，放置平台上不应摇晃或转动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茶色细口瓶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1000mL黄棕色钠钙玻璃制，瓶塞与瓶口紧实，不晃动；口部应圆整光滑，底部应平整，放置平台上不应摇晃或转动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30mL透明钠钙玻璃制，瓶口细磨，磨砂面应均匀细腻，滴管应附橡胶帽，吸放弹性好，开口直径6mm，与滴管口套合牢固稳定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60mL透明钠钙玻璃制，瓶口细磨，磨砂面应均匀细腻，滴管应附橡胶帽，吸放弹性好，开口直径6mm，与滴管口套合牢固稳定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茶色滴瓶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30mL黄棕色钠钙玻璃制，瓶口细磨，磨砂面应均匀细腻，滴管应附橡胶帽，吸放弹性好，开口直径6mm，与滴管口套合牢固稳定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茶色滴瓶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60mL黄棕色钠钙玻璃制，瓶口细磨，磨砂面应均匀细腻，滴管应附橡胶帽，吸放弹性好，开口直径6mm，与滴管口套合牢固稳定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150mL透明钠钙玻璃制，无明显黄绿色。灯口应平整，瓷灯头与灯口平面间隙不应超过1.5mm。玻璃灯罩应磨口。瓷灯头应为白色，完全覆盖灯口，表面无缺陷。配置与灯口孔径相适应的整齐完整的棉线灯芯</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干燥器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150mm磨口平整，密封严实，隔板大小合适，不少于5个圆孔</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气体发生器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250mL漏斗柄与瓶身连接口内壁间隔≤2mm（单边）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冷凝器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300mm±10mm直形，管径均匀，应有防滑脱沟槽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牛角管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Φ18mm×150mm弯形，尖嘴处厚度＞1mm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60mm直径准确，锥度适中</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90mm直径准确，锥度适中</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安全漏斗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直形，径长300mm上口直径40mm±3mm，玻璃壁厚度适中</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安全漏斗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双球球径高度、直径一致，双球应位于环管中部，应无明显偏斜</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分液漏斗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50mL，锥型瓶塞应有凹槽，瓶口有气孔</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分液漏斗</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50mL，球型瓶塞应有凹槽，瓶口有气孔</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三通连接管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T形Φ7mm～8mm，连接完好，管口应作打磨或烧结处理</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三通连接管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Y形Φ7mm～8mm，连接完好，管口应作打磨或烧结处理</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100mm直形，滴管尖嘴口径1mm，上端有防滑脱翻口，翻口处直径比滴管直径略多1mm～2mm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150mm直形，滴管尖嘴口径1mm，上端有防滑脱翻口，翻口处直径比滴管直径略多1mm～2mm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干燥管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145mm，单球硼硅酸盐玻璃制，玻璃壁厚度适中，球体圆润，导气管长度≥2cm，最好有防滑脱沟槽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干燥管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Φ15mm×150mm，U型硼硅酸盐玻璃制，玻璃壁厚度适中，球体圆润，导气管长度≥2cm，最好有防滑脱沟槽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玻璃活塞</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直形吻合良好，不漏气，不漏液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圆水槽</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Φ210mm×110mm水槽底部应平整，不应凸底，壁厚和底厚应均匀，口部端面应平整，边和口应圆滑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圆水槽</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Φ270mm×140mm水槽底部应平整，不应凸底，壁厚和底厚应均匀，口部端面应平整，边和口应圆滑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坩埚钳</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200mm，钢制，中间弯曲部分内径应在2cm～3cm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烧杯夹</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钢制或不锈钢制，夹持部位应有橡胶保护套，避免与玻璃烧杯直接接触</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镊子</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不锈钢制，平头，长125mm，钢板厚1.2mm，前部应有防滑脱锯齿</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试管夹</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木制或者竹制，长度≥200mm，宽度约20mm，厚度约20mm。试管夹闭口缝≤1mm，开口距离≥25mm。毡块粘接牢固，试管夹弹簧作防锈处理。试管夹持部位圆弧内径≤15mm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止水皮管夹</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Φ3mm钢丝制成，作防锈处理，夹持角度≥60º，弹性好，不漏液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螺旋皮管夹</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由支架管和带压板的螺杆等组成。外形尺寸约为33mm×20mm×8mm，旋转方便，不易变形，压板厚度≥1mm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石棉网</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金属网尺寸≥125mm×125mm，0.8mm钢丝制成，石棉材料不易脱落，石棉网边缘钢丝应作简单处理</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燃烧匙</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铜勺，勺直径18mm，深10mm，铁柄，柄长约300mm，长柄和铜勺连接稳定结实</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药匙</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长度≥13cm，带小勺，材质可选金属、牛角、塑料</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Φ5mm～6mm中性料，管口应打磨或烧结，避免划伤事故</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Φ7mm～8mm中性料，管口应打磨或烧结，避免划伤事故</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玻璃弯管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Φ7mm～8mm一端长度为6cm～7cm，另一端长度约20cm，形状为锐角、直角和钝角，管口应打磨或烧结，避免划伤事故</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Φ5mm～6mm粗细均匀，两端烧结使其光滑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玻璃棒</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Φ7mm～8mm粗细均匀，两端烧结使其光滑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橡胶塞</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000、00、0～10号白色，质地均匀</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橡胶管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外径9mm，内径6mm乳白色，具有耐油、耐酸碱、耐压等特性</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乳胶管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m</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外径6mm，内径4mm弹力好，拉力范围可在自身的6倍，回弹力100%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乳胶管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m</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外径7mm，内径5mm弹力好，拉力范围可在自身的6倍，回弹力100%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乳胶管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m</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外径9mm，内径6mm弹力好，拉力范围可在自身的6倍，回弹力100%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试管刷</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Φ12mm手持部分顶端应为环状，顶部要有刷丝，铁丝不可外露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试管刷</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Φ18mm手持部分顶端应为环状，顶部要有刷丝，铁丝不可外露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试管刷</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Φ32mm手持部分顶端应为环状，顶部要有刷丝，铁丝不可外露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烧瓶刷</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250mL烧瓶用手持部分顶端应为环状，顶部要有刷丝，铁丝不可外露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烧瓶刷</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500mL烧瓶用手持部分顶端应为环状，顶部要有刷丝，铁丝不可外露</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结晶皿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80mm，平底无色硼硅酸盐玻璃制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表面皿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60mm无色硼硅酸盐玻璃制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表面皿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100mm无色硼硅酸盐玻璃制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研钵</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60mm瓷或玻璃制，配有研杵，内部粗糙便于研磨，外部光滑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研钵</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100mm瓷或玻璃制，配有研杵，内部粗糙便于研磨，外部光滑</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蒸发皿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100mm瓷制，耐受温度≥800℃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蒸发皿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120mm瓷制，耐受温度≥800℃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反应板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白色陶瓷，6孔，表面有釉层，不会发生溶液渗透</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井穴板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透明塑料，9孔，每孔0.7mL，可以重复使用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井穴板</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透明塑料，6孔，每孔5mL，配6个双导气管的井穴塞，可以重复使用</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塑料多用滴管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弹性圆筒形吸泡和一根Φ1mm×120mm的径管连接而成，容积4mL，环保材料，弹性好</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塑料洗瓶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250mL或500mL，水嘴略向下倾斜，口径1mm～2mm，瓶口紧实不漏气</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塑料水槽</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250mm×180mm×100mm</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集气瓶挂扣器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125mL，塑料制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集气瓶挂扣器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250mL，塑料制</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注射器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10mL，塑料制，符合医用器具卫生标准</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酒精喷灯</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坐式，铜制，壶体容积≥300mL，火焰高度为150mm～180mm，火焰温度为960℃±60℃</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储气装置</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容积≥2L贮气装置</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磁力加热搅拌器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最大搅拌量1L，搅拌速度0r/min～1200r/min，加热盘温度50℃～200℃</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初中化学实验材料</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份</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黄铜片、硬铝片、火柴、蜡烛、木板、电池、电珠、砂纸、面粉、凡士林等</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pH广泛试纸</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本</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1～14</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蓝石蕊试纸</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本</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国标</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红石蕊试纸</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本</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国标</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定性滤纸</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快速，9cm，100张</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定性滤纸</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快速，15cm，100张</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金属矿物、金属及合金标本</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标本盒≥180mm×150mm×50mm，每种类型不少于5种，耐用，不易损坏，便于保存，适合观察</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溶液导电演示器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电表式，10mA，DC6V，串联电位器1kΩ，电阻560Ω。五组溶液同时比较，1×7开关（其中一档校准），采用不锈钢或石墨电极</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微型溶液导电实验器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所需每种溶液≤3mL</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金刚石结构模型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碳原子：Φ30mm的4孔黑色塑料球30个；化学键：Φ3mm×35mm镀镍金属杆40根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石墨结构模型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碳原子：Φ30mm的5孔黑色塑料球39个；化学键：Φ3mm×50mm镀镍金属杆45根，Φ3mm×90mm镀镍金属杆14根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碳-60结构模型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碳原子：Φ30mm的3孔黑色塑料球60个；化学键：Φ6mm×25mm的镀镍金属杆90根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石墨烯结构模型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碳原子：Φ≥8mm黑色塑料球；化学键：Φ6.3mm×30mm透明塑料管</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nil"/>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166</w:t>
            </w:r>
          </w:p>
        </w:tc>
        <w:tc>
          <w:tcPr>
            <w:tcW w:w="1566" w:type="dxa"/>
            <w:tcBorders>
              <w:top w:val="nil"/>
              <w:left w:val="nil"/>
              <w:bottom w:val="nil"/>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碳纳米管结构模型</w:t>
            </w:r>
          </w:p>
        </w:tc>
        <w:tc>
          <w:tcPr>
            <w:tcW w:w="532" w:type="dxa"/>
            <w:tcBorders>
              <w:top w:val="nil"/>
              <w:left w:val="nil"/>
              <w:bottom w:val="nil"/>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nil"/>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nil"/>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碳原子：Φ≥8mm黑色塑料球；化学键：Φ6.3mm×30mm透明塑料管</w:t>
            </w:r>
          </w:p>
        </w:tc>
      </w:tr>
      <w:tr>
        <w:tblPrEx>
          <w:tblCellMar>
            <w:top w:w="0" w:type="dxa"/>
            <w:left w:w="108" w:type="dxa"/>
            <w:bottom w:w="0" w:type="dxa"/>
            <w:right w:w="108" w:type="dxa"/>
          </w:tblCellMar>
        </w:tblPrEx>
        <w:trPr>
          <w:trHeight w:val="1016" w:hRule="atLeast"/>
        </w:trPr>
        <w:tc>
          <w:tcPr>
            <w:tcW w:w="72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167</w:t>
            </w:r>
          </w:p>
        </w:tc>
        <w:tc>
          <w:tcPr>
            <w:tcW w:w="1566" w:type="dxa"/>
            <w:tcBorders>
              <w:top w:val="single" w:color="auto" w:sz="4" w:space="0"/>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碘升华凝华管</w:t>
            </w:r>
          </w:p>
        </w:tc>
        <w:tc>
          <w:tcPr>
            <w:tcW w:w="532" w:type="dxa"/>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single" w:color="auto" w:sz="4" w:space="0"/>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single" w:color="auto" w:sz="4" w:space="0"/>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Φ34mm×28mm，应采用无色透明硼硅酸盐玻璃制造，手柄与主管应连接平滑牢固，不应偏歪；主管应加碘后密封，两端面呈球面凹形，手柄靠近主管处应密封；玻璃仪器均匀透明无气泡，耐用，不易碎，采用酒精灯加热不易变形</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分子间隔演示器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无色透明，容积约为100mL，可明显观察酒精与水混合后的体积变化耐用，不易碎，刻度清晰、耐磨</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169</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分子结构模型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球棍式或比例式；Φ40mm塑料球：碳原子（黑色）4个，氧原子（红色）13个，氮原子（深蓝色）2个，硫原子（黄色）2个；Φ30mm塑料球：氢原子（白色）12个能够完成水氢气、氧气、二氧化碳等分子模型的搭建</w:t>
            </w:r>
          </w:p>
        </w:tc>
      </w:tr>
      <w:tr>
        <w:tblPrEx>
          <w:tblCellMar>
            <w:top w:w="0" w:type="dxa"/>
            <w:left w:w="108" w:type="dxa"/>
            <w:bottom w:w="0" w:type="dxa"/>
            <w:right w:w="108" w:type="dxa"/>
          </w:tblCellMar>
        </w:tblPrEx>
        <w:trPr>
          <w:trHeight w:val="1016"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170</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分子结构模型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球棍式或比例式；Φ25mm塑料球：碳原子（黑色）4个，氧原子（红色）13个，氮原子（深蓝色）2个，硫原子（黄色）2个；Φ17mm塑料球：氢原子（白色）12个能够完成水、氢气、氧气、二氧化碳等分子模型的搭建</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171</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氯化钠晶体结构模型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球棍式，氯原子Φ30mm的6孔绿色塑料球13个；钠原子Φ30mm的6孔银灰色塑料球14个；化学键：Φ3mm×60mm的镀镍金属杆54根</w:t>
            </w:r>
          </w:p>
        </w:tc>
      </w:tr>
      <w:tr>
        <w:tblPrEx>
          <w:tblCellMar>
            <w:top w:w="0" w:type="dxa"/>
            <w:left w:w="108" w:type="dxa"/>
            <w:bottom w:w="0" w:type="dxa"/>
            <w:right w:w="108" w:type="dxa"/>
          </w:tblCellMar>
        </w:tblPrEx>
        <w:trPr>
          <w:trHeight w:val="537"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172</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元素周期表</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带轴，≥150cm×110cm，字迹信息清晰，易于观看</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173</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元素学习卡</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卡的厚度及大小适中，不易折损，耐用；卡片正面应有元素的名称、符号，元素名称、符号应准确，字迹清晰；可附有与该元素相关的图片，色彩美观</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174</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原油常见馏分标本</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不少于8种，耐用，易于储存，便于观察，密封完好，固定牢固</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175</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炼铁高炉模型</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模型高度≥650mm。主要结构应用标签注明，标注应准确、清晰、牢固。各部件位置正确、连接牢固，不得因正常震动、碰触而开裂、松脱</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176</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合成有机高分子材料标本</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不少于10种，材料新颖，标识清楚，固定结实，不易脱落</w:t>
            </w:r>
          </w:p>
        </w:tc>
      </w:tr>
      <w:tr>
        <w:tblPrEx>
          <w:tblCellMar>
            <w:top w:w="0" w:type="dxa"/>
            <w:left w:w="108" w:type="dxa"/>
            <w:bottom w:w="0" w:type="dxa"/>
            <w:right w:w="108" w:type="dxa"/>
          </w:tblCellMar>
        </w:tblPrEx>
        <w:trPr>
          <w:trHeight w:val="869"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177</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新型无机非金属材料标本</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标本盒体积≥180mm×150mm×50mm，包括氧化铝陶瓷、氮化硅陶瓷、光导纤维等，材料新颖，标识清楚，固定结实，不易脱落。陶瓷和玻璃切割整齐，美观</w:t>
            </w:r>
          </w:p>
        </w:tc>
      </w:tr>
      <w:tr>
        <w:tblPrEx>
          <w:tblCellMar>
            <w:top w:w="0" w:type="dxa"/>
            <w:left w:w="108" w:type="dxa"/>
            <w:bottom w:w="0" w:type="dxa"/>
            <w:right w:w="108" w:type="dxa"/>
          </w:tblCellMar>
        </w:tblPrEx>
        <w:trPr>
          <w:trHeight w:val="392" w:hRule="atLeast"/>
        </w:trPr>
        <w:tc>
          <w:tcPr>
            <w:tcW w:w="726" w:type="dxa"/>
            <w:gridSpan w:val="2"/>
            <w:tcBorders>
              <w:top w:val="nil"/>
              <w:left w:val="single" w:color="auto" w:sz="4" w:space="0"/>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178</w:t>
            </w:r>
          </w:p>
        </w:tc>
        <w:tc>
          <w:tcPr>
            <w:tcW w:w="1566"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电解套件</w:t>
            </w:r>
          </w:p>
        </w:tc>
        <w:tc>
          <w:tcPr>
            <w:tcW w:w="532" w:type="dxa"/>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77" w:type="dxa"/>
            <w:gridSpan w:val="2"/>
            <w:tcBorders>
              <w:top w:val="nil"/>
              <w:left w:val="nil"/>
              <w:bottom w:val="single" w:color="auto" w:sz="4" w:space="0"/>
              <w:right w:val="single" w:color="auto" w:sz="4" w:space="0"/>
            </w:tcBorders>
            <w:shd w:val="clear" w:color="000000" w:fill="FFFFFF"/>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000000" w:fill="FFFFFF"/>
            <w:vAlign w:val="center"/>
          </w:tcPr>
          <w:p>
            <w:pPr>
              <w:adjustRightInd/>
              <w:snapToGrid/>
              <w:spacing w:after="0"/>
              <w:rPr>
                <w:rFonts w:hint="eastAsia" w:ascii="宋体" w:hAnsi="宋体" w:eastAsia="宋体" w:cs="宋体"/>
                <w:color w:val="000000"/>
                <w:sz w:val="21"/>
                <w:szCs w:val="21"/>
              </w:rPr>
            </w:pPr>
            <w:r>
              <w:rPr>
                <w:rFonts w:hint="eastAsia" w:ascii="宋体" w:hAnsi="宋体" w:eastAsia="宋体" w:cs="宋体"/>
                <w:color w:val="000000"/>
                <w:sz w:val="21"/>
                <w:szCs w:val="21"/>
              </w:rPr>
              <w:t>本实验装置可以进行多种电解实验：电解水、氢氧混合爆炸（氢气火箭）、电解CuCl2溶液、电解KI和酚酞混合溶液、电解NaOH、氢燃料电池原理等。</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1、利用9V电池作为电源进行电解，电解方式更加方便，安全。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2、反应容器小巧，试剂使用量少，气体收集时间短，可以定量收集生成的气体，并可直接用于其它实验。</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3、使用铂（Pt）电极，产生的H2和O2体积比2:1.</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4、使用碳电极电解，产生的H2和O2可形成燃料电池。</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5、试剂配备齐全。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尺寸：300mm*230mm*85mm</w:t>
            </w:r>
          </w:p>
        </w:tc>
      </w:tr>
      <w:tr>
        <w:tblPrEx>
          <w:tblCellMar>
            <w:top w:w="0" w:type="dxa"/>
            <w:left w:w="108" w:type="dxa"/>
            <w:bottom w:w="0" w:type="dxa"/>
            <w:right w:w="108" w:type="dxa"/>
          </w:tblCellMar>
        </w:tblPrEx>
        <w:trPr>
          <w:trHeight w:val="494" w:hRule="atLeast"/>
        </w:trPr>
        <w:tc>
          <w:tcPr>
            <w:tcW w:w="9120" w:type="dxa"/>
            <w:gridSpan w:val="7"/>
            <w:tcBorders>
              <w:top w:val="nil"/>
              <w:left w:val="single" w:color="auto" w:sz="4" w:space="0"/>
              <w:bottom w:val="single" w:color="auto" w:sz="4" w:space="0"/>
              <w:right w:val="single" w:color="auto" w:sz="4" w:space="0"/>
            </w:tcBorders>
            <w:shd w:val="clear" w:color="000000" w:fill="FFFFFF"/>
            <w:noWrap/>
            <w:vAlign w:val="bottom"/>
          </w:tcPr>
          <w:p>
            <w:pPr>
              <w:adjustRightInd/>
              <w:snapToGrid/>
              <w:spacing w:after="0"/>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生物仪器</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color w:val="000000"/>
                <w:sz w:val="21"/>
                <w:szCs w:val="21"/>
              </w:rPr>
            </w:pPr>
            <w:r>
              <w:rPr>
                <w:rFonts w:hint="eastAsia" w:ascii="宋体" w:hAnsi="宋体" w:eastAsia="宋体" w:cs="宋体"/>
                <w:b/>
                <w:color w:val="000000"/>
                <w:sz w:val="21"/>
                <w:szCs w:val="21"/>
              </w:rPr>
              <w:t>序号</w:t>
            </w:r>
          </w:p>
        </w:tc>
        <w:tc>
          <w:tcPr>
            <w:tcW w:w="1566"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color w:val="000000"/>
                <w:sz w:val="21"/>
                <w:szCs w:val="21"/>
              </w:rPr>
            </w:pPr>
            <w:r>
              <w:rPr>
                <w:rFonts w:hint="eastAsia" w:ascii="宋体" w:hAnsi="宋体" w:eastAsia="宋体" w:cs="宋体"/>
                <w:b/>
                <w:color w:val="000000"/>
                <w:sz w:val="21"/>
                <w:szCs w:val="21"/>
              </w:rPr>
              <w:t>设备名称</w:t>
            </w:r>
          </w:p>
        </w:tc>
        <w:tc>
          <w:tcPr>
            <w:tcW w:w="603"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color w:val="000000"/>
                <w:sz w:val="21"/>
                <w:szCs w:val="21"/>
              </w:rPr>
            </w:pPr>
            <w:r>
              <w:rPr>
                <w:rFonts w:hint="eastAsia" w:ascii="宋体" w:hAnsi="宋体" w:eastAsia="宋体" w:cs="宋体"/>
                <w:b/>
                <w:color w:val="000000"/>
                <w:sz w:val="21"/>
                <w:szCs w:val="21"/>
              </w:rPr>
              <w:t>数量</w:t>
            </w:r>
          </w:p>
        </w:tc>
        <w:tc>
          <w:tcPr>
            <w:tcW w:w="706"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color w:val="000000"/>
                <w:sz w:val="21"/>
                <w:szCs w:val="21"/>
              </w:rPr>
            </w:pPr>
            <w:r>
              <w:rPr>
                <w:rFonts w:hint="eastAsia" w:ascii="宋体" w:hAnsi="宋体" w:eastAsia="宋体" w:cs="宋体"/>
                <w:b/>
                <w:color w:val="000000"/>
                <w:sz w:val="21"/>
                <w:szCs w:val="21"/>
              </w:rPr>
              <w:t>单位</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color w:val="000000"/>
                <w:sz w:val="21"/>
                <w:szCs w:val="21"/>
              </w:rPr>
            </w:pPr>
            <w:r>
              <w:rPr>
                <w:rFonts w:hint="eastAsia" w:ascii="宋体" w:hAnsi="宋体" w:eastAsia="宋体" w:cs="宋体"/>
                <w:b/>
                <w:color w:val="000000"/>
                <w:sz w:val="21"/>
                <w:szCs w:val="21"/>
              </w:rPr>
              <w:t>参数性能</w:t>
            </w:r>
          </w:p>
        </w:tc>
      </w:tr>
      <w:tr>
        <w:tblPrEx>
          <w:tblCellMar>
            <w:top w:w="0" w:type="dxa"/>
            <w:left w:w="108" w:type="dxa"/>
            <w:bottom w:w="0" w:type="dxa"/>
            <w:right w:w="108" w:type="dxa"/>
          </w:tblCellMar>
        </w:tblPrEx>
        <w:trPr>
          <w:trHeight w:val="1770"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烘干箱</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lang w:val="en-US" w:eastAsia="zh-CN" w:bidi="ar-SA"/>
              </w:rPr>
            </w:pPr>
            <w:r>
              <w:rPr>
                <w:rFonts w:hint="eastAsia" w:ascii="宋体" w:hAnsi="宋体" w:eastAsia="宋体" w:cs="宋体"/>
                <w:color w:val="000000"/>
                <w:sz w:val="21"/>
                <w:szCs w:val="21"/>
              </w:rPr>
              <w:t>外壳采用优质冷轧钢板制做，淋化静电喷粉技术造型美观、新颖。选装式门手设计，箱门设有观察窗，可随时观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察工作室内物品的加热情况。本机温控系统采用微电脑单片机技术、智能数码显示仪表，具有PID调节特性、时间设定、</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温差修正、超温报警等功能，控温精度高、功能强，箱门设有观察窗，可随时观察工作室内物品的加热情况。                                             1.工作室</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550×450×500mm；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▲2.外形尺寸：850mm±10mm、560mm±10mm、750mm±10mm；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▲3.外壳漆膜牢固美观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▲4.控温范围</w:t>
            </w:r>
            <w:r>
              <w:rPr>
                <w:rFonts w:hint="eastAsia" w:ascii="宋体" w:hAnsi="宋体" w:eastAsia="宋体" w:cs="宋体"/>
                <w:color w:val="000000"/>
                <w:sz w:val="21"/>
                <w:szCs w:val="21"/>
                <w:lang w:val="en-US" w:eastAsia="zh-CN"/>
              </w:rPr>
              <w:t>约</w:t>
            </w:r>
            <w:r>
              <w:rPr>
                <w:rFonts w:hint="eastAsia" w:ascii="宋体" w:hAnsi="宋体" w:eastAsia="宋体" w:cs="宋体"/>
                <w:color w:val="000000"/>
                <w:sz w:val="21"/>
                <w:szCs w:val="21"/>
              </w:rPr>
              <w:t>50-300℃；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▲5.温度波动（°C）±2；</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▲6.电源在AC50Hz，220V±10%的条件下正常工作；</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▲7.功率2400w±2%；</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8.数显；</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提供省级以上（含省级）质量检测机构检测报告复印件加盖厂家公章，第2、3、4、5、6、7项参数必须在出具的检测报告中体现。</w:t>
            </w:r>
          </w:p>
        </w:tc>
      </w:tr>
      <w:tr>
        <w:tblPrEx>
          <w:tblCellMar>
            <w:top w:w="0" w:type="dxa"/>
            <w:left w:w="108" w:type="dxa"/>
            <w:bottom w:w="0" w:type="dxa"/>
            <w:right w:w="108" w:type="dxa"/>
          </w:tblCellMar>
        </w:tblPrEx>
        <w:trPr>
          <w:trHeight w:val="5233"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高压灭菌器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 材质：锅体外壳，内腔均采用优质不锈钢SUS304材质制成，耐酸，耐碱，耐腐蚀</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2. 灭菌容积：50L ; 超压自泄：0.145~0.165MPa                                                                                                                                                                                                                            3、最高工作温度：126℃~129℃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4、电热管功率：</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 xml:space="preserve">2.5KW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5、计时范围：0~80分钟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6、灭菌温度可设定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7、断水保护控制报警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8、指示灯提示工作状态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9、双刻度二类读数压力表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xml:space="preserve">10、内桶采用优质不锈钢材料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11.独有的冷凝器缩短冷却时间；</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12.医疗器械品牌产品，具有医疗器械生产许可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13.两个提篮 (全自动，数显)外循环，下排气式；</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14.自涨式密封圈，确保不漏气；</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15.自动排放冷空气；</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16.灭菌终了蜂鸣器提醒；</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17.微电脑智能控制，气体为外循环，下排气。</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18.电源：220V±10%/50Hz±2%，</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必须提供省质量检验机构检测报告，具有医疗生产许可证明</w:t>
            </w:r>
          </w:p>
        </w:tc>
      </w:tr>
      <w:tr>
        <w:tblPrEx>
          <w:tblCellMar>
            <w:top w:w="0" w:type="dxa"/>
            <w:left w:w="108" w:type="dxa"/>
            <w:bottom w:w="0" w:type="dxa"/>
            <w:right w:w="108" w:type="dxa"/>
          </w:tblCellMar>
        </w:tblPrEx>
        <w:trPr>
          <w:trHeight w:val="544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恒温培养箱</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numPr>
                <w:ilvl w:val="0"/>
                <w:numId w:val="3"/>
              </w:numPr>
              <w:rPr>
                <w:rFonts w:hint="eastAsia" w:ascii="宋体" w:hAnsi="宋体" w:eastAsia="宋体" w:cs="宋体"/>
                <w:color w:val="000000"/>
                <w:sz w:val="21"/>
                <w:szCs w:val="21"/>
              </w:rPr>
            </w:pPr>
            <w:r>
              <w:rPr>
                <w:rFonts w:hint="eastAsia" w:ascii="宋体" w:hAnsi="宋体" w:eastAsia="宋体" w:cs="宋体"/>
                <w:color w:val="000000"/>
                <w:sz w:val="21"/>
                <w:szCs w:val="21"/>
              </w:rPr>
              <w:t>箱体由优质冷轧钢板冲制而成，表面喷涂处理，内胆采用优质不锈钢板制成，四角圆弧设计，清洁更便捷；</w:t>
            </w:r>
          </w:p>
          <w:p>
            <w:pPr>
              <w:numPr>
                <w:ilvl w:val="0"/>
                <w:numId w:val="3"/>
              </w:numPr>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本机温控系统采用微电脑单片机技术、智能数码显示仪表，具有PID调节特性、时间设定、温差修正、超温报警等功能，控温精度高、功能强；</w:t>
            </w:r>
          </w:p>
          <w:p>
            <w:pPr>
              <w:numPr>
                <w:ilvl w:val="0"/>
                <w:numId w:val="3"/>
              </w:numPr>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工作室内搁架可随用户要求任意调节高度及搁架的数量。专业设计的工作室气流循环系统使底部加热器产生的热量以自然对流的方式进入工作室，从而提高工作室内温度的均匀性；</w:t>
            </w:r>
          </w:p>
          <w:p>
            <w:pPr>
              <w:numPr>
                <w:ilvl w:val="0"/>
                <w:numId w:val="3"/>
              </w:numPr>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箱门具有大视角玻璃观察窗，便于用户观察。选用高性能的CPU处理芯片和高灵敏，高精度铂电阻传感器的温度控制系统使温度控制更精准，操作更方便；</w:t>
            </w:r>
          </w:p>
          <w:p>
            <w:pPr>
              <w:numPr>
                <w:ilvl w:val="0"/>
                <w:numId w:val="3"/>
              </w:numPr>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具备传感器故障报警，超温报警，自诊断动态控制，温度显示校正，参数记忆和长达9999分钟的定时功能；6.外壳静电喷涂，内部净空间尺寸：</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500×500×550，智能数显PID控温仪表，具有定时、报警指示、温度偏差修整、控温自整定等功能；</w:t>
            </w:r>
          </w:p>
          <w:p>
            <w:pPr>
              <w:numPr>
                <w:ilvl w:val="0"/>
                <w:numId w:val="3"/>
              </w:numPr>
              <w:ind w:left="0" w:leftChars="0" w:firstLine="0" w:firstLineChars="0"/>
              <w:rPr>
                <w:rFonts w:hint="eastAsia" w:ascii="宋体" w:hAnsi="宋体" w:eastAsia="宋体" w:cs="宋体"/>
                <w:color w:val="000000"/>
                <w:sz w:val="21"/>
                <w:szCs w:val="21"/>
              </w:rPr>
            </w:pPr>
            <w:r>
              <w:rPr>
                <w:rFonts w:hint="eastAsia" w:ascii="宋体" w:hAnsi="宋体" w:eastAsia="宋体" w:cs="宋体"/>
                <w:color w:val="000000"/>
                <w:sz w:val="21"/>
                <w:szCs w:val="21"/>
              </w:rPr>
              <w:t>控温范围：室温</w:t>
            </w:r>
            <w:r>
              <w:rPr>
                <w:rFonts w:hint="eastAsia" w:ascii="宋体" w:hAnsi="宋体" w:eastAsia="宋体" w:cs="宋体"/>
                <w:color w:val="000000"/>
                <w:sz w:val="21"/>
                <w:szCs w:val="21"/>
                <w:lang w:val="en-US" w:eastAsia="zh-CN"/>
              </w:rPr>
              <w:t>约</w:t>
            </w:r>
            <w:r>
              <w:rPr>
                <w:rFonts w:hint="eastAsia" w:ascii="宋体" w:hAnsi="宋体" w:eastAsia="宋体" w:cs="宋体"/>
                <w:color w:val="000000"/>
                <w:sz w:val="21"/>
                <w:szCs w:val="21"/>
              </w:rPr>
              <w:t>+5-65℃，恒温方式：自然对流，温度波动度：±0.5℃，为双层可视观察窗前门，具有超温报警和定时功能。</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仪器车</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辆</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600mm×400mm×800mm，不锈钢材质，至少两层，各层带可拆卸护栏，总载重≥60kg</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整理箱</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PP材质，储存及分发试剂用</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大托盘</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400mm×300mm×60mm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小托盘</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300mm×200mm×40mm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实验用品提篮</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木制，配有提手，</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490mm×360mm×290mm</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刀口式，材质为不锈钢管、钢管或黄铜管，每组不少于4支，外径分别为9mm、8mm、7mm、6mm，并配一支带柄金属通扦</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打孔夹板</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硬木或硬塑料制</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打孔器刮刀</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刮刀宜用65M板制成，表面热处理，55HRC～60HRC，总长为70mm±0.5mm，宽14.5mm±0.1mm，厚1.8mm±0.5mm；刀口角度宜为60°±5°，锋刃＜0.1mm</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低压测电器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笔式，氖泡式，测电极长≤10mm，测量范围100V～500V，辉光应稳定不闪烁</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一字螺丝刀</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Φ6mm，长150mm；Φ3mm，长75mm，工作部带磁性，硬度≥48HRC；旋杆采用铬钒钢，旋杆长度≥100mm，应经镀铬防锈处理；手柄采用高强度PP+高强性TPR注塑成型</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十字螺丝刀</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　</w:t>
            </w:r>
          </w:p>
        </w:tc>
      </w:tr>
      <w:tr>
        <w:tblPrEx>
          <w:tblCellMar>
            <w:top w:w="0" w:type="dxa"/>
            <w:left w:w="108" w:type="dxa"/>
            <w:bottom w:w="0" w:type="dxa"/>
            <w:right w:w="108" w:type="dxa"/>
          </w:tblCellMar>
        </w:tblPrEx>
        <w:trPr>
          <w:trHeight w:val="1461"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钢手锯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A型（单面）300mm，齿数：18（每25mm）；可调钢锯架，前后固定销与相应孔的配合间隙≤0.3mm；安装锯条后，锯条中心平面与锯架中心平面的平行度≤2mm；钢锯在达到99N拉力后经1min，不应有永久变形，拉钉不得松动脱落。钢板制锯架在达到900N张力时，侧弯不得超过1.8mm</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剥线钳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自动剥线钳，Φ0.5mm～Φ2.5mm；刃口在闭合状态，刃口间隙应≤0.3mm；刃口错位应≤0.2mm；钳口硬度应≥65HRA或30HRC</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钢丝钳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160mm，抗弯强度：1120N；扭力：15N·m，15°；嘴顶缝隙：0.4mm；剪切性能：Φ16mm钢丝，580N；夹持面硬度≥44HRC，PVC全新料环保手柄，在≤18N的力作用下撑开角度≥22°</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钢锤</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0.25kg，羊角锤</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活扳手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200mm，活动扳口和扳体头部以及蜗杆的硬度≥40HRC</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砂轮片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Φ20mm～Φ30mm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测微尺</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显微镜用，台式</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软尺</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1500mm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激光测距仪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手持式，1mm～100m，1mm；使用时不要用眼对准发射口直视光源</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托盘天平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200g，0.2g</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电子天平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200g，0.01g</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电子天平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100g，0.001g</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电子天平</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500g,0.01g</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电子秒表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专用型，全时段分辨力0.01s；有防震、防水功能，电池更换周期≥1.5年</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红液温度计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0℃～100℃，分度值1℃，示值误差＜1.5℃</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水银温度计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0℃～200℃，分度值1℃，示值误差＜0.5℃，有保护套</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干湿球温度计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一25℃一50℃，分度值0.2℃；测量湿度0%一100%</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计数器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手持式</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解剖器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不锈钢材料，7件，包括：2把解剖剪（直剪、弯剪各1）、2个镊子（直头、弯头各1）、2个解剖刀（圆头、尖头各1）、1个解剖针</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解剖盘</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260mm×200mm×30mm，蜡盘</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骨剪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不锈钢材料，130mm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普通手术剪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尖头，140mm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眼用手术剪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尖头，100mm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手术刀柄</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刀柄外形轮廓应清晰，刀柄与手术刀片配合时，插卸应轻松</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手术刀片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包</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刀片应平整，刃口应锋利</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双面刀片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包</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43mm×22mm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镊子</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尖头，140mm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镊子</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弯头，140mm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眼科镊</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直，100mm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解剖针</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六菱医用全钢</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研磨过滤器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容量20mL</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接种环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接种棒为铜或不锈钢材质，接种丝为耐热合金，环内径2mm～3mm</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教学支架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方形座，含铁夹、复夹、铁圈，重心稳定不晃动，夹持器内侧应有垫衬</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三脚架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铁质，环内径75mm，高150mm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49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木质或塑料质，8孔，孔径21mm，立柱黏结牢固</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生物体的结构层次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8幅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生物与环境</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3幅</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生物圈中的绿色植物</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生物圈中的人</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16幅</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动物的运动和行为</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6幅</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生物的生殖、发育和遗传</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8幅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生物多样性</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9幅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生物技术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3幅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健康地生活</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7幅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青春期教育</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noWrap/>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20幅</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中学生物显微图谱</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本</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包括动物、植物、微生物等符合初中生物学教学需求的玻片标本在显微镜下真实的拍摄图片，所示的组织结构应完整清楚</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10mL透明钠钙玻璃制，分度线、数字和标志应完整、清晰和耐久，容积为20℃时充满量筒刻度线所容纳体积</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50mL透明钠钙玻璃制，分度线、数字和标志应完整、清晰和耐久，容积为21℃时充满量筒刻度线所容纳体积</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100mL透明钠钙玻璃制，分度线、数字和标志应完整、清晰和耐久，容积为22℃时充满量筒刻度线所容纳体积</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量筒</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500mL透明钠钙玻璃制，分度线、数字和标志应完整、清晰和耐久，容积为23℃时充满量筒刻度线所容纳体积</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容量瓶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500mL透明硼硅酸盐玻璃制，刻度线应在瓶颈下部三分之二处，清晰耐久，粗细均匀</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试管Φ</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12mm×70mm透明硼硅酸盐玻璃制</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试管Φ</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15mm×150mm透明硼硅酸盐玻璃制</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烧杯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500mL透明硼硅酸盐玻璃制，烧杯的满口容量应超过标称容量的10%或烧杯的满口容量和标称容量的两液面间距不应少于10mm，并应采用容量差值较大的一种</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锥形瓶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100mL透明硼硅酸盐玻璃制，放在平台上应直立不摇晃、不转动</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锥形瓶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250mL透明硼硅酸盐玻璃制，放在平台上应直立不摇晃、不转动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125mL透明钠钙玻璃制，瓶塞与瓶口紧实，不晃动；口部应圆整光滑，底部应平整，放置平台上不应摇晃或转动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广口瓶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250mL透明钠钙玻璃制，瓶塞与瓶口紧实，不晃动；口部应圆整光滑，底部应平整，放置平台上不应摇晃或转动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细口瓶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500mL透明钠钙玻璃制，瓶塞与瓶口紧实，不晃动；口部应圆整光滑，底部应平整，放置平台上不应摇晃或转动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30mL透明钠钙玻璃制，瓶口细磨，磨砂面应均匀细腻，滴管应附橡胶帽，吸放弹性好，开口直径6mm，与滴管口套合牢固稳定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79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60mL透明钠钙玻璃制，瓶口细磨，磨砂面应均匀细腻，滴管应附橡胶帽，吸放弹性好，开口直径6mm，与滴管口套合牢固稳定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茶色滴瓶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30mL黄棕色钠钙玻璃制，瓶口细磨，磨砂面应均匀细腻，滴管应附橡胶帽，吸放弹性好，开口直径6mm，与滴管口套合牢固稳定</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茶色滴瓶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60mL黄棕色钠钙玻璃制，瓶口细磨，磨砂面应均匀细腻，滴管应附橡胶帽，吸放弹性好，开口直径7mm，与滴管口套合牢固稳定</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培养皿</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60mm玻璃薄厚均匀、耐高温高压</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培养皿</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90mm玻璃薄厚均匀、耐高温高压</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干燥器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磨口平整，密封严实，隔板大小合适，不少于5个圆孔</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干燥管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U型，Φ15mm×150mm，硼硅酸盐玻璃制，玻璃壁厚度适中，球体圆润，导气管长度≥2cm，最好有防滑脱沟槽</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漏斗</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60mm，直径准确，锥度适中</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三通连接管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Y形，Φ7mm～Φ8mm，连接完好，管口应作打磨或烧结处理</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滴管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100mm，直形，滴管尖嘴口径1mm，上端有防滑脱翻口，翻口处直径比滴管直径略多1mm～2mm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离心管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10mL</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玻璃钟罩</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Φ150mm×280mm，玻璃壁厚度＞3mm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载玻片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无色透明，平整</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盖玻片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包</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无色透明，平整</w:t>
            </w:r>
          </w:p>
        </w:tc>
      </w:tr>
      <w:tr>
        <w:tblPrEx>
          <w:tblCellMar>
            <w:top w:w="0" w:type="dxa"/>
            <w:left w:w="108" w:type="dxa"/>
            <w:bottom w:w="0" w:type="dxa"/>
            <w:right w:w="108" w:type="dxa"/>
          </w:tblCellMar>
        </w:tblPrEx>
        <w:trPr>
          <w:trHeight w:val="120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150mL，透明钠钙玻璃制，无明显黄绿色；灯口应平整，瓷灯头与灯口平面间隙不应超过1.5mm；玻璃灯罩应磨口；瓷灯头应为白色，完全覆盖灯口，表面无缺陷，配置与灯口孔径相适应的整齐完整的棉线灯芯</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酒精喷灯</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坐式，铜制，壶体容积≥300mL，火焰高度为150mm～180mm，火焰温度为960℃±60℃</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Φ5mm～Φ6mm，中性料，管口应打磨或烧结，避免划伤事故</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玻璃弯管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0.5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Φ7mm～Φ8mm，一端长度为6cm～7cm，一端长度约20cm，形状为直角和钝角两种，管口应打磨或烧结，避免划伤事故</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玻璃棒</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Φ3mm～Φ4mm，粗细均匀</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试管夹</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木制或竹制，长度≥200mm，宽度20mm，厚度20mm；试管夹闭口缝≤1mm，开口距≥25mm；毡块黏结牢固，试管夹弹簧作防锈处理，试管夹持部位圆弧内径≤15mm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止水皮管夹</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Φ3mm钢丝制成，作防锈处理，夹持角度≥60º，弹性好，不漏液</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陶土网</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功能等同于石棉网，尺寸≥125mm×125mm，耐火材料为陶土</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燃烧匙</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铜勺，勺Φ18mm，深10mm，铁柄，柄长300mm，长柄和铜勺连接稳定结实</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药匙</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长度≥13cm，带小勺，材质可选金属、牛角、塑料</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橡胶塞</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000、00、0～10号，白色，质地均匀</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橡胶管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外径9mm，内径6mm，乳白色，具有耐油、耐酸碱、耐压等特性</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试管刷</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Φ12mm手持部分顶端应为环状，顶部要有刷丝，铁丝不可外露</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试管刷</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Φ18mm手持部分顶端应为环状，顶部要有刷丝，铁丝不可外露</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研钵</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100mm，瓷或玻璃制，配有研杵，内部粗糙便于研磨，外部光滑</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记数载玻片（计数板）</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计数区边长为1mm，由400个小方格组成</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枝剪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高碳钢</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种植工具包</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含铲子（长30cm～32cm，宽5.5cm～8cm）、耙子（长30cm～32cm，宽7.5cm～8.5cm）；铁质，软橡胶手柄</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种植辅助材料</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砾石、珍珠岩、腐殖土等</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育苗盘</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塑料材质</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水网</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网口内径50cm，网身长145cm，网目孔径≤1mm</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保温桶</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1L～2L</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标记笔</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双头，油性墨水</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pH广泛试纸</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本</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1～14</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定性滤纸</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快速，9cm，100张</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酒精计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半定量或定性</w:t>
            </w:r>
          </w:p>
        </w:tc>
      </w:tr>
      <w:tr>
        <w:tblPrEx>
          <w:tblCellMar>
            <w:top w:w="0" w:type="dxa"/>
            <w:left w:w="108" w:type="dxa"/>
            <w:bottom w:w="0" w:type="dxa"/>
            <w:right w:w="108" w:type="dxa"/>
          </w:tblCellMar>
        </w:tblPrEx>
        <w:trPr>
          <w:trHeight w:val="842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119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电光源生物显微镜</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nil"/>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numPr>
                <w:ilvl w:val="0"/>
                <w:numId w:val="4"/>
              </w:numPr>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观察头：铰链双目观察头，瞳距调节范围50-7㎜</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目镜：大视野平场目镜 PL10X/18mm</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物镜：平场消色差物镜4倍、10倍、40倍，100倍,40X，100X物镜采用弹簧镜头，各物镜齐焦</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转换器：内倾式四孔转换器；</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机架组：低手位粗微动同轴，带松紧调节装置，机械式上限位机构 ；</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照明： LED 照明，亮度连续可调；</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载物台：双层符合式机械移动平台，阿贝聚光镜，数值孔径N.A.=0.65；带可变光阑；</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重要技术指标需提供需提供“国家光学仪器质量监督检验中心”出具的检测报告复印件，要求检测结果不低于以下指标：8.1、物镜清晰圆直径：4X物镜≥17㎜、10X物镜≥16㎜、40X物镜≥16㎜、100X物镜≥16㎜；8.2、齐焦：10→4倍≤±0.05㎜、10→40倍≤±0.01㎜、40→100倍≤±0.01；8.3、双目系统左右两像面光谱色一致，明暗差≤8%；8.4、双目系统左右视场像面方位差≤30′；8.5、目镜观察与显示屏观察的图像齐焦距≤0.02㎜；8.6、摄影、摄像视场清晰范围≥80%</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要求通过市级</w:t>
            </w:r>
            <w:r>
              <w:rPr>
                <w:rFonts w:hint="eastAsia" w:ascii="宋体" w:hAnsi="宋体" w:eastAsia="宋体" w:cs="宋体"/>
                <w:color w:val="000000"/>
                <w:sz w:val="21"/>
                <w:szCs w:val="21"/>
                <w:lang w:val="en-US" w:eastAsia="zh-CN"/>
              </w:rPr>
              <w:t>及以上</w:t>
            </w:r>
            <w:r>
              <w:rPr>
                <w:rFonts w:hint="eastAsia" w:ascii="宋体" w:hAnsi="宋体" w:eastAsia="宋体" w:cs="宋体"/>
                <w:color w:val="000000"/>
                <w:sz w:val="21"/>
                <w:szCs w:val="21"/>
              </w:rPr>
              <w:t>教育装备部门教育适应性鉴定证书，提供复印件加盖厂家公章，提供原厂质保函原件</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产品的所采用零部件和生产过程，需对有害物质进行严格控制，符合《电器电子产品有害物质限制使用管理办法》（令第32号）环保要求，提供专业机构出具的证明材料（复印件加盖生产企业公章）</w:t>
            </w:r>
            <w:r>
              <w:rPr>
                <w:rFonts w:hint="eastAsia" w:ascii="宋体" w:hAnsi="宋体" w:eastAsia="宋体" w:cs="宋体"/>
                <w:color w:val="000000"/>
                <w:sz w:val="21"/>
                <w:szCs w:val="21"/>
                <w:lang w:eastAsia="zh-CN"/>
              </w:rPr>
              <w:t>；</w:t>
            </w:r>
          </w:p>
          <w:p>
            <w:pPr>
              <w:numPr>
                <w:ilvl w:val="0"/>
                <w:numId w:val="4"/>
              </w:numP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厂家通过ISO9001、ISO13485、ISO14001体系认证 </w:t>
            </w:r>
          </w:p>
        </w:tc>
      </w:tr>
      <w:tr>
        <w:tblPrEx>
          <w:tblCellMar>
            <w:top w:w="0" w:type="dxa"/>
            <w:left w:w="108" w:type="dxa"/>
            <w:bottom w:w="0" w:type="dxa"/>
            <w:right w:w="108" w:type="dxa"/>
          </w:tblCellMar>
        </w:tblPrEx>
        <w:trPr>
          <w:trHeight w:val="2022"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报架栽培（送样）</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tcPr>
          <w:p>
            <w:pPr>
              <w:rPr>
                <w:rFonts w:hint="eastAsia" w:ascii="宋体" w:hAnsi="宋体" w:eastAsia="宋体" w:cs="宋体"/>
                <w:color w:val="000000"/>
                <w:sz w:val="21"/>
                <w:szCs w:val="21"/>
              </w:rPr>
            </w:pPr>
            <w:r>
              <w:rPr>
                <w:rFonts w:hint="eastAsia" w:ascii="宋体" w:hAnsi="宋体" w:eastAsia="宋体" w:cs="宋体"/>
                <w:color w:val="000000"/>
                <w:sz w:val="21"/>
                <w:szCs w:val="21"/>
              </w:rPr>
              <w:t>底部为高分子食品级种植槽，下部为一体化蓄水池，内置水泵，水位控制报警功能，配置水位指示浮漂，分上下蓄水池，配有攀爬报架，进行植物栽培时将装有植物的网芯放入定植孔，植物的部分根系浸入营养液吸收营养，整个系统满足了植物对水、气、肥的需求。适用于圣女果、黄瓜、丝瓜、喇叭花等攀爬果蔬和花卉。该装置采用立体式支架，有效地利用了栽培空间。</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▲1.电源：AC 220V±10%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▲2.输入功率：2W±5%。</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▲3.单水槽营养液水量：8.5L±5%。</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▲4.单水槽外形尺寸（长×宽×高）：</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50cm×18cm×17cm,尺寸偏差：±5%。</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▲5.外观结构：内置水泵，水位控制报警功能，配置水位指示浮漂。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提供省级以上（含省级）质量检测机构检测报告复印件加盖厂家公章，带▲参数第1、2、3、4、5项必须在出具的检测报告中体现。</w:t>
            </w:r>
          </w:p>
        </w:tc>
      </w:tr>
      <w:tr>
        <w:tblPrEx>
          <w:tblCellMar>
            <w:top w:w="0" w:type="dxa"/>
            <w:left w:w="108" w:type="dxa"/>
            <w:bottom w:w="0" w:type="dxa"/>
            <w:right w:w="108" w:type="dxa"/>
          </w:tblCellMar>
        </w:tblPrEx>
        <w:trPr>
          <w:trHeight w:val="3221"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植物生长记录仪（送样）</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tcPr>
          <w:p>
            <w:pPr>
              <w:rPr>
                <w:rFonts w:hint="eastAsia" w:ascii="宋体" w:hAnsi="宋体" w:eastAsia="宋体" w:cs="宋体"/>
                <w:color w:val="000000"/>
                <w:sz w:val="21"/>
                <w:szCs w:val="21"/>
              </w:rPr>
            </w:pPr>
            <w:r>
              <w:rPr>
                <w:rFonts w:hint="eastAsia" w:ascii="宋体" w:hAnsi="宋体" w:eastAsia="宋体" w:cs="宋体"/>
                <w:color w:val="000000"/>
                <w:sz w:val="21"/>
                <w:szCs w:val="21"/>
              </w:rPr>
              <w:t>植物生长记录仪是一款实时记录植物生长过程的创新产品，为人类对植物的研究提供了有力的技术支持。设计新颖，性能可靠，功能强大，智能便捷，可以定时拍照记录植物生长过程，一目了然，使我们能够更好的分析外部环境对植物生长的影响。</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1.工作环境-20-60℃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▲2.LCD显示屏，抓拍速度</w:t>
            </w:r>
            <w:r>
              <w:rPr>
                <w:rFonts w:hint="eastAsia" w:ascii="宋体" w:hAnsi="宋体" w:eastAsia="宋体" w:cs="宋体"/>
                <w:color w:val="000000"/>
                <w:sz w:val="21"/>
                <w:szCs w:val="21"/>
                <w:lang w:val="en-US" w:eastAsia="zh-CN"/>
              </w:rPr>
              <w:t>约</w:t>
            </w:r>
            <w:r>
              <w:rPr>
                <w:rFonts w:hint="eastAsia" w:ascii="宋体" w:hAnsi="宋体" w:eastAsia="宋体" w:cs="宋体"/>
                <w:color w:val="000000"/>
                <w:sz w:val="21"/>
                <w:szCs w:val="21"/>
              </w:rPr>
              <w:t>1.0秒</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▲3.镜头角度</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20度，</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1600万像素照片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3.三个拍摄感应器，可定时拍照</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▲4.超长待机时间可达8个月</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5.规格：</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130*80*70mm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提供省级以上（含省级）质量检测机构检测报告复印件加盖厂家公章，带▲参数第2、3、4项必须在出具的检测报告中体现。</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字母装片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“e”或“b”，多重染色</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放大镜</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手持式，有效通光孔径≥40mm，5倍</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口腔上皮细胞装片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细胞质着色均匀，细胞核明显，细胞界限清晰</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洋葱鳞片叶表皮装片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细胞质着色均匀，细胞核明显，细胞界限清晰</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蚕豆叶下表皮装片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细胞质着色均匀，细胞核明显，细胞界限清晰，保卫细胞形态应正常，应清晰可见细胞核和叶绿体</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草履虫接合生殖装片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虫体形态正常，无收缩、膨胀、压碎、断裂等现象</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草履虫分裂生殖装片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虫体形态正常，无收缩、膨胀、压碎、断裂等现象</w:t>
            </w:r>
          </w:p>
        </w:tc>
      </w:tr>
      <w:tr>
        <w:tblPrEx>
          <w:tblCellMar>
            <w:top w:w="0" w:type="dxa"/>
            <w:left w:w="108" w:type="dxa"/>
            <w:bottom w:w="0" w:type="dxa"/>
            <w:right w:w="108" w:type="dxa"/>
          </w:tblCellMar>
        </w:tblPrEx>
        <w:trPr>
          <w:trHeight w:val="120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动物细胞有丝分裂(马蛔虫受精卵切片)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明显显示处于分裂中的三个时期，即前期、中期、后期或中期、后期、末期的细胞，分裂各期染色体的形态特征典型，纺锤丝隐约可见；中期、后期的中心体应清晰可辨，染色体、细胞核、中心体应着色明显，细胞质色淡</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植物细胞模型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以洋葱表皮细胞为参考材料，示细胞壁、细胞膜、细胞质、细胞核、核仁和液泡等结构</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129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动物细胞模型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示细胞膜、细胞质、细胞核、核仁等结构</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草履虫模型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草履虫纵剖模型，各部着色应协调，并能相互区分</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植物细胞有丝分裂切片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洋葱根尖纵切，应显示处于分裂前期、中期、后期、末期的细胞，分裂各期染色体的形态特征典型，分裂中期和后期纺锤丝隐约可见，细胞核、核仁、染色体应着色明显，细胞质色淡</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单层扁平上皮装片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取材于动物的肠系膜等，应能看清由边缘不规则而呈锯齿状的扁平细胞组成的单层上皮</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复层扁平上皮装片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取材于幼小哺乳动物的食道或上颚，细胞核、细胞质着色对比应明显，上皮细胞界限应清晰</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纤维结缔组织切片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腱纵切，取材于哺乳动物或两栖动物的跟腱或尾腱，应能看清平行排列的胶原纤维束和呈不规则四边形的腱细胞</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疏松结缔组织装片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取材于哺乳细胞的皮下结缔组织，应能看清纵横交错的胶原纤维和弹力纤维以及大量的成纤维细胞</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骨骼肌纵横切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取材于哺乳动物的膈肌，应能看清肌外膜、肌束膜、肌纤维膜、肌纤维及其细胞核和小血管等</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平滑肌分离装片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取材于两栖动物或哺乳动物消化管的基层，应能看清大部分被分离成单个的长梭形平滑肌细胞</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心肌切片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取材于哺乳动物的心脏，应能看清柱状并具有分枝的肌纤维（肌细胞）</w:t>
            </w:r>
          </w:p>
        </w:tc>
      </w:tr>
      <w:tr>
        <w:tblPrEx>
          <w:tblCellMar>
            <w:top w:w="0" w:type="dxa"/>
            <w:left w:w="108" w:type="dxa"/>
            <w:bottom w:w="0" w:type="dxa"/>
            <w:right w:w="108" w:type="dxa"/>
          </w:tblCellMar>
        </w:tblPrEx>
        <w:trPr>
          <w:trHeight w:val="95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139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运动神经元装片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应能看清运动神经元的细胞体和突起、细胞核以及少量的神经纤维</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玉米种子纵切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应显示子叶、胚芽、胚芽鞘、胚轴、胚根和胚根鞘</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根纵剖模型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应以单子叶植物玉米的根尖为参考材料，示根尖的解剖结构，根尖中部做不同方向的纵剖面，突出维管柱，示根冠、分生区、伸长区、成熟区和原形成层等</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植物根尖纵切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应取材于玉米根，取材部位为根冠至根毛区，应明显显示根冠、分生区、伸长区、根毛区和原形成层等</w:t>
            </w:r>
          </w:p>
        </w:tc>
      </w:tr>
      <w:tr>
        <w:tblPrEx>
          <w:tblCellMar>
            <w:top w:w="0" w:type="dxa"/>
            <w:left w:w="108" w:type="dxa"/>
            <w:bottom w:w="0" w:type="dxa"/>
            <w:right w:w="108" w:type="dxa"/>
          </w:tblCellMar>
        </w:tblPrEx>
        <w:trPr>
          <w:trHeight w:val="941"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顶芽纵切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应取材于黑藻顶芽，应能看清生长锥、叶原基、幼叶、腋芽原基和芽轴，生长锥及幼叶处细胞不应有明显的“质壁分离”现象</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桃花模型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放大的盛开状态的桃花模型，花冠的直径330mm±15mm，示花柄、花托、花萼、花冠、雄蕊和雌蕊，花瓣、雌蕊可拆装，子房做纵剖</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单子叶植物茎模型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应明显显示表皮、机械组织、薄壁细胞、维管束、维管束鞘、环纹导管、螺纹导管、孔纹导管、筛管和伴胞、气道，各结构应位置准确，修饰自然、正确</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双子叶草本植物茎模型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应以向日葵茎为参考材料，示双子叶草本植物茎纵、横切面的结构，应示角质层、表皮、厚角组织、薄壁组织、维管束、髓、髓射线、环纹导管、螺纹导管、孔纹导管、筛管和伴胞、形成层各部位</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导管、筛管结构模型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显微结构的立体放大模型，包括环纹导管、螺纹导管、网纹导管、孔纹导管及筛管，形态结构应正确、自然</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单子叶植物茎横切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应能看清表皮、皮层、机械组织、散生维管束和薄壁组织</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149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双子叶植物茎横切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取材于向日葵幼茎，应能看清表皮厚角组织、薄壁组织、髓及维管束等</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木本双子叶植物茎横切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取材于三年生椴木枝，应能看清表皮、木栓层、厚角组织、皮层、韧皮部、形成层、木质部、髓部和髓射线</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南瓜茎纵切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应能看清皮层、机械组织、薄壁组织、双韧维管束和髓腔，在双韧维管束的纵断面上应能看清网纹导管或环纹导管或螺纹导管中的两种和筛管、筛板等结构</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叶构造模型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以蚕豆叶为参考材料，示双子叶植物叶的构造，示上表皮、下表皮、栅栏组织、海绵组织、主脉、侧脉、木质部、韧皮部、形成层、气孔等部位</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松叶横切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应能看清表皮、厚壁组织、内陷的气孔、树脂道、内皮层、维管束、薄壁组织和叶肉组织等</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蕨叶切片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应显示叶片横断面的上下表皮、栅栏组织、海绵组织及维管束等；应至少显示1个完整的孢子囊群的纵切面</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迎春叶横切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应显示叶片横断面的上下表皮、栅栏组织、海绵组织及叶脉等</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植物光合作用、呼吸作用、蒸腾作用演示器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由透明的有机透明容器，漏斗、上盖板、试管及试管架组合而成</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人体半身模型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自然大，橡胶制，示消化系统、呼吸系统、泌尿系统</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小肠切片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应能看清粘膜，包括绒毛、粘膜肌层和肠腺，粘膜下层、肌层和浆膜等</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喉解剖模型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应正确显示喉软骨、喉肌、喉腔、喉口等结构特征</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肺泡模型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应正确显示细支气管、呼吸性细支气管、肺泡管、肺泡囊、肺泡、肺泡隔、肺动脉、肺静脉、肺泡毛细血管网、支气管动脉、支气管静脉、平滑肌、弹性纤维等结构特征</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人体呼吸运动模型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电动式，通过胸骨、肋、肺、气管、膈等模型部件，结合动力驱动组成呼吸运动模型的运行系统，应能模拟人体呼吸运动过程</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膈肌运动模拟器</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高度250mm±15mm，宽度或直径220mm±15mm，膈的直径（或长径）≥170mm；应模拟显示胸腔、膈、气管、支气管、肺（或肺泡）等结构</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肺活量计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1.供中小学卫生室测试学生肺活量使用。2.规格：电子式测量范围：0-10000mL，最小分辫率：1mL。3.测量误差≤±5％。4.工作电压：220V/50Hz或交直流两用。5.配一次性吹嘴。</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人血涂片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染色均匀，能看清红血细胞和白血细胞，细胞不重叠、无变形和自溶现象</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动静脉血管横切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取材于哺乳动物的腹主动脉和下腔静脉，内皮应90%以上完整</w:t>
            </w:r>
          </w:p>
        </w:tc>
      </w:tr>
      <w:tr>
        <w:tblPrEx>
          <w:tblCellMar>
            <w:top w:w="0" w:type="dxa"/>
            <w:left w:w="108" w:type="dxa"/>
            <w:bottom w:w="0" w:type="dxa"/>
            <w:right w:w="108" w:type="dxa"/>
          </w:tblCellMar>
        </w:tblPrEx>
        <w:trPr>
          <w:trHeight w:val="76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心脏解剖模型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三倍自然大，示上腔静脉、下腔静脉、主动脉、肺动脉、动脉韧带、左冠状动脉、右冠状动脉、冠状窦，左心房、右心房、左心室、右心室、二尖瓣、三尖瓣、主动脉瓣、肺动脉瓣、卵圆窝、冠状窦口</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心脏解剖模型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自然大，示上腔静脉、下腔静脉、主动脉、肺动脉、左心房、右心房、左心室、右心室</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电子血压计</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数字式液晶显示，量程0mmHg～299mmHg，分辨力3mmHg</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169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男性泌尿生殖系统模型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自然大，结构清晰，位置精准，比例适宜</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女性泌尿生殖系统模型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自然大，结构清晰，位置精准，比例适宜</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肾单位、肾小体模型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肾单位模型≥400mm×240mm，示肾小体、肾小管和集合管等；肾小体模型直径≥100mm，半剖，示肾小球、肾小囊、入球小动脉和出球小动脉等</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眼球解剖模型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6倍自然大，应采用硬质热塑性塑料制作，角膜、虹膜应完整显示，两者和眼球内的晶状体、玻璃体分别可拆下，各部的肌肉、膜壁、血管和神经等的形态结构、位置、比例、颜色均应正确自然</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眼球仪</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由放大的成人眼球模型、晶状体曲度调节器、光源、矫正镜盘、视网膜成像显示屏及手持式显示屏等组成</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耳解剖模型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6倍自然大，应完整显示外耳道、鼓膜、听小骨、鼓室、咽鼓管、鼓膜张肌、乳突窦、前庭、骨半规管、耳蜗、前庭窗、蜗窗、前庭蜗神经等结构</w:t>
            </w:r>
          </w:p>
        </w:tc>
      </w:tr>
      <w:tr>
        <w:tblPrEx>
          <w:tblCellMar>
            <w:top w:w="0" w:type="dxa"/>
            <w:left w:w="108" w:type="dxa"/>
            <w:bottom w:w="0" w:type="dxa"/>
            <w:right w:w="108" w:type="dxa"/>
          </w:tblCellMar>
        </w:tblPrEx>
        <w:trPr>
          <w:trHeight w:val="95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脑解剖模型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自然大，大脑做正中矢状切面，左侧脑半球经外侧沟向枕部再做水平切面，并保留完整的脑干形态，应示大脑、小脑、延髓、脑桥、上下丘、胼胝体、透明隔、嗅球、视神经、动眼神经等部位</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脊髓横切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应能看清被膜、灰质和白质</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橡皮锤</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膝跳反射用</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人体骨骼模型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850mm，各部分骨的形态特征，应正确清晰，富有真实感，骨缝应清楚，骨性鼻腔，眶及所有孔，管、沟、裂显示应正确自然</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179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人体肌肉模型</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件</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850mm全身，示浅层肌及部分深层肌</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正常人染色体装片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多重染色</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节肢动物标本</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盒/块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常见六种以上，干制或包埋</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细菌三型涂片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示球菌、杆菌、螺旋菌三种形态</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酵母菌装片</w:t>
            </w:r>
          </w:p>
        </w:tc>
        <w:tc>
          <w:tcPr>
            <w:tcW w:w="60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应能看清细胞壁、细胞核、细胞质、液泡和细胞膜等结构，可见芽体</w:t>
            </w:r>
          </w:p>
        </w:tc>
      </w:tr>
      <w:tr>
        <w:tblPrEx>
          <w:tblCellMar>
            <w:top w:w="0" w:type="dxa"/>
            <w:left w:w="108" w:type="dxa"/>
            <w:bottom w:w="0" w:type="dxa"/>
            <w:right w:w="108" w:type="dxa"/>
          </w:tblCellMar>
        </w:tblPrEx>
        <w:trPr>
          <w:trHeight w:val="70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青霉装片</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应能看清分生孢子梗和顶端的扫帚枝，菌丝、孢子梗、孢子应无收缩</w:t>
            </w:r>
          </w:p>
        </w:tc>
      </w:tr>
      <w:tr>
        <w:tblPrEx>
          <w:tblCellMar>
            <w:top w:w="0" w:type="dxa"/>
            <w:left w:w="108" w:type="dxa"/>
            <w:bottom w:w="0" w:type="dxa"/>
            <w:right w:w="108" w:type="dxa"/>
          </w:tblCellMar>
        </w:tblPrEx>
        <w:trPr>
          <w:trHeight w:val="49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曲霉装片</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片</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应能看清营养菌丝及其上的分生孢子梗、顶囊和顶端的分生孢子</w:t>
            </w:r>
          </w:p>
        </w:tc>
      </w:tr>
      <w:tr>
        <w:tblPrEx>
          <w:tblCellMar>
            <w:top w:w="0" w:type="dxa"/>
            <w:left w:w="108" w:type="dxa"/>
            <w:bottom w:w="0" w:type="dxa"/>
            <w:right w:w="108" w:type="dxa"/>
          </w:tblCellMar>
        </w:tblPrEx>
        <w:trPr>
          <w:trHeight w:val="4730"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兔骨骼标本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选用家兔骨骼制作。标本显示中轴骨骼的头骨、舌器骨、七块颈椎骨、十二或十三块胸椎骨、六或七块腰椎骨、荐骨、十五或十八块尾椎骨、十二或十三对肋骨、六块胸骨。锁骨固定在前肢骨上方的树脂块内。</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二、产品尺寸规格：200*90*40mm（误差±5mm）。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47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鱼骨骼标本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1、标本选用鳍条完整、骨骼形态正常的鲫鱼或鲤鱼制作。</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2、标本左侧的鳃盖骨和下鳃盖骨应卸下，显示头部的舌弓、腮弓、肩带与头骨之连接方式和围耳骨等形态结构。另附尾椎一节。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二、产品尺寸规格：200*90*40mm（误差±5mm）。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蛙骨骼标本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1、标本选用体长不小于80mm的蟾蜍制作。</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二、产品尺寸规格：135*90*35mm（误差±5mm）。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189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鸽骨骼标本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1、标本选用成熟家鸽制作。标本以自然站立姿态固定在安全无毒的透明树脂块中，多附颈椎骨一块。</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二、产品尺寸规格：180*140*75mm（误差±5mm）。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233"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鱼解剖标本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1、标本选用体长不小于150mm的鯽鱼或鲤鱼制作。标本正面展示鱼的左侧解剖结构，背面展示鱼的右侧，展开背鰭和尾鰭，显示鱼外形。</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2、切掉左侧鳃盖、体壁、脑鰭、腹鰭及头肾、余肾和前部的生殖腺以显示消化系统，呼吸系统，循环系统，排泄系统，生殖系统和神经系统。</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二、产品尺寸规格：190*100*32mm（误差±5mm）。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03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蛙解剖标本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1、标本选用大型青蛙或蟾蜍制作，血管内分注红兰两种色剂，标本的背面面向树脂块后侧。</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2、将躯干背面的皮向上翻开，以显示皮下动静脉之分布。</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3、切掉背、腹面体壁和肝左叶的边缘，从背腹两面显示消化系统、呼吸系统、循环系统、排泄系统、生殖系统和脂肪体。</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二、产品尺寸规格：190*100*32（mm（误差±5mm）。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48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蜥蜴解剖标本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1、标本由石龙子科、蜥蜴科或鬣蜥科中较大型的个体制作，体长≥100mm（从吻端到尾基）。</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2、标本沿腹中线切开，体壁翻两侧，前后肢自然伸展，肩带和腰带的腹面切掉。</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3、血管内分注红、蓝两种色剂。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4、标本的背面向树脂块后侧，显示消化系统、呼吸系统、循环系统、排泄系统、生殖系统。</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二、产品尺寸规格：190*100*32mm（误差±5mm）。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233"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鸽解剖标本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1、标本采用家鸽解剖制作，标本的背面向包埋树脂块的背侧，血管内分注红兰两种色剂，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2、标本应保留头部羽毛，颈和双腿伸展，显示外部形态。</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3、左侧的胸肌翻向外侧，显示胸动静脉的分布；右侧的胸、动静脉及其小分支摘除，其胸、腹壁和右前肢、肝左叶的边缘均切掉，显示内脏各系统。</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二、产品尺寸规格：250*105*55（mm（误差±5mm）。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1770"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兔解剖标本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1、标本选用家兔解剖制作，皮毛应无脱毛现象，并保持清洁。</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2、标本背面向包埋树脂块的背侧，四肢伸展，显示外部形态，血管内分注红、蓝、黄三种色剂。</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3、沿腹中线切开，显示胸壁的结构和由隔间膈成的胸腔及其气管。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4、切掉腹壁的肌肉、胸腺、肝后叶的后缘和后背缘。</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5、显示消化系统、循环系统、排泄系统、生殖系统。</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6、标本包埋于安全无毒的透明树脂块中。标本边角平滑美观，标本表面打磨平整，无明显伤痕；标本无明显气泡和杂质，直径大于3mm的气泡不得超过4个。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二、产品尺寸规格：250*105*55mm（误差±5mm）。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蛔虫标本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1、选用雌虫体长不小于200～350㎜，雄虫体长不小于150～250㎜的成虫制成，雌雄一同包埋于同一透明有机树脂块中。</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海葵标本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1、标本采用海葵制作。海葵形体完整，姿态自然。示口、口盘、触手、体筒和基盘。无明显干瘪发黑现象。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二、产品尺寸规格：73*41*24mm（误差±2mm）。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151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海蛰标本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1、标本采用海蛰制作。海葵形体完整，无明显发黑现象。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二、产品尺寸规格：75*75*16mm（误差±2mm）。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寄居蟹标本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1、标本用生活在螺壳中的寄居蟹制作。</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二、产品尺寸规格：88*58*24mm（误差±2mm）。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199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寄居蟹与其他生物共生标本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1、标本用寄居蟹和与其共生的海葵或藤壶制作。</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二、产品尺寸规格：88*58*24mm（误差±2mm）。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0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寄生绦虫囊尾蚴猪肉标本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1、标本选用检出囊尾蚴的部分猪肉制成。猪肉不得干瘪发黑。</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竹节虫拟态标本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1、标本选用长度不小于5CM的竹节虫制成。竹节虫表面无泛白现象。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724"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珊瑚标本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1、标本选用白色鹿角珊瑚骨骼制成。珊瑚骨骼表面无泛白现象。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二、产品尺寸规格：88*58*24mm（误差±2mm）。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昆虫标本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1、标本由7种常见昆虫组成。昆虫经整姿处理，体表无泛白现象。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二、产品尺寸规格：164*78*20mm（误差±5mm）。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12"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节肢动物标本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1、标本选用6种节肢动物制作。动物经整姿处理，体表无泛白现象。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47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蛙发育顺序标本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1、标本应由蛙的8个发育期组成，④～⑧期形体完整，姿态自然。无明显干瘪发黑现象。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其他要求符合(JY148-82)蛙发育顺序标本技术条件。</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233"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蝗虫生活史标本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1、标本选用东亚飞蝗、亚洲飞蝗或棉蝗制作，展示昆虫的不完全变态。</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2、标本由卵、一至五龄的跳蝻、雄性成虫、雌性成虫和被害物组成。</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3、固定在透明的树脂材料中，虫体以腹面向下定位。</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4、蝗虫经过整姿处理，蝗虫及被害物表面无泛白现象。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5、标本包埋于安全无毒的透明树脂块中。标本边角平滑美观，标本表面打磨平整，无明显伤痕；标本无明显气泡和杂质，直径大于3mm的气泡不得超过1个。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207</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蜜蜂生活史标本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1、标本选用意蜂或中蜂制作，显示昆虫的完全变态、社会性昆虫不同及类型个体。</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4、蜜蜂经过整姿处理，身体表面无泛白现象。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5、标本包埋于安全无毒的透明树脂块中。标本边角平滑美观，标本表面打磨平整，无明显伤痕。</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208</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家蚕生活史标本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1、标本由卵、幼虫（四龄）、蛹、雌雄成虫及茧组成，附蚕丝、丝织品、桑叶。</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2、成虫应展翅，昆虫表面无泛白现象。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3、标本包埋于安全无毒的透明树脂块中。标本边角平滑美观，标本表面打磨平整，无明显伤痕；标本无明显气泡和杂质，树脂块中直径大于3mm的气泡不得超过1个。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3、产品的耐老化性能应在氙灯老化50小时后其包埋材料的黄色指数与老化前测得的黄色指数差值不得大于2。提供国家高分子材料质量检测机构出具的有关黄色指数变化差值的测试报告。</w:t>
            </w:r>
          </w:p>
        </w:tc>
      </w:tr>
      <w:tr>
        <w:tblPrEx>
          <w:tblCellMar>
            <w:top w:w="0" w:type="dxa"/>
            <w:left w:w="108" w:type="dxa"/>
            <w:bottom w:w="0" w:type="dxa"/>
            <w:right w:w="108" w:type="dxa"/>
          </w:tblCellMar>
        </w:tblPrEx>
        <w:trPr>
          <w:trHeight w:val="4478"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209</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菜粉蝶生活史标本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1、标本由菜粉蝶的卵、幼虫、蛹、雌雄成虫及被害物组成，按生活史顺序排列，显示其完全变态。</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2、成虫展翅，昆虫表面无泛白现象。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3、标本包埋于安全无毒的透明树脂块中。标本边角平滑美观，标本表面打磨平整，无明显伤痕；标本无明显气泡和杂质，树脂块中直径大于3mm的气泡不得超过1个。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12"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210</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验证基因分离规律标本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1、标本由显示基因分离规律的玉米穗组成。玉米穗色泽自然，无泛白现象。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211</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葫芦藓生活史标本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1、标本由葫芦藓4阶段生活史组成。</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212</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蕨生活史标本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1、标本由蕨的5阶段生活史组成，植物经保色处理，植物体表面无泛白现象。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2、标本包埋于安全无毒的透明树脂块中。标本边角平滑美观，标本表面打磨平整，无明显伤痕；标本无明显气泡和杂质，树脂块中直径大于3mm的气泡不得超过1个。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二、产品尺寸规格：88*58*18mm（误差±2mm）。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1519"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213</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花序类型保色标本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1、标本由7种不同类型的花序组成。植物体表面无泛白现象。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3975"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214</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花冠类型保色标本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1、标本由7种不同类型的花冠组成。植物体表面无泛白现象。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二、产品尺寸规格：164*78*20mm（误差±2mm）。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4227"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215</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褐藻植物标本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1、标本由海带等4种不同的褐藻植物组成。植物体表面无泛白现象。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二、产品尺寸规格：140*64*10，4个（误差±2mm）。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2776" w:hRule="atLeast"/>
        </w:trPr>
        <w:tc>
          <w:tcPr>
            <w:tcW w:w="726" w:type="dxa"/>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216</w:t>
            </w:r>
          </w:p>
        </w:tc>
        <w:tc>
          <w:tcPr>
            <w:tcW w:w="156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红藻植物标本</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一、材质：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1、标本由紫菜等4种不同的红藻植物组成。植物体表面无泛白现象。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2、标本包埋于安全无毒的透明树脂块中。标本边角平滑美观，标本表面打磨平整，无明显伤痕；标本无明显气泡和杂质，树脂块中直径大于3mm的气泡不得超过2个。</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二、产品尺寸规格：140*64*10，4个（误差±2mm）。</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三、物理性能指标：</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1、产品应为透明度较高的无色树脂，在厚度为10mm的测试条件下，透光率不小于90%。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2、产品应有足够的硬度，在厚度为10mm的测试条件下，其洛氏硬度应大于100L。</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3、产品的耐老化性能应在氙灯老化50小时后其包埋材料的黄色指数与老化前测得的黄色指数差值不得大于2。投标时必须提供国家高分子材料质量检测机构出具的有关黄色指数变化差值的测试报告。</w:t>
            </w:r>
          </w:p>
        </w:tc>
      </w:tr>
      <w:tr>
        <w:tblPrEx>
          <w:tblCellMar>
            <w:top w:w="0" w:type="dxa"/>
            <w:left w:w="108" w:type="dxa"/>
            <w:bottom w:w="0" w:type="dxa"/>
            <w:right w:w="108" w:type="dxa"/>
          </w:tblCellMar>
        </w:tblPrEx>
        <w:trPr>
          <w:trHeight w:val="556" w:hRule="atLeast"/>
        </w:trPr>
        <w:tc>
          <w:tcPr>
            <w:tcW w:w="9120" w:type="dxa"/>
            <w:gridSpan w:val="7"/>
            <w:tcBorders>
              <w:top w:val="nil"/>
              <w:left w:val="single" w:color="auto" w:sz="4" w:space="0"/>
              <w:bottom w:val="single" w:color="auto" w:sz="4" w:space="0"/>
              <w:right w:val="single" w:color="auto" w:sz="4" w:space="0"/>
            </w:tcBorders>
            <w:shd w:val="clear" w:color="auto" w:fill="auto"/>
            <w:vAlign w:val="bottom"/>
          </w:tcPr>
          <w:p>
            <w:pPr>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物理仪器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序号</w:t>
            </w:r>
          </w:p>
        </w:tc>
        <w:tc>
          <w:tcPr>
            <w:tcW w:w="1633" w:type="dxa"/>
            <w:gridSpan w:val="2"/>
            <w:tcBorders>
              <w:top w:val="nil"/>
              <w:left w:val="nil"/>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设备名称</w:t>
            </w:r>
          </w:p>
        </w:tc>
        <w:tc>
          <w:tcPr>
            <w:tcW w:w="603" w:type="dxa"/>
            <w:gridSpan w:val="2"/>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数量</w:t>
            </w:r>
          </w:p>
        </w:tc>
        <w:tc>
          <w:tcPr>
            <w:tcW w:w="706" w:type="dxa"/>
            <w:tcBorders>
              <w:top w:val="nil"/>
              <w:left w:val="nil"/>
              <w:bottom w:val="single" w:color="auto" w:sz="4" w:space="0"/>
              <w:right w:val="single" w:color="auto" w:sz="4" w:space="0"/>
            </w:tcBorders>
            <w:shd w:val="clear" w:color="auto" w:fill="auto"/>
            <w:noWrap/>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单位</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参数性能</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计算器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函数型</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钢制黑板</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900mm×600mm，双面</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打孔器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四件</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手摇抽气机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双缸式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直联泵</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单相</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两用气筒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抽气筒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打气筒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抽气盘</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直径不小于180mm，附罩</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仪器车</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辆</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不锈钢</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充磁器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放大镜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望远镜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双筒，7×35</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天文望远镜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酒精喷灯</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听诊器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医用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注射器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透明盛液筒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φ100mm×300mm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透明水槽(圆形)</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φ270mm×高140mm，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碘升华凝华管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密封式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物理支架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方座支架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多功能实验支架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升降台</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不锈钢，升降范围不小于150mm，载重量不小于10kg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三脚架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泥三角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旋转架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学生电源</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直流1.5V～9V，1.5A,每1.5V一档</w:t>
            </w:r>
          </w:p>
        </w:tc>
      </w:tr>
      <w:tr>
        <w:tblPrEx>
          <w:tblCellMar>
            <w:top w:w="0" w:type="dxa"/>
            <w:left w:w="108" w:type="dxa"/>
            <w:bottom w:w="0" w:type="dxa"/>
            <w:right w:w="108" w:type="dxa"/>
          </w:tblCellMar>
        </w:tblPrEx>
        <w:trPr>
          <w:trHeight w:val="958"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教学电源</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交流 2V～12V，5A,每2V一档 ；                         直流 1.5V～12V，2A，         分为1.5V、3V、4.5V、6V、9V、12V，共六档； 40A、8s自动关断</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蓄电池</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6V，15Ah，封闭免维护式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调压变压器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2kVA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充电器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供蓄电池充电</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电池盒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可串并联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感应圈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电子开关式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木直尺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钢直尺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钢卷尺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布卷尺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游标卡尺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125mm，0.05mm或0.02mm</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外径千分尺(螺旋测微器)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25mm，0.01mm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物理天平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学生天平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200g，0.2g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托盘天平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200g，0.2g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托盘天平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500g，0.5g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电子天平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100g，0.001g</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金属钩码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10g×1，20g×2，50g×2，200g×2</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金属槽码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10g×1，20g×2，50g×2，200g×1，另附10g金属槽码盘</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电子停表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0.1s</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49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节拍器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电子式或机械式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沙漏</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日晷</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温度计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红液，0℃～100℃</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温度计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水银，0℃～200℃</w:t>
            </w:r>
          </w:p>
        </w:tc>
      </w:tr>
      <w:tr>
        <w:tblPrEx>
          <w:tblCellMar>
            <w:top w:w="0" w:type="dxa"/>
            <w:left w:w="108" w:type="dxa"/>
            <w:bottom w:w="0" w:type="dxa"/>
            <w:right w:w="108" w:type="dxa"/>
          </w:tblCellMar>
        </w:tblPrEx>
        <w:trPr>
          <w:trHeight w:val="941"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演示温度计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双金属片温度计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体温计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水银，35℃～42℃</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电子体温计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红外线体温快速检测仪</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59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寒暑表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条形盒测力计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条形盒测力计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条形盒测力计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1N，分度值0.02N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圆筒测力计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圆筒测力计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1N，分度值0.02N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平板测力计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圆盘测力计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0N～2N</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拉压测力计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69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双向测力计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70</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演示电表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直流电压、电流，检流；2.5级</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数字演示电表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直流电压、电流，检流；四位半</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电能表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单相</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绝缘电阻表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500W</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直流电流表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2.5级，0.6A，3A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直流电压表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2.5级，3V，15V</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灵敏电流计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±300μA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多用电表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不低于模拟式电表的交流5级，直流2.5级</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投影电流表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2.5级，0.6A，3A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79</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投影电压表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2.5级，3V，15V</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投影检流计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±300μA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教学示波器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2MHz</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82</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密度计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密度＞1</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密度计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密度＜1</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湿度计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指针式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空盒气压计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多膜盒</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圆柱体组</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铜，铁，铝</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立方体组</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rPr>
              <w:t>铜，铁，铝，木材，不小于60</w:t>
            </w:r>
            <w:r>
              <w:rPr>
                <w:rFonts w:hint="eastAsia" w:ascii="宋体" w:hAnsi="宋体" w:eastAsia="宋体" w:cs="宋体"/>
                <w:sz w:val="21"/>
                <w:szCs w:val="21"/>
                <w:lang w:val="en-US" w:eastAsia="zh-CN"/>
              </w:rPr>
              <w:t>cm³</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运动和力实验器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长、短斜面，小车，小球2个，硬盒，毛巾，布</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89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惯性演示器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摩擦计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螺旋弹簧组</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0.5N，1N，2N，3N，5N</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阿基米德原理实验器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连通器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帕斯卡球</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浮力原理演示器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物体浮沉条件演示器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潜水艇浮沉演示器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98</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液体内部压强实验器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J2113型</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99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微小压强计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J2114型</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100</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液体对器壁压强演示器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气体浮力演示器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大球内胆、大气球</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102</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马德堡半球</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大气压系列实验器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压力和压强演示器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105</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流体流速与压强关系演示器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杠杆</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演示滑轮组</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单2，三并2，三串2，可卡2</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滑轮组</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单4，二并2，二串2，可卡2</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109</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滚摆</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飞机升力原理演示器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111</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手摇离心转台</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音叉</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256Hz</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音叉</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512Hz</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114</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发音齿轮</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115</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单摆</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nil"/>
            </w:tcBorders>
            <w:shd w:val="clear" w:color="000000" w:fill="FFFFFF"/>
            <w:vAlign w:val="center"/>
          </w:tcPr>
          <w:p>
            <w:pPr>
              <w:jc w:val="center"/>
              <w:rPr>
                <w:rFonts w:hint="eastAsia" w:ascii="宋体" w:hAnsi="宋体" w:eastAsia="宋体" w:cs="宋体"/>
                <w:sz w:val="21"/>
                <w:szCs w:val="21"/>
              </w:rPr>
            </w:pPr>
            <w:r>
              <w:rPr>
                <w:rFonts w:hint="eastAsia" w:ascii="宋体" w:hAnsi="宋体" w:eastAsia="宋体" w:cs="宋体"/>
                <w:sz w:val="21"/>
                <w:szCs w:val="21"/>
              </w:rPr>
              <w:t>一个摆球</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声传播演示器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量热器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   铝制</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内聚力演示器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有挤压扳动器和刮削器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空气压缩引火仪</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金属线膨胀演示器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热传导演示器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双金属片</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76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气体做功内能减少演示器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rPr>
                <w:rFonts w:hint="eastAsia" w:ascii="宋体" w:hAnsi="宋体" w:eastAsia="宋体" w:cs="宋体"/>
                <w:sz w:val="21"/>
                <w:szCs w:val="21"/>
              </w:rPr>
            </w:pPr>
            <w:r>
              <w:rPr>
                <w:rFonts w:hint="eastAsia" w:ascii="宋体" w:hAnsi="宋体" w:eastAsia="宋体" w:cs="宋体"/>
                <w:sz w:val="21"/>
                <w:szCs w:val="21"/>
              </w:rPr>
              <w:t>规格尺寸：280×120×115mm；测温仪、压力表显示。包括：测温仪、手动充压、压力表、热敏电阻测温。可见气体做功前和做功后的温度和气压的变化。内部起雾明显。使用安全。附测温仪、打气筒。</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玻棒(附丝绸)</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或有机玻棒(附丝绸)，教师用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玻棒(附丝绸)</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或有机玻棒(附丝绸)，学生用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126</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胶棒(附毛皮)</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或聚碳酸酯棒(附毛皮)，教师用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胶棒(附毛皮)</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或聚碳酸酯棒(附毛皮)，学生用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箔片验电器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教师用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箔片验电器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学生用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指针验电器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感应起电机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132</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小灯座</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133</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单刀开关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134</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滑动变阻器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20Ω，2A或10Ω，2A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135</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滑动变阻器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50Ω，1.5A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滑动变阻器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5Ω，3A</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电阻圈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5Ω，10Ω，15Ω</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电阻定律演示器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139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电阻定律实验器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演示电阻箱</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教学电阻箱</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9999.9Ω</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简式电阻箱</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9999Ω</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演示线路实验板</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初中演示组</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初中电学演示箱</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磁贴式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学生线路实验板</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初中学生组</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单刀双掷开关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双刀双掷开关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焦耳定律演示器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焦耳定律实验器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保险丝作用演示器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条形磁铁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D-CG-LT-180</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蹄形磁铁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D-CG-LU-80</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磁感线演示器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条形、蹄形</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立体磁感线演示器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永磁、电磁场，一对</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电流磁场演示器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菱形小磁针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16个</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翼形磁针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对</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演示原副线圈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159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原副线圈</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蹄形电磁铁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组</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密绕细线，稀绕粗线</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电磁铁实验器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电铃</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立式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演示电磁继电器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电磁继电器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磁场对电流作用实验器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左右手定则演示器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小型电动机实验器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手摇交直流发电机</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电机原理说明器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阴极射线管(磁效应管)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低频信号发生器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20Hz～20kHz，有功率输出</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能的转化演示器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机械能、化学能、电能、热能、光能的转化</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能的转化实验器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势能→动能,机械能→电能→热能→光能；化学能→电能→机械能→热能</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174</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磁悬浮演示器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光具盘</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磁吸附式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凹面镜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凸面镜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玻璃砖</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179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光具座</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三棱镜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181</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白光的色散与合成演示器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透镜及其应用实验器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盒</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平面镜成像实验器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光的传播、反射、折射实验器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激光笔</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186</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光的三原色合成实验器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紫外线作用演示器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红外线作用演示器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189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手持直视分光镜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190</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克罗克斯辐射计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轮轴模型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J2120型</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轴承模型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滚动、滑动</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抽水机模型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活塞式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离心水泵模型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齿轮式或皮带式</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液压机模型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水轮机模型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混流式、轴流式、冲击式三种转轮可视</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汽油机模型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全金属结构，规格尺寸：160*130*300mm。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柴油机模型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全金属结构，规格尺寸：160*130*300mm。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磁分子模型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电机模型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电话原理模型</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示教板</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物质的形态和变化</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对开5幅</w:t>
            </w:r>
          </w:p>
        </w:tc>
      </w:tr>
      <w:tr>
        <w:tblPrEx>
          <w:tblCellMar>
            <w:top w:w="0" w:type="dxa"/>
            <w:left w:w="108" w:type="dxa"/>
            <w:bottom w:w="0" w:type="dxa"/>
            <w:right w:w="108" w:type="dxa"/>
          </w:tblCellMar>
        </w:tblPrEx>
        <w:trPr>
          <w:trHeight w:val="51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物质的属性</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000000" w:fill="FFFFFF"/>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对开2幅</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物质的结构与物体的尺度</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新材料及其应用</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对开1幅</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多种多样的运动形式</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机械运动和力</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对开15幅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声和光</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对开9幅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电和磁</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对开14幅</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能量、能量的转化和转移</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机械能</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对开2幅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内能</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对开4幅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电磁能</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对开10幅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能量守恒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对开2幅</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能源与可持续发展</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对开3幅</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量筒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量筒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量筒</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60</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219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量杯</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试管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60</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φ15mm×150mm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试管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φ30mm×200mm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烧杯</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60</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烧杯</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烧瓶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圆、长，500mL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烧瓶</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平、长，250mL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酒精灯</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150mL</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漏斗</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平底管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φ12mm×150mm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229</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T形管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可密封长玻璃管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内径10mm×800mm，有胶塞，带刻度衬板</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镊子</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石棉网</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玻璃管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公斤</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φ7mm～φ8mm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乳胶管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米</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蒸发皿</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瓷，60mm</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236</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铁粉</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碘</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100g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238</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硫酸铝钾(明矾)</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工业</w:t>
            </w:r>
          </w:p>
        </w:tc>
      </w:tr>
      <w:tr>
        <w:tblPrEx>
          <w:tblCellMar>
            <w:top w:w="0" w:type="dxa"/>
            <w:left w:w="108" w:type="dxa"/>
            <w:bottom w:w="0" w:type="dxa"/>
            <w:right w:w="108" w:type="dxa"/>
          </w:tblCellMar>
        </w:tblPrEx>
        <w:trPr>
          <w:trHeight w:val="706"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239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硫代硫酸钠(海波)</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试剂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无水硫酸铜</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试剂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甘油</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0.5</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500ml</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试剂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酒精</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500ml</w:t>
            </w:r>
          </w:p>
        </w:tc>
        <w:tc>
          <w:tcPr>
            <w:tcW w:w="5519" w:type="dxa"/>
            <w:tcBorders>
              <w:top w:val="nil"/>
              <w:left w:val="nil"/>
              <w:bottom w:val="single" w:color="auto" w:sz="4" w:space="0"/>
              <w:right w:val="nil"/>
            </w:tcBorders>
            <w:shd w:val="clear" w:color="000000" w:fill="FFFFFF"/>
            <w:vAlign w:val="center"/>
          </w:tcPr>
          <w:p>
            <w:pPr>
              <w:jc w:val="center"/>
              <w:rPr>
                <w:rFonts w:hint="eastAsia" w:ascii="宋体" w:hAnsi="宋体" w:eastAsia="宋体" w:cs="宋体"/>
                <w:sz w:val="21"/>
                <w:szCs w:val="21"/>
              </w:rPr>
            </w:pPr>
            <w:r>
              <w:rPr>
                <w:rFonts w:hint="eastAsia" w:ascii="宋体" w:hAnsi="宋体" w:eastAsia="宋体" w:cs="宋体"/>
                <w:sz w:val="21"/>
                <w:szCs w:val="21"/>
              </w:rPr>
              <w:t xml:space="preserve">工业      </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243</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煤油</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500ml</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244</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石腊</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500g</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245</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硫酸</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500ml</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工业</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246</w:t>
            </w:r>
          </w:p>
        </w:tc>
        <w:tc>
          <w:tcPr>
            <w:tcW w:w="163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彩色透光片</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红、绿、蓝</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247</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颜料的三原色</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适量</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品红、黄、蓝</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248</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电珠(小灯泡)</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2.5V或3.8V</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249</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测电笔</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250</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一字螺丝刀</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49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251</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十字螺丝刀</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04" w:hRule="atLeast"/>
        </w:trPr>
        <w:tc>
          <w:tcPr>
            <w:tcW w:w="659" w:type="dxa"/>
            <w:tcBorders>
              <w:top w:val="nil"/>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252</w:t>
            </w:r>
          </w:p>
        </w:tc>
        <w:tc>
          <w:tcPr>
            <w:tcW w:w="1633" w:type="dxa"/>
            <w:gridSpan w:val="2"/>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尖咀钳</w:t>
            </w:r>
          </w:p>
        </w:tc>
        <w:tc>
          <w:tcPr>
            <w:tcW w:w="603" w:type="dxa"/>
            <w:gridSpan w:val="2"/>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706" w:type="dxa"/>
            <w:tcBorders>
              <w:top w:val="nil"/>
              <w:left w:val="nil"/>
              <w:bottom w:val="single" w:color="auto" w:sz="4" w:space="0"/>
              <w:right w:val="single" w:color="auto" w:sz="4" w:space="0"/>
            </w:tcBorders>
            <w:shd w:val="clear" w:color="auto" w:fill="auto"/>
            <w:noWrap/>
            <w:vAlign w:val="center"/>
          </w:tcPr>
          <w:p>
            <w:pPr>
              <w:jc w:val="center"/>
              <w:rPr>
                <w:rFonts w:hint="eastAsia" w:ascii="宋体" w:hAnsi="宋体" w:eastAsia="宋体" w:cs="宋体"/>
                <w:sz w:val="21"/>
                <w:szCs w:val="21"/>
              </w:rPr>
            </w:pPr>
            <w:r>
              <w:rPr>
                <w:rFonts w:hint="eastAsia" w:ascii="宋体" w:hAnsi="宋体" w:eastAsia="宋体" w:cs="宋体"/>
                <w:sz w:val="21"/>
                <w:szCs w:val="21"/>
              </w:rPr>
              <w:t>把</w:t>
            </w:r>
          </w:p>
        </w:tc>
        <w:tc>
          <w:tcPr>
            <w:tcW w:w="5519"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bl>
    <w:p>
      <w:pPr>
        <w:spacing w:line="220" w:lineRule="atLeast"/>
        <w:rPr>
          <w:rFonts w:hint="eastAsia" w:ascii="宋体" w:hAnsi="宋体" w:eastAsia="宋体" w:cs="宋体"/>
          <w:sz w:val="21"/>
          <w:szCs w:val="21"/>
        </w:rPr>
      </w:pPr>
    </w:p>
    <w:p>
      <w:pPr>
        <w:spacing w:line="220" w:lineRule="atLeast"/>
        <w:rPr>
          <w:rFonts w:hint="eastAsia" w:ascii="宋体" w:hAnsi="宋体" w:eastAsia="宋体" w:cs="宋体"/>
          <w:sz w:val="21"/>
          <w:szCs w:val="21"/>
        </w:rPr>
      </w:pPr>
    </w:p>
    <w:tbl>
      <w:tblPr>
        <w:tblStyle w:val="15"/>
        <w:tblW w:w="9160" w:type="dxa"/>
        <w:tblInd w:w="93" w:type="dxa"/>
        <w:tblLayout w:type="autofit"/>
        <w:tblCellMar>
          <w:top w:w="0" w:type="dxa"/>
          <w:left w:w="108" w:type="dxa"/>
          <w:bottom w:w="0" w:type="dxa"/>
          <w:right w:w="108" w:type="dxa"/>
        </w:tblCellMar>
      </w:tblPr>
      <w:tblGrid>
        <w:gridCol w:w="654"/>
        <w:gridCol w:w="1606"/>
        <w:gridCol w:w="701"/>
        <w:gridCol w:w="640"/>
        <w:gridCol w:w="5559"/>
      </w:tblGrid>
      <w:tr>
        <w:tblPrEx>
          <w:tblCellMar>
            <w:top w:w="0" w:type="dxa"/>
            <w:left w:w="108" w:type="dxa"/>
            <w:bottom w:w="0" w:type="dxa"/>
            <w:right w:w="108" w:type="dxa"/>
          </w:tblCellMar>
        </w:tblPrEx>
        <w:trPr>
          <w:trHeight w:val="361" w:hRule="atLeast"/>
        </w:trPr>
        <w:tc>
          <w:tcPr>
            <w:tcW w:w="9160" w:type="dxa"/>
            <w:gridSpan w:val="5"/>
            <w:tcBorders>
              <w:top w:val="single" w:color="auto" w:sz="4" w:space="0"/>
              <w:left w:val="single" w:color="auto" w:sz="4" w:space="0"/>
              <w:bottom w:val="single" w:color="auto" w:sz="4" w:space="0"/>
              <w:right w:val="single" w:color="auto" w:sz="4" w:space="0"/>
            </w:tcBorders>
            <w:shd w:val="clear" w:color="auto" w:fill="auto"/>
            <w:vAlign w:val="bottom"/>
          </w:tcPr>
          <w:p>
            <w:pPr>
              <w:adjustRightInd/>
              <w:snapToGrid/>
              <w:spacing w:after="0"/>
              <w:jc w:val="center"/>
              <w:rPr>
                <w:rFonts w:hint="eastAsia" w:ascii="宋体" w:hAnsi="宋体" w:eastAsia="宋体" w:cs="宋体"/>
                <w:b/>
                <w:sz w:val="21"/>
                <w:szCs w:val="21"/>
              </w:rPr>
            </w:pPr>
            <w:r>
              <w:rPr>
                <w:rFonts w:hint="eastAsia" w:ascii="宋体" w:hAnsi="宋体" w:eastAsia="宋体" w:cs="宋体"/>
                <w:b/>
                <w:sz w:val="21"/>
                <w:szCs w:val="21"/>
              </w:rPr>
              <w:t>地理器材</w:t>
            </w:r>
          </w:p>
        </w:tc>
      </w:tr>
      <w:tr>
        <w:tblPrEx>
          <w:tblCellMar>
            <w:top w:w="0" w:type="dxa"/>
            <w:left w:w="108" w:type="dxa"/>
            <w:bottom w:w="0" w:type="dxa"/>
            <w:right w:w="108" w:type="dxa"/>
          </w:tblCellMar>
        </w:tblPrEx>
        <w:trPr>
          <w:trHeight w:val="286" w:hRule="atLeast"/>
        </w:trPr>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序号</w:t>
            </w:r>
          </w:p>
        </w:tc>
        <w:tc>
          <w:tcPr>
            <w:tcW w:w="1606"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设备名称</w:t>
            </w:r>
          </w:p>
        </w:tc>
        <w:tc>
          <w:tcPr>
            <w:tcW w:w="701"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数量</w:t>
            </w:r>
          </w:p>
        </w:tc>
        <w:tc>
          <w:tcPr>
            <w:tcW w:w="640"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单位</w:t>
            </w:r>
          </w:p>
        </w:tc>
        <w:tc>
          <w:tcPr>
            <w:tcW w:w="5559"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b/>
                <w:color w:val="000000"/>
                <w:sz w:val="21"/>
                <w:szCs w:val="21"/>
              </w:rPr>
              <w:t>参数性能</w:t>
            </w:r>
          </w:p>
        </w:tc>
      </w:tr>
      <w:tr>
        <w:tblPrEx>
          <w:tblCellMar>
            <w:top w:w="0" w:type="dxa"/>
            <w:left w:w="108" w:type="dxa"/>
            <w:bottom w:w="0" w:type="dxa"/>
            <w:right w:w="108" w:type="dxa"/>
          </w:tblCellMar>
        </w:tblPrEx>
        <w:trPr>
          <w:trHeight w:val="535" w:hRule="atLeast"/>
        </w:trPr>
        <w:tc>
          <w:tcPr>
            <w:tcW w:w="65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1</w:t>
            </w:r>
          </w:p>
        </w:tc>
        <w:tc>
          <w:tcPr>
            <w:tcW w:w="1606"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望远镜</w:t>
            </w:r>
          </w:p>
        </w:tc>
        <w:tc>
          <w:tcPr>
            <w:tcW w:w="701"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6</w:t>
            </w:r>
          </w:p>
        </w:tc>
        <w:tc>
          <w:tcPr>
            <w:tcW w:w="640" w:type="dxa"/>
            <w:tcBorders>
              <w:top w:val="single" w:color="auto" w:sz="4" w:space="0"/>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个</w:t>
            </w:r>
          </w:p>
        </w:tc>
        <w:tc>
          <w:tcPr>
            <w:tcW w:w="5559" w:type="dxa"/>
            <w:tcBorders>
              <w:top w:val="single" w:color="auto" w:sz="4" w:space="0"/>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lang w:val="en-US" w:eastAsia="zh-CN" w:bidi="ar-SA"/>
              </w:rPr>
            </w:pPr>
            <w:r>
              <w:rPr>
                <w:rFonts w:hint="eastAsia" w:ascii="宋体" w:hAnsi="宋体" w:eastAsia="宋体" w:cs="宋体"/>
                <w:sz w:val="21"/>
                <w:szCs w:val="21"/>
              </w:rPr>
              <w:t>双筒,7×35</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数字式天文望远镜</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光照度5lx，分辨率</w:t>
            </w:r>
            <w:r>
              <w:rPr>
                <w:rFonts w:hint="eastAsia" w:ascii="宋体" w:hAnsi="宋体" w:eastAsia="宋体" w:cs="宋体"/>
                <w:sz w:val="21"/>
                <w:szCs w:val="21"/>
                <w:lang w:val="en-US" w:eastAsia="zh-CN"/>
              </w:rPr>
              <w:t>≥</w:t>
            </w:r>
            <w:r>
              <w:rPr>
                <w:rFonts w:hint="eastAsia" w:ascii="宋体" w:hAnsi="宋体" w:eastAsia="宋体" w:cs="宋体"/>
                <w:sz w:val="21"/>
                <w:szCs w:val="21"/>
              </w:rPr>
              <w:t>640×480           USB接口</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钢卷尺</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盒</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2000mm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布卷尺</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盒</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30m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世界钟</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普及型</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温度计</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红液，0℃～100℃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寒暑表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最高温度表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xml:space="preserve"> -16℃～+81℃</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最低温度表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xml:space="preserve"> -52℃～+41℃</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干湿球温度计</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付</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xml:space="preserve"> -36℃～+46℃</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地面温度表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支</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xml:space="preserve"> -36℃～+81℃</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自记温度计</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地质罗盘</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指南针</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空盒气压表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DYM3型</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毛发表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单发</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蒸发器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蒸发器面积314cm</w:t>
            </w:r>
            <w:r>
              <w:rPr>
                <w:rFonts w:hint="eastAsia" w:ascii="宋体" w:hAnsi="宋体" w:eastAsia="宋体" w:cs="宋体"/>
                <w:sz w:val="21"/>
                <w:szCs w:val="21"/>
                <w:vertAlign w:val="superscript"/>
              </w:rPr>
              <w:t>2</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雨量器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承水口内径200mm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雨量计</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轻风表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三杯</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测量标杆</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噪声测定仪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台</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地球运行仪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晨昏仪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日、地、月运行仪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直径1m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太阳视运动仪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天体运行仪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三球仪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沉积作用演示装置</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流水作用演示装置</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断层、褶皱演示器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地壳变动演示器</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季风活动演示仪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演示动态效果</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洋流演示仪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按洋流分条演示动态效果</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环境速测箱</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土壤pH值，P、N测定，水质测定，空气质量测定</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地球科学探究活动器材套装</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平面政区地球仪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1∶40 000 000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平面地形地球仪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1∶40 000 000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39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平面地形地球仪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1∶90 000 000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立体地形地球仪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1∶40 000 000</w:t>
            </w:r>
          </w:p>
        </w:tc>
      </w:tr>
      <w:tr>
        <w:tblPrEx>
          <w:tblCellMar>
            <w:top w:w="0" w:type="dxa"/>
            <w:left w:w="108" w:type="dxa"/>
            <w:bottom w:w="0" w:type="dxa"/>
            <w:right w:w="108" w:type="dxa"/>
          </w:tblCellMar>
        </w:tblPrEx>
        <w:trPr>
          <w:trHeight w:val="70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平面两用地球仪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地形/政区 1∶40 000 000</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充气式填充地球仪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塑胶，210mm，1∶60 000 000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填充地球仪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320mm，政区，灯光</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填充地球仪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320mm，地形，灯光</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经纬度模型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320mm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天球仪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灯光两用，320mm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月球仪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320mm</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月球仪</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24</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141.6mm</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等高线地形图判读模型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中国地形模型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吸塑填充   1∶8 000 000</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中国政区拼接及组合模型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1∶6 000 000</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中国政区拼接模型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1∶20 000 000</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板块构造及地表形态模型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褶皱构造及其地貌演变模型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断裂构造及地垒地堑发育模型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地球内部构造模型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世界立体地形模型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1∶16 000 000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中国立体地形模型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件</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1∶4 000 000</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59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岩石矿物标本</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938"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土壤标本</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红壤、砖红壤、黑钙土、紫色土、水稻土等</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地球和地图教学挂图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对开</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中国地理教学挂图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世界地理教学挂图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中国地理教学地图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世界地理教学地图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1170"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中学地理填充地图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彩色印刷，全开，PVC片材或复合纸或铜版纸覆膜</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中学环境与可持续发展教育挂图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对开</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地球和地图教学投影片</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69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世界地理教学投影片</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中国地理教学投影片</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1198"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中学环境与可持续发展教育投影片</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初中地理教学幻灯片</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宇宙</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星球的诞生</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地球的演变</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火山</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岩石与大峡谷</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海洋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79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飓风</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龙卷风</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天气的奥秘</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水资源</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资源回收</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世界旅游</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地理新教材多媒体教学案例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地理研究性学习课例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地理探究性学习课例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中学地理景观图片集</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1198"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89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中学环境与可持续发展教育图片集</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太空探索</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宇宙</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太阳系</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绘制地图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地球历史</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陆地和水</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海洋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火山</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天气和气候</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岩石和矿物</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自然资源保护</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片</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太空探索</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宇宙</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太阳系</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绘制地图</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地球历史</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陆地和水</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海洋</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火山</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109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天气和气候</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岩石和矿物</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自然资源保护</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1198"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112</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地球和地图、人类和环境学习参考图册</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113</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世界地理学习参考图册</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114</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中国地理学习参考图册</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本</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115</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初中地理实验教学指导书</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866"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116</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初中地理实验仪器手册</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117</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平底盘</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118</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金属托盘</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个</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119</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洛阳铲</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把</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符合教育部标准，满足教学要求　</w:t>
            </w:r>
          </w:p>
        </w:tc>
      </w:tr>
      <w:tr>
        <w:tblPrEx>
          <w:tblCellMar>
            <w:top w:w="0" w:type="dxa"/>
            <w:left w:w="108" w:type="dxa"/>
            <w:bottom w:w="0" w:type="dxa"/>
            <w:right w:w="108" w:type="dxa"/>
          </w:tblCellMar>
        </w:tblPrEx>
        <w:trPr>
          <w:trHeight w:val="53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120</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剖面刀</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把</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　符合教育部标准，满足教学要求</w:t>
            </w:r>
          </w:p>
        </w:tc>
      </w:tr>
      <w:tr>
        <w:tblPrEx>
          <w:tblCellMar>
            <w:top w:w="0" w:type="dxa"/>
            <w:left w:w="108" w:type="dxa"/>
            <w:bottom w:w="0" w:type="dxa"/>
            <w:right w:w="108" w:type="dxa"/>
          </w:tblCellMar>
        </w:tblPrEx>
        <w:trPr>
          <w:trHeight w:val="545" w:hRule="atLeast"/>
        </w:trPr>
        <w:tc>
          <w:tcPr>
            <w:tcW w:w="65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121</w:t>
            </w:r>
          </w:p>
        </w:tc>
        <w:tc>
          <w:tcPr>
            <w:tcW w:w="1606"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土壤筛</w:t>
            </w:r>
          </w:p>
        </w:tc>
        <w:tc>
          <w:tcPr>
            <w:tcW w:w="701"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40" w:type="dxa"/>
            <w:tcBorders>
              <w:top w:val="nil"/>
              <w:left w:val="nil"/>
              <w:bottom w:val="single" w:color="auto" w:sz="4" w:space="0"/>
              <w:right w:val="single" w:color="auto" w:sz="4" w:space="0"/>
            </w:tcBorders>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套</w:t>
            </w:r>
          </w:p>
        </w:tc>
        <w:tc>
          <w:tcPr>
            <w:tcW w:w="5559" w:type="dxa"/>
            <w:tcBorders>
              <w:top w:val="nil"/>
              <w:left w:val="nil"/>
              <w:bottom w:val="single" w:color="auto" w:sz="4" w:space="0"/>
              <w:right w:val="single" w:color="auto" w:sz="4" w:space="0"/>
            </w:tcBorders>
            <w:shd w:val="clear" w:color="auto" w:fill="auto"/>
            <w:vAlign w:val="center"/>
          </w:tcPr>
          <w:p>
            <w:pPr>
              <w:adjustRightInd/>
              <w:snapToGrid/>
              <w:spacing w:after="0"/>
              <w:jc w:val="center"/>
              <w:rPr>
                <w:rFonts w:hint="eastAsia" w:ascii="宋体" w:hAnsi="宋体" w:eastAsia="宋体" w:cs="宋体"/>
                <w:sz w:val="21"/>
                <w:szCs w:val="21"/>
              </w:rPr>
            </w:pPr>
            <w:r>
              <w:rPr>
                <w:rFonts w:hint="eastAsia" w:ascii="宋体" w:hAnsi="宋体" w:eastAsia="宋体" w:cs="宋体"/>
                <w:sz w:val="21"/>
                <w:szCs w:val="21"/>
              </w:rPr>
              <w:t>五个一套</w:t>
            </w:r>
          </w:p>
        </w:tc>
      </w:tr>
    </w:tbl>
    <w:p>
      <w:pPr>
        <w:spacing w:line="220" w:lineRule="atLeast"/>
        <w:rPr>
          <w:rFonts w:hint="eastAsia" w:ascii="宋体" w:hAnsi="宋体" w:eastAsia="宋体" w:cs="宋体"/>
          <w:sz w:val="21"/>
          <w:szCs w:val="21"/>
        </w:rPr>
      </w:pPr>
    </w:p>
    <w:p/>
    <w:p>
      <w:pPr>
        <w:keepNext w:val="0"/>
        <w:keepLines w:val="0"/>
        <w:pageBreakBefore/>
        <w:widowControl/>
        <w:kinsoku/>
        <w:wordWrap/>
        <w:overflowPunct/>
        <w:topLinePunct w:val="0"/>
        <w:autoSpaceDE/>
        <w:autoSpaceDN/>
        <w:bidi w:val="0"/>
        <w:adjustRightInd/>
        <w:snapToGrid/>
        <w:jc w:val="center"/>
        <w:textAlignment w:val="auto"/>
        <w:rPr>
          <w:rFonts w:hint="eastAsia" w:ascii="宋体" w:hAnsi="宋体" w:eastAsia="宋体" w:cs="宋体"/>
          <w:b/>
          <w:sz w:val="32"/>
          <w:szCs w:val="32"/>
          <w:lang w:val="zh-CN"/>
        </w:rPr>
      </w:pPr>
      <w:r>
        <w:rPr>
          <w:rFonts w:hint="eastAsia" w:ascii="宋体" w:hAnsi="宋体" w:eastAsia="宋体" w:cs="宋体"/>
          <w:b/>
          <w:sz w:val="32"/>
          <w:szCs w:val="32"/>
          <w:lang w:val="zh-CN"/>
        </w:rPr>
        <w:t>第四部分  合同草案条款</w:t>
      </w:r>
      <w:bookmarkEnd w:id="28"/>
      <w:bookmarkEnd w:id="29"/>
    </w:p>
    <w:p>
      <w:pPr>
        <w:pStyle w:val="28"/>
        <w:spacing w:line="360" w:lineRule="auto"/>
        <w:ind w:left="0" w:leftChars="0"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合同编号： </w:t>
      </w:r>
    </w:p>
    <w:p>
      <w:pPr>
        <w:pStyle w:val="28"/>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签订地点： </w:t>
      </w:r>
    </w:p>
    <w:p>
      <w:pPr>
        <w:pStyle w:val="28"/>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签订时间: </w:t>
      </w:r>
    </w:p>
    <w:p>
      <w:pPr>
        <w:pStyle w:val="28"/>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采购人（</w:t>
      </w:r>
      <w:r>
        <w:rPr>
          <w:rFonts w:hint="eastAsia" w:ascii="宋体" w:hAnsi="宋体" w:eastAsia="宋体" w:cs="宋体"/>
          <w:color w:val="000000"/>
          <w:sz w:val="28"/>
          <w:szCs w:val="28"/>
          <w:lang w:eastAsia="zh-CN"/>
        </w:rPr>
        <w:t>甲方</w:t>
      </w:r>
      <w:r>
        <w:rPr>
          <w:rFonts w:hint="eastAsia" w:ascii="宋体" w:hAnsi="宋体" w:eastAsia="宋体" w:cs="宋体"/>
          <w:color w:val="000000"/>
          <w:sz w:val="28"/>
          <w:szCs w:val="28"/>
        </w:rPr>
        <w:t>）：</w:t>
      </w:r>
    </w:p>
    <w:p>
      <w:pPr>
        <w:pStyle w:val="28"/>
        <w:spacing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投标人（乙方）：</w:t>
      </w:r>
    </w:p>
    <w:p>
      <w:pPr>
        <w:pStyle w:val="28"/>
        <w:spacing w:before="156" w:beforeLines="50" w:line="360" w:lineRule="auto"/>
        <w:ind w:firstLine="480"/>
        <w:rPr>
          <w:rFonts w:hint="eastAsia" w:ascii="宋体" w:hAnsi="宋体" w:eastAsia="宋体" w:cs="宋体"/>
          <w:color w:val="000000"/>
          <w:sz w:val="28"/>
          <w:szCs w:val="28"/>
        </w:rPr>
      </w:pPr>
      <w:r>
        <w:rPr>
          <w:rFonts w:hint="eastAsia" w:ascii="宋体" w:hAnsi="宋体" w:eastAsia="宋体" w:cs="宋体"/>
          <w:color w:val="000000"/>
          <w:sz w:val="28"/>
          <w:szCs w:val="28"/>
        </w:rPr>
        <w:t>根据《中华人民共和国政府采购法》及实施条例、《中华人民共和国</w:t>
      </w:r>
      <w:r>
        <w:rPr>
          <w:rFonts w:hint="eastAsia" w:ascii="宋体" w:hAnsi="宋体" w:eastAsia="宋体" w:cs="宋体"/>
          <w:color w:val="000000"/>
          <w:sz w:val="28"/>
          <w:szCs w:val="28"/>
          <w:lang w:val="en-US" w:eastAsia="zh-CN"/>
        </w:rPr>
        <w:t>民法典</w:t>
      </w:r>
      <w:r>
        <w:rPr>
          <w:rFonts w:hint="eastAsia" w:ascii="宋体" w:hAnsi="宋体" w:eastAsia="宋体" w:cs="宋体"/>
          <w:color w:val="000000"/>
          <w:sz w:val="28"/>
          <w:szCs w:val="28"/>
        </w:rPr>
        <w:t>》和</w:t>
      </w:r>
      <w:r>
        <w:rPr>
          <w:rFonts w:hint="eastAsia" w:ascii="宋体" w:hAnsi="宋体" w:eastAsia="宋体" w:cs="宋体"/>
          <w:color w:val="000000"/>
          <w:sz w:val="28"/>
          <w:szCs w:val="28"/>
          <w:lang w:eastAsia="zh-CN"/>
        </w:rPr>
        <w:t>甲方</w:t>
      </w:r>
      <w:r>
        <w:rPr>
          <w:rFonts w:hint="eastAsia" w:ascii="宋体" w:hAnsi="宋体" w:eastAsia="宋体" w:cs="宋体"/>
          <w:color w:val="000000"/>
          <w:sz w:val="28"/>
          <w:szCs w:val="28"/>
          <w:u w:val="single"/>
        </w:rPr>
        <w:t xml:space="preserve">               </w:t>
      </w:r>
      <w:r>
        <w:rPr>
          <w:rFonts w:hint="eastAsia" w:ascii="宋体" w:hAnsi="宋体" w:eastAsia="宋体" w:cs="宋体"/>
          <w:color w:val="000000"/>
          <w:sz w:val="28"/>
          <w:szCs w:val="28"/>
        </w:rPr>
        <w:t>采购项目（采购项目编号：     ）的</w:t>
      </w:r>
      <w:r>
        <w:rPr>
          <w:rFonts w:hint="eastAsia" w:ascii="宋体" w:hAnsi="宋体" w:cs="宋体"/>
          <w:color w:val="000000"/>
          <w:sz w:val="28"/>
          <w:szCs w:val="28"/>
          <w:lang w:val="en-US" w:eastAsia="zh-CN"/>
        </w:rPr>
        <w:t>磋商</w:t>
      </w:r>
      <w:r>
        <w:rPr>
          <w:rFonts w:hint="eastAsia" w:ascii="宋体" w:hAnsi="宋体" w:eastAsia="宋体" w:cs="宋体"/>
          <w:color w:val="000000"/>
          <w:sz w:val="28"/>
          <w:szCs w:val="28"/>
        </w:rPr>
        <w:t>文件、</w:t>
      </w:r>
      <w:r>
        <w:rPr>
          <w:rFonts w:hint="eastAsia" w:ascii="宋体" w:hAnsi="宋体" w:cs="宋体"/>
          <w:color w:val="000000"/>
          <w:sz w:val="28"/>
          <w:szCs w:val="28"/>
          <w:lang w:val="en-US" w:eastAsia="zh-CN"/>
        </w:rPr>
        <w:t>磋商响应</w:t>
      </w:r>
      <w:r>
        <w:rPr>
          <w:rFonts w:hint="eastAsia" w:ascii="宋体" w:hAnsi="宋体" w:eastAsia="宋体" w:cs="宋体"/>
          <w:color w:val="000000"/>
          <w:sz w:val="28"/>
          <w:szCs w:val="28"/>
        </w:rPr>
        <w:t>文件等有关规定，为确保</w:t>
      </w:r>
      <w:r>
        <w:rPr>
          <w:rFonts w:hint="eastAsia" w:ascii="宋体" w:hAnsi="宋体" w:eastAsia="宋体" w:cs="宋体"/>
          <w:color w:val="000000"/>
          <w:sz w:val="28"/>
          <w:szCs w:val="28"/>
          <w:lang w:eastAsia="zh-CN"/>
        </w:rPr>
        <w:t>甲方</w:t>
      </w:r>
      <w:r>
        <w:rPr>
          <w:rFonts w:hint="eastAsia" w:ascii="宋体" w:hAnsi="宋体" w:eastAsia="宋体" w:cs="宋体"/>
          <w:color w:val="000000"/>
          <w:sz w:val="28"/>
          <w:szCs w:val="28"/>
        </w:rPr>
        <w:t>采购项目的顺利实施，甲、乙双方在平等自愿原则下签订本合同，并共同遵守如下条款：</w:t>
      </w:r>
    </w:p>
    <w:p>
      <w:pPr>
        <w:pStyle w:val="28"/>
        <w:spacing w:before="120" w:beforeLines="50" w:line="360" w:lineRule="auto"/>
        <w:ind w:firstLine="452" w:firstLineChars="150"/>
        <w:rPr>
          <w:rFonts w:hint="eastAsia"/>
          <w:b/>
          <w:color w:val="auto"/>
          <w:sz w:val="30"/>
          <w:szCs w:val="30"/>
        </w:rPr>
      </w:pPr>
      <w:bookmarkStart w:id="30" w:name="_Toc43393738"/>
      <w:bookmarkStart w:id="31" w:name="_Toc22289848"/>
      <w:r>
        <w:rPr>
          <w:rFonts w:hint="eastAsia"/>
          <w:b/>
          <w:color w:val="auto"/>
          <w:sz w:val="30"/>
          <w:szCs w:val="30"/>
        </w:rPr>
        <w:t>第一条 合同标的及数量</w:t>
      </w:r>
    </w:p>
    <w:p>
      <w:pPr>
        <w:pStyle w:val="28"/>
        <w:spacing w:before="120" w:beforeLines="50" w:line="360" w:lineRule="auto"/>
        <w:ind w:firstLine="700" w:firstLineChars="250"/>
        <w:rPr>
          <w:rFonts w:hint="eastAsia" w:ascii="宋体" w:hAnsi="宋体" w:eastAsia="宋体" w:cs="宋体"/>
          <w:b/>
          <w:color w:val="auto"/>
          <w:sz w:val="28"/>
          <w:szCs w:val="28"/>
        </w:rPr>
      </w:pPr>
      <w:r>
        <w:rPr>
          <w:rFonts w:hint="eastAsia" w:ascii="宋体" w:hAnsi="宋体" w:eastAsia="宋体" w:cs="宋体"/>
          <w:color w:val="auto"/>
          <w:sz w:val="28"/>
          <w:szCs w:val="28"/>
        </w:rPr>
        <w:t>乙方向甲方提供下列货物（产品）：</w:t>
      </w:r>
    </w:p>
    <w:tbl>
      <w:tblPr>
        <w:tblStyle w:val="15"/>
        <w:tblpPr w:leftFromText="180" w:rightFromText="180" w:vertAnchor="text" w:horzAnchor="margin" w:tblpY="777"/>
        <w:tblW w:w="93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728"/>
        <w:gridCol w:w="1194"/>
        <w:gridCol w:w="1783"/>
        <w:gridCol w:w="709"/>
        <w:gridCol w:w="709"/>
        <w:gridCol w:w="1134"/>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648" w:type="dxa"/>
            <w:noWrap w:val="0"/>
            <w:vAlign w:val="center"/>
          </w:tcPr>
          <w:p>
            <w:pPr>
              <w:pStyle w:val="4"/>
              <w:spacing w:before="0" w:after="0" w:line="24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序号</w:t>
            </w:r>
          </w:p>
        </w:tc>
        <w:tc>
          <w:tcPr>
            <w:tcW w:w="1728" w:type="dxa"/>
            <w:noWrap w:val="0"/>
            <w:vAlign w:val="center"/>
          </w:tcPr>
          <w:p>
            <w:pPr>
              <w:pStyle w:val="4"/>
              <w:spacing w:before="0" w:after="0"/>
              <w:jc w:val="center"/>
              <w:rPr>
                <w:rFonts w:hint="eastAsia" w:ascii="宋体" w:hAnsi="宋体" w:eastAsia="宋体" w:cs="宋体"/>
                <w:color w:val="auto"/>
                <w:sz w:val="28"/>
                <w:szCs w:val="28"/>
              </w:rPr>
            </w:pPr>
            <w:r>
              <w:rPr>
                <w:rFonts w:hint="eastAsia" w:ascii="宋体" w:hAnsi="宋体" w:eastAsia="宋体" w:cs="宋体"/>
                <w:color w:val="auto"/>
                <w:sz w:val="28"/>
                <w:szCs w:val="28"/>
              </w:rPr>
              <w:t>产品名称</w:t>
            </w:r>
          </w:p>
        </w:tc>
        <w:tc>
          <w:tcPr>
            <w:tcW w:w="1194" w:type="dxa"/>
            <w:noWrap w:val="0"/>
            <w:vAlign w:val="center"/>
          </w:tcPr>
          <w:p>
            <w:pPr>
              <w:pStyle w:val="4"/>
              <w:spacing w:before="0" w:after="0"/>
              <w:jc w:val="center"/>
              <w:rPr>
                <w:rFonts w:hint="eastAsia" w:ascii="宋体" w:hAnsi="宋体" w:eastAsia="宋体" w:cs="宋体"/>
                <w:color w:val="auto"/>
                <w:sz w:val="28"/>
                <w:szCs w:val="28"/>
              </w:rPr>
            </w:pPr>
            <w:r>
              <w:rPr>
                <w:rFonts w:hint="eastAsia" w:ascii="宋体" w:hAnsi="宋体" w:eastAsia="宋体" w:cs="宋体"/>
                <w:color w:val="auto"/>
                <w:sz w:val="28"/>
                <w:szCs w:val="28"/>
              </w:rPr>
              <w:t>品牌/商号</w:t>
            </w:r>
          </w:p>
        </w:tc>
        <w:tc>
          <w:tcPr>
            <w:tcW w:w="1783" w:type="dxa"/>
            <w:noWrap w:val="0"/>
            <w:vAlign w:val="center"/>
          </w:tcPr>
          <w:p>
            <w:pPr>
              <w:pStyle w:val="4"/>
              <w:spacing w:before="0" w:after="0" w:line="4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型号规格</w:t>
            </w:r>
          </w:p>
        </w:tc>
        <w:tc>
          <w:tcPr>
            <w:tcW w:w="709" w:type="dxa"/>
            <w:noWrap w:val="0"/>
            <w:vAlign w:val="center"/>
          </w:tcPr>
          <w:p>
            <w:pPr>
              <w:pStyle w:val="4"/>
              <w:spacing w:before="0" w:after="0" w:line="240" w:lineRule="auto"/>
              <w:jc w:val="center"/>
              <w:rPr>
                <w:rFonts w:hint="eastAsia" w:ascii="宋体" w:hAnsi="宋体" w:eastAsia="宋体" w:cs="宋体"/>
                <w:color w:val="auto"/>
                <w:sz w:val="28"/>
                <w:szCs w:val="28"/>
              </w:rPr>
            </w:pPr>
            <w:r>
              <w:rPr>
                <w:rFonts w:hint="eastAsia" w:ascii="宋体" w:hAnsi="宋体" w:eastAsia="宋体" w:cs="宋体"/>
                <w:color w:val="auto"/>
                <w:sz w:val="28"/>
                <w:szCs w:val="28"/>
              </w:rPr>
              <w:t>计量单位</w:t>
            </w:r>
          </w:p>
        </w:tc>
        <w:tc>
          <w:tcPr>
            <w:tcW w:w="709" w:type="dxa"/>
            <w:noWrap w:val="0"/>
            <w:vAlign w:val="center"/>
          </w:tcPr>
          <w:p>
            <w:pPr>
              <w:pStyle w:val="4"/>
              <w:spacing w:before="0" w:after="0"/>
              <w:jc w:val="center"/>
              <w:rPr>
                <w:rFonts w:hint="eastAsia" w:ascii="宋体" w:hAnsi="宋体" w:eastAsia="宋体" w:cs="宋体"/>
                <w:color w:val="auto"/>
                <w:sz w:val="28"/>
                <w:szCs w:val="28"/>
              </w:rPr>
            </w:pPr>
            <w:r>
              <w:rPr>
                <w:rFonts w:hint="eastAsia" w:ascii="宋体" w:hAnsi="宋体" w:eastAsia="宋体" w:cs="宋体"/>
                <w:color w:val="auto"/>
                <w:sz w:val="28"/>
                <w:szCs w:val="28"/>
              </w:rPr>
              <w:t>数量</w:t>
            </w:r>
          </w:p>
        </w:tc>
        <w:tc>
          <w:tcPr>
            <w:tcW w:w="1134" w:type="dxa"/>
            <w:noWrap w:val="0"/>
            <w:vAlign w:val="center"/>
          </w:tcPr>
          <w:p>
            <w:pPr>
              <w:pStyle w:val="4"/>
              <w:spacing w:before="0" w:after="0"/>
              <w:jc w:val="center"/>
              <w:rPr>
                <w:rFonts w:hint="eastAsia" w:ascii="宋体" w:hAnsi="宋体" w:eastAsia="宋体" w:cs="宋体"/>
                <w:color w:val="auto"/>
                <w:sz w:val="28"/>
                <w:szCs w:val="28"/>
              </w:rPr>
            </w:pPr>
            <w:r>
              <w:rPr>
                <w:rFonts w:hint="eastAsia" w:ascii="宋体" w:hAnsi="宋体" w:eastAsia="宋体" w:cs="宋体"/>
                <w:color w:val="auto"/>
                <w:sz w:val="28"/>
                <w:szCs w:val="28"/>
              </w:rPr>
              <w:t>单价（元）</w:t>
            </w:r>
          </w:p>
        </w:tc>
        <w:tc>
          <w:tcPr>
            <w:tcW w:w="1417" w:type="dxa"/>
            <w:noWrap w:val="0"/>
            <w:vAlign w:val="center"/>
          </w:tcPr>
          <w:p>
            <w:pPr>
              <w:pStyle w:val="4"/>
              <w:spacing w:before="0" w:after="0"/>
              <w:ind w:left="207" w:hanging="274" w:hangingChars="98"/>
              <w:jc w:val="center"/>
              <w:rPr>
                <w:rFonts w:hint="eastAsia" w:ascii="宋体" w:hAnsi="宋体" w:eastAsia="宋体" w:cs="宋体"/>
                <w:color w:val="auto"/>
                <w:sz w:val="28"/>
                <w:szCs w:val="28"/>
              </w:rPr>
            </w:pPr>
            <w:r>
              <w:rPr>
                <w:rFonts w:hint="eastAsia" w:ascii="宋体" w:hAnsi="宋体" w:eastAsia="宋体" w:cs="宋体"/>
                <w:color w:val="auto"/>
                <w:sz w:val="28"/>
                <w:szCs w:val="28"/>
              </w:rPr>
              <w:t>金额 (元)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s="宋体"/>
                <w:color w:val="auto"/>
                <w:sz w:val="28"/>
                <w:szCs w:val="28"/>
              </w:rPr>
            </w:pPr>
          </w:p>
        </w:tc>
        <w:tc>
          <w:tcPr>
            <w:tcW w:w="1728" w:type="dxa"/>
            <w:noWrap w:val="0"/>
            <w:vAlign w:val="top"/>
          </w:tcPr>
          <w:p>
            <w:pPr>
              <w:pStyle w:val="4"/>
              <w:spacing w:before="0" w:after="0" w:line="360" w:lineRule="auto"/>
              <w:rPr>
                <w:rFonts w:hint="eastAsia" w:ascii="宋体" w:hAnsi="宋体" w:eastAsia="宋体" w:cs="宋体"/>
                <w:color w:val="auto"/>
                <w:sz w:val="28"/>
                <w:szCs w:val="28"/>
              </w:rPr>
            </w:pPr>
          </w:p>
        </w:tc>
        <w:tc>
          <w:tcPr>
            <w:tcW w:w="1194" w:type="dxa"/>
            <w:noWrap w:val="0"/>
            <w:vAlign w:val="top"/>
          </w:tcPr>
          <w:p>
            <w:pPr>
              <w:pStyle w:val="4"/>
              <w:spacing w:before="0" w:after="0" w:line="360" w:lineRule="auto"/>
              <w:rPr>
                <w:rFonts w:hint="eastAsia" w:ascii="宋体" w:hAnsi="宋体" w:eastAsia="宋体" w:cs="宋体"/>
                <w:color w:val="auto"/>
                <w:sz w:val="28"/>
                <w:szCs w:val="28"/>
              </w:rPr>
            </w:pPr>
          </w:p>
        </w:tc>
        <w:tc>
          <w:tcPr>
            <w:tcW w:w="1783"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709" w:type="dxa"/>
            <w:noWrap w:val="0"/>
            <w:vAlign w:val="top"/>
          </w:tcPr>
          <w:p>
            <w:pPr>
              <w:pStyle w:val="4"/>
              <w:spacing w:before="0" w:after="0" w:line="360" w:lineRule="auto"/>
              <w:rPr>
                <w:rFonts w:hint="eastAsia" w:ascii="宋体" w:hAnsi="宋体" w:eastAsia="宋体" w:cs="宋体"/>
                <w:color w:val="auto"/>
                <w:sz w:val="28"/>
                <w:szCs w:val="28"/>
              </w:rPr>
            </w:pPr>
          </w:p>
        </w:tc>
        <w:tc>
          <w:tcPr>
            <w:tcW w:w="1134" w:type="dxa"/>
            <w:noWrap w:val="0"/>
            <w:vAlign w:val="top"/>
          </w:tcPr>
          <w:p>
            <w:pPr>
              <w:pStyle w:val="4"/>
              <w:spacing w:before="0" w:after="0" w:line="360" w:lineRule="auto"/>
              <w:rPr>
                <w:rFonts w:hint="eastAsia" w:ascii="宋体" w:hAnsi="宋体" w:eastAsia="宋体" w:cs="宋体"/>
                <w:color w:val="auto"/>
                <w:sz w:val="28"/>
                <w:szCs w:val="28"/>
              </w:rPr>
            </w:pPr>
          </w:p>
        </w:tc>
        <w:tc>
          <w:tcPr>
            <w:tcW w:w="1417" w:type="dxa"/>
            <w:noWrap w:val="0"/>
            <w:vAlign w:val="top"/>
          </w:tcPr>
          <w:p>
            <w:pPr>
              <w:pStyle w:val="4"/>
              <w:spacing w:before="0" w:after="0" w:line="360" w:lineRule="auto"/>
              <w:rPr>
                <w:rFonts w:hint="eastAsia" w:ascii="宋体" w:hAnsi="宋体" w:eastAsia="宋体" w:cs="宋体"/>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olor w:val="auto"/>
                <w:sz w:val="24"/>
                <w:szCs w:val="24"/>
              </w:rPr>
            </w:pPr>
          </w:p>
        </w:tc>
        <w:tc>
          <w:tcPr>
            <w:tcW w:w="1728" w:type="dxa"/>
            <w:noWrap w:val="0"/>
            <w:vAlign w:val="top"/>
          </w:tcPr>
          <w:p>
            <w:pPr>
              <w:pStyle w:val="4"/>
              <w:spacing w:before="0" w:after="0" w:line="360" w:lineRule="auto"/>
              <w:rPr>
                <w:rFonts w:hint="eastAsia" w:ascii="宋体" w:hAnsi="宋体" w:eastAsia="宋体"/>
                <w:color w:val="auto"/>
                <w:sz w:val="24"/>
                <w:szCs w:val="24"/>
              </w:rPr>
            </w:pPr>
          </w:p>
        </w:tc>
        <w:tc>
          <w:tcPr>
            <w:tcW w:w="1194" w:type="dxa"/>
            <w:noWrap w:val="0"/>
            <w:vAlign w:val="top"/>
          </w:tcPr>
          <w:p>
            <w:pPr>
              <w:pStyle w:val="4"/>
              <w:spacing w:before="0" w:after="0" w:line="360" w:lineRule="auto"/>
              <w:rPr>
                <w:rFonts w:hint="eastAsia" w:ascii="宋体" w:hAnsi="宋体" w:eastAsia="宋体"/>
                <w:color w:val="auto"/>
                <w:sz w:val="24"/>
                <w:szCs w:val="24"/>
              </w:rPr>
            </w:pPr>
          </w:p>
        </w:tc>
        <w:tc>
          <w:tcPr>
            <w:tcW w:w="1783" w:type="dxa"/>
            <w:noWrap w:val="0"/>
            <w:vAlign w:val="top"/>
          </w:tcPr>
          <w:p>
            <w:pPr>
              <w:pStyle w:val="4"/>
              <w:spacing w:before="0" w:after="0" w:line="360" w:lineRule="auto"/>
              <w:rPr>
                <w:rFonts w:hint="eastAsia" w:ascii="宋体" w:hAnsi="宋体" w:eastAsia="宋体"/>
                <w:color w:val="auto"/>
                <w:sz w:val="24"/>
                <w:szCs w:val="24"/>
              </w:rPr>
            </w:pPr>
          </w:p>
        </w:tc>
        <w:tc>
          <w:tcPr>
            <w:tcW w:w="709" w:type="dxa"/>
            <w:noWrap w:val="0"/>
            <w:vAlign w:val="top"/>
          </w:tcPr>
          <w:p>
            <w:pPr>
              <w:pStyle w:val="4"/>
              <w:spacing w:before="0" w:after="0" w:line="360" w:lineRule="auto"/>
              <w:rPr>
                <w:rFonts w:hint="eastAsia" w:ascii="宋体" w:hAnsi="宋体" w:eastAsia="宋体"/>
                <w:color w:val="auto"/>
                <w:sz w:val="24"/>
                <w:szCs w:val="24"/>
              </w:rPr>
            </w:pPr>
          </w:p>
        </w:tc>
        <w:tc>
          <w:tcPr>
            <w:tcW w:w="709" w:type="dxa"/>
            <w:noWrap w:val="0"/>
            <w:vAlign w:val="top"/>
          </w:tcPr>
          <w:p>
            <w:pPr>
              <w:pStyle w:val="4"/>
              <w:spacing w:before="0" w:after="0" w:line="360" w:lineRule="auto"/>
              <w:rPr>
                <w:rFonts w:hint="eastAsia" w:ascii="宋体" w:hAnsi="宋体" w:eastAsia="宋体"/>
                <w:color w:val="auto"/>
                <w:sz w:val="24"/>
                <w:szCs w:val="24"/>
              </w:rPr>
            </w:pPr>
          </w:p>
        </w:tc>
        <w:tc>
          <w:tcPr>
            <w:tcW w:w="1134" w:type="dxa"/>
            <w:noWrap w:val="0"/>
            <w:vAlign w:val="top"/>
          </w:tcPr>
          <w:p>
            <w:pPr>
              <w:pStyle w:val="4"/>
              <w:spacing w:before="0" w:after="0" w:line="360" w:lineRule="auto"/>
              <w:rPr>
                <w:rFonts w:hint="eastAsia" w:ascii="宋体" w:hAnsi="宋体" w:eastAsia="宋体"/>
                <w:color w:val="auto"/>
                <w:sz w:val="24"/>
                <w:szCs w:val="24"/>
              </w:rPr>
            </w:pPr>
          </w:p>
        </w:tc>
        <w:tc>
          <w:tcPr>
            <w:tcW w:w="1417" w:type="dxa"/>
            <w:noWrap w:val="0"/>
            <w:vAlign w:val="top"/>
          </w:tcPr>
          <w:p>
            <w:pPr>
              <w:pStyle w:val="4"/>
              <w:spacing w:before="0" w:after="0" w:line="360" w:lineRule="auto"/>
              <w:rPr>
                <w:rFonts w:hint="eastAsia" w:ascii="宋体" w:hAnsi="宋体" w:eastAsia="宋体"/>
                <w:color w:val="auto"/>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pPr>
              <w:pStyle w:val="4"/>
              <w:spacing w:before="0" w:after="0" w:line="360" w:lineRule="auto"/>
              <w:rPr>
                <w:rFonts w:hint="eastAsia" w:ascii="宋体" w:hAnsi="宋体" w:eastAsia="宋体"/>
                <w:color w:val="auto"/>
                <w:sz w:val="28"/>
                <w:szCs w:val="28"/>
              </w:rPr>
            </w:pPr>
          </w:p>
        </w:tc>
        <w:tc>
          <w:tcPr>
            <w:tcW w:w="6123" w:type="dxa"/>
            <w:gridSpan w:val="5"/>
            <w:noWrap w:val="0"/>
            <w:vAlign w:val="center"/>
          </w:tcPr>
          <w:p>
            <w:pPr>
              <w:pStyle w:val="4"/>
              <w:spacing w:before="0" w:after="0" w:line="240" w:lineRule="auto"/>
              <w:rPr>
                <w:rFonts w:hint="eastAsia" w:ascii="宋体" w:hAnsi="宋体" w:eastAsia="宋体"/>
                <w:color w:val="auto"/>
                <w:sz w:val="28"/>
                <w:szCs w:val="28"/>
              </w:rPr>
            </w:pPr>
            <w:r>
              <w:rPr>
                <w:rFonts w:hint="eastAsia" w:ascii="宋体" w:hAnsi="宋体" w:eastAsia="宋体"/>
                <w:color w:val="auto"/>
                <w:sz w:val="28"/>
                <w:szCs w:val="28"/>
              </w:rPr>
              <w:t>大写</w:t>
            </w:r>
          </w:p>
        </w:tc>
        <w:tc>
          <w:tcPr>
            <w:tcW w:w="2551" w:type="dxa"/>
            <w:gridSpan w:val="2"/>
            <w:noWrap w:val="0"/>
            <w:vAlign w:val="center"/>
          </w:tcPr>
          <w:p>
            <w:pPr>
              <w:pStyle w:val="4"/>
              <w:spacing w:before="0" w:after="0" w:line="240" w:lineRule="auto"/>
              <w:rPr>
                <w:rFonts w:hint="eastAsia" w:ascii="宋体" w:hAnsi="宋体" w:eastAsia="宋体"/>
                <w:color w:val="auto"/>
                <w:sz w:val="28"/>
                <w:szCs w:val="28"/>
              </w:rPr>
            </w:pPr>
            <w:r>
              <w:rPr>
                <w:rFonts w:hint="eastAsia" w:ascii="宋体" w:hAnsi="宋体" w:eastAsia="宋体"/>
                <w:color w:val="auto"/>
                <w:sz w:val="28"/>
                <w:szCs w:val="28"/>
              </w:rPr>
              <w:t>￥</w:t>
            </w:r>
          </w:p>
        </w:tc>
      </w:tr>
    </w:tbl>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第二条 合同价款</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1.合同总价：人民币（大写）</w:t>
      </w:r>
      <w:r>
        <w:rPr>
          <w:rFonts w:hint="eastAsia" w:ascii="宋体" w:hAnsi="宋体" w:eastAsia="宋体" w:cs="宋体"/>
          <w:b w:val="0"/>
          <w:color w:val="auto"/>
          <w:sz w:val="28"/>
          <w:szCs w:val="28"/>
          <w:u w:val="single"/>
        </w:rPr>
        <w:t xml:space="preserve">                 </w:t>
      </w:r>
      <w:r>
        <w:rPr>
          <w:rFonts w:hint="eastAsia" w:ascii="宋体" w:hAnsi="宋体" w:eastAsia="宋体" w:cs="宋体"/>
          <w:b w:val="0"/>
          <w:color w:val="auto"/>
          <w:sz w:val="28"/>
          <w:szCs w:val="28"/>
        </w:rPr>
        <w:t xml:space="preserve"> 元，（￥</w:t>
      </w:r>
      <w:r>
        <w:rPr>
          <w:rFonts w:hint="eastAsia" w:ascii="宋体" w:hAnsi="宋体" w:eastAsia="宋体" w:cs="宋体"/>
          <w:b w:val="0"/>
          <w:color w:val="auto"/>
          <w:sz w:val="28"/>
          <w:szCs w:val="28"/>
          <w:u w:val="single"/>
        </w:rPr>
        <w:t xml:space="preserve">           </w:t>
      </w:r>
      <w:r>
        <w:rPr>
          <w:rFonts w:hint="eastAsia" w:ascii="宋体" w:hAnsi="宋体" w:eastAsia="宋体" w:cs="宋体"/>
          <w:b w:val="0"/>
          <w:color w:val="auto"/>
          <w:sz w:val="28"/>
          <w:szCs w:val="28"/>
        </w:rPr>
        <w:t xml:space="preserve"> ）。</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2.本合同总价是货物（产品）设计、材料、制造、包装、运输、安装、调试、检测、验收合格交付使用之前及保修期内保修服务与备用物件等其他有关各项的含税费用。</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3.本合同总价还包含乙方应当提供的伴随服务和售后服务费用。</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4.本合同执行期间合同总价不变，甲方无须另向乙方支付本合同规定之外的其他任何费用。</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第三条 货款支付</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1.货物（产品）按下列比例支付价款：</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（1）同签订后7个工作日内付30%预付款，到货、安装完成，验收合格后30日历日内，付合同总价款65%，剩余5%为质保金；</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（2）质保金支付时间：质保期满1年后的30日内甲方向乙方支付剩余合同价款5%的质保金。</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2.乙方须向甲方出具合法有效的完税发票，甲方进行支付结算。</w:t>
      </w:r>
    </w:p>
    <w:p>
      <w:pPr>
        <w:pStyle w:val="4"/>
        <w:spacing w:before="0" w:after="0" w:line="360" w:lineRule="auto"/>
        <w:ind w:firstLine="688" w:firstLineChars="246"/>
        <w:rPr>
          <w:rFonts w:hint="eastAsia" w:ascii="宋体" w:hAnsi="宋体" w:eastAsia="宋体" w:cs="宋体"/>
          <w:b w:val="0"/>
          <w:color w:val="auto"/>
          <w:sz w:val="28"/>
          <w:szCs w:val="28"/>
        </w:rPr>
      </w:pPr>
      <w:r>
        <w:rPr>
          <w:rFonts w:hint="eastAsia" w:ascii="宋体" w:hAnsi="宋体" w:eastAsia="宋体" w:cs="宋体"/>
          <w:b w:val="0"/>
          <w:color w:val="auto"/>
          <w:sz w:val="28"/>
          <w:szCs w:val="28"/>
        </w:rPr>
        <w:t>3.结算方式：银行转账。</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第四条 交货时间与地点</w:t>
      </w:r>
    </w:p>
    <w:p>
      <w:pPr>
        <w:pStyle w:val="28"/>
        <w:spacing w:line="360" w:lineRule="auto"/>
        <w:ind w:firstLine="561" w:firstLineChars="0"/>
        <w:rPr>
          <w:rFonts w:hint="eastAsia" w:ascii="宋体" w:hAnsi="宋体" w:eastAsia="宋体" w:cs="宋体"/>
          <w:color w:val="auto"/>
          <w:sz w:val="28"/>
          <w:szCs w:val="28"/>
        </w:rPr>
      </w:pPr>
      <w:r>
        <w:rPr>
          <w:rFonts w:hint="eastAsia" w:ascii="宋体" w:hAnsi="宋体" w:eastAsia="宋体" w:cs="宋体"/>
          <w:color w:val="auto"/>
          <w:sz w:val="28"/>
          <w:szCs w:val="28"/>
        </w:rPr>
        <w:t>乙方在合同签订生效之日起，按甲方指定时间、地点交货。</w:t>
      </w:r>
    </w:p>
    <w:p>
      <w:pPr>
        <w:pStyle w:val="28"/>
        <w:spacing w:line="360" w:lineRule="auto"/>
        <w:ind w:firstLine="561" w:firstLineChars="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1.交货时间（期限）：</w:t>
      </w:r>
      <w:r>
        <w:rPr>
          <w:rFonts w:hint="eastAsia" w:ascii="宋体" w:hAnsi="宋体" w:eastAsia="宋体" w:cs="宋体"/>
          <w:color w:val="auto"/>
          <w:sz w:val="28"/>
          <w:szCs w:val="28"/>
          <w:lang w:val="en-US" w:eastAsia="zh-CN"/>
        </w:rPr>
        <w:t>合同签订后15日历天</w:t>
      </w:r>
    </w:p>
    <w:p>
      <w:pPr>
        <w:pStyle w:val="28"/>
        <w:spacing w:line="360" w:lineRule="auto"/>
        <w:ind w:firstLine="561" w:firstLineChars="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2.交货地点：</w:t>
      </w:r>
      <w:r>
        <w:rPr>
          <w:rFonts w:hint="eastAsia" w:ascii="宋体" w:hAnsi="宋体" w:eastAsia="宋体" w:cs="宋体"/>
          <w:color w:val="auto"/>
          <w:sz w:val="28"/>
          <w:szCs w:val="28"/>
          <w:lang w:val="en-US" w:eastAsia="zh-CN"/>
        </w:rPr>
        <w:t>采购人指定地点</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第五条 质量保证</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1.乙方须提供全新的、未使用过的合格正品货物（含零部件、配件等），完全符合合同规定的质量、规格和性能的要求。</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2.乙方提供的节能和环保产品必须是列入节能、环保标志产品品目清单中的产品。</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3.质量标准按照最新颁布的国家标准、行业标准或制造商企业标准确定，上述标准不一致的，以严格标准为准。</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4.乙方所提供货物还应符合国家和陕西省有关安全、环保、节能之规定，“3C”认证的货物（产品）应加贴“3C”认证标志。</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5.货物制造质量出现问题，乙方应负责三包（包修、包换、包退），费用由乙方负担，甲方有权到乙方生产场地检查货物质量和生产进度。</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第六条 权利保证</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1.乙方保证对其出售的货物享有合法的权利。</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2.乙方保证对其出售的货物上不存在任何未曾向甲方透露的担保物权，如抵押权、质押权、留置权。</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3.乙方保证对其出售的货物或其任何一部分没有侵犯第三方的专利权、版权、商标权或其他权利。</w:t>
      </w:r>
    </w:p>
    <w:p>
      <w:pPr>
        <w:pStyle w:val="28"/>
        <w:spacing w:line="360" w:lineRule="auto"/>
        <w:ind w:left="141" w:leftChars="67" w:firstLine="420"/>
        <w:rPr>
          <w:rFonts w:hint="eastAsia" w:ascii="宋体" w:hAnsi="宋体" w:eastAsia="宋体" w:cs="宋体"/>
          <w:b/>
          <w:color w:val="auto"/>
          <w:sz w:val="28"/>
          <w:szCs w:val="28"/>
        </w:rPr>
      </w:pPr>
      <w:r>
        <w:rPr>
          <w:rFonts w:hint="eastAsia" w:ascii="宋体" w:hAnsi="宋体" w:eastAsia="宋体" w:cs="宋体"/>
          <w:color w:val="auto"/>
          <w:sz w:val="28"/>
          <w:szCs w:val="28"/>
        </w:rPr>
        <w:t>4.如甲方在使用该货物构成上述侵权的，则由乙方承担全部责任。</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 xml:space="preserve">第七条 包装要求与运输方式   </w:t>
      </w:r>
    </w:p>
    <w:p>
      <w:pPr>
        <w:pStyle w:val="28"/>
        <w:spacing w:line="360" w:lineRule="auto"/>
        <w:ind w:left="141" w:leftChars="67"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1.除合同另有规定外，乙方提供的全部货物均应按标准保护措施进行包装，该包装应适应于远距离运输、防潮、防震、防锈和防野蛮装卸，以确保货物安全运抵指定地点。</w:t>
      </w:r>
    </w:p>
    <w:p>
      <w:pPr>
        <w:pStyle w:val="28"/>
        <w:spacing w:line="360" w:lineRule="auto"/>
        <w:ind w:left="141" w:leftChars="67"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2.每一包装单元应附详细的装箱单和质量合格证。</w:t>
      </w:r>
    </w:p>
    <w:p>
      <w:pPr>
        <w:pStyle w:val="28"/>
        <w:spacing w:line="360" w:lineRule="auto"/>
        <w:ind w:left="141" w:leftChars="67"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3.货物（产品）运输方式：</w:t>
      </w:r>
      <w:r>
        <w:rPr>
          <w:rFonts w:hint="eastAsia" w:ascii="宋体" w:hAnsi="宋体" w:eastAsia="宋体" w:cs="宋体"/>
          <w:color w:val="auto"/>
          <w:sz w:val="28"/>
          <w:szCs w:val="28"/>
          <w:u w:val="single"/>
          <w:lang w:val="en-US" w:eastAsia="zh-CN"/>
        </w:rPr>
        <w:t>由乙方负责运输</w:t>
      </w:r>
      <w:r>
        <w:rPr>
          <w:rFonts w:hint="eastAsia" w:ascii="宋体" w:hAnsi="宋体" w:eastAsia="宋体" w:cs="宋体"/>
          <w:color w:val="auto"/>
          <w:sz w:val="28"/>
          <w:szCs w:val="28"/>
        </w:rPr>
        <w:t>。</w:t>
      </w:r>
    </w:p>
    <w:p>
      <w:pPr>
        <w:pStyle w:val="28"/>
        <w:spacing w:line="360" w:lineRule="auto"/>
        <w:ind w:left="141" w:leftChars="67" w:firstLine="420" w:firstLineChars="150"/>
        <w:rPr>
          <w:rFonts w:hint="eastAsia" w:ascii="宋体" w:hAnsi="宋体" w:eastAsia="宋体" w:cs="宋体"/>
          <w:color w:val="auto"/>
          <w:sz w:val="28"/>
          <w:szCs w:val="28"/>
        </w:rPr>
      </w:pPr>
      <w:r>
        <w:rPr>
          <w:rFonts w:hint="eastAsia" w:ascii="宋体" w:hAnsi="宋体" w:eastAsia="宋体" w:cs="宋体"/>
          <w:color w:val="auto"/>
          <w:sz w:val="28"/>
          <w:szCs w:val="28"/>
        </w:rPr>
        <w:t>4.乙方负责货物（产品）运输，货物运输的合理损耗及计算方法</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第八条 货物验收</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硬件设备到达甲方指定地点后，组织现场开箱请点验货。所到设备的型号和数量必须与合同一致，甲方和乙方共同签署到货验收单。未签收到货验收单的货物不得擅自开箱安装。</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rPr>
        <w:t>乙方保证合同所有设备是全新的（包括零部件），其规格参数及配件不低于（符合）本项目招投标文件的要求。</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安装完成，乙方进行自测并形成自测报告（软硬件），出现的问题限期整改。自检最终通过后，乙方提出验收申请，甲方组织相关人员进行最终验收，专家验收费用由乙方承担。</w:t>
      </w:r>
    </w:p>
    <w:p>
      <w:pPr>
        <w:pStyle w:val="28"/>
        <w:spacing w:line="360" w:lineRule="auto"/>
        <w:ind w:firstLine="700" w:firstLineChars="25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4.设备采购从通过最终验收之日起进入保修期，提供原厂保修升级。</w:t>
      </w:r>
    </w:p>
    <w:p>
      <w:pPr>
        <w:pStyle w:val="28"/>
        <w:spacing w:line="360" w:lineRule="auto"/>
        <w:ind w:firstLine="700" w:firstLineChars="250"/>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5.货物验收依据：</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（1）磋商文件；</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（2）响应文件；</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（3）采购合同及补充协议；</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（4）质检部门抽样检查货物（产品）合格的检测报告。</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cs="宋体"/>
          <w:color w:val="auto"/>
          <w:sz w:val="28"/>
          <w:szCs w:val="28"/>
          <w:lang w:val="en-US" w:eastAsia="zh-CN"/>
        </w:rPr>
        <w:t>6</w:t>
      </w:r>
      <w:r>
        <w:rPr>
          <w:rFonts w:hint="eastAsia" w:ascii="宋体" w:hAnsi="宋体" w:eastAsia="宋体" w:cs="宋体"/>
          <w:color w:val="auto"/>
          <w:sz w:val="28"/>
          <w:szCs w:val="28"/>
        </w:rPr>
        <w:t>.货物验收时发现问题的处理</w:t>
      </w:r>
      <w:r>
        <w:rPr>
          <w:rFonts w:hint="eastAsia" w:ascii="宋体" w:hAnsi="宋体" w:eastAsia="宋体" w:cs="宋体"/>
          <w:color w:val="auto"/>
          <w:sz w:val="28"/>
          <w:szCs w:val="28"/>
          <w:lang w:val="en-US" w:eastAsia="zh-CN"/>
        </w:rPr>
        <w:t>办法</w:t>
      </w:r>
      <w:r>
        <w:rPr>
          <w:rFonts w:hint="eastAsia" w:ascii="宋体" w:hAnsi="宋体" w:eastAsia="宋体" w:cs="宋体"/>
          <w:color w:val="auto"/>
          <w:sz w:val="28"/>
          <w:szCs w:val="28"/>
        </w:rPr>
        <w:t>：</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（1）乙方提供不符合磋商文件和本合同规定的货物（产品），甲方有权拒绝接受；</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2）如发现所交付的货物有短装、次品、损坏或其它不符合标准及本合同规定之情形者，甲方有权要求更换货物（产品），同时做出详尽的现场记录，或由甲乙双方签署备忘录，此现场记录或备忘录可用作补充、缺失和更换损坏部件或更换整个货物（产品）有效证据，由此产生的时间延误与有关费用由乙方承担，验收期限相应顺延；</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（3）如货物经乙方</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2</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次维修仍不能达到合同约定的质量标准，甲方有权退货，并视作乙方不能交付货物而须支付违约赔偿金给甲方，甲方还可依法追究乙方的违约责任； </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（4）货物安装完成后</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30</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日内，甲方无故不进行验收工作并已使用货物的，视同已安装调试完成并验收合格；</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（5）乙方不能完整交付货物及本条第一款规定的单证和工具的，必须负责补齐，否则视为未按合同约定交货；</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（6）超出合理磅差的处理方法：</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第九条 售后服务</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乙方应按照国家有关法律法规和“三包”规定以及磋商文件要求和响应文件的“服务承诺”提供服务。</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第十条 履约保证金</w:t>
      </w:r>
    </w:p>
    <w:p>
      <w:pPr>
        <w:widowControl/>
        <w:spacing w:line="360" w:lineRule="auto"/>
        <w:ind w:firstLine="700" w:firstLineChars="25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1.乙方在签订本合同之前，向甲方提交履约保证金人民币（大写）</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元，￥</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 xml:space="preserve"> 。</w:t>
      </w:r>
    </w:p>
    <w:p>
      <w:pPr>
        <w:widowControl/>
        <w:spacing w:line="360" w:lineRule="auto"/>
        <w:ind w:firstLine="700" w:firstLineChars="25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2.履约保证金的有效期为乙方承诺的货物（产品）质保期。</w:t>
      </w:r>
    </w:p>
    <w:p>
      <w:pPr>
        <w:widowControl/>
        <w:spacing w:line="360" w:lineRule="auto"/>
        <w:ind w:firstLine="700" w:firstLineChars="25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3.如乙方未能履行合同规定的义务，甲方有权从履约保证金中取得补偿。</w:t>
      </w:r>
    </w:p>
    <w:p>
      <w:pPr>
        <w:widowControl/>
        <w:spacing w:line="360" w:lineRule="auto"/>
        <w:ind w:firstLine="700" w:firstLineChars="25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4.</w:t>
      </w:r>
      <w:r>
        <w:rPr>
          <w:rFonts w:hint="eastAsia" w:ascii="宋体" w:hAnsi="宋体" w:eastAsia="宋体" w:cs="宋体"/>
          <w:color w:val="auto"/>
          <w:sz w:val="28"/>
          <w:szCs w:val="28"/>
        </w:rPr>
        <w:t>货物（产品）质保期结束后，甲方财务部门接到甲方确认本合同货物质量与服务等约定事项已经履行完毕的正式书面文件后的</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30</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日内，向乙方退还履约保证金。</w:t>
      </w:r>
    </w:p>
    <w:p>
      <w:pPr>
        <w:widowControl/>
        <w:spacing w:line="360" w:lineRule="auto"/>
        <w:ind w:firstLine="700" w:firstLineChars="250"/>
        <w:jc w:val="left"/>
        <w:rPr>
          <w:rFonts w:hint="eastAsia" w:ascii="宋体" w:hAnsi="宋体" w:eastAsia="宋体" w:cs="宋体"/>
          <w:bCs/>
          <w:color w:val="auto"/>
          <w:sz w:val="28"/>
          <w:szCs w:val="28"/>
        </w:rPr>
      </w:pPr>
      <w:r>
        <w:rPr>
          <w:rFonts w:hint="eastAsia" w:ascii="宋体" w:hAnsi="宋体" w:eastAsia="宋体" w:cs="宋体"/>
          <w:color w:val="auto"/>
          <w:sz w:val="28"/>
          <w:szCs w:val="28"/>
        </w:rPr>
        <w:t>5.乙方可以履约担保函的形式交纳履约保证金（格式见附件1）。</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第十一条 违约责任</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1.甲方违约责任</w:t>
      </w:r>
    </w:p>
    <w:p>
      <w:pPr>
        <w:pStyle w:val="28"/>
        <w:spacing w:line="360" w:lineRule="auto"/>
        <w:ind w:firstLine="478" w:firstLineChars="171"/>
        <w:rPr>
          <w:rFonts w:hint="eastAsia" w:ascii="宋体" w:hAnsi="宋体" w:eastAsia="宋体" w:cs="宋体"/>
          <w:color w:val="auto"/>
          <w:sz w:val="28"/>
          <w:szCs w:val="28"/>
        </w:rPr>
      </w:pPr>
      <w:r>
        <w:rPr>
          <w:rFonts w:hint="eastAsia" w:ascii="宋体" w:hAnsi="宋体" w:eastAsia="宋体" w:cs="宋体"/>
          <w:color w:val="auto"/>
          <w:sz w:val="28"/>
          <w:szCs w:val="28"/>
        </w:rPr>
        <w:t>（1）甲方无正当理由拒收货物的，甲方应偿付合同总价</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 xml:space="preserve"> %的违约金；</w:t>
      </w:r>
    </w:p>
    <w:p>
      <w:pPr>
        <w:pStyle w:val="28"/>
        <w:spacing w:line="360" w:lineRule="auto"/>
        <w:ind w:firstLine="478" w:firstLineChars="171"/>
        <w:rPr>
          <w:rFonts w:hint="eastAsia" w:ascii="宋体" w:hAnsi="宋体" w:eastAsia="宋体" w:cs="宋体"/>
          <w:color w:val="auto"/>
          <w:sz w:val="28"/>
          <w:szCs w:val="28"/>
        </w:rPr>
      </w:pPr>
      <w:r>
        <w:rPr>
          <w:rFonts w:hint="eastAsia" w:ascii="宋体" w:hAnsi="宋体" w:eastAsia="宋体" w:cs="宋体"/>
          <w:color w:val="auto"/>
          <w:sz w:val="28"/>
          <w:szCs w:val="28"/>
        </w:rPr>
        <w:t>（2）甲方逾期支付货款的，除应及时付足货款外，应向乙方每天支付欠款总额</w:t>
      </w:r>
      <w:r>
        <w:rPr>
          <w:rFonts w:hint="eastAsia" w:ascii="宋体" w:hAnsi="宋体" w:cs="宋体"/>
          <w:color w:val="auto"/>
          <w:sz w:val="28"/>
          <w:szCs w:val="28"/>
          <w:u w:val="single"/>
          <w:lang w:val="en-US" w:eastAsia="zh-CN"/>
        </w:rPr>
        <w:t>1</w:t>
      </w:r>
      <w:r>
        <w:rPr>
          <w:rFonts w:hint="eastAsia" w:ascii="宋体" w:hAnsi="宋体" w:eastAsia="宋体" w:cs="宋体"/>
          <w:color w:val="auto"/>
          <w:sz w:val="28"/>
          <w:szCs w:val="28"/>
        </w:rPr>
        <w:t xml:space="preserve"> ‰的滞纳金；但累计滞纳金总额不超过欠款总额的</w:t>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w:t>
      </w:r>
    </w:p>
    <w:p>
      <w:pPr>
        <w:pStyle w:val="28"/>
        <w:spacing w:line="360" w:lineRule="auto"/>
        <w:ind w:firstLine="700" w:firstLineChars="250"/>
        <w:rPr>
          <w:rFonts w:hint="eastAsia" w:ascii="宋体" w:hAnsi="宋体" w:eastAsia="宋体" w:cs="宋体"/>
          <w:color w:val="auto"/>
          <w:sz w:val="28"/>
          <w:szCs w:val="28"/>
        </w:rPr>
      </w:pPr>
      <w:r>
        <w:rPr>
          <w:rFonts w:hint="eastAsia" w:ascii="宋体" w:hAnsi="宋体" w:eastAsia="宋体" w:cs="宋体"/>
          <w:color w:val="auto"/>
          <w:sz w:val="28"/>
          <w:szCs w:val="28"/>
        </w:rPr>
        <w:t>2.乙方违约责任</w:t>
      </w:r>
    </w:p>
    <w:p>
      <w:pPr>
        <w:widowControl/>
        <w:spacing w:line="360" w:lineRule="auto"/>
        <w:ind w:firstLine="560" w:firstLineChars="20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（1）如乙方不能交付货物，甲方有权扣留全部履约保证金；同时乙方应向甲方支付合同总价</w:t>
      </w:r>
      <w:r>
        <w:rPr>
          <w:rFonts w:hint="eastAsia" w:ascii="宋体" w:hAnsi="宋体" w:eastAsia="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10</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％的违约金；</w:t>
      </w:r>
    </w:p>
    <w:p>
      <w:pPr>
        <w:widowControl/>
        <w:spacing w:line="360" w:lineRule="auto"/>
        <w:ind w:firstLine="560" w:firstLineChars="20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（2）乙方逾期交付货物的，每逾期1天，乙方向甲方偿付逾期交货部分货款总额的</w:t>
      </w:r>
      <w:r>
        <w:rPr>
          <w:rFonts w:hint="eastAsia" w:ascii="宋体" w:hAnsi="宋体" w:eastAsia="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5</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‰的滞纳金。如乙方逾期交货达</w:t>
      </w:r>
      <w:r>
        <w:rPr>
          <w:rFonts w:hint="eastAsia" w:ascii="宋体" w:hAnsi="宋体" w:cs="宋体"/>
          <w:color w:val="auto"/>
          <w:kern w:val="0"/>
          <w:sz w:val="28"/>
          <w:szCs w:val="28"/>
          <w:lang w:val="en-US" w:eastAsia="zh-CN"/>
        </w:rPr>
        <w:t>15</w:t>
      </w:r>
      <w:r>
        <w:rPr>
          <w:rFonts w:hint="eastAsia" w:ascii="宋体" w:hAnsi="宋体" w:eastAsia="宋体" w:cs="宋体"/>
          <w:color w:val="auto"/>
          <w:kern w:val="0"/>
          <w:sz w:val="28"/>
          <w:szCs w:val="28"/>
        </w:rPr>
        <w:t>天，甲方有权解除合同，解除合同的通知自到达乙方时生效；</w:t>
      </w:r>
    </w:p>
    <w:p>
      <w:pPr>
        <w:widowControl/>
        <w:spacing w:line="360" w:lineRule="auto"/>
        <w:ind w:firstLine="560" w:firstLineChars="20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（3）乙方所交付的货物品种、型号、规格不符合合同规定的，甲方有权拒收。甲方拒收的，乙方应向甲方支付货款总额 </w:t>
      </w:r>
      <w:r>
        <w:rPr>
          <w:rFonts w:hint="eastAsia" w:ascii="宋体" w:hAnsi="宋体" w:cs="宋体"/>
          <w:color w:val="auto"/>
          <w:kern w:val="0"/>
          <w:sz w:val="28"/>
          <w:szCs w:val="28"/>
          <w:u w:val="single"/>
          <w:lang w:val="en-US" w:eastAsia="zh-CN"/>
        </w:rPr>
        <w:t>10</w:t>
      </w:r>
      <w:r>
        <w:rPr>
          <w:rFonts w:hint="eastAsia" w:ascii="宋体" w:hAnsi="宋体" w:eastAsia="宋体" w:cs="宋体"/>
          <w:color w:val="auto"/>
          <w:kern w:val="0"/>
          <w:sz w:val="28"/>
          <w:szCs w:val="28"/>
        </w:rPr>
        <w:t>%的违约金；</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（4）乙方货物经甲方送交具有法定资格条件的质量技术监督机构检测后，如检测结果认定货物质量不符合本合同规定标准的，则视为乙方没有按时交货而违约，乙方须在</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7</w:t>
      </w:r>
      <w:r>
        <w:rPr>
          <w:rFonts w:hint="eastAsia" w:ascii="宋体" w:hAnsi="宋体" w:eastAsia="宋体" w:cs="宋体"/>
          <w:color w:val="auto"/>
          <w:sz w:val="28"/>
          <w:szCs w:val="28"/>
        </w:rPr>
        <w:t>天内无条件更换合格的货物，如逾期不能更换合格的货物，甲方有权终止本合同，乙方应另向甲方支付货款总额的</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u w:val="single"/>
          <w:lang w:val="en-US" w:eastAsia="zh-CN"/>
        </w:rPr>
        <w:t>10</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%的违约金；</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5）在乙方承诺的或国家规定的质量保证期内（取两者中最长的期限），如经乙方两次维修或更换，货物仍不能达到合同约定的质量标准，甲方有权退货，乙方应退回全部货款，并按第3款处理，同时，乙方还须赔偿甲方因此遭受的损失；</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（6）乙方未按本合同第十条的规定向甲方交付履约保证金的，应按应交付履约保证金的</w:t>
      </w:r>
      <w:r>
        <w:rPr>
          <w:rFonts w:hint="eastAsia" w:ascii="宋体" w:hAnsi="宋体" w:eastAsia="宋体" w:cs="宋体"/>
          <w:color w:val="auto"/>
          <w:kern w:val="0"/>
          <w:sz w:val="28"/>
          <w:szCs w:val="28"/>
          <w:u w:val="single"/>
        </w:rPr>
        <w:t xml:space="preserve"> </w:t>
      </w:r>
      <w:r>
        <w:rPr>
          <w:rFonts w:hint="eastAsia" w:ascii="宋体" w:hAnsi="宋体" w:cs="宋体"/>
          <w:color w:val="auto"/>
          <w:kern w:val="0"/>
          <w:sz w:val="28"/>
          <w:szCs w:val="28"/>
          <w:u w:val="single"/>
          <w:lang w:val="en-US" w:eastAsia="zh-CN"/>
        </w:rPr>
        <w:t>100</w:t>
      </w:r>
      <w:r>
        <w:rPr>
          <w:rFonts w:hint="eastAsia" w:ascii="宋体" w:hAnsi="宋体" w:eastAsia="宋体" w:cs="宋体"/>
          <w:color w:val="auto"/>
          <w:kern w:val="0"/>
          <w:sz w:val="28"/>
          <w:szCs w:val="28"/>
          <w:u w:val="single"/>
        </w:rPr>
        <w:t xml:space="preserve"> </w:t>
      </w:r>
      <w:r>
        <w:rPr>
          <w:rFonts w:hint="eastAsia" w:ascii="宋体" w:hAnsi="宋体" w:eastAsia="宋体" w:cs="宋体"/>
          <w:color w:val="auto"/>
          <w:kern w:val="0"/>
          <w:sz w:val="28"/>
          <w:szCs w:val="28"/>
        </w:rPr>
        <w:t>%向甲方支付违约金，该违约金的支付不影响乙方应承担的其他违约责任；</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（7）乙方未按本合同的规定和“服务承诺”提供伴随服务/售后服务的，应按合同总价款的</w:t>
      </w:r>
      <w:r>
        <w:rPr>
          <w:rFonts w:hint="eastAsia" w:ascii="宋体" w:hAnsi="宋体" w:cs="宋体"/>
          <w:color w:val="auto"/>
          <w:kern w:val="0"/>
          <w:sz w:val="28"/>
          <w:szCs w:val="28"/>
          <w:u w:val="single"/>
          <w:lang w:val="en-US" w:eastAsia="zh-CN"/>
        </w:rPr>
        <w:t>20</w:t>
      </w:r>
      <w:r>
        <w:rPr>
          <w:rFonts w:hint="eastAsia" w:ascii="宋体" w:hAnsi="宋体" w:eastAsia="宋体" w:cs="宋体"/>
          <w:color w:val="auto"/>
          <w:kern w:val="0"/>
          <w:sz w:val="28"/>
          <w:szCs w:val="28"/>
        </w:rPr>
        <w:t>%向甲方承担违约责任；</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（8）乙方在承担上述1-7款一项或多项违约责任后，仍应继续履行合同规定的义务（甲方解除合同的除外）。甲方未能及时追究乙方的任何一项违约责任并不表明甲方放弃追究乙方该项或其他违约责任；</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（9）乙方偿付的违约金不足以弥补甲方损失的，还应按甲方损失尚未弥补的部分，支付赔偿金给甲方。</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第十二条 合同的变更和终止</w:t>
      </w:r>
    </w:p>
    <w:p>
      <w:pPr>
        <w:widowControl/>
        <w:spacing w:line="360" w:lineRule="auto"/>
        <w:ind w:firstLine="560" w:firstLineChars="200"/>
        <w:jc w:val="left"/>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除《中华人民共和国政府采购法》第49条、第50条第二款规定的情形外，本合同一经签订，甲乙双方不得擅自变更、中止或终止合同。</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第十三条 争议的解决</w:t>
      </w:r>
    </w:p>
    <w:p>
      <w:pPr>
        <w:pStyle w:val="28"/>
        <w:spacing w:line="360" w:lineRule="auto"/>
        <w:ind w:firstLine="420"/>
        <w:rPr>
          <w:rFonts w:hint="eastAsia" w:ascii="宋体" w:hAnsi="宋体" w:eastAsia="宋体" w:cs="宋体"/>
          <w:color w:val="auto"/>
          <w:sz w:val="28"/>
          <w:szCs w:val="28"/>
        </w:rPr>
      </w:pPr>
      <w:r>
        <w:rPr>
          <w:rFonts w:hint="eastAsia" w:ascii="宋体" w:hAnsi="宋体" w:eastAsia="宋体" w:cs="宋体"/>
          <w:color w:val="auto"/>
          <w:sz w:val="28"/>
          <w:szCs w:val="28"/>
        </w:rPr>
        <w:t>1.因货物的质量问题发生争议，由质量技术监督部门或其指定的质量鉴定机构进行质量鉴定。货物符合标准的，鉴定费由甲方承担；货物不符合质量标准的，鉴定费由乙方承担。</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2.因履行本合同引起的或与本合同有关的争议，甲、乙双方应首先通过友好协商解决，如果协商不成，则采取以下第</w:t>
      </w:r>
      <w:r>
        <w:rPr>
          <w:rFonts w:hint="eastAsia" w:ascii="宋体" w:hAnsi="宋体" w:eastAsia="宋体" w:cs="宋体"/>
          <w:color w:val="auto"/>
          <w:kern w:val="0"/>
          <w:sz w:val="28"/>
          <w:szCs w:val="28"/>
          <w:u w:val="single"/>
        </w:rPr>
        <w:t>1</w:t>
      </w:r>
      <w:r>
        <w:rPr>
          <w:rFonts w:hint="eastAsia" w:ascii="宋体" w:hAnsi="宋体" w:eastAsia="宋体" w:cs="宋体"/>
          <w:color w:val="auto"/>
          <w:kern w:val="0"/>
          <w:sz w:val="28"/>
          <w:szCs w:val="28"/>
        </w:rPr>
        <w:t>种方式解决争议：</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（1）向甲方所在地有管辖权的人民法院提起诉讼；</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（2）向____________仲裁委员会按其仲裁规则申请仲裁。</w:t>
      </w:r>
    </w:p>
    <w:p>
      <w:pPr>
        <w:pStyle w:val="28"/>
        <w:spacing w:line="360" w:lineRule="auto"/>
        <w:ind w:firstLine="420"/>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3.在仲裁期间，本合同应继续履行。</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第十四条 合同文件</w:t>
      </w:r>
    </w:p>
    <w:p>
      <w:pPr>
        <w:snapToGrid w:val="0"/>
        <w:spacing w:before="120" w:beforeLines="50" w:after="120" w:afterLines="50" w:line="360" w:lineRule="auto"/>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详细技术说明及其他有关合同项目的特定信息由合同附件予以说明，下列文件构成本合同的组成部分，应该认为是一个整体，彼此相互解释，相互补充。组成合同的多个文件的优先支配地位的次序如下：</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sz w:val="28"/>
          <w:szCs w:val="28"/>
        </w:rPr>
        <w:t>1.本合同书</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sz w:val="28"/>
          <w:szCs w:val="28"/>
        </w:rPr>
        <w:t>2.成交通知书</w:t>
      </w:r>
      <w:r>
        <w:rPr>
          <w:rFonts w:hint="eastAsia" w:ascii="宋体" w:hAnsi="宋体" w:eastAsia="宋体" w:cs="宋体"/>
          <w:color w:val="auto"/>
          <w:sz w:val="28"/>
          <w:szCs w:val="28"/>
        </w:rPr>
        <w:tab/>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sz w:val="28"/>
          <w:szCs w:val="28"/>
        </w:rPr>
        <w:t>3.协议</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sz w:val="28"/>
          <w:szCs w:val="28"/>
        </w:rPr>
        <w:t>4.磋商文件(含澄清或者修改文件)</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sz w:val="28"/>
          <w:szCs w:val="28"/>
        </w:rPr>
        <w:t>5.响应文件</w:t>
      </w:r>
    </w:p>
    <w:p>
      <w:pPr>
        <w:pStyle w:val="28"/>
        <w:spacing w:before="120" w:beforeLines="50" w:line="360" w:lineRule="auto"/>
        <w:ind w:firstLine="452" w:firstLineChars="150"/>
        <w:rPr>
          <w:rFonts w:hint="eastAsia"/>
          <w:b/>
          <w:color w:val="auto"/>
          <w:sz w:val="30"/>
          <w:szCs w:val="30"/>
        </w:rPr>
      </w:pPr>
      <w:r>
        <w:rPr>
          <w:rFonts w:hint="eastAsia"/>
          <w:b/>
          <w:color w:val="auto"/>
          <w:sz w:val="30"/>
          <w:szCs w:val="30"/>
        </w:rPr>
        <w:t>第十五条 合同生效及其他</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kern w:val="0"/>
          <w:sz w:val="28"/>
          <w:szCs w:val="28"/>
        </w:rPr>
        <w:t>1.</w:t>
      </w:r>
      <w:r>
        <w:rPr>
          <w:rFonts w:hint="eastAsia" w:ascii="宋体" w:hAnsi="宋体" w:eastAsia="宋体" w:cs="宋体"/>
          <w:color w:val="auto"/>
          <w:sz w:val="28"/>
          <w:szCs w:val="28"/>
        </w:rPr>
        <w:t>如有未尽事宜，由双方依法订立补充合同。</w:t>
      </w:r>
    </w:p>
    <w:p>
      <w:pPr>
        <w:snapToGrid w:val="0"/>
        <w:spacing w:line="360" w:lineRule="auto"/>
        <w:ind w:firstLine="539"/>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2.本合同自签订之日起生效。</w:t>
      </w:r>
    </w:p>
    <w:p>
      <w:pPr>
        <w:snapToGrid w:val="0"/>
        <w:spacing w:line="360" w:lineRule="auto"/>
        <w:ind w:firstLine="539"/>
        <w:rPr>
          <w:rFonts w:hint="eastAsia" w:ascii="宋体" w:hAnsi="宋体" w:eastAsia="宋体" w:cs="宋体"/>
          <w:color w:val="auto"/>
          <w:sz w:val="28"/>
          <w:szCs w:val="28"/>
        </w:rPr>
      </w:pPr>
      <w:r>
        <w:rPr>
          <w:rFonts w:hint="eastAsia" w:ascii="宋体" w:hAnsi="宋体" w:eastAsia="宋体" w:cs="宋体"/>
          <w:color w:val="auto"/>
          <w:kern w:val="0"/>
          <w:sz w:val="28"/>
          <w:szCs w:val="28"/>
        </w:rPr>
        <w:t>3.本合同一式___份，具有同等法律效力，甲乙双方各执____份，___份报送政府采购监督管理部门备案，一份采购代理机构存档。</w:t>
      </w:r>
    </w:p>
    <w:p>
      <w:pPr>
        <w:spacing w:line="360" w:lineRule="auto"/>
        <w:ind w:firstLine="560" w:firstLineChars="200"/>
        <w:rPr>
          <w:rFonts w:hint="eastAsia" w:ascii="宋体" w:hAnsi="宋体" w:eastAsia="宋体" w:cs="宋体"/>
          <w:color w:val="auto"/>
          <w:sz w:val="28"/>
          <w:szCs w:val="28"/>
        </w:rPr>
      </w:pPr>
    </w:p>
    <w:p>
      <w:pPr>
        <w:spacing w:line="360" w:lineRule="auto"/>
        <w:ind w:firstLine="560" w:firstLineChars="200"/>
        <w:rPr>
          <w:rFonts w:hint="eastAsia" w:ascii="宋体" w:hAnsi="宋体" w:eastAsia="宋体" w:cs="宋体"/>
          <w:color w:val="auto"/>
          <w:sz w:val="28"/>
          <w:szCs w:val="28"/>
        </w:rPr>
      </w:pP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 xml:space="preserve">甲方：   （盖章）   </w:t>
      </w:r>
      <w:r>
        <w:rPr>
          <w:rFonts w:hint="eastAsia" w:ascii="宋体" w:hAnsi="宋体" w:eastAsia="宋体" w:cs="宋体"/>
          <w:color w:val="auto"/>
          <w:sz w:val="28"/>
          <w:szCs w:val="28"/>
        </w:rPr>
        <w:tab/>
      </w:r>
      <w:r>
        <w:rPr>
          <w:rFonts w:hint="eastAsia" w:ascii="宋体" w:hAnsi="宋体" w:eastAsia="宋体" w:cs="宋体"/>
          <w:color w:val="auto"/>
          <w:sz w:val="28"/>
          <w:szCs w:val="28"/>
        </w:rPr>
        <w:tab/>
      </w:r>
      <w:r>
        <w:rPr>
          <w:rFonts w:hint="eastAsia" w:ascii="宋体" w:hAnsi="宋体" w:eastAsia="宋体" w:cs="宋体"/>
          <w:color w:val="auto"/>
          <w:sz w:val="28"/>
          <w:szCs w:val="28"/>
        </w:rPr>
        <w:tab/>
      </w:r>
      <w:r>
        <w:rPr>
          <w:rFonts w:hint="eastAsia" w:ascii="宋体" w:hAnsi="宋体" w:eastAsia="宋体" w:cs="宋体"/>
          <w:color w:val="auto"/>
          <w:sz w:val="28"/>
          <w:szCs w:val="28"/>
        </w:rPr>
        <w:t xml:space="preserve">   乙方：   （盖章）</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法定代表人/委托代理人：            法定代表人/委托代理人：</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地    址：                         地    址：</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开户银行：                         开户银行：</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账    号：                         账    号：</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电    话：                         电    话：</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传    真：                         传    真：</w:t>
      </w:r>
    </w:p>
    <w:p>
      <w:pPr>
        <w:spacing w:before="120" w:beforeLines="50" w:after="120" w:afterLines="50" w:line="360" w:lineRule="auto"/>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签约日期：    年  月  日           签约日期：    年  月  日</w:t>
      </w:r>
    </w:p>
    <w:p>
      <w:pPr>
        <w:pStyle w:val="4"/>
        <w:keepNext/>
        <w:keepLines w:val="0"/>
        <w:pageBreakBefore/>
        <w:widowControl w:val="0"/>
        <w:kinsoku/>
        <w:wordWrap/>
        <w:overflowPunct/>
        <w:topLinePunct w:val="0"/>
        <w:autoSpaceDE/>
        <w:autoSpaceDN/>
        <w:bidi w:val="0"/>
        <w:adjustRightInd/>
        <w:snapToGrid/>
        <w:jc w:val="center"/>
        <w:textAlignment w:val="auto"/>
        <w:rPr>
          <w:rFonts w:hint="eastAsia" w:ascii="宋体" w:hAnsi="宋体" w:eastAsia="宋体" w:cs="宋体"/>
          <w:b/>
          <w:sz w:val="32"/>
          <w:szCs w:val="32"/>
          <w:lang w:val="zh-CN"/>
        </w:rPr>
      </w:pPr>
      <w:r>
        <w:rPr>
          <w:rFonts w:hint="eastAsia" w:ascii="宋体" w:hAnsi="宋体" w:eastAsia="宋体" w:cs="宋体"/>
          <w:b/>
          <w:sz w:val="32"/>
          <w:szCs w:val="32"/>
          <w:lang w:val="zh-CN"/>
        </w:rPr>
        <w:t xml:space="preserve"> 第五部分   竞争性磋商响应文件格式</w:t>
      </w:r>
      <w:bookmarkEnd w:id="30"/>
      <w:bookmarkEnd w:id="31"/>
    </w:p>
    <w:p>
      <w:pPr>
        <w:autoSpaceDE w:val="0"/>
        <w:autoSpaceDN w:val="0"/>
        <w:adjustRightInd w:val="0"/>
        <w:snapToGrid w:val="0"/>
        <w:spacing w:line="360" w:lineRule="auto"/>
        <w:jc w:val="right"/>
        <w:rPr>
          <w:rFonts w:hint="eastAsia" w:ascii="宋体" w:hAnsi="宋体" w:eastAsia="宋体" w:cs="宋体"/>
          <w:b/>
          <w:bCs/>
          <w:sz w:val="32"/>
          <w:szCs w:val="32"/>
          <w:lang w:val="zh-CN"/>
        </w:rPr>
      </w:pPr>
      <w:r>
        <w:rPr>
          <w:rFonts w:hint="eastAsia" w:ascii="宋体" w:hAnsi="宋体" w:eastAsia="宋体" w:cs="宋体"/>
          <w:b/>
          <w:bCs/>
          <w:sz w:val="32"/>
          <w:szCs w:val="32"/>
          <w:lang w:val="zh-CN"/>
        </w:rPr>
        <w:t>正本/副本</w:t>
      </w:r>
    </w:p>
    <w:p>
      <w:pPr>
        <w:autoSpaceDE w:val="0"/>
        <w:autoSpaceDN w:val="0"/>
        <w:adjustRightInd w:val="0"/>
        <w:snapToGrid w:val="0"/>
        <w:spacing w:line="360" w:lineRule="auto"/>
        <w:jc w:val="left"/>
        <w:rPr>
          <w:rFonts w:hint="eastAsia" w:ascii="宋体" w:hAnsi="宋体" w:eastAsia="宋体" w:cs="宋体"/>
          <w:b/>
          <w:bCs/>
          <w:sz w:val="32"/>
          <w:szCs w:val="32"/>
          <w:lang w:val="zh-CN"/>
        </w:rPr>
      </w:pPr>
    </w:p>
    <w:p>
      <w:pPr>
        <w:autoSpaceDE w:val="0"/>
        <w:autoSpaceDN w:val="0"/>
        <w:adjustRightInd w:val="0"/>
        <w:snapToGrid w:val="0"/>
        <w:spacing w:line="360" w:lineRule="auto"/>
        <w:jc w:val="left"/>
        <w:rPr>
          <w:rFonts w:hint="eastAsia" w:ascii="宋体" w:hAnsi="宋体" w:eastAsia="宋体" w:cs="宋体"/>
          <w:b/>
          <w:bCs/>
          <w:sz w:val="32"/>
          <w:szCs w:val="32"/>
          <w:lang w:val="zh-CN"/>
        </w:rPr>
      </w:pPr>
      <w:r>
        <w:rPr>
          <w:rFonts w:hint="eastAsia" w:ascii="宋体" w:hAnsi="宋体" w:eastAsia="宋体" w:cs="宋体"/>
          <w:b/>
          <w:bCs/>
          <w:sz w:val="32"/>
          <w:szCs w:val="32"/>
          <w:lang w:val="zh-CN"/>
        </w:rPr>
        <w:t>政府采购项目</w:t>
      </w:r>
    </w:p>
    <w:p>
      <w:pPr>
        <w:autoSpaceDE w:val="0"/>
        <w:autoSpaceDN w:val="0"/>
        <w:adjustRightInd w:val="0"/>
        <w:snapToGrid w:val="0"/>
        <w:spacing w:line="360" w:lineRule="auto"/>
        <w:jc w:val="left"/>
        <w:rPr>
          <w:rFonts w:hint="eastAsia" w:ascii="宋体" w:hAnsi="宋体" w:eastAsia="宋体" w:cs="宋体"/>
          <w:b/>
          <w:bCs/>
          <w:sz w:val="32"/>
          <w:szCs w:val="32"/>
          <w:lang w:val="zh-CN"/>
        </w:rPr>
      </w:pPr>
      <w:r>
        <w:rPr>
          <w:rFonts w:hint="eastAsia" w:ascii="宋体" w:hAnsi="宋体" w:eastAsia="宋体" w:cs="宋体"/>
          <w:b/>
          <w:bCs/>
          <w:sz w:val="32"/>
          <w:szCs w:val="32"/>
          <w:lang w:val="zh-CN"/>
        </w:rPr>
        <w:t>采购项目编号：</w:t>
      </w:r>
      <w:r>
        <w:rPr>
          <w:rFonts w:hint="eastAsia" w:ascii="宋体" w:hAnsi="宋体" w:cs="宋体"/>
          <w:b/>
          <w:bCs/>
          <w:sz w:val="32"/>
          <w:szCs w:val="32"/>
          <w:lang w:val="zh-CN"/>
        </w:rPr>
        <w:t>HJCS2021-168</w:t>
      </w:r>
    </w:p>
    <w:p>
      <w:pPr>
        <w:tabs>
          <w:tab w:val="left" w:pos="5670"/>
        </w:tabs>
        <w:autoSpaceDE w:val="0"/>
        <w:autoSpaceDN w:val="0"/>
        <w:adjustRightInd w:val="0"/>
        <w:snapToGrid w:val="0"/>
        <w:spacing w:line="360" w:lineRule="auto"/>
        <w:jc w:val="center"/>
        <w:rPr>
          <w:rFonts w:hint="eastAsia" w:ascii="宋体" w:hAnsi="宋体" w:eastAsia="宋体" w:cs="宋体"/>
          <w:sz w:val="19"/>
          <w:szCs w:val="19"/>
        </w:rPr>
      </w:pPr>
    </w:p>
    <w:p>
      <w:pPr>
        <w:tabs>
          <w:tab w:val="left" w:pos="5670"/>
        </w:tabs>
        <w:autoSpaceDE w:val="0"/>
        <w:autoSpaceDN w:val="0"/>
        <w:adjustRightInd w:val="0"/>
        <w:snapToGrid w:val="0"/>
        <w:spacing w:line="360" w:lineRule="auto"/>
        <w:jc w:val="center"/>
        <w:rPr>
          <w:rFonts w:hint="eastAsia" w:ascii="宋体" w:hAnsi="宋体" w:eastAsia="宋体" w:cs="宋体"/>
          <w:sz w:val="19"/>
          <w:szCs w:val="19"/>
        </w:rPr>
      </w:pPr>
    </w:p>
    <w:p>
      <w:pPr>
        <w:tabs>
          <w:tab w:val="left" w:pos="5670"/>
        </w:tabs>
        <w:autoSpaceDE w:val="0"/>
        <w:autoSpaceDN w:val="0"/>
        <w:adjustRightInd w:val="0"/>
        <w:snapToGrid w:val="0"/>
        <w:spacing w:line="360" w:lineRule="auto"/>
        <w:jc w:val="center"/>
        <w:rPr>
          <w:rFonts w:hint="eastAsia" w:ascii="宋体" w:hAnsi="宋体" w:eastAsia="宋体" w:cs="宋体"/>
          <w:sz w:val="19"/>
          <w:szCs w:val="19"/>
        </w:rPr>
      </w:pPr>
    </w:p>
    <w:p>
      <w:pPr>
        <w:tabs>
          <w:tab w:val="left" w:pos="5670"/>
        </w:tabs>
        <w:autoSpaceDE w:val="0"/>
        <w:autoSpaceDN w:val="0"/>
        <w:adjustRightInd w:val="0"/>
        <w:snapToGrid w:val="0"/>
        <w:spacing w:line="360" w:lineRule="auto"/>
        <w:jc w:val="center"/>
        <w:rPr>
          <w:rFonts w:hint="eastAsia" w:ascii="宋体" w:hAnsi="宋体" w:eastAsia="宋体" w:cs="宋体"/>
          <w:b/>
          <w:bCs/>
          <w:sz w:val="36"/>
          <w:szCs w:val="36"/>
          <w:lang w:val="zh-CN"/>
        </w:rPr>
      </w:pPr>
      <w:r>
        <w:rPr>
          <w:rFonts w:hint="eastAsia" w:ascii="宋体" w:hAnsi="宋体" w:cs="宋体"/>
          <w:b/>
          <w:bCs/>
          <w:sz w:val="36"/>
          <w:szCs w:val="36"/>
          <w:lang w:val="zh-CN"/>
        </w:rPr>
        <w:t>西安高新第二学校教学用具、教学器材采购项目</w:t>
      </w:r>
    </w:p>
    <w:p>
      <w:pPr>
        <w:tabs>
          <w:tab w:val="left" w:pos="5670"/>
        </w:tabs>
        <w:autoSpaceDE w:val="0"/>
        <w:autoSpaceDN w:val="0"/>
        <w:adjustRightInd w:val="0"/>
        <w:snapToGrid w:val="0"/>
        <w:spacing w:line="360" w:lineRule="auto"/>
        <w:jc w:val="center"/>
        <w:rPr>
          <w:rFonts w:hint="eastAsia" w:ascii="宋体" w:hAnsi="宋体" w:eastAsia="宋体" w:cs="宋体"/>
          <w:b/>
          <w:bCs/>
          <w:sz w:val="52"/>
          <w:szCs w:val="52"/>
          <w:lang w:val="zh-CN"/>
        </w:rPr>
      </w:pPr>
      <w:r>
        <w:rPr>
          <w:rFonts w:hint="eastAsia" w:ascii="宋体" w:hAnsi="宋体" w:eastAsia="宋体" w:cs="宋体"/>
          <w:b/>
          <w:bCs/>
          <w:sz w:val="52"/>
          <w:szCs w:val="52"/>
          <w:lang w:val="zh-CN"/>
        </w:rPr>
        <w:t>竞争性磋商响应文件</w:t>
      </w:r>
    </w:p>
    <w:p>
      <w:pPr>
        <w:autoSpaceDE w:val="0"/>
        <w:autoSpaceDN w:val="0"/>
        <w:adjustRightInd w:val="0"/>
        <w:snapToGrid w:val="0"/>
        <w:spacing w:line="360" w:lineRule="auto"/>
        <w:jc w:val="center"/>
        <w:rPr>
          <w:rFonts w:hint="eastAsia" w:ascii="宋体" w:hAnsi="宋体" w:eastAsia="宋体" w:cs="宋体"/>
          <w:b/>
          <w:bCs/>
          <w:sz w:val="32"/>
          <w:szCs w:val="32"/>
        </w:rPr>
      </w:pPr>
    </w:p>
    <w:p>
      <w:pPr>
        <w:autoSpaceDE w:val="0"/>
        <w:autoSpaceDN w:val="0"/>
        <w:adjustRightInd w:val="0"/>
        <w:snapToGrid w:val="0"/>
        <w:spacing w:line="360" w:lineRule="auto"/>
        <w:jc w:val="center"/>
        <w:rPr>
          <w:rFonts w:hint="eastAsia" w:ascii="宋体" w:hAnsi="宋体" w:eastAsia="宋体" w:cs="宋体"/>
          <w:sz w:val="42"/>
          <w:szCs w:val="42"/>
        </w:rPr>
      </w:pPr>
    </w:p>
    <w:p>
      <w:pPr>
        <w:autoSpaceDE w:val="0"/>
        <w:autoSpaceDN w:val="0"/>
        <w:adjustRightInd w:val="0"/>
        <w:snapToGrid w:val="0"/>
        <w:spacing w:line="360" w:lineRule="auto"/>
        <w:rPr>
          <w:rFonts w:hint="eastAsia" w:ascii="宋体" w:hAnsi="宋体" w:eastAsia="宋体" w:cs="宋体"/>
          <w:sz w:val="30"/>
          <w:szCs w:val="30"/>
        </w:rPr>
      </w:pPr>
    </w:p>
    <w:p>
      <w:pPr>
        <w:autoSpaceDE w:val="0"/>
        <w:autoSpaceDN w:val="0"/>
        <w:adjustRightInd w:val="0"/>
        <w:snapToGrid w:val="0"/>
        <w:spacing w:line="360" w:lineRule="auto"/>
        <w:rPr>
          <w:rFonts w:hint="eastAsia" w:ascii="宋体" w:hAnsi="宋体" w:eastAsia="宋体" w:cs="宋体"/>
          <w:sz w:val="30"/>
          <w:szCs w:val="30"/>
          <w:u w:val="single"/>
        </w:rPr>
      </w:pPr>
      <w:r>
        <w:rPr>
          <w:rFonts w:hint="eastAsia" w:ascii="宋体" w:hAnsi="宋体" w:eastAsia="宋体" w:cs="宋体"/>
          <w:sz w:val="30"/>
          <w:szCs w:val="30"/>
        </w:rPr>
        <w:t xml:space="preserve">              </w:t>
      </w:r>
    </w:p>
    <w:p>
      <w:pPr>
        <w:autoSpaceDE w:val="0"/>
        <w:autoSpaceDN w:val="0"/>
        <w:adjustRightInd w:val="0"/>
        <w:snapToGrid w:val="0"/>
        <w:spacing w:line="360" w:lineRule="auto"/>
        <w:ind w:firstLine="2570" w:firstLineChars="800"/>
        <w:rPr>
          <w:rFonts w:hint="eastAsia" w:ascii="宋体" w:hAnsi="宋体" w:eastAsia="宋体" w:cs="宋体"/>
          <w:b/>
          <w:bCs/>
          <w:sz w:val="32"/>
          <w:szCs w:val="32"/>
          <w:u w:val="single"/>
        </w:rPr>
      </w:pPr>
      <w:r>
        <w:rPr>
          <w:rFonts w:hint="eastAsia" w:ascii="宋体" w:hAnsi="宋体" w:eastAsia="宋体" w:cs="宋体"/>
          <w:b/>
          <w:bCs/>
          <w:sz w:val="32"/>
          <w:szCs w:val="32"/>
          <w:lang w:val="zh-CN"/>
        </w:rPr>
        <w:t>供应商</w:t>
      </w:r>
      <w:r>
        <w:rPr>
          <w:rFonts w:hint="eastAsia" w:ascii="宋体" w:hAnsi="宋体" w:cs="宋体"/>
          <w:b/>
          <w:bCs/>
          <w:sz w:val="32"/>
          <w:szCs w:val="32"/>
          <w:lang w:val="zh-CN"/>
        </w:rPr>
        <w:t>（</w:t>
      </w:r>
      <w:r>
        <w:rPr>
          <w:rFonts w:hint="eastAsia" w:ascii="宋体" w:hAnsi="宋体" w:cs="宋体"/>
          <w:b/>
          <w:bCs/>
          <w:sz w:val="32"/>
          <w:szCs w:val="32"/>
          <w:lang w:val="en-US" w:eastAsia="zh-CN"/>
        </w:rPr>
        <w:t>公章</w:t>
      </w:r>
      <w:r>
        <w:rPr>
          <w:rFonts w:hint="eastAsia" w:ascii="宋体" w:hAnsi="宋体" w:cs="宋体"/>
          <w:b/>
          <w:bCs/>
          <w:sz w:val="32"/>
          <w:szCs w:val="32"/>
          <w:lang w:val="zh-CN"/>
        </w:rPr>
        <w:t>）</w:t>
      </w:r>
      <w:r>
        <w:rPr>
          <w:rFonts w:hint="eastAsia" w:ascii="宋体" w:hAnsi="宋体" w:eastAsia="宋体" w:cs="宋体"/>
          <w:b/>
          <w:bCs/>
          <w:sz w:val="32"/>
          <w:szCs w:val="32"/>
          <w:lang w:val="zh-CN"/>
        </w:rPr>
        <w:t>：</w:t>
      </w:r>
      <w:r>
        <w:rPr>
          <w:rFonts w:hint="eastAsia" w:ascii="宋体" w:hAnsi="宋体" w:eastAsia="宋体" w:cs="宋体"/>
          <w:b/>
          <w:bCs/>
          <w:sz w:val="32"/>
          <w:szCs w:val="32"/>
          <w:u w:val="single"/>
        </w:rPr>
        <w:t xml:space="preserve">                   </w:t>
      </w:r>
    </w:p>
    <w:p>
      <w:pPr>
        <w:autoSpaceDE w:val="0"/>
        <w:autoSpaceDN w:val="0"/>
        <w:adjustRightInd w:val="0"/>
        <w:snapToGrid w:val="0"/>
        <w:spacing w:line="360" w:lineRule="auto"/>
        <w:ind w:firstLine="2570" w:firstLineChars="800"/>
        <w:rPr>
          <w:rFonts w:hint="eastAsia" w:ascii="宋体" w:hAnsi="宋体" w:eastAsia="宋体" w:cs="宋体"/>
          <w:b/>
          <w:bCs/>
          <w:sz w:val="32"/>
          <w:szCs w:val="32"/>
        </w:rPr>
      </w:pPr>
    </w:p>
    <w:p>
      <w:pPr>
        <w:autoSpaceDE w:val="0"/>
        <w:autoSpaceDN w:val="0"/>
        <w:adjustRightInd w:val="0"/>
        <w:snapToGrid w:val="0"/>
        <w:spacing w:line="360" w:lineRule="auto"/>
        <w:jc w:val="center"/>
        <w:rPr>
          <w:rFonts w:hint="eastAsia" w:ascii="宋体" w:hAnsi="宋体" w:eastAsia="宋体" w:cs="宋体"/>
          <w:b/>
          <w:bCs/>
          <w:sz w:val="32"/>
          <w:szCs w:val="32"/>
        </w:rPr>
      </w:pPr>
    </w:p>
    <w:p>
      <w:pPr>
        <w:autoSpaceDE w:val="0"/>
        <w:autoSpaceDN w:val="0"/>
        <w:adjustRightInd w:val="0"/>
        <w:snapToGrid w:val="0"/>
        <w:spacing w:line="360" w:lineRule="auto"/>
        <w:ind w:firstLine="2570" w:firstLineChars="800"/>
        <w:rPr>
          <w:rFonts w:hint="eastAsia" w:ascii="宋体" w:hAnsi="宋体" w:eastAsia="宋体" w:cs="宋体"/>
          <w:b/>
          <w:bCs/>
          <w:sz w:val="32"/>
          <w:szCs w:val="32"/>
        </w:rPr>
      </w:pPr>
      <w:r>
        <w:rPr>
          <w:rFonts w:hint="eastAsia" w:ascii="宋体" w:hAnsi="宋体" w:eastAsia="宋体" w:cs="宋体"/>
          <w:b/>
          <w:bCs/>
          <w:sz w:val="32"/>
          <w:szCs w:val="32"/>
          <w:lang w:val="zh-CN"/>
        </w:rPr>
        <w:t>时</w:t>
      </w:r>
      <w:r>
        <w:rPr>
          <w:rFonts w:hint="eastAsia" w:ascii="宋体" w:hAnsi="宋体" w:eastAsia="宋体" w:cs="宋体"/>
          <w:b/>
          <w:bCs/>
          <w:sz w:val="32"/>
          <w:szCs w:val="32"/>
        </w:rPr>
        <w:t xml:space="preserve">  </w:t>
      </w:r>
      <w:r>
        <w:rPr>
          <w:rFonts w:hint="eastAsia" w:ascii="宋体" w:hAnsi="宋体" w:eastAsia="宋体" w:cs="宋体"/>
          <w:b/>
          <w:bCs/>
          <w:sz w:val="32"/>
          <w:szCs w:val="32"/>
          <w:lang w:val="zh-CN"/>
        </w:rPr>
        <w:t>间：</w:t>
      </w:r>
      <w:r>
        <w:rPr>
          <w:rFonts w:hint="eastAsia" w:ascii="宋体" w:hAnsi="宋体" w:eastAsia="宋体" w:cs="宋体"/>
          <w:b/>
          <w:bCs/>
          <w:sz w:val="32"/>
          <w:szCs w:val="32"/>
          <w:u w:val="single"/>
        </w:rPr>
        <w:t xml:space="preserve">                   </w:t>
      </w:r>
    </w:p>
    <w:p>
      <w:pPr>
        <w:autoSpaceDE w:val="0"/>
        <w:autoSpaceDN w:val="0"/>
        <w:adjustRightInd w:val="0"/>
        <w:snapToGrid w:val="0"/>
        <w:spacing w:line="360" w:lineRule="auto"/>
        <w:jc w:val="left"/>
        <w:rPr>
          <w:rFonts w:hint="eastAsia" w:ascii="宋体" w:hAnsi="宋体" w:eastAsia="宋体" w:cs="宋体"/>
          <w:sz w:val="19"/>
          <w:szCs w:val="19"/>
        </w:rPr>
      </w:pPr>
    </w:p>
    <w:p>
      <w:pPr>
        <w:autoSpaceDE w:val="0"/>
        <w:autoSpaceDN w:val="0"/>
        <w:adjustRightInd w:val="0"/>
        <w:snapToGrid w:val="0"/>
        <w:spacing w:line="360" w:lineRule="auto"/>
        <w:jc w:val="left"/>
        <w:rPr>
          <w:rFonts w:hint="eastAsia" w:ascii="宋体" w:hAnsi="宋体" w:eastAsia="宋体" w:cs="宋体"/>
          <w:sz w:val="19"/>
          <w:szCs w:val="19"/>
        </w:rPr>
      </w:pPr>
    </w:p>
    <w:p>
      <w:pPr>
        <w:autoSpaceDE w:val="0"/>
        <w:autoSpaceDN w:val="0"/>
        <w:adjustRightInd w:val="0"/>
        <w:jc w:val="left"/>
        <w:rPr>
          <w:rFonts w:hint="eastAsia" w:ascii="宋体" w:hAnsi="宋体" w:eastAsia="宋体" w:cs="宋体"/>
          <w:sz w:val="19"/>
          <w:szCs w:val="19"/>
        </w:rPr>
      </w:pPr>
    </w:p>
    <w:p>
      <w:pPr>
        <w:autoSpaceDE w:val="0"/>
        <w:autoSpaceDN w:val="0"/>
        <w:adjustRightInd w:val="0"/>
        <w:snapToGrid w:val="0"/>
        <w:spacing w:line="360" w:lineRule="auto"/>
        <w:rPr>
          <w:rFonts w:hint="eastAsia" w:ascii="宋体" w:hAnsi="宋体" w:eastAsia="宋体" w:cs="宋体"/>
          <w:b/>
          <w:bCs/>
          <w:sz w:val="42"/>
          <w:szCs w:val="42"/>
          <w:lang w:val="zh-CN"/>
        </w:rPr>
      </w:pPr>
    </w:p>
    <w:p>
      <w:pPr>
        <w:autoSpaceDE w:val="0"/>
        <w:autoSpaceDN w:val="0"/>
        <w:adjustRightInd w:val="0"/>
        <w:snapToGrid w:val="0"/>
        <w:spacing w:line="360" w:lineRule="auto"/>
        <w:jc w:val="center"/>
        <w:rPr>
          <w:rFonts w:hint="eastAsia" w:ascii="宋体" w:hAnsi="宋体" w:eastAsia="宋体" w:cs="宋体"/>
          <w:b/>
          <w:bCs/>
          <w:sz w:val="42"/>
          <w:szCs w:val="42"/>
          <w:lang w:val="zh-CN"/>
        </w:rPr>
      </w:pPr>
    </w:p>
    <w:p>
      <w:pPr>
        <w:autoSpaceDE w:val="0"/>
        <w:autoSpaceDN w:val="0"/>
        <w:adjustRightInd w:val="0"/>
        <w:snapToGrid w:val="0"/>
        <w:spacing w:line="360" w:lineRule="auto"/>
        <w:jc w:val="center"/>
        <w:rPr>
          <w:rFonts w:hint="eastAsia" w:ascii="宋体" w:hAnsi="宋体" w:eastAsia="宋体" w:cs="宋体"/>
          <w:b/>
          <w:bCs/>
          <w:sz w:val="42"/>
          <w:szCs w:val="42"/>
        </w:rPr>
      </w:pPr>
      <w:r>
        <w:rPr>
          <w:rFonts w:hint="eastAsia" w:ascii="宋体" w:hAnsi="宋体" w:eastAsia="宋体" w:cs="宋体"/>
          <w:b/>
          <w:bCs/>
          <w:sz w:val="42"/>
          <w:szCs w:val="42"/>
          <w:lang w:val="zh-CN"/>
        </w:rPr>
        <w:t>目</w:t>
      </w:r>
      <w:r>
        <w:rPr>
          <w:rFonts w:hint="eastAsia" w:ascii="宋体" w:hAnsi="宋体" w:eastAsia="宋体" w:cs="宋体"/>
          <w:b/>
          <w:bCs/>
          <w:sz w:val="42"/>
          <w:szCs w:val="42"/>
        </w:rPr>
        <w:t xml:space="preserve">      </w:t>
      </w:r>
      <w:r>
        <w:rPr>
          <w:rFonts w:hint="eastAsia" w:ascii="宋体" w:hAnsi="宋体" w:eastAsia="宋体" w:cs="宋体"/>
          <w:b/>
          <w:bCs/>
          <w:sz w:val="42"/>
          <w:szCs w:val="42"/>
          <w:lang w:val="zh-CN"/>
        </w:rPr>
        <w:t>录</w:t>
      </w:r>
    </w:p>
    <w:p>
      <w:pPr>
        <w:autoSpaceDE w:val="0"/>
        <w:autoSpaceDN w:val="0"/>
        <w:adjustRightInd w:val="0"/>
        <w:snapToGrid w:val="0"/>
        <w:spacing w:line="360" w:lineRule="auto"/>
        <w:rPr>
          <w:rFonts w:hint="eastAsia" w:ascii="宋体" w:hAnsi="宋体" w:eastAsia="宋体" w:cs="宋体"/>
          <w:b/>
          <w:bCs/>
          <w:sz w:val="32"/>
          <w:szCs w:val="32"/>
        </w:rPr>
      </w:pPr>
    </w:p>
    <w:p>
      <w:pPr>
        <w:autoSpaceDE w:val="0"/>
        <w:autoSpaceDN w:val="0"/>
        <w:adjustRightInd w:val="0"/>
        <w:snapToGrid w:val="0"/>
        <w:spacing w:line="360" w:lineRule="auto"/>
        <w:rPr>
          <w:rFonts w:hint="eastAsia" w:ascii="宋体" w:hAnsi="宋体" w:eastAsia="宋体" w:cs="宋体"/>
          <w:b/>
          <w:bCs/>
          <w:sz w:val="30"/>
          <w:szCs w:val="30"/>
          <w:lang w:val="zh-CN"/>
        </w:rPr>
      </w:pPr>
      <w:r>
        <w:rPr>
          <w:rFonts w:hint="eastAsia" w:ascii="宋体" w:hAnsi="宋体" w:eastAsia="宋体" w:cs="宋体"/>
          <w:b/>
          <w:bCs/>
          <w:sz w:val="30"/>
          <w:szCs w:val="30"/>
          <w:lang w:val="zh-CN"/>
        </w:rPr>
        <w:t>第一部分：磋商响应函</w:t>
      </w:r>
    </w:p>
    <w:p>
      <w:pPr>
        <w:autoSpaceDE w:val="0"/>
        <w:autoSpaceDN w:val="0"/>
        <w:adjustRightInd w:val="0"/>
        <w:snapToGrid w:val="0"/>
        <w:spacing w:line="360" w:lineRule="auto"/>
        <w:rPr>
          <w:rFonts w:hint="eastAsia" w:ascii="宋体" w:hAnsi="宋体" w:eastAsia="宋体" w:cs="宋体"/>
          <w:b/>
          <w:bCs/>
          <w:sz w:val="30"/>
          <w:szCs w:val="30"/>
        </w:rPr>
      </w:pPr>
      <w:r>
        <w:rPr>
          <w:rFonts w:hint="eastAsia" w:ascii="宋体" w:hAnsi="宋体" w:eastAsia="宋体" w:cs="宋体"/>
          <w:b/>
          <w:bCs/>
          <w:sz w:val="30"/>
          <w:szCs w:val="30"/>
          <w:lang w:val="zh-CN"/>
        </w:rPr>
        <w:t>第二部分：首次磋商响应报价表</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首次报价明细表</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商务偏离表</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技术偏离表</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最后磋商响应报价表</w:t>
      </w:r>
    </w:p>
    <w:p>
      <w:pPr>
        <w:autoSpaceDE w:val="0"/>
        <w:autoSpaceDN w:val="0"/>
        <w:adjustRightInd w:val="0"/>
        <w:snapToGrid w:val="0"/>
        <w:spacing w:line="360" w:lineRule="auto"/>
        <w:rPr>
          <w:rFonts w:hint="eastAsia" w:ascii="宋体" w:hAnsi="宋体" w:eastAsia="宋体" w:cs="宋体"/>
          <w:b/>
          <w:bCs/>
          <w:sz w:val="30"/>
          <w:szCs w:val="30"/>
        </w:rPr>
      </w:pPr>
      <w:r>
        <w:rPr>
          <w:rFonts w:hint="eastAsia" w:ascii="宋体" w:hAnsi="宋体" w:eastAsia="宋体" w:cs="宋体"/>
          <w:b/>
          <w:bCs/>
          <w:sz w:val="30"/>
          <w:szCs w:val="30"/>
          <w:lang w:val="zh-CN"/>
        </w:rPr>
        <w:t>第三部分：响应方案说明</w:t>
      </w:r>
    </w:p>
    <w:p>
      <w:pPr>
        <w:autoSpaceDE w:val="0"/>
        <w:autoSpaceDN w:val="0"/>
        <w:adjustRightInd w:val="0"/>
        <w:snapToGrid w:val="0"/>
        <w:spacing w:line="360" w:lineRule="auto"/>
        <w:rPr>
          <w:rFonts w:hint="eastAsia" w:ascii="宋体" w:hAnsi="宋体" w:eastAsia="宋体" w:cs="宋体"/>
          <w:b/>
          <w:bCs/>
          <w:sz w:val="30"/>
          <w:szCs w:val="30"/>
          <w:lang w:val="zh-CN"/>
        </w:rPr>
      </w:pPr>
      <w:r>
        <w:rPr>
          <w:rFonts w:hint="eastAsia" w:ascii="宋体" w:hAnsi="宋体" w:eastAsia="宋体" w:cs="宋体"/>
          <w:b/>
          <w:bCs/>
          <w:sz w:val="30"/>
          <w:szCs w:val="30"/>
          <w:lang w:val="zh-CN"/>
        </w:rPr>
        <w:t>第四部分：供应商承诺书</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供应商企业关系关联承诺书</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供应商单位类型声明函</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供应商监狱企业声明函</w:t>
      </w:r>
    </w:p>
    <w:p>
      <w:pPr>
        <w:autoSpaceDE w:val="0"/>
        <w:autoSpaceDN w:val="0"/>
        <w:adjustRightInd w:val="0"/>
        <w:snapToGrid w:val="0"/>
        <w:spacing w:line="360" w:lineRule="auto"/>
        <w:ind w:firstLine="1506" w:firstLineChars="500"/>
        <w:rPr>
          <w:rFonts w:hint="eastAsia" w:ascii="宋体" w:hAnsi="宋体" w:eastAsia="宋体" w:cs="宋体"/>
          <w:b/>
          <w:bCs/>
          <w:sz w:val="30"/>
          <w:szCs w:val="30"/>
          <w:lang w:val="zh-CN"/>
        </w:rPr>
      </w:pPr>
      <w:r>
        <w:rPr>
          <w:rFonts w:hint="eastAsia" w:ascii="宋体" w:hAnsi="宋体" w:eastAsia="宋体" w:cs="宋体"/>
          <w:b/>
          <w:bCs/>
          <w:sz w:val="30"/>
          <w:szCs w:val="30"/>
          <w:lang w:val="zh-CN"/>
        </w:rPr>
        <w:t>供应商残疾人福利性单位声明函</w:t>
      </w:r>
    </w:p>
    <w:p>
      <w:pPr>
        <w:autoSpaceDE w:val="0"/>
        <w:autoSpaceDN w:val="0"/>
        <w:adjustRightInd w:val="0"/>
        <w:snapToGrid w:val="0"/>
        <w:spacing w:line="360" w:lineRule="auto"/>
        <w:rPr>
          <w:rFonts w:hint="eastAsia" w:ascii="宋体" w:hAnsi="宋体" w:eastAsia="宋体" w:cs="宋体"/>
          <w:b/>
          <w:bCs/>
          <w:sz w:val="30"/>
          <w:szCs w:val="30"/>
        </w:rPr>
      </w:pPr>
      <w:r>
        <w:rPr>
          <w:rFonts w:hint="eastAsia" w:ascii="宋体" w:hAnsi="宋体" w:eastAsia="宋体" w:cs="宋体"/>
          <w:b/>
          <w:bCs/>
          <w:sz w:val="30"/>
          <w:szCs w:val="30"/>
          <w:lang w:val="zh-CN"/>
        </w:rPr>
        <w:t>第五部分：资格证明文件</w:t>
      </w:r>
    </w:p>
    <w:p>
      <w:pPr>
        <w:autoSpaceDE w:val="0"/>
        <w:autoSpaceDN w:val="0"/>
        <w:adjustRightInd w:val="0"/>
        <w:snapToGrid w:val="0"/>
        <w:spacing w:line="360" w:lineRule="auto"/>
        <w:ind w:firstLine="1506" w:firstLineChars="500"/>
        <w:rPr>
          <w:rFonts w:hint="eastAsia" w:ascii="宋体" w:hAnsi="宋体" w:eastAsia="宋体" w:cs="宋体"/>
          <w:sz w:val="30"/>
          <w:szCs w:val="30"/>
        </w:rPr>
      </w:pPr>
      <w:r>
        <w:rPr>
          <w:rFonts w:hint="eastAsia" w:ascii="宋体" w:hAnsi="宋体" w:eastAsia="宋体" w:cs="宋体"/>
          <w:b/>
          <w:bCs/>
          <w:sz w:val="30"/>
          <w:szCs w:val="30"/>
          <w:lang w:val="zh-CN"/>
        </w:rPr>
        <w:t>法定代表人授权书</w:t>
      </w:r>
    </w:p>
    <w:p>
      <w:pPr>
        <w:autoSpaceDE w:val="0"/>
        <w:autoSpaceDN w:val="0"/>
        <w:adjustRightInd w:val="0"/>
        <w:snapToGrid w:val="0"/>
        <w:spacing w:line="312" w:lineRule="auto"/>
        <w:jc w:val="center"/>
        <w:rPr>
          <w:rFonts w:hint="eastAsia" w:ascii="宋体" w:hAnsi="宋体" w:eastAsia="宋体" w:cs="宋体"/>
          <w:b/>
          <w:bCs/>
          <w:sz w:val="32"/>
          <w:szCs w:val="32"/>
        </w:rPr>
      </w:pPr>
      <w:r>
        <w:rPr>
          <w:rFonts w:hint="eastAsia" w:ascii="宋体" w:hAnsi="宋体" w:eastAsia="宋体" w:cs="宋体"/>
          <w:b/>
          <w:bCs/>
          <w:sz w:val="32"/>
          <w:szCs w:val="32"/>
          <w:lang w:val="zh-CN"/>
        </w:rPr>
        <w:br w:type="page"/>
      </w:r>
      <w:r>
        <w:rPr>
          <w:rFonts w:hint="eastAsia" w:ascii="宋体" w:hAnsi="宋体" w:eastAsia="宋体" w:cs="宋体"/>
          <w:b/>
          <w:bCs/>
          <w:sz w:val="32"/>
          <w:szCs w:val="32"/>
          <w:lang w:val="zh-CN"/>
        </w:rPr>
        <w:t>第一部分</w:t>
      </w:r>
      <w:r>
        <w:rPr>
          <w:rFonts w:hint="eastAsia" w:ascii="宋体" w:hAnsi="宋体" w:eastAsia="宋体" w:cs="宋体"/>
          <w:b/>
          <w:bCs/>
          <w:sz w:val="32"/>
          <w:szCs w:val="32"/>
        </w:rPr>
        <w:t xml:space="preserve">  磋商</w:t>
      </w:r>
      <w:r>
        <w:rPr>
          <w:rFonts w:hint="eastAsia" w:ascii="宋体" w:hAnsi="宋体" w:eastAsia="宋体" w:cs="宋体"/>
          <w:b/>
          <w:bCs/>
          <w:sz w:val="32"/>
          <w:szCs w:val="32"/>
          <w:lang w:val="zh-CN"/>
        </w:rPr>
        <w:t>响应函</w:t>
      </w:r>
    </w:p>
    <w:p>
      <w:pPr>
        <w:autoSpaceDE w:val="0"/>
        <w:autoSpaceDN w:val="0"/>
        <w:adjustRightInd w:val="0"/>
        <w:snapToGrid w:val="0"/>
        <w:spacing w:line="312" w:lineRule="auto"/>
        <w:rPr>
          <w:rFonts w:hint="eastAsia" w:ascii="宋体" w:hAnsi="宋体" w:eastAsia="宋体" w:cs="宋体"/>
          <w:b/>
          <w:bCs/>
          <w:sz w:val="28"/>
          <w:szCs w:val="28"/>
        </w:rPr>
      </w:pPr>
      <w:r>
        <w:rPr>
          <w:rFonts w:hint="eastAsia" w:ascii="宋体" w:hAnsi="宋体" w:eastAsia="宋体" w:cs="宋体"/>
          <w:b/>
          <w:bCs/>
          <w:sz w:val="28"/>
          <w:szCs w:val="28"/>
          <w:lang w:val="zh-CN"/>
        </w:rPr>
        <w:t>陕西海佳项目管理有限公司：</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lang w:val="zh-CN"/>
        </w:rPr>
        <w:t>我单位收到贵公司</w:t>
      </w:r>
      <w:r>
        <w:rPr>
          <w:rFonts w:hint="eastAsia" w:ascii="宋体" w:hAnsi="宋体" w:eastAsia="宋体" w:cs="宋体"/>
          <w:sz w:val="28"/>
          <w:szCs w:val="28"/>
          <w:u w:val="single"/>
          <w:lang w:val="zh-CN"/>
        </w:rPr>
        <w:t>（项目名称）</w:t>
      </w:r>
      <w:r>
        <w:rPr>
          <w:rFonts w:hint="eastAsia" w:ascii="宋体" w:hAnsi="宋体" w:eastAsia="宋体" w:cs="宋体"/>
          <w:sz w:val="28"/>
          <w:szCs w:val="28"/>
          <w:lang w:val="zh-CN"/>
        </w:rPr>
        <w:t>磋商文件，经详细研究，我们决定参加本次磋商活动。为此，我方郑重声明以下诸点，并负法律责任。</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zh-CN"/>
        </w:rPr>
        <w:t>、愿意按照磋商文件中的要求，提供技术服务，完成合同的责任和义务。</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zh-CN"/>
        </w:rPr>
        <w:t>、按磋商文件的规定，我公司的首次磋商响应报价为：人民币（大写）：</w:t>
      </w:r>
      <w:r>
        <w:rPr>
          <w:rFonts w:hint="eastAsia" w:ascii="宋体" w:hAnsi="宋体" w:eastAsia="宋体" w:cs="宋体"/>
          <w:sz w:val="28"/>
          <w:szCs w:val="28"/>
        </w:rPr>
        <w:t xml:space="preserve">            </w:t>
      </w:r>
      <w:r>
        <w:rPr>
          <w:rFonts w:hint="eastAsia" w:ascii="宋体" w:hAnsi="宋体" w:eastAsia="宋体" w:cs="宋体"/>
          <w:sz w:val="28"/>
          <w:szCs w:val="28"/>
          <w:lang w:val="zh-CN"/>
        </w:rPr>
        <w:t>（￥：</w:t>
      </w:r>
      <w:r>
        <w:rPr>
          <w:rFonts w:hint="eastAsia" w:ascii="宋体" w:hAnsi="宋体" w:eastAsia="宋体" w:cs="宋体"/>
          <w:sz w:val="28"/>
          <w:szCs w:val="28"/>
          <w:u w:val="single"/>
        </w:rPr>
        <w:t xml:space="preserve">    </w:t>
      </w:r>
      <w:r>
        <w:rPr>
          <w:rFonts w:hint="eastAsia" w:ascii="宋体" w:hAnsi="宋体" w:eastAsia="宋体" w:cs="宋体"/>
          <w:sz w:val="28"/>
          <w:szCs w:val="28"/>
          <w:lang w:val="zh-CN"/>
        </w:rPr>
        <w:t>元），并对其后的磋商报价负法律责任。</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zh-CN"/>
        </w:rPr>
        <w:t>、我方提交的响应文件正本一份、副本</w:t>
      </w:r>
      <w:r>
        <w:rPr>
          <w:rFonts w:hint="eastAsia" w:ascii="宋体" w:hAnsi="宋体" w:cs="宋体"/>
          <w:sz w:val="28"/>
          <w:szCs w:val="28"/>
          <w:lang w:val="en-US" w:eastAsia="zh-CN"/>
        </w:rPr>
        <w:t>肆</w:t>
      </w:r>
      <w:r>
        <w:rPr>
          <w:rFonts w:hint="eastAsia" w:ascii="宋体" w:hAnsi="宋体" w:eastAsia="宋体" w:cs="宋体"/>
          <w:sz w:val="28"/>
          <w:szCs w:val="28"/>
          <w:lang w:val="zh-CN"/>
        </w:rPr>
        <w:t>份。</w:t>
      </w:r>
    </w:p>
    <w:p>
      <w:pPr>
        <w:autoSpaceDE w:val="0"/>
        <w:autoSpaceDN w:val="0"/>
        <w:adjustRightInd w:val="0"/>
        <w:snapToGrid w:val="0"/>
        <w:spacing w:line="312" w:lineRule="auto"/>
        <w:ind w:firstLine="630"/>
        <w:rPr>
          <w:rFonts w:hint="eastAsia" w:ascii="宋体" w:hAnsi="宋体" w:eastAsia="宋体" w:cs="宋体"/>
          <w:sz w:val="28"/>
          <w:szCs w:val="28"/>
          <w:lang w:val="zh-CN"/>
        </w:rPr>
      </w:pPr>
      <w:r>
        <w:rPr>
          <w:rFonts w:hint="eastAsia" w:ascii="宋体" w:hAnsi="宋体" w:eastAsia="宋体" w:cs="宋体"/>
          <w:sz w:val="28"/>
          <w:szCs w:val="28"/>
        </w:rPr>
        <w:t>4</w:t>
      </w:r>
      <w:r>
        <w:rPr>
          <w:rFonts w:hint="eastAsia" w:ascii="宋体" w:hAnsi="宋体" w:eastAsia="宋体" w:cs="宋体"/>
          <w:sz w:val="28"/>
          <w:szCs w:val="28"/>
          <w:lang w:val="zh-CN"/>
        </w:rPr>
        <w:t>、我方已详细阅读了磋商文件，完全理解并放弃提出含糊不清或易形成歧义的表述和资料。</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zh-CN"/>
        </w:rPr>
        <w:t>、磋商后在规定的有效期内撤回磋商，我方愿接受政府采购的有关处罚决定。</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val="zh-CN"/>
        </w:rPr>
        <w:t>、同意向贵方提供可能要求的，与本次磋商有关的任何证据或资料，且尊重磋商小组的评审结论和结果。</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7</w:t>
      </w:r>
      <w:r>
        <w:rPr>
          <w:rFonts w:hint="eastAsia" w:ascii="宋体" w:hAnsi="宋体" w:eastAsia="宋体" w:cs="宋体"/>
          <w:sz w:val="28"/>
          <w:szCs w:val="28"/>
          <w:lang w:val="zh-CN"/>
        </w:rPr>
        <w:t>、我方的响应文件有效期自磋商之日起为</w:t>
      </w:r>
      <w:r>
        <w:rPr>
          <w:rFonts w:hint="eastAsia" w:ascii="宋体" w:hAnsi="宋体" w:eastAsia="宋体" w:cs="宋体"/>
          <w:sz w:val="28"/>
          <w:szCs w:val="28"/>
        </w:rPr>
        <w:t>60</w:t>
      </w:r>
      <w:r>
        <w:rPr>
          <w:rFonts w:hint="eastAsia" w:ascii="宋体" w:hAnsi="宋体" w:eastAsia="宋体" w:cs="宋体"/>
          <w:sz w:val="28"/>
          <w:szCs w:val="28"/>
          <w:lang w:val="zh-CN"/>
        </w:rPr>
        <w:t>个日历天，若我方成交，响应文件有效期延长至合同执行完毕。</w:t>
      </w:r>
    </w:p>
    <w:p>
      <w:pPr>
        <w:autoSpaceDE w:val="0"/>
        <w:autoSpaceDN w:val="0"/>
        <w:adjustRightInd w:val="0"/>
        <w:snapToGrid w:val="0"/>
        <w:spacing w:line="312" w:lineRule="auto"/>
        <w:ind w:firstLine="630"/>
        <w:rPr>
          <w:rFonts w:hint="eastAsia"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sz w:val="28"/>
          <w:szCs w:val="28"/>
          <w:lang w:val="zh-CN"/>
        </w:rPr>
        <w:t>、有关于本磋商文件的函电，请按下列地址联系。</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供应商全称（印章）：</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地</w:t>
      </w:r>
      <w:r>
        <w:rPr>
          <w:rFonts w:hint="eastAsia" w:ascii="宋体" w:hAnsi="宋体" w:eastAsia="宋体" w:cs="宋体"/>
          <w:sz w:val="28"/>
          <w:szCs w:val="28"/>
        </w:rPr>
        <w:t xml:space="preserve">    </w:t>
      </w:r>
      <w:r>
        <w:rPr>
          <w:rFonts w:hint="eastAsia" w:ascii="宋体" w:hAnsi="宋体" w:eastAsia="宋体" w:cs="宋体"/>
          <w:sz w:val="28"/>
          <w:szCs w:val="28"/>
          <w:lang w:val="zh-CN"/>
        </w:rPr>
        <w:t>址：</w:t>
      </w:r>
      <w:r>
        <w:rPr>
          <w:rFonts w:hint="eastAsia" w:ascii="宋体" w:hAnsi="宋体" w:eastAsia="宋体" w:cs="宋体"/>
          <w:sz w:val="28"/>
          <w:szCs w:val="28"/>
        </w:rPr>
        <w:t>__________________________________________</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开户银行：</w:t>
      </w:r>
      <w:r>
        <w:rPr>
          <w:rFonts w:hint="eastAsia" w:ascii="宋体" w:hAnsi="宋体" w:eastAsia="宋体" w:cs="宋体"/>
          <w:sz w:val="28"/>
          <w:szCs w:val="28"/>
        </w:rPr>
        <w:t>__________________________________________</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帐</w:t>
      </w:r>
      <w:r>
        <w:rPr>
          <w:rFonts w:hint="eastAsia" w:ascii="宋体" w:hAnsi="宋体" w:eastAsia="宋体" w:cs="宋体"/>
          <w:sz w:val="28"/>
          <w:szCs w:val="28"/>
        </w:rPr>
        <w:t xml:space="preserve">    </w:t>
      </w:r>
      <w:r>
        <w:rPr>
          <w:rFonts w:hint="eastAsia" w:ascii="宋体" w:hAnsi="宋体" w:eastAsia="宋体" w:cs="宋体"/>
          <w:sz w:val="28"/>
          <w:szCs w:val="28"/>
          <w:lang w:val="zh-CN"/>
        </w:rPr>
        <w:t>号：</w:t>
      </w:r>
      <w:r>
        <w:rPr>
          <w:rFonts w:hint="eastAsia" w:ascii="宋体" w:hAnsi="宋体" w:eastAsia="宋体" w:cs="宋体"/>
          <w:sz w:val="28"/>
          <w:szCs w:val="28"/>
        </w:rPr>
        <w:t>__________________________________________</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电</w:t>
      </w:r>
      <w:r>
        <w:rPr>
          <w:rFonts w:hint="eastAsia" w:ascii="宋体" w:hAnsi="宋体" w:eastAsia="宋体" w:cs="宋体"/>
          <w:sz w:val="28"/>
          <w:szCs w:val="28"/>
        </w:rPr>
        <w:t xml:space="preserve">    </w:t>
      </w:r>
      <w:r>
        <w:rPr>
          <w:rFonts w:hint="eastAsia" w:ascii="宋体" w:hAnsi="宋体" w:eastAsia="宋体" w:cs="宋体"/>
          <w:sz w:val="28"/>
          <w:szCs w:val="28"/>
          <w:lang w:val="zh-CN"/>
        </w:rPr>
        <w:t>话：</w:t>
      </w:r>
      <w:r>
        <w:rPr>
          <w:rFonts w:hint="eastAsia" w:ascii="宋体" w:hAnsi="宋体" w:eastAsia="宋体" w:cs="宋体"/>
          <w:sz w:val="28"/>
          <w:szCs w:val="28"/>
        </w:rPr>
        <w:t>__________________________________________</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传</w:t>
      </w:r>
      <w:r>
        <w:rPr>
          <w:rFonts w:hint="eastAsia" w:ascii="宋体" w:hAnsi="宋体" w:eastAsia="宋体" w:cs="宋体"/>
          <w:sz w:val="28"/>
          <w:szCs w:val="28"/>
        </w:rPr>
        <w:t xml:space="preserve">    </w:t>
      </w:r>
      <w:r>
        <w:rPr>
          <w:rFonts w:hint="eastAsia" w:ascii="宋体" w:hAnsi="宋体" w:eastAsia="宋体" w:cs="宋体"/>
          <w:sz w:val="28"/>
          <w:szCs w:val="28"/>
          <w:lang w:val="zh-CN"/>
        </w:rPr>
        <w:t>真：</w:t>
      </w:r>
      <w:r>
        <w:rPr>
          <w:rFonts w:hint="eastAsia" w:ascii="宋体" w:hAnsi="宋体" w:eastAsia="宋体" w:cs="宋体"/>
          <w:sz w:val="28"/>
          <w:szCs w:val="28"/>
        </w:rPr>
        <w:t>__________________________________________</w:t>
      </w:r>
    </w:p>
    <w:p>
      <w:pPr>
        <w:autoSpaceDE w:val="0"/>
        <w:autoSpaceDN w:val="0"/>
        <w:adjustRightInd w:val="0"/>
        <w:snapToGrid w:val="0"/>
        <w:spacing w:line="312" w:lineRule="auto"/>
        <w:rPr>
          <w:rFonts w:hint="eastAsia" w:ascii="宋体" w:hAnsi="宋体" w:eastAsia="宋体" w:cs="宋体"/>
          <w:sz w:val="28"/>
          <w:szCs w:val="28"/>
        </w:rPr>
      </w:pPr>
      <w:r>
        <w:rPr>
          <w:rFonts w:hint="eastAsia" w:ascii="宋体" w:hAnsi="宋体" w:eastAsia="宋体" w:cs="宋体"/>
          <w:sz w:val="28"/>
          <w:szCs w:val="28"/>
          <w:lang w:val="zh-CN"/>
        </w:rPr>
        <w:t>法定代表人或授权代表（签字或盖章）：</w:t>
      </w:r>
      <w:r>
        <w:rPr>
          <w:rFonts w:hint="eastAsia" w:ascii="宋体" w:hAnsi="宋体" w:eastAsia="宋体" w:cs="宋体"/>
          <w:sz w:val="28"/>
          <w:szCs w:val="28"/>
        </w:rPr>
        <w:t>_________________</w:t>
      </w:r>
    </w:p>
    <w:p>
      <w:pPr>
        <w:autoSpaceDE w:val="0"/>
        <w:autoSpaceDN w:val="0"/>
        <w:adjustRightInd w:val="0"/>
        <w:snapToGrid w:val="0"/>
        <w:spacing w:line="312" w:lineRule="auto"/>
        <w:rPr>
          <w:rFonts w:hint="eastAsia" w:ascii="宋体" w:hAnsi="宋体" w:eastAsia="宋体" w:cs="宋体"/>
          <w:sz w:val="28"/>
          <w:szCs w:val="28"/>
        </w:rPr>
      </w:pPr>
    </w:p>
    <w:p>
      <w:pPr>
        <w:autoSpaceDE w:val="0"/>
        <w:autoSpaceDN w:val="0"/>
        <w:adjustRightInd w:val="0"/>
        <w:snapToGrid w:val="0"/>
        <w:spacing w:line="312" w:lineRule="auto"/>
        <w:jc w:val="center"/>
        <w:rPr>
          <w:rFonts w:hint="eastAsia" w:ascii="宋体" w:hAnsi="宋体" w:eastAsia="宋体" w:cs="宋体"/>
          <w:sz w:val="28"/>
          <w:szCs w:val="28"/>
        </w:rPr>
        <w:sectPr>
          <w:headerReference r:id="rId6" w:type="default"/>
          <w:footerReference r:id="rId7" w:type="default"/>
          <w:pgSz w:w="11906" w:h="16838"/>
          <w:pgMar w:top="1418" w:right="1418" w:bottom="1418" w:left="1418" w:header="851" w:footer="992" w:gutter="0"/>
          <w:pgNumType w:fmt="decimal" w:start="3"/>
          <w:cols w:space="720" w:num="1"/>
          <w:docGrid w:linePitch="312" w:charSpace="0"/>
        </w:sectPr>
      </w:pPr>
      <w:r>
        <w:rPr>
          <w:rFonts w:hint="eastAsia" w:ascii="宋体" w:hAnsi="宋体" w:eastAsia="宋体" w:cs="宋体"/>
          <w:sz w:val="28"/>
          <w:szCs w:val="28"/>
        </w:rPr>
        <w:t xml:space="preserve">                 _____</w:t>
      </w:r>
      <w:r>
        <w:rPr>
          <w:rFonts w:hint="eastAsia" w:ascii="宋体" w:hAnsi="宋体" w:eastAsia="宋体" w:cs="宋体"/>
          <w:sz w:val="28"/>
          <w:szCs w:val="28"/>
          <w:lang w:val="zh-CN"/>
        </w:rPr>
        <w:t>年</w:t>
      </w:r>
      <w:r>
        <w:rPr>
          <w:rFonts w:hint="eastAsia" w:ascii="宋体" w:hAnsi="宋体" w:eastAsia="宋体" w:cs="宋体"/>
          <w:sz w:val="28"/>
          <w:szCs w:val="28"/>
        </w:rPr>
        <w:t>_____</w:t>
      </w:r>
      <w:r>
        <w:rPr>
          <w:rFonts w:hint="eastAsia" w:ascii="宋体" w:hAnsi="宋体" w:eastAsia="宋体" w:cs="宋体"/>
          <w:sz w:val="28"/>
          <w:szCs w:val="28"/>
          <w:lang w:val="zh-CN"/>
        </w:rPr>
        <w:t>月</w:t>
      </w:r>
      <w:r>
        <w:rPr>
          <w:rFonts w:hint="eastAsia" w:ascii="宋体" w:hAnsi="宋体" w:eastAsia="宋体" w:cs="宋体"/>
          <w:sz w:val="28"/>
          <w:szCs w:val="28"/>
        </w:rPr>
        <w:t>_____</w:t>
      </w:r>
      <w:r>
        <w:rPr>
          <w:rFonts w:hint="eastAsia" w:ascii="宋体" w:hAnsi="宋体" w:eastAsia="宋体" w:cs="宋体"/>
          <w:sz w:val="28"/>
          <w:szCs w:val="28"/>
          <w:lang w:val="zh-CN"/>
        </w:rPr>
        <w:t>日</w:t>
      </w:r>
    </w:p>
    <w:p>
      <w:pPr>
        <w:autoSpaceDE w:val="0"/>
        <w:autoSpaceDN w:val="0"/>
        <w:adjustRightInd w:val="0"/>
        <w:snapToGrid w:val="0"/>
        <w:spacing w:line="360" w:lineRule="auto"/>
        <w:jc w:val="center"/>
        <w:rPr>
          <w:rFonts w:hint="eastAsia" w:ascii="宋体" w:hAnsi="宋体" w:eastAsia="宋体" w:cs="宋体"/>
          <w:sz w:val="32"/>
          <w:szCs w:val="32"/>
        </w:rPr>
      </w:pPr>
      <w:r>
        <w:rPr>
          <w:rFonts w:hint="eastAsia" w:ascii="宋体" w:hAnsi="宋体" w:eastAsia="宋体" w:cs="宋体"/>
          <w:b/>
          <w:bCs/>
          <w:sz w:val="32"/>
          <w:szCs w:val="32"/>
          <w:lang w:val="zh-CN"/>
        </w:rPr>
        <w:t>第二部分</w:t>
      </w:r>
      <w:r>
        <w:rPr>
          <w:rFonts w:hint="eastAsia" w:ascii="宋体" w:hAnsi="宋体" w:eastAsia="宋体" w:cs="宋体"/>
          <w:b/>
          <w:bCs/>
          <w:sz w:val="32"/>
          <w:szCs w:val="32"/>
        </w:rPr>
        <w:t xml:space="preserve">   首次磋商响应</w:t>
      </w:r>
      <w:r>
        <w:rPr>
          <w:rFonts w:hint="eastAsia" w:ascii="宋体" w:hAnsi="宋体" w:eastAsia="宋体" w:cs="宋体"/>
          <w:b/>
          <w:bCs/>
          <w:sz w:val="32"/>
          <w:szCs w:val="32"/>
          <w:lang w:val="zh-CN"/>
        </w:rPr>
        <w:t>报价表</w:t>
      </w:r>
    </w:p>
    <w:p>
      <w:pPr>
        <w:autoSpaceDE w:val="0"/>
        <w:autoSpaceDN w:val="0"/>
        <w:adjustRightInd w:val="0"/>
        <w:snapToGrid w:val="0"/>
        <w:spacing w:line="360" w:lineRule="auto"/>
        <w:jc w:val="right"/>
        <w:rPr>
          <w:rFonts w:hint="eastAsia" w:ascii="宋体" w:hAnsi="宋体" w:eastAsia="宋体" w:cs="宋体"/>
          <w:b/>
          <w:sz w:val="28"/>
          <w:szCs w:val="28"/>
        </w:rPr>
      </w:pPr>
      <w:r>
        <w:rPr>
          <w:rFonts w:hint="eastAsia" w:ascii="宋体" w:hAnsi="宋体" w:eastAsia="宋体" w:cs="宋体"/>
          <w:sz w:val="32"/>
          <w:szCs w:val="32"/>
        </w:rPr>
        <w:t xml:space="preserve">                                                        </w:t>
      </w:r>
      <w:r>
        <w:rPr>
          <w:rFonts w:hint="eastAsia" w:ascii="宋体" w:hAnsi="宋体" w:eastAsia="宋体" w:cs="宋体"/>
          <w:b/>
          <w:sz w:val="28"/>
          <w:szCs w:val="28"/>
          <w:lang w:val="zh-CN"/>
        </w:rPr>
        <w:t>单位</w:t>
      </w:r>
      <w:r>
        <w:rPr>
          <w:rFonts w:hint="eastAsia" w:ascii="宋体" w:hAnsi="宋体" w:eastAsia="宋体" w:cs="宋体"/>
          <w:b/>
          <w:sz w:val="28"/>
          <w:szCs w:val="28"/>
        </w:rPr>
        <w:t xml:space="preserve"> </w:t>
      </w:r>
      <w:r>
        <w:rPr>
          <w:rFonts w:hint="eastAsia" w:ascii="宋体" w:hAnsi="宋体" w:eastAsia="宋体" w:cs="宋体"/>
          <w:b/>
          <w:sz w:val="28"/>
          <w:szCs w:val="28"/>
          <w:lang w:val="zh-CN"/>
        </w:rPr>
        <w:t>：元</w:t>
      </w:r>
      <w:r>
        <w:rPr>
          <w:rFonts w:hint="eastAsia" w:ascii="宋体" w:hAnsi="宋体" w:eastAsia="宋体" w:cs="宋体"/>
          <w:b/>
          <w:sz w:val="28"/>
          <w:szCs w:val="28"/>
        </w:rPr>
        <w:t xml:space="preserve"> </w:t>
      </w:r>
    </w:p>
    <w:tbl>
      <w:tblPr>
        <w:tblStyle w:val="15"/>
        <w:tblW w:w="8820" w:type="dxa"/>
        <w:tblInd w:w="93" w:type="dxa"/>
        <w:tblLayout w:type="fixed"/>
        <w:tblCellMar>
          <w:top w:w="0" w:type="dxa"/>
          <w:left w:w="108" w:type="dxa"/>
          <w:bottom w:w="0" w:type="dxa"/>
          <w:right w:w="108" w:type="dxa"/>
        </w:tblCellMar>
      </w:tblPr>
      <w:tblGrid>
        <w:gridCol w:w="1089"/>
        <w:gridCol w:w="2958"/>
        <w:gridCol w:w="1210"/>
        <w:gridCol w:w="1209"/>
        <w:gridCol w:w="1229"/>
        <w:gridCol w:w="1125"/>
      </w:tblGrid>
      <w:tr>
        <w:tblPrEx>
          <w:tblCellMar>
            <w:top w:w="0" w:type="dxa"/>
            <w:left w:w="108" w:type="dxa"/>
            <w:bottom w:w="0" w:type="dxa"/>
            <w:right w:w="108" w:type="dxa"/>
          </w:tblCellMar>
        </w:tblPrEx>
        <w:trPr>
          <w:trHeight w:val="562" w:hRule="atLeast"/>
        </w:trPr>
        <w:tc>
          <w:tcPr>
            <w:tcW w:w="8820" w:type="dxa"/>
            <w:gridSpan w:val="6"/>
            <w:tcBorders>
              <w:top w:val="single" w:color="auto" w:sz="12" w:space="0"/>
              <w:left w:val="single" w:color="auto" w:sz="12" w:space="0"/>
              <w:bottom w:val="single" w:color="auto" w:sz="4" w:space="0"/>
              <w:right w:val="single" w:color="auto" w:sz="12" w:space="0"/>
            </w:tcBorders>
            <w:noWrap/>
            <w:vAlign w:val="center"/>
          </w:tcPr>
          <w:p>
            <w:pPr>
              <w:widowControl/>
              <w:jc w:val="left"/>
              <w:rPr>
                <w:rFonts w:ascii="宋体" w:hAnsi="宋体" w:cs="宋体"/>
                <w:b/>
                <w:bCs/>
                <w:kern w:val="0"/>
                <w:szCs w:val="21"/>
              </w:rPr>
            </w:pPr>
            <w:r>
              <w:rPr>
                <w:rFonts w:hint="eastAsia" w:ascii="宋体" w:hAnsi="宋体" w:cs="宋体"/>
                <w:b/>
                <w:bCs/>
                <w:kern w:val="0"/>
                <w:szCs w:val="21"/>
              </w:rPr>
              <w:t>供应商名称：</w:t>
            </w:r>
          </w:p>
        </w:tc>
      </w:tr>
      <w:tr>
        <w:tblPrEx>
          <w:tblCellMar>
            <w:top w:w="0" w:type="dxa"/>
            <w:left w:w="108" w:type="dxa"/>
            <w:bottom w:w="0" w:type="dxa"/>
            <w:right w:w="108" w:type="dxa"/>
          </w:tblCellMar>
        </w:tblPrEx>
        <w:trPr>
          <w:trHeight w:val="874" w:hRule="atLeast"/>
        </w:trPr>
        <w:tc>
          <w:tcPr>
            <w:tcW w:w="1089" w:type="dxa"/>
            <w:tcBorders>
              <w:top w:val="nil"/>
              <w:left w:val="single" w:color="auto" w:sz="12"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lang w:eastAsia="zh-CN"/>
              </w:rPr>
            </w:pPr>
            <w:r>
              <w:rPr>
                <w:rFonts w:hint="eastAsia" w:ascii="宋体" w:hAnsi="宋体" w:cs="宋体"/>
                <w:b/>
                <w:bCs/>
                <w:kern w:val="0"/>
                <w:szCs w:val="21"/>
                <w:lang w:val="en-US" w:eastAsia="zh-CN"/>
              </w:rPr>
              <w:t>序号</w:t>
            </w:r>
          </w:p>
        </w:tc>
        <w:tc>
          <w:tcPr>
            <w:tcW w:w="2958"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Cs w:val="21"/>
              </w:rPr>
            </w:pPr>
            <w:r>
              <w:rPr>
                <w:rFonts w:hint="eastAsia" w:ascii="宋体" w:hAnsi="宋体" w:cs="宋体"/>
                <w:b/>
                <w:bCs/>
                <w:kern w:val="0"/>
                <w:szCs w:val="21"/>
              </w:rPr>
              <w:t>项目名称</w:t>
            </w:r>
          </w:p>
        </w:tc>
        <w:tc>
          <w:tcPr>
            <w:tcW w:w="121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磋商报价</w:t>
            </w:r>
          </w:p>
          <w:p>
            <w:pPr>
              <w:widowControl/>
              <w:jc w:val="center"/>
              <w:rPr>
                <w:rFonts w:ascii="宋体" w:hAnsi="宋体" w:cs="宋体"/>
                <w:b/>
                <w:bCs/>
                <w:kern w:val="0"/>
                <w:szCs w:val="21"/>
              </w:rPr>
            </w:pPr>
            <w:r>
              <w:rPr>
                <w:rFonts w:hint="eastAsia" w:ascii="宋体" w:hAnsi="宋体" w:cs="宋体"/>
                <w:b/>
                <w:bCs/>
                <w:kern w:val="0"/>
                <w:szCs w:val="21"/>
              </w:rPr>
              <w:t>（元）</w:t>
            </w:r>
          </w:p>
        </w:tc>
        <w:tc>
          <w:tcPr>
            <w:tcW w:w="120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交货期</w:t>
            </w:r>
          </w:p>
          <w:p>
            <w:pPr>
              <w:widowControl/>
              <w:jc w:val="center"/>
              <w:rPr>
                <w:rFonts w:ascii="宋体" w:hAnsi="宋体" w:cs="宋体"/>
                <w:b/>
                <w:bCs/>
                <w:kern w:val="0"/>
                <w:szCs w:val="21"/>
              </w:rPr>
            </w:pPr>
            <w:r>
              <w:rPr>
                <w:rFonts w:hint="eastAsia" w:ascii="宋体" w:hAnsi="宋体" w:cs="宋体"/>
                <w:b/>
                <w:bCs/>
                <w:kern w:val="0"/>
                <w:szCs w:val="21"/>
              </w:rPr>
              <w:t>（日）</w:t>
            </w:r>
          </w:p>
        </w:tc>
        <w:tc>
          <w:tcPr>
            <w:tcW w:w="122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质保期</w:t>
            </w:r>
            <w:r>
              <w:rPr>
                <w:rFonts w:hint="eastAsia" w:ascii="宋体" w:hAnsi="宋体" w:cs="宋体"/>
                <w:b/>
                <w:bCs/>
                <w:kern w:val="0"/>
                <w:szCs w:val="21"/>
                <w:lang w:eastAsia="zh-CN"/>
              </w:rPr>
              <w:t>（</w:t>
            </w:r>
            <w:r>
              <w:rPr>
                <w:rFonts w:hint="eastAsia" w:ascii="宋体" w:hAnsi="宋体" w:cs="宋体"/>
                <w:b/>
                <w:bCs/>
                <w:kern w:val="0"/>
                <w:szCs w:val="21"/>
                <w:lang w:val="en-US" w:eastAsia="zh-CN"/>
              </w:rPr>
              <w:t>年）</w:t>
            </w:r>
            <w:r>
              <w:rPr>
                <w:rFonts w:hint="eastAsia" w:ascii="宋体" w:hAnsi="宋体" w:cs="宋体"/>
                <w:b/>
                <w:bCs/>
                <w:kern w:val="0"/>
                <w:szCs w:val="21"/>
              </w:rPr>
              <w:t xml:space="preserve">  </w:t>
            </w:r>
          </w:p>
          <w:p>
            <w:pPr>
              <w:widowControl/>
              <w:jc w:val="center"/>
              <w:rPr>
                <w:rFonts w:ascii="宋体" w:hAnsi="宋体" w:cs="宋体"/>
                <w:b/>
                <w:bCs/>
                <w:kern w:val="0"/>
                <w:szCs w:val="21"/>
              </w:rPr>
            </w:pPr>
          </w:p>
        </w:tc>
        <w:tc>
          <w:tcPr>
            <w:tcW w:w="1125" w:type="dxa"/>
            <w:tcBorders>
              <w:top w:val="nil"/>
              <w:left w:val="nil"/>
              <w:bottom w:val="single" w:color="auto" w:sz="4" w:space="0"/>
              <w:right w:val="single" w:color="auto" w:sz="12" w:space="0"/>
            </w:tcBorders>
            <w:noWrap/>
            <w:vAlign w:val="center"/>
          </w:tcPr>
          <w:p>
            <w:pPr>
              <w:widowControl/>
              <w:jc w:val="center"/>
              <w:rPr>
                <w:rFonts w:ascii="宋体" w:hAnsi="宋体" w:cs="宋体"/>
                <w:b/>
                <w:bCs/>
                <w:kern w:val="0"/>
                <w:szCs w:val="21"/>
              </w:rPr>
            </w:pPr>
            <w:r>
              <w:rPr>
                <w:rFonts w:hint="eastAsia" w:ascii="宋体" w:hAnsi="宋体" w:cs="宋体"/>
                <w:b/>
                <w:bCs/>
                <w:kern w:val="0"/>
                <w:szCs w:val="21"/>
              </w:rPr>
              <w:t>交货地点</w:t>
            </w:r>
          </w:p>
        </w:tc>
      </w:tr>
      <w:tr>
        <w:tblPrEx>
          <w:tblCellMar>
            <w:top w:w="0" w:type="dxa"/>
            <w:left w:w="108" w:type="dxa"/>
            <w:bottom w:w="0" w:type="dxa"/>
            <w:right w:w="108" w:type="dxa"/>
          </w:tblCellMar>
        </w:tblPrEx>
        <w:trPr>
          <w:trHeight w:val="1133" w:hRule="atLeast"/>
        </w:trPr>
        <w:tc>
          <w:tcPr>
            <w:tcW w:w="1089" w:type="dxa"/>
            <w:tcBorders>
              <w:top w:val="nil"/>
              <w:left w:val="single" w:color="auto" w:sz="12" w:space="0"/>
              <w:bottom w:val="single" w:color="auto" w:sz="4" w:space="0"/>
              <w:right w:val="single" w:color="auto" w:sz="4" w:space="0"/>
            </w:tcBorders>
            <w:noWrap/>
            <w:vAlign w:val="center"/>
          </w:tcPr>
          <w:p>
            <w:pPr>
              <w:widowControl/>
              <w:jc w:val="left"/>
              <w:rPr>
                <w:rFonts w:ascii="宋体" w:hAnsi="宋体" w:cs="宋体"/>
                <w:kern w:val="0"/>
                <w:szCs w:val="21"/>
              </w:rPr>
            </w:pPr>
          </w:p>
        </w:tc>
        <w:tc>
          <w:tcPr>
            <w:tcW w:w="2958"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10"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09"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29"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125" w:type="dxa"/>
            <w:tcBorders>
              <w:top w:val="nil"/>
              <w:left w:val="nil"/>
              <w:bottom w:val="single" w:color="auto" w:sz="4" w:space="0"/>
              <w:right w:val="single" w:color="auto" w:sz="12" w:space="0"/>
            </w:tcBorders>
            <w:noWrap/>
            <w:vAlign w:val="center"/>
          </w:tcPr>
          <w:p>
            <w:pPr>
              <w:widowControl/>
              <w:jc w:val="left"/>
              <w:rPr>
                <w:rFonts w:ascii="宋体" w:hAnsi="宋体" w:cs="宋体"/>
                <w:kern w:val="0"/>
                <w:szCs w:val="21"/>
              </w:rPr>
            </w:pPr>
          </w:p>
        </w:tc>
      </w:tr>
    </w:tbl>
    <w:p>
      <w:pPr>
        <w:autoSpaceDE w:val="0"/>
        <w:autoSpaceDN w:val="0"/>
        <w:adjustRightInd w:val="0"/>
        <w:snapToGrid w:val="0"/>
        <w:spacing w:line="360" w:lineRule="auto"/>
        <w:rPr>
          <w:rFonts w:hint="eastAsia" w:ascii="宋体" w:hAnsi="宋体" w:eastAsia="宋体" w:cs="宋体"/>
          <w:sz w:val="28"/>
          <w:szCs w:val="28"/>
        </w:rPr>
      </w:pPr>
      <w:r>
        <w:rPr>
          <w:rFonts w:hint="eastAsia" w:ascii="宋体" w:hAnsi="宋体" w:eastAsia="宋体" w:cs="宋体"/>
          <w:b/>
          <w:bCs/>
          <w:sz w:val="28"/>
          <w:szCs w:val="28"/>
        </w:rPr>
        <w:t xml:space="preserve">                                                                                      </w:t>
      </w:r>
    </w:p>
    <w:p>
      <w:pPr>
        <w:autoSpaceDE w:val="0"/>
        <w:autoSpaceDN w:val="0"/>
        <w:adjustRightInd w:val="0"/>
        <w:snapToGrid w:val="0"/>
        <w:spacing w:line="360" w:lineRule="auto"/>
        <w:ind w:firstLine="1260" w:firstLineChars="450"/>
        <w:rPr>
          <w:rFonts w:hint="eastAsia" w:ascii="宋体" w:hAnsi="宋体" w:eastAsia="宋体" w:cs="宋体"/>
          <w:sz w:val="28"/>
          <w:szCs w:val="28"/>
          <w:lang w:val="zh-CN"/>
        </w:rPr>
      </w:pPr>
      <w:r>
        <w:rPr>
          <w:rFonts w:hint="eastAsia" w:ascii="宋体" w:hAnsi="宋体" w:eastAsia="宋体" w:cs="宋体"/>
          <w:sz w:val="28"/>
          <w:szCs w:val="28"/>
          <w:lang w:val="zh-CN"/>
        </w:rPr>
        <w:t>供应商</w:t>
      </w:r>
      <w:r>
        <w:rPr>
          <w:rFonts w:hint="eastAsia" w:ascii="宋体" w:hAnsi="宋体" w:eastAsia="宋体" w:cs="宋体"/>
          <w:sz w:val="28"/>
          <w:szCs w:val="28"/>
        </w:rPr>
        <w:t xml:space="preserve">                  </w:t>
      </w:r>
      <w:r>
        <w:rPr>
          <w:rFonts w:hint="eastAsia" w:ascii="宋体" w:hAnsi="宋体" w:eastAsia="宋体" w:cs="宋体"/>
          <w:sz w:val="28"/>
          <w:szCs w:val="28"/>
          <w:lang w:val="zh-CN"/>
        </w:rPr>
        <w:t>法定代表人</w:t>
      </w:r>
      <w:r>
        <w:rPr>
          <w:rFonts w:hint="eastAsia" w:ascii="宋体" w:hAnsi="宋体" w:eastAsia="宋体" w:cs="宋体"/>
          <w:sz w:val="28"/>
          <w:szCs w:val="28"/>
        </w:rPr>
        <w:t>或</w:t>
      </w:r>
      <w:r>
        <w:rPr>
          <w:rFonts w:hint="eastAsia" w:ascii="宋体" w:hAnsi="宋体" w:eastAsia="宋体" w:cs="宋体"/>
          <w:sz w:val="28"/>
          <w:szCs w:val="28"/>
          <w:lang w:val="zh-CN"/>
        </w:rPr>
        <w:t>授权代表</w:t>
      </w:r>
    </w:p>
    <w:p>
      <w:pPr>
        <w:autoSpaceDE w:val="0"/>
        <w:autoSpaceDN w:val="0"/>
        <w:adjustRightInd w:val="0"/>
        <w:snapToGrid w:val="0"/>
        <w:spacing w:line="360" w:lineRule="auto"/>
        <w:ind w:firstLine="1120" w:firstLineChars="400"/>
        <w:rPr>
          <w:rFonts w:hint="eastAsia" w:ascii="宋体" w:hAnsi="宋体" w:eastAsia="宋体" w:cs="宋体"/>
          <w:sz w:val="28"/>
          <w:szCs w:val="28"/>
          <w:lang w:val="zh-CN"/>
        </w:rPr>
      </w:pPr>
      <w:r>
        <w:rPr>
          <w:rFonts w:hint="eastAsia" w:ascii="宋体" w:hAnsi="宋体" w:eastAsia="宋体" w:cs="宋体"/>
          <w:sz w:val="28"/>
          <w:szCs w:val="28"/>
          <w:lang w:val="zh-CN"/>
        </w:rPr>
        <w:t>（公章）：                  （签字或盖章）：</w:t>
      </w:r>
    </w:p>
    <w:p>
      <w:pPr>
        <w:autoSpaceDE w:val="0"/>
        <w:autoSpaceDN w:val="0"/>
        <w:adjustRightInd w:val="0"/>
        <w:snapToGrid w:val="0"/>
        <w:spacing w:line="360" w:lineRule="auto"/>
        <w:rPr>
          <w:rFonts w:hint="eastAsia" w:ascii="宋体" w:hAnsi="宋体" w:eastAsia="宋体" w:cs="宋体"/>
          <w:sz w:val="28"/>
          <w:szCs w:val="28"/>
          <w:lang w:val="zh-CN"/>
        </w:rPr>
      </w:pPr>
    </w:p>
    <w:p>
      <w:pPr>
        <w:autoSpaceDE w:val="0"/>
        <w:autoSpaceDN w:val="0"/>
        <w:adjustRightInd w:val="0"/>
        <w:snapToGrid w:val="0"/>
        <w:spacing w:line="360" w:lineRule="auto"/>
        <w:rPr>
          <w:rFonts w:hint="eastAsia" w:ascii="宋体" w:hAnsi="宋体" w:eastAsia="宋体" w:cs="宋体"/>
          <w:sz w:val="28"/>
          <w:szCs w:val="28"/>
          <w:lang w:val="zh-CN"/>
        </w:rPr>
      </w:pPr>
    </w:p>
    <w:p>
      <w:pPr>
        <w:autoSpaceDE w:val="0"/>
        <w:autoSpaceDN w:val="0"/>
        <w:adjustRightInd w:val="0"/>
        <w:snapToGrid w:val="0"/>
        <w:spacing w:line="360" w:lineRule="auto"/>
        <w:ind w:firstLine="280" w:firstLineChars="100"/>
        <w:rPr>
          <w:rFonts w:hint="eastAsia" w:ascii="宋体" w:hAnsi="宋体" w:eastAsia="宋体" w:cs="宋体"/>
          <w:sz w:val="28"/>
          <w:szCs w:val="28"/>
          <w:lang w:val="zh-CN"/>
        </w:rPr>
      </w:pPr>
      <w:r>
        <w:rPr>
          <w:rFonts w:hint="eastAsia" w:ascii="宋体" w:hAnsi="宋体" w:eastAsia="宋体" w:cs="宋体"/>
          <w:sz w:val="28"/>
          <w:szCs w:val="28"/>
          <w:lang w:val="zh-CN"/>
        </w:rPr>
        <w:t xml:space="preserve">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 xml:space="preserve">年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月</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日</w:t>
      </w:r>
    </w:p>
    <w:p>
      <w:pPr>
        <w:autoSpaceDE w:val="0"/>
        <w:autoSpaceDN w:val="0"/>
        <w:adjustRightInd w:val="0"/>
        <w:snapToGrid w:val="0"/>
        <w:spacing w:line="360" w:lineRule="auto"/>
        <w:ind w:firstLine="2880"/>
        <w:rPr>
          <w:rFonts w:hint="eastAsia" w:ascii="宋体" w:hAnsi="宋体" w:eastAsia="宋体" w:cs="宋体"/>
          <w:sz w:val="28"/>
          <w:szCs w:val="28"/>
        </w:rPr>
        <w:sectPr>
          <w:pgSz w:w="11906" w:h="16838"/>
          <w:pgMar w:top="1418" w:right="1418" w:bottom="1418" w:left="1418" w:header="851" w:footer="992" w:gutter="0"/>
          <w:pgNumType w:fmt="decimal"/>
          <w:cols w:space="720" w:num="1"/>
          <w:docGrid w:linePitch="312" w:charSpace="0"/>
        </w:sectPr>
      </w:pPr>
    </w:p>
    <w:p>
      <w:pPr>
        <w:adjustRightInd w:val="0"/>
        <w:snapToGrid w:val="0"/>
        <w:spacing w:line="360" w:lineRule="auto"/>
        <w:jc w:val="center"/>
        <w:rPr>
          <w:rFonts w:hint="eastAsia" w:ascii="宋体" w:hAnsi="宋体" w:eastAsia="宋体" w:cs="宋体"/>
          <w:b/>
          <w:sz w:val="42"/>
        </w:rPr>
      </w:pPr>
      <w:r>
        <w:rPr>
          <w:rFonts w:hint="eastAsia" w:ascii="宋体" w:hAnsi="宋体" w:eastAsia="宋体" w:cs="宋体"/>
          <w:b/>
          <w:sz w:val="42"/>
        </w:rPr>
        <w:t>首次报价明细表</w:t>
      </w:r>
    </w:p>
    <w:p>
      <w:pPr>
        <w:spacing w:after="120" w:afterLines="50" w:line="360" w:lineRule="exact"/>
        <w:ind w:firstLine="210" w:firstLineChars="100"/>
        <w:rPr>
          <w:rFonts w:hint="eastAsia" w:ascii="宋体" w:hAnsi="宋体"/>
        </w:rPr>
      </w:pPr>
      <w:r>
        <w:rPr>
          <w:rFonts w:hint="eastAsia" w:ascii="宋体" w:hAnsi="宋体"/>
        </w:rPr>
        <w:t xml:space="preserve">供应商名称：                                                   包号：              </w:t>
      </w:r>
    </w:p>
    <w:p>
      <w:pPr>
        <w:spacing w:after="120" w:afterLines="50" w:line="360" w:lineRule="exact"/>
        <w:ind w:firstLine="210" w:firstLineChars="100"/>
        <w:rPr>
          <w:rFonts w:hint="eastAsia" w:ascii="宋体" w:hAnsi="宋体"/>
        </w:rPr>
      </w:pPr>
      <w:r>
        <w:rPr>
          <w:rFonts w:hint="eastAsia" w:ascii="宋体" w:hAnsi="宋体"/>
        </w:rPr>
        <w:t>采购项目编号：</w:t>
      </w:r>
    </w:p>
    <w:tbl>
      <w:tblPr>
        <w:tblStyle w:val="15"/>
        <w:tblW w:w="9130" w:type="dxa"/>
        <w:tblInd w:w="28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51"/>
        <w:gridCol w:w="1021"/>
        <w:gridCol w:w="774"/>
        <w:gridCol w:w="989"/>
        <w:gridCol w:w="891"/>
        <w:gridCol w:w="1089"/>
        <w:gridCol w:w="1062"/>
        <w:gridCol w:w="1089"/>
        <w:gridCol w:w="7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561"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序号</w:t>
            </w:r>
          </w:p>
        </w:tc>
        <w:tc>
          <w:tcPr>
            <w:tcW w:w="1972" w:type="dxa"/>
            <w:gridSpan w:val="2"/>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产品名称</w:t>
            </w:r>
          </w:p>
        </w:tc>
        <w:tc>
          <w:tcPr>
            <w:tcW w:w="774"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品牌</w:t>
            </w:r>
          </w:p>
        </w:tc>
        <w:tc>
          <w:tcPr>
            <w:tcW w:w="989"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型号规格</w:t>
            </w:r>
          </w:p>
        </w:tc>
        <w:tc>
          <w:tcPr>
            <w:tcW w:w="891"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计量单位</w:t>
            </w:r>
          </w:p>
        </w:tc>
        <w:tc>
          <w:tcPr>
            <w:tcW w:w="1089"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数量</w:t>
            </w:r>
          </w:p>
        </w:tc>
        <w:tc>
          <w:tcPr>
            <w:tcW w:w="1062"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单价（元）</w:t>
            </w:r>
          </w:p>
        </w:tc>
        <w:tc>
          <w:tcPr>
            <w:tcW w:w="1089"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报价（元）</w:t>
            </w:r>
          </w:p>
        </w:tc>
        <w:tc>
          <w:tcPr>
            <w:tcW w:w="703" w:type="dxa"/>
            <w:noWrap w:val="0"/>
            <w:vAlign w:val="center"/>
          </w:tcPr>
          <w:p>
            <w:pPr>
              <w:adjustRightInd w:val="0"/>
              <w:snapToGrid w:val="0"/>
              <w:spacing w:line="360" w:lineRule="exact"/>
              <w:jc w:val="center"/>
              <w:rPr>
                <w:rFonts w:hint="eastAsia" w:ascii="宋体" w:hAnsi="宋体"/>
                <w:b/>
                <w:szCs w:val="21"/>
              </w:rPr>
            </w:pPr>
            <w:r>
              <w:rPr>
                <w:rFonts w:hint="eastAsia" w:ascii="宋体" w:hAnsi="宋体"/>
                <w:b/>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1972" w:type="dxa"/>
            <w:gridSpan w:val="2"/>
            <w:noWrap w:val="0"/>
            <w:vAlign w:val="center"/>
          </w:tcPr>
          <w:p>
            <w:pPr>
              <w:adjustRightInd w:val="0"/>
              <w:snapToGrid w:val="0"/>
              <w:spacing w:line="360" w:lineRule="auto"/>
              <w:jc w:val="center"/>
              <w:rPr>
                <w:rFonts w:hint="eastAsia" w:ascii="宋体" w:hAnsi="宋体"/>
                <w:szCs w:val="21"/>
              </w:rPr>
            </w:pPr>
          </w:p>
        </w:tc>
        <w:tc>
          <w:tcPr>
            <w:tcW w:w="774" w:type="dxa"/>
            <w:noWrap w:val="0"/>
            <w:vAlign w:val="center"/>
          </w:tcPr>
          <w:p>
            <w:pPr>
              <w:adjustRightInd w:val="0"/>
              <w:snapToGrid w:val="0"/>
              <w:spacing w:line="360" w:lineRule="auto"/>
              <w:jc w:val="center"/>
              <w:rPr>
                <w:rFonts w:hint="eastAsia" w:ascii="宋体" w:hAnsi="宋体"/>
                <w:szCs w:val="21"/>
              </w:rPr>
            </w:pPr>
          </w:p>
        </w:tc>
        <w:tc>
          <w:tcPr>
            <w:tcW w:w="989" w:type="dxa"/>
            <w:noWrap w:val="0"/>
            <w:vAlign w:val="top"/>
          </w:tcPr>
          <w:p>
            <w:pPr>
              <w:adjustRightInd w:val="0"/>
              <w:snapToGrid w:val="0"/>
              <w:spacing w:line="360" w:lineRule="auto"/>
              <w:jc w:val="center"/>
              <w:rPr>
                <w:rFonts w:hint="eastAsia" w:ascii="宋体" w:hAnsi="宋体"/>
                <w:szCs w:val="21"/>
              </w:rPr>
            </w:pPr>
          </w:p>
        </w:tc>
        <w:tc>
          <w:tcPr>
            <w:tcW w:w="891" w:type="dxa"/>
            <w:noWrap w:val="0"/>
            <w:vAlign w:val="top"/>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1062" w:type="dxa"/>
            <w:noWrap w:val="0"/>
            <w:vAlign w:val="center"/>
          </w:tcPr>
          <w:p>
            <w:pPr>
              <w:adjustRightInd w:val="0"/>
              <w:snapToGrid w:val="0"/>
              <w:spacing w:line="360" w:lineRule="auto"/>
              <w:jc w:val="center"/>
              <w:rPr>
                <w:rFonts w:hint="eastAsia" w:ascii="宋体" w:hAnsi="宋体"/>
                <w:szCs w:val="21"/>
              </w:rPr>
            </w:pPr>
          </w:p>
        </w:tc>
        <w:tc>
          <w:tcPr>
            <w:tcW w:w="1089" w:type="dxa"/>
            <w:noWrap w:val="0"/>
            <w:vAlign w:val="top"/>
          </w:tcPr>
          <w:p>
            <w:pPr>
              <w:adjustRightInd w:val="0"/>
              <w:snapToGrid w:val="0"/>
              <w:spacing w:line="360" w:lineRule="auto"/>
              <w:jc w:val="center"/>
              <w:rPr>
                <w:rFonts w:hint="eastAsia" w:ascii="宋体" w:hAnsi="宋体"/>
                <w:szCs w:val="21"/>
              </w:rPr>
            </w:pPr>
          </w:p>
        </w:tc>
        <w:tc>
          <w:tcPr>
            <w:tcW w:w="703" w:type="dxa"/>
            <w:noWrap w:val="0"/>
            <w:vAlign w:val="center"/>
          </w:tcPr>
          <w:p>
            <w:pPr>
              <w:adjustRightInd w:val="0"/>
              <w:snapToGrid w:val="0"/>
              <w:spacing w:line="360" w:lineRule="auto"/>
              <w:jc w:val="cente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561" w:type="dxa"/>
            <w:noWrap w:val="0"/>
            <w:vAlign w:val="center"/>
          </w:tcPr>
          <w:p>
            <w:pPr>
              <w:adjustRightInd w:val="0"/>
              <w:snapToGrid w:val="0"/>
              <w:spacing w:line="360" w:lineRule="auto"/>
              <w:jc w:val="center"/>
              <w:rPr>
                <w:rFonts w:hint="eastAsia" w:ascii="宋体" w:hAnsi="宋体"/>
                <w:szCs w:val="21"/>
              </w:rPr>
            </w:pPr>
          </w:p>
        </w:tc>
        <w:tc>
          <w:tcPr>
            <w:tcW w:w="951" w:type="dxa"/>
            <w:noWrap w:val="0"/>
            <w:vAlign w:val="center"/>
          </w:tcPr>
          <w:p>
            <w:pPr>
              <w:adjustRightInd w:val="0"/>
              <w:snapToGrid w:val="0"/>
              <w:spacing w:line="240" w:lineRule="exact"/>
              <w:jc w:val="center"/>
              <w:rPr>
                <w:rFonts w:hint="eastAsia" w:ascii="宋体" w:hAnsi="宋体"/>
                <w:szCs w:val="21"/>
              </w:rPr>
            </w:pPr>
            <w:r>
              <w:rPr>
                <w:rFonts w:hint="eastAsia" w:ascii="宋体" w:hAnsi="宋体"/>
                <w:szCs w:val="21"/>
              </w:rPr>
              <w:t>合计报价</w:t>
            </w:r>
          </w:p>
          <w:p>
            <w:pPr>
              <w:adjustRightInd w:val="0"/>
              <w:snapToGrid w:val="0"/>
              <w:spacing w:line="240" w:lineRule="exact"/>
              <w:jc w:val="center"/>
              <w:rPr>
                <w:rFonts w:hint="eastAsia" w:ascii="宋体" w:hAnsi="宋体"/>
                <w:szCs w:val="21"/>
              </w:rPr>
            </w:pPr>
            <w:r>
              <w:rPr>
                <w:rFonts w:hint="eastAsia" w:ascii="宋体" w:hAnsi="宋体"/>
                <w:szCs w:val="21"/>
              </w:rPr>
              <w:t>（大写）</w:t>
            </w:r>
          </w:p>
        </w:tc>
        <w:tc>
          <w:tcPr>
            <w:tcW w:w="5826" w:type="dxa"/>
            <w:gridSpan w:val="6"/>
            <w:noWrap w:val="0"/>
            <w:vAlign w:val="top"/>
          </w:tcPr>
          <w:p>
            <w:pPr>
              <w:adjustRightInd w:val="0"/>
              <w:snapToGrid w:val="0"/>
              <w:spacing w:line="360" w:lineRule="auto"/>
              <w:jc w:val="center"/>
              <w:rPr>
                <w:rFonts w:hint="eastAsia" w:ascii="宋体" w:hAnsi="宋体"/>
                <w:szCs w:val="21"/>
              </w:rPr>
            </w:pPr>
          </w:p>
        </w:tc>
        <w:tc>
          <w:tcPr>
            <w:tcW w:w="1792" w:type="dxa"/>
            <w:gridSpan w:val="2"/>
            <w:noWrap w:val="0"/>
            <w:vAlign w:val="center"/>
          </w:tcPr>
          <w:p>
            <w:pPr>
              <w:adjustRightInd w:val="0"/>
              <w:snapToGrid w:val="0"/>
              <w:spacing w:line="240" w:lineRule="exact"/>
              <w:rPr>
                <w:rFonts w:hint="eastAsia" w:ascii="宋体" w:hAnsi="宋体"/>
                <w:szCs w:val="21"/>
              </w:rPr>
            </w:pPr>
            <w:r>
              <w:rPr>
                <w:rFonts w:hint="eastAsia" w:ascii="宋体" w:hAnsi="宋体"/>
                <w:szCs w:val="21"/>
              </w:rPr>
              <w:t>￥</w:t>
            </w:r>
          </w:p>
        </w:tc>
      </w:tr>
    </w:tbl>
    <w:p>
      <w:pPr>
        <w:pStyle w:val="32"/>
        <w:rPr>
          <w:rFonts w:hint="eastAsia" w:ascii="宋体" w:hAnsi="宋体" w:eastAsia="宋体" w:cs="宋体"/>
          <w:sz w:val="28"/>
          <w:szCs w:val="28"/>
          <w:lang w:val="zh-CN"/>
        </w:rPr>
      </w:pPr>
    </w:p>
    <w:p>
      <w:pPr>
        <w:pStyle w:val="32"/>
        <w:rPr>
          <w:rFonts w:hint="eastAsia" w:ascii="宋体" w:hAnsi="宋体" w:eastAsia="宋体" w:cs="宋体"/>
          <w:sz w:val="28"/>
          <w:szCs w:val="28"/>
          <w:lang w:val="zh-CN"/>
        </w:rPr>
      </w:pPr>
    </w:p>
    <w:p>
      <w:pPr>
        <w:pStyle w:val="32"/>
        <w:rPr>
          <w:rFonts w:hint="eastAsia" w:ascii="宋体" w:hAnsi="宋体" w:eastAsia="宋体" w:cs="宋体"/>
          <w:sz w:val="28"/>
          <w:szCs w:val="28"/>
          <w:lang w:val="zh-CN"/>
        </w:rPr>
      </w:pPr>
    </w:p>
    <w:p>
      <w:pPr>
        <w:pStyle w:val="32"/>
        <w:rPr>
          <w:rFonts w:hint="eastAsia" w:ascii="宋体" w:hAnsi="宋体" w:eastAsia="宋体" w:cs="宋体"/>
          <w:sz w:val="28"/>
          <w:szCs w:val="28"/>
          <w:lang w:val="zh-CN"/>
        </w:rPr>
      </w:pPr>
    </w:p>
    <w:p>
      <w:pPr>
        <w:pStyle w:val="32"/>
        <w:rPr>
          <w:rFonts w:hint="eastAsia" w:ascii="宋体" w:hAnsi="宋体" w:eastAsia="宋体" w:cs="宋体"/>
          <w:sz w:val="28"/>
          <w:szCs w:val="28"/>
          <w:lang w:val="zh-CN"/>
        </w:rPr>
      </w:pPr>
    </w:p>
    <w:p>
      <w:pPr>
        <w:pStyle w:val="32"/>
        <w:rPr>
          <w:rFonts w:hint="eastAsia" w:ascii="宋体" w:hAnsi="宋体" w:eastAsia="宋体" w:cs="宋体"/>
          <w:sz w:val="28"/>
          <w:szCs w:val="28"/>
          <w:lang w:val="zh-CN"/>
        </w:rPr>
      </w:pPr>
    </w:p>
    <w:p>
      <w:pPr>
        <w:autoSpaceDE w:val="0"/>
        <w:autoSpaceDN w:val="0"/>
        <w:adjustRightInd w:val="0"/>
        <w:snapToGrid w:val="0"/>
        <w:spacing w:line="360" w:lineRule="auto"/>
        <w:ind w:firstLine="1260" w:firstLineChars="450"/>
        <w:rPr>
          <w:rFonts w:hint="eastAsia" w:ascii="宋体" w:hAnsi="宋体" w:eastAsia="宋体" w:cs="宋体"/>
          <w:sz w:val="28"/>
          <w:szCs w:val="28"/>
          <w:lang w:val="zh-CN"/>
        </w:rPr>
      </w:pPr>
      <w:r>
        <w:rPr>
          <w:rFonts w:hint="eastAsia" w:ascii="宋体" w:hAnsi="宋体" w:eastAsia="宋体" w:cs="宋体"/>
          <w:sz w:val="28"/>
          <w:szCs w:val="28"/>
          <w:lang w:val="zh-CN"/>
        </w:rPr>
        <w:t>供应商</w:t>
      </w:r>
      <w:r>
        <w:rPr>
          <w:rFonts w:hint="eastAsia" w:ascii="宋体" w:hAnsi="宋体" w:eastAsia="宋体" w:cs="宋体"/>
          <w:sz w:val="28"/>
          <w:szCs w:val="28"/>
        </w:rPr>
        <w:t xml:space="preserve">                  </w:t>
      </w:r>
      <w:r>
        <w:rPr>
          <w:rFonts w:hint="eastAsia" w:ascii="宋体" w:hAnsi="宋体" w:eastAsia="宋体" w:cs="宋体"/>
          <w:sz w:val="28"/>
          <w:szCs w:val="28"/>
          <w:lang w:val="zh-CN"/>
        </w:rPr>
        <w:t>法定代表人</w:t>
      </w:r>
      <w:r>
        <w:rPr>
          <w:rFonts w:hint="eastAsia" w:ascii="宋体" w:hAnsi="宋体" w:eastAsia="宋体" w:cs="宋体"/>
          <w:sz w:val="28"/>
          <w:szCs w:val="28"/>
        </w:rPr>
        <w:t>或</w:t>
      </w:r>
      <w:r>
        <w:rPr>
          <w:rFonts w:hint="eastAsia" w:ascii="宋体" w:hAnsi="宋体" w:eastAsia="宋体" w:cs="宋体"/>
          <w:sz w:val="28"/>
          <w:szCs w:val="28"/>
          <w:lang w:val="zh-CN"/>
        </w:rPr>
        <w:t>授权代表</w:t>
      </w:r>
    </w:p>
    <w:p>
      <w:pPr>
        <w:autoSpaceDE w:val="0"/>
        <w:autoSpaceDN w:val="0"/>
        <w:adjustRightInd w:val="0"/>
        <w:snapToGrid w:val="0"/>
        <w:spacing w:line="360" w:lineRule="auto"/>
        <w:ind w:firstLine="1120" w:firstLineChars="400"/>
        <w:rPr>
          <w:rFonts w:hint="eastAsia" w:ascii="宋体" w:hAnsi="宋体" w:eastAsia="宋体" w:cs="宋体"/>
          <w:sz w:val="28"/>
          <w:szCs w:val="28"/>
          <w:lang w:val="zh-CN"/>
        </w:rPr>
      </w:pPr>
      <w:r>
        <w:rPr>
          <w:rFonts w:hint="eastAsia" w:ascii="宋体" w:hAnsi="宋体" w:eastAsia="宋体" w:cs="宋体"/>
          <w:sz w:val="28"/>
          <w:szCs w:val="28"/>
          <w:lang w:val="zh-CN"/>
        </w:rPr>
        <w:t>（公章）：                  （签字或盖章）：</w:t>
      </w:r>
    </w:p>
    <w:p>
      <w:pPr>
        <w:autoSpaceDE w:val="0"/>
        <w:autoSpaceDN w:val="0"/>
        <w:adjustRightInd w:val="0"/>
        <w:snapToGrid w:val="0"/>
        <w:spacing w:line="360" w:lineRule="auto"/>
        <w:rPr>
          <w:rFonts w:hint="eastAsia" w:ascii="宋体" w:hAnsi="宋体" w:eastAsia="宋体" w:cs="宋体"/>
          <w:sz w:val="28"/>
          <w:szCs w:val="28"/>
          <w:lang w:val="zh-CN"/>
        </w:rPr>
      </w:pPr>
    </w:p>
    <w:p>
      <w:pPr>
        <w:autoSpaceDE w:val="0"/>
        <w:autoSpaceDN w:val="0"/>
        <w:adjustRightInd w:val="0"/>
        <w:snapToGrid w:val="0"/>
        <w:spacing w:line="360" w:lineRule="auto"/>
        <w:ind w:left="645"/>
        <w:jc w:val="center"/>
        <w:rPr>
          <w:rFonts w:hint="eastAsia" w:ascii="宋体" w:hAnsi="宋体" w:eastAsia="宋体" w:cs="宋体"/>
          <w:b/>
          <w:sz w:val="32"/>
          <w:szCs w:val="32"/>
        </w:rPr>
      </w:pPr>
      <w:r>
        <w:rPr>
          <w:rFonts w:hint="eastAsia" w:ascii="宋体" w:hAnsi="宋体" w:eastAsia="宋体" w:cs="宋体"/>
          <w:sz w:val="28"/>
          <w:szCs w:val="28"/>
          <w:lang w:val="zh-CN"/>
        </w:rPr>
        <w:t xml:space="preserve">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 xml:space="preserve">年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月</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日</w:t>
      </w:r>
      <w:bookmarkStart w:id="32" w:name="_Toc515647821"/>
      <w:bookmarkStart w:id="33" w:name="_Toc532473510"/>
      <w:bookmarkStart w:id="34" w:name="_Toc20660415"/>
      <w:bookmarkStart w:id="35" w:name="_Toc1980"/>
      <w:bookmarkStart w:id="36" w:name="_Toc23"/>
      <w:bookmarkStart w:id="37" w:name="_Toc216582818"/>
      <w:r>
        <w:rPr>
          <w:rFonts w:hint="eastAsia" w:ascii="宋体" w:hAnsi="宋体" w:eastAsia="宋体" w:cs="宋体"/>
          <w:sz w:val="24"/>
        </w:rPr>
        <w:br w:type="page"/>
      </w:r>
      <w:r>
        <w:rPr>
          <w:rFonts w:hint="eastAsia" w:ascii="宋体" w:hAnsi="宋体" w:eastAsia="宋体" w:cs="宋体"/>
          <w:b/>
          <w:sz w:val="32"/>
          <w:szCs w:val="32"/>
        </w:rPr>
        <w:t>商务条款偏离表</w:t>
      </w:r>
      <w:bookmarkEnd w:id="32"/>
      <w:bookmarkEnd w:id="33"/>
      <w:bookmarkEnd w:id="34"/>
      <w:bookmarkEnd w:id="35"/>
      <w:bookmarkEnd w:id="36"/>
      <w:bookmarkEnd w:id="37"/>
    </w:p>
    <w:p>
      <w:pPr>
        <w:pStyle w:val="11"/>
        <w:spacing w:line="360" w:lineRule="auto"/>
        <w:ind w:left="1080" w:leftChars="257" w:hanging="540"/>
        <w:jc w:val="right"/>
        <w:rPr>
          <w:rFonts w:hint="eastAsia" w:ascii="宋体" w:hAnsi="宋体" w:eastAsia="宋体" w:cs="宋体"/>
          <w:sz w:val="28"/>
          <w:szCs w:val="28"/>
        </w:rPr>
      </w:pPr>
    </w:p>
    <w:tbl>
      <w:tblPr>
        <w:tblStyle w:val="15"/>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2040"/>
        <w:gridCol w:w="2520"/>
        <w:gridCol w:w="1792"/>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jc w:val="center"/>
              <w:rPr>
                <w:rFonts w:hint="eastAsia" w:ascii="宋体" w:hAnsi="宋体" w:eastAsia="宋体" w:cs="宋体"/>
                <w:sz w:val="28"/>
                <w:szCs w:val="28"/>
              </w:rPr>
            </w:pPr>
            <w:r>
              <w:rPr>
                <w:rFonts w:hint="eastAsia" w:ascii="宋体" w:hAnsi="宋体" w:eastAsia="宋体" w:cs="宋体"/>
                <w:sz w:val="28"/>
                <w:szCs w:val="28"/>
              </w:rPr>
              <w:t>序号</w:t>
            </w:r>
          </w:p>
        </w:tc>
        <w:tc>
          <w:tcPr>
            <w:tcW w:w="2040" w:type="dxa"/>
            <w:noWrap w:val="0"/>
            <w:vAlign w:val="top"/>
          </w:tcPr>
          <w:p>
            <w:pPr>
              <w:pStyle w:val="11"/>
              <w:spacing w:line="360" w:lineRule="auto"/>
              <w:jc w:val="center"/>
              <w:rPr>
                <w:rFonts w:hint="eastAsia" w:ascii="宋体" w:hAnsi="宋体" w:eastAsia="宋体" w:cs="宋体"/>
                <w:sz w:val="28"/>
                <w:szCs w:val="28"/>
              </w:rPr>
            </w:pPr>
            <w:r>
              <w:rPr>
                <w:rFonts w:hint="eastAsia" w:ascii="宋体" w:hAnsi="宋体" w:eastAsia="宋体" w:cs="宋体"/>
                <w:sz w:val="28"/>
                <w:szCs w:val="28"/>
              </w:rPr>
              <w:t>磋商文件要求</w:t>
            </w:r>
          </w:p>
        </w:tc>
        <w:tc>
          <w:tcPr>
            <w:tcW w:w="2520" w:type="dxa"/>
            <w:noWrap w:val="0"/>
            <w:vAlign w:val="top"/>
          </w:tcPr>
          <w:p>
            <w:pPr>
              <w:pStyle w:val="11"/>
              <w:spacing w:line="360" w:lineRule="auto"/>
              <w:jc w:val="center"/>
              <w:rPr>
                <w:rFonts w:hint="eastAsia" w:ascii="宋体" w:hAnsi="宋体" w:eastAsia="宋体" w:cs="宋体"/>
                <w:sz w:val="28"/>
                <w:szCs w:val="28"/>
              </w:rPr>
            </w:pPr>
            <w:r>
              <w:rPr>
                <w:rFonts w:hint="eastAsia" w:ascii="宋体" w:hAnsi="宋体" w:eastAsia="宋体" w:cs="宋体"/>
                <w:sz w:val="28"/>
                <w:szCs w:val="28"/>
              </w:rPr>
              <w:t>响应内容</w:t>
            </w:r>
          </w:p>
        </w:tc>
        <w:tc>
          <w:tcPr>
            <w:tcW w:w="1792" w:type="dxa"/>
            <w:noWrap w:val="0"/>
            <w:vAlign w:val="top"/>
          </w:tcPr>
          <w:p>
            <w:pPr>
              <w:pStyle w:val="11"/>
              <w:spacing w:line="360" w:lineRule="auto"/>
              <w:jc w:val="center"/>
              <w:rPr>
                <w:rFonts w:hint="eastAsia" w:ascii="宋体" w:hAnsi="宋体" w:eastAsia="宋体" w:cs="宋体"/>
                <w:sz w:val="28"/>
                <w:szCs w:val="28"/>
              </w:rPr>
            </w:pPr>
            <w:r>
              <w:rPr>
                <w:rFonts w:hint="eastAsia" w:ascii="宋体" w:hAnsi="宋体" w:eastAsia="宋体" w:cs="宋体"/>
                <w:sz w:val="28"/>
                <w:szCs w:val="28"/>
              </w:rPr>
              <w:t>偏离</w:t>
            </w:r>
          </w:p>
        </w:tc>
        <w:tc>
          <w:tcPr>
            <w:tcW w:w="1628" w:type="dxa"/>
            <w:noWrap w:val="0"/>
            <w:vAlign w:val="top"/>
          </w:tcPr>
          <w:p>
            <w:pPr>
              <w:pStyle w:val="11"/>
              <w:spacing w:line="360" w:lineRule="auto"/>
              <w:jc w:val="center"/>
              <w:rPr>
                <w:rFonts w:hint="eastAsia" w:ascii="宋体" w:hAnsi="宋体" w:eastAsia="宋体" w:cs="宋体"/>
                <w:sz w:val="28"/>
                <w:szCs w:val="28"/>
              </w:rPr>
            </w:pPr>
            <w:r>
              <w:rPr>
                <w:rFonts w:hint="eastAsia" w:ascii="宋体" w:hAnsi="宋体" w:eastAsia="宋体" w:cs="宋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jc w:val="center"/>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jc w:val="center"/>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48"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04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2520"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792" w:type="dxa"/>
            <w:noWrap w:val="0"/>
            <w:vAlign w:val="top"/>
          </w:tcPr>
          <w:p>
            <w:pPr>
              <w:pStyle w:val="11"/>
              <w:spacing w:line="360" w:lineRule="auto"/>
              <w:ind w:left="1080" w:leftChars="257" w:hanging="540"/>
              <w:rPr>
                <w:rFonts w:hint="eastAsia" w:ascii="宋体" w:hAnsi="宋体" w:eastAsia="宋体" w:cs="宋体"/>
                <w:sz w:val="28"/>
                <w:szCs w:val="28"/>
              </w:rPr>
            </w:pPr>
          </w:p>
        </w:tc>
        <w:tc>
          <w:tcPr>
            <w:tcW w:w="1628" w:type="dxa"/>
            <w:noWrap w:val="0"/>
            <w:vAlign w:val="top"/>
          </w:tcPr>
          <w:p>
            <w:pPr>
              <w:pStyle w:val="11"/>
              <w:spacing w:line="360" w:lineRule="auto"/>
              <w:ind w:left="1080" w:leftChars="257" w:hanging="540"/>
              <w:rPr>
                <w:rFonts w:hint="eastAsia" w:ascii="宋体" w:hAnsi="宋体" w:eastAsia="宋体" w:cs="宋体"/>
                <w:sz w:val="28"/>
                <w:szCs w:val="28"/>
              </w:rPr>
            </w:pPr>
          </w:p>
        </w:tc>
      </w:tr>
    </w:tbl>
    <w:p>
      <w:pPr>
        <w:spacing w:line="400" w:lineRule="exact"/>
        <w:ind w:left="141" w:leftChars="67" w:firstLine="676" w:firstLineChars="282"/>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注：</w:t>
      </w:r>
      <w:r>
        <w:rPr>
          <w:rFonts w:hint="eastAsia" w:ascii="宋体" w:hAnsi="宋体" w:eastAsia="宋体" w:cs="宋体"/>
          <w:color w:val="auto"/>
          <w:sz w:val="24"/>
          <w:szCs w:val="24"/>
        </w:rPr>
        <w:t>1.本表只填写响应文件中与磋商文件有偏离的内容，响应文件中商务响应与磋商文件要求完全一致的，不用在此表中列出，但必须提交空白表。如不提供此表，则视为供应商不满足磋商文件所有的商务条款要求，按无效响应文件处理。</w:t>
      </w:r>
    </w:p>
    <w:p>
      <w:pPr>
        <w:spacing w:line="400" w:lineRule="exact"/>
        <w:ind w:left="141" w:leftChars="67"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 xml:space="preserve">2.供应商必须据实填写，不得虚假响应，否则将取消其磋商或成交资格。 </w:t>
      </w:r>
    </w:p>
    <w:p>
      <w:pPr>
        <w:pStyle w:val="11"/>
        <w:spacing w:line="360" w:lineRule="auto"/>
        <w:ind w:left="1080" w:leftChars="257" w:hanging="540"/>
        <w:rPr>
          <w:rFonts w:hint="eastAsia" w:ascii="宋体" w:hAnsi="宋体" w:eastAsia="宋体" w:cs="宋体"/>
          <w:sz w:val="28"/>
          <w:szCs w:val="28"/>
        </w:rPr>
      </w:pPr>
    </w:p>
    <w:p>
      <w:pPr>
        <w:pStyle w:val="11"/>
        <w:tabs>
          <w:tab w:val="left" w:pos="5370"/>
        </w:tabs>
        <w:spacing w:line="360" w:lineRule="auto"/>
        <w:ind w:left="1080" w:leftChars="257" w:hanging="540"/>
        <w:rPr>
          <w:rFonts w:hint="eastAsia" w:ascii="宋体" w:hAnsi="宋体" w:eastAsia="宋体" w:cs="宋体"/>
          <w:sz w:val="28"/>
          <w:szCs w:val="28"/>
        </w:rPr>
      </w:pPr>
    </w:p>
    <w:p>
      <w:pPr>
        <w:pStyle w:val="11"/>
        <w:tabs>
          <w:tab w:val="left" w:pos="5370"/>
        </w:tabs>
        <w:spacing w:line="360" w:lineRule="auto"/>
        <w:ind w:left="1080" w:leftChars="257" w:hanging="540"/>
        <w:rPr>
          <w:rFonts w:hint="eastAsia" w:ascii="宋体" w:hAnsi="宋体" w:eastAsia="宋体" w:cs="宋体"/>
          <w:sz w:val="28"/>
          <w:szCs w:val="28"/>
        </w:rPr>
      </w:pPr>
    </w:p>
    <w:p>
      <w:pPr>
        <w:pStyle w:val="11"/>
        <w:tabs>
          <w:tab w:val="left" w:pos="5370"/>
        </w:tabs>
        <w:spacing w:line="360" w:lineRule="auto"/>
        <w:ind w:left="1080" w:leftChars="257" w:hanging="540"/>
        <w:rPr>
          <w:rFonts w:hint="eastAsia" w:ascii="宋体" w:hAnsi="宋体" w:eastAsia="宋体" w:cs="宋体"/>
          <w:sz w:val="28"/>
          <w:szCs w:val="28"/>
        </w:rPr>
      </w:pPr>
    </w:p>
    <w:p>
      <w:pPr>
        <w:pStyle w:val="11"/>
        <w:tabs>
          <w:tab w:val="left" w:pos="5370"/>
        </w:tabs>
        <w:spacing w:line="360" w:lineRule="auto"/>
        <w:ind w:left="1080" w:leftChars="257" w:hanging="540"/>
        <w:rPr>
          <w:rFonts w:hint="eastAsia" w:ascii="宋体" w:hAnsi="宋体" w:eastAsia="宋体" w:cs="宋体"/>
          <w:sz w:val="28"/>
          <w:szCs w:val="28"/>
          <w:u w:val="single"/>
        </w:rPr>
      </w:pPr>
      <w:r>
        <w:rPr>
          <w:rFonts w:hint="eastAsia" w:ascii="宋体" w:hAnsi="宋体" w:eastAsia="宋体" w:cs="宋体"/>
          <w:sz w:val="28"/>
          <w:szCs w:val="28"/>
        </w:rPr>
        <w:t>供应商(盖章):</w:t>
      </w:r>
      <w:r>
        <w:rPr>
          <w:rFonts w:hint="eastAsia" w:ascii="宋体" w:hAnsi="宋体" w:eastAsia="宋体" w:cs="宋体"/>
          <w:sz w:val="28"/>
          <w:szCs w:val="28"/>
          <w:u w:val="single"/>
        </w:rPr>
        <w:tab/>
      </w:r>
    </w:p>
    <w:p>
      <w:pPr>
        <w:pStyle w:val="11"/>
        <w:spacing w:line="360" w:lineRule="auto"/>
        <w:ind w:left="1080" w:leftChars="257" w:hanging="540"/>
        <w:rPr>
          <w:rFonts w:hint="eastAsia" w:ascii="宋体" w:hAnsi="宋体" w:eastAsia="宋体" w:cs="宋体"/>
          <w:sz w:val="28"/>
          <w:szCs w:val="28"/>
        </w:rPr>
      </w:pPr>
      <w:r>
        <w:rPr>
          <w:rFonts w:hint="eastAsia" w:ascii="宋体" w:hAnsi="宋体" w:eastAsia="宋体" w:cs="宋体"/>
          <w:sz w:val="28"/>
          <w:szCs w:val="28"/>
        </w:rPr>
        <w:t>法定代表人或授权代表（签字或盖章）:</w:t>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p>
    <w:p>
      <w:pPr>
        <w:pStyle w:val="11"/>
        <w:spacing w:line="360" w:lineRule="auto"/>
        <w:ind w:left="1080" w:leftChars="257" w:hanging="540"/>
        <w:rPr>
          <w:rFonts w:hint="eastAsia" w:ascii="宋体" w:hAnsi="宋体" w:eastAsia="宋体" w:cs="宋体"/>
          <w:sz w:val="24"/>
        </w:rPr>
      </w:pPr>
    </w:p>
    <w:p>
      <w:pPr>
        <w:autoSpaceDE w:val="0"/>
        <w:autoSpaceDN w:val="0"/>
        <w:adjustRightInd w:val="0"/>
        <w:snapToGrid w:val="0"/>
        <w:spacing w:line="360" w:lineRule="auto"/>
        <w:jc w:val="center"/>
        <w:rPr>
          <w:rFonts w:hint="eastAsia" w:ascii="宋体" w:hAnsi="宋体" w:eastAsia="宋体" w:cs="宋体"/>
          <w:b/>
          <w:sz w:val="32"/>
          <w:szCs w:val="32"/>
        </w:rPr>
      </w:pPr>
      <w:bookmarkStart w:id="38" w:name="_Toc20660414"/>
      <w:bookmarkStart w:id="39" w:name="_Toc216582817"/>
      <w:bookmarkStart w:id="40" w:name="_Toc515647820"/>
      <w:bookmarkStart w:id="41" w:name="_Toc28959"/>
      <w:bookmarkStart w:id="42" w:name="_Toc532473509"/>
      <w:bookmarkStart w:id="43" w:name="_Toc22563"/>
      <w:r>
        <w:rPr>
          <w:rFonts w:hint="eastAsia" w:ascii="宋体" w:hAnsi="宋体" w:eastAsia="宋体" w:cs="宋体"/>
          <w:sz w:val="24"/>
        </w:rPr>
        <w:br w:type="page"/>
      </w:r>
      <w:r>
        <w:rPr>
          <w:rFonts w:hint="eastAsia" w:ascii="宋体" w:hAnsi="宋体" w:eastAsia="宋体" w:cs="宋体"/>
          <w:b/>
          <w:sz w:val="32"/>
          <w:szCs w:val="32"/>
        </w:rPr>
        <w:t>技术偏离表</w:t>
      </w:r>
      <w:bookmarkEnd w:id="38"/>
      <w:bookmarkEnd w:id="39"/>
    </w:p>
    <w:bookmarkEnd w:id="40"/>
    <w:bookmarkEnd w:id="41"/>
    <w:bookmarkEnd w:id="42"/>
    <w:bookmarkEnd w:id="43"/>
    <w:p>
      <w:pPr>
        <w:pStyle w:val="11"/>
        <w:spacing w:line="360" w:lineRule="auto"/>
        <w:jc w:val="right"/>
        <w:rPr>
          <w:rFonts w:hint="eastAsia" w:ascii="宋体" w:hAnsi="宋体" w:eastAsia="宋体" w:cs="宋体"/>
          <w:sz w:val="28"/>
          <w:szCs w:val="28"/>
        </w:rPr>
      </w:pPr>
    </w:p>
    <w:tbl>
      <w:tblPr>
        <w:tblStyle w:val="15"/>
        <w:tblW w:w="89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72"/>
        <w:gridCol w:w="813"/>
        <w:gridCol w:w="1775"/>
        <w:gridCol w:w="1469"/>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center"/>
          </w:tcPr>
          <w:p>
            <w:pPr>
              <w:pStyle w:val="11"/>
              <w:spacing w:line="360" w:lineRule="auto"/>
              <w:ind w:left="-31" w:leftChars="-15"/>
              <w:jc w:val="center"/>
              <w:rPr>
                <w:rFonts w:hint="eastAsia" w:ascii="宋体" w:hAnsi="宋体" w:eastAsia="宋体" w:cs="宋体"/>
                <w:sz w:val="28"/>
                <w:szCs w:val="28"/>
              </w:rPr>
            </w:pPr>
            <w:r>
              <w:rPr>
                <w:rFonts w:hint="eastAsia" w:ascii="宋体" w:hAnsi="宋体" w:eastAsia="宋体" w:cs="宋体"/>
                <w:sz w:val="28"/>
                <w:szCs w:val="28"/>
              </w:rPr>
              <w:t>序号</w:t>
            </w:r>
          </w:p>
        </w:tc>
        <w:tc>
          <w:tcPr>
            <w:tcW w:w="2272" w:type="dxa"/>
            <w:noWrap w:val="0"/>
            <w:vAlign w:val="center"/>
          </w:tcPr>
          <w:p>
            <w:pPr>
              <w:pStyle w:val="11"/>
              <w:spacing w:line="360" w:lineRule="auto"/>
              <w:ind w:left="-149" w:leftChars="-71"/>
              <w:jc w:val="center"/>
              <w:rPr>
                <w:rFonts w:hint="eastAsia" w:ascii="宋体" w:hAnsi="宋体" w:eastAsia="宋体" w:cs="宋体"/>
                <w:sz w:val="28"/>
                <w:szCs w:val="28"/>
              </w:rPr>
            </w:pPr>
            <w:r>
              <w:rPr>
                <w:rFonts w:hint="eastAsia" w:ascii="宋体" w:hAnsi="宋体" w:eastAsia="宋体" w:cs="宋体"/>
                <w:sz w:val="28"/>
                <w:szCs w:val="28"/>
              </w:rPr>
              <w:t>服务内容</w:t>
            </w:r>
          </w:p>
        </w:tc>
        <w:tc>
          <w:tcPr>
            <w:tcW w:w="813" w:type="dxa"/>
            <w:noWrap w:val="0"/>
            <w:vAlign w:val="center"/>
          </w:tcPr>
          <w:p>
            <w:pPr>
              <w:pStyle w:val="11"/>
              <w:spacing w:line="360" w:lineRule="auto"/>
              <w:ind w:left="-107" w:leftChars="-51"/>
              <w:jc w:val="center"/>
              <w:rPr>
                <w:rFonts w:hint="eastAsia" w:ascii="宋体" w:hAnsi="宋体" w:eastAsia="宋体" w:cs="宋体"/>
                <w:sz w:val="28"/>
                <w:szCs w:val="28"/>
              </w:rPr>
            </w:pPr>
            <w:r>
              <w:rPr>
                <w:rFonts w:hint="eastAsia" w:ascii="宋体" w:hAnsi="宋体" w:eastAsia="宋体" w:cs="宋体"/>
                <w:sz w:val="28"/>
                <w:szCs w:val="28"/>
              </w:rPr>
              <w:t>数量</w:t>
            </w:r>
          </w:p>
        </w:tc>
        <w:tc>
          <w:tcPr>
            <w:tcW w:w="1775" w:type="dxa"/>
            <w:noWrap w:val="0"/>
            <w:vAlign w:val="center"/>
          </w:tcPr>
          <w:p>
            <w:pPr>
              <w:pStyle w:val="11"/>
              <w:spacing w:line="360" w:lineRule="auto"/>
              <w:ind w:left="-206" w:leftChars="-98" w:right="-166" w:rightChars="-79"/>
              <w:jc w:val="center"/>
              <w:rPr>
                <w:rFonts w:hint="eastAsia" w:ascii="宋体" w:hAnsi="宋体" w:eastAsia="宋体" w:cs="宋体"/>
                <w:sz w:val="28"/>
                <w:szCs w:val="28"/>
              </w:rPr>
            </w:pPr>
            <w:r>
              <w:rPr>
                <w:rFonts w:hint="eastAsia" w:ascii="宋体" w:hAnsi="宋体" w:eastAsia="宋体" w:cs="宋体"/>
                <w:sz w:val="28"/>
                <w:szCs w:val="28"/>
              </w:rPr>
              <w:t>磋商文件要求</w:t>
            </w:r>
          </w:p>
        </w:tc>
        <w:tc>
          <w:tcPr>
            <w:tcW w:w="1469" w:type="dxa"/>
            <w:noWrap w:val="0"/>
            <w:vAlign w:val="center"/>
          </w:tcPr>
          <w:p>
            <w:pPr>
              <w:pStyle w:val="11"/>
              <w:spacing w:line="360" w:lineRule="auto"/>
              <w:ind w:left="-48" w:leftChars="-23"/>
              <w:jc w:val="center"/>
              <w:rPr>
                <w:rFonts w:hint="eastAsia" w:ascii="宋体" w:hAnsi="宋体" w:eastAsia="宋体" w:cs="宋体"/>
                <w:sz w:val="28"/>
                <w:szCs w:val="28"/>
              </w:rPr>
            </w:pPr>
            <w:r>
              <w:rPr>
                <w:rFonts w:hint="eastAsia" w:ascii="宋体" w:hAnsi="宋体" w:eastAsia="宋体" w:cs="宋体"/>
                <w:sz w:val="28"/>
                <w:szCs w:val="28"/>
              </w:rPr>
              <w:t>响应内容</w:t>
            </w:r>
          </w:p>
        </w:tc>
        <w:tc>
          <w:tcPr>
            <w:tcW w:w="900" w:type="dxa"/>
            <w:noWrap w:val="0"/>
            <w:vAlign w:val="center"/>
          </w:tcPr>
          <w:p>
            <w:pPr>
              <w:pStyle w:val="11"/>
              <w:spacing w:line="360" w:lineRule="auto"/>
              <w:ind w:left="-34" w:leftChars="-16"/>
              <w:jc w:val="center"/>
              <w:rPr>
                <w:rFonts w:hint="eastAsia" w:ascii="宋体" w:hAnsi="宋体" w:eastAsia="宋体" w:cs="宋体"/>
                <w:sz w:val="28"/>
                <w:szCs w:val="28"/>
              </w:rPr>
            </w:pPr>
            <w:r>
              <w:rPr>
                <w:rFonts w:hint="eastAsia" w:ascii="宋体" w:hAnsi="宋体" w:eastAsia="宋体" w:cs="宋体"/>
                <w:sz w:val="28"/>
                <w:szCs w:val="28"/>
              </w:rPr>
              <w:t>偏离</w:t>
            </w:r>
          </w:p>
        </w:tc>
        <w:tc>
          <w:tcPr>
            <w:tcW w:w="900" w:type="dxa"/>
            <w:noWrap w:val="0"/>
            <w:vAlign w:val="center"/>
          </w:tcPr>
          <w:p>
            <w:pPr>
              <w:pStyle w:val="11"/>
              <w:spacing w:line="360" w:lineRule="auto"/>
              <w:ind w:left="-82" w:leftChars="-39"/>
              <w:jc w:val="center"/>
              <w:rPr>
                <w:rFonts w:hint="eastAsia" w:ascii="宋体" w:hAnsi="宋体" w:eastAsia="宋体" w:cs="宋体"/>
                <w:sz w:val="28"/>
                <w:szCs w:val="28"/>
              </w:rPr>
            </w:pPr>
            <w:r>
              <w:rPr>
                <w:rFonts w:hint="eastAsia" w:ascii="宋体" w:hAnsi="宋体" w:eastAsia="宋体" w:cs="宋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28" w:type="dxa"/>
            <w:noWrap w:val="0"/>
            <w:vAlign w:val="top"/>
          </w:tcPr>
          <w:p>
            <w:pPr>
              <w:pStyle w:val="11"/>
              <w:spacing w:line="360" w:lineRule="auto"/>
              <w:ind w:left="1080" w:leftChars="257" w:hanging="540"/>
              <w:rPr>
                <w:rFonts w:hint="eastAsia" w:ascii="宋体" w:hAnsi="宋体" w:eastAsia="宋体" w:cs="宋体"/>
                <w:sz w:val="24"/>
              </w:rPr>
            </w:pPr>
          </w:p>
        </w:tc>
        <w:tc>
          <w:tcPr>
            <w:tcW w:w="2272" w:type="dxa"/>
            <w:noWrap w:val="0"/>
            <w:vAlign w:val="top"/>
          </w:tcPr>
          <w:p>
            <w:pPr>
              <w:pStyle w:val="11"/>
              <w:spacing w:line="360" w:lineRule="auto"/>
              <w:ind w:left="1080" w:leftChars="257" w:hanging="540"/>
              <w:rPr>
                <w:rFonts w:hint="eastAsia" w:ascii="宋体" w:hAnsi="宋体" w:eastAsia="宋体" w:cs="宋体"/>
                <w:sz w:val="24"/>
              </w:rPr>
            </w:pPr>
          </w:p>
        </w:tc>
        <w:tc>
          <w:tcPr>
            <w:tcW w:w="813" w:type="dxa"/>
            <w:noWrap w:val="0"/>
            <w:vAlign w:val="top"/>
          </w:tcPr>
          <w:p>
            <w:pPr>
              <w:pStyle w:val="11"/>
              <w:spacing w:line="360" w:lineRule="auto"/>
              <w:ind w:left="1080" w:leftChars="257" w:hanging="540"/>
              <w:rPr>
                <w:rFonts w:hint="eastAsia" w:ascii="宋体" w:hAnsi="宋体" w:eastAsia="宋体" w:cs="宋体"/>
                <w:sz w:val="24"/>
              </w:rPr>
            </w:pPr>
          </w:p>
        </w:tc>
        <w:tc>
          <w:tcPr>
            <w:tcW w:w="1775" w:type="dxa"/>
            <w:noWrap w:val="0"/>
            <w:vAlign w:val="top"/>
          </w:tcPr>
          <w:p>
            <w:pPr>
              <w:pStyle w:val="11"/>
              <w:spacing w:line="360" w:lineRule="auto"/>
              <w:ind w:left="1080" w:leftChars="257" w:hanging="540"/>
              <w:rPr>
                <w:rFonts w:hint="eastAsia" w:ascii="宋体" w:hAnsi="宋体" w:eastAsia="宋体" w:cs="宋体"/>
                <w:sz w:val="24"/>
              </w:rPr>
            </w:pPr>
          </w:p>
        </w:tc>
        <w:tc>
          <w:tcPr>
            <w:tcW w:w="1469"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c>
          <w:tcPr>
            <w:tcW w:w="900" w:type="dxa"/>
            <w:noWrap w:val="0"/>
            <w:vAlign w:val="top"/>
          </w:tcPr>
          <w:p>
            <w:pPr>
              <w:pStyle w:val="11"/>
              <w:spacing w:line="360" w:lineRule="auto"/>
              <w:ind w:left="1080" w:leftChars="257" w:hanging="540"/>
              <w:rPr>
                <w:rFonts w:hint="eastAsia" w:ascii="宋体" w:hAnsi="宋体" w:eastAsia="宋体" w:cs="宋体"/>
                <w:sz w:val="24"/>
              </w:rPr>
            </w:pPr>
          </w:p>
        </w:tc>
      </w:tr>
    </w:tbl>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1.如货物的规格、性能、技术参数与招标设备的要求不完全一致时，请填此表。未列内容，视为完全响应。</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2.供应商必须据实填写，不得虚假响应，否则将取消其磋商或成交资格。 </w:t>
      </w:r>
    </w:p>
    <w:p>
      <w:pPr>
        <w:spacing w:line="400" w:lineRule="exact"/>
        <w:ind w:left="141" w:leftChars="67" w:firstLine="592" w:firstLineChars="282"/>
      </w:pPr>
    </w:p>
    <w:p>
      <w:pPr>
        <w:autoSpaceDE w:val="0"/>
        <w:autoSpaceDN w:val="0"/>
        <w:adjustRightInd w:val="0"/>
        <w:snapToGrid w:val="0"/>
        <w:spacing w:line="360" w:lineRule="auto"/>
        <w:ind w:firstLine="1260" w:firstLineChars="450"/>
        <w:rPr>
          <w:rFonts w:hint="eastAsia" w:ascii="宋体" w:hAnsi="宋体" w:eastAsia="宋体" w:cs="宋体"/>
          <w:sz w:val="28"/>
          <w:szCs w:val="28"/>
          <w:lang w:val="zh-CN"/>
        </w:rPr>
      </w:pPr>
    </w:p>
    <w:p>
      <w:pPr>
        <w:pStyle w:val="11"/>
        <w:spacing w:line="360" w:lineRule="auto"/>
        <w:ind w:left="1080" w:leftChars="257" w:hanging="540"/>
        <w:rPr>
          <w:rFonts w:hint="eastAsia" w:ascii="宋体" w:hAnsi="宋体" w:eastAsia="宋体" w:cs="宋体"/>
          <w:sz w:val="24"/>
        </w:rPr>
      </w:pPr>
    </w:p>
    <w:p>
      <w:pPr>
        <w:pStyle w:val="11"/>
        <w:tabs>
          <w:tab w:val="left" w:pos="5370"/>
        </w:tabs>
        <w:spacing w:line="360" w:lineRule="auto"/>
        <w:ind w:left="1080" w:leftChars="257" w:hanging="540"/>
        <w:rPr>
          <w:rFonts w:hint="eastAsia" w:ascii="宋体" w:hAnsi="宋体" w:eastAsia="宋体" w:cs="宋体"/>
          <w:sz w:val="28"/>
          <w:szCs w:val="28"/>
          <w:u w:val="single"/>
        </w:rPr>
      </w:pPr>
      <w:r>
        <w:rPr>
          <w:rFonts w:hint="eastAsia" w:ascii="宋体" w:hAnsi="宋体" w:eastAsia="宋体" w:cs="宋体"/>
          <w:sz w:val="28"/>
          <w:szCs w:val="28"/>
        </w:rPr>
        <w:t>供应商(盖章):</w:t>
      </w:r>
      <w:r>
        <w:rPr>
          <w:rFonts w:hint="eastAsia" w:ascii="宋体" w:hAnsi="宋体" w:eastAsia="宋体" w:cs="宋体"/>
          <w:sz w:val="28"/>
          <w:szCs w:val="28"/>
          <w:u w:val="single"/>
        </w:rPr>
        <w:tab/>
      </w:r>
    </w:p>
    <w:p>
      <w:pPr>
        <w:pStyle w:val="11"/>
        <w:spacing w:line="360" w:lineRule="auto"/>
        <w:ind w:left="1080" w:leftChars="257" w:hanging="540"/>
        <w:rPr>
          <w:rFonts w:hint="eastAsia" w:ascii="宋体" w:hAnsi="宋体" w:eastAsia="宋体" w:cs="宋体"/>
          <w:b/>
          <w:bCs/>
          <w:sz w:val="42"/>
        </w:rPr>
      </w:pPr>
      <w:r>
        <w:rPr>
          <w:rFonts w:hint="eastAsia" w:ascii="宋体" w:hAnsi="宋体" w:eastAsia="宋体" w:cs="宋体"/>
          <w:sz w:val="28"/>
          <w:szCs w:val="28"/>
        </w:rPr>
        <w:t>法定代表人或授权代表（签字或盖章）:</w:t>
      </w:r>
      <w:r>
        <w:rPr>
          <w:rFonts w:hint="eastAsia" w:ascii="宋体" w:hAnsi="宋体" w:eastAsia="宋体" w:cs="宋体"/>
          <w:sz w:val="28"/>
          <w:szCs w:val="28"/>
          <w:u w:val="single"/>
        </w:rPr>
        <w:t xml:space="preserve"> </w:t>
      </w:r>
      <w:r>
        <w:rPr>
          <w:rFonts w:hint="eastAsia" w:ascii="宋体" w:hAnsi="宋体" w:eastAsia="宋体" w:cs="宋体"/>
          <w:sz w:val="28"/>
          <w:szCs w:val="28"/>
          <w:u w:val="single"/>
        </w:rPr>
        <w:tab/>
      </w:r>
      <w:r>
        <w:rPr>
          <w:rFonts w:hint="eastAsia" w:ascii="宋体" w:hAnsi="宋体" w:eastAsia="宋体" w:cs="宋体"/>
          <w:sz w:val="28"/>
          <w:szCs w:val="28"/>
          <w:u w:val="single"/>
        </w:rPr>
        <w:t xml:space="preserve">                 </w:t>
      </w:r>
    </w:p>
    <w:p>
      <w:pPr>
        <w:adjustRightInd w:val="0"/>
        <w:snapToGrid w:val="0"/>
        <w:spacing w:line="360" w:lineRule="auto"/>
        <w:jc w:val="center"/>
        <w:rPr>
          <w:rFonts w:hint="eastAsia" w:ascii="宋体" w:hAnsi="宋体" w:eastAsia="宋体" w:cs="宋体"/>
          <w:sz w:val="32"/>
          <w:szCs w:val="32"/>
        </w:rPr>
      </w:pPr>
      <w:r>
        <w:rPr>
          <w:rFonts w:hint="eastAsia" w:ascii="宋体" w:hAnsi="宋体" w:eastAsia="宋体" w:cs="宋体"/>
          <w:b/>
          <w:bCs/>
          <w:sz w:val="42"/>
        </w:rPr>
        <w:br w:type="page"/>
      </w:r>
      <w:r>
        <w:rPr>
          <w:rFonts w:hint="eastAsia" w:ascii="宋体" w:hAnsi="宋体" w:eastAsia="宋体" w:cs="宋体"/>
          <w:b/>
          <w:bCs/>
          <w:sz w:val="32"/>
          <w:szCs w:val="32"/>
          <w:lang w:val="zh-CN"/>
        </w:rPr>
        <w:t>最后</w:t>
      </w:r>
      <w:r>
        <w:rPr>
          <w:rFonts w:hint="eastAsia" w:ascii="宋体" w:hAnsi="宋体" w:eastAsia="宋体" w:cs="宋体"/>
          <w:b/>
          <w:bCs/>
          <w:sz w:val="32"/>
          <w:szCs w:val="32"/>
        </w:rPr>
        <w:t>磋商响应</w:t>
      </w:r>
      <w:r>
        <w:rPr>
          <w:rFonts w:hint="eastAsia" w:ascii="宋体" w:hAnsi="宋体" w:eastAsia="宋体" w:cs="宋体"/>
          <w:b/>
          <w:bCs/>
          <w:sz w:val="32"/>
          <w:szCs w:val="32"/>
          <w:lang w:val="zh-CN"/>
        </w:rPr>
        <w:t>报价表</w:t>
      </w:r>
    </w:p>
    <w:p>
      <w:pPr>
        <w:autoSpaceDE w:val="0"/>
        <w:autoSpaceDN w:val="0"/>
        <w:adjustRightInd w:val="0"/>
        <w:snapToGrid w:val="0"/>
        <w:spacing w:line="360" w:lineRule="auto"/>
        <w:jc w:val="right"/>
        <w:rPr>
          <w:rFonts w:hint="eastAsia" w:ascii="宋体" w:hAnsi="宋体" w:eastAsia="宋体" w:cs="宋体"/>
          <w:b/>
          <w:sz w:val="28"/>
          <w:szCs w:val="28"/>
        </w:rPr>
      </w:pPr>
      <w:r>
        <w:rPr>
          <w:rFonts w:hint="eastAsia" w:ascii="宋体" w:hAnsi="宋体" w:eastAsia="宋体" w:cs="宋体"/>
          <w:sz w:val="32"/>
          <w:szCs w:val="32"/>
        </w:rPr>
        <w:t xml:space="preserve">                                             </w:t>
      </w:r>
      <w:r>
        <w:rPr>
          <w:rFonts w:hint="eastAsia" w:ascii="宋体" w:hAnsi="宋体" w:eastAsia="宋体" w:cs="宋体"/>
          <w:b/>
          <w:sz w:val="28"/>
          <w:szCs w:val="28"/>
          <w:lang w:val="zh-CN"/>
        </w:rPr>
        <w:t>单位</w:t>
      </w:r>
      <w:r>
        <w:rPr>
          <w:rFonts w:hint="eastAsia" w:ascii="宋体" w:hAnsi="宋体" w:eastAsia="宋体" w:cs="宋体"/>
          <w:b/>
          <w:sz w:val="28"/>
          <w:szCs w:val="28"/>
        </w:rPr>
        <w:t xml:space="preserve"> </w:t>
      </w:r>
      <w:r>
        <w:rPr>
          <w:rFonts w:hint="eastAsia" w:ascii="宋体" w:hAnsi="宋体" w:eastAsia="宋体" w:cs="宋体"/>
          <w:b/>
          <w:sz w:val="28"/>
          <w:szCs w:val="28"/>
          <w:lang w:val="zh-CN"/>
        </w:rPr>
        <w:t>：元</w:t>
      </w:r>
      <w:r>
        <w:rPr>
          <w:rFonts w:hint="eastAsia" w:ascii="宋体" w:hAnsi="宋体" w:eastAsia="宋体" w:cs="宋体"/>
          <w:b/>
          <w:sz w:val="28"/>
          <w:szCs w:val="28"/>
        </w:rPr>
        <w:t xml:space="preserve"> </w:t>
      </w:r>
    </w:p>
    <w:tbl>
      <w:tblPr>
        <w:tblStyle w:val="15"/>
        <w:tblW w:w="8820" w:type="dxa"/>
        <w:tblInd w:w="93" w:type="dxa"/>
        <w:tblLayout w:type="fixed"/>
        <w:tblCellMar>
          <w:top w:w="0" w:type="dxa"/>
          <w:left w:w="108" w:type="dxa"/>
          <w:bottom w:w="0" w:type="dxa"/>
          <w:right w:w="108" w:type="dxa"/>
        </w:tblCellMar>
      </w:tblPr>
      <w:tblGrid>
        <w:gridCol w:w="1089"/>
        <w:gridCol w:w="2958"/>
        <w:gridCol w:w="1210"/>
        <w:gridCol w:w="1209"/>
        <w:gridCol w:w="1229"/>
        <w:gridCol w:w="1125"/>
      </w:tblGrid>
      <w:tr>
        <w:tblPrEx>
          <w:tblCellMar>
            <w:top w:w="0" w:type="dxa"/>
            <w:left w:w="108" w:type="dxa"/>
            <w:bottom w:w="0" w:type="dxa"/>
            <w:right w:w="108" w:type="dxa"/>
          </w:tblCellMar>
        </w:tblPrEx>
        <w:trPr>
          <w:trHeight w:val="562" w:hRule="atLeast"/>
        </w:trPr>
        <w:tc>
          <w:tcPr>
            <w:tcW w:w="8820" w:type="dxa"/>
            <w:gridSpan w:val="6"/>
            <w:tcBorders>
              <w:top w:val="single" w:color="auto" w:sz="12" w:space="0"/>
              <w:left w:val="single" w:color="auto" w:sz="12" w:space="0"/>
              <w:bottom w:val="single" w:color="auto" w:sz="4" w:space="0"/>
              <w:right w:val="single" w:color="auto" w:sz="12" w:space="0"/>
            </w:tcBorders>
            <w:noWrap/>
            <w:vAlign w:val="center"/>
          </w:tcPr>
          <w:p>
            <w:pPr>
              <w:widowControl/>
              <w:jc w:val="left"/>
              <w:rPr>
                <w:rFonts w:ascii="宋体" w:hAnsi="宋体" w:cs="宋体"/>
                <w:b/>
                <w:bCs/>
                <w:kern w:val="0"/>
                <w:szCs w:val="21"/>
              </w:rPr>
            </w:pPr>
            <w:r>
              <w:rPr>
                <w:rFonts w:hint="eastAsia" w:ascii="宋体" w:hAnsi="宋体" w:cs="宋体"/>
                <w:b/>
                <w:bCs/>
                <w:kern w:val="0"/>
                <w:szCs w:val="21"/>
              </w:rPr>
              <w:t>供应商名称：</w:t>
            </w:r>
          </w:p>
        </w:tc>
      </w:tr>
      <w:tr>
        <w:tblPrEx>
          <w:tblCellMar>
            <w:top w:w="0" w:type="dxa"/>
            <w:left w:w="108" w:type="dxa"/>
            <w:bottom w:w="0" w:type="dxa"/>
            <w:right w:w="108" w:type="dxa"/>
          </w:tblCellMar>
        </w:tblPrEx>
        <w:trPr>
          <w:trHeight w:val="874" w:hRule="atLeast"/>
        </w:trPr>
        <w:tc>
          <w:tcPr>
            <w:tcW w:w="1089" w:type="dxa"/>
            <w:tcBorders>
              <w:top w:val="nil"/>
              <w:left w:val="single" w:color="auto" w:sz="12" w:space="0"/>
              <w:bottom w:val="single" w:color="auto" w:sz="4" w:space="0"/>
              <w:right w:val="single" w:color="auto" w:sz="4" w:space="0"/>
            </w:tcBorders>
            <w:noWrap/>
            <w:vAlign w:val="center"/>
          </w:tcPr>
          <w:p>
            <w:pPr>
              <w:widowControl/>
              <w:jc w:val="center"/>
              <w:rPr>
                <w:rFonts w:hint="eastAsia" w:ascii="宋体" w:hAnsi="宋体" w:eastAsia="宋体" w:cs="宋体"/>
                <w:b/>
                <w:bCs/>
                <w:kern w:val="0"/>
                <w:szCs w:val="21"/>
                <w:lang w:eastAsia="zh-CN"/>
              </w:rPr>
            </w:pPr>
            <w:r>
              <w:rPr>
                <w:rFonts w:hint="eastAsia" w:ascii="宋体" w:hAnsi="宋体" w:cs="宋体"/>
                <w:b/>
                <w:bCs/>
                <w:kern w:val="0"/>
                <w:szCs w:val="21"/>
                <w:lang w:val="en-US" w:eastAsia="zh-CN"/>
              </w:rPr>
              <w:t>序号</w:t>
            </w:r>
          </w:p>
        </w:tc>
        <w:tc>
          <w:tcPr>
            <w:tcW w:w="2958" w:type="dxa"/>
            <w:tcBorders>
              <w:top w:val="nil"/>
              <w:left w:val="nil"/>
              <w:bottom w:val="single" w:color="auto" w:sz="4" w:space="0"/>
              <w:right w:val="single" w:color="auto" w:sz="4" w:space="0"/>
            </w:tcBorders>
            <w:noWrap/>
            <w:vAlign w:val="center"/>
          </w:tcPr>
          <w:p>
            <w:pPr>
              <w:widowControl/>
              <w:jc w:val="center"/>
              <w:rPr>
                <w:rFonts w:ascii="宋体" w:hAnsi="宋体" w:cs="宋体"/>
                <w:b/>
                <w:bCs/>
                <w:kern w:val="0"/>
                <w:szCs w:val="21"/>
              </w:rPr>
            </w:pPr>
            <w:r>
              <w:rPr>
                <w:rFonts w:hint="eastAsia" w:ascii="宋体" w:hAnsi="宋体" w:cs="宋体"/>
                <w:b/>
                <w:bCs/>
                <w:kern w:val="0"/>
                <w:szCs w:val="21"/>
              </w:rPr>
              <w:t>项目名称</w:t>
            </w:r>
          </w:p>
        </w:tc>
        <w:tc>
          <w:tcPr>
            <w:tcW w:w="1210"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磋商报价</w:t>
            </w:r>
          </w:p>
          <w:p>
            <w:pPr>
              <w:widowControl/>
              <w:jc w:val="center"/>
              <w:rPr>
                <w:rFonts w:ascii="宋体" w:hAnsi="宋体" w:cs="宋体"/>
                <w:b/>
                <w:bCs/>
                <w:kern w:val="0"/>
                <w:szCs w:val="21"/>
              </w:rPr>
            </w:pPr>
            <w:r>
              <w:rPr>
                <w:rFonts w:hint="eastAsia" w:ascii="宋体" w:hAnsi="宋体" w:cs="宋体"/>
                <w:b/>
                <w:bCs/>
                <w:kern w:val="0"/>
                <w:szCs w:val="21"/>
              </w:rPr>
              <w:t>（元）</w:t>
            </w:r>
          </w:p>
        </w:tc>
        <w:tc>
          <w:tcPr>
            <w:tcW w:w="120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交货期</w:t>
            </w:r>
          </w:p>
          <w:p>
            <w:pPr>
              <w:widowControl/>
              <w:jc w:val="center"/>
              <w:rPr>
                <w:rFonts w:ascii="宋体" w:hAnsi="宋体" w:cs="宋体"/>
                <w:b/>
                <w:bCs/>
                <w:kern w:val="0"/>
                <w:szCs w:val="21"/>
              </w:rPr>
            </w:pPr>
            <w:r>
              <w:rPr>
                <w:rFonts w:hint="eastAsia" w:ascii="宋体" w:hAnsi="宋体" w:cs="宋体"/>
                <w:b/>
                <w:bCs/>
                <w:kern w:val="0"/>
                <w:szCs w:val="21"/>
              </w:rPr>
              <w:t>（日）</w:t>
            </w:r>
          </w:p>
        </w:tc>
        <w:tc>
          <w:tcPr>
            <w:tcW w:w="1229" w:type="dxa"/>
            <w:tcBorders>
              <w:top w:val="nil"/>
              <w:left w:val="nil"/>
              <w:bottom w:val="single" w:color="auto" w:sz="4" w:space="0"/>
              <w:right w:val="single" w:color="auto" w:sz="4" w:space="0"/>
            </w:tcBorders>
            <w:noWrap w:val="0"/>
            <w:vAlign w:val="center"/>
          </w:tcPr>
          <w:p>
            <w:pPr>
              <w:widowControl/>
              <w:jc w:val="center"/>
              <w:rPr>
                <w:rFonts w:hint="eastAsia" w:ascii="宋体" w:hAnsi="宋体" w:cs="宋体"/>
                <w:b/>
                <w:bCs/>
                <w:kern w:val="0"/>
                <w:szCs w:val="21"/>
              </w:rPr>
            </w:pPr>
            <w:r>
              <w:rPr>
                <w:rFonts w:hint="eastAsia" w:ascii="宋体" w:hAnsi="宋体" w:cs="宋体"/>
                <w:b/>
                <w:bCs/>
                <w:kern w:val="0"/>
                <w:szCs w:val="21"/>
              </w:rPr>
              <w:t xml:space="preserve">质保期  </w:t>
            </w:r>
          </w:p>
          <w:p>
            <w:pPr>
              <w:widowControl/>
              <w:jc w:val="center"/>
              <w:rPr>
                <w:rFonts w:ascii="宋体" w:hAnsi="宋体" w:cs="宋体"/>
                <w:b/>
                <w:bCs/>
                <w:kern w:val="0"/>
                <w:szCs w:val="21"/>
              </w:rPr>
            </w:pPr>
            <w:r>
              <w:rPr>
                <w:rFonts w:hint="eastAsia" w:ascii="宋体" w:hAnsi="宋体" w:cs="宋体"/>
                <w:b/>
                <w:bCs/>
                <w:kern w:val="0"/>
                <w:szCs w:val="21"/>
              </w:rPr>
              <w:t>（</w:t>
            </w:r>
            <w:r>
              <w:rPr>
                <w:rFonts w:hint="eastAsia" w:ascii="宋体" w:hAnsi="宋体" w:cs="宋体"/>
                <w:b/>
                <w:bCs/>
                <w:kern w:val="0"/>
                <w:szCs w:val="21"/>
                <w:lang w:val="en-US" w:eastAsia="zh-CN"/>
              </w:rPr>
              <w:t>年</w:t>
            </w:r>
            <w:r>
              <w:rPr>
                <w:rFonts w:hint="eastAsia" w:ascii="宋体" w:hAnsi="宋体" w:cs="宋体"/>
                <w:b/>
                <w:bCs/>
                <w:kern w:val="0"/>
                <w:szCs w:val="21"/>
              </w:rPr>
              <w:t>）</w:t>
            </w:r>
          </w:p>
        </w:tc>
        <w:tc>
          <w:tcPr>
            <w:tcW w:w="1125" w:type="dxa"/>
            <w:tcBorders>
              <w:top w:val="nil"/>
              <w:left w:val="nil"/>
              <w:bottom w:val="single" w:color="auto" w:sz="4" w:space="0"/>
              <w:right w:val="single" w:color="auto" w:sz="12" w:space="0"/>
            </w:tcBorders>
            <w:noWrap/>
            <w:vAlign w:val="center"/>
          </w:tcPr>
          <w:p>
            <w:pPr>
              <w:widowControl/>
              <w:jc w:val="center"/>
              <w:rPr>
                <w:rFonts w:ascii="宋体" w:hAnsi="宋体" w:cs="宋体"/>
                <w:b/>
                <w:bCs/>
                <w:kern w:val="0"/>
                <w:szCs w:val="21"/>
              </w:rPr>
            </w:pPr>
            <w:r>
              <w:rPr>
                <w:rFonts w:hint="eastAsia" w:ascii="宋体" w:hAnsi="宋体" w:cs="宋体"/>
                <w:b/>
                <w:bCs/>
                <w:kern w:val="0"/>
                <w:szCs w:val="21"/>
              </w:rPr>
              <w:t>交货地点</w:t>
            </w:r>
          </w:p>
        </w:tc>
      </w:tr>
      <w:tr>
        <w:tblPrEx>
          <w:tblCellMar>
            <w:top w:w="0" w:type="dxa"/>
            <w:left w:w="108" w:type="dxa"/>
            <w:bottom w:w="0" w:type="dxa"/>
            <w:right w:w="108" w:type="dxa"/>
          </w:tblCellMar>
        </w:tblPrEx>
        <w:trPr>
          <w:trHeight w:val="1133" w:hRule="atLeast"/>
        </w:trPr>
        <w:tc>
          <w:tcPr>
            <w:tcW w:w="1089" w:type="dxa"/>
            <w:tcBorders>
              <w:top w:val="nil"/>
              <w:left w:val="single" w:color="auto" w:sz="12" w:space="0"/>
              <w:bottom w:val="single" w:color="auto" w:sz="4" w:space="0"/>
              <w:right w:val="single" w:color="auto" w:sz="4" w:space="0"/>
            </w:tcBorders>
            <w:noWrap/>
            <w:vAlign w:val="center"/>
          </w:tcPr>
          <w:p>
            <w:pPr>
              <w:widowControl/>
              <w:jc w:val="left"/>
              <w:rPr>
                <w:rFonts w:ascii="宋体" w:hAnsi="宋体" w:cs="宋体"/>
                <w:kern w:val="0"/>
                <w:szCs w:val="21"/>
              </w:rPr>
            </w:pPr>
          </w:p>
        </w:tc>
        <w:tc>
          <w:tcPr>
            <w:tcW w:w="2958"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10"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09"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229" w:type="dxa"/>
            <w:tcBorders>
              <w:top w:val="nil"/>
              <w:left w:val="nil"/>
              <w:bottom w:val="single" w:color="auto" w:sz="4" w:space="0"/>
              <w:right w:val="single" w:color="auto" w:sz="4" w:space="0"/>
            </w:tcBorders>
            <w:noWrap/>
            <w:vAlign w:val="center"/>
          </w:tcPr>
          <w:p>
            <w:pPr>
              <w:widowControl/>
              <w:jc w:val="left"/>
              <w:rPr>
                <w:rFonts w:ascii="宋体" w:hAnsi="宋体" w:cs="宋体"/>
                <w:kern w:val="0"/>
                <w:szCs w:val="21"/>
              </w:rPr>
            </w:pPr>
          </w:p>
        </w:tc>
        <w:tc>
          <w:tcPr>
            <w:tcW w:w="1125" w:type="dxa"/>
            <w:tcBorders>
              <w:top w:val="nil"/>
              <w:left w:val="nil"/>
              <w:bottom w:val="single" w:color="auto" w:sz="4" w:space="0"/>
              <w:right w:val="single" w:color="auto" w:sz="12" w:space="0"/>
            </w:tcBorders>
            <w:noWrap/>
            <w:vAlign w:val="center"/>
          </w:tcPr>
          <w:p>
            <w:pPr>
              <w:widowControl/>
              <w:jc w:val="left"/>
              <w:rPr>
                <w:rFonts w:ascii="宋体" w:hAnsi="宋体" w:cs="宋体"/>
                <w:kern w:val="0"/>
                <w:szCs w:val="21"/>
              </w:rPr>
            </w:pPr>
          </w:p>
        </w:tc>
      </w:tr>
    </w:tbl>
    <w:p>
      <w:pPr>
        <w:autoSpaceDE w:val="0"/>
        <w:autoSpaceDN w:val="0"/>
        <w:adjustRightInd w:val="0"/>
        <w:snapToGrid w:val="0"/>
        <w:spacing w:line="360" w:lineRule="auto"/>
        <w:jc w:val="left"/>
        <w:rPr>
          <w:rFonts w:hint="eastAsia" w:ascii="宋体" w:hAnsi="宋体" w:eastAsia="宋体" w:cs="宋体"/>
          <w:b/>
          <w:sz w:val="28"/>
          <w:szCs w:val="28"/>
        </w:rPr>
      </w:pPr>
    </w:p>
    <w:p>
      <w:pPr>
        <w:autoSpaceDE w:val="0"/>
        <w:autoSpaceDN w:val="0"/>
        <w:adjustRightInd w:val="0"/>
        <w:snapToGrid w:val="0"/>
        <w:spacing w:line="360" w:lineRule="auto"/>
        <w:rPr>
          <w:rFonts w:hint="eastAsia" w:ascii="宋体" w:hAnsi="宋体" w:eastAsia="宋体" w:cs="宋体"/>
          <w:sz w:val="28"/>
          <w:szCs w:val="28"/>
        </w:rPr>
      </w:pPr>
      <w:r>
        <w:rPr>
          <w:rFonts w:hint="eastAsia" w:ascii="宋体" w:hAnsi="宋体" w:eastAsia="宋体" w:cs="宋体"/>
          <w:b/>
          <w:bCs/>
          <w:sz w:val="28"/>
          <w:szCs w:val="28"/>
        </w:rPr>
        <w:t xml:space="preserve">                                                                                </w:t>
      </w:r>
    </w:p>
    <w:p>
      <w:pPr>
        <w:autoSpaceDE w:val="0"/>
        <w:autoSpaceDN w:val="0"/>
        <w:adjustRightInd w:val="0"/>
        <w:snapToGrid w:val="0"/>
        <w:spacing w:line="360" w:lineRule="auto"/>
        <w:ind w:firstLine="1260" w:firstLineChars="450"/>
        <w:rPr>
          <w:rFonts w:hint="eastAsia" w:ascii="宋体" w:hAnsi="宋体" w:eastAsia="宋体" w:cs="宋体"/>
          <w:sz w:val="28"/>
          <w:szCs w:val="28"/>
          <w:lang w:val="zh-CN"/>
        </w:rPr>
      </w:pPr>
      <w:r>
        <w:rPr>
          <w:rFonts w:hint="eastAsia" w:ascii="宋体" w:hAnsi="宋体" w:eastAsia="宋体" w:cs="宋体"/>
          <w:sz w:val="28"/>
          <w:szCs w:val="28"/>
          <w:lang w:val="zh-CN"/>
        </w:rPr>
        <w:t>供应商</w:t>
      </w:r>
      <w:r>
        <w:rPr>
          <w:rFonts w:hint="eastAsia" w:ascii="宋体" w:hAnsi="宋体" w:eastAsia="宋体" w:cs="宋体"/>
          <w:sz w:val="28"/>
          <w:szCs w:val="28"/>
        </w:rPr>
        <w:t xml:space="preserve">                  </w:t>
      </w:r>
      <w:r>
        <w:rPr>
          <w:rFonts w:hint="eastAsia" w:ascii="宋体" w:hAnsi="宋体" w:eastAsia="宋体" w:cs="宋体"/>
          <w:sz w:val="28"/>
          <w:szCs w:val="28"/>
          <w:lang w:val="zh-CN"/>
        </w:rPr>
        <w:t>法定代表人</w:t>
      </w:r>
      <w:r>
        <w:rPr>
          <w:rFonts w:hint="eastAsia" w:ascii="宋体" w:hAnsi="宋体" w:eastAsia="宋体" w:cs="宋体"/>
          <w:sz w:val="28"/>
          <w:szCs w:val="28"/>
        </w:rPr>
        <w:t>或</w:t>
      </w:r>
      <w:r>
        <w:rPr>
          <w:rFonts w:hint="eastAsia" w:ascii="宋体" w:hAnsi="宋体" w:eastAsia="宋体" w:cs="宋体"/>
          <w:sz w:val="28"/>
          <w:szCs w:val="28"/>
          <w:lang w:val="zh-CN"/>
        </w:rPr>
        <w:t>授权代表</w:t>
      </w:r>
    </w:p>
    <w:p>
      <w:pPr>
        <w:autoSpaceDE w:val="0"/>
        <w:autoSpaceDN w:val="0"/>
        <w:adjustRightInd w:val="0"/>
        <w:snapToGrid w:val="0"/>
        <w:spacing w:line="360" w:lineRule="auto"/>
        <w:ind w:firstLine="1120" w:firstLineChars="400"/>
        <w:rPr>
          <w:rFonts w:hint="eastAsia" w:ascii="宋体" w:hAnsi="宋体" w:eastAsia="宋体" w:cs="宋体"/>
          <w:sz w:val="28"/>
          <w:szCs w:val="28"/>
          <w:lang w:val="zh-CN"/>
        </w:rPr>
      </w:pPr>
      <w:r>
        <w:rPr>
          <w:rFonts w:hint="eastAsia" w:ascii="宋体" w:hAnsi="宋体" w:eastAsia="宋体" w:cs="宋体"/>
          <w:sz w:val="28"/>
          <w:szCs w:val="28"/>
          <w:lang w:val="zh-CN"/>
        </w:rPr>
        <w:t>（公章）：                  （签字或盖章）：</w:t>
      </w:r>
    </w:p>
    <w:p>
      <w:pPr>
        <w:autoSpaceDE w:val="0"/>
        <w:autoSpaceDN w:val="0"/>
        <w:adjustRightInd w:val="0"/>
        <w:snapToGrid w:val="0"/>
        <w:spacing w:line="360" w:lineRule="auto"/>
        <w:ind w:firstLine="280" w:firstLineChars="100"/>
        <w:rPr>
          <w:rFonts w:hint="eastAsia" w:ascii="宋体" w:hAnsi="宋体" w:eastAsia="宋体" w:cs="宋体"/>
          <w:sz w:val="28"/>
          <w:szCs w:val="28"/>
          <w:lang w:val="zh-CN"/>
        </w:rPr>
      </w:pPr>
      <w:r>
        <w:rPr>
          <w:rFonts w:hint="eastAsia" w:ascii="宋体" w:hAnsi="宋体" w:eastAsia="宋体" w:cs="宋体"/>
          <w:sz w:val="28"/>
          <w:szCs w:val="28"/>
          <w:lang w:val="zh-CN"/>
        </w:rPr>
        <w:t xml:space="preserve">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 xml:space="preserve">年 </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月</w:t>
      </w:r>
      <w:r>
        <w:rPr>
          <w:rFonts w:hint="eastAsia" w:ascii="宋体" w:hAnsi="宋体" w:eastAsia="宋体" w:cs="宋体"/>
          <w:sz w:val="28"/>
          <w:szCs w:val="28"/>
          <w:u w:val="single"/>
          <w:lang w:val="zh-CN"/>
        </w:rPr>
        <w:t xml:space="preserve">      </w:t>
      </w:r>
      <w:r>
        <w:rPr>
          <w:rFonts w:hint="eastAsia" w:ascii="宋体" w:hAnsi="宋体" w:eastAsia="宋体" w:cs="宋体"/>
          <w:sz w:val="28"/>
          <w:szCs w:val="28"/>
          <w:lang w:val="zh-CN"/>
        </w:rPr>
        <w:t>日</w:t>
      </w:r>
    </w:p>
    <w:p>
      <w:pPr>
        <w:autoSpaceDE w:val="0"/>
        <w:autoSpaceDN w:val="0"/>
        <w:adjustRightInd w:val="0"/>
        <w:snapToGrid w:val="0"/>
        <w:spacing w:line="360" w:lineRule="auto"/>
        <w:ind w:firstLine="280" w:firstLineChars="100"/>
        <w:rPr>
          <w:rFonts w:hint="eastAsia" w:ascii="宋体" w:hAnsi="宋体" w:eastAsia="宋体" w:cs="宋体"/>
          <w:sz w:val="28"/>
          <w:szCs w:val="28"/>
          <w:lang w:val="zh-CN"/>
        </w:rPr>
      </w:pPr>
    </w:p>
    <w:p>
      <w:pPr>
        <w:autoSpaceDE w:val="0"/>
        <w:autoSpaceDN w:val="0"/>
        <w:adjustRightInd w:val="0"/>
        <w:snapToGrid w:val="0"/>
        <w:spacing w:line="360" w:lineRule="auto"/>
        <w:rPr>
          <w:rFonts w:hint="eastAsia" w:ascii="宋体" w:hAnsi="宋体" w:eastAsia="宋体" w:cs="宋体"/>
          <w:sz w:val="28"/>
          <w:szCs w:val="28"/>
        </w:rPr>
        <w:sectPr>
          <w:pgSz w:w="11906" w:h="16838"/>
          <w:pgMar w:top="1418" w:right="1418" w:bottom="1418" w:left="1418" w:header="851" w:footer="992" w:gutter="0"/>
          <w:pgNumType w:fmt="decimal"/>
          <w:cols w:space="720" w:num="1"/>
          <w:docGrid w:linePitch="312" w:charSpace="0"/>
        </w:sectPr>
      </w:pPr>
      <w:r>
        <w:rPr>
          <w:rFonts w:hint="eastAsia" w:ascii="宋体" w:hAnsi="宋体" w:eastAsia="宋体" w:cs="宋体"/>
          <w:b/>
          <w:sz w:val="28"/>
          <w:szCs w:val="28"/>
          <w:lang w:val="zh-CN"/>
        </w:rPr>
        <w:t>备注：供应商自备表格并加盖公章，最终报价环节现场提交。</w:t>
      </w:r>
    </w:p>
    <w:p>
      <w:pPr>
        <w:adjustRightInd w:val="0"/>
        <w:snapToGrid w:val="0"/>
        <w:spacing w:line="360" w:lineRule="auto"/>
        <w:ind w:left="-525" w:leftChars="-250" w:firstLine="442" w:firstLineChars="100"/>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第三部分</w:t>
      </w:r>
      <w:r>
        <w:rPr>
          <w:rFonts w:hint="eastAsia" w:ascii="宋体" w:hAnsi="宋体" w:eastAsia="宋体" w:cs="宋体"/>
          <w:b/>
          <w:bCs/>
          <w:sz w:val="44"/>
          <w:szCs w:val="44"/>
        </w:rPr>
        <w:t xml:space="preserve">  </w:t>
      </w:r>
      <w:r>
        <w:rPr>
          <w:rFonts w:hint="eastAsia" w:ascii="宋体" w:hAnsi="宋体" w:eastAsia="宋体" w:cs="宋体"/>
          <w:b/>
          <w:bCs/>
          <w:sz w:val="44"/>
          <w:szCs w:val="44"/>
          <w:lang w:val="zh-CN"/>
        </w:rPr>
        <w:t>磋商方案说明</w:t>
      </w:r>
    </w:p>
    <w:p>
      <w:pPr>
        <w:autoSpaceDE w:val="0"/>
        <w:autoSpaceDN w:val="0"/>
        <w:adjustRightInd w:val="0"/>
        <w:spacing w:line="360" w:lineRule="auto"/>
        <w:jc w:val="center"/>
        <w:rPr>
          <w:rFonts w:hint="eastAsia" w:ascii="宋体" w:hAnsi="宋体" w:eastAsia="宋体" w:cs="宋体"/>
          <w:bCs/>
          <w:sz w:val="28"/>
          <w:szCs w:val="28"/>
        </w:rPr>
      </w:pPr>
      <w:r>
        <w:rPr>
          <w:rFonts w:hint="eastAsia" w:ascii="宋体" w:hAnsi="宋体" w:eastAsia="宋体" w:cs="宋体"/>
          <w:bCs/>
          <w:sz w:val="28"/>
          <w:szCs w:val="28"/>
        </w:rPr>
        <w:t>（各供应商根据磋商文件要求及采购内容，结合评审办法自主编制磋商方案说明</w:t>
      </w:r>
      <w:r>
        <w:rPr>
          <w:rFonts w:hint="eastAsia" w:ascii="宋体" w:hAnsi="宋体" w:cs="宋体"/>
          <w:bCs/>
          <w:sz w:val="28"/>
          <w:szCs w:val="28"/>
          <w:lang w:eastAsia="zh-CN"/>
        </w:rPr>
        <w:t>，</w:t>
      </w:r>
      <w:r>
        <w:rPr>
          <w:rFonts w:hint="eastAsia" w:ascii="宋体" w:hAnsi="宋体" w:cs="宋体"/>
          <w:bCs/>
          <w:sz w:val="28"/>
          <w:szCs w:val="28"/>
          <w:lang w:val="en-US" w:eastAsia="zh-CN"/>
        </w:rPr>
        <w:t>包含但不限于以下内容：</w:t>
      </w:r>
      <w:r>
        <w:rPr>
          <w:rFonts w:hint="eastAsia" w:ascii="宋体" w:hAnsi="宋体" w:eastAsia="宋体" w:cs="宋体"/>
          <w:bCs/>
          <w:sz w:val="28"/>
          <w:szCs w:val="28"/>
        </w:rPr>
        <w:t>）</w:t>
      </w:r>
    </w:p>
    <w:p>
      <w:pPr>
        <w:pStyle w:val="2"/>
        <w:numPr>
          <w:ilvl w:val="0"/>
          <w:numId w:val="5"/>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投标产品技术性能指标的详细描述</w:t>
      </w:r>
    </w:p>
    <w:p>
      <w:pPr>
        <w:pStyle w:val="2"/>
        <w:numPr>
          <w:ilvl w:val="0"/>
          <w:numId w:val="5"/>
        </w:numPr>
        <w:rPr>
          <w:rFonts w:hint="default" w:ascii="宋体" w:hAnsi="宋体" w:eastAsia="宋体" w:cs="宋体"/>
          <w:bCs/>
          <w:kern w:val="2"/>
          <w:sz w:val="28"/>
          <w:szCs w:val="28"/>
          <w:lang w:val="en-US" w:eastAsia="zh-CN" w:bidi="ar-SA"/>
        </w:rPr>
      </w:pPr>
      <w:bookmarkStart w:id="44" w:name="_Toc504488783"/>
      <w:r>
        <w:rPr>
          <w:rFonts w:hint="eastAsia" w:ascii="宋体" w:hAnsi="宋体" w:eastAsia="宋体" w:cs="宋体"/>
          <w:bCs/>
          <w:kern w:val="2"/>
          <w:sz w:val="28"/>
          <w:szCs w:val="28"/>
          <w:lang w:val="en-US" w:eastAsia="zh-CN" w:bidi="ar-SA"/>
        </w:rPr>
        <w:t>技术支持资料</w:t>
      </w:r>
      <w:bookmarkEnd w:id="44"/>
    </w:p>
    <w:p>
      <w:pPr>
        <w:pStyle w:val="2"/>
        <w:numPr>
          <w:ilvl w:val="0"/>
          <w:numId w:val="5"/>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技术服务和质保期服务计划</w:t>
      </w:r>
    </w:p>
    <w:p>
      <w:pPr>
        <w:pStyle w:val="2"/>
        <w:numPr>
          <w:ilvl w:val="0"/>
          <w:numId w:val="5"/>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售后服务</w:t>
      </w:r>
    </w:p>
    <w:p>
      <w:pPr>
        <w:pStyle w:val="2"/>
        <w:numPr>
          <w:ilvl w:val="0"/>
          <w:numId w:val="5"/>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实施方案</w:t>
      </w:r>
    </w:p>
    <w:p>
      <w:pPr>
        <w:pStyle w:val="2"/>
        <w:numPr>
          <w:ilvl w:val="0"/>
          <w:numId w:val="5"/>
        </w:numPr>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人员配备及安排</w:t>
      </w:r>
    </w:p>
    <w:p>
      <w:pPr>
        <w:pStyle w:val="2"/>
        <w:numPr>
          <w:ilvl w:val="0"/>
          <w:numId w:val="5"/>
        </w:numPr>
        <w:rPr>
          <w:rFonts w:hint="eastAsia" w:ascii="宋体" w:hAnsi="宋体" w:eastAsia="宋体" w:cs="宋体"/>
          <w:b w:val="0"/>
          <w:bCs/>
          <w:kern w:val="2"/>
          <w:sz w:val="28"/>
          <w:szCs w:val="28"/>
          <w:lang w:val="en-US" w:eastAsia="zh-CN" w:bidi="ar-SA"/>
        </w:rPr>
      </w:pPr>
      <w:r>
        <w:rPr>
          <w:rFonts w:hint="eastAsia" w:ascii="宋体" w:hAnsi="宋体" w:eastAsia="宋体" w:cs="宋体"/>
          <w:b w:val="0"/>
          <w:bCs/>
          <w:kern w:val="2"/>
          <w:sz w:val="28"/>
          <w:szCs w:val="28"/>
          <w:lang w:val="en-US" w:eastAsia="zh-CN" w:bidi="ar-SA"/>
        </w:rPr>
        <w:t>生产进度计划及保证措施</w:t>
      </w:r>
    </w:p>
    <w:p>
      <w:pPr>
        <w:pStyle w:val="2"/>
        <w:numPr>
          <w:ilvl w:val="0"/>
          <w:numId w:val="5"/>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质量保证体系与措施</w:t>
      </w:r>
    </w:p>
    <w:p>
      <w:pPr>
        <w:pStyle w:val="2"/>
        <w:numPr>
          <w:ilvl w:val="0"/>
          <w:numId w:val="0"/>
        </w:numPr>
        <w:ind w:leftChars="0"/>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w:t>
      </w:r>
    </w:p>
    <w:p>
      <w:pPr>
        <w:pStyle w:val="2"/>
        <w:numPr>
          <w:ilvl w:val="0"/>
          <w:numId w:val="0"/>
        </w:numPr>
        <w:rPr>
          <w:rFonts w:hint="eastAsia" w:ascii="宋体" w:hAnsi="宋体" w:eastAsia="宋体" w:cs="宋体"/>
          <w:bCs/>
          <w:kern w:val="2"/>
          <w:sz w:val="28"/>
          <w:szCs w:val="28"/>
          <w:lang w:val="en-US" w:eastAsia="zh-CN" w:bidi="ar-SA"/>
        </w:rPr>
      </w:pPr>
      <w:r>
        <w:rPr>
          <w:rFonts w:hint="eastAsia" w:ascii="宋体" w:hAnsi="宋体" w:eastAsia="宋体" w:cs="宋体"/>
          <w:bCs/>
          <w:kern w:val="2"/>
          <w:sz w:val="28"/>
          <w:szCs w:val="28"/>
          <w:lang w:val="en-US" w:eastAsia="zh-CN" w:bidi="ar-SA"/>
        </w:rPr>
        <w:t>……</w:t>
      </w:r>
    </w:p>
    <w:p>
      <w:pPr>
        <w:autoSpaceDE w:val="0"/>
        <w:autoSpaceDN w:val="0"/>
        <w:adjustRightInd w:val="0"/>
        <w:spacing w:line="360" w:lineRule="auto"/>
        <w:jc w:val="center"/>
        <w:rPr>
          <w:rFonts w:hint="eastAsia" w:ascii="宋体" w:hAnsi="宋体" w:eastAsia="宋体" w:cs="宋体"/>
          <w:b/>
          <w:bCs/>
          <w:sz w:val="44"/>
          <w:szCs w:val="44"/>
        </w:rPr>
      </w:pPr>
    </w:p>
    <w:p>
      <w:pPr>
        <w:autoSpaceDE w:val="0"/>
        <w:autoSpaceDN w:val="0"/>
        <w:adjustRightInd w:val="0"/>
        <w:spacing w:line="348" w:lineRule="auto"/>
        <w:ind w:firstLine="630"/>
        <w:rPr>
          <w:rFonts w:hint="eastAsia" w:ascii="宋体" w:hAnsi="宋体" w:eastAsia="宋体" w:cs="宋体"/>
          <w:b/>
          <w:bCs/>
          <w:sz w:val="28"/>
          <w:szCs w:val="28"/>
        </w:rPr>
      </w:pPr>
    </w:p>
    <w:p>
      <w:pPr>
        <w:spacing w:after="60"/>
        <w:rPr>
          <w:rFonts w:hint="eastAsia" w:ascii="宋体" w:hAnsi="宋体" w:eastAsia="宋体" w:cs="宋体"/>
          <w:sz w:val="28"/>
          <w:szCs w:val="28"/>
        </w:rPr>
      </w:pPr>
    </w:p>
    <w:p>
      <w:pPr>
        <w:spacing w:after="60"/>
        <w:rPr>
          <w:rFonts w:hint="eastAsia" w:ascii="宋体" w:hAnsi="宋体" w:eastAsia="宋体" w:cs="宋体"/>
          <w:sz w:val="28"/>
          <w:szCs w:val="28"/>
        </w:rPr>
      </w:pPr>
    </w:p>
    <w:p>
      <w:pPr>
        <w:autoSpaceDE w:val="0"/>
        <w:autoSpaceDN w:val="0"/>
        <w:adjustRightInd w:val="0"/>
        <w:spacing w:line="360" w:lineRule="auto"/>
        <w:jc w:val="center"/>
        <w:rPr>
          <w:rFonts w:hint="eastAsia" w:ascii="宋体" w:hAnsi="宋体" w:eastAsia="宋体" w:cs="宋体"/>
          <w:b/>
          <w:bCs/>
          <w:sz w:val="44"/>
          <w:szCs w:val="44"/>
          <w:lang w:val="zh-CN"/>
        </w:rPr>
      </w:pPr>
    </w:p>
    <w:p>
      <w:pPr>
        <w:autoSpaceDE w:val="0"/>
        <w:autoSpaceDN w:val="0"/>
        <w:adjustRightInd w:val="0"/>
        <w:spacing w:line="360" w:lineRule="auto"/>
        <w:jc w:val="center"/>
        <w:rPr>
          <w:rFonts w:hint="eastAsia" w:ascii="宋体" w:hAnsi="宋体" w:eastAsia="宋体" w:cs="宋体"/>
          <w:b/>
          <w:bCs/>
          <w:sz w:val="44"/>
          <w:szCs w:val="44"/>
          <w:lang w:val="zh-CN"/>
        </w:rPr>
      </w:pPr>
    </w:p>
    <w:p>
      <w:pPr>
        <w:autoSpaceDE w:val="0"/>
        <w:autoSpaceDN w:val="0"/>
        <w:adjustRightInd w:val="0"/>
        <w:spacing w:line="360" w:lineRule="auto"/>
        <w:jc w:val="center"/>
        <w:rPr>
          <w:rFonts w:hint="eastAsia" w:ascii="宋体" w:hAnsi="宋体" w:eastAsia="宋体" w:cs="宋体"/>
          <w:b/>
          <w:bCs/>
          <w:sz w:val="44"/>
          <w:szCs w:val="44"/>
          <w:lang w:val="zh-CN"/>
        </w:rPr>
      </w:pPr>
    </w:p>
    <w:p>
      <w:pPr>
        <w:autoSpaceDE w:val="0"/>
        <w:autoSpaceDN w:val="0"/>
        <w:adjustRightInd w:val="0"/>
        <w:spacing w:line="360" w:lineRule="auto"/>
        <w:jc w:val="center"/>
        <w:rPr>
          <w:rFonts w:hint="eastAsia" w:ascii="宋体" w:hAnsi="宋体" w:eastAsia="宋体" w:cs="宋体"/>
          <w:b/>
          <w:bCs/>
          <w:sz w:val="44"/>
          <w:szCs w:val="44"/>
          <w:lang w:val="zh-CN"/>
        </w:rPr>
      </w:pPr>
    </w:p>
    <w:p>
      <w:pPr>
        <w:autoSpaceDE w:val="0"/>
        <w:autoSpaceDN w:val="0"/>
        <w:adjustRightInd w:val="0"/>
        <w:spacing w:line="360" w:lineRule="auto"/>
        <w:jc w:val="center"/>
        <w:rPr>
          <w:rFonts w:hint="eastAsia" w:ascii="宋体" w:hAnsi="宋体" w:eastAsia="宋体" w:cs="宋体"/>
          <w:b/>
          <w:bCs/>
          <w:sz w:val="44"/>
          <w:szCs w:val="44"/>
          <w:lang w:val="zh-CN"/>
        </w:rPr>
        <w:sectPr>
          <w:footerReference r:id="rId8" w:type="even"/>
          <w:pgSz w:w="11906" w:h="16838"/>
          <w:pgMar w:top="1418" w:right="1418" w:bottom="1418" w:left="1418" w:header="851" w:footer="992" w:gutter="0"/>
          <w:pgNumType w:fmt="decimal"/>
          <w:cols w:space="720" w:num="1"/>
          <w:docGrid w:linePitch="312" w:charSpace="0"/>
        </w:sectPr>
      </w:pPr>
    </w:p>
    <w:p>
      <w:pPr>
        <w:autoSpaceDE w:val="0"/>
        <w:autoSpaceDN w:val="0"/>
        <w:adjustRightInd w:val="0"/>
        <w:snapToGrid w:val="0"/>
        <w:spacing w:line="360" w:lineRule="auto"/>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第四部分</w:t>
      </w:r>
      <w:r>
        <w:rPr>
          <w:rFonts w:hint="eastAsia" w:ascii="宋体" w:hAnsi="宋体" w:eastAsia="宋体" w:cs="宋体"/>
          <w:b/>
          <w:bCs/>
          <w:sz w:val="44"/>
          <w:szCs w:val="44"/>
        </w:rPr>
        <w:t xml:space="preserve">  </w:t>
      </w:r>
      <w:r>
        <w:rPr>
          <w:rFonts w:hint="eastAsia" w:ascii="宋体" w:hAnsi="宋体" w:eastAsia="宋体" w:cs="宋体"/>
          <w:b/>
          <w:bCs/>
          <w:sz w:val="44"/>
          <w:szCs w:val="44"/>
          <w:lang w:val="zh-CN"/>
        </w:rPr>
        <w:t>供应商承诺书</w:t>
      </w:r>
    </w:p>
    <w:p>
      <w:pPr>
        <w:autoSpaceDE w:val="0"/>
        <w:autoSpaceDN w:val="0"/>
        <w:adjustRightInd w:val="0"/>
        <w:snapToGrid w:val="0"/>
        <w:spacing w:line="360" w:lineRule="auto"/>
        <w:rPr>
          <w:rFonts w:hint="eastAsia" w:ascii="宋体" w:hAnsi="宋体" w:eastAsia="宋体" w:cs="宋体"/>
          <w:b/>
          <w:sz w:val="28"/>
          <w:szCs w:val="28"/>
        </w:rPr>
      </w:pPr>
      <w:r>
        <w:rPr>
          <w:rFonts w:hint="eastAsia" w:ascii="宋体" w:hAnsi="宋体" w:eastAsia="宋体" w:cs="宋体"/>
          <w:sz w:val="28"/>
          <w:szCs w:val="28"/>
          <w:lang w:eastAsia="zh-CN"/>
        </w:rPr>
        <w:t>陕西海佳项目管理有限公司</w:t>
      </w:r>
      <w:r>
        <w:rPr>
          <w:rFonts w:hint="eastAsia" w:ascii="宋体" w:hAnsi="宋体" w:eastAsia="宋体" w:cs="宋体"/>
          <w:sz w:val="28"/>
          <w:szCs w:val="28"/>
        </w:rPr>
        <w:t>：</w:t>
      </w: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做为参加贵单位组织的</w:t>
      </w:r>
      <w:r>
        <w:rPr>
          <w:rFonts w:hint="eastAsia" w:ascii="宋体" w:hAnsi="宋体" w:eastAsia="宋体" w:cs="宋体"/>
          <w:sz w:val="28"/>
          <w:szCs w:val="28"/>
          <w:u w:val="single"/>
        </w:rPr>
        <w:t>（项目名称）</w:t>
      </w:r>
      <w:r>
        <w:rPr>
          <w:rFonts w:hint="eastAsia" w:ascii="宋体" w:hAnsi="宋体" w:eastAsia="宋体" w:cs="宋体"/>
          <w:sz w:val="28"/>
          <w:szCs w:val="28"/>
        </w:rPr>
        <w:t>的供应商，本公司郑重承诺：</w:t>
      </w: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1、在参加本项目磋商之前不存在被依法禁止经营行为、财产被接管或冻结的情况，如有隐瞒实情，愿承担一切责任及后果。</w:t>
      </w:r>
    </w:p>
    <w:p>
      <w:pPr>
        <w:autoSpaceDE w:val="0"/>
        <w:autoSpaceDN w:val="0"/>
        <w:adjustRightInd w:val="0"/>
        <w:snapToGrid w:val="0"/>
        <w:spacing w:line="360" w:lineRule="auto"/>
        <w:ind w:firstLine="562" w:firstLineChars="200"/>
        <w:rPr>
          <w:rFonts w:hint="eastAsia" w:ascii="宋体" w:hAnsi="宋体" w:eastAsia="宋体" w:cs="宋体"/>
          <w:sz w:val="28"/>
          <w:szCs w:val="28"/>
        </w:rPr>
      </w:pPr>
      <w:r>
        <w:rPr>
          <w:rFonts w:hint="eastAsia" w:ascii="宋体" w:hAnsi="宋体" w:eastAsia="宋体" w:cs="宋体"/>
          <w:b/>
          <w:sz w:val="28"/>
          <w:szCs w:val="28"/>
        </w:rPr>
        <w:t>2、</w:t>
      </w:r>
      <w:r>
        <w:rPr>
          <w:rFonts w:hint="eastAsia" w:ascii="宋体" w:hAnsi="宋体" w:eastAsia="宋体" w:cs="宋体"/>
          <w:sz w:val="28"/>
          <w:szCs w:val="28"/>
        </w:rPr>
        <w:t>近三年受到有关行政主管部门的行政处理、不良行为记录为</w:t>
      </w:r>
      <w:r>
        <w:rPr>
          <w:rFonts w:hint="eastAsia" w:ascii="宋体" w:hAnsi="宋体" w:cs="宋体"/>
          <w:sz w:val="28"/>
          <w:szCs w:val="28"/>
          <w:lang w:eastAsia="zh-CN"/>
        </w:rPr>
        <w:t>（</w:t>
      </w:r>
      <w:r>
        <w:rPr>
          <w:rFonts w:hint="eastAsia" w:ascii="宋体" w:hAnsi="宋体" w:eastAsia="宋体" w:cs="宋体"/>
          <w:sz w:val="28"/>
          <w:szCs w:val="28"/>
          <w:u w:val="single"/>
        </w:rPr>
        <w:t xml:space="preserve">      </w:t>
      </w:r>
      <w:r>
        <w:rPr>
          <w:rFonts w:hint="eastAsia" w:ascii="宋体" w:hAnsi="宋体" w:cs="宋体"/>
          <w:sz w:val="28"/>
          <w:szCs w:val="28"/>
          <w:u w:val="single"/>
          <w:lang w:eastAsia="zh-CN"/>
        </w:rPr>
        <w:t>）</w:t>
      </w:r>
      <w:r>
        <w:rPr>
          <w:rFonts w:hint="eastAsia" w:ascii="宋体" w:hAnsi="宋体" w:eastAsia="宋体" w:cs="宋体"/>
          <w:sz w:val="28"/>
          <w:szCs w:val="28"/>
        </w:rPr>
        <w:t>次（没有填零），如有隐瞒实情，愿承担一切责任及后果。</w:t>
      </w:r>
    </w:p>
    <w:p>
      <w:pPr>
        <w:autoSpaceDE w:val="0"/>
        <w:autoSpaceDN w:val="0"/>
        <w:adjustRightInd w:val="0"/>
        <w:snapToGrid w:val="0"/>
        <w:spacing w:line="360" w:lineRule="auto"/>
        <w:ind w:firstLine="560" w:firstLineChars="200"/>
        <w:rPr>
          <w:rFonts w:hint="eastAsia" w:ascii="宋体" w:hAnsi="宋体" w:eastAsia="宋体" w:cs="宋体"/>
          <w:b/>
          <w:sz w:val="28"/>
          <w:szCs w:val="28"/>
        </w:rPr>
      </w:pPr>
      <w:r>
        <w:rPr>
          <w:rFonts w:hint="eastAsia" w:ascii="宋体" w:hAnsi="宋体" w:eastAsia="宋体" w:cs="宋体"/>
          <w:sz w:val="28"/>
          <w:szCs w:val="28"/>
        </w:rPr>
        <w:t>3、参加本次磋商提交的所有资质证明文件和资信证明文件及业绩证明文件是真实的、有效的，如有隐瞒实情，愿承担一切责任及后果。</w:t>
      </w:r>
    </w:p>
    <w:p>
      <w:pPr>
        <w:autoSpaceDE w:val="0"/>
        <w:autoSpaceDN w:val="0"/>
        <w:adjustRightInd w:val="0"/>
        <w:snapToGrid w:val="0"/>
        <w:spacing w:line="360" w:lineRule="auto"/>
        <w:jc w:val="center"/>
        <w:rPr>
          <w:rFonts w:hint="eastAsia" w:ascii="宋体" w:hAnsi="宋体" w:eastAsia="宋体" w:cs="宋体"/>
          <w:b/>
          <w:sz w:val="28"/>
          <w:szCs w:val="28"/>
        </w:rPr>
      </w:pPr>
    </w:p>
    <w:p>
      <w:pPr>
        <w:autoSpaceDE w:val="0"/>
        <w:autoSpaceDN w:val="0"/>
        <w:adjustRightInd w:val="0"/>
        <w:snapToGrid w:val="0"/>
        <w:spacing w:line="360" w:lineRule="auto"/>
        <w:jc w:val="center"/>
        <w:rPr>
          <w:rFonts w:hint="eastAsia" w:ascii="宋体" w:hAnsi="宋体" w:eastAsia="宋体" w:cs="宋体"/>
          <w:b/>
          <w:sz w:val="28"/>
          <w:szCs w:val="28"/>
        </w:rPr>
      </w:pPr>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供应商                            法定代表人或授权代表</w:t>
      </w:r>
    </w:p>
    <w:p>
      <w:pPr>
        <w:adjustRightInd w:val="0"/>
        <w:snapToGrid w:val="0"/>
        <w:spacing w:line="360" w:lineRule="auto"/>
        <w:rPr>
          <w:rFonts w:hint="eastAsia" w:ascii="宋体" w:hAnsi="宋体" w:eastAsia="宋体" w:cs="宋体"/>
          <w:b/>
          <w:bCs/>
          <w:sz w:val="28"/>
          <w:szCs w:val="28"/>
        </w:rPr>
      </w:pPr>
      <w:r>
        <w:rPr>
          <w:rFonts w:hint="eastAsia" w:ascii="宋体" w:hAnsi="宋体" w:eastAsia="宋体" w:cs="宋体"/>
          <w:sz w:val="28"/>
          <w:szCs w:val="28"/>
        </w:rPr>
        <w:t>（公章）：                           （签字或盖章）：</w:t>
      </w:r>
    </w:p>
    <w:p>
      <w:pPr>
        <w:autoSpaceDE w:val="0"/>
        <w:autoSpaceDN w:val="0"/>
        <w:adjustRightInd w:val="0"/>
        <w:jc w:val="center"/>
        <w:rPr>
          <w:rFonts w:hint="eastAsia" w:ascii="宋体" w:hAnsi="宋体" w:eastAsia="宋体" w:cs="宋体"/>
          <w:b/>
          <w:bCs/>
          <w:sz w:val="44"/>
          <w:szCs w:val="44"/>
          <w:lang w:val="zh-CN"/>
        </w:rPr>
      </w:pPr>
    </w:p>
    <w:p>
      <w:pPr>
        <w:autoSpaceDE w:val="0"/>
        <w:autoSpaceDN w:val="0"/>
        <w:adjustRightInd w:val="0"/>
        <w:jc w:val="center"/>
        <w:rPr>
          <w:rFonts w:hint="eastAsia" w:ascii="宋体" w:hAnsi="宋体" w:eastAsia="宋体" w:cs="宋体"/>
          <w:b/>
          <w:bCs/>
          <w:sz w:val="44"/>
          <w:szCs w:val="44"/>
          <w:lang w:val="zh-CN"/>
        </w:rPr>
      </w:pPr>
    </w:p>
    <w:p>
      <w:pPr>
        <w:autoSpaceDE w:val="0"/>
        <w:autoSpaceDN w:val="0"/>
        <w:adjustRightInd w:val="0"/>
        <w:spacing w:line="360" w:lineRule="auto"/>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br w:type="page"/>
      </w:r>
      <w:r>
        <w:rPr>
          <w:rFonts w:hint="eastAsia" w:ascii="宋体" w:hAnsi="宋体" w:eastAsia="宋体" w:cs="宋体"/>
          <w:b/>
          <w:bCs/>
          <w:sz w:val="44"/>
          <w:szCs w:val="44"/>
          <w:lang w:val="zh-CN"/>
        </w:rPr>
        <w:t>供应商企业关系关联承诺书</w:t>
      </w:r>
    </w:p>
    <w:p>
      <w:pPr>
        <w:autoSpaceDE w:val="0"/>
        <w:autoSpaceDN w:val="0"/>
        <w:adjustRightInd w:val="0"/>
        <w:spacing w:line="360" w:lineRule="auto"/>
        <w:rPr>
          <w:rFonts w:hint="eastAsia" w:ascii="宋体" w:hAnsi="宋体" w:eastAsia="宋体" w:cs="宋体"/>
          <w:sz w:val="32"/>
          <w:szCs w:val="32"/>
        </w:rPr>
      </w:pP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我单位供应商在本磋商项目中，与其它供应商负责人为同一人，有控股、管理等关联关系承诺：</w:t>
      </w:r>
    </w:p>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1、管理关系说明：</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我单位管理的具有独立法人的下属单位有：</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我单位的上级管理单位有</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snapToGrid w:val="0"/>
        <w:spacing w:line="360" w:lineRule="auto"/>
        <w:rPr>
          <w:rFonts w:hint="eastAsia" w:ascii="宋体" w:hAnsi="宋体" w:eastAsia="宋体" w:cs="宋体"/>
          <w:sz w:val="28"/>
          <w:szCs w:val="28"/>
        </w:rPr>
      </w:pPr>
      <w:r>
        <w:rPr>
          <w:rFonts w:hint="eastAsia" w:ascii="宋体" w:hAnsi="宋体" w:eastAsia="宋体" w:cs="宋体"/>
          <w:sz w:val="28"/>
          <w:szCs w:val="28"/>
        </w:rPr>
        <w:t>2、股权关系说明：</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我单位控股的单位有</w:t>
      </w:r>
      <w:r>
        <w:rPr>
          <w:rFonts w:hint="eastAsia" w:ascii="宋体" w:hAnsi="宋体" w:eastAsia="宋体" w:cs="宋体"/>
          <w:sz w:val="28"/>
          <w:szCs w:val="28"/>
          <w:u w:val="single"/>
        </w:rPr>
        <w:t xml:space="preserve">           </w:t>
      </w:r>
      <w:r>
        <w:rPr>
          <w:rFonts w:hint="eastAsia" w:ascii="宋体" w:hAnsi="宋体" w:eastAsia="宋体" w:cs="宋体"/>
          <w:sz w:val="28"/>
          <w:szCs w:val="28"/>
        </w:rPr>
        <w:t>。</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我单位被</w:t>
      </w:r>
      <w:r>
        <w:rPr>
          <w:rFonts w:hint="eastAsia" w:ascii="宋体" w:hAnsi="宋体" w:eastAsia="宋体" w:cs="宋体"/>
          <w:i/>
          <w:sz w:val="28"/>
          <w:szCs w:val="28"/>
          <w:u w:val="single"/>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单位控股。</w:t>
      </w:r>
    </w:p>
    <w:p>
      <w:pPr>
        <w:autoSpaceDE w:val="0"/>
        <w:autoSpaceDN w:val="0"/>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3、其他与本项目有关的利害关系说明：</w:t>
      </w:r>
    </w:p>
    <w:p>
      <w:pPr>
        <w:autoSpaceDE w:val="0"/>
        <w:autoSpaceDN w:val="0"/>
        <w:adjustRightInd w:val="0"/>
        <w:snapToGrid w:val="0"/>
        <w:spacing w:line="360" w:lineRule="auto"/>
        <w:rPr>
          <w:rFonts w:hint="eastAsia" w:ascii="宋体" w:hAnsi="宋体" w:eastAsia="宋体" w:cs="宋体"/>
          <w:sz w:val="28"/>
          <w:szCs w:val="28"/>
        </w:rPr>
      </w:pPr>
    </w:p>
    <w:p>
      <w:pPr>
        <w:autoSpaceDE w:val="0"/>
        <w:autoSpaceDN w:val="0"/>
        <w:adjustRightInd w:val="0"/>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我单位承诺以上说明真实有效，无虚假内容或隐瞒。</w:t>
      </w:r>
    </w:p>
    <w:p>
      <w:pPr>
        <w:autoSpaceDE w:val="0"/>
        <w:autoSpaceDN w:val="0"/>
        <w:adjustRightInd w:val="0"/>
        <w:snapToGrid w:val="0"/>
        <w:spacing w:line="360" w:lineRule="auto"/>
        <w:rPr>
          <w:rFonts w:hint="eastAsia" w:ascii="宋体" w:hAnsi="宋体" w:eastAsia="宋体" w:cs="宋体"/>
          <w:sz w:val="28"/>
          <w:szCs w:val="28"/>
        </w:rPr>
      </w:pPr>
    </w:p>
    <w:p>
      <w:pPr>
        <w:autoSpaceDE w:val="0"/>
        <w:autoSpaceDN w:val="0"/>
        <w:adjustRightInd w:val="0"/>
        <w:snapToGrid w:val="0"/>
        <w:spacing w:line="360" w:lineRule="auto"/>
        <w:jc w:val="center"/>
        <w:rPr>
          <w:rFonts w:hint="eastAsia" w:ascii="宋体" w:hAnsi="宋体" w:eastAsia="宋体" w:cs="宋体"/>
          <w:b/>
          <w:sz w:val="28"/>
          <w:szCs w:val="28"/>
        </w:rPr>
      </w:pPr>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 xml:space="preserve"> 供应商                    法定代表人或授权代表</w:t>
      </w:r>
    </w:p>
    <w:p>
      <w:pPr>
        <w:adjustRightInd w:val="0"/>
        <w:snapToGrid w:val="0"/>
        <w:spacing w:line="360" w:lineRule="auto"/>
        <w:rPr>
          <w:rFonts w:hint="eastAsia" w:ascii="宋体" w:hAnsi="宋体" w:eastAsia="宋体" w:cs="宋体"/>
          <w:sz w:val="28"/>
          <w:szCs w:val="28"/>
        </w:rPr>
      </w:pPr>
      <w:r>
        <w:rPr>
          <w:rFonts w:hint="eastAsia" w:ascii="宋体" w:hAnsi="宋体" w:eastAsia="宋体" w:cs="宋体"/>
          <w:sz w:val="28"/>
          <w:szCs w:val="28"/>
        </w:rPr>
        <w:t>（公章）：                     （签字或盖章）：</w:t>
      </w:r>
    </w:p>
    <w:p>
      <w:pPr>
        <w:autoSpaceDE w:val="0"/>
        <w:autoSpaceDN w:val="0"/>
        <w:adjustRightInd w:val="0"/>
        <w:snapToGrid w:val="0"/>
        <w:spacing w:line="360" w:lineRule="auto"/>
        <w:ind w:firstLine="280" w:firstLineChars="100"/>
        <w:rPr>
          <w:rFonts w:hint="eastAsia" w:ascii="宋体" w:hAnsi="宋体" w:eastAsia="宋体" w:cs="宋体"/>
          <w:bCs/>
          <w:sz w:val="44"/>
          <w:szCs w:val="44"/>
          <w:lang w:val="zh-CN"/>
        </w:rPr>
      </w:pPr>
      <w:r>
        <w:rPr>
          <w:rFonts w:hint="eastAsia" w:ascii="宋体" w:hAnsi="宋体" w:eastAsia="宋体" w:cs="宋体"/>
          <w:sz w:val="28"/>
          <w:szCs w:val="28"/>
        </w:rPr>
        <w:t xml:space="preserve">                                年    月    日</w:t>
      </w:r>
    </w:p>
    <w:p>
      <w:pPr>
        <w:autoSpaceDE w:val="0"/>
        <w:autoSpaceDN w:val="0"/>
        <w:adjustRightInd w:val="0"/>
        <w:spacing w:line="360" w:lineRule="auto"/>
        <w:jc w:val="center"/>
        <w:rPr>
          <w:rFonts w:hint="eastAsia" w:ascii="宋体" w:hAnsi="宋体" w:eastAsia="宋体" w:cs="宋体"/>
          <w:b/>
          <w:bCs/>
          <w:sz w:val="44"/>
          <w:szCs w:val="44"/>
          <w:lang w:val="zh-CN"/>
        </w:rPr>
      </w:pPr>
      <w:bookmarkStart w:id="45" w:name="_Toc21312"/>
      <w:bookmarkStart w:id="46" w:name="_Toc10725"/>
      <w:bookmarkStart w:id="47" w:name="_Toc20660416"/>
      <w:bookmarkStart w:id="48" w:name="_Toc515647823"/>
      <w:bookmarkStart w:id="49" w:name="_Toc532473511"/>
      <w:r>
        <w:rPr>
          <w:rFonts w:hint="eastAsia" w:ascii="宋体" w:hAnsi="宋体" w:eastAsia="宋体" w:cs="宋体"/>
          <w:b/>
          <w:bCs/>
          <w:sz w:val="44"/>
          <w:szCs w:val="44"/>
          <w:lang w:val="zh-CN"/>
        </w:rPr>
        <w:br w:type="page"/>
      </w:r>
      <w:bookmarkEnd w:id="45"/>
      <w:bookmarkEnd w:id="46"/>
      <w:bookmarkEnd w:id="47"/>
      <w:bookmarkEnd w:id="48"/>
      <w:bookmarkEnd w:id="49"/>
      <w:bookmarkStart w:id="50" w:name="_Toc20660417"/>
      <w:bookmarkStart w:id="51" w:name="_Toc532473512"/>
      <w:bookmarkStart w:id="52" w:name="_Toc10977"/>
      <w:bookmarkStart w:id="53" w:name="_Toc11803"/>
      <w:bookmarkStart w:id="54" w:name="_Toc515647824"/>
      <w:r>
        <w:rPr>
          <w:rFonts w:hint="eastAsia" w:ascii="宋体" w:hAnsi="宋体" w:eastAsia="宋体" w:cs="宋体"/>
          <w:b/>
          <w:bCs/>
          <w:sz w:val="44"/>
          <w:szCs w:val="44"/>
          <w:lang w:val="zh-CN"/>
        </w:rPr>
        <w:t>中小企业声明函</w:t>
      </w:r>
    </w:p>
    <w:p>
      <w:pPr>
        <w:autoSpaceDE w:val="0"/>
        <w:autoSpaceDN w:val="0"/>
        <w:adjustRightInd w:val="0"/>
        <w:spacing w:line="360" w:lineRule="auto"/>
        <w:jc w:val="center"/>
        <w:rPr>
          <w:rFonts w:hint="eastAsia" w:ascii="宋体" w:hAnsi="宋体" w:eastAsia="宋体" w:cs="宋体"/>
          <w:b/>
          <w:bCs/>
          <w:color w:val="FF0000"/>
          <w:sz w:val="44"/>
          <w:szCs w:val="44"/>
          <w:lang w:val="zh-CN"/>
        </w:rPr>
      </w:pPr>
    </w:p>
    <w:p>
      <w:pPr>
        <w:spacing w:before="480" w:beforeLines="200"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本公司(联合体)郑重声明，根据《政府采购促进中小企业发展管理办法》(财库〔2020〕46号)的规定，本公司 (联合体)参加(</w:t>
      </w:r>
      <w:r>
        <w:rPr>
          <w:rFonts w:hint="eastAsia" w:ascii="宋体" w:hAnsi="宋体" w:eastAsia="宋体" w:cs="宋体"/>
          <w:color w:val="auto"/>
          <w:spacing w:val="6"/>
          <w:sz w:val="28"/>
          <w:szCs w:val="28"/>
          <w:u w:val="single"/>
        </w:rPr>
        <w:t>采 购 人 名 称</w:t>
      </w:r>
      <w:r>
        <w:rPr>
          <w:rFonts w:hint="eastAsia" w:ascii="宋体" w:hAnsi="宋体" w:eastAsia="宋体" w:cs="宋体"/>
          <w:color w:val="auto"/>
          <w:spacing w:val="6"/>
          <w:sz w:val="28"/>
          <w:szCs w:val="28"/>
        </w:rPr>
        <w:t>)的</w:t>
      </w:r>
      <w:r>
        <w:rPr>
          <w:rFonts w:hint="eastAsia" w:ascii="宋体" w:hAnsi="宋体" w:eastAsia="宋体" w:cs="宋体"/>
          <w:color w:val="auto"/>
          <w:spacing w:val="6"/>
          <w:sz w:val="28"/>
          <w:szCs w:val="28"/>
          <w:u w:val="single"/>
        </w:rPr>
        <w:t>(项 目 名 称</w:t>
      </w:r>
      <w:r>
        <w:rPr>
          <w:rFonts w:hint="eastAsia" w:ascii="宋体" w:hAnsi="宋体" w:eastAsia="宋体" w:cs="宋体"/>
          <w:color w:val="auto"/>
          <w:spacing w:val="6"/>
          <w:sz w:val="28"/>
          <w:szCs w:val="28"/>
        </w:rPr>
        <w:t>)采购活动，提供的货物全部由符合政策要求的中小企业制造。相关企业(含联合体中的中小企业、签订分包意向协议的中小企业)的具体情况如下:</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1.(</w:t>
      </w:r>
      <w:r>
        <w:rPr>
          <w:rFonts w:hint="eastAsia" w:ascii="宋体" w:hAnsi="宋体" w:eastAsia="宋体" w:cs="宋体"/>
          <w:color w:val="auto"/>
          <w:spacing w:val="6"/>
          <w:sz w:val="28"/>
          <w:szCs w:val="28"/>
          <w:u w:val="single"/>
        </w:rPr>
        <w:t>标 的 名 称</w:t>
      </w:r>
      <w:r>
        <w:rPr>
          <w:rFonts w:hint="eastAsia" w:ascii="宋体" w:hAnsi="宋体" w:eastAsia="宋体" w:cs="宋体"/>
          <w:color w:val="auto"/>
          <w:spacing w:val="6"/>
          <w:sz w:val="28"/>
          <w:szCs w:val="28"/>
        </w:rPr>
        <w:t>)，属于(</w:t>
      </w:r>
      <w:r>
        <w:rPr>
          <w:rFonts w:hint="eastAsia" w:ascii="宋体" w:hAnsi="宋体" w:eastAsia="宋体" w:cs="宋体"/>
          <w:color w:val="auto"/>
          <w:spacing w:val="6"/>
          <w:sz w:val="28"/>
          <w:szCs w:val="28"/>
          <w:u w:val="single"/>
        </w:rPr>
        <w:t>采购文件中明确的所属行业</w:t>
      </w:r>
      <w:r>
        <w:rPr>
          <w:rFonts w:hint="eastAsia" w:ascii="宋体" w:hAnsi="宋体" w:eastAsia="宋体" w:cs="宋体"/>
          <w:color w:val="auto"/>
          <w:spacing w:val="6"/>
          <w:sz w:val="28"/>
          <w:szCs w:val="28"/>
        </w:rPr>
        <w:t>)行业；制造商为(</w:t>
      </w:r>
      <w:r>
        <w:rPr>
          <w:rFonts w:hint="eastAsia" w:ascii="宋体" w:hAnsi="宋体" w:eastAsia="宋体" w:cs="宋体"/>
          <w:color w:val="auto"/>
          <w:spacing w:val="6"/>
          <w:sz w:val="28"/>
          <w:szCs w:val="28"/>
          <w:u w:val="single"/>
        </w:rPr>
        <w:t>企 业 名 称</w:t>
      </w:r>
      <w:r>
        <w:rPr>
          <w:rFonts w:hint="eastAsia" w:ascii="宋体" w:hAnsi="宋体" w:eastAsia="宋体" w:cs="宋体"/>
          <w:color w:val="auto"/>
          <w:spacing w:val="6"/>
          <w:sz w:val="28"/>
          <w:szCs w:val="28"/>
        </w:rPr>
        <w:t>)，从业人员</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人，营业收入为</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万元，资产总额</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万元，属于(</w:t>
      </w:r>
      <w:r>
        <w:rPr>
          <w:rFonts w:hint="eastAsia" w:ascii="宋体" w:hAnsi="宋体" w:eastAsia="宋体" w:cs="宋体"/>
          <w:color w:val="auto"/>
          <w:spacing w:val="6"/>
          <w:sz w:val="28"/>
          <w:szCs w:val="28"/>
          <w:u w:val="single"/>
        </w:rPr>
        <w:t>中型企业、小型企业、微型企业</w:t>
      </w:r>
      <w:r>
        <w:rPr>
          <w:rFonts w:hint="eastAsia" w:ascii="宋体" w:hAnsi="宋体" w:eastAsia="宋体" w:cs="宋体"/>
          <w:color w:val="auto"/>
          <w:spacing w:val="6"/>
          <w:sz w:val="28"/>
          <w:szCs w:val="28"/>
        </w:rPr>
        <w:t>)；</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2.(标 的 名 称)，属于(采购文件中明确的所属行业)行业；制造商为(</w:t>
      </w:r>
      <w:r>
        <w:rPr>
          <w:rFonts w:hint="eastAsia" w:ascii="宋体" w:hAnsi="宋体" w:eastAsia="宋体" w:cs="宋体"/>
          <w:color w:val="auto"/>
          <w:spacing w:val="6"/>
          <w:sz w:val="28"/>
          <w:szCs w:val="28"/>
          <w:u w:val="single"/>
        </w:rPr>
        <w:t>企 业 名 称</w:t>
      </w:r>
      <w:r>
        <w:rPr>
          <w:rFonts w:hint="eastAsia" w:ascii="宋体" w:hAnsi="宋体" w:eastAsia="宋体" w:cs="宋体"/>
          <w:color w:val="auto"/>
          <w:spacing w:val="6"/>
          <w:sz w:val="28"/>
          <w:szCs w:val="28"/>
        </w:rPr>
        <w:t>)，从业人员</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人，营业收入为</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万元，资产总额</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万元，属于(</w:t>
      </w:r>
      <w:r>
        <w:rPr>
          <w:rFonts w:hint="eastAsia" w:ascii="宋体" w:hAnsi="宋体" w:eastAsia="宋体" w:cs="宋体"/>
          <w:color w:val="auto"/>
          <w:spacing w:val="6"/>
          <w:sz w:val="28"/>
          <w:szCs w:val="28"/>
          <w:u w:val="single"/>
        </w:rPr>
        <w:t>中型企业、小型企业、微型企业</w:t>
      </w:r>
      <w:r>
        <w:rPr>
          <w:rFonts w:hint="eastAsia" w:ascii="宋体" w:hAnsi="宋体" w:eastAsia="宋体" w:cs="宋体"/>
          <w:color w:val="auto"/>
          <w:spacing w:val="6"/>
          <w:sz w:val="28"/>
          <w:szCs w:val="28"/>
        </w:rPr>
        <w:t>)；</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3.(标 的 名 称)，属于(采购文件中明确的所属行业)行业；制造商为(</w:t>
      </w:r>
      <w:r>
        <w:rPr>
          <w:rFonts w:hint="eastAsia" w:ascii="宋体" w:hAnsi="宋体" w:eastAsia="宋体" w:cs="宋体"/>
          <w:color w:val="auto"/>
          <w:spacing w:val="6"/>
          <w:sz w:val="28"/>
          <w:szCs w:val="28"/>
          <w:u w:val="single"/>
        </w:rPr>
        <w:t>企 业 名 称</w:t>
      </w:r>
      <w:r>
        <w:rPr>
          <w:rFonts w:hint="eastAsia" w:ascii="宋体" w:hAnsi="宋体" w:eastAsia="宋体" w:cs="宋体"/>
          <w:color w:val="auto"/>
          <w:spacing w:val="6"/>
          <w:sz w:val="28"/>
          <w:szCs w:val="28"/>
        </w:rPr>
        <w:t>)，从业人员</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人，营业收入为</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万元，资产总额</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万元，属于(</w:t>
      </w:r>
      <w:r>
        <w:rPr>
          <w:rFonts w:hint="eastAsia" w:ascii="宋体" w:hAnsi="宋体" w:eastAsia="宋体" w:cs="宋体"/>
          <w:color w:val="auto"/>
          <w:spacing w:val="6"/>
          <w:sz w:val="28"/>
          <w:szCs w:val="28"/>
          <w:u w:val="single"/>
        </w:rPr>
        <w:t>中型企业、小型企业、微型企业</w:t>
      </w:r>
      <w:r>
        <w:rPr>
          <w:rFonts w:hint="eastAsia" w:ascii="宋体" w:hAnsi="宋体" w:eastAsia="宋体" w:cs="宋体"/>
          <w:color w:val="auto"/>
          <w:spacing w:val="6"/>
          <w:sz w:val="28"/>
          <w:szCs w:val="28"/>
        </w:rPr>
        <w:t>)；</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以上企业，不属于大企业的分支机构，不存在控股股东为大企业的情形，也不存在与大企业的负责人为同一人的情形。</w:t>
      </w: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本企业对上述声明内容的真实性负责。如有虚假，将依法承担相应责任。</w:t>
      </w:r>
    </w:p>
    <w:p>
      <w:pPr>
        <w:spacing w:line="360" w:lineRule="auto"/>
        <w:ind w:firstLine="584" w:firstLineChars="200"/>
        <w:rPr>
          <w:rFonts w:hint="eastAsia" w:ascii="宋体" w:hAnsi="宋体" w:eastAsia="宋体" w:cs="宋体"/>
          <w:color w:val="auto"/>
          <w:spacing w:val="6"/>
          <w:sz w:val="28"/>
          <w:szCs w:val="28"/>
        </w:rPr>
      </w:pPr>
    </w:p>
    <w:p>
      <w:pPr>
        <w:spacing w:line="360" w:lineRule="auto"/>
        <w:ind w:firstLine="584" w:firstLineChars="200"/>
        <w:rPr>
          <w:rFonts w:hint="eastAsia" w:ascii="宋体" w:hAnsi="宋体" w:eastAsia="宋体" w:cs="宋体"/>
          <w:color w:val="auto"/>
          <w:spacing w:val="6"/>
          <w:sz w:val="28"/>
          <w:szCs w:val="28"/>
        </w:rPr>
      </w:pPr>
    </w:p>
    <w:p>
      <w:pPr>
        <w:spacing w:line="360" w:lineRule="auto"/>
        <w:ind w:firstLine="584" w:firstLineChars="200"/>
        <w:rPr>
          <w:rFonts w:hint="eastAsia" w:ascii="宋体" w:hAnsi="宋体" w:eastAsia="宋体" w:cs="宋体"/>
          <w:color w:val="auto"/>
          <w:spacing w:val="6"/>
          <w:sz w:val="28"/>
          <w:szCs w:val="28"/>
        </w:rPr>
      </w:pPr>
      <w:r>
        <w:rPr>
          <w:rFonts w:hint="eastAsia" w:ascii="宋体" w:hAnsi="宋体" w:eastAsia="宋体" w:cs="宋体"/>
          <w:color w:val="auto"/>
          <w:spacing w:val="6"/>
          <w:sz w:val="28"/>
          <w:szCs w:val="28"/>
        </w:rPr>
        <w:t>企业名称：</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 xml:space="preserve">(盖单位章) </w:t>
      </w:r>
    </w:p>
    <w:p>
      <w:pPr>
        <w:spacing w:line="360" w:lineRule="auto"/>
        <w:ind w:firstLine="584" w:firstLineChars="200"/>
        <w:rPr>
          <w:rFonts w:hint="eastAsia" w:ascii="宋体" w:hAnsi="宋体" w:eastAsia="宋体" w:cs="宋体"/>
          <w:color w:val="auto"/>
          <w:spacing w:val="6"/>
          <w:sz w:val="28"/>
          <w:szCs w:val="28"/>
        </w:rPr>
      </w:pPr>
    </w:p>
    <w:p>
      <w:pPr>
        <w:spacing w:line="360" w:lineRule="auto"/>
        <w:ind w:firstLine="584" w:firstLineChars="200"/>
        <w:rPr>
          <w:rFonts w:hint="eastAsia" w:ascii="宋体" w:hAnsi="宋体" w:eastAsia="宋体" w:cs="宋体"/>
          <w:color w:val="auto"/>
          <w:spacing w:val="6"/>
          <w:sz w:val="28"/>
          <w:szCs w:val="28"/>
          <w:u w:val="single"/>
        </w:rPr>
      </w:pPr>
      <w:r>
        <w:rPr>
          <w:rFonts w:hint="eastAsia" w:ascii="宋体" w:hAnsi="宋体" w:eastAsia="宋体" w:cs="宋体"/>
          <w:color w:val="auto"/>
          <w:spacing w:val="6"/>
          <w:sz w:val="28"/>
          <w:szCs w:val="28"/>
        </w:rPr>
        <w:t>日    期:</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 xml:space="preserve"> 年 </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月</w:t>
      </w:r>
      <w:r>
        <w:rPr>
          <w:rFonts w:hint="eastAsia" w:ascii="宋体" w:hAnsi="宋体" w:eastAsia="宋体" w:cs="宋体"/>
          <w:color w:val="auto"/>
          <w:spacing w:val="6"/>
          <w:sz w:val="28"/>
          <w:szCs w:val="28"/>
          <w:u w:val="single"/>
        </w:rPr>
        <w:t xml:space="preserve">    </w:t>
      </w:r>
      <w:r>
        <w:rPr>
          <w:rFonts w:hint="eastAsia" w:ascii="宋体" w:hAnsi="宋体" w:eastAsia="宋体" w:cs="宋体"/>
          <w:color w:val="auto"/>
          <w:spacing w:val="6"/>
          <w:sz w:val="28"/>
          <w:szCs w:val="28"/>
        </w:rPr>
        <w:t>日</w:t>
      </w:r>
    </w:p>
    <w:p>
      <w:pPr>
        <w:spacing w:line="360" w:lineRule="auto"/>
        <w:rPr>
          <w:rFonts w:hint="eastAsia" w:ascii="宋体" w:hAnsi="宋体" w:eastAsia="宋体" w:cs="宋体"/>
          <w:color w:val="auto"/>
          <w:spacing w:val="15"/>
          <w:sz w:val="28"/>
          <w:szCs w:val="28"/>
          <w:shd w:val="clear" w:color="auto" w:fill="FFFFFF"/>
        </w:rPr>
      </w:pPr>
    </w:p>
    <w:p>
      <w:pPr>
        <w:spacing w:line="400" w:lineRule="exact"/>
        <w:ind w:left="141" w:leftChars="67" w:firstLine="676" w:firstLineChars="282"/>
        <w:rPr>
          <w:rFonts w:hint="eastAsia" w:ascii="宋体" w:hAnsi="宋体" w:eastAsia="宋体" w:cs="宋体"/>
          <w:color w:val="auto"/>
          <w:sz w:val="24"/>
          <w:szCs w:val="24"/>
          <w:lang w:val="en-US" w:eastAsia="zh-CN"/>
        </w:rPr>
      </w:pPr>
      <w:bookmarkStart w:id="55" w:name="_bookmark1"/>
      <w:bookmarkEnd w:id="55"/>
      <w:r>
        <w:rPr>
          <w:rFonts w:hint="eastAsia" w:ascii="宋体" w:hAnsi="宋体" w:eastAsia="宋体" w:cs="宋体"/>
          <w:color w:val="auto"/>
          <w:sz w:val="24"/>
          <w:szCs w:val="24"/>
          <w:lang w:val="en-US" w:eastAsia="zh-CN"/>
        </w:rPr>
        <w:t>说明：</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（1）填报前请认真阅读《中小企业划型标准规定》（工信部联企业[2011]300号）和《政府采购促进中小企业发展管理办法》(财库[2020]46号)相关规定。</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（2）从业人员、营业收入、资产总额填报上一年度数据，无上一年度数据的新成立企业可不填报。响应文件其他地方与《中小企业声明函》数据不一致的，以《中小企业声明函》为准。</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（3）供应商符合享受小微企业政府采购优惠政策条件的，必须填报全部货物制造商的数据，未按要求提供、填报的，不享受报价扣除优惠政策。</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供应商以联合体磋商，联合体各方提供的货物均为小微企业制造的，必须填报全部货物制造商的数据，未按要求提供、填报的，不享受报价扣除优惠政策。</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以大中型企业与小微企业组成联合体或者大中型企业向一家或者多家小微企业分包的供应商，只填写制造商为小微企业的数据，未按要求提供、填报的，不享受报价扣除优惠政策。</w:t>
      </w:r>
    </w:p>
    <w:p>
      <w:pPr>
        <w:spacing w:line="400" w:lineRule="exact"/>
        <w:ind w:left="141" w:leftChars="67" w:firstLine="676" w:firstLineChars="282"/>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（4）提供残疾人福利单位或监狱企业制造的货物视同小微企业，填报时应当注明。</w:t>
      </w:r>
    </w:p>
    <w:p>
      <w:pPr>
        <w:snapToGrid w:val="0"/>
        <w:spacing w:line="360" w:lineRule="auto"/>
        <w:rPr>
          <w:rFonts w:hint="eastAsia" w:ascii="宋体" w:hAnsi="宋体" w:eastAsia="宋体" w:cs="宋体"/>
          <w:sz w:val="24"/>
          <w:szCs w:val="24"/>
        </w:rPr>
      </w:pPr>
      <w:r>
        <w:rPr>
          <w:rFonts w:hint="eastAsia" w:ascii="宋体" w:hAnsi="宋体" w:eastAsia="宋体" w:cs="宋体"/>
          <w:sz w:val="24"/>
          <w:szCs w:val="24"/>
        </w:rPr>
        <w:br w:type="page"/>
      </w:r>
    </w:p>
    <w:p>
      <w:pPr>
        <w:autoSpaceDE w:val="0"/>
        <w:autoSpaceDN w:val="0"/>
        <w:adjustRightInd w:val="0"/>
        <w:spacing w:line="360" w:lineRule="auto"/>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供应商监狱企业声明函</w:t>
      </w:r>
      <w:bookmarkEnd w:id="50"/>
    </w:p>
    <w:bookmarkEnd w:id="51"/>
    <w:p>
      <w:pPr>
        <w:spacing w:line="360" w:lineRule="auto"/>
        <w:ind w:left="1080" w:leftChars="257" w:hanging="540"/>
        <w:jc w:val="center"/>
        <w:rPr>
          <w:rFonts w:hint="eastAsia" w:ascii="宋体" w:hAnsi="宋体" w:eastAsia="宋体" w:cs="宋体"/>
          <w:b/>
          <w:kern w:val="0"/>
          <w:sz w:val="24"/>
        </w:rPr>
      </w:pPr>
    </w:p>
    <w:p>
      <w:pPr>
        <w:widowControl/>
        <w:snapToGrid w:val="0"/>
        <w:spacing w:before="100" w:beforeAutospacing="1" w:after="100" w:afterAutospacing="1"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本单位郑重声明下列事项（按照实际情况勾选或填空）：</w:t>
      </w:r>
    </w:p>
    <w:p>
      <w:pPr>
        <w:widowControl/>
        <w:snapToGrid w:val="0"/>
        <w:spacing w:before="100" w:beforeAutospacing="1" w:after="100" w:afterAutospacing="1"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本企业（单位）为直接供应商，由本企业直接提供服务。</w:t>
      </w:r>
    </w:p>
    <w:p>
      <w:pPr>
        <w:widowControl/>
        <w:snapToGrid w:val="0"/>
        <w:spacing w:before="100" w:beforeAutospacing="1" w:after="100" w:afterAutospacing="1" w:line="360" w:lineRule="auto"/>
        <w:ind w:firstLine="560" w:firstLineChars="200"/>
        <w:jc w:val="left"/>
        <w:rPr>
          <w:rFonts w:hint="eastAsia" w:ascii="宋体" w:hAnsi="宋体" w:eastAsia="宋体" w:cs="宋体"/>
          <w:kern w:val="0"/>
          <w:sz w:val="28"/>
          <w:szCs w:val="28"/>
        </w:rPr>
      </w:pPr>
      <w:r>
        <w:rPr>
          <w:rFonts w:hint="eastAsia" w:ascii="宋体" w:hAnsi="宋体" w:eastAsia="宋体" w:cs="宋体"/>
          <w:kern w:val="0"/>
          <w:sz w:val="28"/>
          <w:szCs w:val="28"/>
        </w:rPr>
        <w:t>本企业（单位）</w:t>
      </w:r>
      <w:r>
        <w:rPr>
          <w:rFonts w:hint="eastAsia" w:ascii="宋体" w:hAnsi="宋体" w:eastAsia="宋体" w:cs="宋体"/>
          <w:kern w:val="0"/>
          <w:sz w:val="28"/>
          <w:szCs w:val="28"/>
          <w:u w:val="single"/>
        </w:rPr>
        <w:t xml:space="preserve">        </w:t>
      </w:r>
      <w:r>
        <w:rPr>
          <w:rFonts w:hint="eastAsia" w:ascii="宋体" w:hAnsi="宋体" w:eastAsia="宋体" w:cs="宋体"/>
          <w:kern w:val="0"/>
          <w:sz w:val="28"/>
          <w:szCs w:val="28"/>
        </w:rPr>
        <w:t>（请填写：是、不是）监狱企业。如果是，后附省级以上监狱管理局、戒毒管理局（含新疆生产建设兵团）出具的属于监狱企业的证明文件。</w:t>
      </w:r>
    </w:p>
    <w:p>
      <w:pPr>
        <w:widowControl/>
        <w:snapToGrid w:val="0"/>
        <w:spacing w:before="100" w:beforeAutospacing="1" w:after="100" w:afterAutospacing="1" w:line="360" w:lineRule="auto"/>
        <w:jc w:val="left"/>
        <w:rPr>
          <w:rFonts w:hint="eastAsia" w:ascii="宋体" w:hAnsi="宋体" w:eastAsia="宋体" w:cs="宋体"/>
          <w:kern w:val="0"/>
          <w:sz w:val="28"/>
          <w:szCs w:val="28"/>
        </w:rPr>
      </w:pPr>
      <w:r>
        <w:rPr>
          <w:rFonts w:hint="eastAsia" w:ascii="宋体" w:hAnsi="宋体" w:eastAsia="宋体" w:cs="宋体"/>
          <w:kern w:val="0"/>
          <w:sz w:val="28"/>
          <w:szCs w:val="28"/>
        </w:rPr>
        <w:t>　　本企业（单位）对上述声明的真实性负责。如有虚假，将依法承担相应责任。</w:t>
      </w:r>
    </w:p>
    <w:p>
      <w:pPr>
        <w:widowControl/>
        <w:snapToGrid w:val="0"/>
        <w:spacing w:before="100" w:beforeAutospacing="1" w:after="100" w:afterAutospacing="1" w:line="360" w:lineRule="auto"/>
        <w:jc w:val="left"/>
        <w:rPr>
          <w:rFonts w:hint="eastAsia" w:ascii="宋体" w:hAnsi="宋体" w:eastAsia="宋体" w:cs="宋体"/>
          <w:b/>
          <w:sz w:val="28"/>
          <w:szCs w:val="28"/>
        </w:rPr>
      </w:pPr>
      <w:r>
        <w:rPr>
          <w:rFonts w:hint="eastAsia" w:ascii="宋体" w:hAnsi="宋体" w:eastAsia="宋体" w:cs="宋体"/>
          <w:kern w:val="0"/>
          <w:sz w:val="28"/>
          <w:szCs w:val="28"/>
        </w:rPr>
        <w:t>　　</w:t>
      </w:r>
      <w:r>
        <w:rPr>
          <w:rFonts w:hint="eastAsia" w:ascii="宋体" w:hAnsi="宋体" w:eastAsia="宋体" w:cs="宋体"/>
          <w:b/>
          <w:kern w:val="0"/>
          <w:sz w:val="28"/>
          <w:szCs w:val="28"/>
        </w:rPr>
        <w:t>　</w:t>
      </w:r>
    </w:p>
    <w:p>
      <w:pPr>
        <w:widowControl/>
        <w:snapToGrid w:val="0"/>
        <w:spacing w:before="100" w:beforeAutospacing="1" w:after="100" w:afterAutospacing="1" w:line="360" w:lineRule="auto"/>
        <w:ind w:firstLine="4620" w:firstLineChars="1650"/>
        <w:jc w:val="left"/>
        <w:rPr>
          <w:rFonts w:hint="eastAsia" w:ascii="宋体" w:hAnsi="宋体" w:eastAsia="宋体" w:cs="宋体"/>
          <w:kern w:val="0"/>
          <w:sz w:val="28"/>
          <w:szCs w:val="28"/>
        </w:rPr>
      </w:pPr>
      <w:r>
        <w:rPr>
          <w:rFonts w:hint="eastAsia" w:ascii="宋体" w:hAnsi="宋体" w:eastAsia="宋体" w:cs="宋体"/>
          <w:kern w:val="0"/>
          <w:sz w:val="28"/>
          <w:szCs w:val="28"/>
        </w:rPr>
        <w:t>供应商（盖章）：</w:t>
      </w:r>
      <w:r>
        <w:rPr>
          <w:rFonts w:hint="eastAsia" w:ascii="宋体" w:hAnsi="宋体" w:eastAsia="宋体" w:cs="宋体"/>
          <w:kern w:val="0"/>
          <w:sz w:val="28"/>
          <w:szCs w:val="28"/>
          <w:u w:val="single"/>
        </w:rPr>
        <w:t xml:space="preserve">             </w:t>
      </w:r>
    </w:p>
    <w:p>
      <w:pPr>
        <w:widowControl/>
        <w:snapToGrid w:val="0"/>
        <w:spacing w:before="100" w:beforeAutospacing="1" w:after="100" w:afterAutospacing="1" w:line="360" w:lineRule="auto"/>
        <w:ind w:firstLine="4340" w:firstLineChars="1550"/>
        <w:jc w:val="left"/>
        <w:rPr>
          <w:rFonts w:hint="eastAsia" w:ascii="宋体" w:hAnsi="宋体" w:eastAsia="宋体" w:cs="宋体"/>
          <w:kern w:val="0"/>
          <w:sz w:val="28"/>
          <w:szCs w:val="28"/>
          <w:u w:val="single"/>
        </w:rPr>
      </w:pPr>
      <w:r>
        <w:rPr>
          <w:rFonts w:hint="eastAsia" w:ascii="宋体" w:hAnsi="宋体" w:eastAsia="宋体" w:cs="宋体"/>
          <w:kern w:val="0"/>
          <w:sz w:val="28"/>
          <w:szCs w:val="28"/>
        </w:rPr>
        <w:t>　日　期：</w:t>
      </w:r>
      <w:r>
        <w:rPr>
          <w:rFonts w:hint="eastAsia" w:ascii="宋体" w:hAnsi="宋体" w:eastAsia="宋体" w:cs="宋体"/>
          <w:kern w:val="0"/>
          <w:sz w:val="28"/>
          <w:szCs w:val="28"/>
          <w:u w:val="single"/>
        </w:rPr>
        <w:t xml:space="preserve">             </w:t>
      </w:r>
    </w:p>
    <w:p>
      <w:pPr>
        <w:pStyle w:val="11"/>
        <w:spacing w:line="360" w:lineRule="auto"/>
        <w:rPr>
          <w:rFonts w:hint="eastAsia" w:ascii="宋体" w:hAnsi="宋体" w:eastAsia="宋体" w:cs="宋体"/>
          <w:sz w:val="24"/>
        </w:rPr>
      </w:pPr>
    </w:p>
    <w:p>
      <w:pPr>
        <w:pStyle w:val="11"/>
        <w:spacing w:line="360" w:lineRule="auto"/>
        <w:ind w:firstLine="480" w:firstLineChars="200"/>
        <w:rPr>
          <w:rFonts w:hint="eastAsia" w:ascii="宋体" w:hAnsi="宋体" w:eastAsia="宋体" w:cs="宋体"/>
          <w:b/>
          <w:kern w:val="0"/>
          <w:sz w:val="28"/>
          <w:szCs w:val="28"/>
        </w:rPr>
      </w:pPr>
      <w:r>
        <w:rPr>
          <w:rFonts w:hint="eastAsia" w:ascii="宋体" w:hAnsi="宋体" w:eastAsia="宋体" w:cs="宋体"/>
          <w:sz w:val="24"/>
        </w:rPr>
        <w:t>注：符合《关于政府采购支持监狱企业发展有关问题的通知》价格扣减条件的供应商须提交。如供应商不属于监狱企业单位，无需提供此声明函。</w:t>
      </w:r>
    </w:p>
    <w:p>
      <w:pPr>
        <w:autoSpaceDE w:val="0"/>
        <w:autoSpaceDN w:val="0"/>
        <w:adjustRightInd w:val="0"/>
        <w:spacing w:line="360" w:lineRule="auto"/>
        <w:jc w:val="center"/>
        <w:rPr>
          <w:rFonts w:hint="eastAsia" w:ascii="宋体" w:hAnsi="宋体" w:eastAsia="宋体" w:cs="宋体"/>
          <w:lang w:val="zh-CN"/>
        </w:rPr>
      </w:pPr>
      <w:r>
        <w:rPr>
          <w:rFonts w:hint="eastAsia" w:ascii="宋体" w:hAnsi="宋体" w:eastAsia="宋体" w:cs="宋体"/>
          <w:sz w:val="24"/>
        </w:rPr>
        <w:br w:type="page"/>
      </w:r>
      <w:bookmarkStart w:id="56" w:name="_Toc20660418"/>
      <w:bookmarkStart w:id="57" w:name="_Toc532473513"/>
      <w:r>
        <w:rPr>
          <w:rFonts w:hint="eastAsia" w:ascii="宋体" w:hAnsi="宋体" w:eastAsia="宋体" w:cs="宋体"/>
          <w:b/>
          <w:bCs/>
          <w:sz w:val="44"/>
          <w:szCs w:val="44"/>
          <w:lang w:val="zh-CN"/>
        </w:rPr>
        <w:t>残疾人福利性单位声明函</w:t>
      </w:r>
      <w:bookmarkEnd w:id="56"/>
    </w:p>
    <w:bookmarkEnd w:id="57"/>
    <w:p>
      <w:pPr>
        <w:spacing w:line="360" w:lineRule="auto"/>
        <w:ind w:firstLine="567"/>
        <w:rPr>
          <w:rFonts w:hint="eastAsia" w:ascii="宋体" w:hAnsi="宋体" w:eastAsia="宋体" w:cs="宋体"/>
          <w:kern w:val="0"/>
          <w:sz w:val="28"/>
          <w:szCs w:val="28"/>
        </w:rPr>
      </w:pPr>
      <w:r>
        <w:rPr>
          <w:rFonts w:hint="eastAsia" w:ascii="宋体" w:hAnsi="宋体" w:eastAsia="宋体" w:cs="宋体"/>
          <w:kern w:val="0"/>
          <w:sz w:val="28"/>
          <w:szCs w:val="28"/>
        </w:rPr>
        <w:t>本单位郑重声明，根据《财政部 民政部 中国残疾人联合会关于促进残疾人就业政府采购政策的通知》（财库〔2017〕141号）的规定，本单位为符合条件的残疾人福利性单位，且本单位参加______单位的______项目采购活动直接提供服务。</w:t>
      </w:r>
    </w:p>
    <w:p>
      <w:pPr>
        <w:spacing w:line="360" w:lineRule="auto"/>
        <w:ind w:left="1080" w:leftChars="257" w:hanging="540"/>
        <w:rPr>
          <w:rFonts w:hint="eastAsia" w:ascii="宋体" w:hAnsi="宋体" w:eastAsia="宋体" w:cs="宋体"/>
          <w:kern w:val="0"/>
          <w:sz w:val="28"/>
          <w:szCs w:val="28"/>
        </w:rPr>
      </w:pPr>
      <w:r>
        <w:rPr>
          <w:rFonts w:hint="eastAsia" w:ascii="宋体" w:hAnsi="宋体" w:eastAsia="宋体" w:cs="宋体"/>
          <w:kern w:val="0"/>
          <w:sz w:val="28"/>
          <w:szCs w:val="28"/>
        </w:rPr>
        <w:t>本单位对上述声明的真实性负责。如有虚假，将依法承担相应责任。</w:t>
      </w:r>
    </w:p>
    <w:p>
      <w:pPr>
        <w:spacing w:line="360" w:lineRule="auto"/>
        <w:ind w:left="1080" w:leftChars="257" w:hanging="540"/>
        <w:jc w:val="center"/>
        <w:rPr>
          <w:rFonts w:hint="eastAsia" w:ascii="宋体" w:hAnsi="宋体" w:eastAsia="宋体" w:cs="宋体"/>
          <w:kern w:val="0"/>
          <w:sz w:val="28"/>
          <w:szCs w:val="28"/>
        </w:rPr>
      </w:pPr>
    </w:p>
    <w:p>
      <w:pPr>
        <w:spacing w:line="360" w:lineRule="auto"/>
        <w:ind w:left="1080" w:leftChars="257" w:hanging="540"/>
        <w:jc w:val="center"/>
        <w:rPr>
          <w:rFonts w:hint="eastAsia" w:ascii="宋体" w:hAnsi="宋体" w:eastAsia="宋体" w:cs="宋体"/>
          <w:kern w:val="0"/>
          <w:sz w:val="28"/>
          <w:szCs w:val="28"/>
        </w:rPr>
      </w:pPr>
    </w:p>
    <w:p>
      <w:pPr>
        <w:spacing w:line="360" w:lineRule="auto"/>
        <w:ind w:left="1080" w:leftChars="257" w:hanging="540"/>
        <w:jc w:val="center"/>
        <w:rPr>
          <w:rFonts w:hint="eastAsia" w:ascii="宋体" w:hAnsi="宋体" w:eastAsia="宋体" w:cs="宋体"/>
          <w:kern w:val="0"/>
          <w:sz w:val="28"/>
          <w:szCs w:val="28"/>
          <w:u w:val="single"/>
        </w:rPr>
      </w:pPr>
      <w:r>
        <w:rPr>
          <w:rFonts w:hint="eastAsia" w:ascii="宋体" w:hAnsi="宋体" w:eastAsia="宋体" w:cs="宋体"/>
          <w:kern w:val="0"/>
          <w:sz w:val="28"/>
          <w:szCs w:val="28"/>
        </w:rPr>
        <w:t xml:space="preserve"> 残疾人福利性单位（盖章）：</w:t>
      </w:r>
      <w:r>
        <w:rPr>
          <w:rFonts w:hint="eastAsia" w:ascii="宋体" w:hAnsi="宋体" w:eastAsia="宋体" w:cs="宋体"/>
          <w:kern w:val="0"/>
          <w:sz w:val="28"/>
          <w:szCs w:val="28"/>
          <w:u w:val="single"/>
        </w:rPr>
        <w:t xml:space="preserve">                  </w:t>
      </w:r>
    </w:p>
    <w:p>
      <w:pPr>
        <w:spacing w:line="360" w:lineRule="auto"/>
        <w:ind w:left="1080" w:leftChars="257" w:hanging="540"/>
        <w:jc w:val="center"/>
        <w:rPr>
          <w:rFonts w:hint="eastAsia" w:ascii="宋体" w:hAnsi="宋体" w:eastAsia="宋体" w:cs="宋体"/>
          <w:kern w:val="0"/>
          <w:sz w:val="28"/>
          <w:szCs w:val="28"/>
        </w:rPr>
      </w:pPr>
      <w:r>
        <w:rPr>
          <w:rFonts w:hint="eastAsia" w:ascii="宋体" w:hAnsi="宋体" w:eastAsia="宋体" w:cs="宋体"/>
          <w:kern w:val="0"/>
          <w:sz w:val="28"/>
          <w:szCs w:val="28"/>
        </w:rPr>
        <w:t xml:space="preserve">         </w:t>
      </w:r>
    </w:p>
    <w:p>
      <w:pPr>
        <w:spacing w:line="360" w:lineRule="auto"/>
        <w:ind w:left="645" w:leftChars="307" w:firstLine="3080" w:firstLineChars="1100"/>
        <w:rPr>
          <w:rFonts w:hint="eastAsia" w:ascii="宋体" w:hAnsi="宋体" w:eastAsia="宋体" w:cs="宋体"/>
          <w:kern w:val="0"/>
          <w:sz w:val="28"/>
          <w:szCs w:val="28"/>
          <w:u w:val="single"/>
        </w:rPr>
      </w:pPr>
      <w:r>
        <w:rPr>
          <w:rFonts w:hint="eastAsia" w:ascii="宋体" w:hAnsi="宋体" w:eastAsia="宋体" w:cs="宋体"/>
          <w:kern w:val="0"/>
          <w:sz w:val="28"/>
          <w:szCs w:val="28"/>
        </w:rPr>
        <w:t>日  期：</w:t>
      </w:r>
      <w:r>
        <w:rPr>
          <w:rFonts w:hint="eastAsia" w:ascii="宋体" w:hAnsi="宋体" w:eastAsia="宋体" w:cs="宋体"/>
          <w:kern w:val="0"/>
          <w:sz w:val="28"/>
          <w:szCs w:val="28"/>
          <w:u w:val="single"/>
        </w:rPr>
        <w:t xml:space="preserve">                             </w:t>
      </w:r>
    </w:p>
    <w:p>
      <w:pPr>
        <w:spacing w:line="360" w:lineRule="auto"/>
        <w:ind w:left="645" w:leftChars="307" w:firstLine="3080" w:firstLineChars="1100"/>
        <w:rPr>
          <w:rFonts w:hint="eastAsia" w:ascii="宋体" w:hAnsi="宋体" w:eastAsia="宋体" w:cs="宋体"/>
          <w:kern w:val="0"/>
          <w:sz w:val="28"/>
          <w:szCs w:val="28"/>
          <w:u w:val="single"/>
        </w:rPr>
      </w:pPr>
    </w:p>
    <w:p>
      <w:pPr>
        <w:spacing w:line="360" w:lineRule="auto"/>
        <w:ind w:left="645" w:leftChars="307" w:firstLine="3080" w:firstLineChars="1100"/>
        <w:rPr>
          <w:rFonts w:hint="eastAsia" w:ascii="宋体" w:hAnsi="宋体" w:eastAsia="宋体" w:cs="宋体"/>
          <w:kern w:val="0"/>
          <w:sz w:val="28"/>
          <w:szCs w:val="28"/>
          <w:u w:val="single"/>
        </w:rPr>
      </w:pPr>
    </w:p>
    <w:p>
      <w:pPr>
        <w:spacing w:line="360" w:lineRule="auto"/>
        <w:ind w:left="645" w:leftChars="307" w:firstLine="3080" w:firstLineChars="1100"/>
        <w:rPr>
          <w:rFonts w:hint="eastAsia" w:ascii="宋体" w:hAnsi="宋体" w:eastAsia="宋体" w:cs="宋体"/>
          <w:kern w:val="0"/>
          <w:sz w:val="28"/>
          <w:szCs w:val="28"/>
          <w:u w:val="single"/>
        </w:rPr>
      </w:pPr>
    </w:p>
    <w:p>
      <w:pPr>
        <w:pStyle w:val="11"/>
        <w:spacing w:line="360" w:lineRule="auto"/>
        <w:ind w:firstLine="480" w:firstLineChars="200"/>
        <w:rPr>
          <w:rFonts w:hint="eastAsia" w:ascii="宋体" w:hAnsi="宋体" w:eastAsia="宋体" w:cs="宋体"/>
          <w:sz w:val="24"/>
        </w:rPr>
      </w:pPr>
      <w:r>
        <w:rPr>
          <w:rFonts w:hint="eastAsia" w:ascii="宋体" w:hAnsi="宋体" w:eastAsia="宋体" w:cs="宋体"/>
          <w:sz w:val="24"/>
        </w:rPr>
        <w:t>注：符合《三部门联合发布关于促进残疾人就业政府采购政策的通知》价格扣减条件的供应商须提交，如供应商不属于残疾人福利性单位，无需提供此声明函。</w:t>
      </w:r>
    </w:p>
    <w:p>
      <w:pPr>
        <w:jc w:val="center"/>
        <w:rPr>
          <w:rFonts w:hint="eastAsia" w:ascii="宋体" w:hAnsi="宋体" w:eastAsia="宋体" w:cs="宋体"/>
          <w:b/>
          <w:bCs/>
          <w:sz w:val="44"/>
          <w:szCs w:val="44"/>
          <w:lang w:val="zh-CN"/>
        </w:rPr>
      </w:pPr>
      <w:r>
        <w:rPr>
          <w:rFonts w:hint="eastAsia" w:ascii="宋体" w:hAnsi="宋体" w:eastAsia="宋体" w:cs="宋体"/>
          <w:sz w:val="24"/>
        </w:rPr>
        <w:br w:type="page"/>
      </w:r>
      <w:bookmarkEnd w:id="52"/>
      <w:bookmarkEnd w:id="53"/>
      <w:bookmarkEnd w:id="54"/>
      <w:r>
        <w:rPr>
          <w:rFonts w:hint="eastAsia" w:ascii="宋体" w:hAnsi="宋体" w:eastAsia="宋体" w:cs="宋体"/>
          <w:b/>
          <w:bCs/>
          <w:sz w:val="44"/>
          <w:szCs w:val="44"/>
          <w:lang w:val="zh-CN"/>
        </w:rPr>
        <w:t>第五部分</w:t>
      </w:r>
      <w:r>
        <w:rPr>
          <w:rFonts w:hint="eastAsia" w:ascii="宋体" w:hAnsi="宋体" w:eastAsia="宋体" w:cs="宋体"/>
          <w:b/>
          <w:bCs/>
          <w:sz w:val="44"/>
          <w:szCs w:val="44"/>
        </w:rPr>
        <w:t xml:space="preserve">  资格证明文件</w:t>
      </w:r>
    </w:p>
    <w:p>
      <w:pPr>
        <w:autoSpaceDE w:val="0"/>
        <w:autoSpaceDN w:val="0"/>
        <w:adjustRightInd w:val="0"/>
        <w:jc w:val="center"/>
        <w:rPr>
          <w:rFonts w:hint="eastAsia" w:ascii="宋体" w:hAnsi="宋体" w:eastAsia="宋体" w:cs="宋体"/>
          <w:b/>
          <w:bCs/>
          <w:sz w:val="44"/>
          <w:szCs w:val="44"/>
        </w:rPr>
      </w:pP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1、供应商资格要求：</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1-1、基本资格条件：符合《中华人民共和国政府采购法》第二十二条的规定；</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1-1-1、供应商应具有合法注册的法人或其他组织的营业执照等证明文件，自然人的身份证明；</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1-1-2、供应商应具有良好的商业信誉和健全的财务会计制度（供应商须提供具有财务审计资质单位出具的</w:t>
      </w:r>
      <w:r>
        <w:rPr>
          <w:rFonts w:hint="eastAsia" w:ascii="宋体" w:hAnsi="宋体" w:eastAsia="宋体" w:cs="宋体"/>
          <w:kern w:val="0"/>
          <w:sz w:val="28"/>
          <w:szCs w:val="28"/>
          <w:lang w:val="en-US" w:eastAsia="zh-CN"/>
        </w:rPr>
        <w:t>2020</w:t>
      </w:r>
      <w:r>
        <w:rPr>
          <w:rFonts w:hint="eastAsia" w:ascii="宋体" w:hAnsi="宋体" w:eastAsia="宋体" w:cs="宋体"/>
          <w:kern w:val="0"/>
          <w:sz w:val="28"/>
          <w:szCs w:val="28"/>
        </w:rPr>
        <w:t>年财务报告</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成立时间不足一年的提供开户银行出具的近三个月的资信证明</w:t>
      </w:r>
      <w:r>
        <w:rPr>
          <w:rFonts w:hint="eastAsia" w:ascii="宋体" w:hAnsi="宋体" w:eastAsia="宋体" w:cs="宋体"/>
          <w:kern w:val="0"/>
          <w:sz w:val="28"/>
          <w:szCs w:val="28"/>
        </w:rPr>
        <w:t>）；</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 xml:space="preserve">1-1-3、依法缴纳税收和社会保障资金的相关材料； </w:t>
      </w:r>
    </w:p>
    <w:p>
      <w:pPr>
        <w:widowControl/>
        <w:shd w:val="clear" w:color="auto" w:fill="FFFFFF"/>
        <w:snapToGrid w:val="0"/>
        <w:spacing w:line="360" w:lineRule="auto"/>
        <w:ind w:firstLine="480"/>
        <w:jc w:val="left"/>
        <w:rPr>
          <w:rFonts w:hint="default" w:ascii="宋体" w:hAnsi="宋体" w:eastAsia="宋体" w:cs="宋体"/>
          <w:kern w:val="0"/>
          <w:sz w:val="28"/>
          <w:szCs w:val="28"/>
          <w:lang w:val="en-US" w:eastAsia="zh-CN"/>
        </w:rPr>
      </w:pPr>
      <w:r>
        <w:rPr>
          <w:rFonts w:hint="eastAsia" w:ascii="宋体" w:hAnsi="宋体" w:eastAsia="宋体" w:cs="宋体"/>
          <w:kern w:val="0"/>
          <w:sz w:val="28"/>
          <w:szCs w:val="28"/>
        </w:rPr>
        <w:t>1-1-4、具备履行合同所必需的设备和专业技术能力的证明材料或承诺函；</w:t>
      </w:r>
      <w:r>
        <w:rPr>
          <w:rFonts w:hint="eastAsia" w:ascii="宋体" w:hAnsi="宋体" w:cs="宋体"/>
          <w:kern w:val="0"/>
          <w:sz w:val="28"/>
          <w:szCs w:val="28"/>
          <w:lang w:eastAsia="zh-CN"/>
        </w:rPr>
        <w:t>（</w:t>
      </w:r>
      <w:r>
        <w:rPr>
          <w:rFonts w:hint="eastAsia" w:ascii="宋体" w:hAnsi="宋体" w:cs="宋体"/>
          <w:kern w:val="0"/>
          <w:sz w:val="28"/>
          <w:szCs w:val="28"/>
          <w:lang w:val="en-US" w:eastAsia="zh-CN"/>
        </w:rPr>
        <w:t>提供近6个月以来任意时段、任意税种的缴纳证明，依法免缴的提供相关证明文件）</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1-1-5、参加政府采购活动前三年内在经营活动中没有重大违法记录的书面声明；</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1-2、特定资格条件：</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供应商应授权合法的人员参加磋商全过程，其中法定代表人直接参加磋商的，须出具</w:t>
      </w:r>
      <w:r>
        <w:rPr>
          <w:rFonts w:hint="eastAsia" w:ascii="宋体" w:hAnsi="宋体" w:cs="宋体"/>
          <w:kern w:val="0"/>
          <w:sz w:val="28"/>
          <w:szCs w:val="28"/>
          <w:lang w:val="en-US" w:eastAsia="zh-CN"/>
        </w:rPr>
        <w:t>法定代表人</w:t>
      </w:r>
      <w:r>
        <w:rPr>
          <w:rFonts w:hint="eastAsia" w:ascii="宋体" w:hAnsi="宋体" w:eastAsia="宋体" w:cs="宋体"/>
          <w:kern w:val="0"/>
          <w:sz w:val="28"/>
          <w:szCs w:val="28"/>
        </w:rPr>
        <w:t>身份证，并与营业执照上信息一致。法定代表人授权代表参加磋商的，须出具法定代表人授权书及授权代表身份证</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 xml:space="preserve">        </w:t>
      </w:r>
    </w:p>
    <w:p>
      <w:pPr>
        <w:widowControl/>
        <w:shd w:val="clear" w:color="auto" w:fill="FFFFFF"/>
        <w:snapToGrid w:val="0"/>
        <w:spacing w:line="360" w:lineRule="auto"/>
        <w:ind w:firstLine="480"/>
        <w:jc w:val="left"/>
        <w:rPr>
          <w:rFonts w:hint="eastAsia" w:ascii="宋体" w:hAnsi="宋体" w:eastAsia="宋体" w:cs="宋体"/>
          <w:kern w:val="0"/>
          <w:sz w:val="28"/>
          <w:szCs w:val="28"/>
        </w:rPr>
      </w:pPr>
      <w:r>
        <w:rPr>
          <w:rFonts w:hint="eastAsia" w:ascii="宋体" w:hAnsi="宋体" w:eastAsia="宋体" w:cs="宋体"/>
          <w:kern w:val="0"/>
          <w:sz w:val="28"/>
          <w:szCs w:val="28"/>
        </w:rPr>
        <w:t>1-2-3、本项目不接受联合体磋商。</w:t>
      </w:r>
    </w:p>
    <w:p>
      <w:pPr>
        <w:autoSpaceDE w:val="0"/>
        <w:autoSpaceDN w:val="0"/>
        <w:adjustRightInd w:val="0"/>
        <w:spacing w:line="348" w:lineRule="auto"/>
        <w:jc w:val="left"/>
        <w:rPr>
          <w:rFonts w:hint="eastAsia" w:ascii="宋体" w:hAnsi="宋体" w:eastAsia="宋体" w:cs="宋体"/>
          <w:b/>
          <w:bCs/>
          <w:sz w:val="32"/>
          <w:szCs w:val="32"/>
        </w:rPr>
      </w:pPr>
      <w:r>
        <w:rPr>
          <w:rFonts w:hint="eastAsia" w:ascii="宋体" w:hAnsi="宋体" w:eastAsia="宋体" w:cs="宋体"/>
          <w:bCs/>
          <w:sz w:val="28"/>
          <w:szCs w:val="28"/>
        </w:rPr>
        <w:t>以上为供应商资格要求，各供应商在磋商时须提供以上要求文件原件或加盖供应商红色公章的复印件，附在磋商响应文件中，在评审过程中由磋商小组进行评审，无效或缺项将被视为无效文件。</w:t>
      </w:r>
      <w:r>
        <w:rPr>
          <w:rFonts w:hint="eastAsia" w:ascii="宋体" w:hAnsi="宋体" w:eastAsia="宋体" w:cs="宋体"/>
          <w:b/>
          <w:bCs/>
          <w:sz w:val="32"/>
          <w:szCs w:val="32"/>
          <w:lang w:val="zh-CN"/>
        </w:rPr>
        <w:br w:type="page"/>
      </w: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zh-CN"/>
        </w:rPr>
        <w:t>法定代表人授权书</w:t>
      </w:r>
    </w:p>
    <w:p>
      <w:pPr>
        <w:autoSpaceDE w:val="0"/>
        <w:autoSpaceDN w:val="0"/>
        <w:adjustRightInd w:val="0"/>
        <w:spacing w:line="348" w:lineRule="auto"/>
        <w:ind w:firstLine="400"/>
        <w:rPr>
          <w:rFonts w:hint="eastAsia" w:ascii="宋体" w:hAnsi="宋体" w:eastAsia="宋体" w:cs="宋体"/>
          <w:b/>
          <w:bCs/>
          <w:sz w:val="20"/>
        </w:rPr>
      </w:pPr>
    </w:p>
    <w:p>
      <w:pPr>
        <w:autoSpaceDE w:val="0"/>
        <w:autoSpaceDN w:val="0"/>
        <w:adjustRightInd w:val="0"/>
        <w:spacing w:line="348" w:lineRule="auto"/>
        <w:rPr>
          <w:rFonts w:hint="eastAsia" w:ascii="宋体" w:hAnsi="宋体" w:eastAsia="宋体" w:cs="宋体"/>
          <w:sz w:val="28"/>
          <w:szCs w:val="28"/>
        </w:rPr>
      </w:pPr>
      <w:r>
        <w:rPr>
          <w:rFonts w:hint="eastAsia" w:ascii="宋体" w:hAnsi="宋体" w:eastAsia="宋体" w:cs="宋体"/>
          <w:sz w:val="28"/>
          <w:szCs w:val="28"/>
          <w:lang w:val="zh-CN"/>
        </w:rPr>
        <w:t>陕西海佳项目管理有限公司：</w:t>
      </w:r>
    </w:p>
    <w:p>
      <w:pPr>
        <w:autoSpaceDE w:val="0"/>
        <w:autoSpaceDN w:val="0"/>
        <w:adjustRightInd w:val="0"/>
        <w:spacing w:line="348" w:lineRule="auto"/>
        <w:ind w:firstLine="640"/>
        <w:rPr>
          <w:rFonts w:hint="eastAsia" w:ascii="宋体" w:hAnsi="宋体" w:eastAsia="宋体" w:cs="宋体"/>
          <w:sz w:val="28"/>
          <w:szCs w:val="28"/>
        </w:rPr>
      </w:pPr>
      <w:r>
        <w:rPr>
          <w:rFonts w:hint="eastAsia" w:ascii="宋体" w:hAnsi="宋体" w:eastAsia="宋体" w:cs="宋体"/>
          <w:sz w:val="28"/>
          <w:szCs w:val="28"/>
          <w:lang w:val="zh-CN"/>
        </w:rPr>
        <w:t>注册于</w:t>
      </w:r>
      <w:r>
        <w:rPr>
          <w:rFonts w:hint="eastAsia" w:ascii="宋体" w:hAnsi="宋体" w:eastAsia="宋体" w:cs="宋体"/>
          <w:sz w:val="28"/>
          <w:szCs w:val="28"/>
          <w:u w:val="single"/>
          <w:lang w:val="zh-CN"/>
        </w:rPr>
        <w:t>（工商行政管理局名称）</w:t>
      </w:r>
      <w:r>
        <w:rPr>
          <w:rFonts w:hint="eastAsia" w:ascii="宋体" w:hAnsi="宋体" w:eastAsia="宋体" w:cs="宋体"/>
          <w:sz w:val="28"/>
          <w:szCs w:val="28"/>
          <w:lang w:val="zh-CN"/>
        </w:rPr>
        <w:t>之</w:t>
      </w:r>
      <w:r>
        <w:rPr>
          <w:rFonts w:hint="eastAsia" w:ascii="宋体" w:hAnsi="宋体" w:eastAsia="宋体" w:cs="宋体"/>
          <w:sz w:val="28"/>
          <w:szCs w:val="28"/>
          <w:u w:val="single"/>
          <w:lang w:val="zh-CN"/>
        </w:rPr>
        <w:t>（供应商全称）</w:t>
      </w:r>
      <w:r>
        <w:rPr>
          <w:rFonts w:hint="eastAsia" w:ascii="宋体" w:hAnsi="宋体" w:eastAsia="宋体" w:cs="宋体"/>
          <w:sz w:val="28"/>
          <w:szCs w:val="28"/>
          <w:lang w:val="zh-CN"/>
        </w:rPr>
        <w:t>法人代表</w:t>
      </w:r>
      <w:r>
        <w:rPr>
          <w:rFonts w:hint="eastAsia" w:ascii="宋体" w:hAnsi="宋体" w:eastAsia="宋体" w:cs="宋体"/>
          <w:sz w:val="28"/>
          <w:szCs w:val="28"/>
          <w:u w:val="single"/>
          <w:lang w:val="zh-CN"/>
        </w:rPr>
        <w:t>（姓名、职务）</w:t>
      </w:r>
      <w:r>
        <w:rPr>
          <w:rFonts w:hint="eastAsia" w:ascii="宋体" w:hAnsi="宋体" w:eastAsia="宋体" w:cs="宋体"/>
          <w:sz w:val="28"/>
          <w:szCs w:val="28"/>
          <w:lang w:val="zh-CN"/>
        </w:rPr>
        <w:t>授权</w:t>
      </w:r>
      <w:r>
        <w:rPr>
          <w:rFonts w:hint="eastAsia" w:ascii="宋体" w:hAnsi="宋体" w:eastAsia="宋体" w:cs="宋体"/>
          <w:sz w:val="28"/>
          <w:szCs w:val="28"/>
          <w:u w:val="single"/>
          <w:lang w:val="zh-CN"/>
        </w:rPr>
        <w:t>（被授权人姓名、职务）</w:t>
      </w:r>
      <w:r>
        <w:rPr>
          <w:rFonts w:hint="eastAsia" w:ascii="宋体" w:hAnsi="宋体" w:eastAsia="宋体" w:cs="宋体"/>
          <w:sz w:val="28"/>
          <w:szCs w:val="28"/>
          <w:lang w:val="zh-CN"/>
        </w:rPr>
        <w:t>为本公司的合法代理人，就</w:t>
      </w:r>
      <w:r>
        <w:rPr>
          <w:rFonts w:hint="eastAsia" w:ascii="宋体" w:hAnsi="宋体" w:eastAsia="宋体" w:cs="宋体"/>
          <w:sz w:val="28"/>
          <w:szCs w:val="28"/>
          <w:u w:val="single"/>
          <w:lang w:val="zh-CN"/>
        </w:rPr>
        <w:t>（项目名称）</w:t>
      </w:r>
      <w:r>
        <w:rPr>
          <w:rFonts w:hint="eastAsia" w:ascii="宋体" w:hAnsi="宋体" w:eastAsia="宋体" w:cs="宋体"/>
          <w:sz w:val="28"/>
          <w:szCs w:val="28"/>
          <w:lang w:val="zh-CN"/>
        </w:rPr>
        <w:t>的磋商及合同的执行和完成，以本公司的名义处理一切与之有关的事宜。</w:t>
      </w:r>
    </w:p>
    <w:p>
      <w:pPr>
        <w:autoSpaceDE w:val="0"/>
        <w:autoSpaceDN w:val="0"/>
        <w:adjustRightInd w:val="0"/>
        <w:spacing w:line="348" w:lineRule="auto"/>
        <w:rPr>
          <w:rFonts w:hint="eastAsia" w:ascii="宋体" w:hAnsi="宋体" w:eastAsia="宋体" w:cs="宋体"/>
          <w:sz w:val="28"/>
          <w:szCs w:val="28"/>
          <w:u w:val="single"/>
        </w:rPr>
      </w:pPr>
      <w:r>
        <w:rPr>
          <w:rFonts w:hint="eastAsia" w:ascii="宋体" w:hAnsi="宋体" w:eastAsia="宋体" w:cs="宋体"/>
          <w:sz w:val="28"/>
          <w:szCs w:val="28"/>
          <w:lang w:val="zh-CN"/>
        </w:rPr>
        <w:t>附：被授权人姓名：</w:t>
      </w:r>
      <w:r>
        <w:rPr>
          <w:rFonts w:hint="eastAsia" w:ascii="宋体" w:hAnsi="宋体" w:eastAsia="宋体" w:cs="宋体"/>
          <w:sz w:val="28"/>
          <w:szCs w:val="28"/>
          <w:u w:val="single"/>
        </w:rPr>
        <w:t xml:space="preserve">          </w:t>
      </w:r>
      <w:r>
        <w:rPr>
          <w:rFonts w:hint="eastAsia" w:ascii="宋体" w:hAnsi="宋体" w:eastAsia="宋体" w:cs="宋体"/>
          <w:sz w:val="28"/>
          <w:szCs w:val="28"/>
          <w:lang w:val="zh-CN"/>
        </w:rPr>
        <w:t>性别：</w:t>
      </w:r>
      <w:r>
        <w:rPr>
          <w:rFonts w:hint="eastAsia" w:ascii="宋体" w:hAnsi="宋体" w:eastAsia="宋体" w:cs="宋体"/>
          <w:sz w:val="28"/>
          <w:szCs w:val="28"/>
          <w:u w:val="single"/>
        </w:rPr>
        <w:t xml:space="preserve">    </w:t>
      </w:r>
      <w:r>
        <w:rPr>
          <w:rFonts w:hint="eastAsia" w:ascii="宋体" w:hAnsi="宋体" w:eastAsia="宋体" w:cs="宋体"/>
          <w:sz w:val="28"/>
          <w:szCs w:val="28"/>
          <w:lang w:val="zh-CN"/>
        </w:rPr>
        <w:t>年龄：</w:t>
      </w:r>
      <w:r>
        <w:rPr>
          <w:rFonts w:hint="eastAsia" w:ascii="宋体" w:hAnsi="宋体" w:eastAsia="宋体" w:cs="宋体"/>
          <w:sz w:val="28"/>
          <w:szCs w:val="28"/>
          <w:u w:val="single"/>
        </w:rPr>
        <w:t xml:space="preserve">        </w:t>
      </w:r>
    </w:p>
    <w:p>
      <w:pPr>
        <w:autoSpaceDE w:val="0"/>
        <w:autoSpaceDN w:val="0"/>
        <w:adjustRightInd w:val="0"/>
        <w:spacing w:line="348" w:lineRule="auto"/>
        <w:ind w:firstLine="630"/>
        <w:rPr>
          <w:rFonts w:hint="eastAsia" w:ascii="宋体" w:hAnsi="宋体" w:eastAsia="宋体" w:cs="宋体"/>
          <w:sz w:val="28"/>
          <w:szCs w:val="28"/>
        </w:rPr>
      </w:pPr>
      <w:r>
        <w:rPr>
          <w:rFonts w:hint="eastAsia" w:ascii="宋体" w:hAnsi="宋体" w:eastAsia="宋体" w:cs="宋体"/>
          <w:sz w:val="28"/>
          <w:szCs w:val="28"/>
          <w:lang w:val="zh-CN"/>
        </w:rPr>
        <w:t>职</w:t>
      </w:r>
      <w:r>
        <w:rPr>
          <w:rFonts w:hint="eastAsia" w:ascii="宋体" w:hAnsi="宋体" w:eastAsia="宋体" w:cs="宋体"/>
          <w:sz w:val="28"/>
          <w:szCs w:val="28"/>
        </w:rPr>
        <w:t xml:space="preserve">    </w:t>
      </w:r>
      <w:r>
        <w:rPr>
          <w:rFonts w:hint="eastAsia" w:ascii="宋体" w:hAnsi="宋体" w:eastAsia="宋体" w:cs="宋体"/>
          <w:sz w:val="28"/>
          <w:szCs w:val="28"/>
          <w:lang w:val="zh-CN"/>
        </w:rPr>
        <w:t>务：</w:t>
      </w:r>
      <w:r>
        <w:rPr>
          <w:rFonts w:hint="eastAsia" w:ascii="宋体" w:hAnsi="宋体" w:eastAsia="宋体" w:cs="宋体"/>
          <w:sz w:val="28"/>
          <w:szCs w:val="28"/>
          <w:u w:val="single"/>
        </w:rPr>
        <w:t xml:space="preserve">             </w:t>
      </w:r>
      <w:r>
        <w:rPr>
          <w:rFonts w:hint="eastAsia" w:ascii="宋体" w:hAnsi="宋体" w:eastAsia="宋体" w:cs="宋体"/>
          <w:sz w:val="28"/>
          <w:szCs w:val="28"/>
          <w:lang w:val="zh-CN"/>
        </w:rPr>
        <w:t>身份证号码：</w:t>
      </w:r>
      <w:r>
        <w:rPr>
          <w:rFonts w:hint="eastAsia" w:ascii="宋体" w:hAnsi="宋体" w:eastAsia="宋体" w:cs="宋体"/>
          <w:sz w:val="28"/>
          <w:szCs w:val="28"/>
          <w:u w:val="single"/>
        </w:rPr>
        <w:t xml:space="preserve">             </w:t>
      </w:r>
    </w:p>
    <w:p>
      <w:pPr>
        <w:autoSpaceDE w:val="0"/>
        <w:autoSpaceDN w:val="0"/>
        <w:adjustRightInd w:val="0"/>
        <w:spacing w:line="348" w:lineRule="auto"/>
        <w:ind w:firstLine="630"/>
        <w:rPr>
          <w:rFonts w:hint="eastAsia" w:ascii="宋体" w:hAnsi="宋体" w:eastAsia="宋体" w:cs="宋体"/>
          <w:sz w:val="28"/>
          <w:szCs w:val="28"/>
          <w:u w:val="single"/>
        </w:rPr>
      </w:pPr>
      <w:r>
        <w:rPr>
          <w:rFonts w:hint="eastAsia" w:ascii="宋体" w:hAnsi="宋体" w:eastAsia="宋体" w:cs="宋体"/>
          <w:sz w:val="28"/>
          <w:szCs w:val="28"/>
          <w:lang w:val="zh-CN"/>
        </w:rPr>
        <w:t>通讯地址：</w:t>
      </w:r>
      <w:r>
        <w:rPr>
          <w:rFonts w:hint="eastAsia" w:ascii="宋体" w:hAnsi="宋体" w:eastAsia="宋体" w:cs="宋体"/>
          <w:sz w:val="28"/>
          <w:szCs w:val="28"/>
          <w:u w:val="single"/>
        </w:rPr>
        <w:t xml:space="preserve">                                      </w:t>
      </w:r>
    </w:p>
    <w:p>
      <w:pPr>
        <w:autoSpaceDE w:val="0"/>
        <w:autoSpaceDN w:val="0"/>
        <w:adjustRightInd w:val="0"/>
        <w:spacing w:line="348" w:lineRule="auto"/>
        <w:ind w:firstLine="630"/>
        <w:rPr>
          <w:rFonts w:hint="eastAsia" w:ascii="宋体" w:hAnsi="宋体" w:eastAsia="宋体" w:cs="宋体"/>
          <w:sz w:val="28"/>
          <w:szCs w:val="28"/>
          <w:u w:val="single"/>
        </w:rPr>
      </w:pPr>
      <w:r>
        <w:rPr>
          <w:rFonts w:hint="eastAsia" w:ascii="宋体" w:hAnsi="宋体" w:eastAsia="宋体" w:cs="宋体"/>
          <w:sz w:val="28"/>
          <w:szCs w:val="28"/>
          <w:lang w:val="zh-CN"/>
        </w:rPr>
        <w:t>邮政编码：</w:t>
      </w:r>
      <w:r>
        <w:rPr>
          <w:rFonts w:hint="eastAsia" w:ascii="宋体" w:hAnsi="宋体" w:eastAsia="宋体" w:cs="宋体"/>
          <w:sz w:val="28"/>
          <w:szCs w:val="28"/>
          <w:u w:val="single"/>
        </w:rPr>
        <w:t xml:space="preserve">                                      </w:t>
      </w:r>
    </w:p>
    <w:p>
      <w:pPr>
        <w:autoSpaceDE w:val="0"/>
        <w:autoSpaceDN w:val="0"/>
        <w:adjustRightInd w:val="0"/>
        <w:spacing w:line="348" w:lineRule="auto"/>
        <w:ind w:firstLine="630"/>
        <w:rPr>
          <w:rFonts w:hint="eastAsia" w:ascii="宋体" w:hAnsi="宋体" w:eastAsia="宋体" w:cs="宋体"/>
          <w:sz w:val="28"/>
          <w:szCs w:val="28"/>
          <w:u w:val="single"/>
        </w:rPr>
      </w:pPr>
      <w:r>
        <w:rPr>
          <w:rFonts w:hint="eastAsia" w:ascii="宋体" w:hAnsi="宋体" w:eastAsia="宋体" w:cs="宋体"/>
          <w:sz w:val="28"/>
          <w:szCs w:val="28"/>
          <w:lang w:val="zh-CN"/>
        </w:rPr>
        <w:t>电</w:t>
      </w:r>
      <w:r>
        <w:rPr>
          <w:rFonts w:hint="eastAsia" w:ascii="宋体" w:hAnsi="宋体" w:eastAsia="宋体" w:cs="宋体"/>
          <w:sz w:val="28"/>
          <w:szCs w:val="28"/>
        </w:rPr>
        <w:t xml:space="preserve">    </w:t>
      </w:r>
      <w:r>
        <w:rPr>
          <w:rFonts w:hint="eastAsia" w:ascii="宋体" w:hAnsi="宋体" w:eastAsia="宋体" w:cs="宋体"/>
          <w:sz w:val="28"/>
          <w:szCs w:val="28"/>
          <w:lang w:val="zh-CN"/>
        </w:rPr>
        <w:t>话：</w:t>
      </w:r>
      <w:r>
        <w:rPr>
          <w:rFonts w:hint="eastAsia" w:ascii="宋体" w:hAnsi="宋体" w:eastAsia="宋体" w:cs="宋体"/>
          <w:sz w:val="28"/>
          <w:szCs w:val="28"/>
          <w:u w:val="single"/>
        </w:rPr>
        <w:t xml:space="preserve">                     </w:t>
      </w:r>
      <w:r>
        <w:rPr>
          <w:rFonts w:hint="eastAsia" w:ascii="宋体" w:hAnsi="宋体" w:eastAsia="宋体" w:cs="宋体"/>
          <w:sz w:val="28"/>
          <w:szCs w:val="28"/>
          <w:lang w:val="zh-CN"/>
        </w:rPr>
        <w:t>传真：</w:t>
      </w:r>
      <w:r>
        <w:rPr>
          <w:rFonts w:hint="eastAsia" w:ascii="宋体" w:hAnsi="宋体" w:eastAsia="宋体" w:cs="宋体"/>
          <w:sz w:val="28"/>
          <w:szCs w:val="28"/>
          <w:u w:val="single"/>
        </w:rPr>
        <w:t xml:space="preserve">           </w:t>
      </w:r>
    </w:p>
    <w:p>
      <w:pPr>
        <w:autoSpaceDE w:val="0"/>
        <w:autoSpaceDN w:val="0"/>
        <w:adjustRightInd w:val="0"/>
        <w:spacing w:line="348" w:lineRule="auto"/>
        <w:rPr>
          <w:rFonts w:hint="eastAsia" w:ascii="宋体" w:hAnsi="宋体" w:eastAsia="宋体" w:cs="宋体"/>
          <w:sz w:val="28"/>
          <w:szCs w:val="28"/>
        </w:rPr>
      </w:pPr>
    </w:p>
    <w:p>
      <w:pPr>
        <w:autoSpaceDE w:val="0"/>
        <w:autoSpaceDN w:val="0"/>
        <w:adjustRightInd w:val="0"/>
        <w:spacing w:line="348"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zh-CN"/>
        </w:rPr>
        <w:t>法定代表人</w:t>
      </w:r>
      <w:r>
        <w:rPr>
          <w:rFonts w:hint="eastAsia" w:ascii="宋体" w:hAnsi="宋体" w:eastAsia="宋体" w:cs="宋体"/>
          <w:sz w:val="28"/>
          <w:szCs w:val="28"/>
        </w:rPr>
        <w:t>及</w:t>
      </w:r>
      <w:r>
        <w:rPr>
          <w:rFonts w:hint="eastAsia" w:ascii="宋体" w:hAnsi="宋体" w:eastAsia="宋体" w:cs="宋体"/>
          <w:sz w:val="28"/>
          <w:szCs w:val="28"/>
          <w:lang w:val="zh-CN"/>
        </w:rPr>
        <w:t>授权代表身份证复印件</w:t>
      </w:r>
    </w:p>
    <w:tbl>
      <w:tblPr>
        <w:tblStyle w:val="15"/>
        <w:tblW w:w="7934" w:type="dxa"/>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100" w:hRule="atLeast"/>
        </w:trPr>
        <w:tc>
          <w:tcPr>
            <w:tcW w:w="4049"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48"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法定代表人身份证复印件</w:t>
            </w:r>
          </w:p>
          <w:p>
            <w:pPr>
              <w:autoSpaceDE w:val="0"/>
              <w:autoSpaceDN w:val="0"/>
              <w:adjustRightInd w:val="0"/>
              <w:spacing w:line="348"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（正反面）</w:t>
            </w:r>
          </w:p>
        </w:tc>
        <w:tc>
          <w:tcPr>
            <w:tcW w:w="3885" w:type="dxa"/>
            <w:tcBorders>
              <w:top w:val="single" w:color="auto" w:sz="6" w:space="0"/>
              <w:left w:val="single" w:color="auto" w:sz="6" w:space="0"/>
              <w:bottom w:val="single" w:color="auto" w:sz="6" w:space="0"/>
              <w:right w:val="single" w:color="auto" w:sz="6" w:space="0"/>
            </w:tcBorders>
            <w:noWrap w:val="0"/>
            <w:vAlign w:val="center"/>
          </w:tcPr>
          <w:p>
            <w:pPr>
              <w:autoSpaceDE w:val="0"/>
              <w:autoSpaceDN w:val="0"/>
              <w:adjustRightInd w:val="0"/>
              <w:spacing w:line="348"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授权代表身份证复印件</w:t>
            </w:r>
          </w:p>
          <w:p>
            <w:pPr>
              <w:autoSpaceDE w:val="0"/>
              <w:autoSpaceDN w:val="0"/>
              <w:adjustRightInd w:val="0"/>
              <w:spacing w:line="348"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（正反面）</w:t>
            </w:r>
          </w:p>
        </w:tc>
      </w:tr>
    </w:tbl>
    <w:p>
      <w:pPr>
        <w:adjustRightInd w:val="0"/>
        <w:snapToGrid w:val="0"/>
        <w:spacing w:line="360" w:lineRule="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供应商                         法定代表人</w:t>
      </w:r>
    </w:p>
    <w:p>
      <w:pPr>
        <w:adjustRightInd w:val="0"/>
        <w:snapToGrid w:val="0"/>
        <w:spacing w:line="360" w:lineRule="auto"/>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（公章）：                     （签字或盖章）：</w:t>
      </w:r>
    </w:p>
    <w:p>
      <w:pPr>
        <w:autoSpaceDE w:val="0"/>
        <w:autoSpaceDN w:val="0"/>
        <w:adjustRightInd w:val="0"/>
        <w:spacing w:line="348" w:lineRule="auto"/>
        <w:ind w:firstLine="630"/>
        <w:rPr>
          <w:rFonts w:hint="eastAsia" w:ascii="宋体" w:hAnsi="宋体" w:eastAsia="宋体" w:cs="宋体"/>
          <w:sz w:val="28"/>
          <w:szCs w:val="28"/>
        </w:rPr>
      </w:pPr>
    </w:p>
    <w:p>
      <w:pPr>
        <w:snapToGrid w:val="0"/>
        <w:spacing w:line="312" w:lineRule="auto"/>
        <w:jc w:val="both"/>
        <w:rPr>
          <w:rFonts w:hint="eastAsia" w:ascii="宋体" w:hAnsi="宋体" w:eastAsia="宋体" w:cs="宋体"/>
          <w:b/>
          <w:bCs/>
          <w:sz w:val="32"/>
          <w:szCs w:val="32"/>
          <w:lang w:val="zh-CN"/>
        </w:rPr>
      </w:pPr>
      <w:r>
        <w:rPr>
          <w:rFonts w:hint="eastAsia" w:ascii="宋体" w:hAnsi="宋体" w:eastAsia="宋体" w:cs="宋体"/>
          <w:color w:val="000000"/>
          <w:sz w:val="28"/>
          <w:szCs w:val="28"/>
          <w:lang w:val="zh-CN"/>
        </w:rPr>
        <w:t>本授权自签字盖章之日起生效，授权委托书有效期与磋商文件有效期一致。</w:t>
      </w:r>
      <w:r>
        <w:rPr>
          <w:rFonts w:hint="eastAsia" w:ascii="宋体" w:hAnsi="宋体" w:eastAsia="宋体" w:cs="宋体"/>
          <w:b/>
          <w:bCs/>
          <w:sz w:val="32"/>
          <w:szCs w:val="32"/>
          <w:lang w:val="zh-CN"/>
        </w:rPr>
        <w:br w:type="page"/>
      </w: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zh-CN"/>
        </w:rPr>
        <w:t>授权代表本单位证明</w:t>
      </w:r>
    </w:p>
    <w:p>
      <w:pPr>
        <w:autoSpaceDE w:val="0"/>
        <w:autoSpaceDN w:val="0"/>
        <w:adjustRightInd w:val="0"/>
        <w:spacing w:line="348" w:lineRule="auto"/>
        <w:jc w:val="center"/>
        <w:rPr>
          <w:rFonts w:hint="eastAsia" w:ascii="宋体" w:hAnsi="宋体" w:eastAsia="宋体" w:cs="宋体"/>
          <w:sz w:val="28"/>
          <w:szCs w:val="28"/>
          <w:lang w:val="zh-CN"/>
        </w:rPr>
      </w:pPr>
      <w:r>
        <w:rPr>
          <w:rFonts w:hint="eastAsia" w:ascii="宋体" w:hAnsi="宋体" w:eastAsia="宋体" w:cs="宋体"/>
          <w:sz w:val="28"/>
          <w:szCs w:val="28"/>
          <w:lang w:val="zh-CN"/>
        </w:rPr>
        <w:t>（</w:t>
      </w:r>
      <w:r>
        <w:rPr>
          <w:rFonts w:hint="eastAsia" w:ascii="宋体" w:hAnsi="宋体" w:eastAsia="宋体" w:cs="宋体"/>
          <w:sz w:val="28"/>
          <w:szCs w:val="28"/>
        </w:rPr>
        <w:t>养老保险缴纳证明或劳动合同</w:t>
      </w:r>
      <w:r>
        <w:rPr>
          <w:rFonts w:hint="eastAsia" w:ascii="宋体" w:hAnsi="宋体" w:eastAsia="宋体" w:cs="宋体"/>
          <w:sz w:val="28"/>
          <w:szCs w:val="28"/>
          <w:lang w:val="zh-CN"/>
        </w:rPr>
        <w:t>）</w:t>
      </w:r>
    </w:p>
    <w:p>
      <w:pPr>
        <w:autoSpaceDE w:val="0"/>
        <w:autoSpaceDN w:val="0"/>
        <w:adjustRightInd w:val="0"/>
        <w:spacing w:line="348" w:lineRule="auto"/>
        <w:jc w:val="center"/>
        <w:rPr>
          <w:rFonts w:hint="eastAsia" w:ascii="宋体" w:hAnsi="宋体" w:eastAsia="宋体" w:cs="宋体"/>
          <w:sz w:val="32"/>
          <w:szCs w:val="32"/>
          <w:lang w:val="zh-CN"/>
        </w:rPr>
      </w:pPr>
    </w:p>
    <w:p>
      <w:pPr>
        <w:autoSpaceDE w:val="0"/>
        <w:autoSpaceDN w:val="0"/>
        <w:adjustRightInd w:val="0"/>
        <w:spacing w:line="348" w:lineRule="auto"/>
        <w:rPr>
          <w:rFonts w:hint="eastAsia" w:ascii="宋体" w:hAnsi="宋体" w:eastAsia="宋体" w:cs="宋体"/>
          <w:sz w:val="28"/>
          <w:szCs w:val="28"/>
        </w:rPr>
      </w:pPr>
      <w:r>
        <w:rPr>
          <w:rFonts w:hint="eastAsia" w:ascii="宋体" w:hAnsi="宋体" w:eastAsia="宋体" w:cs="宋体"/>
          <w:sz w:val="28"/>
          <w:szCs w:val="28"/>
        </w:rPr>
        <w:t xml:space="preserve"> </w:t>
      </w:r>
    </w:p>
    <w:p>
      <w:pPr>
        <w:pStyle w:val="14"/>
        <w:snapToGrid w:val="0"/>
        <w:spacing w:line="360" w:lineRule="auto"/>
        <w:jc w:val="center"/>
        <w:rPr>
          <w:rFonts w:hint="eastAsia" w:ascii="宋体" w:hAnsi="宋体" w:eastAsia="宋体" w:cs="宋体"/>
          <w:sz w:val="28"/>
          <w:szCs w:val="28"/>
        </w:rPr>
      </w:pPr>
    </w:p>
    <w:p/>
    <w:sectPr>
      <w:footerReference r:id="rId9" w:type="default"/>
      <w:footerReference r:id="rId10" w:type="even"/>
      <w:pgSz w:w="11906" w:h="16838"/>
      <w:pgMar w:top="1418" w:right="1418" w:bottom="1418"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pperplate Gothic Bold">
    <w:altName w:val="Segoe Print"/>
    <w:panose1 w:val="020E0705020206020404"/>
    <w:charset w:val="00"/>
    <w:family w:val="swiss"/>
    <w:pitch w:val="default"/>
    <w:sig w:usb0="00000000" w:usb1="00000000" w:usb2="00000000" w:usb3="00000000" w:csb0="20000001" w:csb1="00000000"/>
  </w:font>
  <w:font w:name="楷体_GB2312">
    <w:altName w:val="楷体"/>
    <w:panose1 w:val="02010609030101010101"/>
    <w:charset w:val="86"/>
    <w:family w:val="modern"/>
    <w:pitch w:val="default"/>
    <w:sig w:usb0="00000000" w:usb1="00000000" w:usb2="00000010" w:usb3="00000000" w:csb0="00040000" w:csb1="00000000"/>
  </w:font>
  <w:font w:name="Consolas">
    <w:panose1 w:val="020B0609020204030204"/>
    <w:charset w:val="00"/>
    <w:family w:val="auto"/>
    <w:pitch w:val="default"/>
    <w:sig w:usb0="E10002FF" w:usb1="4000FCFF" w:usb2="00000009" w:usb3="00000000" w:csb0="6000019F" w:csb1="DFD70000"/>
  </w:font>
  <w:font w:name="Cambria">
    <w:panose1 w:val="02040503050406030204"/>
    <w:charset w:val="00"/>
    <w:family w:val="roman"/>
    <w:pitch w:val="default"/>
    <w:sig w:usb0="E00002FF" w:usb1="400004FF" w:usb2="00000000" w:usb3="00000000" w:csb0="2000019F" w:csb1="00000000"/>
  </w:font>
  <w:font w:name="BatangChe">
    <w:panose1 w:val="02030609000101010101"/>
    <w:charset w:val="81"/>
    <w:family w:val="modern"/>
    <w:pitch w:val="default"/>
    <w:sig w:usb0="B00002AF" w:usb1="69D77CFB" w:usb2="00000030" w:usb3="00000000" w:csb0="4008009F" w:csb1="DFD70000"/>
  </w:font>
  <w:font w:name="微软雅黑">
    <w:panose1 w:val="020B0503020204020204"/>
    <w:charset w:val="86"/>
    <w:family w:val="swiss"/>
    <w:pitch w:val="default"/>
    <w:sig w:usb0="A0000287" w:usb1="28C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lear" w:pos="4153"/>
      </w:tabs>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19"/>
      </w:rPr>
    </w:pPr>
    <w:r>
      <w:fldChar w:fldCharType="begin"/>
    </w:r>
    <w:r>
      <w:rPr>
        <w:rStyle w:val="19"/>
      </w:rPr>
      <w:instrText xml:space="preserve">PAGE  </w:instrText>
    </w:r>
    <w:r>
      <w:fldChar w:fldCharType="separate"/>
    </w:r>
    <w:r>
      <w:rPr>
        <w:rStyle w:val="19"/>
      </w:rPr>
      <w:t>15</w:t>
    </w:r>
    <w:r>
      <w:fldChar w:fldCharType="end"/>
    </w:r>
  </w:p>
  <w:p>
    <w:pPr>
      <w:pStyle w:val="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94</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94</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19"/>
      </w:rPr>
    </w:pPr>
    <w:r>
      <w:fldChar w:fldCharType="begin"/>
    </w:r>
    <w:r>
      <w:rPr>
        <w:rStyle w:val="19"/>
      </w:rPr>
      <w:instrText xml:space="preserve">PAGE  </w:instrText>
    </w:r>
    <w:r>
      <w:fldChar w:fldCharType="separate"/>
    </w:r>
    <w:r>
      <w:rPr>
        <w:rStyle w:val="19"/>
      </w:rPr>
      <w:t>15</w:t>
    </w:r>
    <w: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rPr>
    </w:pPr>
  </w:p>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rFonts w:hint="default" w:eastAsia="宋体"/>
        <w:lang w:val="en-US" w:eastAsia="zh-CN"/>
      </w:rPr>
    </w:pPr>
    <w:r>
      <w:rPr>
        <w:rFonts w:hint="eastAsia"/>
        <w:lang w:eastAsia="zh-CN"/>
      </w:rPr>
      <w:t>西安高新第二学校教学用具、教学器材采购项目</w:t>
    </w:r>
    <w:r>
      <w:rPr>
        <w:rFonts w:hint="eastAsia"/>
        <w:lang w:val="en-US" w:eastAsia="zh-CN"/>
      </w:rPr>
      <w:t>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82F35B"/>
    <w:multiLevelType w:val="singleLevel"/>
    <w:tmpl w:val="A482F35B"/>
    <w:lvl w:ilvl="0" w:tentative="0">
      <w:start w:val="1"/>
      <w:numFmt w:val="decimal"/>
      <w:lvlText w:val="%1."/>
      <w:lvlJc w:val="left"/>
      <w:pPr>
        <w:tabs>
          <w:tab w:val="left" w:pos="312"/>
        </w:tabs>
      </w:pPr>
    </w:lvl>
  </w:abstractNum>
  <w:abstractNum w:abstractNumId="1">
    <w:nsid w:val="AC60BF31"/>
    <w:multiLevelType w:val="singleLevel"/>
    <w:tmpl w:val="AC60BF31"/>
    <w:lvl w:ilvl="0" w:tentative="0">
      <w:start w:val="3"/>
      <w:numFmt w:val="chineseCounting"/>
      <w:suff w:val="space"/>
      <w:lvlText w:val="第%1部分"/>
      <w:lvlJc w:val="left"/>
      <w:rPr>
        <w:rFonts w:hint="eastAsia"/>
      </w:rPr>
    </w:lvl>
  </w:abstractNum>
  <w:abstractNum w:abstractNumId="2">
    <w:nsid w:val="BE26A7E2"/>
    <w:multiLevelType w:val="singleLevel"/>
    <w:tmpl w:val="BE26A7E2"/>
    <w:lvl w:ilvl="0" w:tentative="0">
      <w:start w:val="1"/>
      <w:numFmt w:val="decimal"/>
      <w:lvlText w:val="%1."/>
      <w:lvlJc w:val="left"/>
      <w:pPr>
        <w:tabs>
          <w:tab w:val="left" w:pos="312"/>
        </w:tabs>
      </w:pPr>
    </w:lvl>
  </w:abstractNum>
  <w:abstractNum w:abstractNumId="3">
    <w:nsid w:val="FBD5FD51"/>
    <w:multiLevelType w:val="singleLevel"/>
    <w:tmpl w:val="FBD5FD51"/>
    <w:lvl w:ilvl="0" w:tentative="0">
      <w:start w:val="1"/>
      <w:numFmt w:val="decimal"/>
      <w:lvlText w:val="%1."/>
      <w:lvlJc w:val="left"/>
      <w:pPr>
        <w:tabs>
          <w:tab w:val="left" w:pos="312"/>
        </w:tabs>
      </w:pPr>
    </w:lvl>
  </w:abstractNum>
  <w:abstractNum w:abstractNumId="4">
    <w:nsid w:val="1C790902"/>
    <w:multiLevelType w:val="multilevel"/>
    <w:tmpl w:val="1C790902"/>
    <w:lvl w:ilvl="0" w:tentative="0">
      <w:start w:val="8"/>
      <w:numFmt w:val="decimal"/>
      <w:lvlText w:val="%1、"/>
      <w:lvlJc w:val="left"/>
      <w:pPr>
        <w:ind w:left="1366" w:hanging="720"/>
      </w:pPr>
      <w:rPr>
        <w:rFonts w:hint="default"/>
      </w:rPr>
    </w:lvl>
    <w:lvl w:ilvl="1" w:tentative="0">
      <w:start w:val="1"/>
      <w:numFmt w:val="lowerLetter"/>
      <w:lvlText w:val="%2)"/>
      <w:lvlJc w:val="left"/>
      <w:pPr>
        <w:ind w:left="1486" w:hanging="420"/>
      </w:pPr>
    </w:lvl>
    <w:lvl w:ilvl="2" w:tentative="0">
      <w:start w:val="1"/>
      <w:numFmt w:val="lowerRoman"/>
      <w:lvlText w:val="%3."/>
      <w:lvlJc w:val="right"/>
      <w:pPr>
        <w:ind w:left="1906" w:hanging="420"/>
      </w:pPr>
    </w:lvl>
    <w:lvl w:ilvl="3" w:tentative="0">
      <w:start w:val="1"/>
      <w:numFmt w:val="decimal"/>
      <w:lvlText w:val="%4."/>
      <w:lvlJc w:val="left"/>
      <w:pPr>
        <w:ind w:left="2326" w:hanging="420"/>
      </w:pPr>
    </w:lvl>
    <w:lvl w:ilvl="4" w:tentative="0">
      <w:start w:val="1"/>
      <w:numFmt w:val="lowerLetter"/>
      <w:lvlText w:val="%5)"/>
      <w:lvlJc w:val="left"/>
      <w:pPr>
        <w:ind w:left="2746" w:hanging="420"/>
      </w:pPr>
    </w:lvl>
    <w:lvl w:ilvl="5" w:tentative="0">
      <w:start w:val="1"/>
      <w:numFmt w:val="lowerRoman"/>
      <w:lvlText w:val="%6."/>
      <w:lvlJc w:val="right"/>
      <w:pPr>
        <w:ind w:left="3166" w:hanging="420"/>
      </w:pPr>
    </w:lvl>
    <w:lvl w:ilvl="6" w:tentative="0">
      <w:start w:val="1"/>
      <w:numFmt w:val="decimal"/>
      <w:lvlText w:val="%7."/>
      <w:lvlJc w:val="left"/>
      <w:pPr>
        <w:ind w:left="3586" w:hanging="420"/>
      </w:pPr>
    </w:lvl>
    <w:lvl w:ilvl="7" w:tentative="0">
      <w:start w:val="1"/>
      <w:numFmt w:val="lowerLetter"/>
      <w:lvlText w:val="%8)"/>
      <w:lvlJc w:val="left"/>
      <w:pPr>
        <w:ind w:left="4006" w:hanging="420"/>
      </w:pPr>
    </w:lvl>
    <w:lvl w:ilvl="8" w:tentative="0">
      <w:start w:val="1"/>
      <w:numFmt w:val="lowerRoman"/>
      <w:lvlText w:val="%9."/>
      <w:lvlJc w:val="right"/>
      <w:pPr>
        <w:ind w:left="4426" w:hanging="42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21E69"/>
    <w:rsid w:val="032F02BE"/>
    <w:rsid w:val="04531334"/>
    <w:rsid w:val="057976DF"/>
    <w:rsid w:val="058E74AC"/>
    <w:rsid w:val="05F07F1D"/>
    <w:rsid w:val="08F8420E"/>
    <w:rsid w:val="0A5D0945"/>
    <w:rsid w:val="0B104AE0"/>
    <w:rsid w:val="0B137491"/>
    <w:rsid w:val="0D701B23"/>
    <w:rsid w:val="103140F1"/>
    <w:rsid w:val="106B612B"/>
    <w:rsid w:val="13A16C65"/>
    <w:rsid w:val="14BC4A8E"/>
    <w:rsid w:val="19B67C94"/>
    <w:rsid w:val="1C4C7223"/>
    <w:rsid w:val="1E6B2C46"/>
    <w:rsid w:val="1F2F4412"/>
    <w:rsid w:val="20383EEC"/>
    <w:rsid w:val="214817D1"/>
    <w:rsid w:val="23603E86"/>
    <w:rsid w:val="24D0089C"/>
    <w:rsid w:val="252602E7"/>
    <w:rsid w:val="29686432"/>
    <w:rsid w:val="2F8131D7"/>
    <w:rsid w:val="2FF549A2"/>
    <w:rsid w:val="302B4241"/>
    <w:rsid w:val="310B7431"/>
    <w:rsid w:val="31CA26B8"/>
    <w:rsid w:val="329D2AAE"/>
    <w:rsid w:val="356377EC"/>
    <w:rsid w:val="39FE006A"/>
    <w:rsid w:val="3F442A91"/>
    <w:rsid w:val="44A07961"/>
    <w:rsid w:val="458C2E25"/>
    <w:rsid w:val="47975DC8"/>
    <w:rsid w:val="507F3B16"/>
    <w:rsid w:val="512D66B6"/>
    <w:rsid w:val="554A02B0"/>
    <w:rsid w:val="576D7205"/>
    <w:rsid w:val="5AAE2E53"/>
    <w:rsid w:val="5B9D3650"/>
    <w:rsid w:val="60A53AF3"/>
    <w:rsid w:val="651F54A9"/>
    <w:rsid w:val="6612320A"/>
    <w:rsid w:val="662B14F7"/>
    <w:rsid w:val="71BE4F0A"/>
    <w:rsid w:val="73037A28"/>
    <w:rsid w:val="74732998"/>
    <w:rsid w:val="761D123E"/>
    <w:rsid w:val="7757458E"/>
    <w:rsid w:val="78145C72"/>
    <w:rsid w:val="787B3F00"/>
    <w:rsid w:val="7B4C2C2C"/>
    <w:rsid w:val="7D835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qFormat/>
    <w:uiPriority w:val="0"/>
    <w:pPr>
      <w:keepNext/>
      <w:jc w:val="center"/>
      <w:outlineLvl w:val="0"/>
    </w:pPr>
    <w:rPr>
      <w:rFonts w:ascii="黑体" w:eastAsia="黑体"/>
      <w:sz w:val="28"/>
    </w:rPr>
  </w:style>
  <w:style w:type="paragraph" w:styleId="4">
    <w:name w:val="heading 2"/>
    <w:basedOn w:val="1"/>
    <w:next w:val="5"/>
    <w:qFormat/>
    <w:uiPriority w:val="0"/>
    <w:pPr>
      <w:keepNext/>
      <w:spacing w:line="720" w:lineRule="exact"/>
      <w:outlineLvl w:val="1"/>
    </w:pPr>
    <w:rPr>
      <w:rFonts w:ascii="黑体" w:hAnsi="Copperplate Gothic Bold" w:eastAsia="楷体_GB2312"/>
      <w:sz w:val="28"/>
    </w:rPr>
  </w:style>
  <w:style w:type="paragraph" w:styleId="6">
    <w:name w:val="heading 3"/>
    <w:basedOn w:val="1"/>
    <w:next w:val="1"/>
    <w:qFormat/>
    <w:uiPriority w:val="0"/>
    <w:pPr>
      <w:keepNext/>
      <w:spacing w:line="320" w:lineRule="exact"/>
      <w:outlineLvl w:val="2"/>
    </w:pPr>
    <w:rPr>
      <w:rFonts w:ascii="楷体_GB2312" w:eastAsia="楷体_GB2312"/>
      <w:sz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5">
    <w:name w:val="Normal Indent"/>
    <w:basedOn w:val="1"/>
    <w:qFormat/>
    <w:uiPriority w:val="0"/>
    <w:pPr>
      <w:ind w:firstLine="420"/>
    </w:pPr>
  </w:style>
  <w:style w:type="paragraph" w:styleId="7">
    <w:name w:val="annotation text"/>
    <w:basedOn w:val="1"/>
    <w:qFormat/>
    <w:uiPriority w:val="0"/>
    <w:pPr>
      <w:jc w:val="left"/>
    </w:pPr>
  </w:style>
  <w:style w:type="paragraph" w:styleId="8">
    <w:name w:val="Body Text"/>
    <w:basedOn w:val="1"/>
    <w:next w:val="1"/>
    <w:qFormat/>
    <w:uiPriority w:val="0"/>
    <w:pPr>
      <w:jc w:val="left"/>
    </w:pPr>
    <w:rPr>
      <w:rFonts w:ascii="Copperplate Gothic Bold" w:hAnsi="Copperplate Gothic Bold"/>
      <w:sz w:val="28"/>
    </w:rPr>
  </w:style>
  <w:style w:type="paragraph" w:styleId="9">
    <w:name w:val="Body Text Indent"/>
    <w:basedOn w:val="1"/>
    <w:qFormat/>
    <w:uiPriority w:val="0"/>
    <w:pPr>
      <w:ind w:firstLine="630"/>
    </w:pPr>
    <w:rPr>
      <w:sz w:val="32"/>
      <w:szCs w:val="20"/>
    </w:rPr>
  </w:style>
  <w:style w:type="paragraph" w:styleId="10">
    <w:name w:val="toc 3"/>
    <w:basedOn w:val="1"/>
    <w:next w:val="1"/>
    <w:qFormat/>
    <w:uiPriority w:val="39"/>
    <w:pPr>
      <w:ind w:left="420"/>
      <w:jc w:val="left"/>
    </w:pPr>
    <w:rPr>
      <w:rFonts w:ascii="Calibri" w:hAnsi="Calibri" w:cs="Calibri"/>
      <w:i/>
      <w:iCs/>
      <w:sz w:val="20"/>
    </w:rPr>
  </w:style>
  <w:style w:type="paragraph" w:styleId="11">
    <w:name w:val="Plain Text"/>
    <w:basedOn w:val="1"/>
    <w:qFormat/>
    <w:uiPriority w:val="0"/>
    <w:rPr>
      <w:rFonts w:ascii="宋体" w:hAnsi="Courier New"/>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2"/>
    <w:basedOn w:val="1"/>
    <w:next w:val="1"/>
    <w:qFormat/>
    <w:uiPriority w:val="39"/>
    <w:pPr>
      <w:ind w:left="210"/>
      <w:jc w:val="left"/>
    </w:pPr>
    <w:rPr>
      <w:rFonts w:ascii="Calibri" w:hAnsi="Calibri" w:cs="Calibri"/>
      <w:smallCaps/>
      <w:sz w:val="20"/>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6">
    <w:name w:val="Table Grid"/>
    <w:basedOn w:val="1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0"/>
    <w:rPr>
      <w:b/>
    </w:rPr>
  </w:style>
  <w:style w:type="character" w:styleId="19">
    <w:name w:val="page number"/>
    <w:basedOn w:val="17"/>
    <w:qFormat/>
    <w:uiPriority w:val="0"/>
  </w:style>
  <w:style w:type="character" w:styleId="20">
    <w:name w:val="FollowedHyperlink"/>
    <w:basedOn w:val="17"/>
    <w:qFormat/>
    <w:uiPriority w:val="0"/>
    <w:rPr>
      <w:color w:val="333333"/>
      <w:u w:val="none"/>
    </w:rPr>
  </w:style>
  <w:style w:type="character" w:styleId="21">
    <w:name w:val="Emphasis"/>
    <w:basedOn w:val="17"/>
    <w:qFormat/>
    <w:uiPriority w:val="0"/>
  </w:style>
  <w:style w:type="character" w:styleId="22">
    <w:name w:val="HTML Definition"/>
    <w:basedOn w:val="17"/>
    <w:qFormat/>
    <w:uiPriority w:val="0"/>
    <w:rPr>
      <w:i/>
    </w:rPr>
  </w:style>
  <w:style w:type="character" w:styleId="23">
    <w:name w:val="Hyperlink"/>
    <w:basedOn w:val="17"/>
    <w:unhideWhenUsed/>
    <w:qFormat/>
    <w:uiPriority w:val="99"/>
    <w:rPr>
      <w:color w:val="0000FF"/>
      <w:u w:val="single"/>
    </w:rPr>
  </w:style>
  <w:style w:type="character" w:styleId="24">
    <w:name w:val="HTML Code"/>
    <w:basedOn w:val="17"/>
    <w:qFormat/>
    <w:uiPriority w:val="0"/>
    <w:rPr>
      <w:rFonts w:hint="default" w:ascii="Consolas" w:hAnsi="Consolas" w:eastAsia="Consolas" w:cs="Consolas"/>
      <w:color w:val="C7254E"/>
      <w:sz w:val="21"/>
      <w:szCs w:val="21"/>
      <w:shd w:val="clear" w:fill="F9F2F4"/>
    </w:rPr>
  </w:style>
  <w:style w:type="character" w:styleId="25">
    <w:name w:val="HTML Keyboard"/>
    <w:basedOn w:val="17"/>
    <w:qFormat/>
    <w:uiPriority w:val="0"/>
    <w:rPr>
      <w:rFonts w:hint="default" w:ascii="Consolas" w:hAnsi="Consolas" w:eastAsia="Consolas" w:cs="Consolas"/>
      <w:color w:val="FFFFFF"/>
      <w:sz w:val="21"/>
      <w:szCs w:val="21"/>
      <w:shd w:val="clear" w:fill="333333"/>
    </w:rPr>
  </w:style>
  <w:style w:type="character" w:styleId="26">
    <w:name w:val="HTML Sample"/>
    <w:basedOn w:val="17"/>
    <w:qFormat/>
    <w:uiPriority w:val="0"/>
    <w:rPr>
      <w:rFonts w:ascii="Consolas" w:hAnsi="Consolas" w:eastAsia="Consolas" w:cs="Consolas"/>
      <w:sz w:val="21"/>
      <w:szCs w:val="21"/>
    </w:rPr>
  </w:style>
  <w:style w:type="paragraph" w:customStyle="1" w:styleId="27">
    <w:name w:val="_Style 8"/>
    <w:basedOn w:val="3"/>
    <w:next w:val="1"/>
    <w:qFormat/>
    <w:uiPriority w:val="39"/>
    <w:pPr>
      <w:keepLines/>
      <w:widowControl/>
      <w:spacing w:before="480" w:line="276" w:lineRule="auto"/>
      <w:jc w:val="left"/>
      <w:outlineLvl w:val="9"/>
    </w:pPr>
    <w:rPr>
      <w:rFonts w:ascii="Cambria" w:hAnsi="Cambria" w:eastAsia="宋体" w:cs="Times New Roman"/>
      <w:b/>
      <w:bCs/>
      <w:color w:val="365F91"/>
      <w:kern w:val="0"/>
      <w:szCs w:val="28"/>
    </w:rPr>
  </w:style>
  <w:style w:type="paragraph" w:customStyle="1" w:styleId="28">
    <w:name w:val="样式 首行缩进:  2 字符"/>
    <w:basedOn w:val="1"/>
    <w:qFormat/>
    <w:uiPriority w:val="0"/>
    <w:pPr>
      <w:spacing w:line="400" w:lineRule="exact"/>
      <w:ind w:firstLine="200" w:firstLineChars="200"/>
    </w:pPr>
    <w:rPr>
      <w:rFonts w:cs="宋体"/>
      <w:sz w:val="24"/>
    </w:rPr>
  </w:style>
  <w:style w:type="paragraph" w:styleId="29">
    <w:name w:val="List Paragraph"/>
    <w:basedOn w:val="1"/>
    <w:qFormat/>
    <w:uiPriority w:val="34"/>
    <w:pPr>
      <w:ind w:firstLine="420" w:firstLineChars="200"/>
    </w:pPr>
    <w:rPr>
      <w:rFonts w:ascii="Calibri" w:hAnsi="Calibri" w:eastAsia="宋体" w:cs="Times New Roman"/>
      <w:szCs w:val="22"/>
    </w:rPr>
  </w:style>
  <w:style w:type="character" w:customStyle="1" w:styleId="30">
    <w:name w:val="font71"/>
    <w:basedOn w:val="17"/>
    <w:qFormat/>
    <w:uiPriority w:val="0"/>
    <w:rPr>
      <w:rFonts w:hint="eastAsia" w:ascii="宋体" w:hAnsi="宋体" w:eastAsia="宋体" w:cs="宋体"/>
      <w:color w:val="000000"/>
      <w:sz w:val="20"/>
      <w:szCs w:val="20"/>
      <w:u w:val="none"/>
    </w:rPr>
  </w:style>
  <w:style w:type="character" w:customStyle="1" w:styleId="31">
    <w:name w:val="font321"/>
    <w:basedOn w:val="17"/>
    <w:qFormat/>
    <w:uiPriority w:val="0"/>
    <w:rPr>
      <w:rFonts w:ascii="BatangChe" w:hAnsi="BatangChe" w:eastAsia="BatangChe" w:cs="BatangChe"/>
      <w:color w:val="000000"/>
      <w:sz w:val="20"/>
      <w:szCs w:val="20"/>
      <w:u w:val="none"/>
    </w:rPr>
  </w:style>
  <w:style w:type="paragraph" w:customStyle="1" w:styleId="32">
    <w:name w:val="正文缩进1"/>
    <w:basedOn w:val="1"/>
    <w:qFormat/>
    <w:uiPriority w:val="0"/>
    <w:pPr>
      <w:ind w:firstLine="420" w:firstLineChars="200"/>
    </w:pPr>
  </w:style>
  <w:style w:type="paragraph" w:customStyle="1" w:styleId="33">
    <w:name w:val="正文 New New New New"/>
    <w:qFormat/>
    <w:uiPriority w:val="0"/>
    <w:pPr>
      <w:widowControl w:val="0"/>
      <w:jc w:val="both"/>
    </w:pPr>
    <w:rPr>
      <w:rFonts w:ascii="Times New Roman" w:hAnsi="Times New Roman" w:eastAsia="宋体" w:cs="Times New Roman"/>
      <w:szCs w:val="24"/>
      <w:lang w:val="en-US" w:eastAsia="zh-CN" w:bidi="ar-SA"/>
    </w:rPr>
  </w:style>
  <w:style w:type="character" w:customStyle="1" w:styleId="34">
    <w:name w:val="button"/>
    <w:basedOn w:val="17"/>
    <w:qFormat/>
    <w:uiPriority w:val="0"/>
  </w:style>
  <w:style w:type="character" w:customStyle="1" w:styleId="35">
    <w:name w:val="hover2"/>
    <w:basedOn w:val="17"/>
    <w:qFormat/>
    <w:uiPriority w:val="0"/>
    <w:rPr>
      <w:shd w:val="clear" w:fill="EEEEEE"/>
    </w:rPr>
  </w:style>
  <w:style w:type="character" w:customStyle="1" w:styleId="36">
    <w:name w:val="glyphicon4"/>
    <w:basedOn w:val="17"/>
    <w:qFormat/>
    <w:uiPriority w:val="0"/>
  </w:style>
  <w:style w:type="character" w:customStyle="1" w:styleId="37">
    <w:name w:val="old"/>
    <w:basedOn w:val="17"/>
    <w:qFormat/>
    <w:uiPriority w:val="0"/>
    <w:rPr>
      <w:color w:val="999999"/>
    </w:rPr>
  </w:style>
  <w:style w:type="character" w:customStyle="1" w:styleId="38">
    <w:name w:val="hour_am"/>
    <w:basedOn w:val="17"/>
    <w:qFormat/>
    <w:uiPriority w:val="0"/>
  </w:style>
  <w:style w:type="character" w:customStyle="1" w:styleId="39">
    <w:name w:val="hour_pm"/>
    <w:basedOn w:val="17"/>
    <w:qFormat/>
    <w:uiPriority w:val="0"/>
  </w:style>
  <w:style w:type="character" w:customStyle="1" w:styleId="40">
    <w:name w:val="indent"/>
    <w:basedOn w:val="17"/>
    <w:qFormat/>
    <w:uiPriority w:val="0"/>
  </w:style>
  <w:style w:type="character" w:customStyle="1" w:styleId="41">
    <w:name w:val="tmpztreemove_arrow"/>
    <w:basedOn w:val="17"/>
    <w:qFormat/>
    <w:uiPriority w:val="0"/>
    <w:rPr>
      <w:shd w:val="clear" w:fill="FFFFFF"/>
    </w:rPr>
  </w:style>
  <w:style w:type="paragraph" w:customStyle="1" w:styleId="42">
    <w:name w:val="title12"/>
    <w:basedOn w:val="1"/>
    <w:qFormat/>
    <w:uiPriority w:val="0"/>
    <w:pPr>
      <w:spacing w:before="150" w:beforeAutospacing="0" w:after="0" w:afterAutospacing="0"/>
      <w:ind w:left="0" w:right="0" w:firstLine="0"/>
      <w:jc w:val="left"/>
    </w:pPr>
    <w:rPr>
      <w:b/>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2021-04-15T13:22:00Z</dcterms:created>
  <dc:creator>86136</dc:creator>
  <cp:lastModifiedBy>zhaoxuan</cp:lastModifiedBy>
  <dcterms:modified xsi:type="dcterms:W3CDTF">2021-08-05T16:53:47Z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2B3D1617CA1C46859C2005A8F8EF44BF</vt:lpwstr>
  </property>
</Properties>
</file>