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left"/>
        <w:rPr>
          <w:rFonts w:ascii="宋体" w:cs="宋体"/>
          <w:b/>
          <w:sz w:val="30"/>
        </w:rPr>
      </w:pPr>
      <w:bookmarkStart w:id="0" w:name="OLE_LINK9"/>
      <w:r>
        <w:rPr>
          <w:rFonts w:hint="eastAsia" w:ascii="宋体" w:hAnsi="宋体" w:cs="宋体"/>
          <w:b/>
          <w:sz w:val="30"/>
        </w:rPr>
        <w:t>政府采购项目</w:t>
      </w:r>
    </w:p>
    <w:p>
      <w:pPr>
        <w:adjustRightInd w:val="0"/>
        <w:snapToGrid w:val="0"/>
        <w:spacing w:line="360" w:lineRule="auto"/>
        <w:jc w:val="left"/>
        <w:rPr>
          <w:rFonts w:hint="eastAsia" w:ascii="宋体" w:eastAsia="宋体" w:cs="宋体"/>
          <w:b/>
          <w:color w:val="000000"/>
          <w:sz w:val="30"/>
          <w:lang w:eastAsia="zh-CN"/>
        </w:rPr>
      </w:pPr>
      <w:r>
        <w:rPr>
          <w:rFonts w:hint="eastAsia" w:ascii="宋体" w:hAnsi="宋体" w:cs="宋体"/>
          <w:b/>
          <w:sz w:val="30"/>
        </w:rPr>
        <w:t>项目编号：</w:t>
      </w:r>
      <w:r>
        <w:rPr>
          <w:rFonts w:hint="eastAsia" w:ascii="宋体" w:hAnsi="宋体" w:cs="宋体"/>
          <w:b/>
          <w:sz w:val="28"/>
          <w:szCs w:val="28"/>
          <w:lang w:eastAsia="zh-CN"/>
        </w:rPr>
        <w:t>ZMZB2019XBDX-21</w:t>
      </w:r>
    </w:p>
    <w:p>
      <w:pPr>
        <w:adjustRightInd w:val="0"/>
        <w:snapToGrid w:val="0"/>
        <w:spacing w:line="360" w:lineRule="auto"/>
        <w:rPr>
          <w:rFonts w:ascii="宋体" w:cs="宋体"/>
          <w:b/>
          <w:sz w:val="44"/>
          <w:szCs w:val="44"/>
        </w:rPr>
      </w:pPr>
    </w:p>
    <w:p>
      <w:pPr>
        <w:adjustRightInd w:val="0"/>
        <w:snapToGrid w:val="0"/>
        <w:spacing w:line="360" w:lineRule="auto"/>
        <w:jc w:val="center"/>
        <w:rPr>
          <w:rFonts w:hint="eastAsia" w:ascii="宋体" w:eastAsia="宋体" w:cs="宋体"/>
          <w:b/>
          <w:sz w:val="48"/>
          <w:szCs w:val="48"/>
          <w:lang w:eastAsia="zh-CN"/>
        </w:rPr>
      </w:pPr>
      <w:r>
        <w:rPr>
          <w:rFonts w:hint="eastAsia" w:ascii="宋体" w:cs="宋体"/>
          <w:b/>
          <w:sz w:val="48"/>
          <w:szCs w:val="48"/>
          <w:lang w:eastAsia="zh-CN"/>
        </w:rPr>
        <w:t>西北大学人力资源管理信息系统采购项目</w:t>
      </w:r>
    </w:p>
    <w:p>
      <w:pPr>
        <w:adjustRightInd w:val="0"/>
        <w:snapToGrid w:val="0"/>
        <w:spacing w:line="360" w:lineRule="auto"/>
        <w:jc w:val="left"/>
        <w:rPr>
          <w:rFonts w:hint="eastAsia" w:ascii="宋体" w:cs="宋体"/>
          <w:b/>
          <w:sz w:val="52"/>
          <w:szCs w:val="52"/>
        </w:rPr>
      </w:pPr>
      <w:r>
        <w:rPr>
          <w:rFonts w:hint="eastAsia" w:ascii="宋体" w:cs="宋体"/>
          <w:b/>
          <w:sz w:val="52"/>
          <w:szCs w:val="52"/>
        </w:rPr>
        <w:t xml:space="preserve">      </w:t>
      </w:r>
    </w:p>
    <w:p>
      <w:pPr>
        <w:adjustRightInd w:val="0"/>
        <w:snapToGrid w:val="0"/>
        <w:spacing w:line="360" w:lineRule="auto"/>
        <w:jc w:val="left"/>
        <w:rPr>
          <w:rFonts w:ascii="宋体" w:cs="宋体"/>
          <w:b/>
          <w:sz w:val="52"/>
          <w:szCs w:val="52"/>
        </w:rPr>
      </w:pPr>
      <w:r>
        <w:drawing>
          <wp:anchor distT="0" distB="0" distL="114300" distR="114300" simplePos="0" relativeHeight="251678720" behindDoc="0" locked="0" layoutInCell="1" allowOverlap="1">
            <wp:simplePos x="0" y="0"/>
            <wp:positionH relativeFrom="column">
              <wp:posOffset>1600200</wp:posOffset>
            </wp:positionH>
            <wp:positionV relativeFrom="paragraph">
              <wp:posOffset>434975</wp:posOffset>
            </wp:positionV>
            <wp:extent cx="2095500" cy="1087120"/>
            <wp:effectExtent l="0" t="0" r="0" b="17780"/>
            <wp:wrapSquare wrapText="bothSides"/>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3"/>
                    <a:stretch>
                      <a:fillRect/>
                    </a:stretch>
                  </pic:blipFill>
                  <pic:spPr>
                    <a:xfrm>
                      <a:off x="0" y="0"/>
                      <a:ext cx="2095500" cy="1087120"/>
                    </a:xfrm>
                    <a:prstGeom prst="rect">
                      <a:avLst/>
                    </a:prstGeom>
                    <a:noFill/>
                    <a:ln>
                      <a:noFill/>
                    </a:ln>
                  </pic:spPr>
                </pic:pic>
              </a:graphicData>
            </a:graphic>
          </wp:anchor>
        </w:drawing>
      </w:r>
    </w:p>
    <w:p>
      <w:pPr>
        <w:tabs>
          <w:tab w:val="left" w:pos="0"/>
        </w:tabs>
        <w:adjustRightInd w:val="0"/>
        <w:snapToGrid w:val="0"/>
        <w:spacing w:line="360" w:lineRule="auto"/>
        <w:jc w:val="center"/>
        <w:rPr>
          <w:rFonts w:ascii="宋体" w:cs="宋体"/>
          <w:b/>
          <w:sz w:val="72"/>
          <w:szCs w:val="72"/>
        </w:rPr>
      </w:pPr>
    </w:p>
    <w:p>
      <w:pPr>
        <w:pStyle w:val="3"/>
      </w:pPr>
    </w:p>
    <w:p>
      <w:pPr>
        <w:tabs>
          <w:tab w:val="left" w:pos="0"/>
        </w:tabs>
        <w:adjustRightInd w:val="0"/>
        <w:snapToGrid w:val="0"/>
        <w:spacing w:line="360" w:lineRule="auto"/>
        <w:jc w:val="center"/>
        <w:rPr>
          <w:rFonts w:ascii="宋体" w:cs="宋体"/>
          <w:b/>
          <w:sz w:val="30"/>
        </w:rPr>
      </w:pPr>
      <w:r>
        <w:rPr>
          <w:rFonts w:hint="eastAsia" w:ascii="宋体" w:hAnsi="宋体" w:cs="宋体"/>
          <w:b/>
          <w:sz w:val="72"/>
          <w:szCs w:val="72"/>
        </w:rPr>
        <w:t>竞争性磋商文件</w:t>
      </w:r>
    </w:p>
    <w:p>
      <w:pPr>
        <w:adjustRightInd w:val="0"/>
        <w:snapToGrid w:val="0"/>
        <w:spacing w:line="360" w:lineRule="auto"/>
        <w:jc w:val="left"/>
        <w:rPr>
          <w:rFonts w:ascii="宋体" w:cs="宋体"/>
          <w:b/>
          <w:sz w:val="30"/>
        </w:rPr>
      </w:pPr>
    </w:p>
    <w:p>
      <w:pPr>
        <w:adjustRightInd w:val="0"/>
        <w:snapToGrid w:val="0"/>
        <w:spacing w:line="360" w:lineRule="auto"/>
        <w:ind w:firstLine="1606" w:firstLineChars="500"/>
        <w:rPr>
          <w:rFonts w:ascii="宋体" w:cs="宋体"/>
          <w:b/>
          <w:sz w:val="32"/>
          <w:szCs w:val="32"/>
        </w:rPr>
      </w:pPr>
    </w:p>
    <w:p>
      <w:pPr>
        <w:adjustRightInd w:val="0"/>
        <w:snapToGrid w:val="0"/>
        <w:spacing w:line="360" w:lineRule="auto"/>
        <w:ind w:firstLine="1928" w:firstLineChars="600"/>
        <w:rPr>
          <w:rFonts w:ascii="宋体" w:cs="宋体"/>
          <w:b/>
          <w:sz w:val="32"/>
          <w:szCs w:val="32"/>
        </w:rPr>
      </w:pPr>
      <w:r>
        <w:rPr>
          <w:rFonts w:hint="eastAsia" w:ascii="宋体" w:hAnsi="宋体" w:cs="宋体"/>
          <w:b/>
          <w:sz w:val="32"/>
          <w:szCs w:val="32"/>
        </w:rPr>
        <w:t>采购人：</w:t>
      </w:r>
      <w:r>
        <w:rPr>
          <w:rFonts w:hint="eastAsia" w:ascii="宋体" w:hAnsi="宋体" w:cs="宋体"/>
          <w:b/>
          <w:sz w:val="32"/>
          <w:szCs w:val="32"/>
          <w:u w:val="single"/>
        </w:rPr>
        <w:t>西北大学</w:t>
      </w:r>
    </w:p>
    <w:p>
      <w:pPr>
        <w:adjustRightInd w:val="0"/>
        <w:snapToGrid w:val="0"/>
        <w:spacing w:line="360" w:lineRule="auto"/>
        <w:jc w:val="center"/>
        <w:rPr>
          <w:rFonts w:ascii="宋体" w:cs="宋体"/>
          <w:b/>
          <w:sz w:val="32"/>
          <w:szCs w:val="32"/>
          <w:u w:val="single"/>
        </w:rPr>
      </w:pPr>
      <w:r>
        <w:rPr>
          <w:rFonts w:hint="eastAsia" w:ascii="宋体" w:hAnsi="宋体" w:cs="宋体"/>
          <w:b/>
          <w:sz w:val="32"/>
          <w:szCs w:val="32"/>
        </w:rPr>
        <w:t>采购代理机构：</w:t>
      </w:r>
      <w:r>
        <w:rPr>
          <w:rFonts w:hint="eastAsia" w:ascii="宋体" w:hAnsi="宋体" w:cs="宋体"/>
          <w:b/>
          <w:sz w:val="32"/>
          <w:szCs w:val="32"/>
          <w:u w:val="single"/>
        </w:rPr>
        <w:t>陕西卓佲招标有限公司</w:t>
      </w:r>
    </w:p>
    <w:p>
      <w:pPr>
        <w:adjustRightInd w:val="0"/>
        <w:snapToGrid w:val="0"/>
        <w:spacing w:line="360" w:lineRule="auto"/>
        <w:jc w:val="center"/>
        <w:rPr>
          <w:rFonts w:ascii="宋体" w:cs="宋体"/>
          <w:b/>
          <w:color w:val="FF0000"/>
          <w:sz w:val="32"/>
          <w:szCs w:val="32"/>
        </w:rPr>
      </w:pPr>
      <w:r>
        <w:rPr>
          <w:rFonts w:hint="eastAsia" w:ascii="宋体" w:hAnsi="宋体" w:cs="宋体"/>
          <w:b/>
          <w:sz w:val="32"/>
          <w:szCs w:val="32"/>
        </w:rPr>
        <w:t>二〇一九年四月</w:t>
      </w:r>
    </w:p>
    <w:p>
      <w:pPr>
        <w:adjustRightInd w:val="0"/>
        <w:snapToGrid w:val="0"/>
        <w:spacing w:line="600" w:lineRule="auto"/>
        <w:rPr>
          <w:rFonts w:ascii="宋体" w:cs="宋体"/>
          <w:b/>
          <w:sz w:val="36"/>
          <w:szCs w:val="36"/>
        </w:rPr>
        <w:sectPr>
          <w:headerReference r:id="rId4" w:type="first"/>
          <w:headerReference r:id="rId3" w:type="default"/>
          <w:footerReference r:id="rId5" w:type="default"/>
          <w:pgSz w:w="11906" w:h="16838"/>
          <w:pgMar w:top="1361" w:right="1474" w:bottom="1361" w:left="1474" w:header="850" w:footer="992" w:gutter="0"/>
          <w:cols w:space="720" w:num="1"/>
          <w:docGrid w:type="lines" w:linePitch="312" w:charSpace="0"/>
        </w:sectPr>
      </w:pPr>
    </w:p>
    <w:p>
      <w:pPr>
        <w:pStyle w:val="20"/>
        <w:tabs>
          <w:tab w:val="right" w:leader="dot" w:pos="8306"/>
        </w:tabs>
        <w:spacing w:line="360" w:lineRule="auto"/>
        <w:jc w:val="center"/>
        <w:rPr>
          <w:b/>
          <w:bCs/>
          <w:sz w:val="52"/>
          <w:szCs w:val="52"/>
        </w:rPr>
      </w:pPr>
      <w:r>
        <w:rPr>
          <w:rFonts w:hint="eastAsia"/>
          <w:b/>
          <w:bCs/>
          <w:sz w:val="52"/>
          <w:szCs w:val="52"/>
        </w:rPr>
        <w:t>目录</w:t>
      </w:r>
    </w:p>
    <w:p>
      <w:pPr>
        <w:pStyle w:val="20"/>
        <w:tabs>
          <w:tab w:val="right" w:leader="dot" w:pos="8306"/>
        </w:tabs>
      </w:pPr>
      <w:r>
        <w:rPr>
          <w:sz w:val="32"/>
          <w:szCs w:val="32"/>
        </w:rPr>
        <w:fldChar w:fldCharType="begin"/>
      </w:r>
      <w:r>
        <w:rPr>
          <w:sz w:val="32"/>
          <w:szCs w:val="32"/>
        </w:rPr>
        <w:instrText xml:space="preserve">TOC \o "1-2" \h \u </w:instrText>
      </w:r>
      <w:r>
        <w:rPr>
          <w:sz w:val="32"/>
          <w:szCs w:val="32"/>
        </w:rPr>
        <w:fldChar w:fldCharType="separate"/>
      </w:r>
      <w:r>
        <w:rPr>
          <w:szCs w:val="32"/>
        </w:rPr>
        <w:fldChar w:fldCharType="begin"/>
      </w:r>
      <w:r>
        <w:rPr>
          <w:szCs w:val="32"/>
        </w:rPr>
        <w:instrText xml:space="preserve"> HYPERLINK \l _Toc4854 </w:instrText>
      </w:r>
      <w:r>
        <w:rPr>
          <w:szCs w:val="32"/>
        </w:rPr>
        <w:fldChar w:fldCharType="separate"/>
      </w:r>
      <w:r>
        <w:rPr>
          <w:rFonts w:hint="eastAsia"/>
        </w:rPr>
        <w:t>第一部分竞争性磋商公告</w:t>
      </w:r>
      <w:r>
        <w:tab/>
      </w:r>
      <w:r>
        <w:fldChar w:fldCharType="begin"/>
      </w:r>
      <w:r>
        <w:instrText xml:space="preserve"> PAGEREF _Toc4854 </w:instrText>
      </w:r>
      <w:r>
        <w:fldChar w:fldCharType="separate"/>
      </w:r>
      <w:r>
        <w:t>1</w:t>
      </w:r>
      <w:r>
        <w:fldChar w:fldCharType="end"/>
      </w:r>
      <w:r>
        <w:rPr>
          <w:szCs w:val="32"/>
        </w:rPr>
        <w:fldChar w:fldCharType="end"/>
      </w:r>
    </w:p>
    <w:p>
      <w:pPr>
        <w:pStyle w:val="20"/>
        <w:tabs>
          <w:tab w:val="right" w:leader="dot" w:pos="8306"/>
        </w:tabs>
      </w:pPr>
      <w:r>
        <w:rPr>
          <w:szCs w:val="32"/>
        </w:rPr>
        <w:fldChar w:fldCharType="begin"/>
      </w:r>
      <w:r>
        <w:rPr>
          <w:szCs w:val="32"/>
        </w:rPr>
        <w:instrText xml:space="preserve"> HYPERLINK \l _Toc5422 </w:instrText>
      </w:r>
      <w:r>
        <w:rPr>
          <w:szCs w:val="32"/>
        </w:rPr>
        <w:fldChar w:fldCharType="separate"/>
      </w:r>
      <w:r>
        <w:rPr>
          <w:rFonts w:hint="eastAsia"/>
        </w:rPr>
        <w:t>第二部分供应商须知前附表</w:t>
      </w:r>
      <w:r>
        <w:tab/>
      </w:r>
      <w:r>
        <w:fldChar w:fldCharType="begin"/>
      </w:r>
      <w:r>
        <w:instrText xml:space="preserve"> PAGEREF _Toc5422 </w:instrText>
      </w:r>
      <w:r>
        <w:fldChar w:fldCharType="separate"/>
      </w:r>
      <w:r>
        <w:t>4</w:t>
      </w:r>
      <w:r>
        <w:fldChar w:fldCharType="end"/>
      </w:r>
      <w:r>
        <w:rPr>
          <w:szCs w:val="32"/>
        </w:rPr>
        <w:fldChar w:fldCharType="end"/>
      </w:r>
    </w:p>
    <w:p>
      <w:pPr>
        <w:pStyle w:val="20"/>
        <w:tabs>
          <w:tab w:val="right" w:leader="dot" w:pos="8306"/>
        </w:tabs>
      </w:pPr>
      <w:r>
        <w:rPr>
          <w:szCs w:val="32"/>
        </w:rPr>
        <w:fldChar w:fldCharType="begin"/>
      </w:r>
      <w:r>
        <w:rPr>
          <w:szCs w:val="32"/>
        </w:rPr>
        <w:instrText xml:space="preserve"> HYPERLINK \l _Toc5533 </w:instrText>
      </w:r>
      <w:r>
        <w:rPr>
          <w:szCs w:val="32"/>
        </w:rPr>
        <w:fldChar w:fldCharType="separate"/>
      </w:r>
      <w:r>
        <w:rPr>
          <w:rFonts w:hint="eastAsia"/>
        </w:rPr>
        <w:t>第三部分供应商须知</w:t>
      </w:r>
      <w:r>
        <w:tab/>
      </w:r>
      <w:r>
        <w:fldChar w:fldCharType="begin"/>
      </w:r>
      <w:r>
        <w:instrText xml:space="preserve"> PAGEREF _Toc5533 </w:instrText>
      </w:r>
      <w:r>
        <w:fldChar w:fldCharType="separate"/>
      </w:r>
      <w:r>
        <w:t>8</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_Toc10239 </w:instrText>
      </w:r>
      <w:r>
        <w:rPr>
          <w:szCs w:val="32"/>
        </w:rPr>
        <w:fldChar w:fldCharType="separate"/>
      </w:r>
      <w:r>
        <w:rPr>
          <w:rFonts w:hint="eastAsia" w:ascii="宋体" w:cs="Times New Roman"/>
          <w:bCs/>
          <w:kern w:val="0"/>
          <w:szCs w:val="28"/>
        </w:rPr>
        <w:t xml:space="preserve">一、 </w:t>
      </w:r>
      <w:r>
        <w:rPr>
          <w:rFonts w:hint="eastAsia" w:ascii="宋体" w:hAnsi="宋体" w:cs="宋体"/>
          <w:bCs/>
          <w:kern w:val="0"/>
          <w:szCs w:val="28"/>
        </w:rPr>
        <w:t>总则</w:t>
      </w:r>
      <w:r>
        <w:tab/>
      </w:r>
      <w:r>
        <w:fldChar w:fldCharType="begin"/>
      </w:r>
      <w:r>
        <w:instrText xml:space="preserve"> PAGEREF _Toc10239 </w:instrText>
      </w:r>
      <w:r>
        <w:fldChar w:fldCharType="separate"/>
      </w:r>
      <w:r>
        <w:t>8</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_Toc31482 </w:instrText>
      </w:r>
      <w:r>
        <w:rPr>
          <w:szCs w:val="32"/>
        </w:rPr>
        <w:fldChar w:fldCharType="separate"/>
      </w:r>
      <w:r>
        <w:rPr>
          <w:rFonts w:hint="eastAsia" w:ascii="宋体" w:cs="Times New Roman"/>
          <w:bCs/>
          <w:kern w:val="0"/>
          <w:szCs w:val="28"/>
        </w:rPr>
        <w:t xml:space="preserve">二、 </w:t>
      </w:r>
      <w:r>
        <w:rPr>
          <w:rFonts w:hint="eastAsia" w:ascii="宋体" w:hAnsi="宋体" w:cs="宋体"/>
          <w:bCs/>
          <w:kern w:val="0"/>
          <w:szCs w:val="28"/>
        </w:rPr>
        <w:t>竞争性磋商文件</w:t>
      </w:r>
      <w:r>
        <w:tab/>
      </w:r>
      <w:r>
        <w:fldChar w:fldCharType="begin"/>
      </w:r>
      <w:r>
        <w:instrText xml:space="preserve"> PAGEREF _Toc31482 </w:instrText>
      </w:r>
      <w:r>
        <w:fldChar w:fldCharType="separate"/>
      </w:r>
      <w:r>
        <w:t>11</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_Toc21524 </w:instrText>
      </w:r>
      <w:r>
        <w:rPr>
          <w:szCs w:val="32"/>
        </w:rPr>
        <w:fldChar w:fldCharType="separate"/>
      </w:r>
      <w:r>
        <w:rPr>
          <w:rFonts w:hint="eastAsia" w:ascii="宋体" w:cs="Times New Roman"/>
          <w:bCs/>
          <w:kern w:val="0"/>
          <w:szCs w:val="28"/>
        </w:rPr>
        <w:t xml:space="preserve">三、 </w:t>
      </w:r>
      <w:r>
        <w:rPr>
          <w:rFonts w:hint="eastAsia" w:ascii="宋体" w:hAnsi="宋体" w:cs="宋体"/>
          <w:bCs/>
          <w:kern w:val="0"/>
          <w:szCs w:val="28"/>
        </w:rPr>
        <w:t>磋商响应文件</w:t>
      </w:r>
      <w:r>
        <w:tab/>
      </w:r>
      <w:r>
        <w:fldChar w:fldCharType="begin"/>
      </w:r>
      <w:r>
        <w:instrText xml:space="preserve"> PAGEREF _Toc21524 </w:instrText>
      </w:r>
      <w:r>
        <w:fldChar w:fldCharType="separate"/>
      </w:r>
      <w:r>
        <w:t>13</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_Toc16723 </w:instrText>
      </w:r>
      <w:r>
        <w:rPr>
          <w:szCs w:val="32"/>
        </w:rPr>
        <w:fldChar w:fldCharType="separate"/>
      </w:r>
      <w:r>
        <w:rPr>
          <w:rFonts w:hint="eastAsia" w:ascii="宋体" w:cs="Times New Roman"/>
          <w:bCs/>
          <w:kern w:val="0"/>
          <w:szCs w:val="28"/>
        </w:rPr>
        <w:t xml:space="preserve">四、 </w:t>
      </w:r>
      <w:r>
        <w:rPr>
          <w:rFonts w:hint="eastAsia" w:ascii="宋体" w:hAnsi="宋体" w:cs="宋体"/>
          <w:bCs/>
          <w:kern w:val="0"/>
          <w:szCs w:val="28"/>
        </w:rPr>
        <w:t>磋商响应文件的递交</w:t>
      </w:r>
      <w:r>
        <w:tab/>
      </w:r>
      <w:r>
        <w:fldChar w:fldCharType="begin"/>
      </w:r>
      <w:r>
        <w:instrText xml:space="preserve"> PAGEREF _Toc16723 </w:instrText>
      </w:r>
      <w:r>
        <w:fldChar w:fldCharType="separate"/>
      </w:r>
      <w:r>
        <w:t>16</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_Toc994 </w:instrText>
      </w:r>
      <w:r>
        <w:rPr>
          <w:szCs w:val="32"/>
        </w:rPr>
        <w:fldChar w:fldCharType="separate"/>
      </w:r>
      <w:r>
        <w:rPr>
          <w:rFonts w:hint="eastAsia" w:ascii="宋体" w:cs="Times New Roman"/>
          <w:bCs/>
          <w:kern w:val="0"/>
          <w:szCs w:val="28"/>
        </w:rPr>
        <w:t xml:space="preserve">五、 </w:t>
      </w:r>
      <w:r>
        <w:rPr>
          <w:rFonts w:hint="eastAsia" w:ascii="宋体" w:hAnsi="宋体" w:cs="宋体"/>
          <w:bCs/>
          <w:kern w:val="0"/>
          <w:szCs w:val="28"/>
        </w:rPr>
        <w:t>磋商、评审、定标</w:t>
      </w:r>
      <w:r>
        <w:tab/>
      </w:r>
      <w:r>
        <w:fldChar w:fldCharType="begin"/>
      </w:r>
      <w:r>
        <w:instrText xml:space="preserve"> PAGEREF _Toc994 </w:instrText>
      </w:r>
      <w:r>
        <w:fldChar w:fldCharType="separate"/>
      </w:r>
      <w:r>
        <w:t>16</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_Toc386 </w:instrText>
      </w:r>
      <w:r>
        <w:rPr>
          <w:szCs w:val="32"/>
        </w:rPr>
        <w:fldChar w:fldCharType="separate"/>
      </w:r>
      <w:r>
        <w:rPr>
          <w:rFonts w:hint="eastAsia" w:ascii="宋体" w:cs="Times New Roman"/>
          <w:bCs/>
          <w:kern w:val="0"/>
          <w:szCs w:val="28"/>
        </w:rPr>
        <w:t xml:space="preserve">六、 </w:t>
      </w:r>
      <w:r>
        <w:rPr>
          <w:rFonts w:hint="eastAsia" w:ascii="宋体" w:hAnsi="宋体" w:cs="宋体"/>
          <w:bCs/>
          <w:kern w:val="0"/>
          <w:szCs w:val="28"/>
        </w:rPr>
        <w:t>签订合同</w:t>
      </w:r>
      <w:r>
        <w:tab/>
      </w:r>
      <w:r>
        <w:fldChar w:fldCharType="begin"/>
      </w:r>
      <w:r>
        <w:instrText xml:space="preserve"> PAGEREF _Toc386 </w:instrText>
      </w:r>
      <w:r>
        <w:fldChar w:fldCharType="separate"/>
      </w:r>
      <w:r>
        <w:t>21</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_Toc19496 </w:instrText>
      </w:r>
      <w:r>
        <w:rPr>
          <w:szCs w:val="32"/>
        </w:rPr>
        <w:fldChar w:fldCharType="separate"/>
      </w:r>
      <w:r>
        <w:rPr>
          <w:rFonts w:hint="eastAsia" w:ascii="宋体" w:cs="Times New Roman"/>
          <w:bCs/>
          <w:kern w:val="0"/>
          <w:szCs w:val="28"/>
        </w:rPr>
        <w:t xml:space="preserve">七、 </w:t>
      </w:r>
      <w:r>
        <w:rPr>
          <w:rFonts w:hint="eastAsia" w:ascii="宋体" w:hAnsi="宋体" w:cs="宋体"/>
          <w:bCs/>
          <w:kern w:val="0"/>
          <w:szCs w:val="28"/>
        </w:rPr>
        <w:t>磋商终止</w:t>
      </w:r>
      <w:r>
        <w:tab/>
      </w:r>
      <w:r>
        <w:fldChar w:fldCharType="begin"/>
      </w:r>
      <w:r>
        <w:instrText xml:space="preserve"> PAGEREF _Toc19496 </w:instrText>
      </w:r>
      <w:r>
        <w:fldChar w:fldCharType="separate"/>
      </w:r>
      <w:r>
        <w:t>21</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_Toc10069 </w:instrText>
      </w:r>
      <w:r>
        <w:rPr>
          <w:szCs w:val="32"/>
        </w:rPr>
        <w:fldChar w:fldCharType="separate"/>
      </w:r>
      <w:r>
        <w:rPr>
          <w:rFonts w:hint="eastAsia" w:ascii="宋体" w:cs="Times New Roman"/>
          <w:bCs/>
          <w:kern w:val="0"/>
          <w:szCs w:val="28"/>
        </w:rPr>
        <w:t xml:space="preserve">八、 </w:t>
      </w:r>
      <w:r>
        <w:rPr>
          <w:rFonts w:hint="eastAsia" w:ascii="宋体" w:hAnsi="宋体" w:cs="宋体"/>
          <w:bCs/>
          <w:kern w:val="0"/>
          <w:szCs w:val="28"/>
        </w:rPr>
        <w:t>代理服务费</w:t>
      </w:r>
      <w:r>
        <w:tab/>
      </w:r>
      <w:r>
        <w:fldChar w:fldCharType="begin"/>
      </w:r>
      <w:r>
        <w:instrText xml:space="preserve"> PAGEREF _Toc10069 </w:instrText>
      </w:r>
      <w:r>
        <w:fldChar w:fldCharType="separate"/>
      </w:r>
      <w:r>
        <w:t>21</w:t>
      </w:r>
      <w:r>
        <w:fldChar w:fldCharType="end"/>
      </w:r>
      <w:r>
        <w:rPr>
          <w:szCs w:val="32"/>
        </w:rPr>
        <w:fldChar w:fldCharType="end"/>
      </w:r>
    </w:p>
    <w:p>
      <w:pPr>
        <w:pStyle w:val="20"/>
        <w:tabs>
          <w:tab w:val="right" w:leader="dot" w:pos="8306"/>
        </w:tabs>
      </w:pPr>
      <w:r>
        <w:rPr>
          <w:szCs w:val="32"/>
        </w:rPr>
        <w:fldChar w:fldCharType="begin"/>
      </w:r>
      <w:r>
        <w:rPr>
          <w:szCs w:val="32"/>
        </w:rPr>
        <w:instrText xml:space="preserve"> HYPERLINK \l _Toc4960 </w:instrText>
      </w:r>
      <w:r>
        <w:rPr>
          <w:szCs w:val="32"/>
        </w:rPr>
        <w:fldChar w:fldCharType="separate"/>
      </w:r>
      <w:r>
        <w:rPr>
          <w:rFonts w:cs="Times New Roman"/>
        </w:rPr>
        <w:t xml:space="preserve">第四部 </w:t>
      </w:r>
      <w:r>
        <w:rPr>
          <w:rFonts w:hint="eastAsia"/>
        </w:rPr>
        <w:t>分评标办法</w:t>
      </w:r>
      <w:r>
        <w:tab/>
      </w:r>
      <w:r>
        <w:fldChar w:fldCharType="begin"/>
      </w:r>
      <w:r>
        <w:instrText xml:space="preserve"> PAGEREF _Toc4960 </w:instrText>
      </w:r>
      <w:r>
        <w:fldChar w:fldCharType="separate"/>
      </w:r>
      <w:r>
        <w:t>22</w:t>
      </w:r>
      <w:r>
        <w:fldChar w:fldCharType="end"/>
      </w:r>
      <w:r>
        <w:rPr>
          <w:szCs w:val="32"/>
        </w:rPr>
        <w:fldChar w:fldCharType="end"/>
      </w:r>
    </w:p>
    <w:p>
      <w:pPr>
        <w:pStyle w:val="20"/>
        <w:tabs>
          <w:tab w:val="right" w:leader="dot" w:pos="8306"/>
        </w:tabs>
      </w:pPr>
      <w:r>
        <w:rPr>
          <w:szCs w:val="32"/>
        </w:rPr>
        <w:fldChar w:fldCharType="begin"/>
      </w:r>
      <w:r>
        <w:rPr>
          <w:szCs w:val="32"/>
        </w:rPr>
        <w:instrText xml:space="preserve"> HYPERLINK \l _Toc2486 </w:instrText>
      </w:r>
      <w:r>
        <w:rPr>
          <w:szCs w:val="32"/>
        </w:rPr>
        <w:fldChar w:fldCharType="separate"/>
      </w:r>
      <w:r>
        <w:rPr>
          <w:rFonts w:hint="eastAsia"/>
        </w:rPr>
        <w:t>第五部分采购要求</w:t>
      </w:r>
      <w:r>
        <w:tab/>
      </w:r>
      <w:r>
        <w:fldChar w:fldCharType="begin"/>
      </w:r>
      <w:r>
        <w:instrText xml:space="preserve"> PAGEREF _Toc2486 </w:instrText>
      </w:r>
      <w:r>
        <w:fldChar w:fldCharType="separate"/>
      </w:r>
      <w:r>
        <w:t>25</w:t>
      </w:r>
      <w:r>
        <w:fldChar w:fldCharType="end"/>
      </w:r>
      <w:r>
        <w:rPr>
          <w:szCs w:val="32"/>
        </w:rPr>
        <w:fldChar w:fldCharType="end"/>
      </w:r>
    </w:p>
    <w:p>
      <w:pPr>
        <w:pStyle w:val="20"/>
        <w:tabs>
          <w:tab w:val="right" w:leader="dot" w:pos="8306"/>
        </w:tabs>
      </w:pPr>
      <w:r>
        <w:rPr>
          <w:szCs w:val="32"/>
        </w:rPr>
        <w:fldChar w:fldCharType="begin"/>
      </w:r>
      <w:r>
        <w:rPr>
          <w:szCs w:val="32"/>
        </w:rPr>
        <w:instrText xml:space="preserve"> HYPERLINK \l _Toc7617 </w:instrText>
      </w:r>
      <w:r>
        <w:rPr>
          <w:szCs w:val="32"/>
        </w:rPr>
        <w:fldChar w:fldCharType="separate"/>
      </w:r>
      <w:r>
        <w:rPr>
          <w:rFonts w:asciiTheme="minorEastAsia" w:hAnsiTheme="minorEastAsia" w:eastAsiaTheme="minorEastAsia" w:cstheme="minorEastAsia"/>
          <w:szCs w:val="36"/>
        </w:rPr>
        <w:t xml:space="preserve">第六部 </w:t>
      </w:r>
      <w:r>
        <w:rPr>
          <w:rFonts w:hint="eastAsia" w:asciiTheme="minorEastAsia" w:hAnsiTheme="minorEastAsia" w:eastAsiaTheme="minorEastAsia" w:cstheme="minorEastAsia"/>
          <w:szCs w:val="36"/>
        </w:rPr>
        <w:t>分  合同条款</w:t>
      </w:r>
      <w:r>
        <w:tab/>
      </w:r>
      <w:r>
        <w:fldChar w:fldCharType="begin"/>
      </w:r>
      <w:r>
        <w:instrText xml:space="preserve"> PAGEREF _Toc7617 </w:instrText>
      </w:r>
      <w:r>
        <w:fldChar w:fldCharType="separate"/>
      </w:r>
      <w:r>
        <w:t>40</w:t>
      </w:r>
      <w:r>
        <w:fldChar w:fldCharType="end"/>
      </w:r>
      <w:r>
        <w:rPr>
          <w:szCs w:val="32"/>
        </w:rPr>
        <w:fldChar w:fldCharType="end"/>
      </w:r>
    </w:p>
    <w:p>
      <w:pPr>
        <w:pStyle w:val="20"/>
        <w:tabs>
          <w:tab w:val="right" w:leader="dot" w:pos="8306"/>
        </w:tabs>
      </w:pPr>
      <w:r>
        <w:rPr>
          <w:szCs w:val="32"/>
        </w:rPr>
        <w:fldChar w:fldCharType="begin"/>
      </w:r>
      <w:r>
        <w:rPr>
          <w:szCs w:val="32"/>
        </w:rPr>
        <w:instrText xml:space="preserve"> HYPERLINK \l _Toc18734 </w:instrText>
      </w:r>
      <w:r>
        <w:rPr>
          <w:szCs w:val="32"/>
        </w:rPr>
        <w:fldChar w:fldCharType="separate"/>
      </w:r>
      <w:r>
        <w:rPr>
          <w:rFonts w:hint="eastAsia"/>
        </w:rPr>
        <w:t>第七部分磋商响应文件格式</w:t>
      </w:r>
      <w:r>
        <w:tab/>
      </w:r>
      <w:r>
        <w:fldChar w:fldCharType="begin"/>
      </w:r>
      <w:r>
        <w:instrText xml:space="preserve"> PAGEREF _Toc18734 </w:instrText>
      </w:r>
      <w:r>
        <w:fldChar w:fldCharType="separate"/>
      </w:r>
      <w:r>
        <w:t>44</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_Toc27180 </w:instrText>
      </w:r>
      <w:r>
        <w:rPr>
          <w:szCs w:val="32"/>
        </w:rPr>
        <w:fldChar w:fldCharType="separate"/>
      </w:r>
      <w:r>
        <w:rPr>
          <w:rFonts w:hint="eastAsia"/>
        </w:rPr>
        <w:t>第一部分磋商函</w:t>
      </w:r>
      <w:r>
        <w:tab/>
      </w:r>
      <w:r>
        <w:fldChar w:fldCharType="begin"/>
      </w:r>
      <w:r>
        <w:instrText xml:space="preserve"> PAGEREF _Toc27180 </w:instrText>
      </w:r>
      <w:r>
        <w:fldChar w:fldCharType="separate"/>
      </w:r>
      <w:r>
        <w:t>46</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_Toc20366 </w:instrText>
      </w:r>
      <w:r>
        <w:rPr>
          <w:szCs w:val="32"/>
        </w:rPr>
        <w:fldChar w:fldCharType="separate"/>
      </w:r>
      <w:r>
        <w:rPr>
          <w:rFonts w:hint="eastAsia"/>
        </w:rPr>
        <w:t>第二部分磋商一览表</w:t>
      </w:r>
      <w:r>
        <w:tab/>
      </w:r>
      <w:r>
        <w:fldChar w:fldCharType="begin"/>
      </w:r>
      <w:r>
        <w:instrText xml:space="preserve"> PAGEREF _Toc20366 </w:instrText>
      </w:r>
      <w:r>
        <w:fldChar w:fldCharType="separate"/>
      </w:r>
      <w:r>
        <w:t>47</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_Toc28613 </w:instrText>
      </w:r>
      <w:r>
        <w:rPr>
          <w:szCs w:val="32"/>
        </w:rPr>
        <w:fldChar w:fldCharType="separate"/>
      </w:r>
      <w:r>
        <w:rPr>
          <w:rFonts w:hint="eastAsia"/>
        </w:rPr>
        <w:t>第三部分磋商产品分项报价表</w:t>
      </w:r>
      <w:r>
        <w:tab/>
      </w:r>
      <w:r>
        <w:fldChar w:fldCharType="begin"/>
      </w:r>
      <w:r>
        <w:instrText xml:space="preserve"> PAGEREF _Toc28613 </w:instrText>
      </w:r>
      <w:r>
        <w:fldChar w:fldCharType="separate"/>
      </w:r>
      <w:r>
        <w:t>48</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_Toc25018 </w:instrText>
      </w:r>
      <w:r>
        <w:rPr>
          <w:szCs w:val="32"/>
        </w:rPr>
        <w:fldChar w:fldCharType="separate"/>
      </w:r>
      <w:r>
        <w:rPr>
          <w:rFonts w:hint="eastAsia"/>
        </w:rPr>
        <w:t>第四部分磋商产品技术偏差表</w:t>
      </w:r>
      <w:r>
        <w:tab/>
      </w:r>
      <w:r>
        <w:fldChar w:fldCharType="begin"/>
      </w:r>
      <w:r>
        <w:instrText xml:space="preserve"> PAGEREF _Toc25018 </w:instrText>
      </w:r>
      <w:r>
        <w:fldChar w:fldCharType="separate"/>
      </w:r>
      <w:r>
        <w:t>49</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_Toc2305 </w:instrText>
      </w:r>
      <w:r>
        <w:rPr>
          <w:szCs w:val="32"/>
        </w:rPr>
        <w:fldChar w:fldCharType="separate"/>
      </w:r>
      <w:r>
        <w:rPr>
          <w:rFonts w:hint="eastAsia" w:ascii="宋体" w:hAnsi="宋体" w:cs="宋体"/>
        </w:rPr>
        <w:t>第五部分 商务响应说明</w:t>
      </w:r>
      <w:r>
        <w:tab/>
      </w:r>
      <w:r>
        <w:fldChar w:fldCharType="begin"/>
      </w:r>
      <w:r>
        <w:instrText xml:space="preserve"> PAGEREF _Toc2305 </w:instrText>
      </w:r>
      <w:r>
        <w:fldChar w:fldCharType="separate"/>
      </w:r>
      <w:r>
        <w:t>50</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_Toc31976 </w:instrText>
      </w:r>
      <w:r>
        <w:rPr>
          <w:szCs w:val="32"/>
        </w:rPr>
        <w:fldChar w:fldCharType="separate"/>
      </w:r>
      <w:r>
        <w:rPr>
          <w:rFonts w:hint="eastAsia" w:ascii="宋体" w:hAnsi="宋体" w:cs="宋体"/>
        </w:rPr>
        <w:t>第六部分 供应商资格要求</w:t>
      </w:r>
      <w:r>
        <w:tab/>
      </w:r>
      <w:r>
        <w:fldChar w:fldCharType="begin"/>
      </w:r>
      <w:r>
        <w:instrText xml:space="preserve"> PAGEREF _Toc31976 </w:instrText>
      </w:r>
      <w:r>
        <w:fldChar w:fldCharType="separate"/>
      </w:r>
      <w:r>
        <w:t>51</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_Toc110 </w:instrText>
      </w:r>
      <w:r>
        <w:rPr>
          <w:szCs w:val="32"/>
        </w:rPr>
        <w:fldChar w:fldCharType="separate"/>
      </w:r>
      <w:r>
        <w:rPr>
          <w:rFonts w:hint="eastAsia" w:ascii="宋体" w:hAnsi="宋体"/>
          <w:szCs w:val="36"/>
        </w:rPr>
        <w:t>第七部分 投标技术方案</w:t>
      </w:r>
      <w:r>
        <w:tab/>
      </w:r>
      <w:r>
        <w:fldChar w:fldCharType="begin"/>
      </w:r>
      <w:r>
        <w:instrText xml:space="preserve"> PAGEREF _Toc110 </w:instrText>
      </w:r>
      <w:r>
        <w:fldChar w:fldCharType="separate"/>
      </w:r>
      <w:r>
        <w:t>59</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_Toc17114 </w:instrText>
      </w:r>
      <w:r>
        <w:rPr>
          <w:szCs w:val="32"/>
        </w:rPr>
        <w:fldChar w:fldCharType="separate"/>
      </w:r>
      <w:r>
        <w:rPr>
          <w:rFonts w:hint="eastAsia" w:ascii="宋体" w:hAnsi="宋体"/>
          <w:szCs w:val="36"/>
        </w:rPr>
        <w:t>第八部分 供应商类似项目业绩一览表</w:t>
      </w:r>
      <w:r>
        <w:tab/>
      </w:r>
      <w:r>
        <w:fldChar w:fldCharType="begin"/>
      </w:r>
      <w:r>
        <w:instrText xml:space="preserve"> PAGEREF _Toc17114 </w:instrText>
      </w:r>
      <w:r>
        <w:fldChar w:fldCharType="separate"/>
      </w:r>
      <w:r>
        <w:t>61</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_Toc5256 </w:instrText>
      </w:r>
      <w:r>
        <w:rPr>
          <w:szCs w:val="32"/>
        </w:rPr>
        <w:fldChar w:fldCharType="separate"/>
      </w:r>
      <w:r>
        <w:rPr>
          <w:rFonts w:hint="eastAsia" w:ascii="宋体" w:hAnsi="宋体" w:cs="宋体"/>
        </w:rPr>
        <w:t>第九部分 供应商认为有必要说明的其他问题</w:t>
      </w:r>
      <w:r>
        <w:tab/>
      </w:r>
      <w:r>
        <w:fldChar w:fldCharType="begin"/>
      </w:r>
      <w:r>
        <w:instrText xml:space="preserve"> PAGEREF _Toc5256 </w:instrText>
      </w:r>
      <w:r>
        <w:fldChar w:fldCharType="separate"/>
      </w:r>
      <w:r>
        <w:t>62</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_Toc5336 </w:instrText>
      </w:r>
      <w:r>
        <w:rPr>
          <w:szCs w:val="32"/>
        </w:rPr>
        <w:fldChar w:fldCharType="separate"/>
      </w:r>
      <w:r>
        <w:rPr>
          <w:rFonts w:hint="eastAsia" w:ascii="宋体" w:hAnsi="宋体" w:cs="宋体"/>
        </w:rPr>
        <w:t>第十部分 供应商承诺书</w:t>
      </w:r>
      <w:r>
        <w:tab/>
      </w:r>
      <w:r>
        <w:fldChar w:fldCharType="begin"/>
      </w:r>
      <w:r>
        <w:instrText xml:space="preserve"> PAGEREF _Toc5336 </w:instrText>
      </w:r>
      <w:r>
        <w:fldChar w:fldCharType="separate"/>
      </w:r>
      <w:r>
        <w:t>65</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_Toc13134 </w:instrText>
      </w:r>
      <w:r>
        <w:rPr>
          <w:szCs w:val="32"/>
        </w:rPr>
        <w:fldChar w:fldCharType="separate"/>
      </w:r>
      <w:r>
        <w:rPr>
          <w:rFonts w:hint="eastAsia" w:ascii="宋体" w:hAnsi="宋体" w:cs="宋体"/>
        </w:rPr>
        <w:t>附件一：封袋正面标识式样</w:t>
      </w:r>
      <w:r>
        <w:tab/>
      </w:r>
      <w:r>
        <w:fldChar w:fldCharType="begin"/>
      </w:r>
      <w:r>
        <w:instrText xml:space="preserve"> PAGEREF _Toc13134 </w:instrText>
      </w:r>
      <w:r>
        <w:fldChar w:fldCharType="separate"/>
      </w:r>
      <w:r>
        <w:t>68</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_Toc15212 </w:instrText>
      </w:r>
      <w:r>
        <w:rPr>
          <w:szCs w:val="32"/>
        </w:rPr>
        <w:fldChar w:fldCharType="separate"/>
      </w:r>
      <w:r>
        <w:rPr>
          <w:rFonts w:hint="eastAsia" w:ascii="宋体" w:hAnsi="宋体" w:cs="宋体"/>
        </w:rPr>
        <w:t>附件二、中小企业申明</w:t>
      </w:r>
      <w:r>
        <w:tab/>
      </w:r>
      <w:r>
        <w:fldChar w:fldCharType="begin"/>
      </w:r>
      <w:r>
        <w:instrText xml:space="preserve"> PAGEREF _Toc15212 </w:instrText>
      </w:r>
      <w:r>
        <w:fldChar w:fldCharType="separate"/>
      </w:r>
      <w:r>
        <w:t>70</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_Toc29564 </w:instrText>
      </w:r>
      <w:r>
        <w:rPr>
          <w:szCs w:val="32"/>
        </w:rPr>
        <w:fldChar w:fldCharType="separate"/>
      </w:r>
      <w:r>
        <w:rPr>
          <w:rFonts w:hint="eastAsia"/>
        </w:rPr>
        <w:t>附件三残疾人福利性单位声明</w:t>
      </w:r>
      <w:r>
        <w:tab/>
      </w:r>
      <w:r>
        <w:fldChar w:fldCharType="begin"/>
      </w:r>
      <w:r>
        <w:instrText xml:space="preserve"> PAGEREF _Toc29564 </w:instrText>
      </w:r>
      <w:r>
        <w:fldChar w:fldCharType="separate"/>
      </w:r>
      <w:r>
        <w:t>71</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_Toc10559 </w:instrText>
      </w:r>
      <w:r>
        <w:rPr>
          <w:szCs w:val="32"/>
        </w:rPr>
        <w:fldChar w:fldCharType="separate"/>
      </w:r>
      <w:r>
        <w:rPr>
          <w:rFonts w:hint="eastAsia" w:ascii="宋体" w:hAnsi="宋体" w:cs="宋体"/>
        </w:rPr>
        <w:t>附件四、监狱企业证明文件</w:t>
      </w:r>
      <w:r>
        <w:tab/>
      </w:r>
      <w:r>
        <w:fldChar w:fldCharType="begin"/>
      </w:r>
      <w:r>
        <w:instrText xml:space="preserve"> PAGEREF _Toc10559 </w:instrText>
      </w:r>
      <w:r>
        <w:fldChar w:fldCharType="separate"/>
      </w:r>
      <w:r>
        <w:t>72</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_Toc16529 </w:instrText>
      </w:r>
      <w:r>
        <w:rPr>
          <w:szCs w:val="32"/>
        </w:rPr>
        <w:fldChar w:fldCharType="separate"/>
      </w:r>
      <w:r>
        <w:rPr>
          <w:rFonts w:hint="eastAsia" w:ascii="宋体" w:hAnsi="宋体" w:cs="宋体"/>
        </w:rPr>
        <w:t>附件五、“节能产品”，“环境标志产品”证明材料</w:t>
      </w:r>
      <w:r>
        <w:tab/>
      </w:r>
      <w:r>
        <w:fldChar w:fldCharType="begin"/>
      </w:r>
      <w:r>
        <w:instrText xml:space="preserve"> PAGEREF _Toc16529 </w:instrText>
      </w:r>
      <w:r>
        <w:fldChar w:fldCharType="separate"/>
      </w:r>
      <w:r>
        <w:t>72</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_Toc6523 </w:instrText>
      </w:r>
      <w:r>
        <w:rPr>
          <w:szCs w:val="32"/>
        </w:rPr>
        <w:fldChar w:fldCharType="separate"/>
      </w:r>
      <w:r>
        <w:rPr>
          <w:rFonts w:hint="eastAsia" w:ascii="宋体" w:hAnsi="宋体" w:cs="宋体"/>
        </w:rPr>
        <w:t>附件六：保证金退还账户信息确认表</w:t>
      </w:r>
      <w:r>
        <w:tab/>
      </w:r>
      <w:r>
        <w:fldChar w:fldCharType="begin"/>
      </w:r>
      <w:r>
        <w:instrText xml:space="preserve"> PAGEREF _Toc6523 </w:instrText>
      </w:r>
      <w:r>
        <w:fldChar w:fldCharType="separate"/>
      </w:r>
      <w:r>
        <w:t>73</w:t>
      </w:r>
      <w:r>
        <w:fldChar w:fldCharType="end"/>
      </w:r>
      <w:r>
        <w:rPr>
          <w:szCs w:val="32"/>
        </w:rPr>
        <w:fldChar w:fldCharType="end"/>
      </w:r>
    </w:p>
    <w:p>
      <w:pPr>
        <w:pStyle w:val="21"/>
        <w:tabs>
          <w:tab w:val="right" w:leader="dot" w:pos="8306"/>
        </w:tabs>
      </w:pPr>
      <w:r>
        <w:rPr>
          <w:szCs w:val="32"/>
        </w:rPr>
        <w:fldChar w:fldCharType="begin"/>
      </w:r>
      <w:r>
        <w:rPr>
          <w:szCs w:val="32"/>
        </w:rPr>
        <w:instrText xml:space="preserve"> HYPERLINK \l _Toc6156 </w:instrText>
      </w:r>
      <w:r>
        <w:rPr>
          <w:szCs w:val="32"/>
        </w:rPr>
        <w:fldChar w:fldCharType="separate"/>
      </w:r>
      <w:r>
        <w:rPr>
          <w:rFonts w:hint="eastAsia"/>
        </w:rPr>
        <w:t>附件七：质疑函范本</w:t>
      </w:r>
      <w:r>
        <w:tab/>
      </w:r>
      <w:r>
        <w:fldChar w:fldCharType="begin"/>
      </w:r>
      <w:r>
        <w:instrText xml:space="preserve"> PAGEREF _Toc6156 </w:instrText>
      </w:r>
      <w:r>
        <w:fldChar w:fldCharType="separate"/>
      </w:r>
      <w:r>
        <w:t>74</w:t>
      </w:r>
      <w:r>
        <w:fldChar w:fldCharType="end"/>
      </w:r>
      <w:r>
        <w:rPr>
          <w:szCs w:val="32"/>
        </w:rPr>
        <w:fldChar w:fldCharType="end"/>
      </w:r>
    </w:p>
    <w:p>
      <w:pPr>
        <w:pStyle w:val="4"/>
        <w:spacing w:line="360" w:lineRule="auto"/>
        <w:ind w:firstLine="883" w:firstLineChars="200"/>
        <w:rPr>
          <w:sz w:val="24"/>
          <w:szCs w:val="24"/>
        </w:rPr>
        <w:sectPr>
          <w:footerReference r:id="rId6" w:type="default"/>
          <w:pgSz w:w="11906" w:h="16838"/>
          <w:pgMar w:top="1440" w:right="1800" w:bottom="1440" w:left="1800" w:header="851" w:footer="992" w:gutter="0"/>
          <w:cols w:space="720" w:num="1"/>
          <w:docGrid w:type="lines" w:linePitch="312" w:charSpace="0"/>
        </w:sectPr>
      </w:pPr>
      <w:r>
        <w:rPr>
          <w:szCs w:val="32"/>
        </w:rPr>
        <w:fldChar w:fldCharType="end"/>
      </w:r>
    </w:p>
    <w:p>
      <w:pPr>
        <w:pStyle w:val="4"/>
        <w:spacing w:line="440" w:lineRule="exact"/>
      </w:pPr>
      <w:bookmarkStart w:id="1" w:name="_Toc4854"/>
      <w:bookmarkStart w:id="2" w:name="_Toc26575"/>
      <w:r>
        <w:rPr>
          <w:rFonts w:hint="eastAsia"/>
        </w:rPr>
        <w:t>第一部分竞争性磋商公告</w:t>
      </w:r>
      <w:bookmarkEnd w:id="1"/>
      <w:bookmarkEnd w:id="2"/>
    </w:p>
    <w:p>
      <w:pPr>
        <w:snapToGrid w:val="0"/>
        <w:spacing w:line="400" w:lineRule="exact"/>
        <w:ind w:right="-197" w:rightChars="-94" w:firstLine="420" w:firstLineChars="175"/>
        <w:jc w:val="left"/>
        <w:rPr>
          <w:rFonts w:ascii="宋体" w:cs="宋体"/>
          <w:bCs/>
          <w:color w:val="000000"/>
          <w:sz w:val="24"/>
          <w:szCs w:val="24"/>
        </w:rPr>
      </w:pPr>
      <w:r>
        <w:rPr>
          <w:rFonts w:hint="eastAsia" w:ascii="宋体" w:hAnsi="宋体" w:cs="宋体"/>
          <w:bCs/>
          <w:color w:val="000000"/>
          <w:sz w:val="24"/>
          <w:szCs w:val="24"/>
        </w:rPr>
        <w:t>陕西卓佲招标有限公司受西北大学的委托，按照政府采购程序，对</w:t>
      </w:r>
      <w:r>
        <w:rPr>
          <w:rFonts w:hint="eastAsia" w:ascii="宋体" w:hAnsi="宋体" w:cs="宋体"/>
          <w:bCs/>
          <w:color w:val="000000"/>
          <w:sz w:val="24"/>
          <w:szCs w:val="24"/>
          <w:lang w:eastAsia="zh-CN"/>
        </w:rPr>
        <w:t>西北大学人力资源管理信息系统采购项目</w:t>
      </w:r>
      <w:r>
        <w:rPr>
          <w:rFonts w:hint="eastAsia" w:ascii="宋体" w:hAnsi="宋体" w:cs="宋体"/>
          <w:bCs/>
          <w:color w:val="000000"/>
          <w:sz w:val="24"/>
          <w:szCs w:val="24"/>
        </w:rPr>
        <w:t>进行竞争性磋商，欢迎符合资格条件的、有能力提供本项目所需货物和服务的供应商参加投标。</w:t>
      </w:r>
    </w:p>
    <w:p>
      <w:pPr>
        <w:widowControl/>
        <w:numPr>
          <w:ilvl w:val="0"/>
          <w:numId w:val="1"/>
        </w:numPr>
        <w:tabs>
          <w:tab w:val="left" w:pos="1620"/>
        </w:tabs>
        <w:wordWrap w:val="0"/>
        <w:snapToGrid w:val="0"/>
        <w:spacing w:line="400" w:lineRule="exact"/>
        <w:ind w:firstLine="480" w:firstLineChars="200"/>
        <w:jc w:val="left"/>
        <w:rPr>
          <w:rFonts w:ascii="宋体" w:cs="宋体"/>
          <w:kern w:val="0"/>
          <w:sz w:val="24"/>
          <w:szCs w:val="24"/>
        </w:rPr>
      </w:pPr>
      <w:r>
        <w:rPr>
          <w:rFonts w:hint="eastAsia" w:ascii="宋体" w:hAnsi="宋体" w:cs="宋体"/>
          <w:kern w:val="0"/>
          <w:sz w:val="24"/>
          <w:szCs w:val="24"/>
        </w:rPr>
        <w:t>项目名称：</w:t>
      </w:r>
      <w:r>
        <w:rPr>
          <w:rFonts w:hint="eastAsia" w:ascii="宋体" w:hAnsi="宋体" w:cs="宋体"/>
          <w:kern w:val="0"/>
          <w:sz w:val="24"/>
          <w:szCs w:val="24"/>
          <w:lang w:eastAsia="zh-CN"/>
        </w:rPr>
        <w:t>西北大学人力资源管理信息系统采购项目</w:t>
      </w:r>
    </w:p>
    <w:p>
      <w:pPr>
        <w:widowControl/>
        <w:numPr>
          <w:ilvl w:val="0"/>
          <w:numId w:val="1"/>
        </w:numPr>
        <w:tabs>
          <w:tab w:val="left" w:pos="1620"/>
        </w:tabs>
        <w:wordWrap w:val="0"/>
        <w:snapToGrid w:val="0"/>
        <w:spacing w:line="400" w:lineRule="exact"/>
        <w:ind w:firstLine="480" w:firstLineChars="200"/>
        <w:jc w:val="left"/>
        <w:rPr>
          <w:rFonts w:ascii="宋体" w:cs="宋体"/>
          <w:kern w:val="0"/>
          <w:sz w:val="24"/>
          <w:szCs w:val="24"/>
        </w:rPr>
      </w:pPr>
      <w:r>
        <w:rPr>
          <w:rFonts w:hint="eastAsia" w:ascii="宋体" w:hAnsi="宋体" w:cs="宋体"/>
          <w:kern w:val="0"/>
          <w:sz w:val="24"/>
          <w:szCs w:val="24"/>
        </w:rPr>
        <w:t>项目编号：</w:t>
      </w:r>
      <w:r>
        <w:rPr>
          <w:rFonts w:hint="eastAsia" w:ascii="宋体" w:hAnsi="宋体" w:cs="宋体"/>
          <w:kern w:val="0"/>
          <w:sz w:val="24"/>
          <w:szCs w:val="24"/>
          <w:lang w:eastAsia="zh-CN"/>
        </w:rPr>
        <w:t>ZMZB2019XBDX-21</w:t>
      </w:r>
    </w:p>
    <w:p>
      <w:pPr>
        <w:widowControl/>
        <w:numPr>
          <w:ilvl w:val="0"/>
          <w:numId w:val="1"/>
        </w:numPr>
        <w:tabs>
          <w:tab w:val="left" w:pos="1620"/>
        </w:tabs>
        <w:wordWrap w:val="0"/>
        <w:snapToGrid w:val="0"/>
        <w:spacing w:line="400" w:lineRule="exact"/>
        <w:ind w:firstLine="480" w:firstLineChars="200"/>
        <w:jc w:val="left"/>
        <w:rPr>
          <w:rFonts w:ascii="宋体" w:cs="宋体"/>
          <w:kern w:val="0"/>
          <w:sz w:val="24"/>
          <w:szCs w:val="24"/>
        </w:rPr>
      </w:pPr>
      <w:r>
        <w:rPr>
          <w:rFonts w:hint="eastAsia" w:ascii="宋体" w:hAnsi="宋体" w:cs="宋体"/>
          <w:kern w:val="0"/>
          <w:sz w:val="24"/>
          <w:szCs w:val="24"/>
        </w:rPr>
        <w:t>采购人名称：</w:t>
      </w:r>
      <w:r>
        <w:rPr>
          <w:rFonts w:hint="eastAsia" w:ascii="宋体" w:hAnsi="宋体" w:cs="宋体"/>
          <w:bCs/>
          <w:color w:val="000000"/>
          <w:sz w:val="24"/>
          <w:szCs w:val="24"/>
        </w:rPr>
        <w:t>西北大学</w:t>
      </w:r>
    </w:p>
    <w:p>
      <w:pPr>
        <w:widowControl/>
        <w:tabs>
          <w:tab w:val="left" w:pos="1620"/>
        </w:tabs>
        <w:wordWrap w:val="0"/>
        <w:snapToGrid w:val="0"/>
        <w:spacing w:line="400" w:lineRule="exact"/>
        <w:ind w:firstLine="960" w:firstLineChars="400"/>
        <w:jc w:val="left"/>
        <w:rPr>
          <w:rFonts w:ascii="宋体" w:hAnsi="宋体" w:cs="宋体"/>
          <w:kern w:val="0"/>
          <w:sz w:val="24"/>
          <w:szCs w:val="24"/>
        </w:rPr>
      </w:pPr>
      <w:r>
        <w:rPr>
          <w:rFonts w:hint="eastAsia" w:ascii="宋体" w:hAnsi="宋体" w:cs="宋体"/>
          <w:kern w:val="0"/>
          <w:sz w:val="24"/>
          <w:szCs w:val="24"/>
        </w:rPr>
        <w:t>地址：西安市太白北路229号</w:t>
      </w:r>
    </w:p>
    <w:p>
      <w:pPr>
        <w:widowControl/>
        <w:tabs>
          <w:tab w:val="left" w:pos="0"/>
        </w:tabs>
        <w:wordWrap w:val="0"/>
        <w:spacing w:line="360" w:lineRule="auto"/>
        <w:ind w:firstLine="960" w:firstLineChars="400"/>
        <w:jc w:val="left"/>
        <w:rPr>
          <w:rFonts w:ascii="宋体" w:cs="宋体"/>
          <w:kern w:val="0"/>
          <w:sz w:val="24"/>
          <w:szCs w:val="24"/>
        </w:rPr>
      </w:pPr>
      <w:r>
        <w:rPr>
          <w:rFonts w:hint="eastAsia" w:ascii="宋体" w:hAnsi="宋体" w:cs="宋体"/>
          <w:kern w:val="0"/>
          <w:sz w:val="24"/>
          <w:szCs w:val="24"/>
        </w:rPr>
        <w:t>联系人：薛老师</w:t>
      </w:r>
    </w:p>
    <w:p>
      <w:pPr>
        <w:widowControl/>
        <w:tabs>
          <w:tab w:val="left" w:pos="1620"/>
        </w:tabs>
        <w:wordWrap w:val="0"/>
        <w:snapToGrid w:val="0"/>
        <w:spacing w:line="400" w:lineRule="exact"/>
        <w:ind w:firstLine="960" w:firstLineChars="400"/>
        <w:jc w:val="left"/>
        <w:rPr>
          <w:rFonts w:ascii="宋体" w:cs="宋体"/>
          <w:kern w:val="0"/>
          <w:sz w:val="24"/>
          <w:szCs w:val="24"/>
        </w:rPr>
      </w:pPr>
      <w:r>
        <w:rPr>
          <w:rFonts w:hint="eastAsia" w:ascii="宋体" w:hAnsi="宋体" w:cs="宋体"/>
          <w:kern w:val="0"/>
          <w:sz w:val="24"/>
          <w:szCs w:val="24"/>
        </w:rPr>
        <w:t>联系方式：</w:t>
      </w:r>
      <w:r>
        <w:rPr>
          <w:rFonts w:ascii="宋体" w:cs="宋体"/>
          <w:kern w:val="0"/>
          <w:sz w:val="24"/>
          <w:szCs w:val="24"/>
        </w:rPr>
        <w:t>0</w:t>
      </w:r>
      <w:r>
        <w:rPr>
          <w:rFonts w:ascii="宋体" w:hAnsi="宋体" w:cs="宋体"/>
          <w:kern w:val="0"/>
          <w:sz w:val="24"/>
          <w:szCs w:val="24"/>
        </w:rPr>
        <w:t>29-8</w:t>
      </w:r>
      <w:r>
        <w:rPr>
          <w:rFonts w:hint="eastAsia" w:ascii="宋体" w:hAnsi="宋体" w:cs="宋体"/>
          <w:kern w:val="0"/>
          <w:sz w:val="24"/>
          <w:szCs w:val="24"/>
        </w:rPr>
        <w:t>8302974</w:t>
      </w:r>
    </w:p>
    <w:p>
      <w:pPr>
        <w:widowControl/>
        <w:numPr>
          <w:ilvl w:val="0"/>
          <w:numId w:val="1"/>
        </w:numPr>
        <w:tabs>
          <w:tab w:val="left" w:pos="1620"/>
        </w:tabs>
        <w:wordWrap w:val="0"/>
        <w:snapToGrid w:val="0"/>
        <w:spacing w:line="400" w:lineRule="exact"/>
        <w:ind w:firstLine="480" w:firstLineChars="200"/>
        <w:jc w:val="left"/>
        <w:rPr>
          <w:rFonts w:ascii="宋体" w:cs="宋体"/>
          <w:kern w:val="0"/>
          <w:sz w:val="24"/>
          <w:szCs w:val="24"/>
        </w:rPr>
      </w:pPr>
      <w:r>
        <w:rPr>
          <w:rFonts w:hint="eastAsia" w:ascii="宋体" w:hAnsi="宋体" w:cs="宋体"/>
          <w:kern w:val="0"/>
          <w:sz w:val="24"/>
          <w:szCs w:val="24"/>
        </w:rPr>
        <w:t>采购代理机构名称：陕西卓佲招标有限公司</w:t>
      </w:r>
    </w:p>
    <w:p>
      <w:pPr>
        <w:widowControl/>
        <w:wordWrap w:val="0"/>
        <w:spacing w:line="360" w:lineRule="auto"/>
        <w:ind w:firstLine="960" w:firstLineChars="400"/>
        <w:jc w:val="left"/>
        <w:rPr>
          <w:rFonts w:ascii="宋体" w:hAnsi="宋体" w:cs="宋体"/>
          <w:kern w:val="0"/>
          <w:sz w:val="24"/>
          <w:szCs w:val="24"/>
        </w:rPr>
      </w:pPr>
      <w:r>
        <w:rPr>
          <w:rFonts w:hint="eastAsia" w:ascii="宋体" w:hAnsi="宋体" w:cs="宋体"/>
          <w:kern w:val="0"/>
          <w:sz w:val="24"/>
          <w:szCs w:val="24"/>
        </w:rPr>
        <w:t>地址：西安市雁塔区科技路10号华奥大厦A座2002室</w:t>
      </w:r>
    </w:p>
    <w:p>
      <w:pPr>
        <w:widowControl/>
        <w:wordWrap w:val="0"/>
        <w:snapToGrid w:val="0"/>
        <w:spacing w:line="400" w:lineRule="exact"/>
        <w:ind w:firstLine="960" w:firstLineChars="400"/>
        <w:jc w:val="left"/>
        <w:rPr>
          <w:rFonts w:ascii="宋体" w:cs="宋体"/>
          <w:kern w:val="0"/>
          <w:sz w:val="24"/>
          <w:szCs w:val="24"/>
        </w:rPr>
      </w:pPr>
      <w:r>
        <w:rPr>
          <w:rFonts w:hint="eastAsia" w:ascii="宋体" w:hAnsi="宋体" w:cs="宋体"/>
          <w:kern w:val="0"/>
          <w:sz w:val="24"/>
          <w:szCs w:val="24"/>
        </w:rPr>
        <w:t>联系人：董菊莉、杜华龙</w:t>
      </w:r>
    </w:p>
    <w:p>
      <w:pPr>
        <w:widowControl/>
        <w:wordWrap w:val="0"/>
        <w:snapToGrid w:val="0"/>
        <w:spacing w:line="400" w:lineRule="exact"/>
        <w:ind w:firstLine="960" w:firstLineChars="400"/>
        <w:jc w:val="left"/>
        <w:rPr>
          <w:rFonts w:ascii="宋体" w:cs="宋体"/>
          <w:kern w:val="0"/>
          <w:sz w:val="24"/>
          <w:szCs w:val="24"/>
        </w:rPr>
      </w:pPr>
      <w:r>
        <w:rPr>
          <w:rFonts w:hint="eastAsia" w:ascii="宋体" w:hAnsi="宋体" w:cs="宋体"/>
          <w:kern w:val="0"/>
          <w:sz w:val="24"/>
          <w:szCs w:val="24"/>
        </w:rPr>
        <w:t>联系方式：</w:t>
      </w:r>
      <w:r>
        <w:rPr>
          <w:rFonts w:ascii="宋体" w:hAnsi="宋体" w:cs="宋体"/>
          <w:kern w:val="0"/>
          <w:sz w:val="24"/>
          <w:szCs w:val="24"/>
        </w:rPr>
        <w:t>029-</w:t>
      </w:r>
      <w:r>
        <w:rPr>
          <w:rFonts w:hint="eastAsia" w:ascii="宋体" w:hAnsi="宋体" w:cs="宋体"/>
          <w:kern w:val="0"/>
          <w:sz w:val="24"/>
          <w:szCs w:val="24"/>
        </w:rPr>
        <w:t>88440695</w:t>
      </w:r>
    </w:p>
    <w:p>
      <w:pPr>
        <w:widowControl/>
        <w:numPr>
          <w:ilvl w:val="0"/>
          <w:numId w:val="1"/>
        </w:numPr>
        <w:tabs>
          <w:tab w:val="left" w:pos="1620"/>
        </w:tabs>
        <w:wordWrap w:val="0"/>
        <w:snapToGrid w:val="0"/>
        <w:spacing w:line="400" w:lineRule="exact"/>
        <w:ind w:firstLine="480" w:firstLineChars="200"/>
        <w:jc w:val="left"/>
        <w:rPr>
          <w:rFonts w:ascii="宋体" w:cs="宋体"/>
          <w:kern w:val="0"/>
          <w:sz w:val="24"/>
          <w:szCs w:val="24"/>
        </w:rPr>
      </w:pPr>
      <w:r>
        <w:rPr>
          <w:rFonts w:hint="eastAsia" w:ascii="宋体" w:hAnsi="宋体" w:cs="宋体"/>
          <w:kern w:val="0"/>
          <w:sz w:val="24"/>
          <w:szCs w:val="24"/>
        </w:rPr>
        <w:t>采购内容和需求：西北大学</w:t>
      </w:r>
      <w:r>
        <w:rPr>
          <w:rFonts w:hint="eastAsia" w:ascii="宋体" w:hAnsi="宋体" w:cs="宋体"/>
          <w:kern w:val="0"/>
          <w:sz w:val="24"/>
          <w:szCs w:val="24"/>
          <w:lang w:eastAsia="zh-CN"/>
        </w:rPr>
        <w:t>人力资源管理信息系统</w:t>
      </w:r>
      <w:r>
        <w:rPr>
          <w:rFonts w:hint="eastAsia" w:ascii="宋体" w:hAnsi="宋体" w:cs="宋体"/>
          <w:szCs w:val="21"/>
        </w:rPr>
        <w:t>1</w:t>
      </w:r>
      <w:r>
        <w:rPr>
          <w:rFonts w:hint="eastAsia" w:ascii="宋体" w:hAnsi="宋体" w:cs="宋体"/>
          <w:szCs w:val="21"/>
          <w:lang w:eastAsia="zh-CN"/>
        </w:rPr>
        <w:t>套</w:t>
      </w:r>
    </w:p>
    <w:p>
      <w:pPr>
        <w:widowControl/>
        <w:tabs>
          <w:tab w:val="left" w:pos="1620"/>
        </w:tabs>
        <w:wordWrap w:val="0"/>
        <w:snapToGrid w:val="0"/>
        <w:spacing w:line="400" w:lineRule="exact"/>
        <w:ind w:firstLine="960" w:firstLineChars="400"/>
        <w:jc w:val="left"/>
        <w:rPr>
          <w:rFonts w:hint="eastAsia" w:ascii="宋体" w:hAnsi="宋体" w:cs="宋体"/>
          <w:kern w:val="0"/>
          <w:sz w:val="24"/>
          <w:szCs w:val="24"/>
          <w:lang w:eastAsia="zh-CN"/>
        </w:rPr>
      </w:pPr>
      <w:r>
        <w:rPr>
          <w:rFonts w:hint="eastAsia" w:ascii="宋体" w:hAnsi="宋体" w:cs="宋体"/>
          <w:kern w:val="0"/>
          <w:sz w:val="24"/>
          <w:szCs w:val="24"/>
        </w:rPr>
        <w:t>项目概况：</w:t>
      </w:r>
      <w:r>
        <w:rPr>
          <w:rFonts w:hint="eastAsia" w:ascii="宋体" w:hAnsi="宋体" w:cs="宋体"/>
          <w:kern w:val="0"/>
          <w:sz w:val="24"/>
          <w:szCs w:val="24"/>
          <w:lang w:eastAsia="zh-CN"/>
        </w:rPr>
        <w:t>人力资源管理信息系统</w:t>
      </w:r>
    </w:p>
    <w:p>
      <w:pPr>
        <w:widowControl/>
        <w:tabs>
          <w:tab w:val="left" w:pos="1620"/>
        </w:tabs>
        <w:wordWrap w:val="0"/>
        <w:snapToGrid w:val="0"/>
        <w:spacing w:line="400" w:lineRule="exact"/>
        <w:ind w:firstLine="960" w:firstLineChars="400"/>
        <w:jc w:val="left"/>
        <w:rPr>
          <w:rFonts w:ascii="宋体" w:hAnsi="宋体" w:cs="宋体"/>
          <w:kern w:val="0"/>
          <w:sz w:val="24"/>
          <w:szCs w:val="24"/>
        </w:rPr>
      </w:pPr>
      <w:r>
        <w:rPr>
          <w:rFonts w:hint="eastAsia" w:ascii="宋体" w:hAnsi="宋体" w:cs="宋体"/>
          <w:kern w:val="0"/>
          <w:sz w:val="24"/>
          <w:szCs w:val="24"/>
        </w:rPr>
        <w:t>项目用途：具体详见竞争性磋商文件、自用</w:t>
      </w:r>
    </w:p>
    <w:p>
      <w:pPr>
        <w:widowControl/>
        <w:tabs>
          <w:tab w:val="left" w:pos="1620"/>
        </w:tabs>
        <w:wordWrap w:val="0"/>
        <w:snapToGrid w:val="0"/>
        <w:spacing w:line="400" w:lineRule="exact"/>
        <w:ind w:firstLine="960" w:firstLineChars="400"/>
        <w:jc w:val="left"/>
        <w:rPr>
          <w:rFonts w:ascii="宋体" w:cs="宋体"/>
          <w:kern w:val="0"/>
          <w:sz w:val="24"/>
          <w:szCs w:val="24"/>
        </w:rPr>
      </w:pPr>
      <w:r>
        <w:rPr>
          <w:rFonts w:hint="eastAsia" w:ascii="宋体" w:hAnsi="宋体" w:cs="宋体"/>
          <w:kern w:val="0"/>
          <w:sz w:val="24"/>
          <w:szCs w:val="24"/>
        </w:rPr>
        <w:t>采购预算：</w:t>
      </w:r>
      <w:r>
        <w:rPr>
          <w:rFonts w:hint="eastAsia" w:ascii="宋体" w:hAnsi="宋体" w:cs="宋体"/>
          <w:kern w:val="0"/>
          <w:sz w:val="24"/>
          <w:szCs w:val="24"/>
          <w:lang w:val="en-US" w:eastAsia="zh-CN"/>
        </w:rPr>
        <w:t>90</w:t>
      </w:r>
      <w:r>
        <w:rPr>
          <w:rFonts w:hint="eastAsia" w:ascii="宋体" w:hAnsi="宋体" w:cs="宋体"/>
          <w:kern w:val="0"/>
          <w:sz w:val="24"/>
          <w:szCs w:val="24"/>
        </w:rPr>
        <w:t>万元</w:t>
      </w:r>
    </w:p>
    <w:p>
      <w:pPr>
        <w:widowControl/>
        <w:tabs>
          <w:tab w:val="left" w:pos="1620"/>
        </w:tabs>
        <w:wordWrap w:val="0"/>
        <w:snapToGrid w:val="0"/>
        <w:spacing w:line="400" w:lineRule="exact"/>
        <w:ind w:firstLine="960" w:firstLineChars="400"/>
        <w:jc w:val="left"/>
        <w:rPr>
          <w:rFonts w:ascii="宋体" w:cs="宋体"/>
          <w:kern w:val="0"/>
          <w:sz w:val="24"/>
          <w:szCs w:val="24"/>
        </w:rPr>
      </w:pPr>
      <w:r>
        <w:rPr>
          <w:rFonts w:hint="eastAsia" w:ascii="宋体" w:hAnsi="宋体" w:cs="宋体"/>
          <w:kern w:val="0"/>
          <w:sz w:val="24"/>
          <w:szCs w:val="24"/>
        </w:rPr>
        <w:t>项目性质：财政资金</w:t>
      </w:r>
    </w:p>
    <w:p>
      <w:pPr>
        <w:widowControl/>
        <w:numPr>
          <w:ilvl w:val="0"/>
          <w:numId w:val="1"/>
        </w:numPr>
        <w:tabs>
          <w:tab w:val="left" w:pos="1620"/>
        </w:tabs>
        <w:wordWrap w:val="0"/>
        <w:snapToGrid w:val="0"/>
        <w:spacing w:line="400" w:lineRule="atLeast"/>
        <w:ind w:firstLine="480" w:firstLineChars="200"/>
        <w:jc w:val="left"/>
        <w:rPr>
          <w:rFonts w:ascii="宋体" w:cs="宋体"/>
          <w:kern w:val="0"/>
          <w:sz w:val="24"/>
          <w:szCs w:val="24"/>
        </w:rPr>
      </w:pPr>
      <w:r>
        <w:rPr>
          <w:rFonts w:hint="eastAsia" w:ascii="宋体" w:hAnsi="宋体" w:cs="宋体"/>
          <w:kern w:val="0"/>
          <w:sz w:val="24"/>
          <w:szCs w:val="24"/>
        </w:rPr>
        <w:t>供应商资格要求：</w:t>
      </w:r>
    </w:p>
    <w:p>
      <w:pPr>
        <w:snapToGrid w:val="0"/>
        <w:spacing w:line="360" w:lineRule="auto"/>
        <w:ind w:left="567"/>
        <w:jc w:val="left"/>
        <w:rPr>
          <w:rFonts w:asciiTheme="minorEastAsia" w:hAnsiTheme="minorEastAsia" w:cstheme="minorEastAsia"/>
          <w:bCs/>
          <w:kern w:val="0"/>
          <w:sz w:val="24"/>
          <w:szCs w:val="24"/>
        </w:rPr>
      </w:pPr>
      <w:r>
        <w:rPr>
          <w:rFonts w:hint="eastAsia" w:ascii="宋体" w:hAnsi="宋体" w:cs="宋体"/>
          <w:kern w:val="0"/>
          <w:sz w:val="24"/>
          <w:szCs w:val="24"/>
        </w:rPr>
        <w:t>（1）基本资格条件：符合《中华人民共和国政府采购法》第二十二条规定；（2）特定资格条件：</w:t>
      </w:r>
      <w:r>
        <w:rPr>
          <w:rFonts w:hint="eastAsia" w:asciiTheme="minorEastAsia" w:hAnsiTheme="minorEastAsia" w:cstheme="minorEastAsia"/>
          <w:bCs/>
          <w:kern w:val="0"/>
          <w:sz w:val="24"/>
          <w:szCs w:val="24"/>
        </w:rPr>
        <w:t>1、具有独立承担民事责任能力的法人、其他组织或自然人：法人参与的提供营业执照或法人证书；其他组织参与的提供合法证明文件；自然人参与的提供其身份证明；</w:t>
      </w:r>
    </w:p>
    <w:p>
      <w:pPr>
        <w:snapToGrid w:val="0"/>
        <w:spacing w:line="360" w:lineRule="auto"/>
        <w:ind w:left="567"/>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rPr>
        <w:t>2、财务状况报告:提供2017年</w:t>
      </w:r>
      <w:r>
        <w:rPr>
          <w:rFonts w:hint="eastAsia" w:asciiTheme="minorEastAsia" w:hAnsiTheme="minorEastAsia" w:cstheme="minorEastAsia"/>
          <w:bCs/>
          <w:kern w:val="0"/>
          <w:sz w:val="24"/>
          <w:szCs w:val="24"/>
          <w:lang w:eastAsia="zh-CN"/>
        </w:rPr>
        <w:t>或</w:t>
      </w:r>
      <w:r>
        <w:rPr>
          <w:rFonts w:hint="eastAsia" w:asciiTheme="minorEastAsia" w:hAnsiTheme="minorEastAsia" w:cstheme="minorEastAsia"/>
          <w:bCs/>
          <w:kern w:val="0"/>
          <w:sz w:val="24"/>
          <w:szCs w:val="24"/>
          <w:lang w:val="en-US" w:eastAsia="zh-CN"/>
        </w:rPr>
        <w:t>2018年</w:t>
      </w:r>
      <w:r>
        <w:rPr>
          <w:rFonts w:hint="eastAsia" w:asciiTheme="minorEastAsia" w:hAnsiTheme="minorEastAsia" w:cstheme="minorEastAsia"/>
          <w:bCs/>
          <w:kern w:val="0"/>
          <w:sz w:val="24"/>
          <w:szCs w:val="24"/>
        </w:rPr>
        <w:t>的财务审计报告或供应商开户银行近三个月内出具的银行资信证明及基本存款账户开户许可证；</w:t>
      </w:r>
    </w:p>
    <w:p>
      <w:pPr>
        <w:snapToGrid w:val="0"/>
        <w:spacing w:line="360" w:lineRule="auto"/>
        <w:ind w:left="567"/>
        <w:jc w:val="left"/>
        <w:rPr>
          <w:rFonts w:hint="eastAsia" w:asciiTheme="minorEastAsia" w:hAnsiTheme="minorEastAsia" w:cstheme="minorEastAsia"/>
          <w:bCs/>
          <w:kern w:val="0"/>
          <w:sz w:val="24"/>
          <w:szCs w:val="24"/>
        </w:rPr>
      </w:pPr>
      <w:r>
        <w:rPr>
          <w:rFonts w:hint="eastAsia" w:asciiTheme="minorEastAsia" w:hAnsiTheme="minorEastAsia" w:cstheme="minorEastAsia"/>
          <w:bCs/>
          <w:kern w:val="0"/>
          <w:sz w:val="24"/>
          <w:szCs w:val="24"/>
        </w:rPr>
        <w:t>3、税收缴纳证明:提供2018年1月以来至少一个月的纳税证明或完税证明，依法免税的单位应提供相关证明材料；</w:t>
      </w:r>
    </w:p>
    <w:p>
      <w:pPr>
        <w:snapToGrid w:val="0"/>
        <w:spacing w:line="360" w:lineRule="auto"/>
        <w:ind w:left="567"/>
        <w:jc w:val="left"/>
        <w:rPr>
          <w:rFonts w:hint="eastAsia" w:asciiTheme="minorEastAsia" w:hAnsiTheme="minorEastAsia" w:cstheme="minorEastAsia"/>
          <w:bCs/>
          <w:kern w:val="0"/>
          <w:sz w:val="24"/>
          <w:szCs w:val="24"/>
          <w:lang w:val="en-US" w:eastAsia="zh-CN"/>
        </w:rPr>
      </w:pPr>
      <w:r>
        <w:rPr>
          <w:rFonts w:hint="eastAsia" w:asciiTheme="minorEastAsia" w:hAnsiTheme="minorEastAsia" w:cstheme="minorEastAsia"/>
          <w:bCs/>
          <w:kern w:val="0"/>
          <w:sz w:val="24"/>
          <w:szCs w:val="24"/>
          <w:lang w:val="en-US" w:eastAsia="zh-CN"/>
        </w:rPr>
        <w:t>4、社会保障资金缴纳证明:提供2018年1月以来至少一个月的社会保障资金缴存单据或社保机构开具的社会保险参保缴费情况证明，依法不需要缴纳社会保障资金的单位应提供相关证明材料；</w:t>
      </w:r>
    </w:p>
    <w:p>
      <w:pPr>
        <w:snapToGrid w:val="0"/>
        <w:spacing w:line="360" w:lineRule="auto"/>
        <w:ind w:left="567"/>
        <w:jc w:val="left"/>
        <w:rPr>
          <w:rFonts w:asciiTheme="minorEastAsia" w:hAnsiTheme="minorEastAsia" w:cstheme="minorEastAsia"/>
          <w:bCs/>
          <w:kern w:val="0"/>
          <w:sz w:val="24"/>
          <w:szCs w:val="24"/>
        </w:rPr>
      </w:pPr>
    </w:p>
    <w:p>
      <w:pPr>
        <w:snapToGrid w:val="0"/>
        <w:spacing w:line="360" w:lineRule="auto"/>
        <w:ind w:left="567"/>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lang w:val="en-US" w:eastAsia="zh-CN"/>
        </w:rPr>
        <w:t>5</w:t>
      </w:r>
      <w:r>
        <w:rPr>
          <w:rFonts w:hint="eastAsia" w:asciiTheme="minorEastAsia" w:hAnsiTheme="minorEastAsia" w:cstheme="minorEastAsia"/>
          <w:bCs/>
          <w:kern w:val="0"/>
          <w:sz w:val="24"/>
          <w:szCs w:val="24"/>
        </w:rPr>
        <w:t>、参加政府采购活动前3年内在经营活动中没有重大违法记录的书面声明；</w:t>
      </w:r>
    </w:p>
    <w:p>
      <w:pPr>
        <w:snapToGrid w:val="0"/>
        <w:spacing w:line="360" w:lineRule="auto"/>
        <w:ind w:left="567"/>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lang w:val="en-US" w:eastAsia="zh-CN"/>
        </w:rPr>
        <w:t>6</w:t>
      </w:r>
      <w:r>
        <w:rPr>
          <w:rFonts w:hint="eastAsia" w:asciiTheme="minorEastAsia" w:hAnsiTheme="minorEastAsia" w:cstheme="minorEastAsia"/>
          <w:bCs/>
          <w:kern w:val="0"/>
          <w:sz w:val="24"/>
          <w:szCs w:val="24"/>
        </w:rPr>
        <w:t>、法定代表人授权委托书（法定代表人参加投标时,只需提供法定代表人身份证）；</w:t>
      </w:r>
    </w:p>
    <w:p>
      <w:pPr>
        <w:snapToGrid w:val="0"/>
        <w:spacing w:line="360" w:lineRule="auto"/>
        <w:ind w:left="567"/>
        <w:jc w:val="left"/>
        <w:rPr>
          <w:rFonts w:asciiTheme="minorEastAsia" w:hAnsiTheme="minorEastAsia" w:cstheme="minorEastAsia"/>
          <w:bCs/>
          <w:kern w:val="0"/>
          <w:sz w:val="24"/>
          <w:szCs w:val="24"/>
        </w:rPr>
      </w:pPr>
      <w:r>
        <w:rPr>
          <w:rFonts w:hint="eastAsia" w:ascii="宋体" w:hAnsi="宋体" w:cs="宋体"/>
          <w:bCs/>
          <w:kern w:val="0"/>
          <w:sz w:val="24"/>
          <w:szCs w:val="24"/>
          <w:lang w:val="en-US" w:eastAsia="zh-CN"/>
        </w:rPr>
        <w:t>7</w:t>
      </w:r>
      <w:r>
        <w:rPr>
          <w:rFonts w:hint="eastAsia" w:ascii="宋体" w:hAnsi="宋体" w:cs="宋体"/>
          <w:bCs/>
          <w:kern w:val="0"/>
          <w:sz w:val="24"/>
          <w:szCs w:val="24"/>
        </w:rPr>
        <w:t>、投标保证金缴纳凭证（加盖供应商公章）</w:t>
      </w:r>
      <w:r>
        <w:rPr>
          <w:rFonts w:hint="eastAsia" w:asciiTheme="minorEastAsia" w:hAnsiTheme="minorEastAsia" w:cstheme="minorEastAsia"/>
          <w:bCs/>
          <w:kern w:val="0"/>
          <w:sz w:val="24"/>
          <w:szCs w:val="24"/>
        </w:rPr>
        <w:t>；</w:t>
      </w:r>
    </w:p>
    <w:p>
      <w:pPr>
        <w:snapToGrid w:val="0"/>
        <w:spacing w:line="360" w:lineRule="auto"/>
        <w:ind w:left="567"/>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lang w:val="en-US" w:eastAsia="zh-CN"/>
        </w:rPr>
        <w:t>8</w:t>
      </w:r>
      <w:r>
        <w:rPr>
          <w:rFonts w:hint="eastAsia" w:asciiTheme="minorEastAsia" w:hAnsiTheme="minorEastAsia" w:cstheme="minorEastAsia"/>
          <w:bCs/>
          <w:kern w:val="0"/>
          <w:sz w:val="24"/>
          <w:szCs w:val="24"/>
        </w:rPr>
        <w:t xml:space="preserve">、本项目不接受联合体磋商。 </w:t>
      </w:r>
    </w:p>
    <w:p>
      <w:pPr>
        <w:widowControl/>
        <w:numPr>
          <w:ilvl w:val="0"/>
          <w:numId w:val="1"/>
        </w:numPr>
        <w:tabs>
          <w:tab w:val="left" w:pos="1620"/>
        </w:tabs>
        <w:wordWrap w:val="0"/>
        <w:snapToGrid w:val="0"/>
        <w:spacing w:line="400" w:lineRule="atLeast"/>
        <w:ind w:firstLine="480" w:firstLineChars="200"/>
        <w:jc w:val="left"/>
        <w:rPr>
          <w:rFonts w:ascii="宋体" w:cs="宋体"/>
          <w:kern w:val="0"/>
          <w:sz w:val="24"/>
          <w:szCs w:val="24"/>
        </w:rPr>
      </w:pPr>
      <w:r>
        <w:rPr>
          <w:rFonts w:hint="eastAsia" w:ascii="宋体" w:hAnsi="宋体" w:cs="宋体"/>
          <w:kern w:val="0"/>
          <w:sz w:val="24"/>
          <w:szCs w:val="24"/>
        </w:rPr>
        <w:t>采购项目需要落实的政府采购政策：</w:t>
      </w:r>
    </w:p>
    <w:p>
      <w:pPr>
        <w:snapToGrid w:val="0"/>
        <w:spacing w:line="400" w:lineRule="atLeast"/>
        <w:ind w:firstLine="480" w:firstLineChars="200"/>
        <w:rPr>
          <w:rFonts w:ascii="宋体"/>
          <w:color w:val="000000"/>
          <w:sz w:val="24"/>
        </w:rPr>
      </w:pPr>
      <w:r>
        <w:rPr>
          <w:rFonts w:hint="eastAsia" w:ascii="宋体" w:hAnsi="宋体"/>
          <w:color w:val="000000"/>
          <w:sz w:val="24"/>
        </w:rPr>
        <w:t>依据《中华人民共和国政府采购法》和《中华人民共和国政府采购实施条例》的有关规定，落实政府采购“优先购买节能环保产品、扶持小微企业、监狱企业、福利企业”等相关政策。</w:t>
      </w:r>
    </w:p>
    <w:p>
      <w:pPr>
        <w:snapToGrid w:val="0"/>
        <w:spacing w:line="400" w:lineRule="atLeast"/>
        <w:ind w:firstLine="480" w:firstLineChars="200"/>
        <w:rPr>
          <w:rFonts w:ascii="宋体"/>
          <w:color w:val="000000"/>
          <w:sz w:val="24"/>
        </w:rPr>
      </w:pPr>
      <w:r>
        <w:rPr>
          <w:rFonts w:ascii="宋体" w:hAnsi="宋体"/>
          <w:color w:val="000000"/>
          <w:sz w:val="24"/>
        </w:rPr>
        <w:t>1.</w:t>
      </w:r>
      <w:r>
        <w:rPr>
          <w:rFonts w:hint="eastAsia" w:ascii="宋体" w:hAnsi="宋体"/>
          <w:color w:val="000000"/>
          <w:sz w:val="24"/>
        </w:rPr>
        <w:t>《政府采购促进中小企业发展暂行办法》（财库〔</w:t>
      </w:r>
      <w:r>
        <w:rPr>
          <w:rFonts w:ascii="宋体" w:hAnsi="宋体"/>
          <w:color w:val="000000"/>
          <w:sz w:val="24"/>
        </w:rPr>
        <w:t>2011</w:t>
      </w:r>
      <w:r>
        <w:rPr>
          <w:rFonts w:hint="eastAsia" w:ascii="宋体" w:hAnsi="宋体"/>
          <w:color w:val="000000"/>
          <w:sz w:val="24"/>
        </w:rPr>
        <w:t>〕</w:t>
      </w:r>
      <w:r>
        <w:rPr>
          <w:rFonts w:ascii="宋体" w:hAnsi="宋体"/>
          <w:color w:val="000000"/>
          <w:sz w:val="24"/>
        </w:rPr>
        <w:t>181</w:t>
      </w:r>
      <w:r>
        <w:rPr>
          <w:rFonts w:hint="eastAsia" w:ascii="宋体" w:hAnsi="宋体"/>
          <w:color w:val="000000"/>
          <w:sz w:val="24"/>
        </w:rPr>
        <w:t>号）；</w:t>
      </w:r>
    </w:p>
    <w:p>
      <w:pPr>
        <w:snapToGrid w:val="0"/>
        <w:spacing w:line="400" w:lineRule="atLeast"/>
        <w:ind w:firstLine="480" w:firstLineChars="200"/>
        <w:rPr>
          <w:rFonts w:ascii="宋体"/>
          <w:color w:val="000000"/>
          <w:sz w:val="24"/>
        </w:rPr>
      </w:pPr>
      <w:r>
        <w:rPr>
          <w:rFonts w:ascii="宋体" w:hAnsi="宋体"/>
          <w:color w:val="000000"/>
          <w:sz w:val="24"/>
        </w:rPr>
        <w:t>2.</w:t>
      </w:r>
      <w:r>
        <w:rPr>
          <w:rFonts w:hint="eastAsia" w:ascii="宋体" w:hAnsi="宋体"/>
          <w:color w:val="000000"/>
          <w:sz w:val="24"/>
        </w:rPr>
        <w:t>《财政部司法部关于政府采购支持监狱企业发展有关问题的通知》（财库〔</w:t>
      </w:r>
      <w:r>
        <w:rPr>
          <w:rFonts w:ascii="宋体" w:hAnsi="宋体"/>
          <w:color w:val="000000"/>
          <w:sz w:val="24"/>
        </w:rPr>
        <w:t>2014</w:t>
      </w:r>
      <w:r>
        <w:rPr>
          <w:rFonts w:hint="eastAsia" w:ascii="宋体" w:hAnsi="宋体"/>
          <w:color w:val="000000"/>
          <w:sz w:val="24"/>
        </w:rPr>
        <w:t>〕</w:t>
      </w:r>
      <w:r>
        <w:rPr>
          <w:rFonts w:ascii="宋体" w:hAnsi="宋体"/>
          <w:color w:val="000000"/>
          <w:sz w:val="24"/>
        </w:rPr>
        <w:t>68</w:t>
      </w:r>
      <w:r>
        <w:rPr>
          <w:rFonts w:hint="eastAsia" w:ascii="宋体" w:hAnsi="宋体"/>
          <w:color w:val="000000"/>
          <w:sz w:val="24"/>
        </w:rPr>
        <w:t>号）；</w:t>
      </w:r>
    </w:p>
    <w:p>
      <w:pPr>
        <w:snapToGrid w:val="0"/>
        <w:spacing w:line="400" w:lineRule="atLeast"/>
        <w:ind w:firstLine="480" w:firstLineChars="200"/>
        <w:rPr>
          <w:rFonts w:ascii="宋体"/>
          <w:color w:val="000000"/>
          <w:sz w:val="24"/>
        </w:rPr>
      </w:pPr>
      <w:r>
        <w:rPr>
          <w:rFonts w:ascii="宋体" w:hAnsi="宋体"/>
          <w:color w:val="000000"/>
          <w:sz w:val="24"/>
        </w:rPr>
        <w:t>3.</w:t>
      </w:r>
      <w:r>
        <w:rPr>
          <w:rFonts w:hint="eastAsia" w:ascii="宋体" w:hAnsi="宋体"/>
          <w:color w:val="000000"/>
          <w:sz w:val="24"/>
        </w:rPr>
        <w:t>《国务院办公厅关于建立政府强制采购节能产品制度的通知》（国办发〔</w:t>
      </w:r>
      <w:r>
        <w:rPr>
          <w:rFonts w:ascii="宋体" w:hAnsi="宋体"/>
          <w:color w:val="000000"/>
          <w:sz w:val="24"/>
        </w:rPr>
        <w:t>2007</w:t>
      </w:r>
      <w:r>
        <w:rPr>
          <w:rFonts w:hint="eastAsia" w:ascii="宋体" w:hAnsi="宋体"/>
          <w:color w:val="000000"/>
          <w:sz w:val="24"/>
        </w:rPr>
        <w:t>〕</w:t>
      </w:r>
      <w:r>
        <w:rPr>
          <w:rFonts w:ascii="宋体" w:hAnsi="宋体"/>
          <w:color w:val="000000"/>
          <w:sz w:val="24"/>
        </w:rPr>
        <w:t>51</w:t>
      </w:r>
      <w:r>
        <w:rPr>
          <w:rFonts w:hint="eastAsia" w:ascii="宋体" w:hAnsi="宋体"/>
          <w:color w:val="000000"/>
          <w:sz w:val="24"/>
        </w:rPr>
        <w:t>号）；</w:t>
      </w:r>
    </w:p>
    <w:p>
      <w:pPr>
        <w:snapToGrid w:val="0"/>
        <w:spacing w:line="360" w:lineRule="auto"/>
        <w:ind w:firstLine="480" w:firstLineChars="200"/>
        <w:rPr>
          <w:rFonts w:ascii="宋体" w:cs="宋体"/>
          <w:sz w:val="24"/>
          <w:szCs w:val="24"/>
        </w:rPr>
      </w:pPr>
      <w:r>
        <w:rPr>
          <w:rFonts w:ascii="宋体" w:hAnsi="宋体" w:cs="宋体"/>
          <w:sz w:val="24"/>
          <w:szCs w:val="24"/>
        </w:rPr>
        <w:t>4.</w:t>
      </w:r>
      <w:r>
        <w:rPr>
          <w:rFonts w:hint="eastAsia" w:ascii="宋体" w:hAnsi="宋体" w:cs="宋体"/>
          <w:sz w:val="24"/>
          <w:szCs w:val="24"/>
        </w:rPr>
        <w:t>《节能产品政府采购实施意见》（财库</w:t>
      </w:r>
      <w:r>
        <w:rPr>
          <w:rFonts w:ascii="宋体" w:hAnsi="宋体" w:cs="宋体"/>
          <w:sz w:val="24"/>
          <w:szCs w:val="24"/>
        </w:rPr>
        <w:t>[2004]185</w:t>
      </w:r>
      <w:r>
        <w:rPr>
          <w:rFonts w:hint="eastAsia" w:ascii="宋体" w:hAnsi="宋体" w:cs="宋体"/>
          <w:sz w:val="24"/>
          <w:szCs w:val="24"/>
        </w:rPr>
        <w:t>号）；</w:t>
      </w:r>
    </w:p>
    <w:p>
      <w:pPr>
        <w:snapToGrid w:val="0"/>
        <w:spacing w:line="360" w:lineRule="auto"/>
        <w:ind w:firstLine="480" w:firstLineChars="200"/>
        <w:rPr>
          <w:rFonts w:ascii="宋体" w:cs="宋体"/>
          <w:sz w:val="24"/>
          <w:szCs w:val="24"/>
        </w:rPr>
      </w:pPr>
      <w:r>
        <w:rPr>
          <w:rFonts w:ascii="宋体" w:hAnsi="宋体" w:cs="宋体"/>
          <w:sz w:val="24"/>
          <w:szCs w:val="24"/>
        </w:rPr>
        <w:t>5.</w:t>
      </w:r>
      <w:r>
        <w:rPr>
          <w:rFonts w:hint="eastAsia" w:ascii="宋体" w:hAnsi="宋体" w:cs="宋体"/>
          <w:sz w:val="24"/>
          <w:szCs w:val="24"/>
        </w:rPr>
        <w:t>《环境标志产品政府采购实施的意见》（财库</w:t>
      </w:r>
      <w:r>
        <w:rPr>
          <w:rFonts w:ascii="宋体" w:hAnsi="宋体" w:cs="宋体"/>
          <w:sz w:val="24"/>
          <w:szCs w:val="24"/>
        </w:rPr>
        <w:t>[2006]90</w:t>
      </w:r>
      <w:r>
        <w:rPr>
          <w:rFonts w:hint="eastAsia" w:ascii="宋体" w:hAnsi="宋体" w:cs="宋体"/>
          <w:sz w:val="24"/>
          <w:szCs w:val="24"/>
        </w:rPr>
        <w:t>号）</w:t>
      </w:r>
    </w:p>
    <w:p>
      <w:pPr>
        <w:snapToGrid w:val="0"/>
        <w:spacing w:line="360" w:lineRule="auto"/>
        <w:ind w:firstLine="480" w:firstLineChars="200"/>
        <w:rPr>
          <w:rFonts w:ascii="宋体"/>
          <w:color w:val="000000"/>
          <w:sz w:val="24"/>
        </w:rPr>
      </w:pPr>
      <w:r>
        <w:rPr>
          <w:rFonts w:ascii="宋体" w:hAnsi="宋体" w:cs="宋体"/>
          <w:sz w:val="24"/>
          <w:szCs w:val="24"/>
        </w:rPr>
        <w:t>6.</w:t>
      </w:r>
      <w:r>
        <w:rPr>
          <w:rFonts w:hint="eastAsia" w:ascii="宋体" w:hAnsi="宋体" w:cs="宋体"/>
          <w:sz w:val="24"/>
        </w:rPr>
        <w:t>《三部门联合发布关于促进残疾人就业政府采购政策的通知》（财库〔</w:t>
      </w:r>
      <w:r>
        <w:rPr>
          <w:rFonts w:ascii="宋体" w:hAnsi="宋体" w:cs="宋体"/>
          <w:sz w:val="24"/>
        </w:rPr>
        <w:t>2017</w:t>
      </w:r>
      <w:r>
        <w:rPr>
          <w:rFonts w:hint="eastAsia" w:ascii="宋体" w:hAnsi="宋体" w:cs="宋体"/>
          <w:sz w:val="24"/>
        </w:rPr>
        <w:t>〕</w:t>
      </w:r>
      <w:r>
        <w:rPr>
          <w:rFonts w:ascii="宋体" w:hAnsi="宋体" w:cs="宋体"/>
          <w:sz w:val="24"/>
        </w:rPr>
        <w:t>141</w:t>
      </w:r>
      <w:r>
        <w:rPr>
          <w:rFonts w:hint="eastAsia" w:ascii="宋体" w:hAnsi="宋体" w:cs="宋体"/>
          <w:sz w:val="24"/>
        </w:rPr>
        <w:t>号）。</w:t>
      </w:r>
    </w:p>
    <w:p>
      <w:pPr>
        <w:widowControl/>
        <w:numPr>
          <w:ilvl w:val="0"/>
          <w:numId w:val="1"/>
        </w:numPr>
        <w:tabs>
          <w:tab w:val="left" w:pos="1620"/>
        </w:tabs>
        <w:wordWrap w:val="0"/>
        <w:snapToGrid w:val="0"/>
        <w:spacing w:line="400" w:lineRule="atLeast"/>
        <w:ind w:firstLine="480" w:firstLineChars="200"/>
        <w:jc w:val="left"/>
        <w:rPr>
          <w:rFonts w:ascii="宋体" w:cs="宋体"/>
          <w:kern w:val="0"/>
          <w:sz w:val="24"/>
          <w:szCs w:val="24"/>
        </w:rPr>
      </w:pPr>
      <w:r>
        <w:rPr>
          <w:rFonts w:hint="eastAsia" w:ascii="宋体" w:hAnsi="宋体" w:cs="宋体"/>
          <w:kern w:val="0"/>
          <w:sz w:val="24"/>
          <w:szCs w:val="24"/>
        </w:rPr>
        <w:t>磋商文件发售时间、地点：</w:t>
      </w:r>
    </w:p>
    <w:p>
      <w:pPr>
        <w:widowControl/>
        <w:wordWrap w:val="0"/>
        <w:snapToGrid w:val="0"/>
        <w:spacing w:line="360" w:lineRule="auto"/>
        <w:ind w:firstLine="720" w:firstLineChars="300"/>
        <w:jc w:val="left"/>
        <w:rPr>
          <w:rFonts w:asciiTheme="minorEastAsia" w:hAnsiTheme="minorEastAsia" w:eastAsiaTheme="minorEastAsia" w:cstheme="minorEastAsia"/>
          <w:b/>
          <w:kern w:val="0"/>
          <w:sz w:val="24"/>
          <w:szCs w:val="24"/>
        </w:rPr>
      </w:pPr>
      <w:r>
        <w:rPr>
          <w:rFonts w:hint="eastAsia" w:asciiTheme="minorEastAsia" w:hAnsiTheme="minorEastAsia" w:cstheme="minorEastAsia"/>
          <w:kern w:val="0"/>
          <w:sz w:val="24"/>
          <w:szCs w:val="24"/>
        </w:rPr>
        <w:t>1、发售时间：</w:t>
      </w:r>
      <w:r>
        <w:rPr>
          <w:rFonts w:hint="eastAsia" w:asciiTheme="minorEastAsia" w:hAnsiTheme="minorEastAsia" w:cstheme="minorEastAsia"/>
          <w:b/>
          <w:sz w:val="24"/>
          <w:szCs w:val="24"/>
        </w:rPr>
        <w:t>2019年4月</w:t>
      </w:r>
      <w:r>
        <w:rPr>
          <w:rFonts w:hint="eastAsia" w:asciiTheme="minorEastAsia" w:hAnsiTheme="minorEastAsia" w:cstheme="minorEastAsia"/>
          <w:b/>
          <w:sz w:val="24"/>
          <w:szCs w:val="24"/>
          <w:lang w:val="en-US" w:eastAsia="zh-CN"/>
        </w:rPr>
        <w:t>28</w:t>
      </w:r>
      <w:r>
        <w:rPr>
          <w:rFonts w:hint="eastAsia" w:asciiTheme="minorEastAsia" w:hAnsiTheme="minorEastAsia" w:cstheme="minorEastAsia"/>
          <w:b/>
          <w:sz w:val="24"/>
          <w:szCs w:val="24"/>
        </w:rPr>
        <w:t>日09:00至2019年</w:t>
      </w:r>
      <w:r>
        <w:rPr>
          <w:rFonts w:hint="eastAsia" w:asciiTheme="minorEastAsia" w:hAnsiTheme="minorEastAsia" w:cstheme="minorEastAsia"/>
          <w:b/>
          <w:sz w:val="24"/>
          <w:szCs w:val="24"/>
          <w:lang w:val="en-US" w:eastAsia="zh-CN"/>
        </w:rPr>
        <w:t>5</w:t>
      </w:r>
      <w:r>
        <w:rPr>
          <w:rFonts w:hint="eastAsia" w:asciiTheme="minorEastAsia" w:hAnsiTheme="minorEastAsia" w:cstheme="minorEastAsia"/>
          <w:b/>
          <w:sz w:val="24"/>
          <w:szCs w:val="24"/>
        </w:rPr>
        <w:t>月</w:t>
      </w:r>
      <w:r>
        <w:rPr>
          <w:rFonts w:hint="eastAsia" w:asciiTheme="minorEastAsia" w:hAnsiTheme="minorEastAsia" w:cstheme="minorEastAsia"/>
          <w:b/>
          <w:sz w:val="24"/>
          <w:szCs w:val="24"/>
          <w:lang w:val="en-US" w:eastAsia="zh-CN"/>
        </w:rPr>
        <w:t>7</w:t>
      </w:r>
      <w:r>
        <w:rPr>
          <w:rFonts w:hint="eastAsia" w:asciiTheme="minorEastAsia" w:hAnsiTheme="minorEastAsia" w:cstheme="minorEastAsia"/>
          <w:b/>
          <w:sz w:val="24"/>
          <w:szCs w:val="24"/>
        </w:rPr>
        <w:t>日17:00</w:t>
      </w:r>
    </w:p>
    <w:p>
      <w:pPr>
        <w:widowControl/>
        <w:wordWrap w:val="0"/>
        <w:snapToGrid w:val="0"/>
        <w:spacing w:line="360" w:lineRule="auto"/>
        <w:ind w:firstLine="480" w:firstLineChars="2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（上午09:00～12:00，下午14:00～17:00发售,双休日及法定节假日除外）</w:t>
      </w:r>
    </w:p>
    <w:p>
      <w:pPr>
        <w:widowControl/>
        <w:numPr>
          <w:ilvl w:val="0"/>
          <w:numId w:val="2"/>
        </w:numPr>
        <w:wordWrap w:val="0"/>
        <w:snapToGrid w:val="0"/>
        <w:spacing w:line="360" w:lineRule="auto"/>
        <w:ind w:firstLine="720" w:firstLineChars="3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发售地点：西安市雁塔区科技路10号华奥大厦A座2002室</w:t>
      </w:r>
    </w:p>
    <w:p>
      <w:pPr>
        <w:widowControl/>
        <w:wordWrap w:val="0"/>
        <w:snapToGrid w:val="0"/>
        <w:spacing w:line="360" w:lineRule="auto"/>
        <w:ind w:firstLine="720" w:firstLineChars="300"/>
        <w:jc w:val="left"/>
        <w:rPr>
          <w:rFonts w:ascii="宋体" w:cs="宋体"/>
          <w:kern w:val="0"/>
          <w:sz w:val="24"/>
          <w:szCs w:val="24"/>
        </w:rPr>
      </w:pPr>
      <w:r>
        <w:rPr>
          <w:rFonts w:hint="eastAsia" w:asciiTheme="minorEastAsia" w:hAnsiTheme="minorEastAsia" w:cstheme="minorEastAsia"/>
          <w:kern w:val="0"/>
          <w:sz w:val="24"/>
          <w:szCs w:val="24"/>
        </w:rPr>
        <w:t>3、文件售价：</w:t>
      </w:r>
      <w:r>
        <w:rPr>
          <w:rFonts w:hint="eastAsia" w:ascii="宋体" w:cs="宋体"/>
          <w:kern w:val="0"/>
          <w:sz w:val="24"/>
          <w:szCs w:val="24"/>
        </w:rPr>
        <w:t>每套500元（人民币）</w:t>
      </w:r>
      <w:r>
        <w:rPr>
          <w:rFonts w:hint="eastAsia" w:ascii="宋体" w:hAnsi="宋体" w:cs="宋体"/>
          <w:kern w:val="0"/>
          <w:sz w:val="24"/>
          <w:szCs w:val="24"/>
        </w:rPr>
        <w:t>，售后不退。</w:t>
      </w:r>
    </w:p>
    <w:p>
      <w:pPr>
        <w:widowControl/>
        <w:wordWrap w:val="0"/>
        <w:snapToGrid w:val="0"/>
        <w:spacing w:line="400" w:lineRule="atLeast"/>
        <w:ind w:right="-199" w:rightChars="-95" w:firstLine="482" w:firstLineChars="200"/>
        <w:jc w:val="left"/>
        <w:rPr>
          <w:rFonts w:ascii="宋体" w:cs="宋体"/>
          <w:b/>
          <w:bCs/>
          <w:kern w:val="0"/>
          <w:sz w:val="24"/>
          <w:szCs w:val="24"/>
        </w:rPr>
      </w:pPr>
      <w:r>
        <w:rPr>
          <w:rFonts w:hint="eastAsia" w:ascii="宋体" w:hAnsi="宋体" w:cs="宋体"/>
          <w:b/>
          <w:bCs/>
          <w:kern w:val="0"/>
          <w:sz w:val="24"/>
          <w:szCs w:val="24"/>
        </w:rPr>
        <w:t>注：购买磋商文件时请携带单位介绍信原件、身份证原件及复印件加盖公章。（标书费需现金支付）</w:t>
      </w:r>
    </w:p>
    <w:p>
      <w:pPr>
        <w:widowControl/>
        <w:numPr>
          <w:ilvl w:val="0"/>
          <w:numId w:val="1"/>
        </w:numPr>
        <w:tabs>
          <w:tab w:val="left" w:pos="1620"/>
        </w:tabs>
        <w:wordWrap w:val="0"/>
        <w:snapToGrid w:val="0"/>
        <w:spacing w:line="400" w:lineRule="atLeast"/>
        <w:ind w:firstLine="480" w:firstLineChars="200"/>
        <w:jc w:val="left"/>
        <w:rPr>
          <w:rFonts w:ascii="宋体" w:cs="宋体"/>
          <w:kern w:val="0"/>
          <w:sz w:val="24"/>
          <w:szCs w:val="24"/>
        </w:rPr>
      </w:pPr>
      <w:r>
        <w:rPr>
          <w:rFonts w:hint="eastAsia" w:ascii="宋体" w:hAnsi="宋体" w:cs="宋体"/>
          <w:kern w:val="0"/>
          <w:sz w:val="24"/>
          <w:szCs w:val="24"/>
        </w:rPr>
        <w:t>磋商文件递交截止时间及开标时间和地点：</w:t>
      </w:r>
    </w:p>
    <w:p>
      <w:pPr>
        <w:widowControl/>
        <w:tabs>
          <w:tab w:val="left" w:pos="0"/>
        </w:tabs>
        <w:wordWrap w:val="0"/>
        <w:snapToGrid w:val="0"/>
        <w:spacing w:line="360" w:lineRule="auto"/>
        <w:ind w:firstLine="480" w:firstLineChars="200"/>
        <w:jc w:val="left"/>
        <w:rPr>
          <w:rFonts w:asciiTheme="minorEastAsia" w:hAnsiTheme="minorEastAsia" w:cstheme="minorEastAsia"/>
          <w:b/>
          <w:kern w:val="0"/>
          <w:sz w:val="24"/>
          <w:szCs w:val="24"/>
        </w:rPr>
      </w:pPr>
      <w:r>
        <w:rPr>
          <w:rFonts w:hint="eastAsia" w:asciiTheme="minorEastAsia" w:hAnsiTheme="minorEastAsia" w:cstheme="minorEastAsia"/>
          <w:kern w:val="0"/>
          <w:sz w:val="24"/>
          <w:szCs w:val="24"/>
        </w:rPr>
        <w:t>1、文件递交截止时间：</w:t>
      </w:r>
      <w:r>
        <w:rPr>
          <w:rFonts w:hint="eastAsia" w:asciiTheme="minorEastAsia" w:hAnsiTheme="minorEastAsia" w:cstheme="minorEastAsia"/>
          <w:b/>
          <w:kern w:val="0"/>
          <w:sz w:val="24"/>
          <w:szCs w:val="24"/>
        </w:rPr>
        <w:t>2019年</w:t>
      </w:r>
      <w:r>
        <w:rPr>
          <w:rFonts w:hint="eastAsia" w:asciiTheme="minorEastAsia" w:hAnsiTheme="minorEastAsia" w:cstheme="minorEastAsia"/>
          <w:b/>
          <w:kern w:val="0"/>
          <w:sz w:val="24"/>
          <w:szCs w:val="24"/>
          <w:lang w:val="en-US" w:eastAsia="zh-CN"/>
        </w:rPr>
        <w:t>5</w:t>
      </w:r>
      <w:r>
        <w:rPr>
          <w:rFonts w:hint="eastAsia" w:asciiTheme="minorEastAsia" w:hAnsiTheme="minorEastAsia" w:cstheme="minorEastAsia"/>
          <w:b/>
          <w:kern w:val="0"/>
          <w:sz w:val="24"/>
          <w:szCs w:val="24"/>
        </w:rPr>
        <w:t>月</w:t>
      </w:r>
      <w:r>
        <w:rPr>
          <w:rFonts w:hint="eastAsia" w:asciiTheme="minorEastAsia" w:hAnsiTheme="minorEastAsia" w:cstheme="minorEastAsia"/>
          <w:b/>
          <w:kern w:val="0"/>
          <w:sz w:val="24"/>
          <w:szCs w:val="24"/>
          <w:lang w:val="en-US" w:eastAsia="zh-CN"/>
        </w:rPr>
        <w:t>15</w:t>
      </w:r>
      <w:r>
        <w:rPr>
          <w:rFonts w:hint="eastAsia" w:asciiTheme="minorEastAsia" w:hAnsiTheme="minorEastAsia" w:cstheme="minorEastAsia"/>
          <w:b/>
          <w:kern w:val="0"/>
          <w:sz w:val="24"/>
          <w:szCs w:val="24"/>
        </w:rPr>
        <w:t>日</w:t>
      </w:r>
      <w:r>
        <w:rPr>
          <w:rFonts w:hint="eastAsia" w:asciiTheme="minorEastAsia" w:hAnsiTheme="minorEastAsia" w:cstheme="minorEastAsia"/>
          <w:b/>
          <w:kern w:val="0"/>
          <w:sz w:val="24"/>
          <w:szCs w:val="24"/>
          <w:lang w:val="en-US" w:eastAsia="zh-CN"/>
        </w:rPr>
        <w:t>09</w:t>
      </w:r>
      <w:r>
        <w:rPr>
          <w:rFonts w:hint="eastAsia" w:asciiTheme="minorEastAsia" w:hAnsiTheme="minorEastAsia" w:cstheme="minorEastAsia"/>
          <w:b/>
          <w:kern w:val="0"/>
          <w:sz w:val="24"/>
          <w:szCs w:val="24"/>
        </w:rPr>
        <w:t>:</w:t>
      </w:r>
      <w:r>
        <w:rPr>
          <w:rFonts w:hint="eastAsia" w:asciiTheme="minorEastAsia" w:hAnsiTheme="minorEastAsia" w:cstheme="minorEastAsia"/>
          <w:b/>
          <w:kern w:val="0"/>
          <w:sz w:val="24"/>
          <w:szCs w:val="24"/>
          <w:lang w:val="en-US" w:eastAsia="zh-CN"/>
        </w:rPr>
        <w:t>0</w:t>
      </w:r>
      <w:r>
        <w:rPr>
          <w:rFonts w:hint="eastAsia" w:asciiTheme="minorEastAsia" w:hAnsiTheme="minorEastAsia" w:cstheme="minorEastAsia"/>
          <w:b/>
          <w:kern w:val="0"/>
          <w:sz w:val="24"/>
          <w:szCs w:val="24"/>
        </w:rPr>
        <w:t>0时</w:t>
      </w:r>
    </w:p>
    <w:p>
      <w:pPr>
        <w:widowControl/>
        <w:tabs>
          <w:tab w:val="left" w:pos="0"/>
        </w:tabs>
        <w:wordWrap w:val="0"/>
        <w:snapToGrid w:val="0"/>
        <w:spacing w:line="360" w:lineRule="auto"/>
        <w:ind w:firstLine="480" w:firstLineChars="2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2、投标地点：西安市雁塔区科技路10号华奥大厦A座2002室</w:t>
      </w:r>
    </w:p>
    <w:p>
      <w:pPr>
        <w:widowControl/>
        <w:tabs>
          <w:tab w:val="left" w:pos="1620"/>
        </w:tabs>
        <w:wordWrap w:val="0"/>
        <w:snapToGrid w:val="0"/>
        <w:spacing w:line="360" w:lineRule="auto"/>
        <w:ind w:firstLine="480" w:firstLineChars="200"/>
        <w:jc w:val="left"/>
        <w:rPr>
          <w:rFonts w:asciiTheme="minorEastAsia" w:hAnsiTheme="minorEastAsia" w:cstheme="minorEastAsia"/>
          <w:b/>
          <w:kern w:val="0"/>
          <w:sz w:val="24"/>
          <w:szCs w:val="24"/>
        </w:rPr>
      </w:pPr>
      <w:r>
        <w:rPr>
          <w:rFonts w:hint="eastAsia" w:asciiTheme="minorEastAsia" w:hAnsiTheme="minorEastAsia" w:cstheme="minorEastAsia"/>
          <w:kern w:val="0"/>
          <w:sz w:val="24"/>
          <w:szCs w:val="24"/>
        </w:rPr>
        <w:t>3、开标时间：</w:t>
      </w:r>
      <w:r>
        <w:rPr>
          <w:rFonts w:hint="eastAsia" w:asciiTheme="minorEastAsia" w:hAnsiTheme="minorEastAsia" w:cstheme="minorEastAsia"/>
          <w:b/>
          <w:kern w:val="0"/>
          <w:sz w:val="24"/>
          <w:szCs w:val="24"/>
        </w:rPr>
        <w:t>2019年</w:t>
      </w:r>
      <w:r>
        <w:rPr>
          <w:rFonts w:hint="eastAsia" w:asciiTheme="minorEastAsia" w:hAnsiTheme="minorEastAsia" w:cstheme="minorEastAsia"/>
          <w:b/>
          <w:kern w:val="0"/>
          <w:sz w:val="24"/>
          <w:szCs w:val="24"/>
          <w:lang w:val="en-US" w:eastAsia="zh-CN"/>
        </w:rPr>
        <w:t>5</w:t>
      </w:r>
      <w:r>
        <w:rPr>
          <w:rFonts w:hint="eastAsia" w:asciiTheme="minorEastAsia" w:hAnsiTheme="minorEastAsia" w:cstheme="minorEastAsia"/>
          <w:b/>
          <w:kern w:val="0"/>
          <w:sz w:val="24"/>
          <w:szCs w:val="24"/>
        </w:rPr>
        <w:t>月</w:t>
      </w:r>
      <w:r>
        <w:rPr>
          <w:rFonts w:hint="eastAsia" w:asciiTheme="minorEastAsia" w:hAnsiTheme="minorEastAsia" w:cstheme="minorEastAsia"/>
          <w:b/>
          <w:kern w:val="0"/>
          <w:sz w:val="24"/>
          <w:szCs w:val="24"/>
          <w:lang w:val="en-US" w:eastAsia="zh-CN"/>
        </w:rPr>
        <w:t>15</w:t>
      </w:r>
      <w:r>
        <w:rPr>
          <w:rFonts w:hint="eastAsia" w:asciiTheme="minorEastAsia" w:hAnsiTheme="minorEastAsia" w:cstheme="minorEastAsia"/>
          <w:b/>
          <w:kern w:val="0"/>
          <w:sz w:val="24"/>
          <w:szCs w:val="24"/>
        </w:rPr>
        <w:t>日</w:t>
      </w:r>
      <w:r>
        <w:rPr>
          <w:rFonts w:hint="eastAsia" w:asciiTheme="minorEastAsia" w:hAnsiTheme="minorEastAsia" w:cstheme="minorEastAsia"/>
          <w:b/>
          <w:kern w:val="0"/>
          <w:sz w:val="24"/>
          <w:szCs w:val="24"/>
          <w:lang w:val="en-US" w:eastAsia="zh-CN"/>
        </w:rPr>
        <w:t>09</w:t>
      </w:r>
      <w:r>
        <w:rPr>
          <w:rFonts w:hint="eastAsia" w:asciiTheme="minorEastAsia" w:hAnsiTheme="minorEastAsia" w:cstheme="minorEastAsia"/>
          <w:b/>
          <w:kern w:val="0"/>
          <w:sz w:val="24"/>
          <w:szCs w:val="24"/>
        </w:rPr>
        <w:t>:</w:t>
      </w:r>
      <w:r>
        <w:rPr>
          <w:rFonts w:hint="eastAsia" w:asciiTheme="minorEastAsia" w:hAnsiTheme="minorEastAsia" w:cstheme="minorEastAsia"/>
          <w:b/>
          <w:kern w:val="0"/>
          <w:sz w:val="24"/>
          <w:szCs w:val="24"/>
          <w:lang w:val="en-US" w:eastAsia="zh-CN"/>
        </w:rPr>
        <w:t>0</w:t>
      </w:r>
      <w:r>
        <w:rPr>
          <w:rFonts w:hint="eastAsia" w:asciiTheme="minorEastAsia" w:hAnsiTheme="minorEastAsia" w:cstheme="minorEastAsia"/>
          <w:b/>
          <w:kern w:val="0"/>
          <w:sz w:val="24"/>
          <w:szCs w:val="24"/>
        </w:rPr>
        <w:t xml:space="preserve">0时 </w:t>
      </w:r>
    </w:p>
    <w:p>
      <w:pPr>
        <w:widowControl/>
        <w:tabs>
          <w:tab w:val="left" w:pos="1620"/>
        </w:tabs>
        <w:wordWrap w:val="0"/>
        <w:snapToGrid w:val="0"/>
        <w:spacing w:line="360" w:lineRule="auto"/>
        <w:ind w:firstLine="480" w:firstLineChars="20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4、开标地点：西安市雁塔区科技路10号华奥大厦A座2002室</w:t>
      </w:r>
    </w:p>
    <w:p>
      <w:pPr>
        <w:widowControl/>
        <w:numPr>
          <w:ilvl w:val="0"/>
          <w:numId w:val="1"/>
        </w:numPr>
        <w:tabs>
          <w:tab w:val="left" w:pos="1620"/>
        </w:tabs>
        <w:wordWrap w:val="0"/>
        <w:snapToGrid w:val="0"/>
        <w:spacing w:line="400" w:lineRule="atLeast"/>
        <w:ind w:firstLine="480" w:firstLineChars="200"/>
        <w:jc w:val="left"/>
        <w:rPr>
          <w:rFonts w:ascii="宋体" w:cs="宋体"/>
          <w:kern w:val="0"/>
          <w:sz w:val="24"/>
          <w:szCs w:val="24"/>
        </w:rPr>
      </w:pPr>
      <w:r>
        <w:rPr>
          <w:rFonts w:hint="eastAsia" w:ascii="宋体" w:hAnsi="宋体" w:cs="宋体"/>
          <w:kern w:val="0"/>
          <w:sz w:val="24"/>
          <w:szCs w:val="24"/>
        </w:rPr>
        <w:t>其它应说明的事项：</w:t>
      </w:r>
    </w:p>
    <w:p>
      <w:pPr>
        <w:widowControl/>
        <w:tabs>
          <w:tab w:val="left" w:pos="0"/>
        </w:tabs>
        <w:wordWrap w:val="0"/>
        <w:snapToGrid w:val="0"/>
        <w:spacing w:line="360" w:lineRule="auto"/>
        <w:ind w:firstLine="480" w:firstLineChars="200"/>
        <w:rPr>
          <w:rFonts w:asciiTheme="minorEastAsia" w:hAnsiTheme="minorEastAsia" w:cstheme="minorEastAsia"/>
          <w:kern w:val="0"/>
          <w:sz w:val="24"/>
          <w:szCs w:val="24"/>
        </w:rPr>
      </w:pPr>
      <w:r>
        <w:rPr>
          <w:rFonts w:hint="eastAsia" w:asciiTheme="minorEastAsia" w:hAnsiTheme="minorEastAsia" w:cstheme="minorEastAsia"/>
          <w:kern w:val="0"/>
          <w:sz w:val="24"/>
          <w:szCs w:val="24"/>
        </w:rPr>
        <w:t>1、采购代理机构联系方式：02988440695</w:t>
      </w:r>
    </w:p>
    <w:p>
      <w:pPr>
        <w:widowControl/>
        <w:tabs>
          <w:tab w:val="left" w:pos="0"/>
        </w:tabs>
        <w:wordWrap w:val="0"/>
        <w:snapToGrid w:val="0"/>
        <w:spacing w:line="360" w:lineRule="auto"/>
        <w:ind w:firstLine="720" w:firstLineChars="300"/>
        <w:rPr>
          <w:rFonts w:asciiTheme="minorEastAsia" w:hAnsiTheme="minorEastAsia" w:cstheme="minorEastAsia"/>
          <w:kern w:val="0"/>
          <w:sz w:val="24"/>
          <w:szCs w:val="24"/>
        </w:rPr>
      </w:pPr>
      <w:r>
        <w:rPr>
          <w:rFonts w:hint="eastAsia" w:asciiTheme="minorEastAsia" w:hAnsiTheme="minorEastAsia" w:cstheme="minorEastAsia"/>
          <w:kern w:val="0"/>
          <w:sz w:val="24"/>
          <w:szCs w:val="24"/>
        </w:rPr>
        <w:t>2、开户名称：陕西卓佲招标有限公司</w:t>
      </w:r>
    </w:p>
    <w:p>
      <w:pPr>
        <w:widowControl/>
        <w:tabs>
          <w:tab w:val="left" w:pos="0"/>
        </w:tabs>
        <w:wordWrap w:val="0"/>
        <w:snapToGrid w:val="0"/>
        <w:spacing w:line="360" w:lineRule="auto"/>
        <w:ind w:firstLine="720" w:firstLineChars="300"/>
        <w:rPr>
          <w:rFonts w:asciiTheme="minorEastAsia" w:hAnsiTheme="minorEastAsia" w:cstheme="minorEastAsia"/>
          <w:kern w:val="0"/>
          <w:sz w:val="24"/>
          <w:szCs w:val="24"/>
        </w:rPr>
      </w:pPr>
      <w:r>
        <w:rPr>
          <w:rFonts w:hint="eastAsia" w:asciiTheme="minorEastAsia" w:hAnsiTheme="minorEastAsia" w:cstheme="minorEastAsia"/>
          <w:kern w:val="0"/>
          <w:sz w:val="24"/>
          <w:szCs w:val="24"/>
        </w:rPr>
        <w:t>3、开户银行：中国银行西安边家村支行</w:t>
      </w:r>
    </w:p>
    <w:p>
      <w:pPr>
        <w:widowControl/>
        <w:tabs>
          <w:tab w:val="left" w:pos="0"/>
        </w:tabs>
        <w:wordWrap w:val="0"/>
        <w:snapToGrid w:val="0"/>
        <w:spacing w:line="360" w:lineRule="auto"/>
        <w:ind w:firstLine="720" w:firstLineChars="300"/>
        <w:rPr>
          <w:rFonts w:asciiTheme="minorEastAsia" w:hAnsiTheme="minorEastAsia" w:cstheme="minorEastAsia"/>
          <w:kern w:val="0"/>
          <w:sz w:val="24"/>
          <w:szCs w:val="24"/>
        </w:rPr>
      </w:pPr>
      <w:r>
        <w:rPr>
          <w:rFonts w:hint="eastAsia" w:asciiTheme="minorEastAsia" w:hAnsiTheme="minorEastAsia" w:cstheme="minorEastAsia"/>
          <w:kern w:val="0"/>
          <w:sz w:val="24"/>
          <w:szCs w:val="24"/>
        </w:rPr>
        <w:t>4、账 号：</w:t>
      </w:r>
      <w:r>
        <w:rPr>
          <w:rFonts w:hint="eastAsia" w:ascii="宋体" w:hAnsi="宋体" w:cs="宋体"/>
          <w:kern w:val="0"/>
          <w:sz w:val="24"/>
          <w:szCs w:val="24"/>
        </w:rPr>
        <w:t>102471483792</w:t>
      </w:r>
    </w:p>
    <w:p>
      <w:r>
        <w:rPr>
          <w:rFonts w:hint="eastAsia" w:ascii="宋体" w:hAnsi="宋体" w:cs="宋体"/>
          <w:kern w:val="0"/>
          <w:sz w:val="24"/>
          <w:szCs w:val="24"/>
        </w:rPr>
        <w:t xml:space="preserve"> 十一、本竞争性磋商公告期限为自发布之日起3个工作日。</w:t>
      </w:r>
    </w:p>
    <w:p/>
    <w:p>
      <w:pPr>
        <w:widowControl/>
        <w:tabs>
          <w:tab w:val="left" w:pos="1620"/>
        </w:tabs>
        <w:snapToGrid w:val="0"/>
        <w:spacing w:line="400" w:lineRule="atLeast"/>
        <w:ind w:firstLine="420" w:firstLineChars="175"/>
        <w:jc w:val="right"/>
        <w:rPr>
          <w:rFonts w:ascii="宋体" w:cs="宋体"/>
          <w:kern w:val="0"/>
          <w:sz w:val="24"/>
          <w:szCs w:val="24"/>
        </w:rPr>
      </w:pPr>
      <w:r>
        <w:rPr>
          <w:rFonts w:hint="eastAsia" w:ascii="宋体" w:hAnsi="宋体" w:cs="宋体"/>
          <w:kern w:val="0"/>
          <w:sz w:val="24"/>
          <w:szCs w:val="24"/>
        </w:rPr>
        <w:t>陕西卓佲招标有限公司</w:t>
      </w:r>
    </w:p>
    <w:p>
      <w:pPr>
        <w:widowControl/>
        <w:tabs>
          <w:tab w:val="left" w:pos="1620"/>
        </w:tabs>
        <w:snapToGrid w:val="0"/>
        <w:spacing w:line="400" w:lineRule="atLeast"/>
        <w:ind w:firstLine="6420" w:firstLineChars="2675"/>
        <w:rPr>
          <w:rFonts w:ascii="宋体" w:cs="宋体"/>
          <w:kern w:val="0"/>
          <w:sz w:val="24"/>
          <w:szCs w:val="24"/>
        </w:rPr>
      </w:pPr>
      <w:r>
        <w:rPr>
          <w:rFonts w:ascii="宋体" w:hAnsi="宋体" w:cs="宋体"/>
          <w:kern w:val="0"/>
          <w:sz w:val="24"/>
          <w:szCs w:val="24"/>
        </w:rPr>
        <w:t>2018</w:t>
      </w:r>
      <w:r>
        <w:rPr>
          <w:rFonts w:hint="eastAsia" w:ascii="宋体" w:hAnsi="宋体" w:cs="宋体"/>
          <w:kern w:val="0"/>
          <w:sz w:val="24"/>
          <w:szCs w:val="24"/>
        </w:rPr>
        <w:t>年</w:t>
      </w:r>
      <w:r>
        <w:rPr>
          <w:rFonts w:hint="eastAsia" w:ascii="宋体" w:hAnsi="宋体" w:cs="宋体"/>
          <w:kern w:val="0"/>
          <w:sz w:val="24"/>
          <w:szCs w:val="24"/>
          <w:lang w:val="en-US" w:eastAsia="zh-CN"/>
        </w:rPr>
        <w:t>4</w:t>
      </w:r>
      <w:r>
        <w:rPr>
          <w:rFonts w:hint="eastAsia" w:ascii="宋体" w:hAnsi="宋体" w:cs="宋体"/>
          <w:kern w:val="0"/>
          <w:sz w:val="24"/>
          <w:szCs w:val="24"/>
        </w:rPr>
        <w:t>月</w:t>
      </w:r>
      <w:r>
        <w:rPr>
          <w:rFonts w:hint="eastAsia" w:ascii="宋体" w:hAnsi="宋体" w:cs="宋体"/>
          <w:kern w:val="0"/>
          <w:sz w:val="24"/>
          <w:szCs w:val="24"/>
          <w:lang w:val="en-US" w:eastAsia="zh-CN"/>
        </w:rPr>
        <w:t>28</w:t>
      </w:r>
      <w:bookmarkStart w:id="125" w:name="_GoBack"/>
      <w:bookmarkEnd w:id="125"/>
      <w:r>
        <w:rPr>
          <w:rFonts w:hint="eastAsia" w:ascii="宋体" w:hAnsi="宋体" w:cs="宋体"/>
          <w:kern w:val="0"/>
          <w:sz w:val="24"/>
          <w:szCs w:val="24"/>
        </w:rPr>
        <w:t>日</w:t>
      </w:r>
    </w:p>
    <w:p>
      <w:pPr>
        <w:pStyle w:val="4"/>
        <w:keepLines w:val="0"/>
        <w:ind w:firstLine="773" w:firstLineChars="175"/>
        <w:sectPr>
          <w:footerReference r:id="rId7" w:type="default"/>
          <w:pgSz w:w="11906" w:h="16838"/>
          <w:pgMar w:top="1440" w:right="1486" w:bottom="1440" w:left="1800" w:header="851" w:footer="992" w:gutter="0"/>
          <w:pgNumType w:start="1"/>
          <w:cols w:space="720" w:num="1"/>
          <w:docGrid w:type="lines" w:linePitch="312" w:charSpace="0"/>
        </w:sectPr>
      </w:pPr>
    </w:p>
    <w:p>
      <w:pPr>
        <w:pStyle w:val="4"/>
      </w:pPr>
      <w:bookmarkStart w:id="3" w:name="_Toc30089"/>
      <w:bookmarkStart w:id="4" w:name="_Toc5422"/>
      <w:bookmarkStart w:id="5" w:name="_Toc438048787"/>
      <w:r>
        <w:rPr>
          <w:rFonts w:hint="eastAsia"/>
        </w:rPr>
        <w:t>第二部分供应商须知前附表</w:t>
      </w:r>
      <w:bookmarkEnd w:id="3"/>
      <w:bookmarkEnd w:id="4"/>
      <w:bookmarkEnd w:id="5"/>
    </w:p>
    <w:tbl>
      <w:tblPr>
        <w:tblStyle w:val="25"/>
        <w:tblpPr w:leftFromText="180" w:rightFromText="180" w:vertAnchor="text" w:horzAnchor="page" w:tblpX="1671" w:tblpY="309"/>
        <w:tblOverlap w:val="never"/>
        <w:tblW w:w="8794"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351"/>
        <w:gridCol w:w="918"/>
        <w:gridCol w:w="752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86" w:hRule="atLeast"/>
        </w:trPr>
        <w:tc>
          <w:tcPr>
            <w:tcW w:w="351" w:type="dxa"/>
          </w:tcPr>
          <w:p>
            <w:pPr>
              <w:spacing w:beforeLines="50"/>
              <w:jc w:val="center"/>
              <w:rPr>
                <w:rFonts w:ascii="宋体"/>
                <w:b/>
                <w:szCs w:val="21"/>
              </w:rPr>
            </w:pPr>
            <w:r>
              <w:rPr>
                <w:rFonts w:hint="eastAsia" w:ascii="宋体" w:hAnsi="宋体"/>
                <w:b/>
                <w:szCs w:val="21"/>
              </w:rPr>
              <w:t>序号</w:t>
            </w:r>
          </w:p>
        </w:tc>
        <w:tc>
          <w:tcPr>
            <w:tcW w:w="918" w:type="dxa"/>
            <w:vAlign w:val="center"/>
          </w:tcPr>
          <w:p>
            <w:pPr>
              <w:spacing w:beforeLines="50"/>
              <w:jc w:val="center"/>
              <w:rPr>
                <w:rFonts w:ascii="宋体"/>
                <w:b/>
                <w:szCs w:val="21"/>
              </w:rPr>
            </w:pPr>
            <w:r>
              <w:rPr>
                <w:rFonts w:hint="eastAsia" w:ascii="宋体" w:hAnsi="宋体"/>
                <w:b/>
                <w:szCs w:val="21"/>
              </w:rPr>
              <w:t>条款</w:t>
            </w:r>
          </w:p>
        </w:tc>
        <w:tc>
          <w:tcPr>
            <w:tcW w:w="7525" w:type="dxa"/>
          </w:tcPr>
          <w:p>
            <w:pPr>
              <w:spacing w:beforeLines="50"/>
              <w:jc w:val="center"/>
              <w:rPr>
                <w:rFonts w:ascii="宋体"/>
                <w:b/>
                <w:szCs w:val="21"/>
              </w:rPr>
            </w:pPr>
            <w:r>
              <w:rPr>
                <w:rFonts w:hint="eastAsia" w:ascii="宋体" w:hAnsi="宋体"/>
                <w:b/>
                <w:szCs w:val="21"/>
              </w:rPr>
              <w:t>编列内容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98" w:hRule="atLeast"/>
        </w:trPr>
        <w:tc>
          <w:tcPr>
            <w:tcW w:w="351" w:type="dxa"/>
          </w:tcPr>
          <w:p>
            <w:pPr>
              <w:spacing w:beforeLines="50"/>
              <w:jc w:val="center"/>
              <w:rPr>
                <w:rFonts w:ascii="宋体"/>
                <w:b/>
                <w:szCs w:val="21"/>
              </w:rPr>
            </w:pPr>
            <w:r>
              <w:rPr>
                <w:rFonts w:ascii="宋体" w:hAnsi="宋体"/>
                <w:b/>
                <w:szCs w:val="21"/>
              </w:rPr>
              <w:t>1</w:t>
            </w:r>
          </w:p>
        </w:tc>
        <w:tc>
          <w:tcPr>
            <w:tcW w:w="918" w:type="dxa"/>
            <w:vAlign w:val="center"/>
          </w:tcPr>
          <w:p>
            <w:pPr>
              <w:spacing w:line="360" w:lineRule="auto"/>
              <w:rPr>
                <w:rFonts w:ascii="宋体"/>
                <w:szCs w:val="21"/>
              </w:rPr>
            </w:pPr>
            <w:r>
              <w:rPr>
                <w:rFonts w:hint="eastAsia" w:ascii="宋体" w:hAnsi="宋体"/>
                <w:szCs w:val="21"/>
              </w:rPr>
              <w:t>项目</w:t>
            </w:r>
          </w:p>
          <w:p>
            <w:pPr>
              <w:spacing w:line="360" w:lineRule="auto"/>
              <w:rPr>
                <w:rFonts w:ascii="宋体"/>
                <w:szCs w:val="21"/>
              </w:rPr>
            </w:pPr>
            <w:r>
              <w:rPr>
                <w:rFonts w:hint="eastAsia" w:ascii="宋体" w:hAnsi="宋体"/>
                <w:szCs w:val="21"/>
              </w:rPr>
              <w:t>名称</w:t>
            </w:r>
          </w:p>
        </w:tc>
        <w:tc>
          <w:tcPr>
            <w:tcW w:w="7525" w:type="dxa"/>
            <w:vAlign w:val="center"/>
          </w:tcPr>
          <w:p>
            <w:pPr>
              <w:spacing w:line="360" w:lineRule="auto"/>
              <w:jc w:val="center"/>
              <w:rPr>
                <w:rFonts w:hint="eastAsia" w:ascii="宋体" w:eastAsia="宋体"/>
                <w:szCs w:val="21"/>
                <w:lang w:eastAsia="zh-CN"/>
              </w:rPr>
            </w:pPr>
            <w:r>
              <w:rPr>
                <w:rFonts w:hint="eastAsia" w:ascii="宋体"/>
                <w:szCs w:val="21"/>
                <w:lang w:eastAsia="zh-CN"/>
              </w:rPr>
              <w:t>西北大学人力资源管理信息系统采购项目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340" w:hRule="atLeast"/>
        </w:trPr>
        <w:tc>
          <w:tcPr>
            <w:tcW w:w="351" w:type="dxa"/>
          </w:tcPr>
          <w:p>
            <w:pPr>
              <w:spacing w:beforeLines="50"/>
              <w:jc w:val="center"/>
              <w:rPr>
                <w:rFonts w:ascii="宋体"/>
                <w:b/>
                <w:szCs w:val="21"/>
              </w:rPr>
            </w:pPr>
            <w:r>
              <w:rPr>
                <w:rFonts w:ascii="宋体" w:hAnsi="宋体"/>
                <w:b/>
                <w:szCs w:val="21"/>
              </w:rPr>
              <w:t>2</w:t>
            </w:r>
          </w:p>
        </w:tc>
        <w:tc>
          <w:tcPr>
            <w:tcW w:w="918" w:type="dxa"/>
            <w:vAlign w:val="center"/>
          </w:tcPr>
          <w:p>
            <w:pPr>
              <w:spacing w:line="360" w:lineRule="auto"/>
              <w:rPr>
                <w:rFonts w:ascii="宋体"/>
                <w:szCs w:val="21"/>
              </w:rPr>
            </w:pPr>
            <w:r>
              <w:rPr>
                <w:rFonts w:hint="eastAsia" w:ascii="宋体" w:hAnsi="宋体"/>
                <w:szCs w:val="21"/>
              </w:rPr>
              <w:t>采购人</w:t>
            </w:r>
          </w:p>
        </w:tc>
        <w:tc>
          <w:tcPr>
            <w:tcW w:w="7525" w:type="dxa"/>
            <w:vAlign w:val="center"/>
          </w:tcPr>
          <w:p>
            <w:pPr>
              <w:widowControl/>
              <w:wordWrap w:val="0"/>
              <w:spacing w:line="360" w:lineRule="auto"/>
              <w:rPr>
                <w:rFonts w:ascii="宋体" w:cs="宋体"/>
                <w:szCs w:val="21"/>
              </w:rPr>
            </w:pPr>
            <w:r>
              <w:rPr>
                <w:rFonts w:hint="eastAsia" w:ascii="宋体" w:hAnsi="宋体" w:cs="宋体"/>
                <w:szCs w:val="21"/>
              </w:rPr>
              <w:t>采购人名称：西北大学</w:t>
            </w:r>
          </w:p>
          <w:p>
            <w:pPr>
              <w:widowControl/>
              <w:wordWrap w:val="0"/>
              <w:spacing w:line="360" w:lineRule="auto"/>
              <w:rPr>
                <w:rFonts w:ascii="宋体" w:cs="宋体"/>
                <w:szCs w:val="21"/>
              </w:rPr>
            </w:pPr>
            <w:r>
              <w:rPr>
                <w:rFonts w:hint="eastAsia" w:ascii="宋体" w:hAnsi="宋体" w:cs="宋体"/>
                <w:szCs w:val="21"/>
              </w:rPr>
              <w:t>地址：西安市太白北路229号</w:t>
            </w:r>
          </w:p>
          <w:p>
            <w:pPr>
              <w:widowControl/>
              <w:wordWrap w:val="0"/>
              <w:spacing w:line="360" w:lineRule="auto"/>
              <w:jc w:val="left"/>
              <w:rPr>
                <w:rFonts w:ascii="宋体"/>
                <w:szCs w:val="21"/>
              </w:rPr>
            </w:pPr>
            <w:r>
              <w:rPr>
                <w:rFonts w:hint="eastAsia" w:ascii="宋体" w:hAnsi="宋体" w:cs="宋体"/>
                <w:szCs w:val="21"/>
              </w:rPr>
              <w:t>联系方式：</w:t>
            </w:r>
            <w:r>
              <w:rPr>
                <w:rFonts w:ascii="宋体" w:hAnsi="宋体" w:cs="宋体"/>
                <w:szCs w:val="21"/>
              </w:rPr>
              <w:t>029-88</w:t>
            </w:r>
            <w:r>
              <w:rPr>
                <w:rFonts w:hint="eastAsia" w:ascii="宋体" w:hAnsi="宋体" w:cs="宋体"/>
                <w:szCs w:val="21"/>
              </w:rPr>
              <w:t>302974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224" w:hRule="atLeast"/>
        </w:trPr>
        <w:tc>
          <w:tcPr>
            <w:tcW w:w="351" w:type="dxa"/>
            <w:tcBorders>
              <w:top w:val="single" w:color="auto" w:sz="4" w:space="0"/>
            </w:tcBorders>
          </w:tcPr>
          <w:p>
            <w:pPr>
              <w:spacing w:beforeLines="50"/>
              <w:jc w:val="center"/>
              <w:rPr>
                <w:rFonts w:ascii="宋体"/>
                <w:b/>
                <w:szCs w:val="21"/>
              </w:rPr>
            </w:pPr>
            <w:r>
              <w:rPr>
                <w:rFonts w:ascii="宋体" w:hAnsi="宋体"/>
                <w:b/>
                <w:szCs w:val="21"/>
              </w:rPr>
              <w:t>3</w:t>
            </w:r>
          </w:p>
        </w:tc>
        <w:tc>
          <w:tcPr>
            <w:tcW w:w="918" w:type="dxa"/>
            <w:tcBorders>
              <w:top w:val="single" w:color="auto" w:sz="4" w:space="0"/>
            </w:tcBorders>
            <w:vAlign w:val="center"/>
          </w:tcPr>
          <w:p>
            <w:pPr>
              <w:spacing w:line="360" w:lineRule="auto"/>
              <w:rPr>
                <w:rFonts w:ascii="宋体"/>
                <w:szCs w:val="21"/>
              </w:rPr>
            </w:pPr>
            <w:r>
              <w:rPr>
                <w:rFonts w:hint="eastAsia" w:ascii="宋体" w:hAnsi="宋体"/>
                <w:szCs w:val="21"/>
              </w:rPr>
              <w:t>采购代理机构</w:t>
            </w:r>
          </w:p>
        </w:tc>
        <w:tc>
          <w:tcPr>
            <w:tcW w:w="7525" w:type="dxa"/>
            <w:tcBorders>
              <w:top w:val="single" w:color="auto" w:sz="4" w:space="0"/>
            </w:tcBorders>
            <w:vAlign w:val="center"/>
          </w:tcPr>
          <w:p>
            <w:pPr>
              <w:widowControl/>
              <w:wordWrap w:val="0"/>
              <w:spacing w:line="360" w:lineRule="auto"/>
              <w:jc w:val="left"/>
              <w:rPr>
                <w:rFonts w:ascii="宋体"/>
                <w:szCs w:val="21"/>
              </w:rPr>
            </w:pPr>
            <w:r>
              <w:rPr>
                <w:rFonts w:hint="eastAsia" w:ascii="宋体" w:hAnsi="宋体"/>
                <w:szCs w:val="21"/>
              </w:rPr>
              <w:t>采购代理机构：陕西卓佲招标有限公司</w:t>
            </w:r>
          </w:p>
          <w:p>
            <w:pPr>
              <w:spacing w:line="360" w:lineRule="auto"/>
              <w:jc w:val="left"/>
              <w:rPr>
                <w:rFonts w:asciiTheme="minorEastAsia" w:hAnsiTheme="minorEastAsia" w:cstheme="minorEastAsia"/>
                <w:szCs w:val="21"/>
              </w:rPr>
            </w:pPr>
            <w:r>
              <w:rPr>
                <w:rFonts w:hint="eastAsia" w:ascii="宋体" w:hAnsi="宋体"/>
                <w:szCs w:val="21"/>
              </w:rPr>
              <w:t>地址：西安市</w:t>
            </w:r>
            <w:r>
              <w:rPr>
                <w:rFonts w:hint="eastAsia" w:asciiTheme="minorEastAsia" w:hAnsiTheme="minorEastAsia" w:cstheme="minorEastAsia"/>
                <w:szCs w:val="21"/>
              </w:rPr>
              <w:t>雁塔区科技路10号华奥大厦A座2002室</w:t>
            </w:r>
          </w:p>
          <w:p>
            <w:pPr>
              <w:widowControl/>
              <w:wordWrap w:val="0"/>
              <w:spacing w:line="360" w:lineRule="auto"/>
              <w:jc w:val="left"/>
              <w:rPr>
                <w:rFonts w:ascii="宋体"/>
                <w:szCs w:val="21"/>
              </w:rPr>
            </w:pPr>
            <w:r>
              <w:rPr>
                <w:rFonts w:hint="eastAsia" w:ascii="宋体" w:hAnsi="宋体"/>
                <w:szCs w:val="21"/>
              </w:rPr>
              <w:t>联系人：董菊莉、杜华龙</w:t>
            </w:r>
          </w:p>
          <w:p>
            <w:pPr>
              <w:widowControl/>
              <w:wordWrap w:val="0"/>
              <w:spacing w:line="360" w:lineRule="auto"/>
              <w:jc w:val="left"/>
              <w:rPr>
                <w:rFonts w:ascii="宋体"/>
                <w:szCs w:val="21"/>
              </w:rPr>
            </w:pPr>
            <w:r>
              <w:rPr>
                <w:rFonts w:hint="eastAsia" w:ascii="宋体" w:hAnsi="宋体"/>
                <w:szCs w:val="21"/>
              </w:rPr>
              <w:t>电话：</w:t>
            </w:r>
            <w:r>
              <w:rPr>
                <w:rFonts w:ascii="宋体" w:hAnsi="宋体"/>
                <w:szCs w:val="21"/>
              </w:rPr>
              <w:t>029-88</w:t>
            </w:r>
            <w:r>
              <w:rPr>
                <w:rFonts w:hint="eastAsia" w:ascii="宋体" w:hAnsi="宋体"/>
                <w:szCs w:val="21"/>
              </w:rPr>
              <w:t>440695</w:t>
            </w:r>
          </w:p>
          <w:p>
            <w:pPr>
              <w:widowControl/>
              <w:wordWrap w:val="0"/>
              <w:spacing w:line="360" w:lineRule="auto"/>
              <w:jc w:val="left"/>
              <w:rPr>
                <w:rFonts w:ascii="宋体"/>
                <w:szCs w:val="21"/>
              </w:rPr>
            </w:pPr>
            <w:r>
              <w:rPr>
                <w:rFonts w:hint="eastAsia" w:ascii="宋体" w:hAnsi="宋体"/>
                <w:szCs w:val="21"/>
              </w:rPr>
              <w:t>邮箱：</w:t>
            </w:r>
            <w:r>
              <w:rPr>
                <w:rFonts w:hint="eastAsia" w:asciiTheme="minorEastAsia" w:hAnsiTheme="minorEastAsia" w:cstheme="minorEastAsia"/>
                <w:szCs w:val="21"/>
              </w:rPr>
              <w:t>415080516@qq.com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98" w:hRule="atLeast"/>
        </w:trPr>
        <w:tc>
          <w:tcPr>
            <w:tcW w:w="351" w:type="dxa"/>
            <w:vAlign w:val="center"/>
          </w:tcPr>
          <w:p>
            <w:pPr>
              <w:jc w:val="center"/>
              <w:rPr>
                <w:rFonts w:ascii="宋体"/>
                <w:szCs w:val="21"/>
              </w:rPr>
            </w:pPr>
            <w:r>
              <w:rPr>
                <w:rFonts w:ascii="宋体" w:hAnsi="宋体"/>
                <w:szCs w:val="21"/>
              </w:rPr>
              <w:t>4</w:t>
            </w:r>
          </w:p>
        </w:tc>
        <w:tc>
          <w:tcPr>
            <w:tcW w:w="918" w:type="dxa"/>
            <w:vAlign w:val="center"/>
          </w:tcPr>
          <w:p>
            <w:pPr>
              <w:spacing w:line="360" w:lineRule="auto"/>
              <w:rPr>
                <w:rFonts w:ascii="宋体"/>
                <w:szCs w:val="21"/>
              </w:rPr>
            </w:pPr>
            <w:r>
              <w:rPr>
                <w:rFonts w:hint="eastAsia" w:ascii="宋体" w:hAnsi="宋体"/>
                <w:szCs w:val="21"/>
              </w:rPr>
              <w:t>联合体形式</w:t>
            </w:r>
          </w:p>
        </w:tc>
        <w:tc>
          <w:tcPr>
            <w:tcW w:w="7525" w:type="dxa"/>
            <w:vAlign w:val="center"/>
          </w:tcPr>
          <w:p>
            <w:pPr>
              <w:spacing w:line="360" w:lineRule="auto"/>
              <w:jc w:val="left"/>
              <w:rPr>
                <w:rFonts w:ascii="宋体"/>
                <w:szCs w:val="21"/>
              </w:rPr>
            </w:pPr>
            <w:r>
              <w:rPr>
                <w:rFonts w:hint="eastAsia" w:ascii="宋体" w:hAnsi="宋体"/>
                <w:szCs w:val="21"/>
              </w:rPr>
              <w:t>不接受联合体磋商。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98" w:hRule="atLeast"/>
        </w:trPr>
        <w:tc>
          <w:tcPr>
            <w:tcW w:w="351" w:type="dxa"/>
            <w:vAlign w:val="center"/>
          </w:tcPr>
          <w:p>
            <w:pPr>
              <w:jc w:val="center"/>
              <w:rPr>
                <w:rFonts w:ascii="宋体"/>
                <w:szCs w:val="21"/>
              </w:rPr>
            </w:pPr>
            <w:r>
              <w:rPr>
                <w:rFonts w:ascii="宋体" w:hAnsi="宋体"/>
                <w:szCs w:val="21"/>
              </w:rPr>
              <w:t>5</w:t>
            </w:r>
          </w:p>
        </w:tc>
        <w:tc>
          <w:tcPr>
            <w:tcW w:w="918" w:type="dxa"/>
            <w:vAlign w:val="center"/>
          </w:tcPr>
          <w:p>
            <w:pPr>
              <w:spacing w:line="360" w:lineRule="auto"/>
              <w:rPr>
                <w:rFonts w:ascii="宋体"/>
                <w:szCs w:val="21"/>
              </w:rPr>
            </w:pPr>
            <w:r>
              <w:rPr>
                <w:rFonts w:hint="eastAsia" w:ascii="宋体" w:hAnsi="宋体"/>
                <w:szCs w:val="21"/>
              </w:rPr>
              <w:t>备选</w:t>
            </w:r>
          </w:p>
          <w:p>
            <w:pPr>
              <w:spacing w:line="360" w:lineRule="auto"/>
              <w:rPr>
                <w:rFonts w:ascii="宋体"/>
                <w:szCs w:val="21"/>
              </w:rPr>
            </w:pPr>
            <w:r>
              <w:rPr>
                <w:rFonts w:hint="eastAsia" w:ascii="宋体" w:hAnsi="宋体"/>
                <w:szCs w:val="21"/>
              </w:rPr>
              <w:t>方案</w:t>
            </w:r>
          </w:p>
        </w:tc>
        <w:tc>
          <w:tcPr>
            <w:tcW w:w="7525" w:type="dxa"/>
            <w:vAlign w:val="center"/>
          </w:tcPr>
          <w:p>
            <w:pPr>
              <w:spacing w:line="360" w:lineRule="auto"/>
              <w:jc w:val="left"/>
              <w:rPr>
                <w:rFonts w:ascii="宋体"/>
                <w:szCs w:val="21"/>
              </w:rPr>
            </w:pPr>
            <w:r>
              <w:rPr>
                <w:rFonts w:hint="eastAsia" w:ascii="宋体" w:hAnsi="宋体"/>
                <w:szCs w:val="21"/>
              </w:rPr>
              <w:t>不允许提供。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340" w:hRule="atLeast"/>
        </w:trPr>
        <w:tc>
          <w:tcPr>
            <w:tcW w:w="351" w:type="dxa"/>
            <w:vAlign w:val="center"/>
          </w:tcPr>
          <w:p>
            <w:pPr>
              <w:jc w:val="center"/>
              <w:rPr>
                <w:rFonts w:ascii="宋体"/>
                <w:szCs w:val="21"/>
              </w:rPr>
            </w:pPr>
            <w:r>
              <w:rPr>
                <w:rFonts w:ascii="宋体" w:hAnsi="宋体"/>
                <w:szCs w:val="21"/>
              </w:rPr>
              <w:t>6</w:t>
            </w:r>
          </w:p>
        </w:tc>
        <w:tc>
          <w:tcPr>
            <w:tcW w:w="918" w:type="dxa"/>
            <w:vAlign w:val="center"/>
          </w:tcPr>
          <w:p>
            <w:pPr>
              <w:spacing w:line="360" w:lineRule="auto"/>
              <w:rPr>
                <w:rFonts w:ascii="宋体"/>
                <w:szCs w:val="21"/>
              </w:rPr>
            </w:pPr>
            <w:r>
              <w:rPr>
                <w:rFonts w:hint="eastAsia" w:ascii="宋体" w:hAnsi="宋体"/>
                <w:szCs w:val="21"/>
              </w:rPr>
              <w:t>标段</w:t>
            </w:r>
          </w:p>
        </w:tc>
        <w:tc>
          <w:tcPr>
            <w:tcW w:w="7525" w:type="dxa"/>
            <w:vAlign w:val="center"/>
          </w:tcPr>
          <w:p>
            <w:pPr>
              <w:spacing w:line="360" w:lineRule="auto"/>
              <w:jc w:val="left"/>
              <w:rPr>
                <w:rFonts w:ascii="宋体"/>
                <w:szCs w:val="21"/>
              </w:rPr>
            </w:pPr>
            <w:r>
              <w:rPr>
                <w:rFonts w:hint="eastAsia" w:ascii="宋体" w:hAnsi="宋体" w:cs="宋体"/>
                <w:szCs w:val="21"/>
              </w:rPr>
              <w:t>本次采购采用整体打包方式，供应商可根据自身的资质情况和经营范围对本项目进行磋商，不得将其自行分解或只对本次项目中的品目进行不完全磋商，任何不完全的磋商将按无效磋商处理。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98" w:hRule="atLeast"/>
        </w:trPr>
        <w:tc>
          <w:tcPr>
            <w:tcW w:w="351" w:type="dxa"/>
            <w:vAlign w:val="center"/>
          </w:tcPr>
          <w:p>
            <w:pPr>
              <w:jc w:val="center"/>
              <w:rPr>
                <w:rFonts w:ascii="宋体"/>
                <w:szCs w:val="21"/>
              </w:rPr>
            </w:pPr>
            <w:r>
              <w:rPr>
                <w:rFonts w:ascii="宋体" w:hAnsi="宋体"/>
                <w:szCs w:val="21"/>
              </w:rPr>
              <w:t>7</w:t>
            </w:r>
          </w:p>
        </w:tc>
        <w:tc>
          <w:tcPr>
            <w:tcW w:w="918" w:type="dxa"/>
            <w:vAlign w:val="center"/>
          </w:tcPr>
          <w:p>
            <w:pPr>
              <w:spacing w:line="360" w:lineRule="auto"/>
              <w:rPr>
                <w:rFonts w:ascii="宋体"/>
                <w:szCs w:val="21"/>
              </w:rPr>
            </w:pPr>
            <w:r>
              <w:rPr>
                <w:rFonts w:hint="eastAsia" w:ascii="宋体" w:hAnsi="宋体"/>
                <w:szCs w:val="21"/>
              </w:rPr>
              <w:t>磋商</w:t>
            </w:r>
          </w:p>
          <w:p>
            <w:pPr>
              <w:spacing w:line="360" w:lineRule="auto"/>
              <w:rPr>
                <w:rFonts w:ascii="宋体"/>
                <w:szCs w:val="21"/>
              </w:rPr>
            </w:pPr>
            <w:r>
              <w:rPr>
                <w:rFonts w:hint="eastAsia" w:ascii="宋体" w:hAnsi="宋体"/>
                <w:szCs w:val="21"/>
              </w:rPr>
              <w:t>有效期</w:t>
            </w:r>
          </w:p>
        </w:tc>
        <w:tc>
          <w:tcPr>
            <w:tcW w:w="7525" w:type="dxa"/>
            <w:vAlign w:val="center"/>
          </w:tcPr>
          <w:p>
            <w:pPr>
              <w:spacing w:line="360" w:lineRule="auto"/>
              <w:jc w:val="left"/>
              <w:rPr>
                <w:rFonts w:ascii="宋体"/>
                <w:szCs w:val="21"/>
              </w:rPr>
            </w:pPr>
            <w:r>
              <w:rPr>
                <w:rFonts w:hint="eastAsia" w:ascii="宋体" w:hAnsi="宋体"/>
                <w:szCs w:val="21"/>
              </w:rPr>
              <w:t>磋商响应文件从磋商之日起，磋商有效期为90日历天。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878" w:hRule="atLeast"/>
        </w:trPr>
        <w:tc>
          <w:tcPr>
            <w:tcW w:w="351" w:type="dxa"/>
            <w:vAlign w:val="center"/>
          </w:tcPr>
          <w:p>
            <w:pPr>
              <w:jc w:val="center"/>
              <w:rPr>
                <w:rFonts w:ascii="宋体"/>
                <w:szCs w:val="21"/>
              </w:rPr>
            </w:pPr>
            <w:r>
              <w:rPr>
                <w:rFonts w:ascii="宋体" w:hAnsi="宋体"/>
                <w:szCs w:val="21"/>
              </w:rPr>
              <w:t>8</w:t>
            </w:r>
          </w:p>
        </w:tc>
        <w:tc>
          <w:tcPr>
            <w:tcW w:w="918" w:type="dxa"/>
            <w:vAlign w:val="center"/>
          </w:tcPr>
          <w:p>
            <w:pPr>
              <w:jc w:val="center"/>
              <w:rPr>
                <w:rFonts w:ascii="宋体"/>
                <w:szCs w:val="21"/>
              </w:rPr>
            </w:pPr>
            <w:r>
              <w:rPr>
                <w:rFonts w:hint="eastAsia" w:ascii="宋体" w:hAnsi="宋体"/>
                <w:szCs w:val="21"/>
              </w:rPr>
              <w:t>资格</w:t>
            </w:r>
          </w:p>
          <w:p>
            <w:pPr>
              <w:jc w:val="center"/>
              <w:rPr>
                <w:rFonts w:ascii="宋体"/>
                <w:szCs w:val="21"/>
              </w:rPr>
            </w:pPr>
            <w:r>
              <w:rPr>
                <w:rFonts w:hint="eastAsia" w:ascii="宋体" w:hAnsi="宋体"/>
                <w:szCs w:val="21"/>
              </w:rPr>
              <w:t>要求</w:t>
            </w:r>
          </w:p>
        </w:tc>
        <w:tc>
          <w:tcPr>
            <w:tcW w:w="7525" w:type="dxa"/>
          </w:tcPr>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1）基本资格条件：符合《中华人民共和国政府采购法》第二十二条规定；（2）特定资格条件：1、具有独立承担民事责任能力的法人、其他组织或自然人：法人参与的提供营业执照或法人证书；其他组织参与的提供合法证明文件；自然人参与的提供其身份证明；</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2、财务状况报告:提供2017年或2018年的财务审计报告或供应商开户银行近三个月内出具的银行资信证明及基本存款账户开户许可证；</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3、税收缴纳证明:提供2018年1月以来至少一个月的纳税证明或完税证明，依法免税的单位应提供相关证明材料；</w:t>
            </w:r>
          </w:p>
          <w:p>
            <w:pPr>
              <w:spacing w:line="360" w:lineRule="auto"/>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4、社会保障资金缴纳证明:提供2018年1月以来至少一个月的社会保障资金缴存单据或社保机构开具的社会保险参保缴费情况证明，依法不需要缴纳社会保障资金的单位应提供相关证明材料；</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5、参加政府采购活动前3年内在经营活动中没有重大违法记录的书面声明；</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6、法定代表人授权委托书（法定代表人参加投标时,只需提供法定代表人身份证）；</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7、投标保证金缴纳凭证（加盖供应商公章）；</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 xml:space="preserve">8、本项目不接受联合体磋商。  </w:t>
            </w:r>
          </w:p>
          <w:p>
            <w:pPr>
              <w:spacing w:line="360" w:lineRule="auto"/>
              <w:ind w:firstLine="420" w:firstLineChars="200"/>
              <w:jc w:val="left"/>
              <w:rPr>
                <w:rFonts w:ascii="宋体"/>
                <w:color w:val="000000" w:themeColor="text1"/>
                <w:szCs w:val="21"/>
              </w:rPr>
            </w:pPr>
            <w:r>
              <w:rPr>
                <w:rFonts w:hint="eastAsia" w:asciiTheme="minorEastAsia" w:hAnsiTheme="minorEastAsia" w:cstheme="minorEastAsia"/>
                <w:color w:val="000000" w:themeColor="text1"/>
                <w:szCs w:val="21"/>
              </w:rPr>
              <w:t xml:space="preserve"> 以上均为必备资格要求。</w:t>
            </w:r>
            <w:r>
              <w:rPr>
                <w:rFonts w:hint="eastAsia" w:asciiTheme="minorEastAsia" w:hAnsiTheme="minorEastAsia" w:cstheme="minorEastAsia"/>
                <w:b/>
                <w:bCs/>
                <w:color w:val="000000" w:themeColor="text1"/>
                <w:szCs w:val="21"/>
              </w:rPr>
              <w:t>投标文件的正本和全部副本必须附上述基本资格和特定资格证明文件（竞争性磋商文件中对资格要求已有格式模板的，必须按照竞争性磋商文件要求的格式模板提供，其他情况由供应商自行提供；其中正本中的特定资格条件</w:t>
            </w:r>
            <w:r>
              <w:rPr>
                <w:rFonts w:hint="eastAsia" w:asciiTheme="minorEastAsia" w:hAnsiTheme="minorEastAsia" w:cstheme="minorEastAsia"/>
                <w:b/>
                <w:bCs/>
                <w:color w:val="000000" w:themeColor="text1"/>
                <w:szCs w:val="21"/>
                <w:lang w:val="en-US" w:eastAsia="zh-CN"/>
              </w:rPr>
              <w:t>6</w:t>
            </w:r>
            <w:r>
              <w:rPr>
                <w:rFonts w:hint="eastAsia" w:asciiTheme="minorEastAsia" w:hAnsiTheme="minorEastAsia" w:cstheme="minorEastAsia"/>
                <w:b/>
                <w:bCs/>
                <w:color w:val="000000" w:themeColor="text1"/>
                <w:szCs w:val="21"/>
              </w:rPr>
              <w:t>为原件）。缺少其中一项或某项达不到竞争性磋商文件要求，其投标文件按无效文件处理。（开标现场携带相关原件及供应商代表身份证备查）。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60" w:hRule="atLeast"/>
        </w:trPr>
        <w:tc>
          <w:tcPr>
            <w:tcW w:w="351" w:type="dxa"/>
            <w:vAlign w:val="center"/>
          </w:tcPr>
          <w:p>
            <w:pPr>
              <w:jc w:val="center"/>
              <w:rPr>
                <w:rFonts w:ascii="宋体"/>
                <w:szCs w:val="21"/>
              </w:rPr>
            </w:pPr>
            <w:r>
              <w:rPr>
                <w:rFonts w:ascii="宋体" w:hAnsi="宋体"/>
                <w:szCs w:val="21"/>
              </w:rPr>
              <w:t>9</w:t>
            </w:r>
          </w:p>
        </w:tc>
        <w:tc>
          <w:tcPr>
            <w:tcW w:w="918" w:type="dxa"/>
            <w:vAlign w:val="center"/>
          </w:tcPr>
          <w:p>
            <w:pPr>
              <w:jc w:val="center"/>
              <w:rPr>
                <w:rFonts w:ascii="宋体"/>
                <w:color w:val="000000"/>
                <w:szCs w:val="21"/>
              </w:rPr>
            </w:pPr>
            <w:r>
              <w:rPr>
                <w:rFonts w:hint="eastAsia" w:ascii="宋体" w:hAnsi="宋体"/>
                <w:color w:val="000000"/>
                <w:szCs w:val="21"/>
              </w:rPr>
              <w:t>磋商</w:t>
            </w:r>
          </w:p>
          <w:p>
            <w:pPr>
              <w:jc w:val="center"/>
              <w:rPr>
                <w:rFonts w:ascii="宋体"/>
                <w:szCs w:val="21"/>
              </w:rPr>
            </w:pPr>
            <w:r>
              <w:rPr>
                <w:rFonts w:hint="eastAsia" w:ascii="宋体" w:hAnsi="宋体"/>
                <w:color w:val="000000"/>
                <w:szCs w:val="21"/>
              </w:rPr>
              <w:t>保证金</w:t>
            </w:r>
          </w:p>
        </w:tc>
        <w:tc>
          <w:tcPr>
            <w:tcW w:w="7525" w:type="dxa"/>
          </w:tcPr>
          <w:p>
            <w:pPr>
              <w:spacing w:line="500" w:lineRule="exact"/>
              <w:jc w:val="left"/>
              <w:rPr>
                <w:rFonts w:ascii="宋体" w:hAnsi="宋体"/>
                <w:b/>
                <w:bCs/>
                <w:color w:val="000000"/>
                <w:szCs w:val="21"/>
              </w:rPr>
            </w:pPr>
            <w:r>
              <w:rPr>
                <w:rFonts w:hint="eastAsia" w:ascii="宋体" w:hAnsi="宋体"/>
                <w:color w:val="000000"/>
                <w:szCs w:val="21"/>
              </w:rPr>
              <w:t>本项目磋商保证金</w:t>
            </w:r>
            <w:r>
              <w:rPr>
                <w:rFonts w:hint="eastAsia" w:ascii="宋体" w:hAnsi="宋体"/>
                <w:b/>
                <w:bCs/>
                <w:color w:val="000000"/>
                <w:szCs w:val="21"/>
              </w:rPr>
              <w:t xml:space="preserve">：  </w:t>
            </w:r>
          </w:p>
          <w:p>
            <w:pPr>
              <w:pStyle w:val="8"/>
              <w:ind w:firstLine="2108" w:firstLineChars="1000"/>
              <w:rPr>
                <w:rFonts w:ascii="宋体" w:hAnsi="宋体"/>
                <w:bCs/>
                <w:color w:val="000000"/>
                <w:sz w:val="21"/>
                <w:szCs w:val="21"/>
              </w:rPr>
            </w:pPr>
            <w:r>
              <w:rPr>
                <w:rFonts w:hint="eastAsia" w:ascii="宋体" w:hAnsi="宋体"/>
                <w:bCs/>
                <w:color w:val="000000"/>
                <w:sz w:val="21"/>
                <w:szCs w:val="21"/>
              </w:rPr>
              <w:t xml:space="preserve">人民币叁仟叁佰元整（¥3300元） </w:t>
            </w:r>
          </w:p>
          <w:p>
            <w:pPr>
              <w:spacing w:line="360" w:lineRule="auto"/>
              <w:ind w:firstLine="422" w:firstLineChars="200"/>
              <w:jc w:val="left"/>
              <w:rPr>
                <w:rFonts w:ascii="宋体" w:cs="宋体"/>
                <w:szCs w:val="21"/>
              </w:rPr>
            </w:pPr>
            <w:r>
              <w:rPr>
                <w:rFonts w:hint="eastAsia" w:ascii="宋体" w:hAnsi="宋体" w:cs="宋体"/>
                <w:b/>
                <w:bCs/>
                <w:szCs w:val="21"/>
              </w:rPr>
              <w:t>磋商保证金应当以转账、支票、汇票、本票或者金额机构、担保机构出具的保函等非现金形式提交，磋商</w:t>
            </w:r>
            <w:r>
              <w:rPr>
                <w:rFonts w:hint="eastAsia" w:ascii="宋体" w:hAnsi="宋体" w:cs="宋体"/>
                <w:szCs w:val="21"/>
              </w:rPr>
              <w:t>保证金交纳截止时间为</w:t>
            </w:r>
            <w:r>
              <w:rPr>
                <w:rFonts w:hint="eastAsia" w:ascii="宋体" w:hAnsi="宋体" w:cs="宋体"/>
                <w:b/>
                <w:bCs/>
                <w:szCs w:val="21"/>
              </w:rPr>
              <w:t>磋商前</w:t>
            </w:r>
            <w:r>
              <w:rPr>
                <w:rFonts w:hint="eastAsia" w:ascii="宋体" w:hAnsi="宋体" w:cs="宋体"/>
                <w:szCs w:val="21"/>
              </w:rPr>
              <w:t>（以到账时间为准），且应在</w:t>
            </w:r>
            <w:r>
              <w:rPr>
                <w:rFonts w:hint="eastAsia" w:ascii="宋体" w:hAnsi="宋体" w:cs="宋体"/>
                <w:b/>
                <w:bCs/>
                <w:szCs w:val="21"/>
              </w:rPr>
              <w:t>开标前致电</w:t>
            </w:r>
            <w:r>
              <w:rPr>
                <w:rFonts w:hint="eastAsia" w:ascii="宋体" w:hAnsi="宋体" w:cs="宋体"/>
                <w:szCs w:val="21"/>
              </w:rPr>
              <w:t>代理机构财务部门确认保证金到账情况（注：投标保证金须以供应商名称汇款）。</w:t>
            </w:r>
          </w:p>
          <w:p>
            <w:pPr>
              <w:spacing w:line="500" w:lineRule="exact"/>
              <w:jc w:val="left"/>
              <w:rPr>
                <w:rFonts w:ascii="宋体" w:cs="宋体"/>
                <w:b/>
                <w:bCs/>
                <w:szCs w:val="21"/>
              </w:rPr>
            </w:pPr>
            <w:r>
              <w:rPr>
                <w:rFonts w:hint="eastAsia" w:ascii="宋体" w:hAnsi="宋体" w:cs="宋体"/>
                <w:b/>
                <w:bCs/>
                <w:szCs w:val="21"/>
              </w:rPr>
              <w:t>户名：陕西卓佲招标有限公司</w:t>
            </w:r>
          </w:p>
          <w:p>
            <w:pPr>
              <w:spacing w:line="500" w:lineRule="exact"/>
              <w:jc w:val="left"/>
              <w:rPr>
                <w:rFonts w:ascii="宋体" w:hAnsi="宋体" w:cs="宋体"/>
                <w:b/>
                <w:bCs/>
                <w:szCs w:val="21"/>
              </w:rPr>
            </w:pPr>
            <w:r>
              <w:rPr>
                <w:rFonts w:hint="eastAsia" w:ascii="宋体" w:hAnsi="宋体" w:cs="宋体"/>
                <w:b/>
                <w:bCs/>
                <w:szCs w:val="21"/>
              </w:rPr>
              <w:t>开户行名称：中国银行西安边家村支行</w:t>
            </w:r>
          </w:p>
          <w:p>
            <w:pPr>
              <w:spacing w:line="500" w:lineRule="exact"/>
              <w:jc w:val="left"/>
              <w:rPr>
                <w:rFonts w:ascii="宋体" w:hAnsi="宋体" w:cs="宋体"/>
                <w:b/>
                <w:bCs/>
                <w:szCs w:val="21"/>
              </w:rPr>
            </w:pPr>
            <w:r>
              <w:rPr>
                <w:rFonts w:hint="eastAsia" w:ascii="宋体" w:hAnsi="宋体" w:cs="宋体"/>
                <w:b/>
                <w:bCs/>
                <w:szCs w:val="21"/>
              </w:rPr>
              <w:t>账号：102471483792</w:t>
            </w:r>
          </w:p>
          <w:p>
            <w:pPr>
              <w:spacing w:line="500" w:lineRule="exact"/>
              <w:jc w:val="left"/>
              <w:rPr>
                <w:rFonts w:ascii="宋体" w:cs="宋体"/>
                <w:b/>
                <w:bCs/>
                <w:szCs w:val="21"/>
              </w:rPr>
            </w:pPr>
            <w:r>
              <w:rPr>
                <w:rFonts w:hint="eastAsia" w:ascii="宋体" w:hAnsi="宋体" w:cs="宋体"/>
                <w:b/>
                <w:bCs/>
                <w:szCs w:val="21"/>
              </w:rPr>
              <w:t>咨询电话：029-88440695找财务曹老师</w:t>
            </w:r>
          </w:p>
          <w:p>
            <w:pPr>
              <w:spacing w:line="500" w:lineRule="exact"/>
              <w:jc w:val="left"/>
              <w:rPr>
                <w:rFonts w:ascii="宋体" w:cs="宋体"/>
                <w:b/>
                <w:bCs/>
                <w:szCs w:val="21"/>
                <w:u w:val="single"/>
              </w:rPr>
            </w:pPr>
            <w:r>
              <w:rPr>
                <w:rFonts w:hint="eastAsia" w:asciiTheme="minorEastAsia" w:hAnsiTheme="minorEastAsia" w:cstheme="minorEastAsia"/>
                <w:b/>
                <w:bCs/>
                <w:color w:val="000000" w:themeColor="text1"/>
                <w:szCs w:val="21"/>
              </w:rPr>
              <w:t>转账事由：西北大学-</w:t>
            </w:r>
            <w:r>
              <w:rPr>
                <w:rFonts w:hint="eastAsia" w:asciiTheme="minorEastAsia" w:hAnsiTheme="minorEastAsia" w:cstheme="minorEastAsia"/>
                <w:b/>
                <w:bCs/>
                <w:color w:val="000000" w:themeColor="text1"/>
                <w:szCs w:val="21"/>
                <w:lang w:val="en-US" w:eastAsia="zh-CN"/>
              </w:rPr>
              <w:t>21</w:t>
            </w:r>
            <w:r>
              <w:rPr>
                <w:rFonts w:hint="eastAsia" w:asciiTheme="minorEastAsia" w:hAnsiTheme="minorEastAsia" w:cstheme="minorEastAsia"/>
                <w:b/>
                <w:bCs/>
                <w:color w:val="000000" w:themeColor="text1"/>
                <w:szCs w:val="21"/>
              </w:rPr>
              <w:t>采购项目投标保证金</w:t>
            </w:r>
            <w:r>
              <w:rPr>
                <w:rFonts w:hint="eastAsia" w:ascii="宋体" w:hAnsi="宋体" w:cs="宋体"/>
                <w:b/>
                <w:bCs/>
                <w:color w:val="000000" w:themeColor="text1"/>
                <w:szCs w:val="21"/>
              </w:rPr>
              <w:t xml:space="preserve">（转账时请按要求标明）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042" w:hRule="atLeast"/>
        </w:trPr>
        <w:tc>
          <w:tcPr>
            <w:tcW w:w="351" w:type="dxa"/>
            <w:vAlign w:val="center"/>
          </w:tcPr>
          <w:p>
            <w:pPr>
              <w:jc w:val="center"/>
              <w:rPr>
                <w:rFonts w:ascii="宋体"/>
                <w:szCs w:val="21"/>
              </w:rPr>
            </w:pPr>
            <w:r>
              <w:rPr>
                <w:rFonts w:ascii="宋体" w:hAnsi="宋体"/>
                <w:szCs w:val="21"/>
              </w:rPr>
              <w:t>10</w:t>
            </w:r>
          </w:p>
        </w:tc>
        <w:tc>
          <w:tcPr>
            <w:tcW w:w="918" w:type="dxa"/>
            <w:vAlign w:val="center"/>
          </w:tcPr>
          <w:p>
            <w:pPr>
              <w:jc w:val="center"/>
              <w:rPr>
                <w:rFonts w:ascii="宋体"/>
                <w:szCs w:val="21"/>
              </w:rPr>
            </w:pPr>
            <w:r>
              <w:rPr>
                <w:rFonts w:hint="eastAsia" w:ascii="宋体" w:hAnsi="宋体"/>
                <w:szCs w:val="21"/>
              </w:rPr>
              <w:t>磋商响应</w:t>
            </w:r>
          </w:p>
          <w:p>
            <w:pPr>
              <w:jc w:val="center"/>
              <w:rPr>
                <w:rFonts w:ascii="宋体"/>
                <w:szCs w:val="21"/>
              </w:rPr>
            </w:pPr>
            <w:r>
              <w:rPr>
                <w:rFonts w:hint="eastAsia" w:ascii="宋体" w:hAnsi="宋体"/>
                <w:szCs w:val="21"/>
              </w:rPr>
              <w:t>文件</w:t>
            </w:r>
          </w:p>
        </w:tc>
        <w:tc>
          <w:tcPr>
            <w:tcW w:w="7525" w:type="dxa"/>
            <w:vAlign w:val="center"/>
          </w:tcPr>
          <w:p>
            <w:pPr>
              <w:spacing w:line="360" w:lineRule="auto"/>
              <w:jc w:val="left"/>
              <w:rPr>
                <w:rFonts w:ascii="宋体"/>
                <w:szCs w:val="21"/>
              </w:rPr>
            </w:pPr>
            <w:r>
              <w:rPr>
                <w:rFonts w:hint="eastAsia" w:ascii="宋体" w:hAnsi="宋体" w:cs="宋体"/>
                <w:szCs w:val="21"/>
              </w:rPr>
              <w:t>磋商响应文件</w:t>
            </w:r>
            <w:r>
              <w:rPr>
                <w:rFonts w:hint="eastAsia" w:ascii="宋体" w:hAnsi="宋体" w:cs="宋体"/>
                <w:b/>
                <w:bCs/>
                <w:szCs w:val="21"/>
              </w:rPr>
              <w:t>正本壹份、副本肆份</w:t>
            </w:r>
            <w:r>
              <w:rPr>
                <w:rFonts w:hint="eastAsia" w:ascii="宋体" w:hAnsi="宋体" w:cs="宋体"/>
                <w:szCs w:val="21"/>
              </w:rPr>
              <w:t>，分别胶装装订成册，且封面须清楚地标明“正本”或“副本”；若正本和副本不符，以正本书面文件为准；</w:t>
            </w:r>
            <w:r>
              <w:rPr>
                <w:rFonts w:hint="eastAsia" w:ascii="宋体" w:hAnsi="宋体"/>
                <w:szCs w:val="21"/>
              </w:rPr>
              <w:t>同时提供与正本内容一致的电子版（</w:t>
            </w:r>
            <w:r>
              <w:rPr>
                <w:rFonts w:ascii="宋体" w:hAnsi="宋体"/>
                <w:szCs w:val="21"/>
              </w:rPr>
              <w:t>U</w:t>
            </w:r>
            <w:r>
              <w:rPr>
                <w:rFonts w:hint="eastAsia" w:ascii="宋体" w:hAnsi="宋体"/>
                <w:szCs w:val="21"/>
              </w:rPr>
              <w:t>盘、</w:t>
            </w:r>
            <w:r>
              <w:rPr>
                <w:rFonts w:hint="eastAsia" w:asciiTheme="minorEastAsia" w:hAnsiTheme="minorEastAsia" w:cstheme="minorEastAsia"/>
                <w:b/>
                <w:bCs/>
                <w:szCs w:val="21"/>
              </w:rPr>
              <w:t>电子文档应为PDF与WORD格式各一份</w:t>
            </w:r>
            <w:r>
              <w:rPr>
                <w:rFonts w:hint="eastAsia" w:ascii="宋体" w:hAnsi="宋体"/>
                <w:szCs w:val="21"/>
              </w:rPr>
              <w:t>）、磋商一览表壹份</w:t>
            </w:r>
            <w:r>
              <w:rPr>
                <w:rFonts w:hint="eastAsia" w:ascii="宋体" w:hAnsi="宋体" w:cs="宋体"/>
                <w:b/>
                <w:bCs/>
                <w:szCs w:val="21"/>
              </w:rPr>
              <w:t>（</w:t>
            </w:r>
            <w:r>
              <w:rPr>
                <w:rFonts w:hint="eastAsia" w:ascii="宋体" w:hAnsi="宋体" w:cs="宋体"/>
                <w:szCs w:val="21"/>
              </w:rPr>
              <w:t>用于磋商唱标单独提交的“磋商一览表”应为原件）。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452" w:hRule="atLeast"/>
        </w:trPr>
        <w:tc>
          <w:tcPr>
            <w:tcW w:w="351" w:type="dxa"/>
            <w:vAlign w:val="center"/>
          </w:tcPr>
          <w:p>
            <w:pPr>
              <w:jc w:val="center"/>
              <w:rPr>
                <w:rFonts w:ascii="宋体"/>
                <w:szCs w:val="21"/>
              </w:rPr>
            </w:pPr>
            <w:r>
              <w:rPr>
                <w:rFonts w:ascii="宋体" w:hAnsi="宋体"/>
                <w:szCs w:val="21"/>
              </w:rPr>
              <w:t>11</w:t>
            </w:r>
          </w:p>
        </w:tc>
        <w:tc>
          <w:tcPr>
            <w:tcW w:w="918" w:type="dxa"/>
            <w:vAlign w:val="center"/>
          </w:tcPr>
          <w:p>
            <w:pPr>
              <w:jc w:val="center"/>
              <w:rPr>
                <w:rFonts w:ascii="宋体"/>
                <w:szCs w:val="21"/>
              </w:rPr>
            </w:pPr>
            <w:r>
              <w:rPr>
                <w:rFonts w:hint="eastAsia" w:ascii="宋体" w:hAnsi="宋体"/>
                <w:szCs w:val="21"/>
              </w:rPr>
              <w:t>包装密封</w:t>
            </w:r>
          </w:p>
        </w:tc>
        <w:tc>
          <w:tcPr>
            <w:tcW w:w="7525" w:type="dxa"/>
            <w:vAlign w:val="center"/>
          </w:tcPr>
          <w:p>
            <w:pPr>
              <w:spacing w:line="360" w:lineRule="auto"/>
              <w:ind w:firstLine="420" w:firstLineChars="200"/>
              <w:jc w:val="left"/>
              <w:rPr>
                <w:rFonts w:asciiTheme="minorEastAsia" w:hAnsiTheme="minorEastAsia" w:cstheme="minorEastAsia"/>
                <w:kern w:val="0"/>
                <w:szCs w:val="21"/>
              </w:rPr>
            </w:pPr>
            <w:r>
              <w:rPr>
                <w:rFonts w:hint="eastAsia" w:ascii="宋体" w:hAnsi="宋体"/>
                <w:szCs w:val="21"/>
              </w:rPr>
              <w:t>磋商响应文件正本、所有的副本、电子版、磋商一览表需分开密封装在单独的封袋中（封袋不得有破损），且在封袋正面标明“正本”“副本”“电子版”“磋商一览表”字样。</w:t>
            </w:r>
            <w:r>
              <w:rPr>
                <w:rFonts w:hint="eastAsia" w:asciiTheme="minorEastAsia" w:hAnsiTheme="minorEastAsia" w:cstheme="minorEastAsia"/>
                <w:color w:val="FF0000"/>
                <w:szCs w:val="21"/>
              </w:rPr>
              <w:t>封袋应在封口处加盖供应商鲜章</w:t>
            </w:r>
            <w:r>
              <w:rPr>
                <w:rFonts w:hint="eastAsia" w:asciiTheme="minorEastAsia" w:hAnsiTheme="minorEastAsia" w:cstheme="minorEastAsia"/>
                <w:color w:val="000000" w:themeColor="text1"/>
                <w:szCs w:val="21"/>
              </w:rPr>
              <w:t>，封袋正面要粘贴供应商全称、项目名称、编号、包号等标识</w:t>
            </w:r>
            <w:r>
              <w:rPr>
                <w:rFonts w:hint="eastAsia" w:asciiTheme="minorEastAsia" w:hAnsiTheme="minorEastAsia" w:cstheme="minorEastAsia"/>
                <w:szCs w:val="21"/>
              </w:rPr>
              <w:t>，且</w:t>
            </w:r>
            <w:r>
              <w:rPr>
                <w:rFonts w:hint="eastAsia" w:asciiTheme="minorEastAsia" w:hAnsiTheme="minorEastAsia" w:cstheme="minorEastAsia"/>
                <w:kern w:val="0"/>
                <w:szCs w:val="21"/>
              </w:rPr>
              <w:t>投标文件袋上应加盖供应商公章（</w:t>
            </w:r>
            <w:r>
              <w:rPr>
                <w:rFonts w:hint="eastAsia" w:asciiTheme="minorEastAsia" w:hAnsiTheme="minorEastAsia" w:cstheme="minorEastAsia"/>
                <w:szCs w:val="21"/>
              </w:rPr>
              <w:t>封面标识见竞争性磋商文件</w:t>
            </w:r>
            <w:r>
              <w:rPr>
                <w:rFonts w:hint="eastAsia" w:asciiTheme="minorEastAsia" w:hAnsiTheme="minorEastAsia" w:cstheme="minorEastAsia"/>
                <w:b/>
                <w:bCs/>
                <w:szCs w:val="21"/>
              </w:rPr>
              <w:t>附件一</w:t>
            </w:r>
            <w:r>
              <w:rPr>
                <w:rFonts w:hint="eastAsia" w:asciiTheme="minorEastAsia" w:hAnsiTheme="minorEastAsia" w:cstheme="minorEastAsia"/>
                <w:szCs w:val="21"/>
              </w:rPr>
              <w:t>）</w:t>
            </w:r>
            <w:r>
              <w:rPr>
                <w:rFonts w:hint="eastAsia" w:asciiTheme="minorEastAsia" w:hAnsiTheme="minorEastAsia" w:cstheme="minorEastAsia"/>
                <w:kern w:val="0"/>
                <w:szCs w:val="21"/>
              </w:rPr>
              <w:t>如果未按上述规定进行密封，供应商的投标文件有权被拒绝</w:t>
            </w:r>
            <w:r>
              <w:rPr>
                <w:rFonts w:hint="eastAsia" w:asciiTheme="minorEastAsia" w:hAnsiTheme="minorEastAsia" w:cstheme="minorEastAsia"/>
                <w:szCs w:val="21"/>
              </w:rPr>
              <w:t>。</w:t>
            </w:r>
          </w:p>
          <w:p>
            <w:pPr>
              <w:spacing w:line="360" w:lineRule="auto"/>
              <w:ind w:firstLine="422" w:firstLineChars="200"/>
              <w:jc w:val="left"/>
              <w:rPr>
                <w:rFonts w:ascii="宋体"/>
                <w:szCs w:val="21"/>
              </w:rPr>
            </w:pPr>
            <w:r>
              <w:rPr>
                <w:rFonts w:hint="eastAsia" w:asciiTheme="minorEastAsia" w:hAnsiTheme="minorEastAsia" w:cstheme="minorEastAsia"/>
                <w:b/>
                <w:bCs/>
                <w:szCs w:val="21"/>
              </w:rPr>
              <w:t>如果供应商未按上述要求密封及加写标记，误投或过早启封的投标文件，将自行承担其投标文件被视为无效投标文件的风险。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925" w:hRule="atLeast"/>
        </w:trPr>
        <w:tc>
          <w:tcPr>
            <w:tcW w:w="351" w:type="dxa"/>
            <w:vAlign w:val="center"/>
          </w:tcPr>
          <w:p>
            <w:pPr>
              <w:jc w:val="center"/>
              <w:rPr>
                <w:rFonts w:ascii="宋体"/>
                <w:szCs w:val="21"/>
              </w:rPr>
            </w:pPr>
            <w:r>
              <w:rPr>
                <w:rFonts w:ascii="宋体" w:hAnsi="宋体"/>
                <w:szCs w:val="21"/>
              </w:rPr>
              <w:t>12</w:t>
            </w:r>
          </w:p>
        </w:tc>
        <w:tc>
          <w:tcPr>
            <w:tcW w:w="918" w:type="dxa"/>
            <w:vAlign w:val="center"/>
          </w:tcPr>
          <w:p>
            <w:pPr>
              <w:jc w:val="center"/>
              <w:rPr>
                <w:rFonts w:ascii="宋体"/>
                <w:szCs w:val="21"/>
              </w:rPr>
            </w:pPr>
            <w:r>
              <w:rPr>
                <w:rFonts w:hint="eastAsia" w:ascii="宋体" w:hAnsi="宋体"/>
                <w:szCs w:val="21"/>
              </w:rPr>
              <w:t>现场勘踏</w:t>
            </w:r>
          </w:p>
        </w:tc>
        <w:tc>
          <w:tcPr>
            <w:tcW w:w="7525" w:type="dxa"/>
            <w:vAlign w:val="center"/>
          </w:tcPr>
          <w:p>
            <w:pPr>
              <w:spacing w:line="360" w:lineRule="auto"/>
              <w:ind w:firstLine="840" w:firstLineChars="400"/>
              <w:jc w:val="left"/>
              <w:rPr>
                <w:rFonts w:hint="eastAsia" w:ascii="宋体" w:eastAsia="宋体" w:cs="宋体"/>
                <w:szCs w:val="21"/>
                <w:lang w:eastAsia="zh-CN"/>
              </w:rPr>
            </w:pPr>
            <w:r>
              <w:rPr>
                <w:rFonts w:hint="eastAsia" w:ascii="宋体" w:cs="宋体"/>
                <w:szCs w:val="21"/>
                <w:lang w:eastAsia="zh-CN"/>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059" w:hRule="atLeast"/>
        </w:trPr>
        <w:tc>
          <w:tcPr>
            <w:tcW w:w="351" w:type="dxa"/>
            <w:vAlign w:val="center"/>
          </w:tcPr>
          <w:p>
            <w:pPr>
              <w:jc w:val="center"/>
              <w:rPr>
                <w:rFonts w:ascii="宋体"/>
                <w:szCs w:val="21"/>
              </w:rPr>
            </w:pPr>
            <w:r>
              <w:rPr>
                <w:rFonts w:ascii="宋体" w:hAnsi="宋体"/>
                <w:szCs w:val="21"/>
              </w:rPr>
              <w:t>13</w:t>
            </w:r>
          </w:p>
        </w:tc>
        <w:tc>
          <w:tcPr>
            <w:tcW w:w="918" w:type="dxa"/>
            <w:vAlign w:val="center"/>
          </w:tcPr>
          <w:p>
            <w:pPr>
              <w:jc w:val="center"/>
              <w:rPr>
                <w:rFonts w:ascii="宋体"/>
                <w:b/>
                <w:bCs/>
                <w:color w:val="000000"/>
                <w:szCs w:val="21"/>
              </w:rPr>
            </w:pPr>
            <w:r>
              <w:rPr>
                <w:rFonts w:hint="eastAsia" w:ascii="宋体" w:hAnsi="宋体"/>
                <w:b/>
                <w:bCs/>
                <w:color w:val="000000"/>
                <w:szCs w:val="21"/>
              </w:rPr>
              <w:t>评审</w:t>
            </w:r>
          </w:p>
          <w:p>
            <w:pPr>
              <w:jc w:val="center"/>
              <w:rPr>
                <w:rFonts w:ascii="宋体"/>
                <w:szCs w:val="21"/>
              </w:rPr>
            </w:pPr>
            <w:r>
              <w:rPr>
                <w:rFonts w:hint="eastAsia" w:ascii="宋体" w:hAnsi="宋体"/>
                <w:b/>
                <w:bCs/>
                <w:color w:val="000000"/>
                <w:szCs w:val="21"/>
              </w:rPr>
              <w:t>办法</w:t>
            </w:r>
          </w:p>
        </w:tc>
        <w:tc>
          <w:tcPr>
            <w:tcW w:w="7525" w:type="dxa"/>
            <w:vAlign w:val="center"/>
          </w:tcPr>
          <w:p>
            <w:pPr>
              <w:ind w:firstLine="420" w:firstLineChars="200"/>
              <w:jc w:val="left"/>
              <w:rPr>
                <w:rFonts w:ascii="宋体"/>
                <w:b/>
                <w:bCs/>
                <w:color w:val="000000"/>
                <w:szCs w:val="21"/>
              </w:rPr>
            </w:pPr>
            <w:r>
              <w:rPr>
                <w:rFonts w:hint="eastAsia" w:ascii="宋体" w:hAnsi="宋体"/>
                <w:szCs w:val="21"/>
              </w:rPr>
              <w:t>磋商多轮报价，综合评分法（详见第四部分）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79" w:hRule="atLeast"/>
        </w:trPr>
        <w:tc>
          <w:tcPr>
            <w:tcW w:w="351" w:type="dxa"/>
            <w:vAlign w:val="center"/>
          </w:tcPr>
          <w:p>
            <w:pPr>
              <w:jc w:val="center"/>
              <w:rPr>
                <w:rFonts w:ascii="宋体"/>
                <w:szCs w:val="21"/>
              </w:rPr>
            </w:pPr>
            <w:r>
              <w:rPr>
                <w:rFonts w:ascii="宋体" w:hAnsi="宋体"/>
                <w:szCs w:val="21"/>
              </w:rPr>
              <w:t>14</w:t>
            </w:r>
          </w:p>
        </w:tc>
        <w:tc>
          <w:tcPr>
            <w:tcW w:w="918" w:type="dxa"/>
            <w:vAlign w:val="center"/>
          </w:tcPr>
          <w:p>
            <w:pPr>
              <w:spacing w:line="520" w:lineRule="exact"/>
              <w:rPr>
                <w:rFonts w:ascii="宋体"/>
                <w:szCs w:val="21"/>
              </w:rPr>
            </w:pPr>
            <w:r>
              <w:rPr>
                <w:rFonts w:hint="eastAsia" w:ascii="宋体" w:hAnsi="宋体"/>
                <w:szCs w:val="21"/>
              </w:rPr>
              <w:t>质疑与投诉</w:t>
            </w:r>
          </w:p>
        </w:tc>
        <w:tc>
          <w:tcPr>
            <w:tcW w:w="7525" w:type="dxa"/>
            <w:vAlign w:val="center"/>
          </w:tcPr>
          <w:p>
            <w:pPr>
              <w:spacing w:line="520" w:lineRule="exact"/>
              <w:ind w:firstLine="420" w:firstLineChars="200"/>
              <w:jc w:val="left"/>
              <w:rPr>
                <w:rFonts w:ascii="宋体"/>
                <w:szCs w:val="21"/>
              </w:rPr>
            </w:pPr>
            <w:r>
              <w:rPr>
                <w:rFonts w:hint="eastAsia" w:ascii="宋体" w:hAnsi="宋体" w:cs="宋体"/>
                <w:szCs w:val="21"/>
              </w:rPr>
              <w:t>质疑、投诉的接收和处理严格按照《中华人共和国政府采购法》、《政府采购质疑和投诉办法》、《财政部关于加强政府采购供应商投诉受理审查工作的通知》、《陕西省财政厅关于进一步规范政府采购活动的通知》（陕财办采资（</w:t>
            </w:r>
            <w:r>
              <w:rPr>
                <w:rFonts w:ascii="宋体" w:hAnsi="宋体" w:cs="宋体"/>
                <w:szCs w:val="21"/>
              </w:rPr>
              <w:t>2014</w:t>
            </w:r>
            <w:r>
              <w:rPr>
                <w:rFonts w:hint="eastAsia" w:ascii="宋体" w:hAnsi="宋体" w:cs="宋体"/>
                <w:szCs w:val="21"/>
              </w:rPr>
              <w:t>）</w:t>
            </w:r>
            <w:r>
              <w:rPr>
                <w:rFonts w:ascii="宋体" w:hAnsi="宋体" w:cs="宋体"/>
                <w:szCs w:val="21"/>
              </w:rPr>
              <w:t>143</w:t>
            </w:r>
            <w:r>
              <w:rPr>
                <w:rFonts w:hint="eastAsia" w:ascii="宋体" w:hAnsi="宋体" w:cs="宋体"/>
                <w:szCs w:val="21"/>
              </w:rPr>
              <w:t>号）等的相关规定办理。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018" w:hRule="atLeast"/>
        </w:trPr>
        <w:tc>
          <w:tcPr>
            <w:tcW w:w="351" w:type="dxa"/>
            <w:vAlign w:val="center"/>
          </w:tcPr>
          <w:p>
            <w:pPr>
              <w:spacing w:line="360" w:lineRule="auto"/>
              <w:jc w:val="center"/>
              <w:rPr>
                <w:rFonts w:ascii="宋体"/>
                <w:color w:val="000000" w:themeColor="text1"/>
                <w:szCs w:val="21"/>
              </w:rPr>
            </w:pPr>
            <w:r>
              <w:rPr>
                <w:rFonts w:hint="eastAsia" w:asciiTheme="minorEastAsia" w:hAnsiTheme="minorEastAsia" w:cstheme="minorEastAsia"/>
                <w:color w:val="000000" w:themeColor="text1"/>
                <w:szCs w:val="21"/>
              </w:rPr>
              <w:t>15</w:t>
            </w:r>
          </w:p>
        </w:tc>
        <w:tc>
          <w:tcPr>
            <w:tcW w:w="918" w:type="dxa"/>
            <w:vAlign w:val="center"/>
          </w:tcPr>
          <w:p>
            <w:pPr>
              <w:spacing w:line="360" w:lineRule="auto"/>
              <w:rPr>
                <w:rFonts w:ascii="宋体"/>
                <w:color w:val="000000" w:themeColor="text1"/>
                <w:szCs w:val="21"/>
              </w:rPr>
            </w:pPr>
            <w:r>
              <w:rPr>
                <w:rFonts w:hint="eastAsia"/>
                <w:color w:val="000000" w:themeColor="text1"/>
                <w:szCs w:val="21"/>
              </w:rPr>
              <w:t>中小企业政策的说明 （监狱企业、残疾人福利性单位视同小微企业）</w:t>
            </w:r>
          </w:p>
        </w:tc>
        <w:tc>
          <w:tcPr>
            <w:tcW w:w="7525" w:type="dxa"/>
            <w:vAlign w:val="center"/>
          </w:tcPr>
          <w:p>
            <w:pPr>
              <w:pStyle w:val="70"/>
              <w:ind w:firstLine="105" w:firstLineChars="50"/>
              <w:rPr>
                <w:color w:val="000000" w:themeColor="text1"/>
                <w:sz w:val="21"/>
                <w:szCs w:val="21"/>
                <w:lang w:val="zh-CN"/>
              </w:rPr>
            </w:pPr>
            <w:r>
              <w:rPr>
                <w:rFonts w:hint="eastAsia"/>
                <w:color w:val="000000" w:themeColor="text1"/>
                <w:sz w:val="21"/>
                <w:szCs w:val="21"/>
                <w:lang w:val="zh-CN"/>
              </w:rPr>
              <w:t>1、根据《政府采购促进中小企业发展暂行办法》（财库[2011]181号）的规定，对小型和微型企业产品的价格给予6%的价格扣除，用扣除后的价格参与评标。</w:t>
            </w:r>
          </w:p>
          <w:p>
            <w:pPr>
              <w:pStyle w:val="70"/>
              <w:ind w:firstLine="105" w:firstLineChars="50"/>
              <w:rPr>
                <w:color w:val="000000" w:themeColor="text1"/>
                <w:sz w:val="21"/>
                <w:szCs w:val="21"/>
                <w:lang w:val="zh-CN"/>
              </w:rPr>
            </w:pPr>
            <w:r>
              <w:rPr>
                <w:rFonts w:hint="eastAsia"/>
                <w:color w:val="000000" w:themeColor="text1"/>
                <w:sz w:val="21"/>
                <w:szCs w:val="21"/>
                <w:lang w:val="zh-CN"/>
              </w:rPr>
              <w:t>2、参加政府采购活动的中小企业（监狱企业）提供《中小企业（监狱企业）声明函》原件，未提供的，视为放弃享受小微企业价格扣除优惠政策。</w:t>
            </w:r>
          </w:p>
          <w:p>
            <w:pPr>
              <w:pStyle w:val="70"/>
              <w:ind w:firstLine="105" w:firstLineChars="50"/>
              <w:rPr>
                <w:color w:val="000000" w:themeColor="text1"/>
                <w:sz w:val="21"/>
                <w:szCs w:val="21"/>
                <w:lang w:val="zh-CN"/>
              </w:rPr>
            </w:pPr>
            <w:r>
              <w:rPr>
                <w:rFonts w:hint="eastAsia"/>
                <w:color w:val="000000" w:themeColor="text1"/>
                <w:sz w:val="21"/>
                <w:szCs w:val="21"/>
                <w:lang w:val="zh-CN"/>
              </w:rPr>
              <w:t xml:space="preserve">3、大中型企业和其他自然人、法人或者其他组织与小型、微型企业组成联合体共同参加非专门面向中小企业的政府采购活动的，联合体投标协议中约定，小型、微型企业的协议合同金额占到联合体投标协议合同总金额30%以上的，可给予联合体2%的价格扣除。 </w:t>
            </w:r>
          </w:p>
          <w:p>
            <w:pPr>
              <w:pStyle w:val="70"/>
              <w:ind w:firstLine="105" w:firstLineChars="50"/>
              <w:rPr>
                <w:color w:val="000000" w:themeColor="text1"/>
                <w:sz w:val="21"/>
                <w:szCs w:val="21"/>
                <w:lang w:val="zh-CN"/>
              </w:rPr>
            </w:pPr>
            <w:r>
              <w:rPr>
                <w:rFonts w:hint="eastAsia"/>
                <w:color w:val="000000" w:themeColor="text1"/>
                <w:sz w:val="21"/>
                <w:szCs w:val="21"/>
                <w:lang w:val="zh-CN"/>
              </w:rPr>
              <w:t>联合体各方均为小型、微型企业的，联合体视同为小型、微型企业享受规定的扶持政策。组成联合体的大中型企业和其他自然人、法人或者其他组织，与小型、微型企业之间不得存在投资关系。</w:t>
            </w:r>
          </w:p>
          <w:p>
            <w:pPr>
              <w:spacing w:line="360" w:lineRule="auto"/>
              <w:jc w:val="left"/>
              <w:rPr>
                <w:rFonts w:ascii="宋体"/>
                <w:color w:val="000000" w:themeColor="text1"/>
                <w:szCs w:val="21"/>
              </w:rPr>
            </w:pPr>
            <w:r>
              <w:rPr>
                <w:rFonts w:hint="eastAsia"/>
                <w:color w:val="000000" w:themeColor="text1"/>
                <w:szCs w:val="21"/>
                <w:lang w:val="zh-CN"/>
              </w:rPr>
              <w:t>4、参加政府采购活动的残疾人福利性单位应当提供《残疾人福利性单位声明函》原件，未提供的，视为放弃享受小微企业价格扣除优惠政策。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326" w:hRule="atLeast"/>
        </w:trPr>
        <w:tc>
          <w:tcPr>
            <w:tcW w:w="351" w:type="dxa"/>
            <w:vAlign w:val="center"/>
          </w:tcPr>
          <w:p>
            <w:pPr>
              <w:jc w:val="center"/>
              <w:rPr>
                <w:rFonts w:ascii="宋体"/>
                <w:szCs w:val="21"/>
              </w:rPr>
            </w:pPr>
            <w:r>
              <w:rPr>
                <w:rFonts w:ascii="宋体" w:hAnsi="宋体"/>
                <w:szCs w:val="21"/>
              </w:rPr>
              <w:t>16</w:t>
            </w:r>
          </w:p>
        </w:tc>
        <w:tc>
          <w:tcPr>
            <w:tcW w:w="918" w:type="dxa"/>
            <w:vAlign w:val="center"/>
          </w:tcPr>
          <w:p>
            <w:pPr>
              <w:spacing w:line="360" w:lineRule="auto"/>
              <w:rPr>
                <w:rFonts w:ascii="宋体"/>
                <w:szCs w:val="21"/>
              </w:rPr>
            </w:pPr>
            <w:r>
              <w:rPr>
                <w:rFonts w:hint="eastAsia" w:ascii="宋体" w:hAnsi="宋体" w:cs="宋体"/>
                <w:szCs w:val="21"/>
              </w:rPr>
              <w:t>是否允许采购进口产品</w:t>
            </w:r>
          </w:p>
        </w:tc>
        <w:tc>
          <w:tcPr>
            <w:tcW w:w="7525" w:type="dxa"/>
            <w:vAlign w:val="center"/>
          </w:tcPr>
          <w:p>
            <w:pPr>
              <w:pStyle w:val="8"/>
            </w:pPr>
            <w:r>
              <w:rPr>
                <w:rFonts w:hint="eastAsia" w:ascii="宋体" w:hAnsi="宋体"/>
                <w:b w:val="0"/>
                <w:sz w:val="21"/>
                <w:szCs w:val="21"/>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388" w:hRule="atLeast"/>
        </w:trPr>
        <w:tc>
          <w:tcPr>
            <w:tcW w:w="351" w:type="dxa"/>
            <w:vAlign w:val="center"/>
          </w:tcPr>
          <w:p>
            <w:pPr>
              <w:spacing w:line="360" w:lineRule="auto"/>
              <w:jc w:val="center"/>
              <w:rPr>
                <w:rFonts w:ascii="宋体"/>
                <w:szCs w:val="21"/>
              </w:rPr>
            </w:pPr>
            <w:r>
              <w:rPr>
                <w:rFonts w:ascii="宋体" w:hAnsi="宋体" w:cs="宋体"/>
                <w:color w:val="000000"/>
                <w:szCs w:val="21"/>
              </w:rPr>
              <w:t>17</w:t>
            </w:r>
          </w:p>
        </w:tc>
        <w:tc>
          <w:tcPr>
            <w:tcW w:w="918" w:type="dxa"/>
            <w:vAlign w:val="center"/>
          </w:tcPr>
          <w:p>
            <w:pPr>
              <w:spacing w:line="360" w:lineRule="auto"/>
              <w:rPr>
                <w:rFonts w:ascii="宋体" w:cs="宋体"/>
                <w:szCs w:val="21"/>
              </w:rPr>
            </w:pPr>
            <w:r>
              <w:rPr>
                <w:rFonts w:hint="eastAsia" w:ascii="宋体" w:hAnsi="宋体" w:cs="宋体"/>
                <w:color w:val="000000"/>
                <w:szCs w:val="21"/>
              </w:rPr>
              <w:t>供应商信用查询</w:t>
            </w:r>
          </w:p>
        </w:tc>
        <w:tc>
          <w:tcPr>
            <w:tcW w:w="7525" w:type="dxa"/>
            <w:vAlign w:val="center"/>
          </w:tcPr>
          <w:p>
            <w:pPr>
              <w:spacing w:line="360" w:lineRule="auto"/>
              <w:ind w:firstLine="420" w:firstLineChars="200"/>
              <w:jc w:val="left"/>
            </w:pPr>
            <w:r>
              <w:rPr>
                <w:rFonts w:hint="eastAsia" w:ascii="宋体" w:hAnsi="宋体" w:cs="宋体"/>
                <w:color w:val="000000"/>
                <w:szCs w:val="21"/>
              </w:rPr>
              <w:t>供应商应在以下渠道查询在投标截止日前未被列入失信被执行人、重大税收违法案件当事人名单、政府采购严重违法失信行为记录名单（处罚期限届满的除外）（以信用中国网（</w:t>
            </w:r>
            <w:r>
              <w:rPr>
                <w:rFonts w:ascii="宋体" w:hAnsi="宋体" w:cs="宋体"/>
                <w:color w:val="000000"/>
                <w:szCs w:val="21"/>
              </w:rPr>
              <w:t>www.creditchina.gov.cn</w:t>
            </w:r>
            <w:r>
              <w:rPr>
                <w:rFonts w:hint="eastAsia" w:ascii="宋体" w:hAnsi="宋体" w:cs="宋体"/>
                <w:color w:val="000000"/>
                <w:szCs w:val="21"/>
              </w:rPr>
              <w:t>）、中国政府采购网（</w:t>
            </w:r>
            <w:r>
              <w:rPr>
                <w:rFonts w:ascii="宋体" w:hAnsi="宋体" w:cs="宋体"/>
                <w:color w:val="000000"/>
                <w:szCs w:val="21"/>
              </w:rPr>
              <w:t>www.ccgp.gov.cn</w:t>
            </w:r>
            <w:r>
              <w:rPr>
                <w:rFonts w:hint="eastAsia" w:ascii="宋体" w:hAnsi="宋体" w:cs="宋体"/>
                <w:color w:val="000000"/>
                <w:szCs w:val="21"/>
              </w:rPr>
              <w:t>）查询结果为准、如相关失信记录已失效，供应商需提供相关证明资料），并在投标文件中提供查询结果的网站截图。</w:t>
            </w:r>
            <w:r>
              <w:rPr>
                <w:rFonts w:hint="eastAsia" w:ascii="宋体" w:hAnsi="宋体" w:cs="宋体"/>
                <w:color w:val="000000" w:themeColor="text1"/>
                <w:szCs w:val="21"/>
              </w:rPr>
              <w:t>（</w:t>
            </w:r>
            <w:r>
              <w:rPr>
                <w:rFonts w:hint="eastAsia" w:ascii="宋体" w:hAnsi="宋体" w:cs="宋体"/>
                <w:color w:val="FF0000"/>
                <w:szCs w:val="21"/>
              </w:rPr>
              <w:t>查询日期为从竞争性磋商文件发售之日起至投标截止日前</w:t>
            </w:r>
            <w:r>
              <w:rPr>
                <w:rFonts w:hint="eastAsia" w:ascii="宋体" w:hAnsi="宋体" w:cs="宋体"/>
                <w:color w:val="000000" w:themeColor="text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683" w:hRule="atLeast"/>
        </w:trPr>
        <w:tc>
          <w:tcPr>
            <w:tcW w:w="351" w:type="dxa"/>
            <w:vAlign w:val="center"/>
          </w:tcPr>
          <w:p>
            <w:pPr>
              <w:spacing w:line="360" w:lineRule="auto"/>
              <w:jc w:val="center"/>
              <w:rPr>
                <w:rFonts w:ascii="宋体" w:cs="宋体"/>
                <w:color w:val="000000"/>
                <w:szCs w:val="21"/>
              </w:rPr>
            </w:pPr>
            <w:r>
              <w:rPr>
                <w:rFonts w:ascii="宋体" w:hAnsi="宋体" w:cs="宋体"/>
              </w:rPr>
              <w:t>18</w:t>
            </w:r>
          </w:p>
        </w:tc>
        <w:tc>
          <w:tcPr>
            <w:tcW w:w="918" w:type="dxa"/>
            <w:vAlign w:val="center"/>
          </w:tcPr>
          <w:p>
            <w:pPr>
              <w:spacing w:line="360" w:lineRule="auto"/>
              <w:rPr>
                <w:rFonts w:ascii="宋体" w:cs="宋体"/>
                <w:color w:val="000000"/>
                <w:szCs w:val="21"/>
              </w:rPr>
            </w:pPr>
            <w:r>
              <w:rPr>
                <w:rFonts w:hint="eastAsia" w:ascii="宋体" w:hAnsi="宋体" w:cs="宋体"/>
              </w:rPr>
              <w:t>其他</w:t>
            </w:r>
          </w:p>
        </w:tc>
        <w:tc>
          <w:tcPr>
            <w:tcW w:w="7525" w:type="dxa"/>
            <w:vAlign w:val="center"/>
          </w:tcPr>
          <w:p>
            <w:pPr>
              <w:spacing w:line="360" w:lineRule="auto"/>
              <w:jc w:val="left"/>
              <w:rPr>
                <w:rFonts w:ascii="宋体" w:hAnsi="宋体"/>
                <w:szCs w:val="21"/>
              </w:rPr>
            </w:pPr>
            <w:r>
              <w:rPr>
                <w:rFonts w:hint="eastAsia" w:ascii="宋体" w:hAnsi="宋体"/>
                <w:szCs w:val="21"/>
              </w:rPr>
              <w:t>如供应商有中小企业声明、残疾人福利性单位声明、监狱企业证明文件、节能产品、环境产品等须在目录中体现，如因目录中未体现所产生政策性优惠未进行享受的由供应商自己承担责任。</w:t>
            </w:r>
          </w:p>
          <w:p>
            <w:pPr>
              <w:spacing w:line="360" w:lineRule="auto"/>
              <w:jc w:val="left"/>
              <w:rPr>
                <w:rFonts w:ascii="宋体" w:cs="宋体"/>
                <w:color w:val="000000"/>
                <w:szCs w:val="21"/>
              </w:rPr>
            </w:pPr>
            <w:r>
              <w:rPr>
                <w:rFonts w:hint="eastAsia" w:ascii="宋体" w:hAnsi="宋体"/>
                <w:color w:val="000000" w:themeColor="text1"/>
                <w:szCs w:val="21"/>
              </w:rPr>
              <w:t>凡是需要法定代表人签字或盖章之处，非法人单位的负责人均参照执行。</w:t>
            </w:r>
          </w:p>
        </w:tc>
      </w:tr>
    </w:tbl>
    <w:p>
      <w:pPr>
        <w:ind w:firstLine="240" w:firstLineChars="100"/>
        <w:rPr>
          <w:sz w:val="24"/>
          <w:szCs w:val="24"/>
        </w:rPr>
      </w:pPr>
    </w:p>
    <w:p>
      <w:pPr>
        <w:pStyle w:val="4"/>
        <w:keepLines w:val="0"/>
        <w:ind w:firstLine="883" w:firstLineChars="200"/>
        <w:sectPr>
          <w:footerReference r:id="rId8" w:type="default"/>
          <w:pgSz w:w="11906" w:h="16838"/>
          <w:pgMar w:top="1440" w:right="1706" w:bottom="1440" w:left="1800" w:header="851" w:footer="992" w:gutter="0"/>
          <w:cols w:space="720" w:num="1"/>
          <w:docGrid w:type="lines" w:linePitch="312" w:charSpace="0"/>
        </w:sectPr>
      </w:pPr>
    </w:p>
    <w:p>
      <w:pPr>
        <w:pStyle w:val="4"/>
        <w:keepLines w:val="0"/>
        <w:ind w:firstLine="883" w:firstLineChars="200"/>
      </w:pPr>
      <w:bookmarkStart w:id="6" w:name="_Toc16693"/>
      <w:bookmarkStart w:id="7" w:name="_Toc19272"/>
      <w:bookmarkStart w:id="8" w:name="_Toc5533"/>
      <w:r>
        <w:rPr>
          <w:rFonts w:hint="eastAsia"/>
        </w:rPr>
        <w:t>第三部分供应商须知</w:t>
      </w:r>
      <w:bookmarkEnd w:id="6"/>
      <w:bookmarkEnd w:id="7"/>
      <w:bookmarkEnd w:id="8"/>
    </w:p>
    <w:p>
      <w:pPr>
        <w:widowControl/>
        <w:numPr>
          <w:ilvl w:val="0"/>
          <w:numId w:val="3"/>
        </w:numPr>
        <w:spacing w:line="360" w:lineRule="auto"/>
        <w:ind w:firstLine="643" w:firstLineChars="200"/>
        <w:jc w:val="center"/>
        <w:outlineLvl w:val="1"/>
        <w:rPr>
          <w:rFonts w:ascii="宋体" w:cs="宋体"/>
          <w:b/>
          <w:bCs/>
          <w:kern w:val="0"/>
          <w:sz w:val="32"/>
          <w:szCs w:val="28"/>
        </w:rPr>
      </w:pPr>
      <w:bookmarkStart w:id="9" w:name="_Toc26739"/>
      <w:bookmarkStart w:id="10" w:name="_Toc10239"/>
      <w:bookmarkStart w:id="11" w:name="_Toc22533"/>
      <w:r>
        <w:rPr>
          <w:rFonts w:hint="eastAsia" w:ascii="宋体" w:hAnsi="宋体" w:cs="宋体"/>
          <w:b/>
          <w:bCs/>
          <w:kern w:val="0"/>
          <w:sz w:val="32"/>
          <w:szCs w:val="28"/>
        </w:rPr>
        <w:t>总则</w:t>
      </w:r>
      <w:bookmarkEnd w:id="9"/>
      <w:bookmarkEnd w:id="10"/>
      <w:bookmarkEnd w:id="11"/>
    </w:p>
    <w:p>
      <w:pPr>
        <w:pStyle w:val="7"/>
        <w:numPr>
          <w:ilvl w:val="0"/>
          <w:numId w:val="4"/>
        </w:numPr>
        <w:ind w:firstLine="643" w:firstLineChars="200"/>
      </w:pPr>
      <w:bookmarkStart w:id="12" w:name="_Toc358364319"/>
      <w:bookmarkStart w:id="13" w:name="_Toc380336725"/>
      <w:bookmarkStart w:id="14" w:name="_Toc6742"/>
      <w:bookmarkStart w:id="15" w:name="_Toc9257"/>
      <w:r>
        <w:rPr>
          <w:rFonts w:hint="eastAsia"/>
        </w:rPr>
        <w:t>适用范围</w:t>
      </w:r>
      <w:bookmarkEnd w:id="12"/>
      <w:bookmarkEnd w:id="13"/>
      <w:bookmarkEnd w:id="14"/>
      <w:bookmarkEnd w:id="15"/>
    </w:p>
    <w:p>
      <w:pPr>
        <w:widowControl/>
        <w:spacing w:line="360" w:lineRule="auto"/>
        <w:ind w:left="7" w:hanging="7"/>
        <w:rPr>
          <w:rFonts w:ascii="宋体" w:cs="宋体"/>
          <w:kern w:val="0"/>
          <w:sz w:val="24"/>
        </w:rPr>
      </w:pPr>
      <w:r>
        <w:rPr>
          <w:rFonts w:ascii="宋体" w:hAnsi="宋体" w:cs="宋体"/>
          <w:kern w:val="0"/>
          <w:sz w:val="24"/>
        </w:rPr>
        <w:t xml:space="preserve">   1.1</w:t>
      </w:r>
      <w:r>
        <w:rPr>
          <w:rFonts w:hint="eastAsia" w:ascii="宋体" w:hAnsi="宋体" w:cs="宋体"/>
          <w:kern w:val="0"/>
          <w:sz w:val="24"/>
        </w:rPr>
        <w:t>本竞争性磋商文件仅适用于本竞争性磋商公告中所叙述项目的采购。</w:t>
      </w:r>
    </w:p>
    <w:p>
      <w:pPr>
        <w:widowControl/>
        <w:spacing w:line="360" w:lineRule="auto"/>
        <w:ind w:left="7" w:hanging="7"/>
        <w:rPr>
          <w:rFonts w:ascii="宋体" w:cs="宋体"/>
          <w:kern w:val="0"/>
          <w:sz w:val="24"/>
        </w:rPr>
      </w:pPr>
      <w:r>
        <w:rPr>
          <w:rFonts w:ascii="宋体" w:hAnsi="宋体" w:cs="宋体"/>
          <w:kern w:val="0"/>
          <w:sz w:val="24"/>
        </w:rPr>
        <w:t xml:space="preserve">   1.2</w:t>
      </w:r>
      <w:r>
        <w:rPr>
          <w:rFonts w:hint="eastAsia" w:ascii="宋体" w:hAnsi="宋体" w:cs="宋体"/>
          <w:kern w:val="0"/>
          <w:sz w:val="24"/>
        </w:rPr>
        <w:t>本次采购属政府采购，采购人，采购代理机构、供应商、磋商小组的相关行为均受《中华人民共和国政府采购法》、财政部规章及政府采购项目所在地有关法规、规章的约束，其权利受到上述法律法规的保护。</w:t>
      </w:r>
    </w:p>
    <w:p>
      <w:pPr>
        <w:pStyle w:val="7"/>
        <w:numPr>
          <w:ilvl w:val="0"/>
          <w:numId w:val="4"/>
        </w:numPr>
        <w:ind w:firstLine="643" w:firstLineChars="200"/>
      </w:pPr>
      <w:bookmarkStart w:id="16" w:name="_Toc380336726"/>
      <w:bookmarkStart w:id="17" w:name="_Toc358364320"/>
      <w:bookmarkStart w:id="18" w:name="_Toc11287"/>
      <w:bookmarkStart w:id="19" w:name="_Toc7922"/>
      <w:r>
        <w:rPr>
          <w:rFonts w:hint="eastAsia"/>
        </w:rPr>
        <w:t>定义</w:t>
      </w:r>
      <w:bookmarkEnd w:id="16"/>
      <w:bookmarkEnd w:id="17"/>
      <w:bookmarkEnd w:id="18"/>
      <w:bookmarkEnd w:id="19"/>
    </w:p>
    <w:p>
      <w:pPr>
        <w:widowControl/>
        <w:spacing w:line="360" w:lineRule="auto"/>
        <w:ind w:left="7" w:hanging="7"/>
        <w:rPr>
          <w:rFonts w:ascii="宋体" w:cs="宋体"/>
          <w:kern w:val="0"/>
          <w:sz w:val="24"/>
        </w:rPr>
      </w:pPr>
      <w:r>
        <w:rPr>
          <w:rFonts w:ascii="宋体" w:hAnsi="宋体" w:cs="宋体"/>
          <w:kern w:val="0"/>
          <w:sz w:val="24"/>
        </w:rPr>
        <w:t xml:space="preserve">    2.1</w:t>
      </w:r>
      <w:r>
        <w:rPr>
          <w:rFonts w:hint="eastAsia" w:ascii="宋体" w:hAnsi="宋体" w:cs="宋体"/>
          <w:kern w:val="0"/>
          <w:sz w:val="24"/>
        </w:rPr>
        <w:t>“采购人”是指依法进行政府采购的国家机关、事业单位、团体组织。本次政府采购的采购人名称、地址、电话见供应商须知前附表。</w:t>
      </w:r>
    </w:p>
    <w:p>
      <w:pPr>
        <w:widowControl/>
        <w:spacing w:line="360" w:lineRule="auto"/>
        <w:ind w:left="7" w:hanging="7"/>
        <w:rPr>
          <w:rFonts w:ascii="宋体" w:cs="宋体"/>
          <w:kern w:val="0"/>
          <w:sz w:val="24"/>
        </w:rPr>
      </w:pPr>
      <w:r>
        <w:rPr>
          <w:rFonts w:ascii="宋体" w:hAnsi="宋体" w:cs="宋体"/>
          <w:kern w:val="0"/>
          <w:sz w:val="24"/>
        </w:rPr>
        <w:t xml:space="preserve">    2.2</w:t>
      </w:r>
      <w:r>
        <w:rPr>
          <w:rFonts w:hint="eastAsia" w:ascii="宋体" w:hAnsi="宋体" w:cs="宋体"/>
          <w:kern w:val="0"/>
          <w:sz w:val="24"/>
        </w:rPr>
        <w:t>“采购代理机构”指接受采购人委托，代理采购项目的集中采购机构和其他采购代理机构。本次采购代理机构名称、地址、电话见供应商须知前附表。</w:t>
      </w:r>
    </w:p>
    <w:p>
      <w:pPr>
        <w:widowControl/>
        <w:spacing w:line="360" w:lineRule="auto"/>
        <w:ind w:left="7" w:hanging="7"/>
        <w:rPr>
          <w:rFonts w:ascii="宋体" w:cs="宋体"/>
          <w:kern w:val="0"/>
          <w:sz w:val="24"/>
        </w:rPr>
      </w:pPr>
      <w:r>
        <w:rPr>
          <w:rFonts w:ascii="宋体" w:hAnsi="宋体" w:cs="宋体"/>
          <w:kern w:val="0"/>
          <w:sz w:val="24"/>
        </w:rPr>
        <w:t xml:space="preserve">    2.3</w:t>
      </w:r>
      <w:r>
        <w:rPr>
          <w:rFonts w:hint="eastAsia" w:ascii="宋体" w:hAnsi="宋体" w:cs="宋体"/>
          <w:kern w:val="0"/>
          <w:sz w:val="24"/>
        </w:rPr>
        <w:t>“供应商”系指购买了竞争性磋商文件拟参加磋商和向采购人提供货物及相应服务的法人、其他组织或者自然人。</w:t>
      </w:r>
    </w:p>
    <w:p>
      <w:pPr>
        <w:widowControl/>
        <w:spacing w:line="360" w:lineRule="auto"/>
        <w:ind w:left="7" w:hanging="7"/>
        <w:rPr>
          <w:rFonts w:ascii="宋体" w:cs="宋体"/>
          <w:kern w:val="0"/>
          <w:sz w:val="24"/>
        </w:rPr>
      </w:pPr>
      <w:r>
        <w:rPr>
          <w:rFonts w:ascii="宋体" w:hAnsi="宋体" w:cs="宋体"/>
          <w:kern w:val="0"/>
          <w:sz w:val="24"/>
        </w:rPr>
        <w:t xml:space="preserve">    2.4</w:t>
      </w:r>
      <w:r>
        <w:rPr>
          <w:rFonts w:hint="eastAsia" w:ascii="宋体" w:hAnsi="宋体" w:cs="宋体"/>
          <w:kern w:val="0"/>
          <w:sz w:val="24"/>
        </w:rPr>
        <w:t>“磋商小组”是指依据财政部《政府采购竞争性磋商采购方式管理办法》有关规定组建，依法依规旅行其职责和义务的机构。</w:t>
      </w:r>
    </w:p>
    <w:p>
      <w:pPr>
        <w:pStyle w:val="7"/>
        <w:numPr>
          <w:ilvl w:val="0"/>
          <w:numId w:val="4"/>
        </w:numPr>
        <w:ind w:firstLine="643" w:firstLineChars="200"/>
      </w:pPr>
      <w:bookmarkStart w:id="20" w:name="_Toc380336727"/>
      <w:bookmarkStart w:id="21" w:name="_Toc358364321"/>
      <w:bookmarkStart w:id="22" w:name="_Toc23781"/>
      <w:bookmarkStart w:id="23" w:name="_Toc17676"/>
      <w:r>
        <w:rPr>
          <w:rFonts w:hint="eastAsia"/>
        </w:rPr>
        <w:t>合格的</w:t>
      </w:r>
      <w:bookmarkEnd w:id="20"/>
      <w:bookmarkEnd w:id="21"/>
      <w:bookmarkEnd w:id="22"/>
      <w:bookmarkEnd w:id="23"/>
      <w:r>
        <w:rPr>
          <w:rFonts w:hint="eastAsia"/>
        </w:rPr>
        <w:t>供应商</w:t>
      </w:r>
    </w:p>
    <w:p>
      <w:pPr>
        <w:widowControl/>
        <w:spacing w:line="360" w:lineRule="auto"/>
        <w:ind w:left="7" w:hanging="7"/>
        <w:rPr>
          <w:rFonts w:ascii="宋体" w:cs="宋体"/>
          <w:kern w:val="0"/>
          <w:sz w:val="24"/>
        </w:rPr>
      </w:pPr>
      <w:r>
        <w:rPr>
          <w:rFonts w:ascii="宋体" w:hAnsi="宋体" w:cs="宋体"/>
          <w:kern w:val="0"/>
          <w:sz w:val="24"/>
        </w:rPr>
        <w:t xml:space="preserve">    3.1</w:t>
      </w:r>
      <w:r>
        <w:rPr>
          <w:rFonts w:hint="eastAsia" w:ascii="宋体" w:hAnsi="宋体" w:cs="宋体"/>
          <w:kern w:val="0"/>
          <w:sz w:val="24"/>
        </w:rPr>
        <w:t>具备《政府采购法》第二十二条规定的条件且符合竞争性磋商公告公布的供应商资格要求且有能力提供所采购货物及服务的供应商。</w:t>
      </w:r>
    </w:p>
    <w:p>
      <w:pPr>
        <w:widowControl/>
        <w:spacing w:line="360" w:lineRule="auto"/>
        <w:ind w:left="407" w:hanging="407"/>
        <w:rPr>
          <w:rFonts w:ascii="宋体" w:cs="宋体"/>
          <w:kern w:val="0"/>
          <w:sz w:val="24"/>
        </w:rPr>
      </w:pPr>
      <w:r>
        <w:rPr>
          <w:rFonts w:ascii="宋体" w:hAnsi="宋体" w:cs="宋体"/>
          <w:kern w:val="0"/>
          <w:sz w:val="24"/>
        </w:rPr>
        <w:t xml:space="preserve">    3.2</w:t>
      </w:r>
      <w:r>
        <w:rPr>
          <w:rFonts w:hint="eastAsia" w:ascii="宋体" w:hAnsi="宋体" w:cs="宋体"/>
          <w:kern w:val="0"/>
          <w:sz w:val="24"/>
        </w:rPr>
        <w:t>供应商应当符合磋商须知前附表中规定的资格条件要求。</w:t>
      </w:r>
    </w:p>
    <w:p>
      <w:pPr>
        <w:widowControl/>
        <w:spacing w:line="360" w:lineRule="auto"/>
        <w:ind w:left="7" w:hanging="7"/>
        <w:rPr>
          <w:rFonts w:ascii="宋体" w:cs="宋体"/>
          <w:kern w:val="0"/>
          <w:sz w:val="24"/>
        </w:rPr>
      </w:pPr>
      <w:r>
        <w:rPr>
          <w:rFonts w:ascii="宋体" w:hAnsi="宋体" w:cs="宋体"/>
          <w:kern w:val="0"/>
          <w:sz w:val="24"/>
        </w:rPr>
        <w:t xml:space="preserve">    3.3</w:t>
      </w:r>
      <w:r>
        <w:rPr>
          <w:rFonts w:hint="eastAsia" w:ascii="宋体" w:hAnsi="宋体" w:cs="宋体"/>
          <w:kern w:val="0"/>
          <w:sz w:val="24"/>
        </w:rPr>
        <w:t>供应商必须在竞争性磋商公告载明的地点购买竞争性磋商文件并登记备案，未经购买竞争性磋商文件并登记备案的潜在供应商均无资格参加本次磋商。</w:t>
      </w:r>
    </w:p>
    <w:p>
      <w:pPr>
        <w:widowControl/>
        <w:spacing w:line="360" w:lineRule="auto"/>
      </w:pPr>
      <w:r>
        <w:rPr>
          <w:rFonts w:ascii="宋体" w:hAnsi="宋体" w:cs="宋体"/>
          <w:kern w:val="0"/>
          <w:sz w:val="24"/>
        </w:rPr>
        <w:t xml:space="preserve">    3.4</w:t>
      </w:r>
      <w:r>
        <w:rPr>
          <w:rFonts w:hint="eastAsia" w:ascii="宋体" w:hAnsi="宋体" w:cs="宋体"/>
          <w:kern w:val="0"/>
          <w:sz w:val="24"/>
        </w:rPr>
        <w:t>供应商应参照《中华人民共和国政府采购法》及其它有关的中国法律和法规</w:t>
      </w:r>
      <w:r>
        <w:rPr>
          <w:rFonts w:hint="eastAsia"/>
        </w:rPr>
        <w:t>。</w:t>
      </w:r>
    </w:p>
    <w:p>
      <w:pPr>
        <w:widowControl/>
        <w:spacing w:line="360" w:lineRule="auto"/>
        <w:rPr>
          <w:rFonts w:ascii="宋体" w:cs="宋体"/>
          <w:color w:val="000000" w:themeColor="text1"/>
          <w:kern w:val="0"/>
          <w:sz w:val="24"/>
        </w:rPr>
      </w:pPr>
      <w:r>
        <w:rPr>
          <w:rFonts w:ascii="宋体" w:hAnsi="宋体" w:cs="宋体"/>
          <w:kern w:val="0"/>
          <w:sz w:val="24"/>
        </w:rPr>
        <w:t xml:space="preserve">    3.5</w:t>
      </w:r>
      <w:r>
        <w:rPr>
          <w:rFonts w:hint="eastAsia" w:asciiTheme="minorEastAsia" w:hAnsiTheme="minorEastAsia" w:cstheme="minorEastAsia"/>
          <w:color w:val="000000" w:themeColor="text1"/>
          <w:kern w:val="0"/>
          <w:sz w:val="24"/>
          <w:szCs w:val="24"/>
        </w:rPr>
        <w:t>供应商存在下列情形之一，其投标文件按无效文件处理。</w:t>
      </w:r>
    </w:p>
    <w:p>
      <w:pPr>
        <w:widowControl/>
        <w:numPr>
          <w:ilvl w:val="0"/>
          <w:numId w:val="5"/>
        </w:numPr>
        <w:spacing w:line="360" w:lineRule="auto"/>
        <w:ind w:firstLine="420" w:firstLineChars="175"/>
        <w:rPr>
          <w:rFonts w:ascii="宋体" w:cs="宋体"/>
          <w:kern w:val="0"/>
          <w:sz w:val="24"/>
        </w:rPr>
      </w:pPr>
      <w:r>
        <w:rPr>
          <w:rFonts w:hint="eastAsia" w:ascii="宋体" w:hAnsi="宋体" w:cs="宋体"/>
          <w:kern w:val="0"/>
          <w:sz w:val="24"/>
        </w:rPr>
        <w:t>与采购人采购代理机构存在隶属关系或者其他利害关系。</w:t>
      </w:r>
    </w:p>
    <w:p>
      <w:pPr>
        <w:widowControl/>
        <w:numPr>
          <w:ilvl w:val="0"/>
          <w:numId w:val="5"/>
        </w:numPr>
        <w:spacing w:line="360" w:lineRule="auto"/>
        <w:ind w:firstLine="420" w:firstLineChars="175"/>
        <w:rPr>
          <w:rFonts w:ascii="宋体" w:cs="宋体"/>
          <w:kern w:val="0"/>
          <w:sz w:val="24"/>
        </w:rPr>
      </w:pPr>
      <w:r>
        <w:rPr>
          <w:rFonts w:hint="eastAsia" w:ascii="宋体" w:hAnsi="宋体" w:cs="宋体"/>
          <w:kern w:val="0"/>
          <w:sz w:val="24"/>
        </w:rPr>
        <w:t>与参与同一合同项下的其他供应商的法定代表人（或者负责人）为同一人，或者与其他供应商存在直接控股、管理关系；</w:t>
      </w:r>
    </w:p>
    <w:p>
      <w:pPr>
        <w:widowControl/>
        <w:spacing w:line="360" w:lineRule="auto"/>
        <w:ind w:firstLine="480" w:firstLineChars="200"/>
        <w:rPr>
          <w:rFonts w:ascii="宋体" w:cs="宋体"/>
          <w:kern w:val="0"/>
          <w:sz w:val="24"/>
        </w:rPr>
      </w:pPr>
      <w:r>
        <w:rPr>
          <w:rFonts w:hint="eastAsia" w:ascii="宋体" w:hAnsi="宋体" w:cs="宋体"/>
          <w:kern w:val="0"/>
          <w:sz w:val="24"/>
        </w:rPr>
        <w:t>（3）</w:t>
      </w:r>
      <w:r>
        <w:rPr>
          <w:rFonts w:hint="eastAsia" w:asciiTheme="minorEastAsia" w:hAnsiTheme="minorEastAsia" w:cstheme="minorEastAsia"/>
          <w:kern w:val="0"/>
          <w:sz w:val="24"/>
          <w:szCs w:val="24"/>
        </w:rPr>
        <w:t>受到刑事处罚，或者受到三万元以上罚款，责令停产停业、在一年至三年内禁止参加政府采购活动、暂扣或吊销许可证、暂扣或吊销执照等情形之一的行政处罚，或者存</w:t>
      </w:r>
      <w:r>
        <w:rPr>
          <w:rFonts w:hint="eastAsia" w:asciiTheme="minorEastAsia" w:hAnsiTheme="minorEastAsia" w:cstheme="minorEastAsia"/>
          <w:color w:val="000000" w:themeColor="text1"/>
          <w:kern w:val="0"/>
          <w:sz w:val="24"/>
          <w:szCs w:val="24"/>
        </w:rPr>
        <w:t>在行政主管部门认定的其他重</w:t>
      </w:r>
      <w:r>
        <w:rPr>
          <w:rFonts w:hint="eastAsia" w:asciiTheme="minorEastAsia" w:hAnsiTheme="minorEastAsia" w:cstheme="minorEastAsia"/>
          <w:kern w:val="0"/>
          <w:sz w:val="24"/>
          <w:szCs w:val="24"/>
        </w:rPr>
        <w:t>大违法记录。</w:t>
      </w:r>
    </w:p>
    <w:p>
      <w:pPr>
        <w:widowControl/>
        <w:spacing w:line="360" w:lineRule="auto"/>
        <w:ind w:firstLine="480" w:firstLineChars="200"/>
        <w:rPr>
          <w:rFonts w:ascii="宋体" w:cs="宋体"/>
          <w:kern w:val="0"/>
          <w:sz w:val="24"/>
        </w:rPr>
      </w:pPr>
      <w:r>
        <w:rPr>
          <w:rFonts w:hint="eastAsia" w:ascii="宋体" w:hAnsi="宋体" w:cs="宋体"/>
          <w:kern w:val="0"/>
          <w:sz w:val="24"/>
        </w:rPr>
        <w:t>（4）在投标截止日前被列入失信被执行人、重大税收违法案件当事人名单、政府采购严重违法失信行为记录名单（处罚期限届满的除外）（以信用中国网（www.creditchina.gov.cn）、中国政府采购网（www.ccgp.gov.cn）查询结果为准。</w:t>
      </w:r>
    </w:p>
    <w:p>
      <w:pPr>
        <w:pStyle w:val="7"/>
        <w:numPr>
          <w:ilvl w:val="0"/>
          <w:numId w:val="4"/>
        </w:numPr>
        <w:ind w:firstLine="643" w:firstLineChars="200"/>
      </w:pPr>
      <w:r>
        <w:rPr>
          <w:rFonts w:hint="eastAsia"/>
        </w:rPr>
        <w:t>授权委托</w:t>
      </w:r>
    </w:p>
    <w:p>
      <w:pPr>
        <w:widowControl/>
        <w:spacing w:line="360" w:lineRule="auto"/>
        <w:ind w:firstLine="240" w:firstLineChars="100"/>
        <w:rPr>
          <w:rFonts w:ascii="宋体" w:cs="宋体"/>
          <w:kern w:val="0"/>
          <w:sz w:val="24"/>
        </w:rPr>
      </w:pPr>
      <w:r>
        <w:rPr>
          <w:rFonts w:hint="eastAsia" w:ascii="宋体" w:hAnsi="宋体" w:cs="宋体"/>
          <w:kern w:val="0"/>
          <w:sz w:val="24"/>
        </w:rPr>
        <w:t>如供应商代表不是法定代表人，须提供《法定代表人授权委托书》 (按竞争性磋商文件提供的格式填写)，未按相关要求提供的其投标文件按无效文件处理。</w:t>
      </w:r>
    </w:p>
    <w:p>
      <w:pPr>
        <w:pStyle w:val="7"/>
        <w:numPr>
          <w:ilvl w:val="0"/>
          <w:numId w:val="4"/>
        </w:numPr>
        <w:ind w:firstLine="643" w:firstLineChars="200"/>
      </w:pPr>
      <w:r>
        <w:rPr>
          <w:rFonts w:hint="eastAsia"/>
        </w:rPr>
        <w:t>采购进口产品</w:t>
      </w:r>
    </w:p>
    <w:p>
      <w:pPr>
        <w:widowControl/>
        <w:tabs>
          <w:tab w:val="left" w:pos="0"/>
        </w:tabs>
        <w:spacing w:line="360" w:lineRule="auto"/>
        <w:rPr>
          <w:rFonts w:ascii="宋体" w:cs="宋体"/>
          <w:kern w:val="0"/>
          <w:sz w:val="24"/>
        </w:rPr>
      </w:pPr>
      <w:r>
        <w:rPr>
          <w:rFonts w:ascii="宋体" w:hAnsi="宋体" w:cs="宋体"/>
          <w:kern w:val="0"/>
          <w:sz w:val="24"/>
        </w:rPr>
        <w:t xml:space="preserve">    5.1 </w:t>
      </w:r>
      <w:r>
        <w:rPr>
          <w:rFonts w:hint="eastAsia" w:ascii="宋体" w:hAnsi="宋体" w:cs="宋体"/>
          <w:kern w:val="0"/>
          <w:sz w:val="24"/>
        </w:rPr>
        <w:t>除供应商须知前附表另有规定外，本项目拒绝进口产品参加竞争性磋商采购活动，</w:t>
      </w:r>
    </w:p>
    <w:p>
      <w:pPr>
        <w:widowControl/>
        <w:tabs>
          <w:tab w:val="left" w:pos="0"/>
          <w:tab w:val="left" w:pos="1050"/>
        </w:tabs>
        <w:spacing w:line="360" w:lineRule="auto"/>
        <w:rPr>
          <w:rFonts w:ascii="宋体" w:cs="宋体"/>
          <w:kern w:val="0"/>
          <w:sz w:val="24"/>
        </w:rPr>
      </w:pPr>
      <w:r>
        <w:rPr>
          <w:rFonts w:ascii="宋体" w:hAnsi="宋体" w:cs="宋体"/>
          <w:kern w:val="0"/>
          <w:sz w:val="24"/>
        </w:rPr>
        <w:t xml:space="preserve">    5.2 </w:t>
      </w:r>
      <w:r>
        <w:rPr>
          <w:rFonts w:hint="eastAsia" w:ascii="宋体" w:hAnsi="宋体" w:cs="宋体"/>
          <w:kern w:val="0"/>
          <w:sz w:val="24"/>
        </w:rPr>
        <w:t>本项目第五部分采购要求中同意购买进口产品的，采购活动不限制满足磋商文件要求的国产产品参与竞争性磋商。</w:t>
      </w:r>
    </w:p>
    <w:p>
      <w:pPr>
        <w:pStyle w:val="7"/>
        <w:numPr>
          <w:ilvl w:val="0"/>
          <w:numId w:val="4"/>
        </w:numPr>
        <w:ind w:firstLine="643" w:firstLineChars="200"/>
      </w:pPr>
      <w:bookmarkStart w:id="24" w:name="_Toc22444"/>
      <w:bookmarkStart w:id="25" w:name="_Toc540"/>
      <w:bookmarkStart w:id="26" w:name="_Toc358364322"/>
      <w:bookmarkStart w:id="27" w:name="_Toc380336728"/>
      <w:r>
        <w:rPr>
          <w:rFonts w:hint="eastAsia"/>
        </w:rPr>
        <w:t>费用</w:t>
      </w:r>
      <w:bookmarkEnd w:id="24"/>
      <w:bookmarkEnd w:id="25"/>
      <w:bookmarkEnd w:id="26"/>
      <w:bookmarkEnd w:id="27"/>
    </w:p>
    <w:p>
      <w:pPr>
        <w:widowControl/>
        <w:spacing w:line="360" w:lineRule="auto"/>
        <w:ind w:firstLine="480" w:firstLineChars="200"/>
        <w:rPr>
          <w:rFonts w:ascii="宋体" w:cs="宋体"/>
          <w:b/>
          <w:bCs/>
          <w:kern w:val="0"/>
          <w:sz w:val="32"/>
          <w:szCs w:val="28"/>
        </w:rPr>
      </w:pPr>
      <w:r>
        <w:rPr>
          <w:rFonts w:hint="eastAsia" w:ascii="宋体" w:hAnsi="宋体" w:cs="宋体"/>
          <w:sz w:val="24"/>
          <w:szCs w:val="24"/>
        </w:rPr>
        <w:t>供应商参加磋商的有关费用由供应商自行承担。</w:t>
      </w:r>
    </w:p>
    <w:p>
      <w:pPr>
        <w:pStyle w:val="7"/>
        <w:numPr>
          <w:ilvl w:val="0"/>
          <w:numId w:val="4"/>
        </w:numPr>
        <w:ind w:firstLine="643" w:firstLineChars="200"/>
      </w:pPr>
      <w:r>
        <w:rPr>
          <w:rFonts w:hint="eastAsia"/>
        </w:rPr>
        <w:t>政府采购政策支持</w:t>
      </w:r>
    </w:p>
    <w:p>
      <w:pPr>
        <w:widowControl/>
        <w:spacing w:line="360" w:lineRule="auto"/>
        <w:ind w:firstLine="480" w:firstLineChars="200"/>
        <w:rPr>
          <w:rFonts w:ascii="宋体" w:cs="宋体"/>
          <w:sz w:val="24"/>
          <w:szCs w:val="24"/>
        </w:rPr>
      </w:pPr>
      <w:r>
        <w:rPr>
          <w:rFonts w:ascii="宋体" w:hAnsi="宋体" w:cs="宋体"/>
          <w:sz w:val="24"/>
          <w:szCs w:val="24"/>
        </w:rPr>
        <w:t>7.1</w:t>
      </w:r>
      <w:r>
        <w:rPr>
          <w:rFonts w:hint="eastAsia" w:ascii="宋体" w:hAnsi="宋体" w:cs="宋体"/>
          <w:sz w:val="24"/>
          <w:szCs w:val="24"/>
        </w:rPr>
        <w:t>对列入财政部、国家发改委发布的《节能产品政府采购清单》且属于应当“强制采购的节能产品”，按照规定实行强制采购。</w:t>
      </w:r>
    </w:p>
    <w:p>
      <w:pPr>
        <w:widowControl/>
        <w:spacing w:line="360" w:lineRule="auto"/>
        <w:ind w:firstLine="480" w:firstLineChars="200"/>
        <w:rPr>
          <w:rFonts w:ascii="宋体" w:cs="宋体"/>
          <w:sz w:val="24"/>
          <w:szCs w:val="24"/>
        </w:rPr>
      </w:pPr>
      <w:r>
        <w:rPr>
          <w:rFonts w:ascii="宋体" w:hAnsi="宋体" w:cs="宋体"/>
          <w:sz w:val="24"/>
          <w:szCs w:val="24"/>
        </w:rPr>
        <w:t>7.2</w:t>
      </w:r>
      <w:r>
        <w:rPr>
          <w:rFonts w:hint="eastAsia" w:ascii="宋体" w:hAnsi="宋体" w:cs="宋体"/>
          <w:sz w:val="24"/>
          <w:szCs w:val="24"/>
        </w:rPr>
        <w:t>对列入财政部、国家发展改革委员会发布的《节能产品政府采购清单》的“非强制采购节能产品”，财政部、环境保护部发布的《环境标志产品政府采购清单》的“环境标志产品”以及中小企业（监狱企业视同小型、微型企业），实行优先采购，按照省级以上财政部门有关政策规定，评审时进行价格扣除或者加分。</w:t>
      </w:r>
    </w:p>
    <w:p>
      <w:pPr>
        <w:widowControl/>
        <w:spacing w:line="360" w:lineRule="auto"/>
        <w:ind w:firstLine="480" w:firstLineChars="200"/>
        <w:rPr>
          <w:rFonts w:ascii="宋体" w:cs="宋体"/>
          <w:sz w:val="24"/>
          <w:szCs w:val="24"/>
        </w:rPr>
      </w:pPr>
      <w:r>
        <w:rPr>
          <w:rFonts w:ascii="宋体" w:hAnsi="宋体" w:cs="宋体"/>
          <w:sz w:val="24"/>
          <w:szCs w:val="24"/>
        </w:rPr>
        <w:t>7.3</w:t>
      </w:r>
      <w:r>
        <w:rPr>
          <w:rFonts w:hint="eastAsia" w:ascii="宋体" w:hAnsi="宋体" w:cs="宋体"/>
          <w:sz w:val="24"/>
          <w:szCs w:val="24"/>
        </w:rPr>
        <w:t>产品同时属于“非强制采购节能产品”、环境标志产品的，评审时只有其中一项能享受优先待遇（供应商自行选择，并在报价文件中填写相关信息及数据）。</w:t>
      </w:r>
    </w:p>
    <w:p>
      <w:pPr>
        <w:widowControl/>
        <w:spacing w:line="360" w:lineRule="auto"/>
        <w:ind w:firstLine="480"/>
        <w:rPr>
          <w:rFonts w:ascii="宋体" w:cs="宋体"/>
          <w:sz w:val="24"/>
          <w:szCs w:val="24"/>
        </w:rPr>
      </w:pPr>
      <w:r>
        <w:rPr>
          <w:rFonts w:ascii="宋体" w:hAnsi="宋体" w:cs="宋体"/>
          <w:sz w:val="24"/>
          <w:szCs w:val="24"/>
        </w:rPr>
        <w:t>7.4</w:t>
      </w:r>
      <w:r>
        <w:rPr>
          <w:rFonts w:hint="eastAsia" w:ascii="宋体" w:hAnsi="宋体" w:cs="宋体"/>
          <w:sz w:val="24"/>
          <w:szCs w:val="24"/>
        </w:rPr>
        <w:t>供应商有融资、担保需求的，具体办理流程按照财政厅及相关政策执行。</w:t>
      </w:r>
    </w:p>
    <w:p>
      <w:pPr>
        <w:pStyle w:val="7"/>
        <w:numPr>
          <w:ilvl w:val="0"/>
          <w:numId w:val="4"/>
        </w:numPr>
        <w:ind w:firstLine="643" w:firstLineChars="200"/>
      </w:pPr>
      <w:r>
        <w:rPr>
          <w:rFonts w:hint="eastAsia"/>
        </w:rPr>
        <w:t>质疑与投诉</w:t>
      </w:r>
      <w:r>
        <w:tab/>
      </w:r>
    </w:p>
    <w:p>
      <w:pPr>
        <w:widowControl/>
        <w:spacing w:line="360" w:lineRule="auto"/>
        <w:ind w:firstLine="480" w:firstLineChars="200"/>
        <w:rPr>
          <w:rFonts w:ascii="宋体" w:cs="宋体"/>
          <w:sz w:val="24"/>
          <w:szCs w:val="24"/>
        </w:rPr>
      </w:pPr>
      <w:r>
        <w:rPr>
          <w:rFonts w:hint="eastAsia" w:ascii="宋体" w:hAnsi="宋体" w:cs="宋体"/>
          <w:sz w:val="24"/>
          <w:szCs w:val="24"/>
        </w:rPr>
        <w:t>质疑或投诉的接收和处理应当按照《中华人民共和国政府采购法》及其实施条例、《政府采购质疑和投诉办法》、《财政部关于加强政府采购供应商投诉受理审查工作的通知》等的相关规定办理。</w:t>
      </w:r>
    </w:p>
    <w:p>
      <w:pPr>
        <w:widowControl/>
        <w:spacing w:line="360" w:lineRule="auto"/>
        <w:ind w:firstLine="480" w:firstLineChars="200"/>
        <w:rPr>
          <w:rFonts w:ascii="宋体" w:cs="宋体"/>
          <w:sz w:val="24"/>
          <w:szCs w:val="24"/>
        </w:rPr>
      </w:pPr>
      <w:r>
        <w:rPr>
          <w:rFonts w:ascii="宋体" w:hAnsi="宋体" w:cs="宋体"/>
          <w:sz w:val="24"/>
          <w:szCs w:val="24"/>
        </w:rPr>
        <w:t xml:space="preserve">8.1 </w:t>
      </w:r>
      <w:r>
        <w:rPr>
          <w:rFonts w:hint="eastAsia" w:ascii="宋体" w:hAnsi="宋体" w:cs="宋体"/>
          <w:sz w:val="24"/>
          <w:szCs w:val="24"/>
        </w:rPr>
        <w:t>供应商认为采购文件、采购过程和中标、成交结果使自己的权益受到损害的，可以在知道或者应知其权益受到损害之日起七个工作日内，以书面形式向采购人或采购代理机构提出质疑，逾期质疑无效。供应商应知其权益受到损害之日，是指：</w:t>
      </w:r>
    </w:p>
    <w:p>
      <w:pPr>
        <w:widowControl/>
        <w:spacing w:line="360"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）对采购文件提出质疑的，为收到采购文件之日或者采购文件公告期限届满之日；</w:t>
      </w:r>
    </w:p>
    <w:p>
      <w:pPr>
        <w:widowControl/>
        <w:spacing w:line="360" w:lineRule="auto"/>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）对采购过程提出质疑的，为各采购程序环节结束之日；</w:t>
      </w:r>
    </w:p>
    <w:p>
      <w:pPr>
        <w:widowControl/>
        <w:spacing w:line="360" w:lineRule="auto"/>
        <w:ind w:firstLine="480" w:firstLineChars="200"/>
        <w:rPr>
          <w:rFonts w:ascii="宋体" w:cs="宋体"/>
          <w:sz w:val="24"/>
          <w:szCs w:val="24"/>
        </w:rPr>
      </w:pPr>
      <w:r>
        <w:rPr>
          <w:rFonts w:ascii="宋体" w:hAnsi="宋体" w:cs="宋体"/>
          <w:sz w:val="24"/>
          <w:szCs w:val="24"/>
        </w:rPr>
        <w:t>3</w:t>
      </w:r>
      <w:r>
        <w:rPr>
          <w:rFonts w:hint="eastAsia" w:ascii="宋体" w:hAnsi="宋体" w:cs="宋体"/>
          <w:sz w:val="24"/>
          <w:szCs w:val="24"/>
        </w:rPr>
        <w:t>）对中标或者成交结果提出质疑的，为中标或者成交结果公告期限届满之日。</w:t>
      </w:r>
    </w:p>
    <w:p>
      <w:pPr>
        <w:widowControl/>
        <w:spacing w:line="360" w:lineRule="auto"/>
        <w:ind w:firstLine="480" w:firstLineChars="200"/>
        <w:rPr>
          <w:rFonts w:ascii="宋体" w:cs="宋体"/>
          <w:sz w:val="24"/>
          <w:szCs w:val="24"/>
        </w:rPr>
      </w:pPr>
      <w:r>
        <w:rPr>
          <w:rFonts w:ascii="宋体" w:hAnsi="宋体" w:cs="宋体"/>
          <w:sz w:val="24"/>
          <w:szCs w:val="24"/>
        </w:rPr>
        <w:t>8.2</w:t>
      </w:r>
      <w:r>
        <w:rPr>
          <w:rFonts w:hint="eastAsia" w:ascii="宋体" w:hAnsi="宋体" w:cs="宋体"/>
          <w:sz w:val="24"/>
          <w:szCs w:val="24"/>
        </w:rPr>
        <w:t>供应商应当在法定质疑期内一次性提出针对同一采购程序环节的质疑。</w:t>
      </w:r>
    </w:p>
    <w:p>
      <w:pPr>
        <w:widowControl/>
        <w:spacing w:line="360" w:lineRule="auto"/>
        <w:ind w:firstLine="480" w:firstLineChars="200"/>
        <w:rPr>
          <w:rFonts w:ascii="宋体" w:cs="宋体"/>
          <w:sz w:val="24"/>
          <w:szCs w:val="24"/>
        </w:rPr>
      </w:pPr>
      <w:r>
        <w:rPr>
          <w:rFonts w:ascii="宋体" w:hAnsi="宋体" w:cs="宋体"/>
          <w:sz w:val="24"/>
          <w:szCs w:val="24"/>
        </w:rPr>
        <w:t xml:space="preserve">8.3 </w:t>
      </w:r>
      <w:r>
        <w:rPr>
          <w:rFonts w:hint="eastAsia" w:ascii="宋体" w:hAnsi="宋体" w:cs="宋体"/>
          <w:sz w:val="24"/>
          <w:szCs w:val="24"/>
        </w:rPr>
        <w:t>质疑函应当包括下列主要内容：</w:t>
      </w:r>
    </w:p>
    <w:p>
      <w:pPr>
        <w:widowControl/>
        <w:spacing w:line="360"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）供应商的姓名或者名称、地址、邮编、联系人及联系电话；</w:t>
      </w:r>
    </w:p>
    <w:p>
      <w:pPr>
        <w:widowControl/>
        <w:spacing w:line="360" w:lineRule="auto"/>
        <w:ind w:firstLine="240" w:firstLineChars="100"/>
        <w:rPr>
          <w:rFonts w:ascii="宋体" w:cs="宋体"/>
          <w:sz w:val="24"/>
          <w:szCs w:val="24"/>
        </w:rPr>
      </w:pPr>
      <w:r>
        <w:rPr>
          <w:rFonts w:ascii="宋体" w:hAnsi="宋体" w:cs="宋体"/>
          <w:sz w:val="24"/>
          <w:szCs w:val="24"/>
        </w:rPr>
        <w:t xml:space="preserve">  2</w:t>
      </w:r>
      <w:r>
        <w:rPr>
          <w:rFonts w:hint="eastAsia" w:ascii="宋体" w:hAnsi="宋体" w:cs="宋体"/>
          <w:sz w:val="24"/>
          <w:szCs w:val="24"/>
        </w:rPr>
        <w:t>）质疑项目的名称、编号；</w:t>
      </w:r>
    </w:p>
    <w:p>
      <w:pPr>
        <w:widowControl/>
        <w:spacing w:line="360" w:lineRule="auto"/>
        <w:ind w:firstLine="480" w:firstLineChars="200"/>
        <w:rPr>
          <w:rFonts w:ascii="宋体" w:cs="宋体"/>
          <w:sz w:val="24"/>
          <w:szCs w:val="24"/>
        </w:rPr>
      </w:pPr>
      <w:r>
        <w:rPr>
          <w:rFonts w:ascii="宋体" w:hAnsi="宋体" w:cs="宋体"/>
          <w:sz w:val="24"/>
          <w:szCs w:val="24"/>
        </w:rPr>
        <w:t>3</w:t>
      </w:r>
      <w:r>
        <w:rPr>
          <w:rFonts w:hint="eastAsia" w:ascii="宋体" w:hAnsi="宋体" w:cs="宋体"/>
          <w:sz w:val="24"/>
          <w:szCs w:val="24"/>
        </w:rPr>
        <w:t>）具体、明确的质疑事项和与质疑事项相关的请求；</w:t>
      </w:r>
    </w:p>
    <w:p>
      <w:pPr>
        <w:widowControl/>
        <w:spacing w:line="360" w:lineRule="auto"/>
        <w:ind w:firstLine="480" w:firstLineChars="200"/>
        <w:rPr>
          <w:rFonts w:ascii="宋体" w:cs="宋体"/>
          <w:sz w:val="24"/>
          <w:szCs w:val="24"/>
        </w:rPr>
      </w:pPr>
      <w:r>
        <w:rPr>
          <w:rFonts w:ascii="宋体" w:hAnsi="宋体" w:cs="宋体"/>
          <w:sz w:val="24"/>
          <w:szCs w:val="24"/>
        </w:rPr>
        <w:t>4</w:t>
      </w:r>
      <w:r>
        <w:rPr>
          <w:rFonts w:hint="eastAsia" w:ascii="宋体" w:hAnsi="宋体" w:cs="宋体"/>
          <w:sz w:val="24"/>
          <w:szCs w:val="24"/>
        </w:rPr>
        <w:t>）事实依据；</w:t>
      </w:r>
    </w:p>
    <w:p>
      <w:pPr>
        <w:widowControl/>
        <w:spacing w:line="360" w:lineRule="auto"/>
        <w:ind w:firstLine="480" w:firstLineChars="200"/>
        <w:rPr>
          <w:rFonts w:ascii="宋体" w:cs="宋体"/>
          <w:sz w:val="24"/>
          <w:szCs w:val="24"/>
        </w:rPr>
      </w:pPr>
      <w:r>
        <w:rPr>
          <w:rFonts w:ascii="宋体" w:hAnsi="宋体" w:cs="宋体"/>
          <w:sz w:val="24"/>
          <w:szCs w:val="24"/>
        </w:rPr>
        <w:t>5</w:t>
      </w:r>
      <w:r>
        <w:rPr>
          <w:rFonts w:hint="eastAsia" w:ascii="宋体" w:hAnsi="宋体" w:cs="宋体"/>
          <w:sz w:val="24"/>
          <w:szCs w:val="24"/>
        </w:rPr>
        <w:t>）必要的法律依据；</w:t>
      </w:r>
    </w:p>
    <w:p>
      <w:pPr>
        <w:widowControl/>
        <w:spacing w:line="360" w:lineRule="auto"/>
        <w:ind w:firstLine="480" w:firstLineChars="200"/>
        <w:rPr>
          <w:rFonts w:ascii="宋体" w:cs="宋体"/>
          <w:sz w:val="24"/>
          <w:szCs w:val="24"/>
        </w:rPr>
      </w:pPr>
      <w:r>
        <w:rPr>
          <w:rFonts w:ascii="宋体" w:hAnsi="宋体" w:cs="宋体"/>
          <w:sz w:val="24"/>
          <w:szCs w:val="24"/>
        </w:rPr>
        <w:t>6</w:t>
      </w:r>
      <w:r>
        <w:rPr>
          <w:rFonts w:hint="eastAsia" w:ascii="宋体" w:hAnsi="宋体" w:cs="宋体"/>
          <w:sz w:val="24"/>
          <w:szCs w:val="24"/>
        </w:rPr>
        <w:t>）提出质疑的日期。</w:t>
      </w:r>
    </w:p>
    <w:p>
      <w:pPr>
        <w:widowControl/>
        <w:spacing w:line="360" w:lineRule="auto"/>
        <w:ind w:firstLine="480" w:firstLineChars="200"/>
        <w:rPr>
          <w:rFonts w:ascii="宋体" w:cs="宋体"/>
          <w:sz w:val="24"/>
          <w:szCs w:val="24"/>
        </w:rPr>
      </w:pPr>
      <w:r>
        <w:rPr>
          <w:rFonts w:ascii="宋体" w:hAnsi="宋体" w:cs="宋体"/>
          <w:sz w:val="24"/>
          <w:szCs w:val="24"/>
        </w:rPr>
        <w:t>8.4</w:t>
      </w:r>
      <w:r>
        <w:rPr>
          <w:rFonts w:hint="eastAsia" w:ascii="宋体" w:hAnsi="宋体" w:cs="宋体"/>
          <w:sz w:val="24"/>
          <w:szCs w:val="24"/>
        </w:rPr>
        <w:t>供应商可以委托代理人进行质疑和投诉。其授权委托书应当载明代理人的姓名或者名称、代理事项、具体权限、期限和相关事项。供应商为自然人的，应当由本人签字；供应商为法人或者其他组织的，应当由法定代表人、主要负责人，或者其授权代表签字或盖章，并加盖公章。</w:t>
      </w:r>
    </w:p>
    <w:p>
      <w:pPr>
        <w:widowControl/>
        <w:spacing w:line="360" w:lineRule="auto"/>
        <w:ind w:firstLine="480" w:firstLineChars="200"/>
        <w:rPr>
          <w:rFonts w:ascii="宋体" w:cs="宋体"/>
          <w:sz w:val="24"/>
          <w:szCs w:val="24"/>
        </w:rPr>
      </w:pPr>
      <w:r>
        <w:rPr>
          <w:rFonts w:hint="eastAsia" w:ascii="宋体" w:hAnsi="宋体" w:cs="宋体"/>
          <w:sz w:val="24"/>
          <w:szCs w:val="24"/>
        </w:rPr>
        <w:t>代理人提出质疑和投诉，应当提交供应商签署的授权委托书。</w:t>
      </w:r>
    </w:p>
    <w:p>
      <w:pPr>
        <w:widowControl/>
        <w:spacing w:line="360" w:lineRule="auto"/>
        <w:ind w:firstLine="480" w:firstLineChars="200"/>
        <w:rPr>
          <w:rFonts w:ascii="宋体" w:cs="宋体"/>
          <w:sz w:val="24"/>
          <w:szCs w:val="24"/>
        </w:rPr>
      </w:pPr>
      <w:r>
        <w:rPr>
          <w:rFonts w:ascii="宋体" w:hAnsi="宋体" w:cs="宋体"/>
          <w:sz w:val="24"/>
          <w:szCs w:val="24"/>
        </w:rPr>
        <w:t xml:space="preserve">8.5 </w:t>
      </w:r>
      <w:r>
        <w:rPr>
          <w:rFonts w:hint="eastAsia" w:ascii="宋体" w:hAnsi="宋体" w:cs="宋体"/>
          <w:sz w:val="24"/>
          <w:szCs w:val="24"/>
        </w:rPr>
        <w:t>质疑函内容不得含有虚假、恶意成份。依照谁主张谁举证的原则，提出质疑者必须同时提交相关确凿的证据材料和注明证据的确切来源，证据来源必须合法，采购人、采购代理机构有权将质疑函转发质疑事项各关联方，请其作出解释说明。对捏造事实、提供虚假材料或者以非法手段取得的证明材料，滥用维权扰乱采购秩序的恶意质疑者，采购人、采购代理机构应当依法驳回。</w:t>
      </w:r>
    </w:p>
    <w:p>
      <w:pPr>
        <w:widowControl/>
        <w:spacing w:line="360" w:lineRule="auto"/>
        <w:ind w:firstLine="480" w:firstLineChars="200"/>
        <w:rPr>
          <w:rFonts w:ascii="宋体" w:cs="宋体"/>
          <w:sz w:val="24"/>
          <w:szCs w:val="24"/>
        </w:rPr>
      </w:pPr>
      <w:r>
        <w:rPr>
          <w:rFonts w:ascii="宋体" w:hAnsi="宋体" w:cs="宋体"/>
          <w:sz w:val="24"/>
          <w:szCs w:val="24"/>
        </w:rPr>
        <w:t xml:space="preserve">8.6 </w:t>
      </w:r>
      <w:r>
        <w:rPr>
          <w:rFonts w:hint="eastAsia" w:ascii="宋体" w:hAnsi="宋体" w:cs="宋体"/>
          <w:sz w:val="24"/>
          <w:szCs w:val="24"/>
        </w:rPr>
        <w:t>质疑函接收方式：由自然人本人或法定代表人或者其授权代表携带书面原件及身份证明原件到现场递交，否则不予受理。</w:t>
      </w:r>
    </w:p>
    <w:p>
      <w:pPr>
        <w:widowControl/>
        <w:spacing w:line="360" w:lineRule="auto"/>
        <w:ind w:firstLine="480" w:firstLineChars="200"/>
        <w:rPr>
          <w:rFonts w:ascii="宋体" w:cs="宋体"/>
          <w:sz w:val="24"/>
          <w:szCs w:val="24"/>
        </w:rPr>
      </w:pPr>
      <w:r>
        <w:rPr>
          <w:rFonts w:ascii="宋体" w:hAnsi="宋体" w:cs="宋体"/>
          <w:sz w:val="24"/>
          <w:szCs w:val="24"/>
        </w:rPr>
        <w:t>8.7</w:t>
      </w:r>
      <w:r>
        <w:rPr>
          <w:rFonts w:hint="eastAsia" w:ascii="宋体" w:hAnsi="宋体" w:cs="宋体"/>
          <w:sz w:val="24"/>
          <w:szCs w:val="24"/>
        </w:rPr>
        <w:t>质疑受理部门：陕西卓佲招标有限公司。</w:t>
      </w:r>
    </w:p>
    <w:p>
      <w:pPr>
        <w:widowControl/>
        <w:spacing w:line="360" w:lineRule="auto"/>
        <w:ind w:firstLine="480" w:firstLineChars="200"/>
        <w:rPr>
          <w:rFonts w:ascii="宋体" w:cs="宋体"/>
          <w:sz w:val="24"/>
          <w:szCs w:val="24"/>
        </w:rPr>
      </w:pPr>
      <w:r>
        <w:rPr>
          <w:rFonts w:hint="eastAsia" w:ascii="宋体" w:hAnsi="宋体" w:cs="宋体"/>
          <w:sz w:val="24"/>
          <w:szCs w:val="24"/>
        </w:rPr>
        <w:t>质疑受理电话：</w:t>
      </w:r>
      <w:r>
        <w:rPr>
          <w:rFonts w:ascii="宋体" w:hAnsi="宋体" w:cs="宋体"/>
          <w:sz w:val="24"/>
          <w:szCs w:val="24"/>
        </w:rPr>
        <w:t>029-88</w:t>
      </w:r>
      <w:r>
        <w:rPr>
          <w:rFonts w:hint="eastAsia" w:ascii="宋体" w:hAnsi="宋体" w:cs="宋体"/>
          <w:sz w:val="24"/>
          <w:szCs w:val="24"/>
        </w:rPr>
        <w:t>440695。</w:t>
      </w:r>
    </w:p>
    <w:p>
      <w:pPr>
        <w:widowControl/>
        <w:spacing w:line="360" w:lineRule="auto"/>
        <w:ind w:firstLine="480" w:firstLineChars="200"/>
        <w:rPr>
          <w:rFonts w:ascii="宋体" w:hAnsi="宋体" w:cs="宋体"/>
          <w:sz w:val="24"/>
          <w:szCs w:val="24"/>
        </w:rPr>
      </w:pPr>
      <w:r>
        <w:rPr>
          <w:rFonts w:ascii="宋体" w:hAnsi="宋体" w:cs="宋体"/>
          <w:sz w:val="24"/>
          <w:szCs w:val="24"/>
        </w:rPr>
        <w:t xml:space="preserve">8.8 </w:t>
      </w:r>
      <w:r>
        <w:rPr>
          <w:rFonts w:hint="eastAsia" w:ascii="宋体" w:hAnsi="宋体" w:cs="宋体"/>
          <w:sz w:val="24"/>
          <w:szCs w:val="24"/>
        </w:rPr>
        <w:t>提交质疑函地点：西安市雁塔区科技路10号华奥大厦A座2002室。</w:t>
      </w:r>
    </w:p>
    <w:p>
      <w:pPr>
        <w:widowControl/>
        <w:spacing w:line="360" w:lineRule="auto"/>
        <w:ind w:firstLine="480" w:firstLineChars="200"/>
        <w:rPr>
          <w:rFonts w:ascii="宋体" w:cs="宋体"/>
          <w:sz w:val="24"/>
          <w:szCs w:val="24"/>
        </w:rPr>
      </w:pPr>
      <w:r>
        <w:rPr>
          <w:rFonts w:ascii="宋体" w:hAnsi="宋体" w:cs="宋体"/>
          <w:sz w:val="24"/>
          <w:szCs w:val="24"/>
        </w:rPr>
        <w:t xml:space="preserve">8.9 </w:t>
      </w:r>
      <w:r>
        <w:rPr>
          <w:rFonts w:hint="eastAsia" w:ascii="宋体" w:hAnsi="宋体" w:cs="宋体"/>
          <w:sz w:val="24"/>
          <w:szCs w:val="24"/>
        </w:rPr>
        <w:t>本次采购活动中，采购代理机构对质疑函回复的书面文件的送达方式为现场取件。</w:t>
      </w:r>
    </w:p>
    <w:p>
      <w:pPr>
        <w:widowControl/>
        <w:spacing w:line="360" w:lineRule="auto"/>
        <w:ind w:firstLine="480" w:firstLineChars="200"/>
        <w:rPr>
          <w:rFonts w:ascii="宋体" w:cs="宋体"/>
          <w:sz w:val="24"/>
          <w:szCs w:val="24"/>
        </w:rPr>
      </w:pPr>
      <w:r>
        <w:rPr>
          <w:rFonts w:hint="eastAsia" w:ascii="宋体" w:hAnsi="宋体" w:cs="宋体"/>
          <w:sz w:val="24"/>
          <w:szCs w:val="24"/>
        </w:rPr>
        <w:t>如所质疑的问题比较复杂，采购人或者采购代理机构在规定的答复时间内无法回复，应事先告知提出质疑的供应商，同时向同级政府采购监督管理部门报告。</w:t>
      </w:r>
    </w:p>
    <w:p>
      <w:pPr>
        <w:widowControl/>
        <w:spacing w:line="360" w:lineRule="auto"/>
        <w:ind w:firstLine="480" w:firstLineChars="200"/>
        <w:rPr>
          <w:rFonts w:ascii="宋体" w:cs="宋体"/>
          <w:sz w:val="24"/>
          <w:szCs w:val="24"/>
        </w:rPr>
      </w:pPr>
      <w:r>
        <w:rPr>
          <w:rFonts w:ascii="宋体" w:hAnsi="宋体" w:cs="宋体"/>
          <w:sz w:val="24"/>
          <w:szCs w:val="24"/>
        </w:rPr>
        <w:t xml:space="preserve">8.10 </w:t>
      </w:r>
      <w:r>
        <w:rPr>
          <w:rFonts w:hint="eastAsia" w:ascii="宋体" w:hAnsi="宋体" w:cs="宋体"/>
          <w:sz w:val="24"/>
          <w:szCs w:val="24"/>
        </w:rPr>
        <w:t>质疑供应商对采购人、采购代理机构的答复不满意，或者采购人、采购代理机构未在规定的时间内作出答复的，可以在答复期满后</w:t>
      </w:r>
      <w:r>
        <w:rPr>
          <w:rFonts w:ascii="宋体" w:hAnsi="宋体" w:cs="宋体"/>
          <w:sz w:val="24"/>
          <w:szCs w:val="24"/>
        </w:rPr>
        <w:t>15</w:t>
      </w:r>
      <w:r>
        <w:rPr>
          <w:rFonts w:hint="eastAsia" w:ascii="宋体" w:hAnsi="宋体" w:cs="宋体"/>
          <w:sz w:val="24"/>
          <w:szCs w:val="24"/>
        </w:rPr>
        <w:t>个工作日内向采购人的同级政府采购监督管理部门投诉。</w:t>
      </w:r>
    </w:p>
    <w:p>
      <w:pPr>
        <w:widowControl/>
        <w:spacing w:line="360" w:lineRule="auto"/>
        <w:ind w:firstLine="480" w:firstLineChars="200"/>
        <w:rPr>
          <w:rFonts w:ascii="宋体" w:cs="宋体"/>
          <w:sz w:val="24"/>
          <w:szCs w:val="24"/>
        </w:rPr>
      </w:pPr>
      <w:r>
        <w:rPr>
          <w:rFonts w:ascii="宋体" w:hAnsi="宋体" w:cs="宋体"/>
          <w:sz w:val="24"/>
          <w:szCs w:val="24"/>
        </w:rPr>
        <w:t xml:space="preserve">8.11 </w:t>
      </w:r>
      <w:r>
        <w:rPr>
          <w:rFonts w:hint="eastAsia" w:ascii="宋体" w:hAnsi="宋体" w:cs="宋体"/>
          <w:sz w:val="24"/>
          <w:szCs w:val="24"/>
        </w:rPr>
        <w:t>质疑函应当使用中文。质疑函范本详见财政部制定的范本即招标文件附件七。</w:t>
      </w:r>
    </w:p>
    <w:p/>
    <w:p>
      <w:pPr>
        <w:widowControl/>
        <w:numPr>
          <w:ilvl w:val="0"/>
          <w:numId w:val="3"/>
        </w:numPr>
        <w:spacing w:line="360" w:lineRule="auto"/>
        <w:ind w:firstLine="643" w:firstLineChars="200"/>
        <w:jc w:val="center"/>
        <w:outlineLvl w:val="1"/>
        <w:rPr>
          <w:rFonts w:ascii="宋体" w:cs="宋体"/>
          <w:b/>
          <w:bCs/>
          <w:kern w:val="0"/>
          <w:sz w:val="32"/>
          <w:szCs w:val="28"/>
        </w:rPr>
      </w:pPr>
      <w:bookmarkStart w:id="28" w:name="_Toc31482"/>
      <w:bookmarkStart w:id="29" w:name="_Toc20092"/>
      <w:r>
        <w:rPr>
          <w:rFonts w:hint="eastAsia" w:ascii="宋体" w:hAnsi="宋体" w:cs="宋体"/>
          <w:b/>
          <w:bCs/>
          <w:kern w:val="0"/>
          <w:sz w:val="32"/>
          <w:szCs w:val="28"/>
        </w:rPr>
        <w:t>竞争性磋商文件</w:t>
      </w:r>
      <w:bookmarkEnd w:id="28"/>
      <w:bookmarkEnd w:id="29"/>
    </w:p>
    <w:p>
      <w:pPr>
        <w:pStyle w:val="7"/>
        <w:numPr>
          <w:ilvl w:val="0"/>
          <w:numId w:val="6"/>
        </w:numPr>
      </w:pPr>
      <w:bookmarkStart w:id="30" w:name="_Toc5801"/>
      <w:r>
        <w:rPr>
          <w:rFonts w:hint="eastAsia"/>
        </w:rPr>
        <w:t>竞争性磋商文件的构成</w:t>
      </w:r>
      <w:bookmarkEnd w:id="30"/>
    </w:p>
    <w:p>
      <w:pPr>
        <w:tabs>
          <w:tab w:val="left" w:pos="0"/>
        </w:tabs>
        <w:adjustRightInd w:val="0"/>
        <w:snapToGrid w:val="0"/>
        <w:spacing w:line="360" w:lineRule="auto"/>
        <w:ind w:firstLine="480" w:firstLineChars="200"/>
        <w:jc w:val="left"/>
        <w:rPr>
          <w:rFonts w:ascii="宋体" w:cs="宋体"/>
          <w:sz w:val="24"/>
          <w:szCs w:val="24"/>
        </w:rPr>
      </w:pPr>
      <w:r>
        <w:rPr>
          <w:rFonts w:ascii="宋体" w:hAnsi="宋体" w:cs="宋体"/>
          <w:sz w:val="24"/>
          <w:szCs w:val="24"/>
        </w:rPr>
        <w:t>1.1</w:t>
      </w:r>
      <w:r>
        <w:rPr>
          <w:rFonts w:hint="eastAsia" w:ascii="宋体" w:hAnsi="宋体" w:cs="宋体"/>
          <w:sz w:val="24"/>
          <w:szCs w:val="24"/>
        </w:rPr>
        <w:t>竞争性磋商文件是供应商准备磋商响应文件和参加磋商的依据，同时也是评审的重要依据，具有准法律文件性质。竞争性磋商文件用以阐明采购项目所需的资质、技术、服务及报价等要求、磋商程序、有关规定和注意事项以及合同主要条款等。本竞争性磋商文件包括以下内容：</w:t>
      </w:r>
    </w:p>
    <w:p>
      <w:pPr>
        <w:numPr>
          <w:ilvl w:val="0"/>
          <w:numId w:val="7"/>
        </w:numPr>
        <w:tabs>
          <w:tab w:val="left" w:pos="0"/>
        </w:tabs>
        <w:adjustRightInd w:val="0"/>
        <w:snapToGrid w:val="0"/>
        <w:spacing w:line="360" w:lineRule="auto"/>
        <w:jc w:val="left"/>
        <w:rPr>
          <w:rFonts w:ascii="宋体" w:cs="宋体"/>
          <w:sz w:val="24"/>
          <w:szCs w:val="24"/>
        </w:rPr>
      </w:pPr>
      <w:r>
        <w:rPr>
          <w:rFonts w:hint="eastAsia" w:ascii="宋体" w:hAnsi="宋体" w:cs="宋体"/>
          <w:sz w:val="24"/>
          <w:szCs w:val="24"/>
        </w:rPr>
        <w:t>竞争性磋商公告；</w:t>
      </w:r>
    </w:p>
    <w:p>
      <w:pPr>
        <w:numPr>
          <w:ilvl w:val="0"/>
          <w:numId w:val="7"/>
        </w:numPr>
        <w:tabs>
          <w:tab w:val="left" w:pos="0"/>
        </w:tabs>
        <w:adjustRightInd w:val="0"/>
        <w:snapToGrid w:val="0"/>
        <w:spacing w:line="360" w:lineRule="auto"/>
        <w:jc w:val="left"/>
        <w:rPr>
          <w:rFonts w:ascii="宋体" w:cs="宋体"/>
          <w:sz w:val="24"/>
          <w:szCs w:val="24"/>
        </w:rPr>
      </w:pPr>
      <w:r>
        <w:rPr>
          <w:rFonts w:hint="eastAsia" w:ascii="宋体" w:hAnsi="宋体" w:cs="宋体"/>
          <w:sz w:val="24"/>
          <w:szCs w:val="24"/>
        </w:rPr>
        <w:t>供应商须知前附表；</w:t>
      </w:r>
    </w:p>
    <w:p>
      <w:pPr>
        <w:numPr>
          <w:ilvl w:val="0"/>
          <w:numId w:val="7"/>
        </w:numPr>
        <w:tabs>
          <w:tab w:val="left" w:pos="0"/>
        </w:tabs>
        <w:adjustRightInd w:val="0"/>
        <w:snapToGrid w:val="0"/>
        <w:spacing w:line="360" w:lineRule="auto"/>
        <w:jc w:val="left"/>
        <w:rPr>
          <w:rFonts w:ascii="宋体" w:cs="宋体"/>
          <w:sz w:val="24"/>
          <w:szCs w:val="24"/>
        </w:rPr>
      </w:pPr>
      <w:r>
        <w:rPr>
          <w:rFonts w:hint="eastAsia" w:ascii="宋体" w:hAnsi="宋体" w:cs="宋体"/>
          <w:sz w:val="24"/>
          <w:szCs w:val="24"/>
        </w:rPr>
        <w:t>供应商须知；</w:t>
      </w:r>
    </w:p>
    <w:p>
      <w:pPr>
        <w:numPr>
          <w:ilvl w:val="0"/>
          <w:numId w:val="7"/>
        </w:numPr>
        <w:tabs>
          <w:tab w:val="left" w:pos="0"/>
        </w:tabs>
        <w:adjustRightInd w:val="0"/>
        <w:snapToGrid w:val="0"/>
        <w:spacing w:line="360" w:lineRule="auto"/>
        <w:jc w:val="left"/>
        <w:rPr>
          <w:rFonts w:ascii="宋体" w:cs="宋体"/>
          <w:sz w:val="24"/>
          <w:szCs w:val="24"/>
        </w:rPr>
      </w:pPr>
      <w:r>
        <w:rPr>
          <w:rFonts w:hint="eastAsia" w:ascii="宋体" w:hAnsi="宋体" w:cs="宋体"/>
          <w:sz w:val="24"/>
          <w:szCs w:val="24"/>
        </w:rPr>
        <w:t>评标方法；</w:t>
      </w:r>
    </w:p>
    <w:p>
      <w:pPr>
        <w:numPr>
          <w:ilvl w:val="0"/>
          <w:numId w:val="7"/>
        </w:numPr>
        <w:tabs>
          <w:tab w:val="left" w:pos="0"/>
        </w:tabs>
        <w:adjustRightInd w:val="0"/>
        <w:snapToGrid w:val="0"/>
        <w:spacing w:line="360" w:lineRule="auto"/>
        <w:jc w:val="left"/>
        <w:rPr>
          <w:rFonts w:ascii="宋体" w:cs="宋体"/>
          <w:sz w:val="24"/>
          <w:szCs w:val="24"/>
        </w:rPr>
      </w:pPr>
      <w:r>
        <w:rPr>
          <w:rFonts w:hint="eastAsia" w:ascii="宋体" w:hAnsi="宋体" w:cs="宋体"/>
          <w:sz w:val="24"/>
          <w:szCs w:val="24"/>
        </w:rPr>
        <w:t>采购要求；</w:t>
      </w:r>
    </w:p>
    <w:p>
      <w:pPr>
        <w:numPr>
          <w:ilvl w:val="0"/>
          <w:numId w:val="7"/>
        </w:numPr>
        <w:tabs>
          <w:tab w:val="left" w:pos="0"/>
        </w:tabs>
        <w:adjustRightInd w:val="0"/>
        <w:snapToGrid w:val="0"/>
        <w:spacing w:line="360" w:lineRule="auto"/>
        <w:jc w:val="left"/>
        <w:rPr>
          <w:rFonts w:ascii="宋体" w:cs="宋体"/>
          <w:sz w:val="24"/>
          <w:szCs w:val="24"/>
        </w:rPr>
      </w:pPr>
      <w:r>
        <w:rPr>
          <w:rFonts w:hint="eastAsia" w:ascii="宋体" w:hAnsi="宋体" w:cs="宋体"/>
          <w:sz w:val="24"/>
          <w:szCs w:val="24"/>
        </w:rPr>
        <w:t>合同条款；</w:t>
      </w:r>
    </w:p>
    <w:p>
      <w:pPr>
        <w:numPr>
          <w:ilvl w:val="0"/>
          <w:numId w:val="7"/>
        </w:numPr>
        <w:tabs>
          <w:tab w:val="left" w:pos="0"/>
        </w:tabs>
        <w:adjustRightInd w:val="0"/>
        <w:snapToGrid w:val="0"/>
        <w:spacing w:line="360" w:lineRule="auto"/>
        <w:jc w:val="left"/>
        <w:rPr>
          <w:rFonts w:ascii="宋体" w:cs="宋体"/>
          <w:sz w:val="24"/>
          <w:szCs w:val="24"/>
        </w:rPr>
      </w:pPr>
      <w:r>
        <w:rPr>
          <w:rFonts w:hint="eastAsia" w:ascii="宋体" w:hAnsi="宋体" w:cs="宋体"/>
          <w:sz w:val="24"/>
          <w:szCs w:val="24"/>
        </w:rPr>
        <w:t>磋商响应文件格式。</w:t>
      </w:r>
    </w:p>
    <w:p>
      <w:pPr>
        <w:tabs>
          <w:tab w:val="left" w:pos="0"/>
        </w:tabs>
        <w:adjustRightInd w:val="0"/>
        <w:snapToGrid w:val="0"/>
        <w:spacing w:line="360" w:lineRule="auto"/>
        <w:ind w:firstLine="480" w:firstLineChars="200"/>
        <w:jc w:val="left"/>
        <w:rPr>
          <w:rFonts w:ascii="宋体" w:cs="宋体"/>
          <w:sz w:val="24"/>
          <w:szCs w:val="24"/>
        </w:rPr>
      </w:pPr>
      <w:r>
        <w:rPr>
          <w:rFonts w:ascii="宋体" w:hAnsi="宋体"/>
          <w:sz w:val="24"/>
        </w:rPr>
        <w:t>1.2</w:t>
      </w:r>
      <w:r>
        <w:rPr>
          <w:rFonts w:hint="eastAsia" w:ascii="宋体" w:hAnsi="宋体"/>
          <w:sz w:val="24"/>
        </w:rPr>
        <w:t>供应商应认真阅读和充分理解竞争性磋商文件中所有的事项、格式条款和规范要求。供应商没有对竞争性磋商文件全面做出实质性响应是供应商的风险。没有按照竞争性磋商文件要求作出实质性响应的磋商响应文件将被拒绝。</w:t>
      </w:r>
    </w:p>
    <w:p>
      <w:pPr>
        <w:pStyle w:val="7"/>
        <w:numPr>
          <w:ilvl w:val="0"/>
          <w:numId w:val="6"/>
        </w:numPr>
      </w:pPr>
      <w:bookmarkStart w:id="31" w:name="_Toc19797"/>
      <w:r>
        <w:rPr>
          <w:rFonts w:hint="eastAsia"/>
        </w:rPr>
        <w:t>竞争性磋商文件的澄清</w:t>
      </w:r>
      <w:bookmarkEnd w:id="31"/>
    </w:p>
    <w:p>
      <w:pPr>
        <w:adjustRightInd w:val="0"/>
        <w:snapToGrid w:val="0"/>
        <w:spacing w:line="360" w:lineRule="auto"/>
        <w:ind w:firstLine="480" w:firstLineChars="200"/>
        <w:jc w:val="left"/>
        <w:rPr>
          <w:rFonts w:ascii="宋体" w:cs="宋体"/>
          <w:sz w:val="24"/>
          <w:szCs w:val="24"/>
        </w:rPr>
      </w:pPr>
      <w:r>
        <w:rPr>
          <w:rFonts w:ascii="宋体" w:hAnsi="宋体" w:cs="宋体"/>
          <w:sz w:val="24"/>
          <w:szCs w:val="24"/>
        </w:rPr>
        <w:t>2.1</w:t>
      </w:r>
      <w:r>
        <w:rPr>
          <w:rFonts w:hint="eastAsia" w:ascii="宋体" w:hAnsi="宋体" w:cs="宋体"/>
          <w:sz w:val="24"/>
          <w:szCs w:val="24"/>
        </w:rPr>
        <w:t>供应商应认真阅读和充分理解竞争性磋商文件中所有的事项，如有问题或疑议请及时函告。否则，视为同意竞争性磋商文件的一切条款和要求并承担由此引起的一切法律责任。凡因供应商对竞争性磋商文件阅读不深、理解不透、误解、疏漏、或因市场行情了解不清造成的后果和风险均由供应商自负。</w:t>
      </w:r>
    </w:p>
    <w:p>
      <w:pPr>
        <w:tabs>
          <w:tab w:val="left" w:pos="0"/>
        </w:tabs>
        <w:adjustRightInd w:val="0"/>
        <w:snapToGrid w:val="0"/>
        <w:spacing w:line="360" w:lineRule="auto"/>
        <w:ind w:firstLine="480" w:firstLineChars="200"/>
        <w:jc w:val="left"/>
        <w:rPr>
          <w:rFonts w:ascii="宋体" w:cs="宋体"/>
          <w:sz w:val="24"/>
          <w:szCs w:val="24"/>
        </w:rPr>
      </w:pPr>
      <w:r>
        <w:rPr>
          <w:rFonts w:ascii="宋体" w:hAnsi="宋体" w:cs="宋体"/>
          <w:sz w:val="24"/>
          <w:szCs w:val="24"/>
        </w:rPr>
        <w:t>2.2</w:t>
      </w:r>
      <w:r>
        <w:rPr>
          <w:rFonts w:hint="eastAsia" w:ascii="宋体" w:hAnsi="宋体" w:cs="宋体"/>
          <w:sz w:val="24"/>
          <w:szCs w:val="24"/>
        </w:rPr>
        <w:t>任何对竞争性磋商文件进行询问或要求进行澄清的供应商，均应在收到竞争性磋商文件后二日内按竞争性磋商文件中的通讯地址以书面形式递交代理机构，采购人或代理机构对收到的任何询问或澄清要求将在三个工作日内作出书面答复。</w:t>
      </w:r>
    </w:p>
    <w:p>
      <w:pPr>
        <w:pStyle w:val="7"/>
        <w:numPr>
          <w:ilvl w:val="0"/>
          <w:numId w:val="6"/>
        </w:numPr>
      </w:pPr>
      <w:bookmarkStart w:id="32" w:name="_Toc6390"/>
      <w:r>
        <w:rPr>
          <w:rFonts w:hint="eastAsia"/>
        </w:rPr>
        <w:t>竞争性磋商文件的修改</w:t>
      </w:r>
      <w:bookmarkEnd w:id="32"/>
    </w:p>
    <w:p>
      <w:pPr>
        <w:tabs>
          <w:tab w:val="left" w:pos="0"/>
        </w:tabs>
        <w:adjustRightInd w:val="0"/>
        <w:snapToGrid w:val="0"/>
        <w:spacing w:line="360" w:lineRule="auto"/>
        <w:ind w:firstLine="480" w:firstLineChars="200"/>
        <w:jc w:val="left"/>
        <w:rPr>
          <w:rFonts w:ascii="宋体" w:cs="宋体"/>
          <w:sz w:val="24"/>
          <w:szCs w:val="24"/>
        </w:rPr>
      </w:pPr>
      <w:r>
        <w:rPr>
          <w:rFonts w:ascii="宋体" w:hAnsi="宋体" w:cs="宋体"/>
          <w:sz w:val="24"/>
          <w:szCs w:val="24"/>
        </w:rPr>
        <w:t>3.1</w:t>
      </w:r>
      <w:r>
        <w:rPr>
          <w:rFonts w:hint="eastAsia" w:ascii="宋体" w:hAnsi="宋体" w:cs="宋体"/>
          <w:sz w:val="24"/>
          <w:szCs w:val="24"/>
        </w:rPr>
        <w:t>在磋商截止时间</w:t>
      </w:r>
      <w:r>
        <w:rPr>
          <w:rFonts w:ascii="宋体" w:hAnsi="宋体" w:cs="宋体"/>
          <w:sz w:val="24"/>
          <w:szCs w:val="24"/>
        </w:rPr>
        <w:t>5</w:t>
      </w:r>
      <w:r>
        <w:rPr>
          <w:rFonts w:hint="eastAsia" w:ascii="宋体" w:hAnsi="宋体" w:cs="宋体"/>
          <w:sz w:val="24"/>
          <w:szCs w:val="24"/>
        </w:rPr>
        <w:t>日前，无论出于何种原因，代理机构可主动地或在解答供应商提出的澄清问题时，对竞争性磋商文件进行修改。竞争性磋商文件的澄清和修改将以书面形式通知所有供应商，并作为竞争性磋商文件的补充，与其具有同等法律效力。</w:t>
      </w:r>
    </w:p>
    <w:p>
      <w:pPr>
        <w:tabs>
          <w:tab w:val="left" w:pos="0"/>
        </w:tabs>
        <w:adjustRightInd w:val="0"/>
        <w:snapToGrid w:val="0"/>
        <w:spacing w:line="360" w:lineRule="auto"/>
        <w:ind w:firstLine="480" w:firstLineChars="200"/>
        <w:jc w:val="left"/>
        <w:rPr>
          <w:rFonts w:ascii="宋体" w:cs="宋体"/>
          <w:b/>
          <w:bCs/>
          <w:sz w:val="24"/>
          <w:szCs w:val="24"/>
        </w:rPr>
      </w:pPr>
      <w:r>
        <w:rPr>
          <w:rFonts w:ascii="宋体" w:hAnsi="宋体" w:cs="宋体"/>
          <w:sz w:val="24"/>
          <w:szCs w:val="24"/>
        </w:rPr>
        <w:t>3.2</w:t>
      </w:r>
      <w:r>
        <w:rPr>
          <w:rFonts w:hint="eastAsia" w:ascii="宋体" w:hAnsi="宋体" w:cs="宋体"/>
          <w:sz w:val="24"/>
          <w:szCs w:val="24"/>
        </w:rPr>
        <w:t>为方便供应商对竞争性磋商文件修改或澄清内容有充分的时间进行补充修改，代理机构可适当延长磋商截止时间和磋商时间，在竞争性磋商文件要求提交磋商响应文件的截止期三日前，将变更时间书面通知所有购买竞争性磋商文件的供应商。</w:t>
      </w:r>
    </w:p>
    <w:p>
      <w:pPr>
        <w:pStyle w:val="7"/>
        <w:numPr>
          <w:ilvl w:val="0"/>
          <w:numId w:val="6"/>
        </w:numPr>
      </w:pPr>
      <w:bookmarkStart w:id="33" w:name="_Toc31188"/>
      <w:r>
        <w:rPr>
          <w:rFonts w:hint="eastAsia"/>
        </w:rPr>
        <w:t>竞争性磋商文件的获取</w:t>
      </w:r>
      <w:bookmarkEnd w:id="33"/>
    </w:p>
    <w:p>
      <w:pPr>
        <w:widowControl/>
        <w:spacing w:line="360" w:lineRule="auto"/>
        <w:ind w:firstLine="480" w:firstLineChars="200"/>
        <w:jc w:val="left"/>
        <w:rPr>
          <w:rFonts w:ascii="宋体" w:cs="宋体"/>
          <w:sz w:val="24"/>
          <w:szCs w:val="24"/>
        </w:rPr>
      </w:pPr>
      <w:r>
        <w:rPr>
          <w:rFonts w:hint="eastAsia" w:ascii="宋体" w:hAnsi="宋体" w:cs="宋体"/>
          <w:sz w:val="24"/>
          <w:szCs w:val="24"/>
        </w:rPr>
        <w:t>供应商必须从代理机构购买竞争性磋商文件，供应商自行转让或复制竞争性磋商文件视为无效。竞争性磋商文件一经售出，一律不退，仅作为本次竞争性磋商使用。</w:t>
      </w:r>
    </w:p>
    <w:p>
      <w:pPr>
        <w:pStyle w:val="7"/>
        <w:numPr>
          <w:ilvl w:val="0"/>
          <w:numId w:val="6"/>
        </w:numPr>
        <w:rPr>
          <w:rFonts w:ascii="宋体" w:cs="宋体"/>
          <w:bCs w:val="0"/>
          <w:szCs w:val="28"/>
        </w:rPr>
        <w:sectPr>
          <w:pgSz w:w="11906" w:h="16838"/>
          <w:pgMar w:top="1440" w:right="1706" w:bottom="1440" w:left="1800" w:header="851" w:footer="992" w:gutter="0"/>
          <w:cols w:space="720" w:num="1"/>
          <w:docGrid w:type="lines" w:linePitch="312" w:charSpace="0"/>
        </w:sectPr>
      </w:pPr>
      <w:bookmarkStart w:id="34" w:name="_Toc5095"/>
      <w:r>
        <w:rPr>
          <w:rFonts w:hint="eastAsia"/>
        </w:rPr>
        <w:t>竞争性磋商文件的解释权归代理机构</w:t>
      </w:r>
      <w:bookmarkEnd w:id="34"/>
    </w:p>
    <w:p>
      <w:pPr>
        <w:widowControl/>
        <w:numPr>
          <w:ilvl w:val="0"/>
          <w:numId w:val="3"/>
        </w:numPr>
        <w:spacing w:line="360" w:lineRule="auto"/>
        <w:ind w:firstLine="643" w:firstLineChars="200"/>
        <w:jc w:val="center"/>
        <w:outlineLvl w:val="1"/>
        <w:rPr>
          <w:rFonts w:ascii="宋体" w:cs="宋体"/>
          <w:b/>
          <w:bCs/>
          <w:kern w:val="0"/>
          <w:sz w:val="32"/>
          <w:szCs w:val="28"/>
        </w:rPr>
      </w:pPr>
      <w:bookmarkStart w:id="35" w:name="_Toc15062"/>
      <w:bookmarkStart w:id="36" w:name="_Toc21524"/>
      <w:r>
        <w:rPr>
          <w:rFonts w:hint="eastAsia" w:ascii="宋体" w:hAnsi="宋体" w:cs="宋体"/>
          <w:b/>
          <w:bCs/>
          <w:kern w:val="0"/>
          <w:sz w:val="32"/>
          <w:szCs w:val="28"/>
        </w:rPr>
        <w:t>磋商响应文件</w:t>
      </w:r>
      <w:bookmarkEnd w:id="35"/>
      <w:bookmarkEnd w:id="36"/>
    </w:p>
    <w:p>
      <w:pPr>
        <w:pStyle w:val="7"/>
        <w:numPr>
          <w:ilvl w:val="0"/>
          <w:numId w:val="8"/>
        </w:numPr>
      </w:pPr>
      <w:bookmarkStart w:id="37" w:name="_Toc17549"/>
      <w:r>
        <w:rPr>
          <w:rFonts w:hint="eastAsia"/>
        </w:rPr>
        <w:t>磋商响应文件的编制</w:t>
      </w:r>
      <w:bookmarkEnd w:id="37"/>
    </w:p>
    <w:p>
      <w:pPr>
        <w:adjustRightInd w:val="0"/>
        <w:snapToGrid w:val="0"/>
        <w:spacing w:line="360" w:lineRule="auto"/>
        <w:ind w:firstLine="480" w:firstLineChars="200"/>
        <w:jc w:val="left"/>
        <w:rPr>
          <w:rFonts w:ascii="宋体" w:cs="宋体"/>
          <w:sz w:val="24"/>
          <w:szCs w:val="24"/>
        </w:rPr>
      </w:pPr>
      <w:r>
        <w:rPr>
          <w:rFonts w:hint="eastAsia" w:ascii="宋体" w:hAnsi="宋体" w:cs="宋体"/>
          <w:sz w:val="24"/>
          <w:szCs w:val="24"/>
        </w:rPr>
        <w:t>磋商响应文件需根据代理机构发售的竞争性磋商文件格式和顺序认真编制。具体内容包括：</w:t>
      </w:r>
    </w:p>
    <w:p>
      <w:pPr>
        <w:numPr>
          <w:ilvl w:val="0"/>
          <w:numId w:val="9"/>
        </w:numPr>
        <w:tabs>
          <w:tab w:val="left" w:pos="0"/>
        </w:tabs>
        <w:spacing w:line="500" w:lineRule="exact"/>
        <w:ind w:firstLine="480" w:firstLineChars="200"/>
        <w:jc w:val="left"/>
        <w:rPr>
          <w:rFonts w:asciiTheme="minorEastAsia" w:hAnsiTheme="minorEastAsia" w:cstheme="minorEastAsia"/>
          <w:color w:val="000000" w:themeColor="text1"/>
          <w:sz w:val="24"/>
          <w:szCs w:val="24"/>
        </w:rPr>
      </w:pPr>
      <w:bookmarkStart w:id="38" w:name="_Toc27646"/>
      <w:r>
        <w:rPr>
          <w:rFonts w:hint="eastAsia" w:asciiTheme="minorEastAsia" w:hAnsiTheme="minorEastAsia" w:cstheme="minorEastAsia"/>
          <w:color w:val="000000" w:themeColor="text1"/>
          <w:sz w:val="24"/>
          <w:szCs w:val="24"/>
        </w:rPr>
        <w:t>磋商函；</w:t>
      </w:r>
    </w:p>
    <w:p>
      <w:pPr>
        <w:numPr>
          <w:ilvl w:val="0"/>
          <w:numId w:val="9"/>
        </w:numPr>
        <w:tabs>
          <w:tab w:val="left" w:pos="0"/>
        </w:tabs>
        <w:spacing w:line="500" w:lineRule="exact"/>
        <w:ind w:firstLine="480" w:firstLineChars="200"/>
        <w:jc w:val="left"/>
        <w:rPr>
          <w:rFonts w:asciiTheme="minorEastAsia" w:hAnsiTheme="minorEastAsia" w:cstheme="minorEastAsia"/>
          <w:color w:val="000000" w:themeColor="text1"/>
          <w:sz w:val="24"/>
          <w:szCs w:val="24"/>
        </w:rPr>
      </w:pPr>
      <w:r>
        <w:rPr>
          <w:rFonts w:hint="eastAsia" w:asciiTheme="minorEastAsia" w:hAnsiTheme="minorEastAsia" w:cstheme="minorEastAsia"/>
          <w:color w:val="000000" w:themeColor="text1"/>
          <w:sz w:val="24"/>
          <w:szCs w:val="24"/>
        </w:rPr>
        <w:t>磋商一览表；</w:t>
      </w:r>
    </w:p>
    <w:p>
      <w:pPr>
        <w:numPr>
          <w:ilvl w:val="0"/>
          <w:numId w:val="9"/>
        </w:numPr>
        <w:tabs>
          <w:tab w:val="left" w:pos="0"/>
        </w:tabs>
        <w:spacing w:line="500" w:lineRule="exact"/>
        <w:ind w:firstLine="480" w:firstLineChars="200"/>
        <w:jc w:val="left"/>
        <w:rPr>
          <w:rFonts w:asciiTheme="minorEastAsia" w:hAnsiTheme="minorEastAsia" w:cstheme="minorEastAsia"/>
          <w:color w:val="000000" w:themeColor="text1"/>
          <w:sz w:val="24"/>
          <w:szCs w:val="24"/>
        </w:rPr>
      </w:pPr>
      <w:r>
        <w:rPr>
          <w:rFonts w:hint="eastAsia" w:asciiTheme="minorEastAsia" w:hAnsiTheme="minorEastAsia" w:cstheme="minorEastAsia"/>
          <w:color w:val="000000" w:themeColor="text1"/>
          <w:sz w:val="24"/>
          <w:szCs w:val="24"/>
        </w:rPr>
        <w:t>磋商产品分项报价表；</w:t>
      </w:r>
    </w:p>
    <w:p>
      <w:pPr>
        <w:numPr>
          <w:ilvl w:val="0"/>
          <w:numId w:val="9"/>
        </w:numPr>
        <w:tabs>
          <w:tab w:val="left" w:pos="0"/>
        </w:tabs>
        <w:spacing w:line="500" w:lineRule="exact"/>
        <w:ind w:firstLine="480" w:firstLineChars="200"/>
        <w:jc w:val="left"/>
        <w:rPr>
          <w:rFonts w:asciiTheme="minorEastAsia" w:hAnsiTheme="minorEastAsia" w:cstheme="minorEastAsia"/>
          <w:color w:val="000000" w:themeColor="text1"/>
          <w:sz w:val="24"/>
          <w:szCs w:val="24"/>
        </w:rPr>
      </w:pPr>
      <w:r>
        <w:rPr>
          <w:rFonts w:hint="eastAsia" w:asciiTheme="minorEastAsia" w:hAnsiTheme="minorEastAsia" w:cstheme="minorEastAsia"/>
          <w:color w:val="000000" w:themeColor="text1"/>
          <w:sz w:val="24"/>
          <w:szCs w:val="24"/>
        </w:rPr>
        <w:t>磋商产品技术响应偏离表；</w:t>
      </w:r>
    </w:p>
    <w:p>
      <w:pPr>
        <w:numPr>
          <w:ilvl w:val="0"/>
          <w:numId w:val="9"/>
        </w:numPr>
        <w:tabs>
          <w:tab w:val="left" w:pos="0"/>
        </w:tabs>
        <w:spacing w:line="500" w:lineRule="exact"/>
        <w:ind w:firstLine="480" w:firstLineChars="200"/>
        <w:jc w:val="left"/>
        <w:rPr>
          <w:rFonts w:asciiTheme="minorEastAsia" w:hAnsiTheme="minorEastAsia" w:cstheme="minorEastAsia"/>
          <w:color w:val="000000" w:themeColor="text1"/>
          <w:sz w:val="24"/>
          <w:szCs w:val="24"/>
        </w:rPr>
      </w:pPr>
      <w:r>
        <w:rPr>
          <w:rFonts w:hint="eastAsia" w:asciiTheme="minorEastAsia" w:hAnsiTheme="minorEastAsia" w:cstheme="minorEastAsia"/>
          <w:color w:val="000000" w:themeColor="text1"/>
          <w:sz w:val="24"/>
          <w:szCs w:val="24"/>
        </w:rPr>
        <w:t>商务响应说明；</w:t>
      </w:r>
    </w:p>
    <w:p>
      <w:pPr>
        <w:numPr>
          <w:ilvl w:val="0"/>
          <w:numId w:val="9"/>
        </w:numPr>
        <w:tabs>
          <w:tab w:val="left" w:pos="0"/>
        </w:tabs>
        <w:spacing w:line="500" w:lineRule="exact"/>
        <w:ind w:firstLine="480" w:firstLineChars="200"/>
        <w:jc w:val="left"/>
        <w:rPr>
          <w:rFonts w:asciiTheme="minorEastAsia" w:hAnsiTheme="minorEastAsia" w:cstheme="minorEastAsia"/>
          <w:color w:val="000000" w:themeColor="text1"/>
          <w:sz w:val="24"/>
          <w:szCs w:val="24"/>
        </w:rPr>
      </w:pPr>
      <w:r>
        <w:rPr>
          <w:rFonts w:hint="eastAsia" w:asciiTheme="minorEastAsia" w:hAnsiTheme="minorEastAsia" w:cstheme="minorEastAsia"/>
          <w:color w:val="000000" w:themeColor="text1"/>
          <w:sz w:val="24"/>
          <w:szCs w:val="24"/>
        </w:rPr>
        <w:t>供应商资格要求；</w:t>
      </w:r>
    </w:p>
    <w:p>
      <w:pPr>
        <w:numPr>
          <w:ilvl w:val="0"/>
          <w:numId w:val="9"/>
        </w:numPr>
        <w:tabs>
          <w:tab w:val="left" w:pos="0"/>
        </w:tabs>
        <w:spacing w:line="500" w:lineRule="exact"/>
        <w:ind w:firstLine="480" w:firstLineChars="200"/>
        <w:jc w:val="left"/>
        <w:rPr>
          <w:rFonts w:asciiTheme="minorEastAsia" w:hAnsiTheme="minorEastAsia" w:cstheme="minorEastAsia"/>
          <w:color w:val="000000" w:themeColor="text1"/>
          <w:sz w:val="24"/>
          <w:szCs w:val="24"/>
        </w:rPr>
      </w:pPr>
      <w:r>
        <w:rPr>
          <w:rFonts w:hint="eastAsia" w:asciiTheme="minorEastAsia" w:hAnsiTheme="minorEastAsia" w:cstheme="minorEastAsia"/>
          <w:color w:val="000000" w:themeColor="text1"/>
          <w:sz w:val="24"/>
          <w:szCs w:val="24"/>
        </w:rPr>
        <w:t>投标技术方案；</w:t>
      </w:r>
    </w:p>
    <w:p>
      <w:pPr>
        <w:numPr>
          <w:ilvl w:val="0"/>
          <w:numId w:val="9"/>
        </w:numPr>
        <w:tabs>
          <w:tab w:val="left" w:pos="0"/>
        </w:tabs>
        <w:spacing w:line="500" w:lineRule="exact"/>
        <w:ind w:firstLine="480" w:firstLineChars="200"/>
        <w:jc w:val="left"/>
        <w:rPr>
          <w:rFonts w:asciiTheme="minorEastAsia" w:hAnsiTheme="minorEastAsia" w:cstheme="minorEastAsia"/>
          <w:color w:val="000000" w:themeColor="text1"/>
          <w:sz w:val="24"/>
          <w:szCs w:val="24"/>
        </w:rPr>
      </w:pPr>
      <w:r>
        <w:rPr>
          <w:rFonts w:hint="eastAsia" w:asciiTheme="minorEastAsia" w:hAnsiTheme="minorEastAsia" w:cstheme="minorEastAsia"/>
          <w:color w:val="000000" w:themeColor="text1"/>
          <w:sz w:val="24"/>
          <w:szCs w:val="24"/>
        </w:rPr>
        <w:t>供应商类似项目业绩一览表；</w:t>
      </w:r>
    </w:p>
    <w:p>
      <w:pPr>
        <w:numPr>
          <w:ilvl w:val="0"/>
          <w:numId w:val="9"/>
        </w:numPr>
        <w:tabs>
          <w:tab w:val="left" w:pos="0"/>
        </w:tabs>
        <w:spacing w:line="360" w:lineRule="auto"/>
        <w:ind w:firstLine="480" w:firstLineChars="200"/>
        <w:jc w:val="left"/>
        <w:rPr>
          <w:rFonts w:asciiTheme="minorEastAsia" w:hAnsiTheme="minorEastAsia" w:cstheme="minorEastAsia"/>
          <w:color w:val="000000" w:themeColor="text1"/>
          <w:sz w:val="24"/>
          <w:szCs w:val="24"/>
        </w:rPr>
      </w:pPr>
      <w:r>
        <w:rPr>
          <w:rFonts w:hint="eastAsia" w:asciiTheme="minorEastAsia" w:hAnsiTheme="minorEastAsia" w:cstheme="minorEastAsia"/>
          <w:color w:val="000000" w:themeColor="text1"/>
          <w:sz w:val="24"/>
          <w:szCs w:val="24"/>
        </w:rPr>
        <w:t>供应商认为有必要说明的其他问题；</w:t>
      </w:r>
    </w:p>
    <w:p>
      <w:pPr>
        <w:spacing w:line="360" w:lineRule="auto"/>
        <w:rPr>
          <w:color w:val="000000" w:themeColor="text1"/>
        </w:rPr>
      </w:pPr>
      <w:r>
        <w:rPr>
          <w:rFonts w:hint="eastAsia" w:asciiTheme="minorEastAsia" w:hAnsiTheme="minorEastAsia" w:cstheme="minorEastAsia"/>
          <w:color w:val="000000" w:themeColor="text1"/>
          <w:sz w:val="24"/>
          <w:szCs w:val="24"/>
        </w:rPr>
        <w:t xml:space="preserve">    （10）供应商承诺书。</w:t>
      </w:r>
    </w:p>
    <w:p>
      <w:pPr>
        <w:pStyle w:val="7"/>
        <w:numPr>
          <w:ilvl w:val="0"/>
          <w:numId w:val="8"/>
        </w:numPr>
        <w:rPr>
          <w:color w:val="000000" w:themeColor="text1"/>
        </w:rPr>
      </w:pPr>
      <w:r>
        <w:rPr>
          <w:rFonts w:hint="eastAsia"/>
          <w:color w:val="000000" w:themeColor="text1"/>
        </w:rPr>
        <w:t>磋商报价</w:t>
      </w:r>
      <w:bookmarkEnd w:id="38"/>
    </w:p>
    <w:p>
      <w:pPr>
        <w:widowControl/>
        <w:spacing w:line="500" w:lineRule="exact"/>
        <w:ind w:firstLine="480" w:firstLineChars="200"/>
        <w:jc w:val="left"/>
        <w:rPr>
          <w:rFonts w:asciiTheme="minorEastAsia" w:hAnsiTheme="minorEastAsia" w:cstheme="minorEastAsia"/>
          <w:sz w:val="24"/>
          <w:szCs w:val="24"/>
          <w:highlight w:val="yellow"/>
        </w:rPr>
      </w:pPr>
      <w:r>
        <w:rPr>
          <w:rFonts w:hint="eastAsia" w:asciiTheme="minorEastAsia" w:hAnsiTheme="minorEastAsia" w:cstheme="minorEastAsia"/>
          <w:sz w:val="24"/>
          <w:szCs w:val="24"/>
          <w:highlight w:val="yellow"/>
        </w:rPr>
        <w:t>2.1投标总报价是指设备到达使用地点、验收合格达到正常使用条件前的所有费用，包括但不限于以下费用：货物价值、安装调试费、国内外运杂费（含保险）、仓储保管费、技术培训费、检测费、施工费、人工费等，进口产品还应包括进出口业务代理费（按投标总报价的1%收取）、国内银行手续费、报关费、商检费及进口产品按国家政策征收的一切税费等。</w:t>
      </w:r>
    </w:p>
    <w:p>
      <w:pPr>
        <w:widowControl/>
        <w:spacing w:line="500" w:lineRule="exact"/>
        <w:ind w:firstLine="480" w:firstLineChars="200"/>
        <w:jc w:val="left"/>
        <w:rPr>
          <w:rFonts w:asciiTheme="minorEastAsia" w:hAnsiTheme="minorEastAsia" w:cstheme="minorEastAsia"/>
          <w:sz w:val="24"/>
          <w:szCs w:val="24"/>
          <w:highlight w:val="yellow"/>
        </w:rPr>
      </w:pPr>
      <w:r>
        <w:rPr>
          <w:rFonts w:hint="eastAsia" w:asciiTheme="minorEastAsia" w:hAnsiTheme="minorEastAsia" w:cstheme="minorEastAsia"/>
          <w:sz w:val="24"/>
          <w:szCs w:val="24"/>
          <w:highlight w:val="yellow"/>
        </w:rPr>
        <w:t>投标报价表中标明本次货物、服务的所有单项价格和总价，任何有选择的报价将不予接受，否则按无效投标处理。</w:t>
      </w:r>
    </w:p>
    <w:p>
      <w:pPr>
        <w:widowControl/>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highlight w:val="yellow"/>
        </w:rPr>
        <w:t>进口产品（经专家论证允许采购的情况下）按人民币报价，此报价不受市场价格及外汇汇率波动影响。采购人及招标代理机构不接受任何未办理合法进口手续的非国内生产产品的投标报价。</w:t>
      </w:r>
    </w:p>
    <w:p>
      <w:pPr>
        <w:spacing w:line="360" w:lineRule="auto"/>
        <w:ind w:firstLine="420" w:firstLineChars="175"/>
        <w:rPr>
          <w:rFonts w:ascii="宋体" w:cs="宋体"/>
          <w:sz w:val="24"/>
        </w:rPr>
      </w:pPr>
      <w:r>
        <w:rPr>
          <w:rFonts w:ascii="宋体" w:hAnsi="宋体" w:cs="宋体"/>
          <w:sz w:val="24"/>
          <w:szCs w:val="24"/>
        </w:rPr>
        <w:t>2.</w:t>
      </w:r>
      <w:r>
        <w:rPr>
          <w:rFonts w:hint="eastAsia" w:ascii="宋体" w:hAnsi="宋体" w:cs="宋体"/>
          <w:sz w:val="24"/>
          <w:szCs w:val="24"/>
        </w:rPr>
        <w:t>2供应商</w:t>
      </w:r>
      <w:r>
        <w:rPr>
          <w:rFonts w:hint="eastAsia" w:ascii="宋体" w:hAnsi="宋体" w:cs="宋体"/>
          <w:sz w:val="24"/>
        </w:rPr>
        <w:t>应在磋商响应文件中的磋商一览表（唱标报告）上，标明所投产品的总报价、</w:t>
      </w:r>
      <w:r>
        <w:rPr>
          <w:rFonts w:hint="eastAsia" w:ascii="宋体" w:hAnsi="宋体" w:cs="宋体"/>
          <w:sz w:val="24"/>
          <w:lang w:eastAsia="zh-CN"/>
        </w:rPr>
        <w:t>完工</w:t>
      </w:r>
      <w:r>
        <w:rPr>
          <w:rFonts w:hint="eastAsia" w:ascii="宋体" w:hAnsi="宋体" w:cs="宋体"/>
          <w:sz w:val="24"/>
        </w:rPr>
        <w:t>期、质保期等；任何有选择的报价不予接受。</w:t>
      </w:r>
    </w:p>
    <w:p>
      <w:pPr>
        <w:spacing w:line="360" w:lineRule="auto"/>
        <w:ind w:firstLine="420" w:firstLineChars="175"/>
        <w:rPr>
          <w:rFonts w:ascii="宋体" w:cs="宋体"/>
          <w:color w:val="0000FF"/>
          <w:sz w:val="24"/>
          <w:szCs w:val="24"/>
        </w:rPr>
      </w:pPr>
      <w:r>
        <w:rPr>
          <w:rFonts w:ascii="宋体" w:hAnsi="宋体" w:cs="宋体"/>
          <w:sz w:val="24"/>
        </w:rPr>
        <w:t>2.</w:t>
      </w:r>
      <w:r>
        <w:rPr>
          <w:rFonts w:hint="eastAsia" w:ascii="宋体" w:hAnsi="宋体" w:cs="宋体"/>
          <w:sz w:val="24"/>
        </w:rPr>
        <w:t>3最低报价不是成交的唯一依据。</w:t>
      </w:r>
    </w:p>
    <w:p>
      <w:pPr>
        <w:pStyle w:val="7"/>
        <w:numPr>
          <w:ilvl w:val="0"/>
          <w:numId w:val="8"/>
        </w:numPr>
      </w:pPr>
      <w:bookmarkStart w:id="39" w:name="_Toc29200"/>
      <w:r>
        <w:rPr>
          <w:rFonts w:hint="eastAsia"/>
        </w:rPr>
        <w:t>磋商货币</w:t>
      </w:r>
      <w:bookmarkEnd w:id="39"/>
    </w:p>
    <w:p>
      <w:pPr>
        <w:widowControl/>
        <w:spacing w:line="360" w:lineRule="auto"/>
        <w:ind w:firstLine="480" w:firstLineChars="200"/>
        <w:rPr>
          <w:rFonts w:ascii="宋体" w:cs="宋体"/>
          <w:kern w:val="0"/>
          <w:sz w:val="24"/>
        </w:rPr>
      </w:pPr>
      <w:r>
        <w:rPr>
          <w:rFonts w:hint="eastAsia" w:ascii="宋体" w:hAnsi="宋体" w:cs="宋体"/>
          <w:kern w:val="0"/>
          <w:sz w:val="24"/>
        </w:rPr>
        <w:t>采购人只接受人民币作为唯一谈判货币。</w:t>
      </w:r>
    </w:p>
    <w:p>
      <w:pPr>
        <w:pStyle w:val="7"/>
        <w:numPr>
          <w:ilvl w:val="0"/>
          <w:numId w:val="8"/>
        </w:numPr>
      </w:pPr>
      <w:bookmarkStart w:id="40" w:name="_Toc1311"/>
      <w:r>
        <w:rPr>
          <w:rFonts w:hint="eastAsia"/>
        </w:rPr>
        <w:t>磋商保证金</w:t>
      </w:r>
      <w:bookmarkEnd w:id="40"/>
    </w:p>
    <w:p>
      <w:pPr>
        <w:numPr>
          <w:ilvl w:val="0"/>
          <w:numId w:val="10"/>
        </w:numPr>
        <w:tabs>
          <w:tab w:val="left" w:pos="0"/>
        </w:tabs>
        <w:adjustRightInd w:val="0"/>
        <w:snapToGrid w:val="0"/>
        <w:spacing w:line="360" w:lineRule="auto"/>
        <w:ind w:firstLine="480" w:firstLineChars="200"/>
        <w:jc w:val="left"/>
        <w:rPr>
          <w:rFonts w:ascii="宋体" w:cs="宋体"/>
          <w:sz w:val="24"/>
          <w:szCs w:val="24"/>
        </w:rPr>
      </w:pPr>
      <w:r>
        <w:rPr>
          <w:rFonts w:hint="eastAsia" w:ascii="宋体" w:hAnsi="宋体" w:cs="宋体"/>
          <w:sz w:val="24"/>
        </w:rPr>
        <w:t>磋商保证金按照供应商须知前附表要求缴纳。</w:t>
      </w:r>
    </w:p>
    <w:p>
      <w:pPr>
        <w:numPr>
          <w:ilvl w:val="0"/>
          <w:numId w:val="10"/>
        </w:numPr>
        <w:tabs>
          <w:tab w:val="left" w:pos="0"/>
        </w:tabs>
        <w:adjustRightInd w:val="0"/>
        <w:snapToGrid w:val="0"/>
        <w:spacing w:line="360" w:lineRule="auto"/>
        <w:ind w:firstLine="480" w:firstLineChars="200"/>
        <w:jc w:val="left"/>
        <w:rPr>
          <w:rFonts w:ascii="宋体" w:cs="宋体"/>
          <w:sz w:val="24"/>
          <w:szCs w:val="24"/>
        </w:rPr>
      </w:pPr>
      <w:r>
        <w:rPr>
          <w:rFonts w:hint="eastAsia" w:ascii="宋体" w:hAnsi="宋体" w:cs="宋体"/>
          <w:sz w:val="24"/>
          <w:szCs w:val="24"/>
        </w:rPr>
        <w:t>供应商未按照竞争性磋商文件要求交纳磋商保证金的或磋商保证金的交付单位和供应商的名称必须一致，视为无效磋商。</w:t>
      </w:r>
    </w:p>
    <w:p>
      <w:pPr>
        <w:numPr>
          <w:ilvl w:val="0"/>
          <w:numId w:val="10"/>
        </w:numPr>
        <w:tabs>
          <w:tab w:val="left" w:pos="0"/>
        </w:tabs>
        <w:adjustRightInd w:val="0"/>
        <w:snapToGrid w:val="0"/>
        <w:spacing w:line="360" w:lineRule="auto"/>
        <w:ind w:firstLine="480" w:firstLineChars="200"/>
        <w:jc w:val="left"/>
        <w:rPr>
          <w:rFonts w:ascii="宋体" w:cs="宋体"/>
          <w:sz w:val="24"/>
          <w:szCs w:val="24"/>
        </w:rPr>
      </w:pPr>
      <w:r>
        <w:rPr>
          <w:rFonts w:hint="eastAsia" w:ascii="宋体" w:hAnsi="宋体" w:cs="宋体"/>
          <w:sz w:val="24"/>
          <w:szCs w:val="24"/>
        </w:rPr>
        <w:t>未成交供应商的磋商保证金，在成交通知书发出后</w:t>
      </w:r>
      <w:r>
        <w:rPr>
          <w:rFonts w:ascii="宋体" w:hAnsi="宋体" w:cs="宋体"/>
          <w:sz w:val="24"/>
          <w:szCs w:val="24"/>
        </w:rPr>
        <w:t>5</w:t>
      </w:r>
      <w:r>
        <w:rPr>
          <w:rFonts w:hint="eastAsia" w:ascii="宋体" w:hAnsi="宋体" w:cs="宋体"/>
          <w:sz w:val="24"/>
          <w:szCs w:val="24"/>
        </w:rPr>
        <w:t>个工作日内无息退还；成交供应商的磋商保证金在合同签订后</w:t>
      </w:r>
      <w:r>
        <w:rPr>
          <w:rFonts w:ascii="宋体" w:hAnsi="宋体" w:cs="宋体"/>
          <w:sz w:val="24"/>
          <w:szCs w:val="24"/>
        </w:rPr>
        <w:t>5</w:t>
      </w:r>
      <w:r>
        <w:rPr>
          <w:rFonts w:hint="eastAsia" w:ascii="宋体" w:hAnsi="宋体" w:cs="宋体"/>
          <w:sz w:val="24"/>
          <w:szCs w:val="24"/>
        </w:rPr>
        <w:t>个工作日内无息退还。</w:t>
      </w:r>
    </w:p>
    <w:p>
      <w:pPr>
        <w:numPr>
          <w:ilvl w:val="0"/>
          <w:numId w:val="10"/>
        </w:numPr>
        <w:tabs>
          <w:tab w:val="left" w:pos="0"/>
        </w:tabs>
        <w:adjustRightInd w:val="0"/>
        <w:snapToGrid w:val="0"/>
        <w:spacing w:line="360" w:lineRule="auto"/>
        <w:ind w:firstLine="480" w:firstLineChars="200"/>
        <w:rPr>
          <w:rFonts w:ascii="宋体" w:cs="宋体"/>
          <w:sz w:val="24"/>
          <w:szCs w:val="24"/>
        </w:rPr>
      </w:pPr>
      <w:r>
        <w:rPr>
          <w:rFonts w:hint="eastAsia" w:ascii="宋体" w:hAnsi="宋体" w:cs="宋体"/>
          <w:sz w:val="24"/>
          <w:szCs w:val="24"/>
        </w:rPr>
        <w:t>发生下列情形之一的，代理机构将不予退还供应商交纳的磋商保证金：</w:t>
      </w:r>
    </w:p>
    <w:p>
      <w:pPr>
        <w:numPr>
          <w:ilvl w:val="0"/>
          <w:numId w:val="11"/>
        </w:numPr>
        <w:tabs>
          <w:tab w:val="left" w:pos="0"/>
        </w:tabs>
        <w:adjustRightInd w:val="0"/>
        <w:snapToGrid w:val="0"/>
        <w:spacing w:line="360" w:lineRule="auto"/>
        <w:ind w:left="6" w:firstLine="480" w:firstLineChars="200"/>
        <w:rPr>
          <w:rFonts w:ascii="宋体" w:cs="宋体"/>
          <w:sz w:val="24"/>
          <w:szCs w:val="24"/>
        </w:rPr>
      </w:pPr>
      <w:r>
        <w:rPr>
          <w:rFonts w:hint="eastAsia" w:ascii="宋体" w:hAnsi="宋体" w:cs="宋体"/>
          <w:sz w:val="24"/>
        </w:rPr>
        <w:t>磋商后在竞争性磋商文件规定的磋商有效期间，供应商撤回其磋商响应文件</w:t>
      </w:r>
      <w:r>
        <w:rPr>
          <w:rFonts w:hint="eastAsia" w:ascii="宋体" w:hAnsi="宋体" w:cs="宋体"/>
          <w:sz w:val="24"/>
          <w:szCs w:val="24"/>
        </w:rPr>
        <w:t>；</w:t>
      </w:r>
    </w:p>
    <w:p>
      <w:pPr>
        <w:numPr>
          <w:ilvl w:val="0"/>
          <w:numId w:val="11"/>
        </w:numPr>
        <w:adjustRightInd w:val="0"/>
        <w:snapToGrid w:val="0"/>
        <w:spacing w:line="360" w:lineRule="auto"/>
        <w:ind w:left="6" w:firstLine="480" w:firstLineChars="200"/>
        <w:rPr>
          <w:rFonts w:ascii="宋体" w:cs="宋体"/>
          <w:sz w:val="24"/>
          <w:szCs w:val="24"/>
        </w:rPr>
      </w:pPr>
      <w:r>
        <w:rPr>
          <w:rFonts w:hint="eastAsia" w:ascii="宋体" w:hAnsi="宋体" w:cs="宋体"/>
          <w:sz w:val="24"/>
          <w:szCs w:val="24"/>
        </w:rPr>
        <w:t>在采购人确定成交供应商以前放弃成交候选资格的；</w:t>
      </w:r>
    </w:p>
    <w:p>
      <w:pPr>
        <w:numPr>
          <w:ilvl w:val="0"/>
          <w:numId w:val="11"/>
        </w:numPr>
        <w:adjustRightInd w:val="0"/>
        <w:snapToGrid w:val="0"/>
        <w:spacing w:line="360" w:lineRule="auto"/>
        <w:ind w:left="6" w:firstLine="480" w:firstLineChars="200"/>
        <w:rPr>
          <w:rFonts w:ascii="宋体" w:cs="宋体"/>
          <w:sz w:val="24"/>
          <w:szCs w:val="24"/>
        </w:rPr>
      </w:pPr>
      <w:r>
        <w:rPr>
          <w:rFonts w:hint="eastAsia" w:ascii="宋体" w:hAnsi="宋体" w:cs="宋体"/>
          <w:sz w:val="24"/>
          <w:szCs w:val="24"/>
        </w:rPr>
        <w:t>由于成交供应商原因未能按照竞争性磋商文件的规定与采购人签订合同；</w:t>
      </w:r>
    </w:p>
    <w:p>
      <w:pPr>
        <w:numPr>
          <w:ilvl w:val="0"/>
          <w:numId w:val="11"/>
        </w:numPr>
        <w:adjustRightInd w:val="0"/>
        <w:snapToGrid w:val="0"/>
        <w:spacing w:line="360" w:lineRule="auto"/>
        <w:ind w:left="6" w:firstLine="480" w:firstLineChars="200"/>
        <w:rPr>
          <w:rFonts w:ascii="宋体" w:cs="宋体"/>
          <w:sz w:val="24"/>
          <w:szCs w:val="24"/>
        </w:rPr>
      </w:pPr>
      <w:r>
        <w:rPr>
          <w:rFonts w:hint="eastAsia" w:ascii="宋体" w:hAnsi="宋体" w:cs="宋体"/>
          <w:sz w:val="24"/>
          <w:szCs w:val="24"/>
        </w:rPr>
        <w:t>由于成交供应商原因未能按照竞争性磋商文件的规定交纳履约保证金；</w:t>
      </w:r>
    </w:p>
    <w:p>
      <w:pPr>
        <w:numPr>
          <w:ilvl w:val="0"/>
          <w:numId w:val="11"/>
        </w:numPr>
        <w:adjustRightInd w:val="0"/>
        <w:snapToGrid w:val="0"/>
        <w:spacing w:line="360" w:lineRule="auto"/>
        <w:ind w:left="5" w:firstLine="480" w:firstLineChars="200"/>
        <w:rPr>
          <w:rFonts w:ascii="宋体" w:cs="宋体"/>
          <w:sz w:val="24"/>
          <w:szCs w:val="24"/>
        </w:rPr>
      </w:pPr>
      <w:r>
        <w:rPr>
          <w:rFonts w:hint="eastAsia" w:ascii="宋体" w:hAnsi="宋体" w:cs="宋体"/>
          <w:sz w:val="24"/>
          <w:szCs w:val="24"/>
        </w:rPr>
        <w:t>磋商有效期内，供应商在政府采购活动中有违法、违规、违纪行为。</w:t>
      </w:r>
    </w:p>
    <w:p>
      <w:pPr>
        <w:numPr>
          <w:ilvl w:val="0"/>
          <w:numId w:val="10"/>
        </w:numPr>
        <w:tabs>
          <w:tab w:val="left" w:pos="0"/>
        </w:tabs>
        <w:adjustRightInd w:val="0"/>
        <w:snapToGrid w:val="0"/>
        <w:spacing w:line="360" w:lineRule="auto"/>
        <w:ind w:left="5" w:firstLine="480" w:firstLineChars="200"/>
        <w:rPr>
          <w:rFonts w:ascii="宋体" w:cs="宋体"/>
          <w:sz w:val="24"/>
          <w:szCs w:val="24"/>
        </w:rPr>
      </w:pPr>
      <w:r>
        <w:rPr>
          <w:rFonts w:hint="eastAsia" w:ascii="宋体" w:hAnsi="宋体" w:cs="宋体"/>
          <w:sz w:val="24"/>
          <w:szCs w:val="24"/>
        </w:rPr>
        <w:t>未成交的供应商在退取磋商保证金时，</w:t>
      </w:r>
      <w:r>
        <w:rPr>
          <w:rFonts w:hint="eastAsia" w:ascii="宋体" w:hAnsi="宋体" w:cs="宋体"/>
          <w:sz w:val="24"/>
        </w:rPr>
        <w:t>须</w:t>
      </w:r>
      <w:r>
        <w:rPr>
          <w:rFonts w:hint="eastAsia" w:ascii="宋体" w:hAnsi="宋体" w:cs="宋体"/>
          <w:sz w:val="24"/>
          <w:szCs w:val="24"/>
        </w:rPr>
        <w:t>携带以下资料办理到代理机构的财务部门办理</w:t>
      </w:r>
      <w:r>
        <w:rPr>
          <w:rFonts w:ascii="宋体" w:hAnsi="宋体" w:cs="宋体"/>
          <w:sz w:val="24"/>
          <w:szCs w:val="24"/>
        </w:rPr>
        <w:t>:</w:t>
      </w:r>
    </w:p>
    <w:p>
      <w:pPr>
        <w:numPr>
          <w:ilvl w:val="0"/>
          <w:numId w:val="12"/>
        </w:numPr>
        <w:adjustRightInd w:val="0"/>
        <w:snapToGrid w:val="0"/>
        <w:spacing w:line="360" w:lineRule="auto"/>
        <w:ind w:left="6" w:firstLine="480" w:firstLineChars="200"/>
        <w:rPr>
          <w:rFonts w:ascii="宋体" w:cs="宋体"/>
          <w:sz w:val="24"/>
          <w:szCs w:val="24"/>
        </w:rPr>
      </w:pPr>
      <w:r>
        <w:rPr>
          <w:rFonts w:hint="eastAsia" w:ascii="宋体" w:hAnsi="宋体" w:cs="宋体"/>
          <w:sz w:val="24"/>
          <w:szCs w:val="24"/>
        </w:rPr>
        <w:t>保证金退还账户信息确认表（加盖公章）见</w:t>
      </w:r>
      <w:r>
        <w:rPr>
          <w:rFonts w:hint="eastAsia" w:ascii="宋体" w:hAnsi="宋体" w:cs="宋体"/>
          <w:b/>
          <w:bCs/>
          <w:sz w:val="24"/>
          <w:szCs w:val="24"/>
        </w:rPr>
        <w:t>附件六</w:t>
      </w:r>
    </w:p>
    <w:p>
      <w:pPr>
        <w:numPr>
          <w:ilvl w:val="0"/>
          <w:numId w:val="12"/>
        </w:numPr>
        <w:adjustRightInd w:val="0"/>
        <w:snapToGrid w:val="0"/>
        <w:spacing w:line="360" w:lineRule="auto"/>
        <w:ind w:left="6" w:firstLine="480" w:firstLineChars="200"/>
        <w:rPr>
          <w:rFonts w:ascii="宋体" w:cs="宋体"/>
          <w:sz w:val="24"/>
          <w:szCs w:val="24"/>
        </w:rPr>
      </w:pPr>
      <w:r>
        <w:rPr>
          <w:rFonts w:hint="eastAsia" w:ascii="宋体" w:hAnsi="宋体" w:cs="宋体"/>
          <w:bCs/>
          <w:kern w:val="0"/>
          <w:sz w:val="24"/>
          <w:szCs w:val="24"/>
        </w:rPr>
        <w:t>须提供磋商保证金缴纳凭证（加盖供应商公章）</w:t>
      </w:r>
      <w:r>
        <w:rPr>
          <w:rFonts w:hint="eastAsia" w:ascii="宋体" w:hAnsi="宋体" w:cs="宋体"/>
          <w:sz w:val="24"/>
          <w:szCs w:val="24"/>
        </w:rPr>
        <w:t>。</w:t>
      </w:r>
    </w:p>
    <w:p>
      <w:pPr>
        <w:numPr>
          <w:ilvl w:val="0"/>
          <w:numId w:val="13"/>
        </w:numPr>
        <w:tabs>
          <w:tab w:val="left" w:pos="0"/>
        </w:tabs>
        <w:adjustRightInd w:val="0"/>
        <w:snapToGrid w:val="0"/>
        <w:spacing w:line="360" w:lineRule="auto"/>
        <w:rPr>
          <w:rFonts w:ascii="宋体" w:cs="宋体"/>
          <w:b/>
          <w:bCs/>
          <w:sz w:val="24"/>
          <w:szCs w:val="24"/>
        </w:rPr>
      </w:pPr>
      <w:r>
        <w:rPr>
          <w:rFonts w:hint="eastAsia" w:ascii="宋体" w:hAnsi="宋体" w:cs="宋体"/>
          <w:b/>
          <w:bCs/>
          <w:sz w:val="24"/>
          <w:szCs w:val="24"/>
        </w:rPr>
        <w:t>供应商可在磋商当天将保证金退还账户信息确认表与磋商保证金缴纳凭证（加盖供应商公章）一并交给工作人员，当天未提交保证金退还账户信息确认表与磋商保证金缴纳凭证（加盖供应商公章）的供应商，在磋商后自行找财务办理保证金退还手续。</w:t>
      </w:r>
    </w:p>
    <w:p>
      <w:pPr>
        <w:numPr>
          <w:ilvl w:val="0"/>
          <w:numId w:val="10"/>
        </w:numPr>
        <w:tabs>
          <w:tab w:val="left" w:pos="0"/>
        </w:tabs>
        <w:adjustRightInd w:val="0"/>
        <w:snapToGrid w:val="0"/>
        <w:spacing w:line="360" w:lineRule="auto"/>
        <w:ind w:left="5" w:firstLine="480" w:firstLineChars="200"/>
        <w:rPr>
          <w:rFonts w:ascii="宋体" w:cs="宋体"/>
          <w:sz w:val="24"/>
          <w:szCs w:val="24"/>
        </w:rPr>
      </w:pPr>
      <w:r>
        <w:rPr>
          <w:rFonts w:hint="eastAsia" w:ascii="宋体" w:hAnsi="宋体" w:cs="宋体"/>
          <w:sz w:val="24"/>
          <w:szCs w:val="24"/>
        </w:rPr>
        <w:t>成交供应商在退取磋商保证金时，除携带上述资料外还需携带与采购人签订的采购合同（原件）。</w:t>
      </w:r>
    </w:p>
    <w:p>
      <w:pPr>
        <w:pStyle w:val="7"/>
        <w:numPr>
          <w:ilvl w:val="0"/>
          <w:numId w:val="8"/>
        </w:numPr>
      </w:pPr>
      <w:bookmarkStart w:id="41" w:name="_Toc19668"/>
      <w:r>
        <w:rPr>
          <w:rFonts w:hint="eastAsia"/>
        </w:rPr>
        <w:t>磋商有效期</w:t>
      </w:r>
      <w:bookmarkEnd w:id="41"/>
    </w:p>
    <w:p>
      <w:pPr>
        <w:adjustRightInd w:val="0"/>
        <w:snapToGrid w:val="0"/>
        <w:spacing w:line="360" w:lineRule="auto"/>
        <w:ind w:firstLine="480" w:firstLineChars="200"/>
        <w:rPr>
          <w:rFonts w:ascii="宋体" w:cs="宋体"/>
          <w:sz w:val="24"/>
          <w:szCs w:val="24"/>
        </w:rPr>
      </w:pPr>
      <w:r>
        <w:rPr>
          <w:rFonts w:hint="eastAsia" w:ascii="宋体" w:hAnsi="宋体" w:cs="宋体"/>
          <w:sz w:val="24"/>
          <w:szCs w:val="24"/>
        </w:rPr>
        <w:t>磋商有效期见供应商须知前附表，磋商有效期短于此规定期限的磋商响应文件，视为无效文件，其磋商将被拒绝。成交单位的磋商响应文件有效期延长至合同执行完毕。</w:t>
      </w:r>
    </w:p>
    <w:p>
      <w:pPr>
        <w:pStyle w:val="7"/>
        <w:numPr>
          <w:ilvl w:val="0"/>
          <w:numId w:val="8"/>
        </w:numPr>
      </w:pPr>
      <w:bookmarkStart w:id="42" w:name="_Toc24827"/>
      <w:r>
        <w:rPr>
          <w:rFonts w:hint="eastAsia"/>
        </w:rPr>
        <w:t>磋商响应文件的格式、装订、密封和签署</w:t>
      </w:r>
      <w:bookmarkEnd w:id="42"/>
    </w:p>
    <w:p>
      <w:pPr>
        <w:tabs>
          <w:tab w:val="left" w:pos="0"/>
        </w:tabs>
        <w:spacing w:line="360" w:lineRule="auto"/>
        <w:ind w:right="-92" w:rightChars="-44" w:firstLine="420" w:firstLineChars="175"/>
        <w:rPr>
          <w:rFonts w:ascii="宋体" w:cs="宋体"/>
          <w:sz w:val="24"/>
          <w:szCs w:val="24"/>
        </w:rPr>
      </w:pPr>
      <w:r>
        <w:rPr>
          <w:rFonts w:ascii="宋体" w:hAnsi="宋体" w:cs="宋体"/>
          <w:sz w:val="24"/>
          <w:szCs w:val="24"/>
        </w:rPr>
        <w:t>6.1</w:t>
      </w:r>
      <w:r>
        <w:rPr>
          <w:rFonts w:hint="eastAsia" w:ascii="宋体" w:hAnsi="宋体" w:cs="宋体"/>
          <w:sz w:val="24"/>
          <w:szCs w:val="24"/>
        </w:rPr>
        <w:t>供应商需依据竞争性磋商文件内容和磋商响应文件格式的要求编制磋商响应文件；</w:t>
      </w:r>
    </w:p>
    <w:p>
      <w:pPr>
        <w:tabs>
          <w:tab w:val="left" w:pos="0"/>
        </w:tabs>
        <w:spacing w:line="360" w:lineRule="auto"/>
        <w:ind w:firstLine="480" w:firstLineChars="200"/>
        <w:rPr>
          <w:rFonts w:ascii="宋体" w:cs="宋体"/>
          <w:sz w:val="24"/>
          <w:szCs w:val="24"/>
        </w:rPr>
      </w:pPr>
      <w:r>
        <w:rPr>
          <w:rFonts w:hint="eastAsia" w:ascii="宋体" w:hAnsi="宋体" w:cs="宋体"/>
          <w:sz w:val="24"/>
          <w:szCs w:val="24"/>
        </w:rPr>
        <w:t>磋商响应文件的正本须打印或用不褪色蓝（黑）墨水（汁）书写，磋商响应文件的打印和书写应清楚工整，任何行间插字、涂改和增删，必须由供应商的法定代表人或其授权代表签字或加盖个人印章，字迹潦草或表达不清或可能导致非唯一理解的磋商响应文件可能视为无效文件；所有的副本可以为正本的复印件。在每一页的正下方清楚标明第几页、共几页等字样；推荐双面打印。</w:t>
      </w:r>
    </w:p>
    <w:p>
      <w:pPr>
        <w:tabs>
          <w:tab w:val="left" w:pos="0"/>
        </w:tabs>
        <w:spacing w:line="360" w:lineRule="auto"/>
        <w:ind w:left="420" w:leftChars="200"/>
        <w:rPr>
          <w:rFonts w:ascii="宋体" w:cs="宋体"/>
          <w:sz w:val="24"/>
          <w:szCs w:val="24"/>
        </w:rPr>
      </w:pPr>
      <w:r>
        <w:rPr>
          <w:rFonts w:ascii="宋体" w:hAnsi="宋体" w:cs="宋体"/>
          <w:sz w:val="24"/>
          <w:szCs w:val="24"/>
        </w:rPr>
        <w:t>6.2</w:t>
      </w:r>
      <w:r>
        <w:rPr>
          <w:rFonts w:hint="eastAsia" w:ascii="宋体" w:hAnsi="宋体" w:cs="宋体"/>
          <w:sz w:val="24"/>
          <w:szCs w:val="24"/>
        </w:rPr>
        <w:t>磋商响应文件的装订</w:t>
      </w:r>
    </w:p>
    <w:p>
      <w:pPr>
        <w:tabs>
          <w:tab w:val="left" w:pos="0"/>
        </w:tabs>
        <w:spacing w:line="360" w:lineRule="auto"/>
        <w:ind w:firstLine="480" w:firstLineChars="200"/>
        <w:rPr>
          <w:rFonts w:ascii="宋体" w:cs="宋体"/>
          <w:b/>
          <w:bCs/>
          <w:sz w:val="24"/>
          <w:szCs w:val="24"/>
        </w:rPr>
      </w:pPr>
      <w:r>
        <w:rPr>
          <w:rFonts w:hint="eastAsia" w:ascii="宋体" w:hAnsi="宋体" w:cs="宋体"/>
          <w:sz w:val="24"/>
          <w:szCs w:val="24"/>
        </w:rPr>
        <w:t>磋商响应文件正本壹份、副本肆份，分别胶装装订成册，且封面须清楚地标明“正本”或“副本”；若正本和副本不符，以正本书面文件为准；</w:t>
      </w:r>
      <w:r>
        <w:rPr>
          <w:rFonts w:hint="eastAsia" w:ascii="宋体" w:hAnsi="宋体"/>
          <w:sz w:val="24"/>
          <w:szCs w:val="24"/>
        </w:rPr>
        <w:t>同时提供与正本内容一致的</w:t>
      </w:r>
      <w:bookmarkStart w:id="43" w:name="OLE_LINK13"/>
      <w:r>
        <w:rPr>
          <w:rFonts w:hint="eastAsia" w:ascii="宋体" w:hAnsi="宋体"/>
          <w:sz w:val="24"/>
          <w:szCs w:val="24"/>
        </w:rPr>
        <w:t>电子版</w:t>
      </w:r>
      <w:bookmarkEnd w:id="43"/>
      <w:r>
        <w:rPr>
          <w:rFonts w:hint="eastAsia" w:ascii="宋体" w:hAnsi="宋体"/>
          <w:sz w:val="24"/>
          <w:szCs w:val="24"/>
        </w:rPr>
        <w:t>（</w:t>
      </w:r>
      <w:r>
        <w:rPr>
          <w:rFonts w:ascii="宋体" w:hAnsi="宋体"/>
          <w:sz w:val="24"/>
          <w:szCs w:val="24"/>
        </w:rPr>
        <w:t>U</w:t>
      </w:r>
      <w:r>
        <w:rPr>
          <w:rFonts w:hint="eastAsia" w:ascii="宋体" w:hAnsi="宋体"/>
          <w:sz w:val="24"/>
          <w:szCs w:val="24"/>
        </w:rPr>
        <w:t>盘、</w:t>
      </w:r>
      <w:r>
        <w:rPr>
          <w:rFonts w:hint="eastAsia" w:ascii="宋体" w:hAnsi="宋体" w:cs="宋体"/>
          <w:b/>
          <w:bCs/>
          <w:sz w:val="24"/>
          <w:szCs w:val="24"/>
        </w:rPr>
        <w:t>电子文档应为WORD、</w:t>
      </w:r>
      <w:r>
        <w:rPr>
          <w:rFonts w:ascii="宋体" w:hAnsi="宋体" w:cs="宋体"/>
          <w:b/>
          <w:bCs/>
          <w:sz w:val="24"/>
          <w:szCs w:val="24"/>
        </w:rPr>
        <w:t>PDF</w:t>
      </w:r>
      <w:r>
        <w:rPr>
          <w:rFonts w:hint="eastAsia" w:ascii="宋体" w:hAnsi="宋体" w:cs="宋体"/>
          <w:b/>
          <w:bCs/>
          <w:sz w:val="24"/>
          <w:szCs w:val="24"/>
        </w:rPr>
        <w:t>格式</w:t>
      </w:r>
      <w:r>
        <w:rPr>
          <w:rFonts w:hint="eastAsia" w:ascii="宋体" w:hAnsi="宋体"/>
          <w:sz w:val="24"/>
          <w:szCs w:val="24"/>
        </w:rPr>
        <w:t>）一份和单独提供的“磋商一览表”一份</w:t>
      </w:r>
      <w:r>
        <w:rPr>
          <w:rFonts w:hint="eastAsia" w:ascii="宋体" w:hAnsi="宋体" w:cs="宋体"/>
          <w:b/>
          <w:bCs/>
          <w:sz w:val="24"/>
          <w:szCs w:val="24"/>
        </w:rPr>
        <w:t>。</w:t>
      </w:r>
    </w:p>
    <w:p>
      <w:pPr>
        <w:spacing w:line="360" w:lineRule="auto"/>
        <w:ind w:left="420" w:leftChars="200"/>
        <w:jc w:val="left"/>
        <w:rPr>
          <w:rFonts w:ascii="宋体" w:cs="宋体"/>
          <w:sz w:val="24"/>
          <w:szCs w:val="24"/>
        </w:rPr>
      </w:pPr>
      <w:r>
        <w:rPr>
          <w:rFonts w:ascii="宋体" w:hAnsi="宋体" w:cs="宋体"/>
          <w:sz w:val="24"/>
          <w:szCs w:val="24"/>
        </w:rPr>
        <w:t>6.3</w:t>
      </w:r>
      <w:r>
        <w:rPr>
          <w:rFonts w:hint="eastAsia" w:ascii="宋体" w:hAnsi="宋体" w:cs="宋体"/>
          <w:sz w:val="24"/>
          <w:szCs w:val="24"/>
        </w:rPr>
        <w:t>磋商响应文件的签署</w:t>
      </w:r>
    </w:p>
    <w:p>
      <w:pPr>
        <w:spacing w:line="360" w:lineRule="auto"/>
        <w:ind w:firstLine="480" w:firstLineChars="200"/>
        <w:jc w:val="left"/>
        <w:rPr>
          <w:rFonts w:ascii="宋体" w:cs="宋体"/>
          <w:sz w:val="24"/>
          <w:szCs w:val="24"/>
        </w:rPr>
      </w:pPr>
      <w:r>
        <w:rPr>
          <w:rFonts w:hint="eastAsia" w:ascii="宋体" w:hAnsi="宋体" w:cs="宋体"/>
          <w:sz w:val="24"/>
          <w:szCs w:val="24"/>
        </w:rPr>
        <w:t>供应商在磋商响应文件中指定的页面的落款处，按竞争性磋商文件要求由供应商的法定代表人或其授权代表在规定的签章处签字或盖章。</w:t>
      </w:r>
    </w:p>
    <w:p>
      <w:pPr>
        <w:spacing w:line="360" w:lineRule="auto"/>
        <w:ind w:left="420" w:leftChars="200"/>
        <w:jc w:val="left"/>
        <w:rPr>
          <w:rFonts w:ascii="宋体" w:cs="宋体"/>
          <w:kern w:val="0"/>
          <w:sz w:val="24"/>
        </w:rPr>
      </w:pPr>
      <w:r>
        <w:rPr>
          <w:rFonts w:ascii="宋体" w:hAnsi="宋体" w:cs="宋体"/>
          <w:kern w:val="0"/>
          <w:sz w:val="24"/>
        </w:rPr>
        <w:t>6.4</w:t>
      </w:r>
      <w:r>
        <w:rPr>
          <w:rFonts w:hint="eastAsia" w:ascii="宋体" w:hAnsi="宋体" w:cs="宋体"/>
          <w:kern w:val="0"/>
          <w:sz w:val="24"/>
        </w:rPr>
        <w:t>磋商响应文件的密封</w:t>
      </w:r>
    </w:p>
    <w:p>
      <w:pPr>
        <w:spacing w:line="360" w:lineRule="auto"/>
        <w:ind w:firstLine="480" w:firstLineChars="200"/>
        <w:jc w:val="left"/>
        <w:rPr>
          <w:rFonts w:ascii="宋体" w:cs="宋体"/>
          <w:kern w:val="0"/>
          <w:sz w:val="24"/>
        </w:rPr>
      </w:pPr>
      <w:r>
        <w:rPr>
          <w:rFonts w:ascii="宋体" w:hAnsi="宋体"/>
          <w:sz w:val="24"/>
          <w:szCs w:val="24"/>
        </w:rPr>
        <w:t>6.4.1</w:t>
      </w:r>
      <w:r>
        <w:rPr>
          <w:rFonts w:hint="eastAsia" w:ascii="宋体" w:hAnsi="宋体"/>
          <w:sz w:val="24"/>
          <w:szCs w:val="24"/>
        </w:rPr>
        <w:t>磋商响应文件正本、所有的副本、电子版、磋商一览表需分开密封装在单独的封袋中（封袋不得有破损），且在封袋正面标明“正本”“副本”“电子版”“磋商一览表”字样。封袋应加贴封条，并在封线处加盖供应商鲜章，封袋正面要粘贴供应商全称、项目名称、编号、包号等标识、且</w:t>
      </w:r>
      <w:r>
        <w:rPr>
          <w:rFonts w:hint="eastAsia" w:ascii="宋体" w:hAnsi="宋体" w:cs="宋体"/>
          <w:kern w:val="0"/>
          <w:sz w:val="24"/>
        </w:rPr>
        <w:t>磋商响应文件袋上应加盖供应商公章（</w:t>
      </w:r>
      <w:r>
        <w:rPr>
          <w:rFonts w:hint="eastAsia" w:ascii="宋体" w:hAnsi="宋体" w:cs="宋体"/>
          <w:sz w:val="24"/>
          <w:szCs w:val="24"/>
        </w:rPr>
        <w:t>封面标识见竞争性磋商文件</w:t>
      </w:r>
      <w:r>
        <w:rPr>
          <w:rFonts w:hint="eastAsia" w:ascii="宋体" w:hAnsi="宋体" w:cs="宋体"/>
          <w:b/>
          <w:bCs/>
          <w:sz w:val="24"/>
          <w:szCs w:val="24"/>
        </w:rPr>
        <w:t>附件一</w:t>
      </w:r>
      <w:r>
        <w:rPr>
          <w:rFonts w:hint="eastAsia" w:ascii="宋体" w:hAnsi="宋体" w:cs="宋体"/>
          <w:sz w:val="24"/>
          <w:szCs w:val="24"/>
        </w:rPr>
        <w:t>）</w:t>
      </w:r>
      <w:r>
        <w:rPr>
          <w:rFonts w:hint="eastAsia" w:ascii="宋体" w:hAnsi="宋体" w:cs="宋体"/>
          <w:kern w:val="0"/>
          <w:sz w:val="24"/>
        </w:rPr>
        <w:t>如果未按上述规定进行密封，供应商的磋商响应文件有权被拒绝</w:t>
      </w:r>
      <w:r>
        <w:rPr>
          <w:rFonts w:hint="eastAsia" w:ascii="宋体" w:hAnsi="宋体" w:cs="宋体"/>
          <w:sz w:val="24"/>
          <w:szCs w:val="24"/>
        </w:rPr>
        <w:t>。</w:t>
      </w:r>
    </w:p>
    <w:p>
      <w:pPr>
        <w:spacing w:line="360" w:lineRule="auto"/>
        <w:ind w:firstLine="480" w:firstLineChars="200"/>
        <w:jc w:val="left"/>
        <w:rPr>
          <w:rFonts w:ascii="宋体" w:cs="宋体"/>
          <w:kern w:val="0"/>
          <w:sz w:val="24"/>
        </w:rPr>
      </w:pPr>
      <w:r>
        <w:rPr>
          <w:rFonts w:ascii="宋体" w:hAnsi="宋体" w:cs="宋体"/>
          <w:sz w:val="24"/>
          <w:szCs w:val="24"/>
        </w:rPr>
        <w:t>6.4.2</w:t>
      </w:r>
      <w:r>
        <w:rPr>
          <w:rFonts w:hint="eastAsia" w:ascii="宋体" w:hAnsi="宋体" w:cs="宋体"/>
          <w:sz w:val="24"/>
          <w:szCs w:val="24"/>
        </w:rPr>
        <w:t>如果供应商未按上述要求密封及加写标记，误投或过早启封的磋商响应文件，将自行承担其磋商响应文件被视为无效磋商响应文件的风险。</w:t>
      </w:r>
    </w:p>
    <w:p>
      <w:pPr>
        <w:tabs>
          <w:tab w:val="left" w:pos="0"/>
        </w:tabs>
        <w:spacing w:line="360" w:lineRule="auto"/>
        <w:ind w:firstLine="420" w:firstLineChars="175"/>
        <w:rPr>
          <w:rFonts w:ascii="宋体" w:cs="宋体"/>
          <w:sz w:val="24"/>
          <w:szCs w:val="24"/>
        </w:rPr>
      </w:pPr>
      <w:r>
        <w:rPr>
          <w:rFonts w:ascii="宋体" w:hAnsi="宋体" w:cs="宋体"/>
          <w:sz w:val="24"/>
          <w:szCs w:val="24"/>
        </w:rPr>
        <w:t>6.5</w:t>
      </w:r>
      <w:r>
        <w:rPr>
          <w:rFonts w:hint="eastAsia" w:ascii="宋体" w:hAnsi="宋体" w:cs="宋体"/>
          <w:sz w:val="24"/>
          <w:szCs w:val="24"/>
        </w:rPr>
        <w:t>本次招标只接受简体中文文字的磋商响应文件；如磋商响应文件中出现外文资料，必须配以中文译文。否则，由此引发的一切责任由供应商自负。</w:t>
      </w:r>
    </w:p>
    <w:p>
      <w:pPr>
        <w:widowControl/>
        <w:spacing w:line="360" w:lineRule="auto"/>
        <w:ind w:left="420" w:leftChars="200"/>
        <w:rPr>
          <w:rFonts w:ascii="宋体" w:cs="宋体"/>
          <w:kern w:val="0"/>
          <w:sz w:val="24"/>
        </w:rPr>
      </w:pPr>
      <w:r>
        <w:rPr>
          <w:rFonts w:ascii="宋体" w:hAnsi="宋体" w:cs="宋体"/>
          <w:kern w:val="0"/>
          <w:sz w:val="24"/>
        </w:rPr>
        <w:t>6.6</w:t>
      </w:r>
      <w:r>
        <w:rPr>
          <w:rFonts w:hint="eastAsia" w:ascii="宋体" w:hAnsi="宋体" w:cs="宋体"/>
          <w:kern w:val="0"/>
          <w:sz w:val="24"/>
        </w:rPr>
        <w:t>拒绝接受以电话、传真、电子邮件形式的磋商。</w:t>
      </w:r>
    </w:p>
    <w:p>
      <w:pPr>
        <w:pStyle w:val="7"/>
        <w:numPr>
          <w:ilvl w:val="0"/>
          <w:numId w:val="8"/>
        </w:numPr>
      </w:pPr>
      <w:bookmarkStart w:id="44" w:name="_Toc22752"/>
      <w:r>
        <w:rPr>
          <w:rFonts w:hint="eastAsia"/>
        </w:rPr>
        <w:t>知识产权</w:t>
      </w:r>
      <w:bookmarkEnd w:id="44"/>
    </w:p>
    <w:p>
      <w:pPr>
        <w:spacing w:line="360" w:lineRule="auto"/>
        <w:ind w:firstLine="480" w:firstLineChars="200"/>
        <w:jc w:val="left"/>
        <w:rPr>
          <w:rFonts w:ascii="宋体" w:cs="宋体"/>
          <w:sz w:val="24"/>
          <w:szCs w:val="24"/>
        </w:rPr>
      </w:pPr>
      <w:r>
        <w:rPr>
          <w:rFonts w:ascii="宋体" w:hAnsi="宋体" w:cs="宋体"/>
          <w:sz w:val="24"/>
          <w:szCs w:val="24"/>
        </w:rPr>
        <w:t>7.1</w:t>
      </w:r>
      <w:r>
        <w:rPr>
          <w:rFonts w:hint="eastAsia" w:ascii="宋体" w:hAnsi="宋体" w:cs="宋体"/>
          <w:sz w:val="24"/>
          <w:szCs w:val="24"/>
        </w:rPr>
        <w:t>供应商应保证在本项目使用的任何产品和服务（包括部分使用）时，不会产生因第三方提出侵犯其专利权、商标权或其它知识产权而引起的法律和经济纠纷，如因专利权、商标权或其它知识产权而引起法律纠纷和经济纠纷，由供应商承担所有相关责任。</w:t>
      </w:r>
    </w:p>
    <w:p>
      <w:pPr>
        <w:spacing w:line="360" w:lineRule="auto"/>
        <w:ind w:firstLine="480" w:firstLineChars="200"/>
        <w:jc w:val="left"/>
        <w:rPr>
          <w:rFonts w:ascii="宋体" w:cs="宋体"/>
          <w:sz w:val="24"/>
          <w:szCs w:val="24"/>
        </w:rPr>
      </w:pPr>
      <w:r>
        <w:rPr>
          <w:rFonts w:ascii="宋体" w:hAnsi="宋体" w:cs="宋体"/>
          <w:sz w:val="24"/>
          <w:szCs w:val="24"/>
        </w:rPr>
        <w:t>7.2</w:t>
      </w:r>
      <w:r>
        <w:rPr>
          <w:rFonts w:hint="eastAsia" w:ascii="宋体" w:hAnsi="宋体" w:cs="宋体"/>
          <w:sz w:val="24"/>
          <w:szCs w:val="24"/>
        </w:rPr>
        <w:t>采购人享有本项目在实施过程中产生的知识成果及知识产权。</w:t>
      </w:r>
    </w:p>
    <w:p>
      <w:pPr>
        <w:spacing w:line="360" w:lineRule="auto"/>
        <w:ind w:firstLine="480" w:firstLineChars="200"/>
        <w:jc w:val="left"/>
        <w:rPr>
          <w:rFonts w:ascii="宋体" w:cs="宋体"/>
          <w:sz w:val="24"/>
          <w:szCs w:val="24"/>
        </w:rPr>
      </w:pPr>
      <w:r>
        <w:rPr>
          <w:rFonts w:ascii="宋体" w:hAnsi="宋体" w:cs="宋体"/>
          <w:sz w:val="24"/>
          <w:szCs w:val="24"/>
        </w:rPr>
        <w:t>7.3</w:t>
      </w:r>
      <w:r>
        <w:rPr>
          <w:rFonts w:hint="eastAsia" w:ascii="宋体" w:hAnsi="宋体" w:cs="宋体"/>
          <w:sz w:val="24"/>
          <w:szCs w:val="24"/>
        </w:rPr>
        <w:t>供应商如欲在项目实施过程中采用自有知识成果，需在磋商响应文件中声明，并提供相关知识产权证明文件。使用该知识成果后，供应商须提供开发接口和开发手册等技术文档，并承诺提供无限期技术支持，采购人享有永久使用权。</w:t>
      </w:r>
    </w:p>
    <w:p>
      <w:pPr>
        <w:spacing w:line="360" w:lineRule="auto"/>
        <w:ind w:firstLine="480" w:firstLineChars="200"/>
        <w:jc w:val="left"/>
        <w:rPr>
          <w:rFonts w:ascii="宋体" w:cs="宋体"/>
          <w:sz w:val="24"/>
          <w:szCs w:val="24"/>
        </w:rPr>
      </w:pPr>
      <w:r>
        <w:rPr>
          <w:rFonts w:ascii="宋体" w:hAnsi="宋体" w:cs="宋体"/>
          <w:sz w:val="24"/>
          <w:szCs w:val="24"/>
        </w:rPr>
        <w:t>7.4</w:t>
      </w:r>
      <w:r>
        <w:rPr>
          <w:rFonts w:hint="eastAsia" w:ascii="宋体" w:hAnsi="宋体" w:cs="宋体"/>
          <w:sz w:val="24"/>
          <w:szCs w:val="24"/>
        </w:rPr>
        <w:t>如供应商所不拥有的知识产权，则在磋商报价中必须包括合法获取该知识产权的相关费用。</w:t>
      </w:r>
    </w:p>
    <w:p>
      <w:bookmarkStart w:id="45" w:name="_Toc3736"/>
    </w:p>
    <w:p>
      <w:pPr>
        <w:widowControl/>
        <w:numPr>
          <w:ilvl w:val="0"/>
          <w:numId w:val="3"/>
        </w:numPr>
        <w:spacing w:line="360" w:lineRule="auto"/>
        <w:ind w:firstLine="643" w:firstLineChars="200"/>
        <w:jc w:val="center"/>
        <w:outlineLvl w:val="1"/>
        <w:rPr>
          <w:rFonts w:ascii="宋体" w:cs="宋体"/>
          <w:b/>
          <w:bCs/>
          <w:kern w:val="0"/>
          <w:sz w:val="32"/>
          <w:szCs w:val="28"/>
        </w:rPr>
      </w:pPr>
      <w:bookmarkStart w:id="46" w:name="_Toc3565"/>
      <w:bookmarkStart w:id="47" w:name="_Toc17720"/>
      <w:bookmarkStart w:id="48" w:name="_Toc16723"/>
      <w:r>
        <w:rPr>
          <w:rFonts w:hint="eastAsia" w:ascii="宋体" w:hAnsi="宋体" w:cs="宋体"/>
          <w:b/>
          <w:bCs/>
          <w:kern w:val="0"/>
          <w:sz w:val="32"/>
          <w:szCs w:val="28"/>
        </w:rPr>
        <w:t>磋商响应文件的递交</w:t>
      </w:r>
      <w:bookmarkEnd w:id="46"/>
      <w:bookmarkEnd w:id="47"/>
      <w:bookmarkEnd w:id="48"/>
    </w:p>
    <w:bookmarkEnd w:id="45"/>
    <w:p>
      <w:pPr>
        <w:pStyle w:val="7"/>
        <w:ind w:left="420"/>
      </w:pPr>
      <w:bookmarkStart w:id="49" w:name="_Toc3685"/>
      <w:r>
        <w:t>1</w:t>
      </w:r>
      <w:r>
        <w:rPr>
          <w:rFonts w:hint="eastAsia"/>
        </w:rPr>
        <w:t>、磋商响应文件递交</w:t>
      </w:r>
      <w:bookmarkEnd w:id="49"/>
    </w:p>
    <w:p>
      <w:pPr>
        <w:widowControl/>
        <w:tabs>
          <w:tab w:val="left" w:pos="0"/>
        </w:tabs>
        <w:spacing w:line="460" w:lineRule="exact"/>
        <w:ind w:firstLine="420" w:firstLineChars="175"/>
        <w:jc w:val="left"/>
        <w:rPr>
          <w:rFonts w:ascii="宋体" w:cs="宋体"/>
          <w:sz w:val="24"/>
          <w:szCs w:val="24"/>
        </w:rPr>
      </w:pPr>
      <w:r>
        <w:rPr>
          <w:rFonts w:ascii="宋体" w:hAnsi="宋体" w:cs="宋体"/>
          <w:sz w:val="24"/>
          <w:szCs w:val="24"/>
        </w:rPr>
        <w:t>1.1</w:t>
      </w:r>
      <w:r>
        <w:rPr>
          <w:rFonts w:hint="eastAsia" w:ascii="宋体" w:hAnsi="宋体" w:cs="宋体"/>
          <w:sz w:val="24"/>
          <w:szCs w:val="24"/>
        </w:rPr>
        <w:t>供应商必须在竞争性磋商文件规定的磋商响应文件递交截止时间之前，将全部磋商响应文件递交至代理机构项目工作人员；代理机构项目承办人在竞争性磋商文件规定的磋商响应文件递交截止时间前，只负责磋商响应文件的接收、清点、造册登记工作，并请供应商代表签字确认，对其有效性不负任何责任。</w:t>
      </w:r>
    </w:p>
    <w:p>
      <w:pPr>
        <w:widowControl/>
        <w:tabs>
          <w:tab w:val="left" w:pos="0"/>
        </w:tabs>
        <w:spacing w:line="460" w:lineRule="exact"/>
        <w:ind w:firstLine="420" w:firstLineChars="175"/>
        <w:jc w:val="left"/>
        <w:rPr>
          <w:rFonts w:ascii="宋体" w:cs="宋体"/>
          <w:sz w:val="24"/>
          <w:szCs w:val="24"/>
        </w:rPr>
      </w:pPr>
      <w:r>
        <w:rPr>
          <w:rFonts w:ascii="宋体" w:hAnsi="宋体" w:cs="宋体"/>
          <w:sz w:val="24"/>
          <w:szCs w:val="24"/>
        </w:rPr>
        <w:t>1.2</w:t>
      </w:r>
      <w:r>
        <w:rPr>
          <w:rFonts w:hint="eastAsia" w:ascii="宋体" w:hAnsi="宋体" w:cs="宋体"/>
          <w:sz w:val="24"/>
          <w:szCs w:val="24"/>
        </w:rPr>
        <w:t>代理机构在宣布递交磋商响应文件时间截止之后，拒绝接收任何人送达、递交的磋商响应文件；</w:t>
      </w:r>
    </w:p>
    <w:p>
      <w:pPr>
        <w:widowControl/>
        <w:tabs>
          <w:tab w:val="left" w:pos="0"/>
        </w:tabs>
        <w:spacing w:line="460" w:lineRule="exact"/>
        <w:ind w:left="420"/>
        <w:jc w:val="left"/>
        <w:rPr>
          <w:rFonts w:ascii="宋体" w:cs="宋体"/>
          <w:sz w:val="24"/>
          <w:szCs w:val="24"/>
        </w:rPr>
      </w:pPr>
      <w:r>
        <w:rPr>
          <w:rFonts w:ascii="宋体" w:hAnsi="宋体" w:cs="宋体"/>
          <w:sz w:val="24"/>
          <w:szCs w:val="24"/>
        </w:rPr>
        <w:t>1.3</w:t>
      </w:r>
      <w:r>
        <w:rPr>
          <w:rFonts w:hint="eastAsia" w:ascii="宋体" w:hAnsi="宋体" w:cs="宋体"/>
          <w:sz w:val="24"/>
          <w:szCs w:val="24"/>
        </w:rPr>
        <w:t>代理机构不接受邮寄的磋商响应文件；</w:t>
      </w:r>
    </w:p>
    <w:p>
      <w:pPr>
        <w:widowControl/>
        <w:tabs>
          <w:tab w:val="left" w:pos="0"/>
        </w:tabs>
        <w:spacing w:line="460" w:lineRule="exact"/>
        <w:ind w:left="420"/>
        <w:jc w:val="left"/>
        <w:rPr>
          <w:rFonts w:ascii="宋体" w:cs="宋体"/>
          <w:sz w:val="24"/>
          <w:szCs w:val="24"/>
        </w:rPr>
      </w:pPr>
      <w:r>
        <w:rPr>
          <w:rFonts w:ascii="宋体" w:hAnsi="宋体" w:cs="宋体"/>
          <w:sz w:val="24"/>
          <w:szCs w:val="24"/>
        </w:rPr>
        <w:t>1.4</w:t>
      </w:r>
      <w:r>
        <w:rPr>
          <w:rFonts w:hint="eastAsia" w:ascii="宋体" w:hAnsi="宋体" w:cs="宋体"/>
          <w:sz w:val="24"/>
          <w:szCs w:val="24"/>
        </w:rPr>
        <w:t>无论供应商成交与否，其磋商响应文件恕不退还。</w:t>
      </w:r>
    </w:p>
    <w:p>
      <w:pPr>
        <w:pStyle w:val="7"/>
        <w:ind w:left="420"/>
      </w:pPr>
      <w:bookmarkStart w:id="50" w:name="_Toc12741"/>
      <w:r>
        <w:t>2</w:t>
      </w:r>
      <w:r>
        <w:rPr>
          <w:rFonts w:hint="eastAsia"/>
        </w:rPr>
        <w:t>、磋商响应文件的修改和撤回</w:t>
      </w:r>
      <w:bookmarkEnd w:id="50"/>
    </w:p>
    <w:p>
      <w:pPr>
        <w:widowControl/>
        <w:tabs>
          <w:tab w:val="left" w:pos="0"/>
        </w:tabs>
        <w:spacing w:line="460" w:lineRule="exact"/>
        <w:ind w:firstLine="480" w:firstLineChars="200"/>
        <w:jc w:val="left"/>
        <w:rPr>
          <w:rFonts w:ascii="宋体" w:cs="宋体"/>
          <w:sz w:val="24"/>
          <w:szCs w:val="24"/>
        </w:rPr>
      </w:pPr>
      <w:r>
        <w:rPr>
          <w:rFonts w:hint="eastAsia" w:ascii="宋体" w:hAnsi="宋体" w:cs="宋体"/>
          <w:sz w:val="24"/>
          <w:szCs w:val="24"/>
        </w:rPr>
        <w:t>在磋商截止时间之后，供应商不得对其递交的磋商响应文件做任何修改或撤回。</w:t>
      </w:r>
    </w:p>
    <w:p>
      <w:pPr>
        <w:widowControl/>
        <w:numPr>
          <w:ilvl w:val="0"/>
          <w:numId w:val="3"/>
        </w:numPr>
        <w:spacing w:line="360" w:lineRule="auto"/>
        <w:ind w:firstLine="643" w:firstLineChars="200"/>
        <w:jc w:val="center"/>
        <w:outlineLvl w:val="1"/>
        <w:rPr>
          <w:rFonts w:ascii="宋体" w:cs="宋体"/>
          <w:b/>
          <w:bCs/>
          <w:kern w:val="0"/>
          <w:sz w:val="32"/>
          <w:szCs w:val="28"/>
        </w:rPr>
      </w:pPr>
      <w:bookmarkStart w:id="51" w:name="_Toc14415"/>
      <w:bookmarkStart w:id="52" w:name="_Toc15283"/>
      <w:bookmarkStart w:id="53" w:name="_Toc27066"/>
      <w:bookmarkStart w:id="54" w:name="_Toc994"/>
      <w:r>
        <w:rPr>
          <w:rFonts w:hint="eastAsia" w:ascii="宋体" w:hAnsi="宋体" w:cs="宋体"/>
          <w:b/>
          <w:bCs/>
          <w:kern w:val="0"/>
          <w:sz w:val="32"/>
          <w:szCs w:val="28"/>
        </w:rPr>
        <w:t>磋商、评审、定标</w:t>
      </w:r>
      <w:bookmarkEnd w:id="51"/>
      <w:bookmarkEnd w:id="52"/>
      <w:bookmarkEnd w:id="53"/>
      <w:bookmarkEnd w:id="54"/>
    </w:p>
    <w:p>
      <w:pPr>
        <w:pStyle w:val="7"/>
        <w:numPr>
          <w:ilvl w:val="0"/>
          <w:numId w:val="14"/>
        </w:numPr>
      </w:pPr>
      <w:r>
        <w:rPr>
          <w:rFonts w:hint="eastAsia"/>
        </w:rPr>
        <w:t>磋商</w:t>
      </w:r>
    </w:p>
    <w:p>
      <w:pPr>
        <w:widowControl/>
        <w:spacing w:line="360" w:lineRule="auto"/>
        <w:ind w:firstLine="420" w:firstLineChars="175"/>
        <w:rPr>
          <w:rFonts w:ascii="宋体" w:cs="宋体"/>
          <w:kern w:val="0"/>
          <w:sz w:val="24"/>
        </w:rPr>
      </w:pPr>
      <w:r>
        <w:rPr>
          <w:rFonts w:ascii="宋体" w:hAnsi="宋体" w:cs="宋体"/>
          <w:kern w:val="0"/>
          <w:sz w:val="24"/>
        </w:rPr>
        <w:t>1.1</w:t>
      </w:r>
      <w:r>
        <w:rPr>
          <w:rFonts w:hint="eastAsia" w:ascii="宋体" w:hAnsi="宋体" w:cs="宋体"/>
          <w:kern w:val="0"/>
          <w:sz w:val="24"/>
        </w:rPr>
        <w:t>采购代理机构按竞争性磋商公告中规定的时间和地点接收供应商递交的磋商响应文件。</w:t>
      </w:r>
      <w:r>
        <w:rPr>
          <w:rFonts w:hint="eastAsia" w:ascii="宋体" w:hAnsi="宋体" w:cs="宋体"/>
          <w:sz w:val="24"/>
          <w:szCs w:val="24"/>
        </w:rPr>
        <w:t>磋商小组、采购单位代表、监督机构及有关工作人员参加，参加磋商会议的代表应签名报到以证明其出席；供应商代表参加磋商会议；整个磋商过程接受监督机构的监督。</w:t>
      </w:r>
    </w:p>
    <w:p>
      <w:pPr>
        <w:tabs>
          <w:tab w:val="left" w:pos="0"/>
        </w:tabs>
        <w:spacing w:line="360" w:lineRule="auto"/>
        <w:ind w:firstLine="420" w:firstLineChars="175"/>
        <w:jc w:val="left"/>
        <w:rPr>
          <w:rFonts w:ascii="宋体"/>
          <w:color w:val="000000"/>
          <w:sz w:val="24"/>
        </w:rPr>
      </w:pPr>
      <w:r>
        <w:rPr>
          <w:rFonts w:ascii="宋体" w:hAnsi="宋体" w:cs="宋体"/>
          <w:kern w:val="0"/>
          <w:sz w:val="24"/>
        </w:rPr>
        <w:t>1.2</w:t>
      </w:r>
      <w:r>
        <w:rPr>
          <w:rFonts w:hint="eastAsia" w:ascii="宋体" w:hAnsi="宋体" w:cs="宋体"/>
          <w:kern w:val="0"/>
          <w:sz w:val="24"/>
        </w:rPr>
        <w:t>磋商时，供应商与监标人共同检查磋商响应文件密封情况并签字确认。确认无误后方可拆封磋商响应文件</w:t>
      </w:r>
      <w:r>
        <w:rPr>
          <w:rFonts w:hint="eastAsia" w:ascii="宋体" w:hAnsi="宋体" w:cs="宋体"/>
          <w:color w:val="000000"/>
          <w:sz w:val="24"/>
        </w:rPr>
        <w:t>，竞争性磋商过程中代理机构指定专人负责将供应商的名称、磋商项目名称、磋商价格等进行记录，并存档备案。</w:t>
      </w:r>
    </w:p>
    <w:p>
      <w:pPr>
        <w:tabs>
          <w:tab w:val="left" w:pos="0"/>
        </w:tabs>
        <w:spacing w:line="360" w:lineRule="auto"/>
        <w:ind w:firstLine="420" w:firstLineChars="175"/>
        <w:jc w:val="left"/>
        <w:rPr>
          <w:rFonts w:ascii="宋体" w:cs="宋体"/>
          <w:kern w:val="0"/>
          <w:sz w:val="24"/>
        </w:rPr>
      </w:pPr>
      <w:r>
        <w:rPr>
          <w:rFonts w:ascii="宋体" w:hAnsi="宋体" w:cs="宋体"/>
          <w:kern w:val="0"/>
          <w:sz w:val="24"/>
        </w:rPr>
        <w:t>1.3</w:t>
      </w:r>
      <w:r>
        <w:rPr>
          <w:rFonts w:hint="eastAsia" w:ascii="宋体" w:hAnsi="宋体" w:cs="宋体"/>
          <w:kern w:val="0"/>
          <w:sz w:val="24"/>
        </w:rPr>
        <w:t>磋商时，磋商响应文件中出现下列情况，修正原则为：</w:t>
      </w:r>
    </w:p>
    <w:p>
      <w:pPr>
        <w:numPr>
          <w:ilvl w:val="0"/>
          <w:numId w:val="15"/>
        </w:numPr>
        <w:spacing w:line="360" w:lineRule="auto"/>
        <w:ind w:left="0" w:firstLine="420" w:firstLineChars="175"/>
        <w:jc w:val="left"/>
        <w:rPr>
          <w:rFonts w:ascii="宋体" w:cs="宋体"/>
          <w:sz w:val="24"/>
          <w:szCs w:val="24"/>
        </w:rPr>
      </w:pPr>
      <w:r>
        <w:rPr>
          <w:rFonts w:hint="eastAsia" w:ascii="宋体" w:hAnsi="宋体" w:cs="宋体"/>
          <w:sz w:val="24"/>
          <w:szCs w:val="24"/>
        </w:rPr>
        <w:t>磋商报价的大写金额和小写金额不一致的，以大写金额为准；</w:t>
      </w:r>
    </w:p>
    <w:p>
      <w:pPr>
        <w:numPr>
          <w:ilvl w:val="0"/>
          <w:numId w:val="15"/>
        </w:numPr>
        <w:spacing w:line="360" w:lineRule="auto"/>
        <w:ind w:left="0" w:firstLine="420" w:firstLineChars="175"/>
        <w:jc w:val="left"/>
        <w:rPr>
          <w:rFonts w:ascii="宋体" w:cs="宋体"/>
          <w:sz w:val="24"/>
          <w:szCs w:val="24"/>
        </w:rPr>
      </w:pPr>
      <w:r>
        <w:rPr>
          <w:rFonts w:hint="eastAsia" w:ascii="宋体" w:hAnsi="宋体" w:cs="宋体"/>
          <w:sz w:val="24"/>
          <w:szCs w:val="24"/>
        </w:rPr>
        <w:t>磋商报价以最终报价为准；</w:t>
      </w:r>
    </w:p>
    <w:p>
      <w:pPr>
        <w:numPr>
          <w:ilvl w:val="0"/>
          <w:numId w:val="15"/>
        </w:numPr>
        <w:spacing w:line="360" w:lineRule="auto"/>
        <w:ind w:left="0" w:firstLine="420" w:firstLineChars="175"/>
        <w:jc w:val="left"/>
        <w:rPr>
          <w:rFonts w:ascii="宋体" w:cs="宋体"/>
          <w:sz w:val="24"/>
          <w:szCs w:val="24"/>
        </w:rPr>
      </w:pPr>
      <w:r>
        <w:rPr>
          <w:rFonts w:hint="eastAsia" w:ascii="宋体" w:hAnsi="宋体" w:cs="宋体"/>
          <w:sz w:val="24"/>
          <w:szCs w:val="24"/>
        </w:rPr>
        <w:t xml:space="preserve">总价金额与按单价汇总金额不一致的，以单价金额计算结果为准；报价金额精确到小数点后两位，不进行四舍五入；  </w:t>
      </w:r>
    </w:p>
    <w:p>
      <w:pPr>
        <w:numPr>
          <w:ilvl w:val="0"/>
          <w:numId w:val="15"/>
        </w:numPr>
        <w:spacing w:line="360" w:lineRule="auto"/>
        <w:ind w:left="0" w:firstLine="420" w:firstLineChars="175"/>
        <w:jc w:val="left"/>
        <w:rPr>
          <w:rFonts w:ascii="宋体" w:cs="宋体"/>
          <w:sz w:val="24"/>
          <w:szCs w:val="24"/>
        </w:rPr>
      </w:pPr>
      <w:r>
        <w:rPr>
          <w:rFonts w:hint="eastAsia" w:ascii="宋体" w:hAnsi="宋体" w:cs="宋体"/>
          <w:sz w:val="24"/>
          <w:szCs w:val="24"/>
        </w:rPr>
        <w:t>单价金额小数点有明显错位的，以总价为准，并修改单价；</w:t>
      </w:r>
    </w:p>
    <w:p>
      <w:pPr>
        <w:numPr>
          <w:ilvl w:val="0"/>
          <w:numId w:val="15"/>
        </w:numPr>
        <w:spacing w:line="360" w:lineRule="auto"/>
        <w:ind w:left="0" w:firstLine="480" w:firstLineChars="200"/>
        <w:jc w:val="left"/>
        <w:rPr>
          <w:rFonts w:ascii="宋体" w:cs="宋体"/>
          <w:sz w:val="24"/>
          <w:szCs w:val="24"/>
        </w:rPr>
      </w:pPr>
      <w:r>
        <w:rPr>
          <w:rFonts w:hint="eastAsia" w:ascii="宋体" w:hAnsi="宋体" w:cs="宋体"/>
          <w:sz w:val="24"/>
          <w:szCs w:val="24"/>
        </w:rPr>
        <w:t>磋商响应文件正本与副本不一致的，以正本为准；</w:t>
      </w:r>
    </w:p>
    <w:p>
      <w:pPr>
        <w:numPr>
          <w:ilvl w:val="0"/>
          <w:numId w:val="15"/>
        </w:numPr>
        <w:spacing w:line="360" w:lineRule="auto"/>
        <w:ind w:left="0" w:firstLine="480" w:firstLineChars="200"/>
        <w:jc w:val="left"/>
        <w:rPr>
          <w:rFonts w:ascii="宋体" w:cs="宋体"/>
          <w:sz w:val="24"/>
          <w:szCs w:val="24"/>
        </w:rPr>
      </w:pPr>
      <w:r>
        <w:rPr>
          <w:rFonts w:hint="eastAsia" w:ascii="宋体" w:hAnsi="宋体" w:cs="宋体"/>
          <w:sz w:val="24"/>
          <w:szCs w:val="24"/>
        </w:rPr>
        <w:t>多处内容交叉不符时，以磋商小组评审结果为准；</w:t>
      </w:r>
    </w:p>
    <w:p>
      <w:pPr>
        <w:numPr>
          <w:ilvl w:val="0"/>
          <w:numId w:val="15"/>
        </w:numPr>
        <w:spacing w:line="360" w:lineRule="auto"/>
        <w:ind w:left="0" w:firstLine="480" w:firstLineChars="200"/>
        <w:jc w:val="left"/>
        <w:rPr>
          <w:rFonts w:ascii="宋体" w:cs="宋体"/>
          <w:sz w:val="24"/>
          <w:szCs w:val="24"/>
        </w:rPr>
      </w:pPr>
      <w:r>
        <w:rPr>
          <w:rFonts w:hint="eastAsia" w:ascii="宋体" w:hAnsi="宋体" w:cs="宋体"/>
          <w:sz w:val="24"/>
          <w:szCs w:val="24"/>
        </w:rPr>
        <w:t>文字与图表不符时以文字为准；</w:t>
      </w:r>
    </w:p>
    <w:p>
      <w:pPr>
        <w:numPr>
          <w:ilvl w:val="0"/>
          <w:numId w:val="15"/>
        </w:numPr>
        <w:spacing w:line="360" w:lineRule="auto"/>
        <w:ind w:left="0" w:firstLine="480" w:firstLineChars="200"/>
        <w:jc w:val="left"/>
        <w:rPr>
          <w:rFonts w:ascii="宋体" w:cs="宋体"/>
          <w:sz w:val="24"/>
          <w:szCs w:val="24"/>
        </w:rPr>
      </w:pPr>
      <w:r>
        <w:rPr>
          <w:rFonts w:hint="eastAsia" w:ascii="宋体" w:hAnsi="宋体" w:cs="宋体"/>
          <w:sz w:val="24"/>
          <w:szCs w:val="24"/>
        </w:rPr>
        <w:t>分项报价表中的产品技术参数、规格型号与技术偏差表不一致时，以分项报价表为准；</w:t>
      </w:r>
    </w:p>
    <w:p>
      <w:pPr>
        <w:numPr>
          <w:ilvl w:val="0"/>
          <w:numId w:val="15"/>
        </w:numPr>
        <w:spacing w:line="360" w:lineRule="auto"/>
        <w:ind w:left="0" w:firstLine="480" w:firstLineChars="200"/>
        <w:jc w:val="left"/>
        <w:rPr>
          <w:rFonts w:ascii="宋体" w:cs="宋体"/>
          <w:sz w:val="24"/>
          <w:szCs w:val="24"/>
        </w:rPr>
      </w:pPr>
      <w:r>
        <w:rPr>
          <w:rFonts w:hint="eastAsia" w:ascii="宋体" w:hAnsi="宋体" w:cs="宋体"/>
          <w:sz w:val="24"/>
          <w:szCs w:val="24"/>
        </w:rPr>
        <w:t>磋商响应文件中开标一览表</w:t>
      </w:r>
      <w:r>
        <w:rPr>
          <w:rFonts w:ascii="宋体" w:hAnsi="宋体" w:cs="宋体"/>
          <w:sz w:val="24"/>
          <w:szCs w:val="24"/>
        </w:rPr>
        <w:t>(</w:t>
      </w:r>
      <w:r>
        <w:rPr>
          <w:rFonts w:hint="eastAsia" w:ascii="宋体" w:hAnsi="宋体" w:cs="宋体"/>
          <w:sz w:val="24"/>
          <w:szCs w:val="24"/>
        </w:rPr>
        <w:t>报价表</w:t>
      </w:r>
      <w:r>
        <w:rPr>
          <w:rFonts w:ascii="宋体" w:hAnsi="宋体" w:cs="宋体"/>
          <w:sz w:val="24"/>
          <w:szCs w:val="24"/>
        </w:rPr>
        <w:t>)</w:t>
      </w:r>
      <w:r>
        <w:rPr>
          <w:rFonts w:hint="eastAsia" w:ascii="宋体" w:hAnsi="宋体" w:cs="宋体"/>
          <w:sz w:val="24"/>
          <w:szCs w:val="24"/>
        </w:rPr>
        <w:t>内容与磋商响应文件中</w:t>
      </w:r>
      <w:r>
        <w:fldChar w:fldCharType="begin"/>
      </w:r>
      <w:r>
        <w:instrText xml:space="preserve"> HYPERLINK "http://www.so.com/s?q=%E6%98%8E%E7%BB%86%E8%A1%A8&amp;ie=utf-8&amp;src=wenda_link" \t "http://wenda.so.com/q/_blank" </w:instrText>
      </w:r>
      <w:r>
        <w:fldChar w:fldCharType="separate"/>
      </w:r>
      <w:r>
        <w:rPr>
          <w:rFonts w:hint="eastAsia" w:ascii="宋体" w:hAnsi="宋体" w:cs="宋体"/>
          <w:sz w:val="24"/>
          <w:szCs w:val="24"/>
        </w:rPr>
        <w:t>明细表</w:t>
      </w:r>
      <w:r>
        <w:rPr>
          <w:rFonts w:hint="eastAsia" w:ascii="宋体" w:hAnsi="宋体" w:cs="宋体"/>
          <w:sz w:val="24"/>
          <w:szCs w:val="24"/>
        </w:rPr>
        <w:fldChar w:fldCharType="end"/>
      </w:r>
      <w:r>
        <w:rPr>
          <w:rFonts w:hint="eastAsia" w:ascii="宋体" w:hAnsi="宋体" w:cs="宋体"/>
          <w:sz w:val="24"/>
          <w:szCs w:val="24"/>
        </w:rPr>
        <w:t>内容不一致的，以开标一览表</w:t>
      </w:r>
      <w:r>
        <w:rPr>
          <w:rFonts w:ascii="宋体" w:hAnsi="宋体" w:cs="宋体"/>
          <w:sz w:val="24"/>
          <w:szCs w:val="24"/>
        </w:rPr>
        <w:t>(</w:t>
      </w:r>
      <w:r>
        <w:rPr>
          <w:rFonts w:hint="eastAsia" w:ascii="宋体" w:hAnsi="宋体" w:cs="宋体"/>
          <w:sz w:val="24"/>
          <w:szCs w:val="24"/>
        </w:rPr>
        <w:t>报价表</w:t>
      </w:r>
      <w:r>
        <w:rPr>
          <w:rFonts w:ascii="宋体" w:hAnsi="宋体" w:cs="宋体"/>
          <w:sz w:val="24"/>
          <w:szCs w:val="24"/>
        </w:rPr>
        <w:t>)</w:t>
      </w:r>
      <w:r>
        <w:rPr>
          <w:rFonts w:hint="eastAsia" w:ascii="宋体" w:hAnsi="宋体" w:cs="宋体"/>
          <w:sz w:val="24"/>
          <w:szCs w:val="24"/>
        </w:rPr>
        <w:t>为准。</w:t>
      </w:r>
    </w:p>
    <w:p>
      <w:pPr>
        <w:spacing w:line="360" w:lineRule="auto"/>
        <w:ind w:firstLine="480" w:firstLineChars="200"/>
        <w:jc w:val="left"/>
        <w:rPr>
          <w:rFonts w:ascii="宋体" w:cs="宋体"/>
          <w:kern w:val="0"/>
          <w:sz w:val="24"/>
        </w:rPr>
      </w:pPr>
      <w:r>
        <w:rPr>
          <w:rFonts w:ascii="宋体" w:hAnsi="宋体" w:cs="宋体"/>
          <w:sz w:val="24"/>
          <w:szCs w:val="24"/>
        </w:rPr>
        <w:t>1.4</w:t>
      </w:r>
      <w:r>
        <w:rPr>
          <w:rFonts w:hint="eastAsia" w:ascii="宋体" w:hAnsi="宋体" w:cs="宋体"/>
          <w:sz w:val="24"/>
          <w:szCs w:val="24"/>
        </w:rPr>
        <w:t>按上述修正错误的原则及方法调整或修正磋商响应文件的报价，磋商单位同意后，调整后的报价对磋商单位起约束作用。如果磋商单位不接受修正后的报价，则其磋商将被拒绝并且其磋商保证金也将被没收。</w:t>
      </w:r>
    </w:p>
    <w:p>
      <w:pPr>
        <w:pStyle w:val="7"/>
        <w:numPr>
          <w:ilvl w:val="0"/>
          <w:numId w:val="14"/>
        </w:numPr>
      </w:pPr>
      <w:r>
        <w:rPr>
          <w:rFonts w:hint="eastAsia"/>
        </w:rPr>
        <w:t>磋商小组</w:t>
      </w:r>
    </w:p>
    <w:p>
      <w:pPr>
        <w:widowControl/>
        <w:spacing w:line="360" w:lineRule="auto"/>
        <w:ind w:firstLine="480" w:firstLineChars="200"/>
        <w:rPr>
          <w:rFonts w:ascii="宋体" w:cs="宋体"/>
          <w:kern w:val="0"/>
          <w:sz w:val="24"/>
        </w:rPr>
      </w:pPr>
      <w:r>
        <w:rPr>
          <w:rFonts w:ascii="宋体" w:hAnsi="宋体" w:cs="宋体"/>
          <w:kern w:val="0"/>
          <w:sz w:val="24"/>
        </w:rPr>
        <w:t>2.1</w:t>
      </w:r>
      <w:r>
        <w:rPr>
          <w:rFonts w:hint="eastAsia" w:ascii="宋体" w:hAnsi="宋体" w:cs="宋体"/>
          <w:kern w:val="0"/>
          <w:sz w:val="24"/>
        </w:rPr>
        <w:t>采购人将根据本次采购项目的特点，参照《中华人民共和国政府采购法》、《</w:t>
      </w:r>
      <w:r>
        <w:rPr>
          <w:rFonts w:hint="eastAsia" w:ascii="宋体" w:hAnsi="宋体" w:cs="宋体"/>
          <w:sz w:val="24"/>
          <w:szCs w:val="24"/>
        </w:rPr>
        <w:t>政府采购竞争性磋商采购方式管理暂行办法</w:t>
      </w:r>
      <w:r>
        <w:rPr>
          <w:rFonts w:hint="eastAsia" w:ascii="宋体" w:hAnsi="宋体" w:cs="宋体"/>
          <w:kern w:val="0"/>
          <w:sz w:val="24"/>
        </w:rPr>
        <w:t>》等有关规定组建磋商小组。</w:t>
      </w:r>
    </w:p>
    <w:p>
      <w:pPr>
        <w:widowControl/>
        <w:spacing w:line="360" w:lineRule="auto"/>
        <w:ind w:firstLine="480" w:firstLineChars="200"/>
        <w:rPr>
          <w:rFonts w:ascii="宋体" w:cs="宋体"/>
          <w:kern w:val="0"/>
          <w:sz w:val="24"/>
        </w:rPr>
      </w:pPr>
      <w:r>
        <w:rPr>
          <w:rFonts w:ascii="宋体" w:hAnsi="宋体" w:cs="宋体"/>
          <w:kern w:val="0"/>
          <w:sz w:val="24"/>
        </w:rPr>
        <w:t>2.2</w:t>
      </w:r>
      <w:r>
        <w:rPr>
          <w:rFonts w:hint="eastAsia" w:ascii="宋体" w:hAnsi="宋体" w:cs="宋体"/>
          <w:sz w:val="24"/>
          <w:szCs w:val="24"/>
        </w:rPr>
        <w:t>磋商小组由采购人代表和评审专家共3人以上单数组</w:t>
      </w:r>
      <w:r>
        <w:rPr>
          <w:rFonts w:hint="eastAsia" w:ascii="宋体" w:hAnsi="宋体" w:cs="宋体"/>
          <w:kern w:val="0"/>
          <w:sz w:val="24"/>
        </w:rPr>
        <w:t>成，磋商小组产生方式符合国家和地方有关评审专家产生方式的规定。磋商小组负责评审活动。</w:t>
      </w:r>
    </w:p>
    <w:p>
      <w:pPr>
        <w:widowControl/>
        <w:spacing w:line="360" w:lineRule="auto"/>
        <w:ind w:firstLine="480" w:firstLineChars="200"/>
        <w:rPr>
          <w:rFonts w:ascii="宋体" w:cs="宋体"/>
          <w:b/>
          <w:sz w:val="24"/>
          <w:szCs w:val="24"/>
        </w:rPr>
      </w:pPr>
      <w:r>
        <w:rPr>
          <w:rFonts w:ascii="宋体" w:hAnsi="宋体" w:cs="宋体"/>
          <w:kern w:val="0"/>
          <w:sz w:val="24"/>
        </w:rPr>
        <w:t>2.3</w:t>
      </w:r>
      <w:r>
        <w:rPr>
          <w:rFonts w:hint="eastAsia" w:ascii="宋体" w:hAnsi="宋体" w:cs="宋体"/>
          <w:kern w:val="0"/>
          <w:sz w:val="24"/>
        </w:rPr>
        <w:t>磋商小组对各供应商的磋商响应文件进行审查、评估和比较，并推荐出成交候选人。</w:t>
      </w:r>
    </w:p>
    <w:p>
      <w:pPr>
        <w:pStyle w:val="7"/>
        <w:numPr>
          <w:ilvl w:val="0"/>
          <w:numId w:val="14"/>
        </w:numPr>
      </w:pPr>
      <w:bookmarkStart w:id="55" w:name="_Toc385958808"/>
      <w:bookmarkStart w:id="56" w:name="_Toc386129876"/>
      <w:bookmarkStart w:id="57" w:name="_Toc28085"/>
      <w:bookmarkStart w:id="58" w:name="_Toc27940"/>
      <w:r>
        <w:rPr>
          <w:rFonts w:hint="eastAsia"/>
        </w:rPr>
        <w:t>磋商响应文件初审</w:t>
      </w:r>
      <w:bookmarkEnd w:id="55"/>
      <w:bookmarkEnd w:id="56"/>
      <w:bookmarkEnd w:id="57"/>
      <w:bookmarkEnd w:id="58"/>
    </w:p>
    <w:p>
      <w:pPr>
        <w:overflowPunct w:val="0"/>
        <w:adjustRightInd w:val="0"/>
        <w:snapToGrid w:val="0"/>
        <w:spacing w:line="360" w:lineRule="auto"/>
        <w:ind w:left="420"/>
        <w:rPr>
          <w:rFonts w:ascii="宋体" w:cs="宋体"/>
          <w:kern w:val="0"/>
          <w:sz w:val="24"/>
        </w:rPr>
      </w:pPr>
      <w:r>
        <w:rPr>
          <w:rFonts w:ascii="宋体" w:hAnsi="宋体" w:cs="宋体"/>
          <w:kern w:val="0"/>
          <w:sz w:val="24"/>
        </w:rPr>
        <w:t>3.1</w:t>
      </w:r>
      <w:r>
        <w:rPr>
          <w:rFonts w:hint="eastAsia" w:ascii="宋体" w:hAnsi="宋体" w:cs="宋体"/>
          <w:kern w:val="0"/>
          <w:sz w:val="24"/>
        </w:rPr>
        <w:t>磋商响应文件的资格性审查</w:t>
      </w:r>
    </w:p>
    <w:p>
      <w:pPr>
        <w:overflowPunct w:val="0"/>
        <w:adjustRightInd w:val="0"/>
        <w:snapToGrid w:val="0"/>
        <w:spacing w:line="360" w:lineRule="auto"/>
        <w:ind w:firstLine="480" w:firstLineChars="200"/>
        <w:rPr>
          <w:rFonts w:ascii="宋体" w:cs="宋体"/>
          <w:kern w:val="0"/>
          <w:sz w:val="24"/>
        </w:rPr>
      </w:pPr>
      <w:r>
        <w:rPr>
          <w:rFonts w:hint="eastAsia" w:ascii="宋体" w:hAnsi="宋体" w:cs="宋体"/>
          <w:kern w:val="0"/>
          <w:sz w:val="24"/>
        </w:rPr>
        <w:t>依据法律法规和竞争性磋商文件的规定，对磋商响应文件中的资格证明文件进行审查，以确保供应商是否具备相应资格。</w:t>
      </w:r>
    </w:p>
    <w:p>
      <w:pPr>
        <w:overflowPunct w:val="0"/>
        <w:adjustRightInd w:val="0"/>
        <w:snapToGrid w:val="0"/>
        <w:spacing w:line="360" w:lineRule="auto"/>
        <w:ind w:left="420"/>
        <w:rPr>
          <w:rFonts w:ascii="宋体" w:cs="宋体"/>
          <w:kern w:val="0"/>
          <w:sz w:val="24"/>
        </w:rPr>
      </w:pPr>
      <w:r>
        <w:rPr>
          <w:rFonts w:ascii="宋体" w:hAnsi="宋体" w:cs="宋体"/>
          <w:kern w:val="0"/>
          <w:sz w:val="24"/>
        </w:rPr>
        <w:t>3.2</w:t>
      </w:r>
      <w:r>
        <w:rPr>
          <w:rFonts w:hint="eastAsia" w:ascii="宋体" w:hAnsi="宋体" w:cs="宋体"/>
          <w:kern w:val="0"/>
          <w:sz w:val="24"/>
        </w:rPr>
        <w:t>磋商响应文件符合性审查</w:t>
      </w:r>
    </w:p>
    <w:p>
      <w:pPr>
        <w:pStyle w:val="15"/>
        <w:snapToGrid w:val="0"/>
        <w:spacing w:line="360" w:lineRule="auto"/>
        <w:ind w:firstLine="480"/>
        <w:rPr>
          <w:rFonts w:hAnsi="宋体"/>
          <w:sz w:val="24"/>
          <w:szCs w:val="24"/>
        </w:rPr>
      </w:pPr>
      <w:r>
        <w:rPr>
          <w:rFonts w:hint="eastAsia" w:asciiTheme="minorEastAsia" w:hAnsiTheme="minorEastAsia" w:cstheme="minorEastAsia"/>
          <w:color w:val="000000" w:themeColor="text1"/>
          <w:sz w:val="24"/>
          <w:szCs w:val="24"/>
        </w:rPr>
        <w:t>依据法律法规和招标文件的规定，由磋商小组对符合资格要求的供应商的投标文件有效性、完整性和对招标文件的响应程度进行符合性审查，以确定是否对招标文件的实质性内容作出响应。</w:t>
      </w:r>
      <w:r>
        <w:rPr>
          <w:rFonts w:hint="eastAsia" w:hAnsi="宋体"/>
          <w:sz w:val="24"/>
          <w:szCs w:val="24"/>
        </w:rPr>
        <w:t>投标文件的符合性评审（合格性、完整性、有效性），具体审查：</w:t>
      </w:r>
    </w:p>
    <w:p>
      <w:pPr>
        <w:pStyle w:val="15"/>
        <w:numPr>
          <w:ilvl w:val="0"/>
          <w:numId w:val="16"/>
        </w:numPr>
        <w:snapToGrid w:val="0"/>
        <w:spacing w:line="360" w:lineRule="auto"/>
        <w:rPr>
          <w:rFonts w:hAnsi="宋体"/>
          <w:color w:val="000000" w:themeColor="text1"/>
          <w:sz w:val="24"/>
          <w:szCs w:val="24"/>
        </w:rPr>
      </w:pPr>
      <w:r>
        <w:rPr>
          <w:rFonts w:hint="eastAsia" w:hAnsi="宋体"/>
          <w:color w:val="000000" w:themeColor="text1"/>
          <w:sz w:val="24"/>
          <w:szCs w:val="24"/>
        </w:rPr>
        <w:t>磋商报价是否唯一且未超过采购预算；</w:t>
      </w:r>
    </w:p>
    <w:p>
      <w:pPr>
        <w:pStyle w:val="15"/>
        <w:numPr>
          <w:ilvl w:val="0"/>
          <w:numId w:val="16"/>
        </w:numPr>
        <w:snapToGrid w:val="0"/>
        <w:spacing w:line="360" w:lineRule="auto"/>
        <w:rPr>
          <w:rFonts w:hAnsi="宋体"/>
          <w:color w:val="000000" w:themeColor="text1"/>
          <w:sz w:val="24"/>
          <w:szCs w:val="24"/>
        </w:rPr>
      </w:pPr>
      <w:r>
        <w:rPr>
          <w:rFonts w:hint="eastAsia" w:hAnsi="宋体"/>
          <w:color w:val="000000" w:themeColor="text1"/>
          <w:sz w:val="24"/>
          <w:szCs w:val="24"/>
          <w:lang w:eastAsia="zh-CN"/>
        </w:rPr>
        <w:t>完工</w:t>
      </w:r>
      <w:r>
        <w:rPr>
          <w:rFonts w:hint="eastAsia" w:hAnsi="宋体"/>
          <w:color w:val="000000" w:themeColor="text1"/>
          <w:sz w:val="24"/>
          <w:szCs w:val="24"/>
        </w:rPr>
        <w:t>期是否满足竞争性磋商文件最低要求；</w:t>
      </w:r>
    </w:p>
    <w:p>
      <w:pPr>
        <w:pStyle w:val="15"/>
        <w:numPr>
          <w:ilvl w:val="0"/>
          <w:numId w:val="16"/>
        </w:numPr>
        <w:snapToGrid w:val="0"/>
        <w:spacing w:line="360" w:lineRule="auto"/>
        <w:rPr>
          <w:color w:val="000000" w:themeColor="text1"/>
          <w:sz w:val="24"/>
        </w:rPr>
      </w:pPr>
      <w:r>
        <w:rPr>
          <w:rFonts w:hint="eastAsia" w:hAnsi="宋体"/>
          <w:color w:val="000000" w:themeColor="text1"/>
          <w:sz w:val="24"/>
          <w:szCs w:val="24"/>
        </w:rPr>
        <w:t>质保期是否满足竞争性磋商文件最低要求</w:t>
      </w:r>
      <w:r>
        <w:rPr>
          <w:rFonts w:hint="eastAsia"/>
          <w:color w:val="000000" w:themeColor="text1"/>
          <w:sz w:val="24"/>
        </w:rPr>
        <w:t>；</w:t>
      </w:r>
    </w:p>
    <w:p>
      <w:pPr>
        <w:pStyle w:val="15"/>
        <w:numPr>
          <w:ilvl w:val="0"/>
          <w:numId w:val="16"/>
        </w:numPr>
        <w:snapToGrid w:val="0"/>
        <w:spacing w:line="360" w:lineRule="auto"/>
        <w:rPr>
          <w:color w:val="000000" w:themeColor="text1"/>
          <w:sz w:val="24"/>
        </w:rPr>
      </w:pPr>
      <w:r>
        <w:rPr>
          <w:rFonts w:hint="eastAsia"/>
          <w:color w:val="000000" w:themeColor="text1"/>
          <w:sz w:val="24"/>
        </w:rPr>
        <w:t>磋商有效期是否满足竞争性磋商文件最低要求；</w:t>
      </w:r>
    </w:p>
    <w:p>
      <w:pPr>
        <w:pStyle w:val="15"/>
        <w:numPr>
          <w:ilvl w:val="0"/>
          <w:numId w:val="16"/>
        </w:numPr>
        <w:snapToGrid w:val="0"/>
        <w:spacing w:line="360" w:lineRule="auto"/>
        <w:rPr>
          <w:color w:val="000000" w:themeColor="text1"/>
          <w:sz w:val="24"/>
        </w:rPr>
      </w:pPr>
      <w:r>
        <w:rPr>
          <w:rFonts w:hint="eastAsia"/>
          <w:color w:val="000000" w:themeColor="text1"/>
          <w:sz w:val="24"/>
        </w:rPr>
        <w:t>响应文件的装订签署盖章是否符合竞争性磋商文件要求；</w:t>
      </w:r>
    </w:p>
    <w:p>
      <w:pPr>
        <w:pStyle w:val="15"/>
        <w:numPr>
          <w:ilvl w:val="0"/>
          <w:numId w:val="16"/>
        </w:numPr>
        <w:snapToGrid w:val="0"/>
        <w:spacing w:line="360" w:lineRule="auto"/>
        <w:rPr>
          <w:rFonts w:hAnsi="宋体" w:cs="宋体"/>
          <w:color w:val="000000" w:themeColor="text1"/>
          <w:sz w:val="24"/>
        </w:rPr>
      </w:pPr>
      <w:r>
        <w:rPr>
          <w:rFonts w:hint="eastAsia"/>
          <w:color w:val="000000" w:themeColor="text1"/>
          <w:sz w:val="24"/>
        </w:rPr>
        <w:t>响应文件</w:t>
      </w:r>
      <w:r>
        <w:rPr>
          <w:rFonts w:hint="eastAsia" w:hAnsi="宋体"/>
          <w:color w:val="000000" w:themeColor="text1"/>
          <w:sz w:val="24"/>
        </w:rPr>
        <w:t>的正副本数量</w:t>
      </w:r>
      <w:r>
        <w:rPr>
          <w:rFonts w:hint="eastAsia" w:hAnsi="宋体" w:cs="宋体"/>
          <w:color w:val="000000" w:themeColor="text1"/>
          <w:sz w:val="24"/>
        </w:rPr>
        <w:t>是否符合竞争性磋商文件要求；</w:t>
      </w:r>
    </w:p>
    <w:p>
      <w:pPr>
        <w:overflowPunct w:val="0"/>
        <w:adjustRightInd w:val="0"/>
        <w:snapToGrid w:val="0"/>
        <w:spacing w:line="500" w:lineRule="exact"/>
        <w:ind w:firstLine="480" w:firstLineChars="200"/>
        <w:rPr>
          <w:rFonts w:hAnsi="宋体" w:cs="宋体"/>
          <w:color w:val="FF0000"/>
          <w:sz w:val="24"/>
        </w:rPr>
      </w:pPr>
      <w:r>
        <w:rPr>
          <w:rFonts w:hint="eastAsia" w:hAnsi="宋体"/>
          <w:sz w:val="24"/>
          <w:szCs w:val="24"/>
        </w:rPr>
        <w:t>对通过审查的，被认为其投标文件完整、合格，投标有效，可进入下阶段的评标。</w:t>
      </w:r>
    </w:p>
    <w:p>
      <w:pPr>
        <w:overflowPunct w:val="0"/>
        <w:adjustRightInd w:val="0"/>
        <w:snapToGrid w:val="0"/>
        <w:spacing w:line="360" w:lineRule="auto"/>
        <w:ind w:firstLine="420" w:firstLineChars="175"/>
        <w:rPr>
          <w:rFonts w:ascii="宋体" w:cs="宋体"/>
          <w:kern w:val="0"/>
          <w:sz w:val="24"/>
        </w:rPr>
      </w:pPr>
      <w:r>
        <w:rPr>
          <w:rFonts w:ascii="宋体" w:hAnsi="宋体" w:cs="宋体"/>
          <w:kern w:val="0"/>
          <w:sz w:val="24"/>
        </w:rPr>
        <w:t>3.3</w:t>
      </w:r>
      <w:r>
        <w:rPr>
          <w:rFonts w:hint="eastAsia" w:ascii="宋体" w:hAnsi="宋体" w:cs="宋体"/>
          <w:kern w:val="0"/>
          <w:sz w:val="24"/>
        </w:rPr>
        <w:t>经过对供应商及磋商响应文件审查，出现下列情况者（但不限于），按无效磋商处理。</w:t>
      </w:r>
    </w:p>
    <w:p>
      <w:pPr>
        <w:numPr>
          <w:ilvl w:val="0"/>
          <w:numId w:val="0"/>
        </w:numPr>
        <w:spacing w:line="360" w:lineRule="auto"/>
        <w:ind w:leftChars="200"/>
        <w:rPr>
          <w:rFonts w:ascii="宋体" w:cs="宋体"/>
          <w:sz w:val="24"/>
        </w:rPr>
      </w:pPr>
      <w:r>
        <w:rPr>
          <w:rFonts w:hint="eastAsia" w:ascii="宋体" w:hAnsi="宋体" w:cs="宋体"/>
          <w:sz w:val="24"/>
          <w:lang w:val="en-US" w:eastAsia="zh-CN"/>
        </w:rPr>
        <w:t>3.3.1</w:t>
      </w:r>
      <w:r>
        <w:rPr>
          <w:rFonts w:hint="eastAsia" w:ascii="宋体" w:hAnsi="宋体" w:cs="宋体"/>
          <w:sz w:val="24"/>
        </w:rPr>
        <w:t>供应商未经过正常渠道购买竞争性磋商文件，或供应商名称与购买竞争性磋商文件时登记的供应商名称不符的；</w:t>
      </w:r>
    </w:p>
    <w:p>
      <w:pPr>
        <w:numPr>
          <w:ilvl w:val="0"/>
          <w:numId w:val="0"/>
        </w:numPr>
        <w:spacing w:line="360" w:lineRule="auto"/>
        <w:ind w:leftChars="200"/>
        <w:rPr>
          <w:rFonts w:ascii="宋体" w:cs="宋体"/>
          <w:sz w:val="24"/>
        </w:rPr>
      </w:pPr>
      <w:r>
        <w:rPr>
          <w:rFonts w:hint="eastAsia" w:ascii="宋体" w:hAnsi="宋体" w:cs="宋体"/>
          <w:sz w:val="24"/>
          <w:lang w:val="en-US" w:eastAsia="zh-CN"/>
        </w:rPr>
        <w:t>3.3.2</w:t>
      </w:r>
      <w:r>
        <w:rPr>
          <w:rFonts w:hint="eastAsia" w:ascii="宋体" w:hAnsi="宋体" w:cs="宋体"/>
          <w:sz w:val="24"/>
        </w:rPr>
        <w:t>无磋商有效期或有效期达不到竞争性磋商文件要求的；</w:t>
      </w:r>
    </w:p>
    <w:p>
      <w:pPr>
        <w:numPr>
          <w:ilvl w:val="0"/>
          <w:numId w:val="0"/>
        </w:numPr>
        <w:spacing w:line="360" w:lineRule="auto"/>
        <w:ind w:leftChars="200"/>
        <w:rPr>
          <w:rFonts w:ascii="宋体" w:cs="宋体"/>
          <w:sz w:val="24"/>
        </w:rPr>
      </w:pPr>
      <w:r>
        <w:rPr>
          <w:rFonts w:hint="eastAsia" w:ascii="宋体" w:hAnsi="宋体" w:cs="宋体"/>
          <w:sz w:val="24"/>
          <w:szCs w:val="24"/>
          <w:lang w:val="en-US" w:eastAsia="zh-CN"/>
        </w:rPr>
        <w:t>3.3.3</w:t>
      </w:r>
      <w:r>
        <w:rPr>
          <w:rFonts w:hint="eastAsia" w:ascii="宋体" w:hAnsi="宋体" w:cs="宋体"/>
          <w:sz w:val="24"/>
          <w:szCs w:val="24"/>
        </w:rPr>
        <w:t>供应商未按照竞争性磋商文件要求交纳磋商保证金的或磋商保证金的交付单位和供应商的名称不一致的</w:t>
      </w:r>
      <w:r>
        <w:rPr>
          <w:rFonts w:hint="eastAsia" w:ascii="宋体" w:hAnsi="宋体" w:cs="宋体"/>
          <w:sz w:val="24"/>
        </w:rPr>
        <w:t>；</w:t>
      </w:r>
    </w:p>
    <w:p>
      <w:pPr>
        <w:numPr>
          <w:ilvl w:val="0"/>
          <w:numId w:val="0"/>
        </w:numPr>
        <w:spacing w:line="360" w:lineRule="auto"/>
        <w:ind w:leftChars="200"/>
        <w:rPr>
          <w:rFonts w:ascii="宋体" w:cs="宋体"/>
          <w:sz w:val="24"/>
        </w:rPr>
      </w:pPr>
      <w:r>
        <w:rPr>
          <w:rFonts w:hint="eastAsia" w:ascii="宋体" w:hAnsi="宋体" w:cs="宋体"/>
          <w:sz w:val="24"/>
          <w:lang w:val="en-US" w:eastAsia="zh-CN"/>
        </w:rPr>
        <w:t>3.3.4</w:t>
      </w:r>
      <w:r>
        <w:rPr>
          <w:rFonts w:hint="eastAsia" w:ascii="宋体" w:hAnsi="宋体" w:cs="宋体"/>
          <w:sz w:val="24"/>
        </w:rPr>
        <w:t>供应商针对同一项目递交两份或多份内容不同的磋商响应文件，未书面声明哪一份是有效的或出现选择性报价的；</w:t>
      </w:r>
    </w:p>
    <w:p>
      <w:pPr>
        <w:numPr>
          <w:ilvl w:val="0"/>
          <w:numId w:val="0"/>
        </w:numPr>
        <w:spacing w:line="360" w:lineRule="auto"/>
        <w:ind w:leftChars="200"/>
        <w:rPr>
          <w:rFonts w:ascii="宋体" w:cs="宋体"/>
          <w:sz w:val="24"/>
        </w:rPr>
      </w:pPr>
      <w:r>
        <w:rPr>
          <w:rFonts w:hint="eastAsia" w:ascii="宋体" w:hAnsi="宋体" w:cs="宋体"/>
          <w:sz w:val="24"/>
          <w:lang w:val="en-US" w:eastAsia="zh-CN"/>
        </w:rPr>
        <w:t>3.3.5</w:t>
      </w:r>
      <w:r>
        <w:rPr>
          <w:rFonts w:hint="eastAsia" w:ascii="宋体" w:hAnsi="宋体" w:cs="宋体"/>
          <w:sz w:val="24"/>
        </w:rPr>
        <w:t>供应商未按竞争性磋商文件要求提供产品的技术参数及产品供货渠道不明确的；</w:t>
      </w:r>
    </w:p>
    <w:p>
      <w:pPr>
        <w:numPr>
          <w:ilvl w:val="0"/>
          <w:numId w:val="0"/>
        </w:numPr>
        <w:spacing w:line="360" w:lineRule="auto"/>
        <w:ind w:leftChars="200"/>
        <w:rPr>
          <w:rFonts w:hint="eastAsia" w:ascii="宋体" w:hAnsi="宋体" w:eastAsia="宋体" w:cs="宋体"/>
          <w:sz w:val="24"/>
          <w:lang w:eastAsia="zh-CN"/>
        </w:rPr>
      </w:pPr>
      <w:r>
        <w:rPr>
          <w:rFonts w:hint="eastAsia" w:ascii="宋体" w:hAnsi="宋体" w:cs="宋体"/>
          <w:sz w:val="24"/>
          <w:lang w:val="en-US" w:eastAsia="zh-CN"/>
        </w:rPr>
        <w:t>3.3.6</w:t>
      </w:r>
      <w:r>
        <w:rPr>
          <w:rFonts w:hint="eastAsia" w:ascii="宋体" w:hAnsi="宋体" w:cs="宋体"/>
          <w:sz w:val="24"/>
        </w:rPr>
        <w:t>未按照本采购项目给定的采购预算资金标准，向采购单位提供性价比最佳的产品；以排挤竞争对手为目的，以低于成本的价格销售商品的不正当竞争手段竞标的</w:t>
      </w:r>
      <w:r>
        <w:rPr>
          <w:rFonts w:hint="eastAsia" w:ascii="宋体" w:hAnsi="宋体" w:cs="宋体"/>
          <w:sz w:val="24"/>
          <w:lang w:eastAsia="zh-CN"/>
        </w:rPr>
        <w:t>；</w:t>
      </w:r>
    </w:p>
    <w:p>
      <w:pPr>
        <w:numPr>
          <w:ilvl w:val="0"/>
          <w:numId w:val="0"/>
        </w:numPr>
        <w:spacing w:line="360" w:lineRule="auto"/>
        <w:ind w:leftChars="200"/>
        <w:rPr>
          <w:rFonts w:ascii="宋体" w:cs="宋体"/>
          <w:sz w:val="24"/>
        </w:rPr>
      </w:pPr>
      <w:r>
        <w:rPr>
          <w:rFonts w:hint="eastAsia" w:ascii="宋体" w:hAnsi="宋体" w:cs="宋体"/>
          <w:sz w:val="24"/>
          <w:lang w:val="en-US" w:eastAsia="zh-CN"/>
        </w:rPr>
        <w:t>3.3.7</w:t>
      </w:r>
      <w:r>
        <w:rPr>
          <w:rFonts w:hint="eastAsia" w:ascii="宋体" w:hAnsi="宋体" w:cs="宋体"/>
          <w:sz w:val="24"/>
        </w:rPr>
        <w:t>出现虚假应标的；</w:t>
      </w:r>
    </w:p>
    <w:p>
      <w:pPr>
        <w:numPr>
          <w:ilvl w:val="0"/>
          <w:numId w:val="0"/>
        </w:numPr>
        <w:spacing w:line="360" w:lineRule="auto"/>
        <w:ind w:leftChars="200"/>
        <w:rPr>
          <w:rFonts w:ascii="宋体" w:cs="宋体"/>
          <w:sz w:val="24"/>
        </w:rPr>
      </w:pPr>
      <w:r>
        <w:rPr>
          <w:rFonts w:hint="eastAsia" w:ascii="宋体" w:hAnsi="宋体" w:cs="宋体"/>
          <w:sz w:val="24"/>
          <w:lang w:val="en-US" w:eastAsia="zh-CN"/>
        </w:rPr>
        <w:t>3.3.8</w:t>
      </w:r>
      <w:r>
        <w:rPr>
          <w:rFonts w:hint="eastAsia" w:ascii="宋体" w:hAnsi="宋体" w:cs="宋体"/>
          <w:sz w:val="24"/>
        </w:rPr>
        <w:t>磋商报价出现漏项或货物数量与要求不符的；</w:t>
      </w:r>
    </w:p>
    <w:p>
      <w:pPr>
        <w:numPr>
          <w:ilvl w:val="0"/>
          <w:numId w:val="0"/>
        </w:numPr>
        <w:spacing w:line="360" w:lineRule="auto"/>
        <w:ind w:leftChars="200"/>
        <w:rPr>
          <w:rFonts w:ascii="宋体" w:cs="宋体"/>
          <w:sz w:val="24"/>
        </w:rPr>
      </w:pPr>
      <w:r>
        <w:rPr>
          <w:rFonts w:hint="eastAsia" w:ascii="宋体" w:hAnsi="宋体" w:cs="宋体"/>
          <w:sz w:val="24"/>
          <w:lang w:val="en-US" w:eastAsia="zh-CN"/>
        </w:rPr>
        <w:t>3.3.9</w:t>
      </w:r>
      <w:r>
        <w:rPr>
          <w:rFonts w:hint="eastAsia" w:ascii="宋体" w:hAnsi="宋体" w:cs="宋体"/>
          <w:sz w:val="24"/>
        </w:rPr>
        <w:t>磋商产品的技术参数、性能指标与竞争性磋商文件要求出现重大负偏差的；</w:t>
      </w:r>
    </w:p>
    <w:p>
      <w:pPr>
        <w:numPr>
          <w:ilvl w:val="0"/>
          <w:numId w:val="0"/>
        </w:numPr>
        <w:spacing w:line="360" w:lineRule="auto"/>
        <w:ind w:leftChars="200"/>
        <w:rPr>
          <w:rFonts w:ascii="宋体" w:cs="宋体"/>
          <w:sz w:val="24"/>
        </w:rPr>
      </w:pPr>
      <w:r>
        <w:rPr>
          <w:rFonts w:hint="eastAsia" w:ascii="宋体" w:hAnsi="宋体" w:cs="宋体"/>
          <w:sz w:val="24"/>
          <w:lang w:val="en-US" w:eastAsia="zh-CN"/>
        </w:rPr>
        <w:t>3.3.10</w:t>
      </w:r>
      <w:r>
        <w:rPr>
          <w:rFonts w:hint="eastAsia" w:ascii="宋体" w:hAnsi="宋体" w:cs="宋体"/>
          <w:sz w:val="24"/>
        </w:rPr>
        <w:t>提供虚假证明（包括第三方的虚假证明），除按无效文件处理外，还将按照政府采购法的有关规定进行处罚；</w:t>
      </w:r>
    </w:p>
    <w:p>
      <w:pPr>
        <w:numPr>
          <w:ilvl w:val="0"/>
          <w:numId w:val="0"/>
        </w:numPr>
        <w:spacing w:line="360" w:lineRule="auto"/>
        <w:ind w:leftChars="200"/>
        <w:rPr>
          <w:rFonts w:ascii="宋体" w:cs="宋体"/>
          <w:sz w:val="24"/>
        </w:rPr>
      </w:pPr>
      <w:r>
        <w:rPr>
          <w:rFonts w:hint="eastAsia" w:ascii="宋体" w:hAnsi="宋体" w:cs="宋体"/>
          <w:sz w:val="24"/>
          <w:lang w:val="en-US" w:eastAsia="zh-CN"/>
        </w:rPr>
        <w:t>3.3.11</w:t>
      </w:r>
      <w:r>
        <w:rPr>
          <w:rFonts w:hint="eastAsia" w:ascii="宋体" w:hAnsi="宋体" w:cs="宋体"/>
          <w:sz w:val="24"/>
        </w:rPr>
        <w:t>磋商响应文件在商务响应方面（付款方式、质保期、交货时间、交货地点等）与竞争性磋商文件要求不一致或附加了采购人难以接受的条件或条款的；</w:t>
      </w:r>
    </w:p>
    <w:p>
      <w:pPr>
        <w:numPr>
          <w:ilvl w:val="0"/>
          <w:numId w:val="0"/>
        </w:numPr>
        <w:spacing w:line="360" w:lineRule="auto"/>
        <w:ind w:leftChars="200"/>
        <w:rPr>
          <w:rFonts w:ascii="宋体" w:cs="宋体"/>
          <w:kern w:val="0"/>
          <w:sz w:val="24"/>
        </w:rPr>
      </w:pPr>
      <w:r>
        <w:rPr>
          <w:rFonts w:hint="eastAsia" w:ascii="宋体" w:hAnsi="宋体" w:cs="宋体"/>
          <w:sz w:val="24"/>
          <w:lang w:val="en-US" w:eastAsia="zh-CN"/>
        </w:rPr>
        <w:t>3.3.12</w:t>
      </w:r>
      <w:r>
        <w:rPr>
          <w:rFonts w:hint="eastAsia" w:ascii="宋体" w:hAnsi="宋体" w:cs="宋体"/>
          <w:sz w:val="24"/>
        </w:rPr>
        <w:t>如澄清、补正、说明的内容与磋商响应文件内容有重大相悖或矛盾，将被认定为无效磋商。</w:t>
      </w:r>
    </w:p>
    <w:p>
      <w:pPr>
        <w:pStyle w:val="7"/>
        <w:numPr>
          <w:ilvl w:val="0"/>
          <w:numId w:val="14"/>
        </w:numPr>
      </w:pPr>
      <w:bookmarkStart w:id="59" w:name="_Toc17705"/>
      <w:r>
        <w:rPr>
          <w:rFonts w:hint="eastAsia"/>
        </w:rPr>
        <w:t>磋商响应文件澄清</w:t>
      </w:r>
      <w:bookmarkEnd w:id="59"/>
    </w:p>
    <w:p>
      <w:pPr>
        <w:overflowPunct w:val="0"/>
        <w:adjustRightInd w:val="0"/>
        <w:snapToGrid w:val="0"/>
        <w:spacing w:line="360" w:lineRule="auto"/>
        <w:ind w:firstLine="480" w:firstLineChars="200"/>
        <w:rPr>
          <w:rFonts w:ascii="宋体" w:cs="宋体"/>
          <w:sz w:val="24"/>
        </w:rPr>
      </w:pPr>
      <w:r>
        <w:rPr>
          <w:rFonts w:ascii="宋体" w:hAnsi="宋体" w:cs="宋体"/>
          <w:sz w:val="24"/>
        </w:rPr>
        <w:t>4.1</w:t>
      </w:r>
      <w:r>
        <w:rPr>
          <w:rFonts w:hint="eastAsia" w:ascii="宋体" w:hAnsi="宋体" w:cs="宋体"/>
          <w:sz w:val="24"/>
        </w:rPr>
        <w:t>在评审期间</w:t>
      </w:r>
      <w:r>
        <w:rPr>
          <w:rFonts w:ascii="宋体" w:cs="宋体"/>
          <w:sz w:val="24"/>
        </w:rPr>
        <w:t>,</w:t>
      </w:r>
      <w:r>
        <w:rPr>
          <w:rFonts w:hint="eastAsia" w:ascii="宋体" w:hAnsi="宋体" w:cs="宋体"/>
          <w:sz w:val="24"/>
        </w:rPr>
        <w:t>采购代理机构可根据磋商小组对其磋商响应文件有疑义不清楚的内容，要求供应商对其磋商响应文件进行澄清，有关澄清的要求和答复应以书面形式提交，</w:t>
      </w:r>
      <w:r>
        <w:rPr>
          <w:rFonts w:hint="eastAsia" w:ascii="宋体" w:hAnsi="宋体" w:cs="宋体"/>
          <w:sz w:val="24"/>
          <w:szCs w:val="24"/>
        </w:rPr>
        <w:t>如磋商小组未变动实质性采购需求，供应商</w:t>
      </w:r>
      <w:r>
        <w:rPr>
          <w:rFonts w:hint="eastAsia" w:ascii="宋体" w:hAnsi="宋体" w:cs="宋体"/>
          <w:sz w:val="24"/>
        </w:rPr>
        <w:t>不得对实质性内容进行变动。</w:t>
      </w:r>
    </w:p>
    <w:p>
      <w:pPr>
        <w:spacing w:line="360" w:lineRule="auto"/>
        <w:ind w:firstLine="480" w:firstLineChars="200"/>
        <w:rPr>
          <w:rFonts w:ascii="宋体" w:cs="宋体"/>
          <w:kern w:val="0"/>
          <w:sz w:val="32"/>
          <w:szCs w:val="32"/>
        </w:rPr>
      </w:pPr>
      <w:r>
        <w:rPr>
          <w:rFonts w:ascii="宋体" w:hAnsi="宋体" w:cs="宋体"/>
          <w:sz w:val="24"/>
        </w:rPr>
        <w:t>4.2</w:t>
      </w:r>
      <w:r>
        <w:rPr>
          <w:rFonts w:hint="eastAsia" w:ascii="宋体" w:hAnsi="宋体" w:cs="宋体"/>
          <w:sz w:val="24"/>
        </w:rPr>
        <w:t>供应商应采用书面形式进行澄清或说明，但不得超出磋商响应文件的范围或改变磋商响应文件的实质性内容。</w:t>
      </w:r>
    </w:p>
    <w:p>
      <w:pPr>
        <w:pStyle w:val="7"/>
        <w:numPr>
          <w:ilvl w:val="0"/>
          <w:numId w:val="14"/>
        </w:numPr>
      </w:pPr>
      <w:r>
        <w:rPr>
          <w:rFonts w:hint="eastAsia"/>
        </w:rPr>
        <w:t>评审</w:t>
      </w:r>
    </w:p>
    <w:p>
      <w:pPr>
        <w:widowControl/>
        <w:spacing w:line="360" w:lineRule="auto"/>
        <w:ind w:firstLine="480" w:firstLineChars="200"/>
        <w:jc w:val="left"/>
        <w:rPr>
          <w:rFonts w:ascii="宋体" w:cs="宋体"/>
          <w:sz w:val="24"/>
        </w:rPr>
      </w:pPr>
      <w:r>
        <w:rPr>
          <w:rFonts w:ascii="宋体" w:hAnsi="宋体" w:cs="宋体"/>
          <w:sz w:val="24"/>
        </w:rPr>
        <w:t>5.1</w:t>
      </w:r>
      <w:r>
        <w:rPr>
          <w:rFonts w:hint="eastAsia" w:ascii="宋体" w:hAnsi="宋体" w:cs="宋体"/>
          <w:sz w:val="24"/>
        </w:rPr>
        <w:t>磋商小组有权对在磋商、评审过程中出现的一切问题，根据《中华人民共和国政府采购法》和《政府采购竞争性磋商采购方式管理暂行办法》的条款，本着公开、公平、公正的原则进行处理。</w:t>
      </w:r>
    </w:p>
    <w:p>
      <w:pPr>
        <w:spacing w:line="360" w:lineRule="auto"/>
        <w:ind w:firstLine="480" w:firstLineChars="200"/>
        <w:rPr>
          <w:rFonts w:ascii="宋体" w:cs="宋体"/>
          <w:sz w:val="24"/>
        </w:rPr>
      </w:pPr>
      <w:r>
        <w:rPr>
          <w:rFonts w:ascii="宋体" w:hAnsi="宋体" w:cs="宋体"/>
          <w:sz w:val="24"/>
        </w:rPr>
        <w:t>5.2</w:t>
      </w:r>
      <w:r>
        <w:rPr>
          <w:rFonts w:hint="eastAsia" w:ascii="宋体" w:hAnsi="宋体" w:cs="宋体"/>
          <w:sz w:val="24"/>
        </w:rPr>
        <w:t>磋商流程</w:t>
      </w:r>
    </w:p>
    <w:p>
      <w:pPr>
        <w:spacing w:line="360" w:lineRule="auto"/>
        <w:ind w:firstLine="480" w:firstLineChars="200"/>
        <w:rPr>
          <w:rFonts w:ascii="宋体" w:cs="宋体"/>
          <w:sz w:val="24"/>
        </w:rPr>
      </w:pPr>
      <w:r>
        <w:rPr>
          <w:rFonts w:ascii="宋体" w:hAnsi="宋体" w:cs="宋体"/>
          <w:sz w:val="24"/>
        </w:rPr>
        <w:t>5.2.1</w:t>
      </w:r>
      <w:r>
        <w:rPr>
          <w:rFonts w:hint="eastAsia" w:ascii="宋体" w:hAnsi="宋体" w:cs="宋体"/>
          <w:sz w:val="24"/>
        </w:rPr>
        <w:t>磋商小组先对供应商作资格性</w:t>
      </w:r>
      <w:r>
        <w:rPr>
          <w:rFonts w:ascii="宋体" w:hAnsi="宋体" w:cs="宋体"/>
          <w:sz w:val="24"/>
        </w:rPr>
        <w:t>/</w:t>
      </w:r>
      <w:r>
        <w:rPr>
          <w:rFonts w:hint="eastAsia" w:ascii="宋体" w:hAnsi="宋体" w:cs="宋体"/>
          <w:sz w:val="24"/>
        </w:rPr>
        <w:t>符合性审查，只有通过资格性</w:t>
      </w:r>
      <w:r>
        <w:rPr>
          <w:rFonts w:ascii="宋体" w:hAnsi="宋体" w:cs="宋体"/>
          <w:sz w:val="24"/>
        </w:rPr>
        <w:t>/</w:t>
      </w:r>
      <w:r>
        <w:rPr>
          <w:rFonts w:hint="eastAsia" w:ascii="宋体" w:hAnsi="宋体" w:cs="宋体"/>
          <w:sz w:val="24"/>
        </w:rPr>
        <w:t>符合性审查的供应商，才能进入第二阶段的磋商，否则被淘汰。</w:t>
      </w:r>
    </w:p>
    <w:p>
      <w:pPr>
        <w:spacing w:line="360" w:lineRule="auto"/>
        <w:ind w:firstLine="480" w:firstLineChars="200"/>
        <w:rPr>
          <w:rFonts w:ascii="宋体" w:cs="宋体"/>
          <w:sz w:val="24"/>
        </w:rPr>
      </w:pPr>
      <w:r>
        <w:rPr>
          <w:rFonts w:ascii="宋体" w:hAnsi="宋体" w:cs="宋体"/>
          <w:sz w:val="24"/>
        </w:rPr>
        <w:t>5.2.2</w:t>
      </w:r>
      <w:r>
        <w:rPr>
          <w:rFonts w:hint="eastAsia" w:ascii="宋体" w:hAnsi="宋体" w:cs="宋体"/>
          <w:sz w:val="24"/>
        </w:rPr>
        <w:t>磋商小组所有成员集中与单一供应商分别进行磋商（谈判轮次为一轮），并给予所有参加磋商的供应商平等的磋商机会。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480" w:firstLineChars="200"/>
        <w:rPr>
          <w:rFonts w:ascii="宋体" w:cs="宋体"/>
          <w:sz w:val="24"/>
        </w:rPr>
      </w:pPr>
      <w:r>
        <w:rPr>
          <w:rFonts w:ascii="宋体" w:hAnsi="宋体" w:cs="宋体"/>
          <w:sz w:val="24"/>
        </w:rPr>
        <w:t>5.2.3</w:t>
      </w:r>
      <w:r>
        <w:rPr>
          <w:rFonts w:hint="eastAsia" w:ascii="宋体" w:hAnsi="宋体" w:cs="宋体"/>
          <w:sz w:val="24"/>
        </w:rPr>
        <w:t>如果磋商小组一致认为最低报价或某些分项报价明显不合理，有降低质量、不能诚信履约的可能时，有权通知供应商进行谈判。</w:t>
      </w:r>
    </w:p>
    <w:p>
      <w:pPr>
        <w:spacing w:line="360" w:lineRule="auto"/>
        <w:ind w:firstLine="480" w:firstLineChars="200"/>
        <w:rPr>
          <w:rFonts w:ascii="宋体" w:cs="宋体"/>
          <w:sz w:val="24"/>
        </w:rPr>
      </w:pPr>
      <w:r>
        <w:rPr>
          <w:rFonts w:ascii="宋体" w:hAnsi="宋体" w:cs="宋体"/>
          <w:sz w:val="24"/>
        </w:rPr>
        <w:t>5.2.4</w:t>
      </w:r>
      <w:r>
        <w:rPr>
          <w:rFonts w:hint="eastAsia" w:ascii="宋体" w:hAnsi="宋体" w:cs="宋体"/>
          <w:sz w:val="24"/>
        </w:rPr>
        <w:t>对磋商文件作出的实质性变动是磋商文件的有效组成部分，磋商小组应当及时以书面形式同时通知所有参加磋商的供应商。</w:t>
      </w:r>
    </w:p>
    <w:p>
      <w:pPr>
        <w:spacing w:line="360" w:lineRule="auto"/>
        <w:ind w:firstLine="480" w:firstLineChars="200"/>
        <w:rPr>
          <w:rFonts w:ascii="宋体" w:cs="宋体"/>
          <w:sz w:val="24"/>
        </w:rPr>
      </w:pPr>
      <w:r>
        <w:rPr>
          <w:rFonts w:ascii="宋体" w:hAnsi="宋体" w:cs="宋体"/>
          <w:sz w:val="24"/>
        </w:rPr>
        <w:t>5.2.5</w:t>
      </w:r>
      <w:r>
        <w:rPr>
          <w:rFonts w:hint="eastAsia" w:ascii="宋体" w:hAnsi="宋体" w:cs="宋体"/>
          <w:sz w:val="24"/>
        </w:rPr>
        <w:t>磋商结束后，磋商小组要求参加磋商的各报价人在规定的时间内集中提交最终报价，除非在磋商中磋商小组调整或修改采购需求内容，否则采购人不接受高于前面轮次的磋商报价。</w:t>
      </w:r>
    </w:p>
    <w:p>
      <w:pPr>
        <w:widowControl/>
        <w:spacing w:line="360" w:lineRule="auto"/>
        <w:ind w:firstLine="480" w:firstLineChars="200"/>
        <w:jc w:val="left"/>
        <w:rPr>
          <w:rFonts w:ascii="宋体" w:cs="宋体"/>
          <w:sz w:val="24"/>
        </w:rPr>
      </w:pPr>
      <w:r>
        <w:rPr>
          <w:rFonts w:ascii="宋体" w:hAnsi="宋体" w:cs="宋体"/>
          <w:sz w:val="24"/>
          <w:szCs w:val="24"/>
        </w:rPr>
        <w:t>5.2.6</w:t>
      </w:r>
      <w:r>
        <w:rPr>
          <w:rFonts w:hint="eastAsia" w:ascii="宋体" w:hAnsi="宋体" w:cs="宋体"/>
          <w:sz w:val="24"/>
          <w:szCs w:val="24"/>
        </w:rPr>
        <w:t>在确定最终采购需求和提交最后报价的供应商后，</w:t>
      </w:r>
      <w:r>
        <w:rPr>
          <w:rFonts w:hint="eastAsia" w:ascii="宋体" w:hAnsi="宋体" w:cs="宋体"/>
          <w:sz w:val="24"/>
        </w:rPr>
        <w:t>磋商小组应按照第四部分评标办法规定的综合评分法，对供应商磋商响应文件的各项因素进行比较、自主打分、综合评审。</w:t>
      </w:r>
    </w:p>
    <w:p>
      <w:pPr>
        <w:widowControl/>
        <w:spacing w:line="360" w:lineRule="auto"/>
        <w:ind w:firstLine="480" w:firstLineChars="200"/>
        <w:jc w:val="left"/>
        <w:rPr>
          <w:rFonts w:ascii="宋体" w:cs="宋体"/>
          <w:sz w:val="24"/>
          <w:szCs w:val="24"/>
        </w:rPr>
      </w:pPr>
      <w:r>
        <w:rPr>
          <w:rFonts w:ascii="宋体" w:hAnsi="宋体" w:cs="宋体"/>
          <w:sz w:val="24"/>
          <w:szCs w:val="24"/>
        </w:rPr>
        <w:t>5.2.7</w:t>
      </w:r>
      <w:r>
        <w:rPr>
          <w:rFonts w:hint="eastAsia" w:ascii="宋体" w:hAnsi="宋体" w:cs="宋体"/>
          <w:sz w:val="24"/>
          <w:szCs w:val="24"/>
        </w:rPr>
        <w:t>磋商小组将评审得分汇总后，按评审总得分由高到低汇总排序，推荐</w:t>
      </w:r>
      <w:r>
        <w:rPr>
          <w:rFonts w:ascii="宋体" w:hAnsi="宋体" w:cs="宋体"/>
          <w:sz w:val="24"/>
          <w:szCs w:val="24"/>
        </w:rPr>
        <w:t>1</w:t>
      </w: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名成交候选人；评审得分相同的，按照最后报价由低到高的顺序推荐。评审得分且最后报价相同的，按照技术指标优劣顺序推荐。</w:t>
      </w:r>
    </w:p>
    <w:p>
      <w:pPr>
        <w:widowControl/>
        <w:spacing w:line="360" w:lineRule="auto"/>
        <w:ind w:firstLine="480" w:firstLineChars="200"/>
        <w:jc w:val="left"/>
        <w:rPr>
          <w:rFonts w:ascii="宋体" w:cs="宋体"/>
          <w:sz w:val="24"/>
          <w:szCs w:val="24"/>
        </w:rPr>
      </w:pPr>
      <w:r>
        <w:rPr>
          <w:rFonts w:ascii="宋体" w:hAnsi="宋体" w:cs="宋体"/>
          <w:sz w:val="24"/>
          <w:szCs w:val="24"/>
        </w:rPr>
        <w:t>5.2.8</w:t>
      </w:r>
      <w:r>
        <w:rPr>
          <w:rFonts w:hint="eastAsia" w:ascii="宋体" w:hAnsi="宋体" w:cs="宋体"/>
          <w:sz w:val="24"/>
          <w:szCs w:val="24"/>
        </w:rPr>
        <w:t>涉及政府采购政策优惠对供应商分值进行调整的，按照评分标准中调整供应商的技术、商务、价格得分或者总得分。</w:t>
      </w:r>
    </w:p>
    <w:p>
      <w:pPr>
        <w:pStyle w:val="7"/>
        <w:numPr>
          <w:ilvl w:val="0"/>
          <w:numId w:val="14"/>
        </w:numPr>
      </w:pPr>
      <w:bookmarkStart w:id="60" w:name="_Toc12947"/>
      <w:r>
        <w:rPr>
          <w:rFonts w:hint="eastAsia"/>
        </w:rPr>
        <w:t>定标</w:t>
      </w:r>
      <w:bookmarkEnd w:id="60"/>
    </w:p>
    <w:p>
      <w:pPr>
        <w:spacing w:line="360" w:lineRule="auto"/>
        <w:ind w:firstLine="420" w:firstLineChars="175"/>
        <w:jc w:val="left"/>
        <w:rPr>
          <w:rFonts w:ascii="宋体" w:cs="宋体"/>
          <w:sz w:val="24"/>
        </w:rPr>
      </w:pPr>
      <w:r>
        <w:rPr>
          <w:rFonts w:ascii="宋体" w:hAnsi="宋体" w:cs="宋体"/>
          <w:sz w:val="24"/>
        </w:rPr>
        <w:t>6.1</w:t>
      </w:r>
      <w:r>
        <w:rPr>
          <w:rFonts w:hint="eastAsia" w:ascii="宋体" w:hAnsi="宋体" w:cs="宋体"/>
          <w:sz w:val="24"/>
        </w:rPr>
        <w:t>代理机构在评审结束后</w:t>
      </w:r>
      <w:r>
        <w:rPr>
          <w:rFonts w:ascii="宋体" w:hAnsi="宋体" w:cs="宋体"/>
          <w:sz w:val="24"/>
        </w:rPr>
        <w:t>2</w:t>
      </w:r>
      <w:r>
        <w:rPr>
          <w:rFonts w:hint="eastAsia" w:ascii="宋体" w:hAnsi="宋体" w:cs="宋体"/>
          <w:sz w:val="24"/>
        </w:rPr>
        <w:t>个工作日内将评审报告送达采购人，采购人在收到评审报告后</w:t>
      </w:r>
      <w:r>
        <w:rPr>
          <w:rFonts w:ascii="宋体" w:hAnsi="宋体" w:cs="宋体"/>
          <w:sz w:val="24"/>
        </w:rPr>
        <w:t>5</w:t>
      </w:r>
      <w:r>
        <w:rPr>
          <w:rFonts w:hint="eastAsia" w:ascii="宋体" w:hAnsi="宋体" w:cs="宋体"/>
          <w:sz w:val="24"/>
        </w:rPr>
        <w:t>个工作日内，按照评审报告中推荐的成交候选人顺序确认第一成交候选人为成交单位，同时书面复函代理机构；</w:t>
      </w:r>
    </w:p>
    <w:p>
      <w:pPr>
        <w:spacing w:line="360" w:lineRule="auto"/>
        <w:ind w:firstLine="420" w:firstLineChars="175"/>
        <w:jc w:val="left"/>
        <w:rPr>
          <w:rFonts w:ascii="宋体" w:cs="宋体"/>
          <w:sz w:val="24"/>
        </w:rPr>
      </w:pPr>
      <w:r>
        <w:rPr>
          <w:rFonts w:ascii="宋体" w:hAnsi="宋体" w:cs="宋体"/>
          <w:sz w:val="24"/>
        </w:rPr>
        <w:t>6.2</w:t>
      </w:r>
      <w:r>
        <w:rPr>
          <w:rFonts w:hint="eastAsia" w:ascii="宋体" w:hAnsi="宋体" w:cs="宋体"/>
          <w:sz w:val="24"/>
        </w:rPr>
        <w:t>代理机构收到采购人“定标复函”后</w:t>
      </w:r>
      <w:r>
        <w:rPr>
          <w:rFonts w:ascii="宋体" w:hAnsi="宋体" w:cs="宋体"/>
          <w:sz w:val="24"/>
        </w:rPr>
        <w:t>2</w:t>
      </w:r>
      <w:r>
        <w:rPr>
          <w:rFonts w:hint="eastAsia" w:ascii="宋体" w:hAnsi="宋体" w:cs="宋体"/>
          <w:sz w:val="24"/>
        </w:rPr>
        <w:t>日内，在财政部门指定的政府采购信息媒体上发布公告，并向成交供应商发出“成交通知书”。</w:t>
      </w:r>
    </w:p>
    <w:p>
      <w:pPr>
        <w:widowControl/>
        <w:numPr>
          <w:ilvl w:val="0"/>
          <w:numId w:val="3"/>
        </w:numPr>
        <w:spacing w:line="360" w:lineRule="auto"/>
        <w:ind w:firstLine="643" w:firstLineChars="200"/>
        <w:jc w:val="center"/>
        <w:outlineLvl w:val="1"/>
        <w:rPr>
          <w:rFonts w:ascii="宋体" w:cs="宋体"/>
          <w:b/>
          <w:bCs/>
          <w:kern w:val="0"/>
          <w:sz w:val="32"/>
          <w:szCs w:val="28"/>
        </w:rPr>
      </w:pPr>
      <w:bookmarkStart w:id="61" w:name="_Toc25308"/>
      <w:bookmarkStart w:id="62" w:name="_Toc19972"/>
      <w:bookmarkStart w:id="63" w:name="_Toc19347"/>
      <w:bookmarkStart w:id="64" w:name="_Toc386"/>
      <w:r>
        <w:rPr>
          <w:rFonts w:hint="eastAsia" w:ascii="宋体" w:hAnsi="宋体" w:cs="宋体"/>
          <w:b/>
          <w:bCs/>
          <w:kern w:val="0"/>
          <w:sz w:val="32"/>
          <w:szCs w:val="28"/>
        </w:rPr>
        <w:t>签订合同</w:t>
      </w:r>
      <w:bookmarkEnd w:id="61"/>
      <w:bookmarkEnd w:id="62"/>
      <w:bookmarkEnd w:id="63"/>
      <w:bookmarkEnd w:id="64"/>
    </w:p>
    <w:p>
      <w:pPr>
        <w:spacing w:line="360" w:lineRule="auto"/>
        <w:ind w:firstLine="420" w:firstLineChars="175"/>
        <w:jc w:val="left"/>
        <w:rPr>
          <w:rFonts w:ascii="宋体" w:cs="宋体"/>
          <w:sz w:val="24"/>
        </w:rPr>
      </w:pPr>
      <w:r>
        <w:rPr>
          <w:rFonts w:ascii="宋体" w:hAnsi="宋体" w:cs="宋体"/>
          <w:sz w:val="24"/>
        </w:rPr>
        <w:t xml:space="preserve">6.1 </w:t>
      </w:r>
      <w:r>
        <w:rPr>
          <w:rFonts w:hint="eastAsia" w:ascii="宋体" w:hAnsi="宋体" w:cs="宋体"/>
          <w:sz w:val="24"/>
        </w:rPr>
        <w:t>成交后，成交供应商与采购人洽谈合同条款，并签订供货合同，同时送代理机构归档，竞争性磋商文件及成交供应商的磋商响应文件均作为合同的组成部分。</w:t>
      </w:r>
    </w:p>
    <w:p>
      <w:pPr>
        <w:spacing w:line="360" w:lineRule="auto"/>
        <w:jc w:val="left"/>
        <w:rPr>
          <w:rFonts w:ascii="宋体" w:cs="宋体"/>
          <w:sz w:val="24"/>
        </w:rPr>
      </w:pPr>
      <w:r>
        <w:rPr>
          <w:rFonts w:ascii="宋体" w:hAnsi="宋体" w:cs="宋体"/>
          <w:sz w:val="24"/>
        </w:rPr>
        <w:t xml:space="preserve">   6.2</w:t>
      </w:r>
      <w:r>
        <w:rPr>
          <w:rFonts w:hint="eastAsia" w:ascii="宋体" w:hAnsi="宋体" w:cs="宋体"/>
          <w:sz w:val="24"/>
        </w:rPr>
        <w:t>根据需要，代理机构应协助采购人监督、协调和处理履约过程中出现的问题。</w:t>
      </w:r>
    </w:p>
    <w:p>
      <w:pPr>
        <w:spacing w:line="360" w:lineRule="auto"/>
        <w:ind w:firstLine="420" w:firstLineChars="175"/>
        <w:jc w:val="left"/>
        <w:rPr>
          <w:rFonts w:ascii="宋体" w:cs="宋体"/>
          <w:sz w:val="24"/>
        </w:rPr>
      </w:pPr>
      <w:r>
        <w:rPr>
          <w:rFonts w:ascii="宋体" w:hAnsi="宋体" w:cs="宋体"/>
          <w:sz w:val="24"/>
        </w:rPr>
        <w:t>6.3</w:t>
      </w:r>
      <w:r>
        <w:rPr>
          <w:rFonts w:hint="eastAsia" w:ascii="宋体" w:hAnsi="宋体" w:cs="宋体"/>
          <w:sz w:val="24"/>
        </w:rPr>
        <w:t>陕西省财政厅政府采购管理处在合同履行期间以及履行期后，可以随时检查项目的执行情况，对采购标准、采购内容进行调查核实，并对发现的问题进行处理。</w:t>
      </w:r>
    </w:p>
    <w:p>
      <w:pPr>
        <w:widowControl/>
        <w:numPr>
          <w:ilvl w:val="0"/>
          <w:numId w:val="3"/>
        </w:numPr>
        <w:spacing w:line="360" w:lineRule="auto"/>
        <w:ind w:firstLine="643" w:firstLineChars="200"/>
        <w:jc w:val="center"/>
        <w:outlineLvl w:val="1"/>
        <w:rPr>
          <w:rFonts w:ascii="宋体" w:cs="宋体"/>
          <w:b/>
          <w:bCs/>
          <w:kern w:val="0"/>
          <w:sz w:val="32"/>
          <w:szCs w:val="28"/>
        </w:rPr>
      </w:pPr>
      <w:bookmarkStart w:id="65" w:name="_Toc25963"/>
      <w:bookmarkStart w:id="66" w:name="_Toc19496"/>
      <w:r>
        <w:rPr>
          <w:rFonts w:hint="eastAsia" w:ascii="宋体" w:hAnsi="宋体" w:cs="宋体"/>
          <w:b/>
          <w:bCs/>
          <w:kern w:val="0"/>
          <w:sz w:val="32"/>
          <w:szCs w:val="28"/>
        </w:rPr>
        <w:t>磋商终止</w:t>
      </w:r>
      <w:bookmarkEnd w:id="65"/>
      <w:bookmarkEnd w:id="66"/>
    </w:p>
    <w:p>
      <w:pPr>
        <w:spacing w:line="360" w:lineRule="auto"/>
        <w:ind w:firstLine="420" w:firstLineChars="175"/>
        <w:jc w:val="left"/>
        <w:rPr>
          <w:rFonts w:ascii="宋体" w:cs="宋体"/>
          <w:sz w:val="24"/>
        </w:rPr>
      </w:pPr>
      <w:r>
        <w:rPr>
          <w:rFonts w:ascii="宋体" w:hAnsi="宋体" w:cs="宋体"/>
          <w:sz w:val="24"/>
        </w:rPr>
        <w:t>7.1</w:t>
      </w:r>
      <w:r>
        <w:rPr>
          <w:rFonts w:hint="eastAsia" w:ascii="宋体" w:hAnsi="宋体" w:cs="宋体"/>
          <w:sz w:val="24"/>
        </w:rPr>
        <w:t>出现下列情形之一的，采购人或者采购代理机构应当终止竞争性磋商采购活动，发布项目终止公告并说明原因，重新开展采购活动：</w:t>
      </w:r>
    </w:p>
    <w:p>
      <w:pPr>
        <w:spacing w:line="360" w:lineRule="auto"/>
        <w:ind w:firstLine="420" w:firstLineChars="175"/>
        <w:jc w:val="left"/>
        <w:rPr>
          <w:rFonts w:ascii="宋体" w:cs="宋体"/>
          <w:sz w:val="24"/>
        </w:rPr>
      </w:pPr>
      <w:r>
        <w:rPr>
          <w:rFonts w:hint="eastAsia" w:ascii="宋体" w:hAnsi="宋体" w:cs="宋体"/>
          <w:sz w:val="24"/>
        </w:rPr>
        <w:t>（一）因情况变化，不再符合规定的竞争性磋商采购方式适用情形的；</w:t>
      </w:r>
    </w:p>
    <w:p>
      <w:pPr>
        <w:spacing w:line="360" w:lineRule="auto"/>
        <w:ind w:firstLine="420" w:firstLineChars="175"/>
        <w:jc w:val="left"/>
        <w:rPr>
          <w:rFonts w:ascii="宋体" w:cs="宋体"/>
          <w:sz w:val="24"/>
        </w:rPr>
      </w:pPr>
      <w:r>
        <w:rPr>
          <w:rFonts w:hint="eastAsia" w:ascii="宋体" w:hAnsi="宋体" w:cs="宋体"/>
          <w:sz w:val="24"/>
        </w:rPr>
        <w:t>（二）出现影响采购公正的违法、违规行为的；</w:t>
      </w:r>
    </w:p>
    <w:p>
      <w:pPr>
        <w:spacing w:line="360" w:lineRule="auto"/>
        <w:ind w:firstLine="420" w:firstLineChars="175"/>
        <w:jc w:val="left"/>
        <w:rPr>
          <w:rFonts w:ascii="宋体" w:cs="宋体"/>
          <w:sz w:val="24"/>
        </w:rPr>
      </w:pPr>
      <w:r>
        <w:rPr>
          <w:rFonts w:hint="eastAsia" w:ascii="宋体" w:hAnsi="宋体" w:cs="宋体"/>
          <w:sz w:val="24"/>
        </w:rPr>
        <w:t>（三）除《政府采购竞争性磋商采购方式管理暂行办法》（财库【</w:t>
      </w:r>
      <w:r>
        <w:rPr>
          <w:rFonts w:ascii="宋体" w:hAnsi="宋体" w:cs="宋体"/>
          <w:sz w:val="24"/>
        </w:rPr>
        <w:t>2014</w:t>
      </w:r>
      <w:r>
        <w:rPr>
          <w:rFonts w:hint="eastAsia" w:ascii="宋体" w:hAnsi="宋体" w:cs="宋体"/>
          <w:sz w:val="24"/>
        </w:rPr>
        <w:t>】</w:t>
      </w:r>
      <w:r>
        <w:rPr>
          <w:rFonts w:ascii="宋体" w:hAnsi="宋体" w:cs="宋体"/>
          <w:sz w:val="24"/>
        </w:rPr>
        <w:t>214</w:t>
      </w:r>
      <w:r>
        <w:rPr>
          <w:rFonts w:hint="eastAsia" w:ascii="宋体" w:hAnsi="宋体" w:cs="宋体"/>
          <w:sz w:val="24"/>
        </w:rPr>
        <w:t>号）和《财政部关于政府采购竞争性磋商采购方式管理暂行办法有关问题的补充通知》（财库【</w:t>
      </w:r>
      <w:r>
        <w:rPr>
          <w:rFonts w:ascii="宋体" w:hAnsi="宋体" w:cs="宋体"/>
          <w:sz w:val="24"/>
        </w:rPr>
        <w:t>2015</w:t>
      </w:r>
      <w:r>
        <w:rPr>
          <w:rFonts w:hint="eastAsia" w:ascii="宋体" w:hAnsi="宋体" w:cs="宋体"/>
          <w:sz w:val="24"/>
        </w:rPr>
        <w:t>】</w:t>
      </w:r>
      <w:r>
        <w:rPr>
          <w:rFonts w:ascii="宋体" w:hAnsi="宋体" w:cs="宋体"/>
          <w:sz w:val="24"/>
        </w:rPr>
        <w:t>124</w:t>
      </w:r>
      <w:r>
        <w:rPr>
          <w:rFonts w:hint="eastAsia" w:ascii="宋体" w:hAnsi="宋体" w:cs="宋体"/>
          <w:sz w:val="24"/>
        </w:rPr>
        <w:t>号）所列“政府购买服务项目（含政府和社会资本合作项目）市场竞争不充分的科研项目以及需要扶持的科技成果转化项目”情形外，在采购过程中符合要求的供应商或者报价未超过采购预算的供应商不足</w:t>
      </w:r>
      <w:r>
        <w:rPr>
          <w:rFonts w:ascii="宋体" w:hAnsi="宋体" w:cs="宋体"/>
          <w:sz w:val="24"/>
        </w:rPr>
        <w:t>3</w:t>
      </w:r>
      <w:r>
        <w:rPr>
          <w:rFonts w:hint="eastAsia" w:ascii="宋体" w:hAnsi="宋体" w:cs="宋体"/>
          <w:sz w:val="24"/>
        </w:rPr>
        <w:t>家的。</w:t>
      </w:r>
    </w:p>
    <w:p>
      <w:pPr>
        <w:widowControl/>
        <w:numPr>
          <w:ilvl w:val="0"/>
          <w:numId w:val="3"/>
        </w:numPr>
        <w:spacing w:line="360" w:lineRule="auto"/>
        <w:ind w:firstLine="643" w:firstLineChars="200"/>
        <w:jc w:val="center"/>
        <w:outlineLvl w:val="1"/>
        <w:rPr>
          <w:rFonts w:ascii="宋体" w:cs="宋体"/>
          <w:b/>
          <w:bCs/>
          <w:kern w:val="0"/>
          <w:sz w:val="32"/>
          <w:szCs w:val="28"/>
        </w:rPr>
      </w:pPr>
      <w:bookmarkStart w:id="67" w:name="_Toc26132"/>
      <w:bookmarkStart w:id="68" w:name="_Toc10069"/>
      <w:bookmarkStart w:id="69" w:name="_Toc28110"/>
      <w:r>
        <w:rPr>
          <w:rFonts w:hint="eastAsia" w:ascii="宋体" w:hAnsi="宋体" w:cs="宋体"/>
          <w:b/>
          <w:bCs/>
          <w:kern w:val="0"/>
          <w:sz w:val="32"/>
          <w:szCs w:val="28"/>
        </w:rPr>
        <w:t>代理服务费</w:t>
      </w:r>
      <w:bookmarkEnd w:id="67"/>
      <w:bookmarkEnd w:id="68"/>
      <w:bookmarkEnd w:id="69"/>
    </w:p>
    <w:p>
      <w:pPr>
        <w:spacing w:line="360" w:lineRule="auto"/>
        <w:ind w:firstLine="480" w:firstLineChars="200"/>
        <w:rPr>
          <w:rFonts w:ascii="宋体"/>
          <w:sz w:val="24"/>
          <w:szCs w:val="24"/>
        </w:rPr>
      </w:pPr>
      <w:r>
        <w:rPr>
          <w:rFonts w:hint="eastAsia" w:ascii="宋体" w:hAnsi="宋体"/>
          <w:color w:val="000000"/>
          <w:sz w:val="24"/>
          <w:szCs w:val="24"/>
        </w:rPr>
        <w:t>8</w:t>
      </w:r>
      <w:r>
        <w:rPr>
          <w:rFonts w:ascii="宋体" w:hAnsi="宋体"/>
          <w:color w:val="000000"/>
          <w:sz w:val="24"/>
          <w:szCs w:val="24"/>
        </w:rPr>
        <w:t>.</w:t>
      </w:r>
      <w:r>
        <w:rPr>
          <w:rFonts w:ascii="宋体" w:hAnsi="宋体"/>
          <w:sz w:val="24"/>
          <w:szCs w:val="24"/>
        </w:rPr>
        <w:t>1</w:t>
      </w:r>
      <w:r>
        <w:rPr>
          <w:rFonts w:hint="eastAsia" w:ascii="宋体" w:hAnsi="宋体"/>
          <w:sz w:val="24"/>
          <w:szCs w:val="24"/>
        </w:rPr>
        <w:t>参照（计价格</w:t>
      </w:r>
      <w:r>
        <w:rPr>
          <w:rFonts w:ascii="宋体" w:hAnsi="宋体"/>
          <w:sz w:val="24"/>
          <w:szCs w:val="24"/>
        </w:rPr>
        <w:t>[2002]1980</w:t>
      </w:r>
      <w:r>
        <w:rPr>
          <w:rFonts w:hint="eastAsia" w:ascii="宋体" w:hAnsi="宋体"/>
          <w:sz w:val="24"/>
          <w:szCs w:val="24"/>
        </w:rPr>
        <w:t>号）文件规定的标准收费，由成交供应商在领取成交通知书时向招标代理机构交纳代理服务费。</w:t>
      </w:r>
    </w:p>
    <w:p>
      <w:pPr>
        <w:spacing w:line="360" w:lineRule="auto"/>
        <w:ind w:firstLine="480" w:firstLineChars="200"/>
        <w:jc w:val="left"/>
        <w:rPr>
          <w:rFonts w:ascii="宋体"/>
          <w:sz w:val="24"/>
          <w:szCs w:val="24"/>
        </w:rPr>
      </w:pPr>
      <w:r>
        <w:rPr>
          <w:rFonts w:hint="eastAsia" w:ascii="宋体" w:hAnsi="宋体"/>
          <w:sz w:val="24"/>
          <w:szCs w:val="24"/>
        </w:rPr>
        <w:t>8</w:t>
      </w:r>
      <w:r>
        <w:rPr>
          <w:rFonts w:ascii="宋体" w:hAnsi="宋体"/>
          <w:sz w:val="24"/>
          <w:szCs w:val="24"/>
        </w:rPr>
        <w:t>.2</w:t>
      </w:r>
      <w:r>
        <w:rPr>
          <w:rFonts w:hint="eastAsia" w:ascii="宋体" w:hAnsi="宋体"/>
          <w:sz w:val="24"/>
          <w:szCs w:val="24"/>
        </w:rPr>
        <w:t>供应商将招标代理</w:t>
      </w:r>
      <w:r>
        <w:rPr>
          <w:rFonts w:hint="eastAsia" w:ascii="宋体" w:hAnsi="宋体" w:cs="宋体"/>
          <w:sz w:val="24"/>
        </w:rPr>
        <w:t>服务费计入磋商报价但不单独列明，成交单位在领取成交通知书前，须向采购代理机构一</w:t>
      </w:r>
      <w:r>
        <w:rPr>
          <w:rFonts w:hint="eastAsia" w:ascii="宋体" w:hAnsi="宋体"/>
          <w:sz w:val="24"/>
          <w:szCs w:val="24"/>
        </w:rPr>
        <w:t>次性支付招标代理服务费；代理服务费以转账、电汇或现金等形式交纳。</w:t>
      </w:r>
    </w:p>
    <w:p>
      <w:pPr>
        <w:pStyle w:val="4"/>
        <w:pageBreakBefore/>
        <w:numPr>
          <w:ilvl w:val="0"/>
          <w:numId w:val="17"/>
        </w:numPr>
      </w:pPr>
      <w:bookmarkStart w:id="70" w:name="_Toc3298"/>
      <w:bookmarkStart w:id="71" w:name="_Toc4960"/>
      <w:r>
        <w:rPr>
          <w:rFonts w:hint="eastAsia"/>
        </w:rPr>
        <w:t>分评标办法</w:t>
      </w:r>
      <w:bookmarkEnd w:id="70"/>
      <w:bookmarkEnd w:id="71"/>
    </w:p>
    <w:p>
      <w:pPr>
        <w:spacing w:line="360" w:lineRule="auto"/>
        <w:ind w:firstLine="480" w:firstLineChars="200"/>
        <w:rPr>
          <w:rFonts w:hint="eastAsia" w:asciiTheme="minorEastAsia" w:hAnsiTheme="minorEastAsia" w:cstheme="minorEastAsia"/>
          <w:sz w:val="24"/>
          <w:szCs w:val="24"/>
        </w:rPr>
      </w:pPr>
      <w:r>
        <w:rPr>
          <w:rFonts w:hint="eastAsia" w:ascii="宋体" w:hAnsi="宋体" w:cs="宋体"/>
          <w:sz w:val="24"/>
          <w:szCs w:val="24"/>
        </w:rPr>
        <w:t>本次评标采用磋商多轮报价，综合评分法，综合评分因素的主要因素为价格、技术、业绩、服务等以及对招标文件的响应程度。每一供应商的最终得分为所有评委评分的算数平均值四舍五入后保留到小数点后两位。</w:t>
      </w:r>
    </w:p>
    <w:p>
      <w:pPr>
        <w:rPr>
          <w:rFonts w:hint="eastAsia"/>
          <w:lang w:eastAsia="zh-CN"/>
        </w:rPr>
      </w:pPr>
      <w:bookmarkStart w:id="72" w:name="_Toc12723"/>
      <w:r>
        <w:rPr>
          <w:rFonts w:hint="eastAsia"/>
          <w:lang w:eastAsia="zh-CN"/>
        </w:rPr>
        <w:t>评分办法：</w:t>
      </w:r>
      <w:bookmarkEnd w:id="72"/>
    </w:p>
    <w:tbl>
      <w:tblPr>
        <w:tblStyle w:val="25"/>
        <w:tblW w:w="8680" w:type="dxa"/>
        <w:jc w:val="center"/>
        <w:tblInd w:w="9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
        <w:gridCol w:w="934"/>
        <w:gridCol w:w="734"/>
        <w:gridCol w:w="5286"/>
        <w:gridCol w:w="1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6" w:hRule="atLeast"/>
          <w:jc w:val="center"/>
        </w:trPr>
        <w:tc>
          <w:tcPr>
            <w:tcW w:w="360" w:type="dxa"/>
            <w:vAlign w:val="center"/>
          </w:tcPr>
          <w:p>
            <w:pPr>
              <w:spacing w:line="400" w:lineRule="exact"/>
              <w:rPr>
                <w:rFonts w:hint="eastAsia" w:ascii="宋体" w:hAnsi="宋体" w:eastAsia="宋体" w:cs="宋体"/>
                <w:sz w:val="18"/>
                <w:szCs w:val="18"/>
              </w:rPr>
            </w:pPr>
            <w:r>
              <w:rPr>
                <w:rFonts w:hint="eastAsia" w:ascii="宋体" w:hAnsi="宋体" w:eastAsia="宋体" w:cs="宋体"/>
                <w:sz w:val="18"/>
                <w:szCs w:val="18"/>
              </w:rPr>
              <w:t>序号</w:t>
            </w:r>
          </w:p>
        </w:tc>
        <w:tc>
          <w:tcPr>
            <w:tcW w:w="934" w:type="dxa"/>
            <w:vAlign w:val="center"/>
          </w:tcPr>
          <w:p>
            <w:pPr>
              <w:spacing w:line="400" w:lineRule="exact"/>
              <w:ind w:firstLine="28"/>
              <w:rPr>
                <w:rFonts w:hint="eastAsia" w:ascii="宋体" w:hAnsi="宋体" w:eastAsia="宋体" w:cs="宋体"/>
                <w:sz w:val="18"/>
                <w:szCs w:val="18"/>
              </w:rPr>
            </w:pPr>
            <w:bookmarkStart w:id="73" w:name="OLE_LINK11"/>
            <w:r>
              <w:rPr>
                <w:rFonts w:hint="eastAsia" w:ascii="宋体" w:hAnsi="宋体" w:eastAsia="宋体" w:cs="宋体"/>
                <w:sz w:val="18"/>
                <w:szCs w:val="18"/>
              </w:rPr>
              <w:t>评分因素及权重</w:t>
            </w:r>
            <w:bookmarkEnd w:id="73"/>
          </w:p>
        </w:tc>
        <w:tc>
          <w:tcPr>
            <w:tcW w:w="734" w:type="dxa"/>
            <w:vAlign w:val="center"/>
          </w:tcPr>
          <w:p>
            <w:pPr>
              <w:spacing w:line="400" w:lineRule="exact"/>
              <w:ind w:firstLine="28"/>
              <w:jc w:val="center"/>
              <w:rPr>
                <w:rFonts w:hint="eastAsia" w:ascii="宋体" w:hAnsi="宋体" w:eastAsia="宋体" w:cs="宋体"/>
                <w:sz w:val="18"/>
                <w:szCs w:val="18"/>
              </w:rPr>
            </w:pPr>
            <w:r>
              <w:rPr>
                <w:rFonts w:hint="eastAsia" w:ascii="宋体" w:hAnsi="宋体" w:eastAsia="宋体" w:cs="宋体"/>
                <w:sz w:val="18"/>
                <w:szCs w:val="18"/>
              </w:rPr>
              <w:t>分值</w:t>
            </w:r>
          </w:p>
        </w:tc>
        <w:tc>
          <w:tcPr>
            <w:tcW w:w="5286" w:type="dxa"/>
            <w:vAlign w:val="center"/>
          </w:tcPr>
          <w:p>
            <w:pPr>
              <w:spacing w:line="400" w:lineRule="exact"/>
              <w:ind w:firstLine="28"/>
              <w:jc w:val="center"/>
              <w:rPr>
                <w:rFonts w:hint="eastAsia" w:ascii="宋体" w:hAnsi="宋体" w:eastAsia="宋体" w:cs="宋体"/>
                <w:sz w:val="18"/>
                <w:szCs w:val="18"/>
              </w:rPr>
            </w:pPr>
            <w:r>
              <w:rPr>
                <w:rFonts w:hint="eastAsia" w:ascii="宋体" w:hAnsi="宋体" w:eastAsia="宋体" w:cs="宋体"/>
                <w:sz w:val="18"/>
                <w:szCs w:val="18"/>
              </w:rPr>
              <w:t>评分标准</w:t>
            </w:r>
          </w:p>
        </w:tc>
        <w:tc>
          <w:tcPr>
            <w:tcW w:w="1366" w:type="dxa"/>
            <w:vAlign w:val="center"/>
          </w:tcPr>
          <w:p>
            <w:pPr>
              <w:spacing w:line="400" w:lineRule="exact"/>
              <w:jc w:val="center"/>
              <w:rPr>
                <w:rFonts w:hint="eastAsia" w:ascii="宋体" w:hAnsi="宋体" w:eastAsia="宋体" w:cs="宋体"/>
                <w:sz w:val="18"/>
                <w:szCs w:val="18"/>
              </w:rPr>
            </w:pPr>
            <w:r>
              <w:rPr>
                <w:rFonts w:hint="eastAsia" w:ascii="宋体" w:hAnsi="宋体" w:eastAsia="宋体" w:cs="宋体"/>
                <w:sz w:val="18"/>
                <w:szCs w:val="18"/>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4" w:hRule="atLeast"/>
          <w:jc w:val="center"/>
        </w:trPr>
        <w:tc>
          <w:tcPr>
            <w:tcW w:w="3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9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left"/>
              <w:rPr>
                <w:rFonts w:hint="eastAsia" w:ascii="宋体" w:hAnsi="宋体" w:eastAsia="宋体" w:cs="宋体"/>
                <w:sz w:val="18"/>
                <w:szCs w:val="18"/>
              </w:rPr>
            </w:pPr>
            <w:r>
              <w:rPr>
                <w:rFonts w:hint="eastAsia" w:ascii="宋体" w:hAnsi="宋体" w:eastAsia="宋体" w:cs="宋体"/>
                <w:sz w:val="18"/>
                <w:szCs w:val="18"/>
              </w:rPr>
              <w:t>报价</w:t>
            </w:r>
            <w:r>
              <w:rPr>
                <w:rFonts w:hint="eastAsia" w:ascii="宋体" w:hAnsi="宋体" w:cs="宋体"/>
                <w:sz w:val="18"/>
                <w:szCs w:val="18"/>
                <w:lang w:val="en-US" w:eastAsia="zh-CN"/>
              </w:rPr>
              <w:t>3</w:t>
            </w:r>
            <w:r>
              <w:rPr>
                <w:rFonts w:hint="eastAsia" w:ascii="宋体" w:hAnsi="宋体" w:eastAsia="宋体" w:cs="宋体"/>
                <w:sz w:val="18"/>
                <w:szCs w:val="18"/>
              </w:rPr>
              <w:t>0%</w:t>
            </w:r>
          </w:p>
        </w:tc>
        <w:tc>
          <w:tcPr>
            <w:tcW w:w="7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rPr>
            </w:pPr>
            <w:r>
              <w:rPr>
                <w:rFonts w:hint="eastAsia" w:ascii="宋体" w:hAnsi="宋体" w:cs="宋体"/>
                <w:sz w:val="18"/>
                <w:szCs w:val="18"/>
                <w:lang w:val="en-US" w:eastAsia="zh-CN"/>
              </w:rPr>
              <w:t>3</w:t>
            </w:r>
            <w:r>
              <w:rPr>
                <w:rFonts w:hint="eastAsia" w:ascii="宋体" w:hAnsi="宋体" w:eastAsia="宋体" w:cs="宋体"/>
                <w:sz w:val="18"/>
                <w:szCs w:val="18"/>
              </w:rPr>
              <w:t>0</w:t>
            </w:r>
          </w:p>
        </w:tc>
        <w:tc>
          <w:tcPr>
            <w:tcW w:w="5286" w:type="dxa"/>
            <w:tcBorders>
              <w:top w:val="single" w:color="auto" w:sz="4" w:space="0"/>
              <w:left w:val="single" w:color="auto" w:sz="4" w:space="0"/>
              <w:bottom w:val="single" w:color="auto" w:sz="4" w:space="0"/>
              <w:right w:val="single" w:color="auto" w:sz="4" w:space="0"/>
            </w:tcBorders>
            <w:vAlign w:val="center"/>
          </w:tcPr>
          <w:p>
            <w:pPr>
              <w:ind w:firstLine="28"/>
              <w:rPr>
                <w:rFonts w:hint="eastAsia" w:ascii="宋体" w:hAnsi="宋体" w:eastAsia="宋体" w:cs="宋体"/>
                <w:sz w:val="18"/>
                <w:szCs w:val="18"/>
              </w:rPr>
            </w:pPr>
            <w:r>
              <w:rPr>
                <w:rFonts w:hint="eastAsia" w:ascii="宋体" w:hAnsi="宋体" w:eastAsia="宋体" w:cs="宋体"/>
                <w:sz w:val="18"/>
                <w:szCs w:val="18"/>
              </w:rPr>
              <w:t>按照财政部《政府采购竞争性磋商采购方式管理暂行办法》（财库[2014]214号）的有关规定：价格分采用低价优先法计算，即满足竞争性磋商文件要求且最后报价最低的供应商的价格为磋商基准价，其价格分为满分。其他供应商的价格分统一按照下列公式计算：</w:t>
            </w:r>
          </w:p>
          <w:p>
            <w:pPr>
              <w:ind w:firstLine="28"/>
              <w:rPr>
                <w:rFonts w:hint="eastAsia" w:ascii="宋体" w:hAnsi="宋体" w:eastAsia="宋体" w:cs="宋体"/>
                <w:sz w:val="18"/>
                <w:szCs w:val="18"/>
              </w:rPr>
            </w:pPr>
            <w:r>
              <w:rPr>
                <w:rFonts w:hint="eastAsia" w:ascii="宋体" w:hAnsi="宋体" w:eastAsia="宋体" w:cs="宋体"/>
                <w:sz w:val="18"/>
                <w:szCs w:val="18"/>
              </w:rPr>
              <w:t>磋商报价得分=（磋商基准价/最终磋商报价）×价格权值×100</w:t>
            </w:r>
          </w:p>
        </w:tc>
        <w:tc>
          <w:tcPr>
            <w:tcW w:w="136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rPr>
            </w:pPr>
          </w:p>
          <w:p>
            <w:pPr>
              <w:spacing w:line="400" w:lineRule="exact"/>
              <w:ind w:firstLine="28"/>
              <w:jc w:val="center"/>
              <w:rPr>
                <w:rFonts w:hint="eastAsia" w:ascii="宋体" w:hAnsi="宋体" w:eastAsia="宋体" w:cs="宋体"/>
                <w:sz w:val="18"/>
                <w:szCs w:val="18"/>
              </w:rPr>
            </w:pPr>
            <w:r>
              <w:rPr>
                <w:rFonts w:hint="eastAsia" w:ascii="宋体" w:hAnsi="宋体" w:eastAsia="宋体" w:cs="宋体"/>
                <w:sz w:val="18"/>
                <w:szCs w:val="18"/>
              </w:rPr>
              <w:t>政策性优惠详见下列评审办法备注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4" w:hRule="atLeast"/>
          <w:jc w:val="center"/>
        </w:trPr>
        <w:tc>
          <w:tcPr>
            <w:tcW w:w="3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9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left"/>
              <w:rPr>
                <w:rFonts w:hint="eastAsia" w:ascii="宋体" w:hAnsi="宋体" w:eastAsia="宋体" w:cs="宋体"/>
                <w:sz w:val="18"/>
                <w:szCs w:val="18"/>
              </w:rPr>
            </w:pPr>
            <w:r>
              <w:rPr>
                <w:rFonts w:hint="eastAsia" w:ascii="宋体" w:hAnsi="宋体" w:eastAsia="宋体" w:cs="宋体"/>
                <w:sz w:val="18"/>
                <w:szCs w:val="18"/>
              </w:rPr>
              <w:t>技术指标</w:t>
            </w:r>
            <w:r>
              <w:rPr>
                <w:rFonts w:hint="eastAsia" w:ascii="宋体" w:hAnsi="宋体" w:cs="宋体"/>
                <w:sz w:val="18"/>
                <w:szCs w:val="18"/>
                <w:lang w:val="en-US" w:eastAsia="zh-CN"/>
              </w:rPr>
              <w:t>30</w:t>
            </w:r>
            <w:r>
              <w:rPr>
                <w:rFonts w:hint="eastAsia" w:ascii="宋体" w:hAnsi="宋体" w:eastAsia="宋体" w:cs="宋体"/>
                <w:sz w:val="18"/>
                <w:szCs w:val="18"/>
              </w:rPr>
              <w:t>%</w:t>
            </w:r>
          </w:p>
        </w:tc>
        <w:tc>
          <w:tcPr>
            <w:tcW w:w="7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30</w:t>
            </w:r>
          </w:p>
        </w:tc>
        <w:tc>
          <w:tcPr>
            <w:tcW w:w="5286" w:type="dxa"/>
            <w:tcBorders>
              <w:top w:val="single" w:color="auto" w:sz="4" w:space="0"/>
              <w:left w:val="single" w:color="auto" w:sz="4" w:space="0"/>
              <w:bottom w:val="single" w:color="auto" w:sz="4" w:space="0"/>
              <w:right w:val="single" w:color="auto" w:sz="4" w:space="0"/>
            </w:tcBorders>
            <w:vAlign w:val="center"/>
          </w:tcPr>
          <w:p>
            <w:pPr>
              <w:ind w:firstLine="28"/>
              <w:rPr>
                <w:rFonts w:hint="eastAsia" w:ascii="宋体" w:hAnsi="宋体" w:eastAsia="宋体" w:cs="宋体"/>
                <w:sz w:val="18"/>
                <w:szCs w:val="18"/>
              </w:rPr>
            </w:pPr>
            <w:r>
              <w:rPr>
                <w:rFonts w:hint="eastAsia" w:ascii="宋体" w:hAnsi="宋体" w:eastAsia="宋体" w:cs="宋体"/>
                <w:sz w:val="18"/>
                <w:szCs w:val="18"/>
              </w:rPr>
              <w:t>供应商应根据项目需求提供完整设计方案，能充分体现采购人的需求、思路，由评委专家根据方案优劣自主赋分。优计</w:t>
            </w:r>
            <w:r>
              <w:rPr>
                <w:rFonts w:hint="eastAsia" w:ascii="宋体" w:hAnsi="宋体" w:cs="宋体"/>
                <w:sz w:val="18"/>
                <w:szCs w:val="18"/>
                <w:lang w:val="en-US" w:eastAsia="zh-CN"/>
              </w:rPr>
              <w:t>4-5</w:t>
            </w:r>
            <w:r>
              <w:rPr>
                <w:rFonts w:hint="eastAsia" w:ascii="宋体" w:hAnsi="宋体" w:eastAsia="宋体" w:cs="宋体"/>
                <w:sz w:val="18"/>
                <w:szCs w:val="18"/>
              </w:rPr>
              <w:t>分，良计</w:t>
            </w:r>
            <w:r>
              <w:rPr>
                <w:rFonts w:hint="eastAsia" w:ascii="宋体" w:hAnsi="宋体" w:cs="宋体"/>
                <w:sz w:val="18"/>
                <w:szCs w:val="18"/>
                <w:lang w:val="en-US" w:eastAsia="zh-CN"/>
              </w:rPr>
              <w:t>2-3</w:t>
            </w:r>
            <w:r>
              <w:rPr>
                <w:rFonts w:hint="eastAsia" w:ascii="宋体" w:hAnsi="宋体" w:eastAsia="宋体" w:cs="宋体"/>
                <w:sz w:val="18"/>
                <w:szCs w:val="18"/>
              </w:rPr>
              <w:t>分，一般0-</w:t>
            </w:r>
            <w:r>
              <w:rPr>
                <w:rFonts w:hint="eastAsia" w:ascii="宋体" w:hAnsi="宋体" w:cs="宋体"/>
                <w:sz w:val="18"/>
                <w:szCs w:val="18"/>
                <w:lang w:val="en-US" w:eastAsia="zh-CN"/>
              </w:rPr>
              <w:t>1</w:t>
            </w:r>
            <w:r>
              <w:rPr>
                <w:rFonts w:hint="eastAsia" w:ascii="宋体" w:hAnsi="宋体" w:eastAsia="宋体" w:cs="宋体"/>
                <w:sz w:val="18"/>
                <w:szCs w:val="18"/>
              </w:rPr>
              <w:t>分，较差或未提供不得分。</w:t>
            </w:r>
          </w:p>
          <w:p>
            <w:pPr>
              <w:ind w:firstLine="28"/>
              <w:rPr>
                <w:rFonts w:hint="eastAsia" w:ascii="宋体" w:hAnsi="宋体" w:eastAsia="宋体" w:cs="宋体"/>
                <w:sz w:val="18"/>
                <w:szCs w:val="18"/>
              </w:rPr>
            </w:pPr>
            <w:r>
              <w:rPr>
                <w:rFonts w:hint="eastAsia" w:ascii="宋体" w:hAnsi="宋体" w:eastAsia="宋体" w:cs="宋体"/>
                <w:sz w:val="18"/>
                <w:szCs w:val="18"/>
              </w:rPr>
              <w:t>软件系统简单易用、系统稳定、可扩展性强、细节完善，功能应完全满足需求，计</w:t>
            </w:r>
            <w:r>
              <w:rPr>
                <w:rFonts w:hint="eastAsia" w:ascii="宋体" w:hAnsi="宋体" w:cs="宋体"/>
                <w:sz w:val="18"/>
                <w:szCs w:val="18"/>
                <w:lang w:val="en-US" w:eastAsia="zh-CN"/>
              </w:rPr>
              <w:t>20</w:t>
            </w:r>
            <w:r>
              <w:rPr>
                <w:rFonts w:hint="eastAsia" w:ascii="宋体" w:hAnsi="宋体" w:eastAsia="宋体" w:cs="宋体"/>
                <w:sz w:val="18"/>
                <w:szCs w:val="18"/>
              </w:rPr>
              <w:t>分，所投</w:t>
            </w:r>
            <w:r>
              <w:rPr>
                <w:rFonts w:hint="eastAsia" w:ascii="宋体" w:hAnsi="宋体" w:cs="宋体"/>
                <w:sz w:val="18"/>
                <w:szCs w:val="18"/>
                <w:lang w:eastAsia="zh-CN"/>
              </w:rPr>
              <w:t>系统</w:t>
            </w:r>
            <w:r>
              <w:rPr>
                <w:rFonts w:hint="eastAsia" w:ascii="宋体" w:hAnsi="宋体" w:eastAsia="宋体" w:cs="宋体"/>
                <w:sz w:val="18"/>
                <w:szCs w:val="18"/>
              </w:rPr>
              <w:t>功能每负偏离一项扣2分，扣完为止。</w:t>
            </w:r>
          </w:p>
          <w:p>
            <w:pPr>
              <w:ind w:firstLine="28"/>
              <w:rPr>
                <w:rFonts w:hint="eastAsia" w:ascii="宋体" w:hAnsi="宋体" w:eastAsia="宋体" w:cs="宋体"/>
                <w:sz w:val="18"/>
                <w:szCs w:val="18"/>
                <w:lang w:eastAsia="zh-CN"/>
              </w:rPr>
            </w:pPr>
            <w:r>
              <w:rPr>
                <w:rFonts w:hint="eastAsia" w:ascii="宋体" w:hAnsi="宋体" w:eastAsia="宋体" w:cs="宋体"/>
                <w:sz w:val="18"/>
                <w:szCs w:val="18"/>
              </w:rPr>
              <w:t>所投</w:t>
            </w:r>
            <w:r>
              <w:rPr>
                <w:rFonts w:hint="eastAsia" w:ascii="宋体" w:hAnsi="宋体" w:cs="宋体"/>
                <w:sz w:val="18"/>
                <w:szCs w:val="18"/>
                <w:lang w:eastAsia="zh-CN"/>
              </w:rPr>
              <w:t>系统</w:t>
            </w:r>
            <w:r>
              <w:rPr>
                <w:rFonts w:hint="eastAsia" w:ascii="宋体" w:hAnsi="宋体" w:eastAsia="宋体" w:cs="宋体"/>
                <w:sz w:val="18"/>
                <w:szCs w:val="18"/>
              </w:rPr>
              <w:t>功能</w:t>
            </w:r>
            <w:r>
              <w:rPr>
                <w:rFonts w:hint="eastAsia" w:ascii="宋体" w:hAnsi="宋体" w:cs="宋体"/>
                <w:sz w:val="18"/>
                <w:szCs w:val="18"/>
                <w:lang w:eastAsia="zh-CN"/>
              </w:rPr>
              <w:t>带</w:t>
            </w:r>
            <w:r>
              <w:rPr>
                <w:rFonts w:ascii="Times New Roman" w:cs="Times New Roman" w:hAnsiTheme="minorEastAsia"/>
                <w:sz w:val="28"/>
                <w:szCs w:val="28"/>
              </w:rPr>
              <w:t>★</w:t>
            </w:r>
            <w:r>
              <w:rPr>
                <w:rFonts w:hint="eastAsia" w:ascii="宋体" w:hAnsi="宋体" w:eastAsia="宋体" w:cs="宋体"/>
                <w:sz w:val="18"/>
                <w:szCs w:val="18"/>
              </w:rPr>
              <w:t>每</w:t>
            </w:r>
            <w:r>
              <w:rPr>
                <w:rFonts w:hint="eastAsia" w:ascii="宋体" w:hAnsi="宋体" w:cs="宋体"/>
                <w:sz w:val="18"/>
                <w:szCs w:val="18"/>
                <w:lang w:eastAsia="zh-CN"/>
              </w:rPr>
              <w:t>正</w:t>
            </w:r>
            <w:r>
              <w:rPr>
                <w:rFonts w:hint="eastAsia" w:ascii="宋体" w:hAnsi="宋体" w:eastAsia="宋体" w:cs="宋体"/>
                <w:sz w:val="18"/>
                <w:szCs w:val="18"/>
              </w:rPr>
              <w:t>偏离一项</w:t>
            </w:r>
            <w:r>
              <w:rPr>
                <w:rFonts w:hint="eastAsia" w:ascii="宋体" w:hAnsi="宋体" w:cs="宋体"/>
                <w:sz w:val="18"/>
                <w:szCs w:val="18"/>
                <w:lang w:eastAsia="zh-CN"/>
              </w:rPr>
              <w:t>加</w:t>
            </w:r>
            <w:r>
              <w:rPr>
                <w:rFonts w:hint="eastAsia" w:ascii="宋体" w:hAnsi="宋体" w:cs="宋体"/>
                <w:sz w:val="18"/>
                <w:szCs w:val="18"/>
                <w:lang w:val="en-US" w:eastAsia="zh-CN"/>
              </w:rPr>
              <w:t>0.5</w:t>
            </w:r>
            <w:r>
              <w:rPr>
                <w:rFonts w:hint="eastAsia" w:ascii="宋体" w:hAnsi="宋体" w:eastAsia="宋体" w:cs="宋体"/>
                <w:sz w:val="18"/>
                <w:szCs w:val="18"/>
              </w:rPr>
              <w:t>分，</w:t>
            </w:r>
            <w:r>
              <w:rPr>
                <w:rFonts w:hint="eastAsia" w:ascii="宋体" w:hAnsi="宋体" w:cs="宋体"/>
                <w:sz w:val="18"/>
                <w:szCs w:val="18"/>
                <w:lang w:eastAsia="zh-CN"/>
              </w:rPr>
              <w:t>最高加</w:t>
            </w:r>
            <w:r>
              <w:rPr>
                <w:rFonts w:hint="eastAsia" w:ascii="宋体" w:hAnsi="宋体" w:cs="宋体"/>
                <w:sz w:val="18"/>
                <w:szCs w:val="18"/>
                <w:lang w:val="en-US" w:eastAsia="zh-CN"/>
              </w:rPr>
              <w:t>5分</w:t>
            </w:r>
            <w:r>
              <w:rPr>
                <w:rFonts w:hint="eastAsia" w:ascii="宋体" w:hAnsi="宋体" w:eastAsia="宋体" w:cs="宋体"/>
                <w:sz w:val="18"/>
                <w:szCs w:val="18"/>
              </w:rPr>
              <w:t>。</w:t>
            </w:r>
            <w:r>
              <w:rPr>
                <w:rFonts w:hint="eastAsia" w:ascii="宋体" w:hAnsi="宋体" w:cs="宋体"/>
                <w:sz w:val="18"/>
                <w:szCs w:val="18"/>
                <w:lang w:eastAsia="zh-CN"/>
              </w:rPr>
              <w:t>（正偏离须提供相关证明材料及佐证页码）</w:t>
            </w:r>
          </w:p>
        </w:tc>
        <w:tc>
          <w:tcPr>
            <w:tcW w:w="136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4" w:hRule="atLeast"/>
          <w:jc w:val="center"/>
        </w:trPr>
        <w:tc>
          <w:tcPr>
            <w:tcW w:w="3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3</w:t>
            </w:r>
          </w:p>
        </w:tc>
        <w:tc>
          <w:tcPr>
            <w:tcW w:w="9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left"/>
              <w:rPr>
                <w:rFonts w:hint="eastAsia" w:ascii="宋体" w:hAnsi="宋体" w:eastAsia="宋体" w:cs="宋体"/>
                <w:sz w:val="18"/>
                <w:szCs w:val="18"/>
              </w:rPr>
            </w:pPr>
            <w:r>
              <w:rPr>
                <w:rFonts w:hint="eastAsia" w:ascii="宋体" w:hAnsi="宋体" w:eastAsia="宋体" w:cs="宋体"/>
                <w:sz w:val="18"/>
                <w:szCs w:val="18"/>
              </w:rPr>
              <w:t>实施方案</w:t>
            </w:r>
            <w:r>
              <w:rPr>
                <w:rFonts w:hint="eastAsia" w:ascii="宋体" w:hAnsi="宋体" w:cs="宋体"/>
                <w:sz w:val="18"/>
                <w:szCs w:val="18"/>
                <w:lang w:val="en-US" w:eastAsia="zh-CN"/>
              </w:rPr>
              <w:t>5</w:t>
            </w:r>
            <w:r>
              <w:rPr>
                <w:rFonts w:hint="eastAsia" w:ascii="宋体" w:hAnsi="宋体" w:eastAsia="宋体" w:cs="宋体"/>
                <w:sz w:val="18"/>
                <w:szCs w:val="18"/>
              </w:rPr>
              <w:t>%</w:t>
            </w:r>
          </w:p>
        </w:tc>
        <w:tc>
          <w:tcPr>
            <w:tcW w:w="7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lang w:eastAsia="zh-CN"/>
              </w:rPr>
            </w:pPr>
            <w:r>
              <w:rPr>
                <w:rFonts w:hint="eastAsia" w:ascii="宋体" w:hAnsi="宋体" w:cs="宋体"/>
                <w:sz w:val="18"/>
                <w:szCs w:val="18"/>
                <w:lang w:val="en-US" w:eastAsia="zh-CN"/>
              </w:rPr>
              <w:t>5</w:t>
            </w:r>
          </w:p>
        </w:tc>
        <w:tc>
          <w:tcPr>
            <w:tcW w:w="5286" w:type="dxa"/>
            <w:tcBorders>
              <w:top w:val="single" w:color="auto" w:sz="4" w:space="0"/>
              <w:left w:val="single" w:color="auto" w:sz="4" w:space="0"/>
              <w:bottom w:val="single" w:color="auto" w:sz="4" w:space="0"/>
              <w:right w:val="single" w:color="auto" w:sz="4" w:space="0"/>
            </w:tcBorders>
            <w:vAlign w:val="center"/>
          </w:tcPr>
          <w:p>
            <w:pPr>
              <w:ind w:firstLine="28"/>
              <w:rPr>
                <w:rFonts w:hint="eastAsia" w:ascii="宋体" w:hAnsi="宋体" w:eastAsia="宋体" w:cs="宋体"/>
                <w:sz w:val="18"/>
                <w:szCs w:val="18"/>
              </w:rPr>
            </w:pPr>
            <w:r>
              <w:rPr>
                <w:rFonts w:hint="eastAsia" w:ascii="宋体" w:hAnsi="宋体" w:eastAsia="宋体" w:cs="宋体"/>
                <w:sz w:val="18"/>
                <w:szCs w:val="18"/>
              </w:rPr>
              <w:t>对投标单位提供的供货计划、投标文件编制、支撑材料、项目组织及管理、项目实施方案、进度保障措施，项目各阶段交付文档及工作安排等详实程度进行综合评价，由评委专家根据方案优劣自主赋分。优计</w:t>
            </w:r>
            <w:r>
              <w:rPr>
                <w:rFonts w:hint="eastAsia" w:ascii="宋体" w:hAnsi="宋体" w:cs="宋体"/>
                <w:sz w:val="18"/>
                <w:szCs w:val="18"/>
                <w:lang w:val="en-US" w:eastAsia="zh-CN"/>
              </w:rPr>
              <w:t>4-5</w:t>
            </w:r>
            <w:r>
              <w:rPr>
                <w:rFonts w:hint="eastAsia" w:ascii="宋体" w:hAnsi="宋体" w:eastAsia="宋体" w:cs="宋体"/>
                <w:sz w:val="18"/>
                <w:szCs w:val="18"/>
              </w:rPr>
              <w:t>分，良计</w:t>
            </w:r>
            <w:r>
              <w:rPr>
                <w:rFonts w:hint="eastAsia" w:ascii="宋体" w:hAnsi="宋体" w:cs="宋体"/>
                <w:sz w:val="18"/>
                <w:szCs w:val="18"/>
                <w:lang w:val="en-US" w:eastAsia="zh-CN"/>
              </w:rPr>
              <w:t>2-3</w:t>
            </w:r>
            <w:r>
              <w:rPr>
                <w:rFonts w:hint="eastAsia" w:ascii="宋体" w:hAnsi="宋体" w:eastAsia="宋体" w:cs="宋体"/>
                <w:sz w:val="18"/>
                <w:szCs w:val="18"/>
              </w:rPr>
              <w:t>分，一般1分，较差或未提供不得分。</w:t>
            </w:r>
          </w:p>
        </w:tc>
        <w:tc>
          <w:tcPr>
            <w:tcW w:w="136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4" w:hRule="atLeast"/>
          <w:jc w:val="center"/>
        </w:trPr>
        <w:tc>
          <w:tcPr>
            <w:tcW w:w="3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4</w:t>
            </w:r>
          </w:p>
        </w:tc>
        <w:tc>
          <w:tcPr>
            <w:tcW w:w="9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left"/>
              <w:rPr>
                <w:rFonts w:hint="eastAsia" w:ascii="宋体" w:hAnsi="宋体" w:eastAsia="宋体" w:cs="宋体"/>
                <w:sz w:val="18"/>
                <w:szCs w:val="18"/>
              </w:rPr>
            </w:pPr>
            <w:r>
              <w:rPr>
                <w:rFonts w:hint="eastAsia" w:ascii="宋体" w:hAnsi="宋体" w:eastAsia="宋体" w:cs="宋体"/>
                <w:sz w:val="18"/>
                <w:szCs w:val="18"/>
              </w:rPr>
              <w:t>技术培训及售后服务10%</w:t>
            </w:r>
          </w:p>
        </w:tc>
        <w:tc>
          <w:tcPr>
            <w:tcW w:w="7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rPr>
            </w:pPr>
            <w:r>
              <w:rPr>
                <w:rFonts w:hint="eastAsia" w:ascii="宋体" w:hAnsi="宋体" w:eastAsia="宋体" w:cs="宋体"/>
                <w:sz w:val="18"/>
                <w:szCs w:val="18"/>
              </w:rPr>
              <w:t>10</w:t>
            </w:r>
          </w:p>
        </w:tc>
        <w:tc>
          <w:tcPr>
            <w:tcW w:w="5286" w:type="dxa"/>
            <w:tcBorders>
              <w:top w:val="single" w:color="auto" w:sz="4" w:space="0"/>
              <w:left w:val="single" w:color="auto" w:sz="4" w:space="0"/>
              <w:bottom w:val="single" w:color="auto" w:sz="4" w:space="0"/>
              <w:right w:val="single" w:color="auto" w:sz="4" w:space="0"/>
            </w:tcBorders>
            <w:vAlign w:val="center"/>
          </w:tcPr>
          <w:p>
            <w:pPr>
              <w:ind w:firstLine="28"/>
              <w:rPr>
                <w:rFonts w:hint="eastAsia" w:ascii="宋体" w:hAnsi="宋体" w:eastAsia="宋体" w:cs="宋体"/>
                <w:sz w:val="18"/>
                <w:szCs w:val="18"/>
              </w:rPr>
            </w:pPr>
            <w:r>
              <w:rPr>
                <w:rFonts w:hint="eastAsia" w:ascii="宋体" w:hAnsi="宋体" w:eastAsia="宋体" w:cs="宋体"/>
                <w:sz w:val="18"/>
                <w:szCs w:val="18"/>
              </w:rPr>
              <w:t>各供应商应提供详细的售后服务方案、（有效服务体系、服务范围、服务承诺以及故障解决方案、响应时间、应急处理方案、专业技术人员保障、售后服务电话等）根据自身服务能力给出。评标委员会将根据各供应商提供的资料，从全面性、可操作性等进行打分。1、提供详细的培训方案，计0-3分；2、提供详细的售后服务，计0-3分；3、提供详细的驻场服务，计0-4分。</w:t>
            </w:r>
          </w:p>
        </w:tc>
        <w:tc>
          <w:tcPr>
            <w:tcW w:w="136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4" w:hRule="atLeast"/>
          <w:jc w:val="center"/>
        </w:trPr>
        <w:tc>
          <w:tcPr>
            <w:tcW w:w="3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5</w:t>
            </w:r>
          </w:p>
        </w:tc>
        <w:tc>
          <w:tcPr>
            <w:tcW w:w="9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left"/>
              <w:rPr>
                <w:rFonts w:hint="eastAsia" w:ascii="宋体" w:hAnsi="宋体" w:eastAsia="宋体" w:cs="宋体"/>
                <w:sz w:val="18"/>
                <w:szCs w:val="18"/>
              </w:rPr>
            </w:pPr>
            <w:r>
              <w:rPr>
                <w:rFonts w:hint="eastAsia" w:ascii="宋体" w:hAnsi="宋体" w:eastAsia="宋体" w:cs="宋体"/>
                <w:sz w:val="18"/>
                <w:szCs w:val="18"/>
              </w:rPr>
              <w:t>现场演示</w:t>
            </w:r>
            <w:r>
              <w:rPr>
                <w:rFonts w:hint="eastAsia" w:ascii="宋体" w:hAnsi="宋体" w:eastAsia="宋体" w:cs="宋体"/>
                <w:sz w:val="18"/>
                <w:szCs w:val="18"/>
                <w:lang w:val="en-US" w:eastAsia="zh-CN"/>
              </w:rPr>
              <w:t>1</w:t>
            </w:r>
            <w:r>
              <w:rPr>
                <w:rFonts w:hint="eastAsia" w:ascii="宋体" w:hAnsi="宋体" w:cs="宋体"/>
                <w:sz w:val="18"/>
                <w:szCs w:val="18"/>
                <w:lang w:val="en-US" w:eastAsia="zh-CN"/>
              </w:rPr>
              <w:t>5</w:t>
            </w:r>
            <w:r>
              <w:rPr>
                <w:rFonts w:hint="eastAsia" w:ascii="宋体" w:hAnsi="宋体" w:eastAsia="宋体" w:cs="宋体"/>
                <w:sz w:val="18"/>
                <w:szCs w:val="18"/>
              </w:rPr>
              <w:t>%</w:t>
            </w:r>
          </w:p>
        </w:tc>
        <w:tc>
          <w:tcPr>
            <w:tcW w:w="7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15</w:t>
            </w:r>
          </w:p>
        </w:tc>
        <w:tc>
          <w:tcPr>
            <w:tcW w:w="5286" w:type="dxa"/>
            <w:tcBorders>
              <w:top w:val="single" w:color="auto" w:sz="4" w:space="0"/>
              <w:left w:val="single" w:color="auto" w:sz="4" w:space="0"/>
              <w:bottom w:val="single" w:color="auto" w:sz="4" w:space="0"/>
              <w:right w:val="single" w:color="auto" w:sz="4" w:space="0"/>
            </w:tcBorders>
            <w:vAlign w:val="center"/>
          </w:tcPr>
          <w:p>
            <w:pPr>
              <w:ind w:firstLine="28"/>
              <w:rPr>
                <w:rFonts w:hint="eastAsia" w:ascii="宋体" w:hAnsi="宋体" w:eastAsia="宋体" w:cs="宋体"/>
                <w:sz w:val="18"/>
                <w:szCs w:val="18"/>
              </w:rPr>
            </w:pPr>
            <w:r>
              <w:rPr>
                <w:rFonts w:hint="eastAsia" w:ascii="宋体" w:hAnsi="宋体" w:eastAsia="宋体" w:cs="宋体"/>
                <w:sz w:val="18"/>
                <w:szCs w:val="18"/>
              </w:rPr>
              <w:t>供应商现场用真实系统进行功能演示，且演示系统版本与报价系统为同一版本，评委根据演示</w:t>
            </w:r>
            <w:r>
              <w:rPr>
                <w:rFonts w:hint="eastAsia" w:ascii="宋体" w:hAnsi="宋体" w:cs="宋体"/>
                <w:sz w:val="18"/>
                <w:szCs w:val="18"/>
                <w:lang w:eastAsia="zh-CN"/>
              </w:rPr>
              <w:t>情况综合计</w:t>
            </w:r>
            <w:r>
              <w:rPr>
                <w:rFonts w:hint="eastAsia" w:ascii="宋体" w:hAnsi="宋体" w:eastAsia="宋体" w:cs="宋体"/>
                <w:sz w:val="18"/>
                <w:szCs w:val="18"/>
              </w:rPr>
              <w:t>分，优得</w:t>
            </w:r>
            <w:r>
              <w:rPr>
                <w:rFonts w:hint="eastAsia" w:ascii="宋体" w:hAnsi="宋体" w:cs="宋体"/>
                <w:sz w:val="18"/>
                <w:szCs w:val="18"/>
                <w:lang w:val="en-US" w:eastAsia="zh-CN"/>
              </w:rPr>
              <w:t>11-15</w:t>
            </w:r>
            <w:r>
              <w:rPr>
                <w:rFonts w:hint="eastAsia" w:ascii="宋体" w:hAnsi="宋体" w:eastAsia="宋体" w:cs="宋体"/>
                <w:sz w:val="18"/>
                <w:szCs w:val="18"/>
              </w:rPr>
              <w:t>分，良得</w:t>
            </w:r>
            <w:r>
              <w:rPr>
                <w:rFonts w:hint="eastAsia" w:ascii="宋体" w:hAnsi="宋体" w:cs="宋体"/>
                <w:sz w:val="18"/>
                <w:szCs w:val="18"/>
                <w:lang w:val="en-US" w:eastAsia="zh-CN"/>
              </w:rPr>
              <w:t>6-10</w:t>
            </w:r>
            <w:r>
              <w:rPr>
                <w:rFonts w:hint="eastAsia" w:ascii="宋体" w:hAnsi="宋体" w:eastAsia="宋体" w:cs="宋体"/>
                <w:sz w:val="18"/>
                <w:szCs w:val="18"/>
              </w:rPr>
              <w:t>分，一般得1-</w:t>
            </w:r>
            <w:r>
              <w:rPr>
                <w:rFonts w:hint="eastAsia" w:ascii="宋体" w:hAnsi="宋体" w:cs="宋体"/>
                <w:sz w:val="18"/>
                <w:szCs w:val="18"/>
                <w:lang w:val="en-US" w:eastAsia="zh-CN"/>
              </w:rPr>
              <w:t>5</w:t>
            </w:r>
            <w:r>
              <w:rPr>
                <w:rFonts w:hint="eastAsia" w:ascii="宋体" w:hAnsi="宋体" w:eastAsia="宋体" w:cs="宋体"/>
                <w:sz w:val="18"/>
                <w:szCs w:val="18"/>
              </w:rPr>
              <w:t xml:space="preserve">分，较差或未提供不得分。演示时间不超过10分钟 </w:t>
            </w:r>
          </w:p>
          <w:p>
            <w:pPr>
              <w:ind w:firstLine="28"/>
              <w:rPr>
                <w:rFonts w:hint="eastAsia" w:ascii="宋体" w:hAnsi="宋体" w:eastAsia="宋体" w:cs="宋体"/>
                <w:sz w:val="18"/>
                <w:szCs w:val="18"/>
              </w:rPr>
            </w:pPr>
            <w:r>
              <w:rPr>
                <w:rFonts w:hint="eastAsia" w:ascii="宋体" w:hAnsi="宋体" w:eastAsia="宋体" w:cs="宋体"/>
                <w:sz w:val="18"/>
                <w:szCs w:val="18"/>
              </w:rPr>
              <w:t>具体演示内容包括但不限于以下功能：</w:t>
            </w:r>
          </w:p>
          <w:p>
            <w:pPr>
              <w:ind w:firstLine="28"/>
              <w:rPr>
                <w:rFonts w:hint="eastAsia" w:ascii="宋体" w:hAnsi="宋体" w:eastAsia="宋体" w:cs="宋体"/>
                <w:sz w:val="18"/>
                <w:szCs w:val="18"/>
              </w:rPr>
            </w:pPr>
            <w:r>
              <w:rPr>
                <w:rFonts w:hint="eastAsia" w:ascii="宋体" w:hAnsi="宋体" w:eastAsia="宋体" w:cs="宋体"/>
                <w:sz w:val="18"/>
                <w:szCs w:val="18"/>
              </w:rPr>
              <w:t>1、系统的主要功能界面、后台管理设置和用户权限设置等；</w:t>
            </w:r>
          </w:p>
          <w:p>
            <w:pPr>
              <w:ind w:firstLine="28"/>
              <w:rPr>
                <w:rFonts w:hint="eastAsia" w:ascii="宋体" w:hAnsi="宋体" w:eastAsia="宋体" w:cs="宋体"/>
                <w:sz w:val="18"/>
                <w:szCs w:val="18"/>
              </w:rPr>
            </w:pPr>
            <w:r>
              <w:rPr>
                <w:rFonts w:hint="eastAsia" w:ascii="宋体" w:hAnsi="宋体" w:eastAsia="宋体" w:cs="宋体"/>
                <w:sz w:val="18"/>
                <w:szCs w:val="18"/>
              </w:rPr>
              <w:t>2、组织机构管理中，支持照片墙方式显示，可通过组织机构穿透查询个人信息，支持历史机构查询和时点数据查询，可生成汇报关系图，支持对编制情况预警和控制；</w:t>
            </w:r>
          </w:p>
          <w:p>
            <w:pPr>
              <w:ind w:firstLine="28"/>
              <w:rPr>
                <w:rFonts w:hint="eastAsia" w:ascii="宋体" w:hAnsi="宋体" w:eastAsia="宋体" w:cs="宋体"/>
                <w:sz w:val="18"/>
                <w:szCs w:val="18"/>
              </w:rPr>
            </w:pPr>
            <w:r>
              <w:rPr>
                <w:rFonts w:hint="eastAsia" w:ascii="宋体" w:hAnsi="宋体" w:eastAsia="宋体" w:cs="宋体"/>
                <w:sz w:val="18"/>
                <w:szCs w:val="18"/>
              </w:rPr>
              <w:t>3、人员数据的录入、修改、删除等维护管理操作，支持与身份证读卡器对接，可直接读取身份证信息及照片并入库；</w:t>
            </w:r>
          </w:p>
          <w:p>
            <w:pPr>
              <w:ind w:firstLine="28"/>
              <w:rPr>
                <w:rFonts w:hint="eastAsia" w:ascii="宋体" w:hAnsi="宋体" w:eastAsia="宋体" w:cs="宋体"/>
                <w:sz w:val="18"/>
                <w:szCs w:val="18"/>
              </w:rPr>
            </w:pPr>
            <w:r>
              <w:rPr>
                <w:rFonts w:hint="eastAsia" w:ascii="宋体" w:hAnsi="宋体" w:eastAsia="宋体" w:cs="宋体"/>
                <w:sz w:val="18"/>
                <w:szCs w:val="18"/>
              </w:rPr>
              <w:t>4、预置多种工资标准表，针对管理、专技、工勤人员等的岗位工资标准、薪级工资标准，自动计算人员薪资，薪资计算表支持一键排序和锁行锁列功能；</w:t>
            </w:r>
          </w:p>
          <w:p>
            <w:pPr>
              <w:ind w:firstLine="28"/>
              <w:rPr>
                <w:rFonts w:hint="eastAsia" w:ascii="宋体" w:hAnsi="宋体" w:eastAsia="宋体" w:cs="宋体"/>
                <w:sz w:val="18"/>
                <w:szCs w:val="18"/>
              </w:rPr>
            </w:pPr>
            <w:r>
              <w:rPr>
                <w:rFonts w:hint="eastAsia" w:ascii="宋体" w:hAnsi="宋体" w:eastAsia="宋体" w:cs="宋体"/>
                <w:sz w:val="18"/>
                <w:szCs w:val="18"/>
              </w:rPr>
              <w:t>5、自带制表工具，可通过条件设置生成各类登录表、花名册和报表等；</w:t>
            </w:r>
          </w:p>
          <w:p>
            <w:pPr>
              <w:ind w:firstLine="28"/>
              <w:rPr>
                <w:rFonts w:hint="eastAsia" w:ascii="宋体" w:hAnsi="宋体" w:eastAsia="宋体" w:cs="宋体"/>
                <w:sz w:val="18"/>
                <w:szCs w:val="18"/>
              </w:rPr>
            </w:pPr>
            <w:r>
              <w:rPr>
                <w:rFonts w:hint="eastAsia" w:ascii="宋体" w:hAnsi="宋体" w:eastAsia="宋体" w:cs="宋体"/>
                <w:sz w:val="18"/>
                <w:szCs w:val="18"/>
              </w:rPr>
              <w:t>6、招聘计划的制定、发布，应聘者资格审查、录用等招聘流程，支持微招聘，通过扫描二维码可实现求职人员简历投递和信息采集，支持证件资料等上传；</w:t>
            </w:r>
          </w:p>
          <w:p>
            <w:pPr>
              <w:ind w:firstLine="28"/>
              <w:rPr>
                <w:rFonts w:hint="eastAsia" w:ascii="宋体" w:hAnsi="宋体" w:eastAsia="宋体" w:cs="宋体"/>
                <w:sz w:val="18"/>
                <w:szCs w:val="18"/>
              </w:rPr>
            </w:pPr>
            <w:r>
              <w:rPr>
                <w:rFonts w:hint="eastAsia" w:ascii="宋体" w:hAnsi="宋体" w:eastAsia="宋体" w:cs="宋体"/>
                <w:sz w:val="18"/>
                <w:szCs w:val="18"/>
              </w:rPr>
              <w:t>7、支持多种方式、多种维度的数据查询、统计，内嵌多种数据可视化展示方式，对查询、统计结果可进行数据穿透和反查校验；</w:t>
            </w:r>
          </w:p>
          <w:p>
            <w:pPr>
              <w:ind w:firstLine="28"/>
              <w:rPr>
                <w:rFonts w:hint="eastAsia" w:ascii="宋体" w:hAnsi="宋体" w:eastAsia="宋体" w:cs="宋体"/>
                <w:sz w:val="18"/>
                <w:szCs w:val="18"/>
              </w:rPr>
            </w:pPr>
            <w:r>
              <w:rPr>
                <w:rFonts w:hint="eastAsia" w:ascii="宋体" w:hAnsi="宋体" w:eastAsia="宋体" w:cs="宋体"/>
                <w:sz w:val="18"/>
                <w:szCs w:val="18"/>
              </w:rPr>
              <w:t>8、支持与企业微信号集成，可通过企业微信号进行人员信息查询、业务申请及审批。</w:t>
            </w:r>
          </w:p>
        </w:tc>
        <w:tc>
          <w:tcPr>
            <w:tcW w:w="136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4" w:hRule="atLeast"/>
          <w:jc w:val="center"/>
        </w:trPr>
        <w:tc>
          <w:tcPr>
            <w:tcW w:w="3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6</w:t>
            </w:r>
          </w:p>
        </w:tc>
        <w:tc>
          <w:tcPr>
            <w:tcW w:w="9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left"/>
              <w:rPr>
                <w:rFonts w:hint="eastAsia" w:ascii="宋体" w:hAnsi="宋体" w:eastAsia="宋体" w:cs="宋体"/>
                <w:sz w:val="18"/>
                <w:szCs w:val="18"/>
              </w:rPr>
            </w:pPr>
            <w:r>
              <w:rPr>
                <w:rFonts w:hint="eastAsia" w:ascii="宋体" w:hAnsi="宋体" w:eastAsia="宋体" w:cs="宋体"/>
                <w:sz w:val="18"/>
                <w:szCs w:val="18"/>
              </w:rPr>
              <w:t>业绩</w:t>
            </w:r>
            <w:r>
              <w:rPr>
                <w:rFonts w:hint="eastAsia" w:ascii="宋体" w:hAnsi="宋体" w:cs="宋体"/>
                <w:sz w:val="18"/>
                <w:szCs w:val="18"/>
                <w:lang w:val="en-US" w:eastAsia="zh-CN"/>
              </w:rPr>
              <w:t>5</w:t>
            </w:r>
            <w:r>
              <w:rPr>
                <w:rFonts w:hint="eastAsia" w:ascii="宋体" w:hAnsi="宋体" w:eastAsia="宋体" w:cs="宋体"/>
                <w:sz w:val="18"/>
                <w:szCs w:val="18"/>
              </w:rPr>
              <w:t>%</w:t>
            </w:r>
          </w:p>
        </w:tc>
        <w:tc>
          <w:tcPr>
            <w:tcW w:w="7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lang w:val="en-US" w:eastAsia="zh-CN"/>
              </w:rPr>
            </w:pPr>
            <w:r>
              <w:rPr>
                <w:rFonts w:hint="eastAsia" w:ascii="宋体" w:hAnsi="宋体" w:cs="宋体"/>
                <w:sz w:val="18"/>
                <w:szCs w:val="18"/>
                <w:lang w:val="en-US" w:eastAsia="zh-CN"/>
              </w:rPr>
              <w:t>5</w:t>
            </w:r>
          </w:p>
        </w:tc>
        <w:tc>
          <w:tcPr>
            <w:tcW w:w="5286" w:type="dxa"/>
            <w:tcBorders>
              <w:top w:val="single" w:color="auto" w:sz="4" w:space="0"/>
              <w:left w:val="single" w:color="auto" w:sz="4" w:space="0"/>
              <w:bottom w:val="single" w:color="auto" w:sz="4" w:space="0"/>
              <w:right w:val="single" w:color="auto" w:sz="4" w:space="0"/>
            </w:tcBorders>
            <w:vAlign w:val="center"/>
          </w:tcPr>
          <w:p>
            <w:pPr>
              <w:ind w:firstLine="28"/>
              <w:rPr>
                <w:rFonts w:hint="eastAsia" w:ascii="宋体" w:hAnsi="宋体" w:eastAsia="宋体" w:cs="宋体"/>
                <w:sz w:val="18"/>
                <w:szCs w:val="18"/>
                <w:lang w:val="en-US" w:eastAsia="zh-CN"/>
              </w:rPr>
            </w:pPr>
            <w:r>
              <w:rPr>
                <w:rFonts w:hint="eastAsia" w:asciiTheme="minorEastAsia" w:hAnsiTheme="minorEastAsia" w:cstheme="minorEastAsia"/>
                <w:sz w:val="18"/>
                <w:szCs w:val="18"/>
                <w:lang w:eastAsia="zh-CN"/>
              </w:rPr>
              <w:t>磋商小组</w:t>
            </w:r>
            <w:r>
              <w:rPr>
                <w:rFonts w:hint="eastAsia" w:asciiTheme="minorEastAsia" w:hAnsiTheme="minorEastAsia" w:cstheme="minorEastAsia"/>
                <w:sz w:val="18"/>
                <w:szCs w:val="18"/>
              </w:rPr>
              <w:t>根据</w:t>
            </w:r>
            <w:r>
              <w:rPr>
                <w:rFonts w:hint="eastAsia" w:asciiTheme="minorEastAsia" w:hAnsiTheme="minorEastAsia" w:cstheme="minorEastAsia"/>
                <w:sz w:val="18"/>
                <w:szCs w:val="18"/>
                <w:lang w:eastAsia="zh-CN"/>
              </w:rPr>
              <w:t>供应商</w:t>
            </w:r>
            <w:r>
              <w:rPr>
                <w:rFonts w:hint="eastAsia" w:asciiTheme="minorEastAsia" w:hAnsiTheme="minorEastAsia" w:cstheme="minorEastAsia"/>
                <w:sz w:val="18"/>
                <w:szCs w:val="18"/>
              </w:rPr>
              <w:t>提供的2016年1月1日至今</w:t>
            </w:r>
            <w:r>
              <w:rPr>
                <w:rFonts w:hint="eastAsia" w:asciiTheme="minorEastAsia" w:hAnsiTheme="minorEastAsia" w:cstheme="minorEastAsia"/>
                <w:sz w:val="18"/>
                <w:szCs w:val="18"/>
                <w:highlight w:val="none"/>
              </w:rPr>
              <w:t>所投</w:t>
            </w:r>
            <w:r>
              <w:rPr>
                <w:rFonts w:hint="eastAsia" w:asciiTheme="minorEastAsia" w:hAnsiTheme="minorEastAsia" w:cstheme="minorEastAsia"/>
                <w:sz w:val="18"/>
                <w:szCs w:val="18"/>
                <w:highlight w:val="none"/>
                <w:lang w:eastAsia="zh-CN"/>
              </w:rPr>
              <w:t>同类项目</w:t>
            </w:r>
            <w:r>
              <w:rPr>
                <w:rFonts w:hint="eastAsia" w:asciiTheme="minorEastAsia" w:hAnsiTheme="minorEastAsia" w:cstheme="minorEastAsia"/>
                <w:sz w:val="18"/>
                <w:szCs w:val="18"/>
              </w:rPr>
              <w:t>合同（以合同签订日期为准，</w:t>
            </w:r>
            <w:r>
              <w:rPr>
                <w:rFonts w:hint="eastAsia" w:asciiTheme="minorEastAsia" w:hAnsiTheme="minorEastAsia" w:cstheme="minorEastAsia"/>
                <w:sz w:val="18"/>
                <w:szCs w:val="18"/>
                <w:lang w:eastAsia="zh-CN"/>
              </w:rPr>
              <w:t>仅</w:t>
            </w:r>
            <w:r>
              <w:rPr>
                <w:rFonts w:hint="eastAsia" w:asciiTheme="minorEastAsia" w:hAnsiTheme="minorEastAsia" w:cstheme="minorEastAsia"/>
                <w:sz w:val="18"/>
                <w:szCs w:val="18"/>
              </w:rPr>
              <w:t>限供应商本身</w:t>
            </w:r>
            <w:r>
              <w:rPr>
                <w:rFonts w:hint="eastAsia" w:asciiTheme="minorEastAsia" w:hAnsiTheme="minorEastAsia" w:cstheme="minorEastAsia"/>
                <w:sz w:val="18"/>
                <w:szCs w:val="18"/>
                <w:highlight w:val="none"/>
              </w:rPr>
              <w:t>）进行评定，</w:t>
            </w:r>
            <w:r>
              <w:rPr>
                <w:rFonts w:hint="eastAsia" w:asciiTheme="minorEastAsia" w:hAnsiTheme="minorEastAsia" w:cstheme="minorEastAsia"/>
                <w:sz w:val="18"/>
                <w:szCs w:val="18"/>
                <w:highlight w:val="none"/>
                <w:lang w:eastAsia="zh-CN"/>
              </w:rPr>
              <w:t>每份计</w:t>
            </w:r>
            <w:r>
              <w:rPr>
                <w:rFonts w:hint="eastAsia" w:asciiTheme="minorEastAsia" w:hAnsiTheme="minorEastAsia" w:cstheme="minorEastAsia"/>
                <w:sz w:val="18"/>
                <w:szCs w:val="18"/>
                <w:highlight w:val="none"/>
                <w:lang w:val="en-US" w:eastAsia="zh-CN"/>
              </w:rPr>
              <w:t>1分，最高计5分</w:t>
            </w:r>
            <w:r>
              <w:rPr>
                <w:rFonts w:hint="eastAsia" w:asciiTheme="minorEastAsia" w:hAnsiTheme="minorEastAsia" w:cstheme="minorEastAsia"/>
                <w:sz w:val="18"/>
                <w:szCs w:val="18"/>
                <w:highlight w:val="none"/>
              </w:rPr>
              <w:t>。</w:t>
            </w:r>
          </w:p>
        </w:tc>
        <w:tc>
          <w:tcPr>
            <w:tcW w:w="136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rPr>
            </w:pPr>
            <w:r>
              <w:rPr>
                <w:rFonts w:hint="eastAsia" w:ascii="宋体" w:hAnsi="宋体" w:eastAsia="宋体" w:cs="宋体"/>
                <w:sz w:val="18"/>
                <w:szCs w:val="18"/>
              </w:rPr>
              <w:t>原件开标现场备查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75" w:hRule="atLeast"/>
          <w:jc w:val="center"/>
        </w:trPr>
        <w:tc>
          <w:tcPr>
            <w:tcW w:w="3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9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left"/>
              <w:rPr>
                <w:rFonts w:hint="eastAsia" w:ascii="宋体" w:hAnsi="宋体" w:eastAsia="宋体" w:cs="宋体"/>
                <w:sz w:val="18"/>
                <w:szCs w:val="18"/>
                <w:lang w:val="en-US" w:eastAsia="zh-CN"/>
              </w:rPr>
            </w:pPr>
            <w:r>
              <w:rPr>
                <w:rFonts w:hint="eastAsia" w:ascii="宋体" w:hAnsi="宋体" w:eastAsia="宋体" w:cs="宋体"/>
                <w:sz w:val="18"/>
                <w:szCs w:val="18"/>
                <w:lang w:eastAsia="zh-CN"/>
              </w:rPr>
              <w:t>履约能力</w:t>
            </w:r>
            <w:r>
              <w:rPr>
                <w:rFonts w:hint="eastAsia" w:ascii="宋体" w:hAnsi="宋体" w:eastAsia="宋体" w:cs="宋体"/>
                <w:sz w:val="18"/>
                <w:szCs w:val="18"/>
                <w:lang w:val="en-US" w:eastAsia="zh-CN"/>
              </w:rPr>
              <w:t>5%</w:t>
            </w:r>
          </w:p>
        </w:tc>
        <w:tc>
          <w:tcPr>
            <w:tcW w:w="73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5286" w:type="dxa"/>
            <w:tcBorders>
              <w:top w:val="single" w:color="auto" w:sz="4" w:space="0"/>
              <w:left w:val="single" w:color="auto" w:sz="4" w:space="0"/>
              <w:bottom w:val="single" w:color="auto" w:sz="4" w:space="0"/>
              <w:right w:val="single" w:color="auto" w:sz="4" w:space="0"/>
            </w:tcBorders>
            <w:vAlign w:val="center"/>
          </w:tcPr>
          <w:p>
            <w:pPr>
              <w:ind w:firstLine="28"/>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供应商应具备较强软件设计、开发能力、系统集成、项目管理能力、</w:t>
            </w:r>
            <w:r>
              <w:rPr>
                <w:rFonts w:hint="eastAsia" w:ascii="宋体" w:hAnsi="宋体" w:eastAsia="宋体" w:cs="宋体"/>
                <w:sz w:val="18"/>
                <w:szCs w:val="18"/>
                <w:lang w:eastAsia="zh-CN"/>
              </w:rPr>
              <w:t>自主知识产品，有源代码修改权限等</w:t>
            </w:r>
            <w:r>
              <w:rPr>
                <w:rFonts w:hint="eastAsia" w:ascii="宋体" w:hAnsi="宋体" w:eastAsia="宋体" w:cs="宋体"/>
                <w:sz w:val="18"/>
                <w:szCs w:val="18"/>
                <w:lang w:val="en-US" w:eastAsia="zh-CN"/>
              </w:rPr>
              <w:t>，根据供应商提供的相关证明文件进行综合赋分，优计4-5分，良计2-3分，差计0-1分。</w:t>
            </w:r>
          </w:p>
        </w:tc>
        <w:tc>
          <w:tcPr>
            <w:tcW w:w="136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宋体" w:hAnsi="宋体" w:eastAsia="宋体" w:cs="宋体"/>
                <w:sz w:val="18"/>
                <w:szCs w:val="18"/>
              </w:rPr>
            </w:pPr>
          </w:p>
        </w:tc>
      </w:tr>
    </w:tbl>
    <w:p>
      <w:pPr>
        <w:spacing w:line="360" w:lineRule="auto"/>
        <w:rPr>
          <w:rFonts w:asciiTheme="minorEastAsia" w:hAnsiTheme="minorEastAsia" w:cstheme="minorEastAsia"/>
          <w:b/>
          <w:bCs/>
          <w:sz w:val="24"/>
        </w:rPr>
      </w:pPr>
      <w:r>
        <w:rPr>
          <w:rFonts w:hint="eastAsia" w:asciiTheme="minorEastAsia" w:hAnsiTheme="minorEastAsia" w:cstheme="minorEastAsia"/>
          <w:b/>
          <w:bCs/>
          <w:sz w:val="24"/>
        </w:rPr>
        <w:t xml:space="preserve"> 评审办法备注： </w:t>
      </w:r>
    </w:p>
    <w:p>
      <w:pPr>
        <w:spacing w:line="360" w:lineRule="auto"/>
        <w:rPr>
          <w:rFonts w:asciiTheme="minorEastAsia" w:hAnsiTheme="minorEastAsia" w:cstheme="minorEastAsia"/>
          <w:sz w:val="24"/>
        </w:rPr>
      </w:pPr>
      <w:r>
        <w:rPr>
          <w:rFonts w:hint="eastAsia" w:asciiTheme="minorEastAsia" w:hAnsiTheme="minorEastAsia" w:cstheme="minorEastAsia"/>
          <w:sz w:val="24"/>
        </w:rPr>
        <w:t xml:space="preserve">    1.对于非专门面向中小企业的项目、残疾人福利性单位的项目，对小型和微型企业、残疾人福利性单位产品的价格给予6%的扣除，用扣除后的价格参与评审，残疾人福利性单位属于小型、微型企业的，不重复享受政策；</w:t>
      </w:r>
    </w:p>
    <w:p>
      <w:pPr>
        <w:spacing w:line="360" w:lineRule="auto"/>
        <w:rPr>
          <w:rFonts w:asciiTheme="minorEastAsia" w:hAnsiTheme="minorEastAsia" w:cstheme="minorEastAsia"/>
          <w:sz w:val="24"/>
        </w:rPr>
      </w:pPr>
      <w:r>
        <w:rPr>
          <w:rFonts w:hint="eastAsia" w:asciiTheme="minorEastAsia" w:hAnsiTheme="minorEastAsia" w:cstheme="minorEastAsia"/>
          <w:sz w:val="24"/>
        </w:rPr>
        <w:t xml:space="preserve">    2.《关于政府采购支持监狱企业发展有关问题的通知》（财库[2014]68号）的规定，对监狱企业给予6%的价格扣除，用扣除后的价格参与评审（提供由省级以上监狱管理局、戒毒管理局（含新疆生产建设兵团）出具的属于监狱企业的证明文件）。</w:t>
      </w:r>
    </w:p>
    <w:p>
      <w:pPr>
        <w:spacing w:line="360" w:lineRule="auto"/>
        <w:rPr>
          <w:rFonts w:asciiTheme="minorEastAsia" w:hAnsiTheme="minorEastAsia" w:cstheme="minorEastAsia"/>
          <w:sz w:val="24"/>
        </w:rPr>
      </w:pPr>
      <w:r>
        <w:rPr>
          <w:rFonts w:hint="eastAsia" w:asciiTheme="minorEastAsia" w:hAnsiTheme="minorEastAsia" w:cstheme="minorEastAsia"/>
          <w:sz w:val="24"/>
        </w:rPr>
        <w:t xml:space="preserve">   3.技术参数正偏离须在技术响应表中注明正偏离的理由和佐证材料的页码；</w:t>
      </w:r>
    </w:p>
    <w:p>
      <w:pPr>
        <w:spacing w:line="360" w:lineRule="auto"/>
        <w:rPr>
          <w:rFonts w:hint="eastAsia" w:asciiTheme="minorEastAsia" w:hAnsiTheme="minorEastAsia" w:cstheme="minorEastAsia"/>
          <w:sz w:val="24"/>
        </w:rPr>
      </w:pPr>
      <w:r>
        <w:rPr>
          <w:rFonts w:hint="eastAsia" w:asciiTheme="minorEastAsia" w:hAnsiTheme="minorEastAsia" w:cstheme="minorEastAsia"/>
          <w:sz w:val="24"/>
        </w:rPr>
        <w:t xml:space="preserve">   4.节能环保产品以国家确定的认证机构出具的、处于有效期内的节能产品、环境标志产品认证证书为准；</w:t>
      </w:r>
    </w:p>
    <w:p>
      <w:pPr>
        <w:rPr>
          <w:rFonts w:asciiTheme="minorEastAsia" w:hAnsiTheme="minorEastAsia" w:cstheme="minorEastAsia"/>
          <w:sz w:val="24"/>
        </w:rPr>
      </w:pPr>
      <w:r>
        <w:rPr>
          <w:rFonts w:hint="eastAsia"/>
        </w:rPr>
        <w:t xml:space="preserve">   </w:t>
      </w:r>
      <w:r>
        <w:rPr>
          <w:rFonts w:hint="eastAsia" w:ascii="宋体" w:hAnsi="宋体" w:eastAsia="宋体" w:cs="宋体"/>
          <w:sz w:val="24"/>
          <w:szCs w:val="24"/>
        </w:rPr>
        <w:t>5.评审指标每项评审最低得分为零分。</w:t>
      </w:r>
    </w:p>
    <w:p>
      <w:pPr>
        <w:spacing w:line="560" w:lineRule="exact"/>
        <w:ind w:firstLine="480" w:firstLineChars="200"/>
        <w:jc w:val="center"/>
        <w:rPr>
          <w:rFonts w:ascii="宋体" w:hAnsi="宋体" w:cs="宋体"/>
          <w:sz w:val="24"/>
          <w:szCs w:val="24"/>
        </w:rPr>
      </w:pPr>
    </w:p>
    <w:p>
      <w:pPr>
        <w:pStyle w:val="4"/>
        <w:pageBreakBefore/>
        <w:spacing w:line="240" w:lineRule="auto"/>
      </w:pPr>
      <w:bookmarkStart w:id="74" w:name="_Toc262"/>
      <w:bookmarkStart w:id="75" w:name="_Toc2486"/>
      <w:r>
        <w:rPr>
          <w:rFonts w:hint="eastAsia"/>
        </w:rPr>
        <w:t>第五部分</w:t>
      </w:r>
      <w:bookmarkEnd w:id="74"/>
      <w:r>
        <w:rPr>
          <w:rFonts w:hint="eastAsia"/>
        </w:rPr>
        <w:t>采购要求</w:t>
      </w:r>
      <w:bookmarkEnd w:id="75"/>
      <w:bookmarkStart w:id="76" w:name="_Toc14618"/>
      <w:bookmarkStart w:id="77" w:name="_Toc2234"/>
    </w:p>
    <w:p>
      <w:pPr>
        <w:pStyle w:val="3"/>
      </w:pPr>
    </w:p>
    <w:bookmarkEnd w:id="76"/>
    <w:p>
      <w:pPr>
        <w:spacing w:line="360" w:lineRule="auto"/>
        <w:rPr>
          <w:rFonts w:asciiTheme="minorEastAsia" w:hAnsiTheme="minorEastAsia" w:cstheme="minorEastAsia"/>
          <w:b/>
          <w:sz w:val="24"/>
          <w:szCs w:val="24"/>
        </w:rPr>
      </w:pPr>
      <w:r>
        <w:rPr>
          <w:rFonts w:hint="eastAsia" w:asciiTheme="minorEastAsia" w:hAnsiTheme="minorEastAsia" w:cstheme="minorEastAsia"/>
          <w:b/>
          <w:sz w:val="24"/>
          <w:szCs w:val="24"/>
        </w:rPr>
        <w:t>1、招标内容</w:t>
      </w:r>
    </w:p>
    <w:p>
      <w:pPr>
        <w:spacing w:line="360" w:lineRule="auto"/>
        <w:ind w:right="-319" w:rightChars="-152"/>
        <w:rPr>
          <w:rFonts w:hint="eastAsia" w:eastAsia="宋体" w:asciiTheme="minorEastAsia" w:hAnsiTheme="minorEastAsia" w:cstheme="minorEastAsia"/>
          <w:bCs/>
          <w:sz w:val="24"/>
          <w:szCs w:val="24"/>
          <w:lang w:eastAsia="zh-CN"/>
        </w:rPr>
      </w:pPr>
      <w:r>
        <w:rPr>
          <w:rFonts w:hint="eastAsia" w:asciiTheme="minorEastAsia" w:hAnsiTheme="minorEastAsia" w:cstheme="minorEastAsia"/>
          <w:bCs/>
          <w:sz w:val="24"/>
          <w:szCs w:val="24"/>
        </w:rPr>
        <w:t>1.1项目名称：</w:t>
      </w:r>
      <w:r>
        <w:rPr>
          <w:rFonts w:hint="eastAsia" w:asciiTheme="minorEastAsia" w:hAnsiTheme="minorEastAsia" w:cstheme="minorEastAsia"/>
          <w:bCs/>
          <w:sz w:val="24"/>
          <w:szCs w:val="24"/>
          <w:lang w:eastAsia="zh-CN"/>
        </w:rPr>
        <w:t>西北大学人力资源管理信息系统采购项目</w:t>
      </w:r>
    </w:p>
    <w:p>
      <w:pPr>
        <w:rPr>
          <w:rFonts w:hint="eastAsia" w:asciiTheme="minorEastAsia" w:hAnsiTheme="minorEastAsia" w:cstheme="minorEastAsia"/>
          <w:bCs/>
          <w:sz w:val="24"/>
          <w:szCs w:val="24"/>
        </w:rPr>
      </w:pPr>
      <w:r>
        <w:rPr>
          <w:rFonts w:hint="eastAsia" w:asciiTheme="minorEastAsia" w:hAnsiTheme="minorEastAsia" w:cstheme="minorEastAsia"/>
          <w:bCs/>
          <w:sz w:val="24"/>
          <w:szCs w:val="24"/>
        </w:rPr>
        <w:t>1.2</w:t>
      </w:r>
      <w:r>
        <w:rPr>
          <w:rFonts w:hint="eastAsia" w:asciiTheme="minorEastAsia" w:hAnsiTheme="minorEastAsia" w:cstheme="minorEastAsia"/>
          <w:bCs/>
          <w:sz w:val="24"/>
          <w:szCs w:val="24"/>
          <w:lang w:eastAsia="zh-CN"/>
        </w:rPr>
        <w:t>完工</w:t>
      </w:r>
      <w:r>
        <w:rPr>
          <w:rFonts w:hint="eastAsia" w:asciiTheme="minorEastAsia" w:hAnsiTheme="minorEastAsia" w:cstheme="minorEastAsia"/>
          <w:bCs/>
          <w:sz w:val="24"/>
          <w:szCs w:val="24"/>
        </w:rPr>
        <w:t>期：自合同生效之日起120个日历日内，系统正式上线运行；</w:t>
      </w:r>
    </w:p>
    <w:p>
      <w:pPr>
        <w:rPr>
          <w:rFonts w:asciiTheme="minorEastAsia" w:hAnsiTheme="minorEastAsia" w:eastAsiaTheme="minorEastAsia" w:cstheme="minorEastAsia"/>
          <w:bCs/>
          <w:color w:val="000000" w:themeColor="text1"/>
          <w:sz w:val="24"/>
          <w:szCs w:val="24"/>
        </w:rPr>
      </w:pPr>
      <w:r>
        <w:rPr>
          <w:rFonts w:hint="eastAsia" w:asciiTheme="minorEastAsia" w:hAnsiTheme="minorEastAsia" w:cstheme="minorEastAsia"/>
          <w:bCs/>
          <w:color w:val="000000" w:themeColor="text1"/>
          <w:sz w:val="24"/>
          <w:szCs w:val="24"/>
        </w:rPr>
        <w:t>1.3质保期：验收合格后</w:t>
      </w:r>
      <w:r>
        <w:rPr>
          <w:rFonts w:hint="eastAsia" w:asciiTheme="minorEastAsia" w:hAnsiTheme="minorEastAsia" w:cstheme="minorEastAsia"/>
          <w:bCs/>
          <w:color w:val="000000" w:themeColor="text1"/>
          <w:sz w:val="24"/>
          <w:szCs w:val="24"/>
          <w:u w:val="single"/>
        </w:rPr>
        <w:t xml:space="preserve">  </w:t>
      </w:r>
      <w:r>
        <w:rPr>
          <w:rFonts w:hint="eastAsia" w:asciiTheme="minorEastAsia" w:hAnsiTheme="minorEastAsia" w:cstheme="minorEastAsia"/>
          <w:bCs/>
          <w:color w:val="000000" w:themeColor="text1"/>
          <w:sz w:val="24"/>
          <w:szCs w:val="24"/>
          <w:u w:val="single"/>
          <w:lang w:val="en-US" w:eastAsia="zh-CN"/>
        </w:rPr>
        <w:t>3</w:t>
      </w:r>
      <w:r>
        <w:rPr>
          <w:rFonts w:hint="eastAsia" w:asciiTheme="minorEastAsia" w:hAnsiTheme="minorEastAsia" w:cstheme="minorEastAsia"/>
          <w:bCs/>
          <w:color w:val="000000" w:themeColor="text1"/>
          <w:sz w:val="24"/>
          <w:szCs w:val="24"/>
          <w:u w:val="single"/>
        </w:rPr>
        <w:t xml:space="preserve">  </w:t>
      </w:r>
      <w:r>
        <w:rPr>
          <w:rFonts w:hint="eastAsia" w:asciiTheme="minorEastAsia" w:hAnsiTheme="minorEastAsia" w:cstheme="minorEastAsia"/>
          <w:bCs/>
          <w:color w:val="000000" w:themeColor="text1"/>
          <w:sz w:val="24"/>
          <w:szCs w:val="24"/>
        </w:rPr>
        <w:t>年</w:t>
      </w:r>
    </w:p>
    <w:p>
      <w:pPr>
        <w:spacing w:line="360" w:lineRule="auto"/>
        <w:rPr>
          <w:rFonts w:asciiTheme="minorEastAsia" w:hAnsiTheme="minorEastAsia" w:cstheme="minorEastAsia"/>
          <w:bCs/>
          <w:color w:val="000000" w:themeColor="text1"/>
          <w:sz w:val="24"/>
          <w:szCs w:val="24"/>
        </w:rPr>
      </w:pPr>
      <w:r>
        <w:rPr>
          <w:rFonts w:hint="eastAsia" w:asciiTheme="minorEastAsia" w:hAnsiTheme="minorEastAsia" w:cstheme="minorEastAsia"/>
          <w:bCs/>
          <w:color w:val="000000" w:themeColor="text1"/>
          <w:sz w:val="24"/>
          <w:szCs w:val="24"/>
        </w:rPr>
        <w:t>1.4供货地点：西北大学指定地点。</w:t>
      </w:r>
    </w:p>
    <w:p>
      <w:pPr>
        <w:pStyle w:val="71"/>
        <w:numPr>
          <w:ilvl w:val="0"/>
          <w:numId w:val="0"/>
        </w:numPr>
        <w:spacing w:line="360" w:lineRule="auto"/>
        <w:rPr>
          <w:rFonts w:hint="default" w:asciiTheme="minorEastAsia" w:hAnsiTheme="minorEastAsia" w:cstheme="minorEastAsia"/>
          <w:b/>
          <w:sz w:val="24"/>
          <w:szCs w:val="24"/>
          <w:lang w:val="en-US"/>
        </w:rPr>
      </w:pPr>
      <w:bookmarkStart w:id="78" w:name="_Toc6835"/>
      <w:r>
        <w:rPr>
          <w:rFonts w:hint="eastAsia" w:eastAsia="宋体" w:asciiTheme="minorEastAsia" w:hAnsiTheme="minorEastAsia" w:cstheme="minorEastAsia"/>
          <w:b/>
          <w:sz w:val="24"/>
          <w:szCs w:val="24"/>
          <w:lang w:val="en-US" w:eastAsia="zh-CN"/>
        </w:rPr>
        <w:t>2、</w:t>
      </w:r>
      <w:r>
        <w:rPr>
          <w:rFonts w:asciiTheme="minorEastAsia" w:hAnsiTheme="minorEastAsia" w:cstheme="minorEastAsia"/>
          <w:b/>
          <w:sz w:val="24"/>
          <w:szCs w:val="24"/>
        </w:rPr>
        <w:t>技术指标</w:t>
      </w:r>
      <w:r>
        <w:rPr>
          <w:rFonts w:asciiTheme="minorEastAsia" w:hAnsiTheme="minorEastAsia" w:cstheme="minorEastAsia"/>
          <w:b/>
          <w:sz w:val="24"/>
          <w:szCs w:val="24"/>
          <w:lang w:val="en-US"/>
        </w:rPr>
        <w:t xml:space="preserve">  </w:t>
      </w:r>
    </w:p>
    <w:tbl>
      <w:tblPr>
        <w:tblStyle w:val="26"/>
        <w:tblW w:w="851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15"/>
        <w:gridCol w:w="938"/>
        <w:gridCol w:w="6210"/>
        <w:gridCol w:w="85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44" w:hRule="atLeast"/>
        </w:trPr>
        <w:tc>
          <w:tcPr>
            <w:tcW w:w="515" w:type="dxa"/>
            <w:vAlign w:val="center"/>
          </w:tcPr>
          <w:p>
            <w:pPr>
              <w:jc w:val="center"/>
              <w:rPr>
                <w:b/>
                <w:sz w:val="28"/>
                <w:szCs w:val="28"/>
              </w:rPr>
            </w:pPr>
            <w:r>
              <w:rPr>
                <w:rFonts w:hint="eastAsia"/>
                <w:b/>
                <w:sz w:val="28"/>
                <w:szCs w:val="28"/>
              </w:rPr>
              <w:t>序号</w:t>
            </w:r>
          </w:p>
        </w:tc>
        <w:tc>
          <w:tcPr>
            <w:tcW w:w="938" w:type="dxa"/>
            <w:vAlign w:val="center"/>
          </w:tcPr>
          <w:p>
            <w:pPr>
              <w:jc w:val="center"/>
              <w:rPr>
                <w:b/>
                <w:sz w:val="28"/>
                <w:szCs w:val="28"/>
              </w:rPr>
            </w:pPr>
            <w:r>
              <w:rPr>
                <w:rFonts w:hint="eastAsia"/>
                <w:b/>
                <w:sz w:val="28"/>
                <w:szCs w:val="28"/>
              </w:rPr>
              <w:t>仪器名称</w:t>
            </w:r>
          </w:p>
        </w:tc>
        <w:tc>
          <w:tcPr>
            <w:tcW w:w="6210" w:type="dxa"/>
            <w:vAlign w:val="center"/>
          </w:tcPr>
          <w:p>
            <w:pPr>
              <w:jc w:val="center"/>
              <w:rPr>
                <w:b/>
                <w:sz w:val="28"/>
                <w:szCs w:val="28"/>
              </w:rPr>
            </w:pPr>
            <w:r>
              <w:rPr>
                <w:rFonts w:hint="eastAsia"/>
                <w:b/>
                <w:sz w:val="28"/>
                <w:szCs w:val="28"/>
              </w:rPr>
              <w:t>技术指标</w:t>
            </w:r>
          </w:p>
        </w:tc>
        <w:tc>
          <w:tcPr>
            <w:tcW w:w="852" w:type="dxa"/>
            <w:vAlign w:val="center"/>
          </w:tcPr>
          <w:p>
            <w:pPr>
              <w:jc w:val="center"/>
              <w:rPr>
                <w:rFonts w:hint="eastAsia" w:eastAsia="宋体"/>
                <w:b/>
                <w:sz w:val="28"/>
                <w:szCs w:val="28"/>
                <w:lang w:eastAsia="zh-CN"/>
              </w:rPr>
            </w:pPr>
            <w:r>
              <w:rPr>
                <w:rFonts w:hint="eastAsia"/>
                <w:b/>
                <w:sz w:val="28"/>
                <w:szCs w:val="28"/>
                <w:lang w:eastAsia="zh-CN"/>
              </w:rPr>
              <w:t>数量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76" w:hRule="atLeast"/>
        </w:trPr>
        <w:tc>
          <w:tcPr>
            <w:tcW w:w="515" w:type="dxa"/>
            <w:vAlign w:val="center"/>
          </w:tcPr>
          <w:p>
            <w:pPr>
              <w:spacing w:line="500" w:lineRule="exact"/>
              <w:jc w:val="center"/>
              <w:rPr>
                <w:b/>
                <w:sz w:val="28"/>
                <w:szCs w:val="28"/>
              </w:rPr>
            </w:pPr>
            <w:r>
              <w:rPr>
                <w:rFonts w:hint="eastAsia"/>
                <w:b/>
                <w:sz w:val="28"/>
                <w:szCs w:val="28"/>
              </w:rPr>
              <w:t>1</w:t>
            </w:r>
          </w:p>
        </w:tc>
        <w:tc>
          <w:tcPr>
            <w:tcW w:w="938" w:type="dxa"/>
            <w:vAlign w:val="center"/>
          </w:tcPr>
          <w:p>
            <w:pPr>
              <w:spacing w:line="500" w:lineRule="exact"/>
              <w:jc w:val="center"/>
              <w:rPr>
                <w:b/>
                <w:sz w:val="18"/>
                <w:szCs w:val="18"/>
              </w:rPr>
            </w:pPr>
            <w:r>
              <w:rPr>
                <w:rFonts w:hint="eastAsia" w:ascii="仿宋_GB2312" w:hAnsi="仿宋_GB2312" w:eastAsia="仿宋_GB2312" w:cs="仿宋_GB2312"/>
                <w:sz w:val="28"/>
                <w:szCs w:val="28"/>
              </w:rPr>
              <w:t>人力资源管理信息系统</w:t>
            </w:r>
          </w:p>
        </w:tc>
        <w:tc>
          <w:tcPr>
            <w:tcW w:w="6210" w:type="dxa"/>
            <w:vAlign w:val="center"/>
          </w:tcPr>
          <w:p>
            <w:pPr>
              <w:spacing w:line="500" w:lineRule="exact"/>
              <w:jc w:val="left"/>
              <w:rPr>
                <w:rFonts w:ascii="Times New Roman" w:hAnsi="Times New Roman" w:cs="Times New Roman"/>
              </w:rPr>
            </w:pPr>
            <w:r>
              <w:rPr>
                <w:rFonts w:ascii="Times New Roman" w:hAnsi="黑体" w:eastAsia="黑体" w:cs="Times New Roman"/>
                <w:bCs/>
                <w:sz w:val="24"/>
                <w:szCs w:val="24"/>
              </w:rPr>
              <w:t>一、主要技术参数</w:t>
            </w:r>
          </w:p>
          <w:p>
            <w:pPr>
              <w:spacing w:line="500" w:lineRule="exact"/>
              <w:rPr>
                <w:rFonts w:ascii="Times New Roman" w:hAnsi="Times New Roman" w:eastAsia="楷体_GB2312" w:cs="Times New Roman"/>
                <w:bCs/>
                <w:sz w:val="24"/>
                <w:szCs w:val="24"/>
              </w:rPr>
            </w:pPr>
            <w:r>
              <w:rPr>
                <w:rFonts w:ascii="Times New Roman" w:hAnsi="楷体_GB2312" w:eastAsia="楷体_GB2312" w:cs="Times New Roman"/>
                <w:bCs/>
                <w:sz w:val="24"/>
                <w:szCs w:val="24"/>
              </w:rPr>
              <w:t>（一）系统架构</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系统建设应采用先进的设计思想和主流的技术路线，必须符合业界当前的发展趋势，遵循相关的行业技术标准。</w:t>
            </w:r>
          </w:p>
          <w:p>
            <w:pPr>
              <w:spacing w:line="500" w:lineRule="exact"/>
              <w:ind w:firstLine="422" w:firstLineChars="176"/>
              <w:rPr>
                <w:rFonts w:ascii="Times New Roman" w:hAnsi="Times New Roman" w:eastAsia="宋体" w:cs="Times New Roman"/>
                <w:bCs/>
                <w:sz w:val="24"/>
                <w:szCs w:val="24"/>
              </w:rPr>
            </w:pP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1</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架构</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）系统要求采用</w:t>
            </w:r>
            <w:r>
              <w:rPr>
                <w:rFonts w:ascii="Times New Roman" w:hAnsi="Times New Roman" w:eastAsia="宋体" w:cs="Times New Roman"/>
                <w:bCs/>
                <w:sz w:val="24"/>
                <w:szCs w:val="24"/>
              </w:rPr>
              <w:t>JAVA</w:t>
            </w:r>
            <w:r>
              <w:rPr>
                <w:rFonts w:ascii="Times New Roman" w:hAnsi="Arial" w:eastAsia="宋体" w:cs="Times New Roman"/>
                <w:bCs/>
                <w:sz w:val="24"/>
                <w:szCs w:val="24"/>
              </w:rPr>
              <w:t>语言编程开发，系统架构采用</w:t>
            </w:r>
            <w:r>
              <w:rPr>
                <w:rFonts w:ascii="Times New Roman" w:hAnsi="Times New Roman" w:eastAsia="宋体" w:cs="Times New Roman"/>
                <w:bCs/>
                <w:sz w:val="24"/>
                <w:szCs w:val="24"/>
              </w:rPr>
              <w:t>B/S</w:t>
            </w:r>
            <w:r>
              <w:rPr>
                <w:rFonts w:ascii="Times New Roman" w:hAnsi="Arial" w:eastAsia="宋体" w:cs="Times New Roman"/>
                <w:bCs/>
                <w:sz w:val="24"/>
                <w:szCs w:val="24"/>
              </w:rPr>
              <w:t>模式，支持系统远程在线升级，要求部署在校园网环境下；</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）系统要求稳定运行于</w:t>
            </w:r>
            <w:r>
              <w:rPr>
                <w:rFonts w:ascii="Times New Roman" w:hAnsi="Times New Roman" w:eastAsia="宋体" w:cs="Times New Roman"/>
                <w:bCs/>
                <w:sz w:val="24"/>
                <w:szCs w:val="24"/>
              </w:rPr>
              <w:t>IE8</w:t>
            </w:r>
            <w:r>
              <w:rPr>
                <w:rFonts w:ascii="Times New Roman" w:hAnsi="Arial" w:eastAsia="宋体" w:cs="Times New Roman"/>
                <w:bCs/>
                <w:sz w:val="24"/>
                <w:szCs w:val="24"/>
              </w:rPr>
              <w:t>版本及以上浏览器，支持目前主流的各类浏览器的最新版本，具有良好的兼容性和适用性；</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）系统要求采用模块化设计，具有良好的扩展性，各功能组件可单独更新升级，可通过动态修改</w:t>
            </w:r>
            <w:r>
              <w:rPr>
                <w:rFonts w:hint="eastAsia" w:ascii="Times New Roman" w:hAnsi="Arial" w:eastAsia="宋体" w:cs="Times New Roman"/>
                <w:bCs/>
                <w:sz w:val="24"/>
                <w:szCs w:val="24"/>
                <w:lang w:eastAsia="zh-CN"/>
              </w:rPr>
              <w:t>或</w:t>
            </w:r>
            <w:r>
              <w:rPr>
                <w:rFonts w:ascii="Times New Roman" w:hAnsi="Arial" w:eastAsia="宋体" w:cs="Times New Roman"/>
                <w:bCs/>
                <w:sz w:val="24"/>
                <w:szCs w:val="24"/>
              </w:rPr>
              <w:t>重新配置</w:t>
            </w:r>
            <w:r>
              <w:rPr>
                <w:rFonts w:hint="eastAsia" w:ascii="Times New Roman" w:hAnsi="Arial" w:eastAsia="宋体" w:cs="Times New Roman"/>
                <w:bCs/>
                <w:sz w:val="24"/>
                <w:szCs w:val="24"/>
                <w:lang w:eastAsia="zh-CN"/>
              </w:rPr>
              <w:t>的</w:t>
            </w:r>
            <w:r>
              <w:rPr>
                <w:rFonts w:ascii="Times New Roman" w:hAnsi="Arial" w:eastAsia="宋体" w:cs="Times New Roman"/>
                <w:bCs/>
                <w:sz w:val="24"/>
                <w:szCs w:val="24"/>
              </w:rPr>
              <w:t>方式，调整系统功能和业务流程，能快速适应动态变化的应用需求；</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4</w:t>
            </w:r>
            <w:r>
              <w:rPr>
                <w:rFonts w:ascii="Times New Roman" w:hAnsi="Arial" w:eastAsia="宋体" w:cs="Times New Roman"/>
                <w:bCs/>
                <w:sz w:val="24"/>
                <w:szCs w:val="24"/>
              </w:rPr>
              <w:t>）系统要求预置职称评定和考核考评等功能模块接口，提供与教务、科研、</w:t>
            </w:r>
            <w:r>
              <w:rPr>
                <w:rFonts w:hint="eastAsia" w:ascii="Times New Roman" w:hAnsi="Arial" w:eastAsia="宋体" w:cs="Times New Roman"/>
                <w:bCs/>
                <w:sz w:val="24"/>
                <w:szCs w:val="24"/>
                <w:lang w:eastAsia="zh-CN"/>
              </w:rPr>
              <w:t>学科、</w:t>
            </w:r>
            <w:r>
              <w:rPr>
                <w:rFonts w:ascii="Times New Roman" w:hAnsi="Arial" w:eastAsia="宋体" w:cs="Times New Roman"/>
                <w:bCs/>
                <w:sz w:val="24"/>
                <w:szCs w:val="24"/>
              </w:rPr>
              <w:t>财务、后勤等业务</w:t>
            </w:r>
            <w:r>
              <w:rPr>
                <w:rFonts w:hint="eastAsia" w:ascii="Times New Roman" w:hAnsi="Arial" w:eastAsia="宋体" w:cs="Times New Roman"/>
                <w:bCs/>
                <w:sz w:val="24"/>
                <w:szCs w:val="24"/>
                <w:lang w:eastAsia="zh-CN"/>
              </w:rPr>
              <w:t>系统</w:t>
            </w:r>
            <w:r>
              <w:rPr>
                <w:rFonts w:ascii="Times New Roman" w:hAnsi="Arial" w:eastAsia="宋体" w:cs="Times New Roman"/>
                <w:bCs/>
                <w:sz w:val="24"/>
                <w:szCs w:val="24"/>
              </w:rPr>
              <w:t>间数据交换接口，支持快速开发和上线应用，具有良好的扩展性和维护性。</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2</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数据库</w:t>
            </w:r>
          </w:p>
          <w:p>
            <w:pPr>
              <w:spacing w:line="500" w:lineRule="exact"/>
              <w:ind w:firstLine="492" w:firstLineChars="176"/>
              <w:rPr>
                <w:rFonts w:ascii="Times New Roman" w:hAnsi="Times New Roman" w:cs="Times New Roman"/>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系统要求支持</w:t>
            </w:r>
            <w:r>
              <w:rPr>
                <w:rFonts w:ascii="Times New Roman" w:hAnsi="Times New Roman" w:eastAsia="宋体" w:cs="Times New Roman"/>
                <w:bCs/>
                <w:sz w:val="24"/>
                <w:szCs w:val="24"/>
              </w:rPr>
              <w:t>Oracle 12C</w:t>
            </w:r>
            <w:r>
              <w:rPr>
                <w:rFonts w:ascii="Times New Roman" w:hAnsi="Arial" w:eastAsia="宋体" w:cs="Times New Roman"/>
                <w:bCs/>
                <w:sz w:val="24"/>
                <w:szCs w:val="24"/>
              </w:rPr>
              <w:t>数据库，满足高安全和高性能要求，可安装运行于</w:t>
            </w:r>
            <w:r>
              <w:rPr>
                <w:rFonts w:ascii="Times New Roman" w:hAnsi="Times New Roman" w:eastAsia="宋体" w:cs="Times New Roman"/>
                <w:bCs/>
                <w:sz w:val="24"/>
                <w:szCs w:val="24"/>
              </w:rPr>
              <w:t>Unix</w:t>
            </w:r>
            <w:r>
              <w:rPr>
                <w:rFonts w:ascii="Times New Roman" w:hAnsi="Arial" w:eastAsia="宋体" w:cs="Times New Roman"/>
                <w:bCs/>
                <w:sz w:val="24"/>
                <w:szCs w:val="24"/>
              </w:rPr>
              <w:t>、</w:t>
            </w:r>
            <w:r>
              <w:rPr>
                <w:rFonts w:ascii="Times New Roman" w:hAnsi="Times New Roman" w:eastAsia="宋体" w:cs="Times New Roman"/>
                <w:bCs/>
                <w:sz w:val="24"/>
                <w:szCs w:val="24"/>
              </w:rPr>
              <w:t>Linux</w:t>
            </w:r>
            <w:r>
              <w:rPr>
                <w:rFonts w:ascii="Times New Roman" w:hAnsi="Arial" w:eastAsia="宋体" w:cs="Times New Roman"/>
                <w:bCs/>
                <w:sz w:val="24"/>
                <w:szCs w:val="24"/>
              </w:rPr>
              <w:t>、</w:t>
            </w:r>
            <w:r>
              <w:rPr>
                <w:rFonts w:ascii="Times New Roman" w:hAnsi="Times New Roman" w:eastAsia="宋体" w:cs="Times New Roman"/>
                <w:bCs/>
                <w:sz w:val="24"/>
                <w:szCs w:val="24"/>
              </w:rPr>
              <w:t>Windows</w:t>
            </w:r>
            <w:r>
              <w:rPr>
                <w:rFonts w:ascii="Times New Roman" w:hAnsi="Arial" w:eastAsia="宋体" w:cs="Times New Roman"/>
                <w:bCs/>
                <w:sz w:val="24"/>
                <w:szCs w:val="24"/>
              </w:rPr>
              <w:t>等服务器操作系统。</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3</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安全性</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）系统要求满足《中华人民共和国网络安全法》的相关要求，经国家信息中心检测合格，网络安全等级达到人力资源行业通用标准；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）以用户为中心，通过角色</w:t>
            </w:r>
            <w:r>
              <w:rPr>
                <w:rFonts w:hint="eastAsia" w:ascii="Times New Roman" w:hAnsi="Arial" w:eastAsia="宋体" w:cs="Times New Roman"/>
                <w:bCs/>
                <w:sz w:val="24"/>
                <w:szCs w:val="24"/>
                <w:lang w:eastAsia="zh-CN"/>
              </w:rPr>
              <w:t>、岗位等</w:t>
            </w:r>
            <w:r>
              <w:rPr>
                <w:rFonts w:ascii="Times New Roman" w:hAnsi="Arial" w:eastAsia="宋体" w:cs="Times New Roman"/>
                <w:bCs/>
                <w:sz w:val="24"/>
                <w:szCs w:val="24"/>
              </w:rPr>
              <w:t>授权</w:t>
            </w:r>
            <w:r>
              <w:rPr>
                <w:rFonts w:hint="eastAsia" w:ascii="Times New Roman" w:hAnsi="Arial" w:eastAsia="宋体" w:cs="Times New Roman"/>
                <w:bCs/>
                <w:sz w:val="24"/>
                <w:szCs w:val="24"/>
                <w:lang w:eastAsia="zh-CN"/>
              </w:rPr>
              <w:t>进行</w:t>
            </w:r>
            <w:r>
              <w:rPr>
                <w:rFonts w:ascii="Times New Roman" w:hAnsi="Arial" w:eastAsia="宋体" w:cs="Times New Roman"/>
                <w:bCs/>
                <w:sz w:val="24"/>
                <w:szCs w:val="24"/>
              </w:rPr>
              <w:t>访问控制，用户密码管理符合业界通用的规范（含最小长度，数字字母混合、定期更新等），提供日志及审计功能，包括数据操作日志、系统登</w:t>
            </w:r>
            <w:r>
              <w:rPr>
                <w:rFonts w:hint="eastAsia" w:ascii="Times New Roman" w:hAnsi="Arial" w:eastAsia="宋体" w:cs="Times New Roman"/>
                <w:bCs/>
                <w:sz w:val="24"/>
                <w:szCs w:val="24"/>
                <w:lang w:eastAsia="zh-CN"/>
              </w:rPr>
              <w:t>录</w:t>
            </w:r>
            <w:r>
              <w:rPr>
                <w:rFonts w:ascii="Times New Roman" w:hAnsi="Arial" w:eastAsia="宋体" w:cs="Times New Roman"/>
                <w:bCs/>
                <w:sz w:val="24"/>
                <w:szCs w:val="24"/>
              </w:rPr>
              <w:t>日志、版本更新日志等，实时监控敏感数据的访问和修改</w:t>
            </w:r>
            <w:r>
              <w:rPr>
                <w:rFonts w:hint="eastAsia" w:ascii="Times New Roman" w:hAnsi="Arial" w:eastAsia="宋体" w:cs="Times New Roman"/>
                <w:bCs/>
                <w:sz w:val="24"/>
                <w:szCs w:val="24"/>
              </w:rPr>
              <w:t>操作</w:t>
            </w:r>
            <w:r>
              <w:rPr>
                <w:rFonts w:ascii="Times New Roman" w:hAnsi="Arial" w:eastAsia="宋体" w:cs="Times New Roman"/>
                <w:bCs/>
                <w:sz w:val="24"/>
                <w:szCs w:val="24"/>
              </w:rPr>
              <w:t>，要求采取安全机制防止任何通过网络进行的非法授权访问；</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）系统要求具有足够的可靠性和健壮性，能够抵御一般性的安全攻击和恶意破坏，要求对核心数据提供必要的加密手段进行加密存储和加密传输；</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4</w:t>
            </w:r>
            <w:r>
              <w:rPr>
                <w:rFonts w:ascii="Times New Roman" w:hAnsi="Arial" w:eastAsia="宋体" w:cs="Times New Roman"/>
                <w:bCs/>
                <w:sz w:val="24"/>
                <w:szCs w:val="24"/>
              </w:rPr>
              <w:t>）系统要求支持业务连续性，提供完备的数据容灾备份方案。</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4</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界面友好</w:t>
            </w:r>
          </w:p>
          <w:p>
            <w:pPr>
              <w:spacing w:line="500" w:lineRule="exact"/>
              <w:ind w:firstLine="422" w:firstLineChars="176"/>
            </w:pPr>
            <w:r>
              <w:rPr>
                <w:rFonts w:ascii="Times New Roman" w:hAnsi="Arial" w:eastAsia="宋体" w:cs="Times New Roman"/>
                <w:bCs/>
                <w:sz w:val="24"/>
                <w:szCs w:val="24"/>
              </w:rPr>
              <w:t>系统要求操作界面友好、操作流程清晰、操作简单快捷，支持用户自定义工作台和</w:t>
            </w:r>
            <w:r>
              <w:rPr>
                <w:rFonts w:hint="eastAsia" w:ascii="Times New Roman" w:hAnsi="Arial" w:eastAsia="宋体" w:cs="Times New Roman"/>
                <w:bCs/>
                <w:sz w:val="24"/>
                <w:szCs w:val="24"/>
              </w:rPr>
              <w:t>常用</w:t>
            </w:r>
            <w:r>
              <w:rPr>
                <w:rFonts w:ascii="Times New Roman" w:hAnsi="Arial" w:eastAsia="宋体" w:cs="Times New Roman"/>
                <w:bCs/>
                <w:sz w:val="24"/>
                <w:szCs w:val="24"/>
              </w:rPr>
              <w:t>功能组件。</w:t>
            </w:r>
          </w:p>
          <w:p>
            <w:pPr>
              <w:spacing w:line="500" w:lineRule="exact"/>
              <w:ind w:firstLine="492" w:firstLineChars="176"/>
              <w:rPr>
                <w:rFonts w:ascii="Times New Roman" w:cs="Times New Roman" w:hAnsiTheme="minorEastAsia"/>
                <w:sz w:val="28"/>
                <w:szCs w:val="28"/>
              </w:rPr>
            </w:pP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5</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数据标准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提供</w:t>
            </w:r>
            <w:r>
              <w:rPr>
                <w:rFonts w:hint="eastAsia" w:ascii="Times New Roman" w:hAnsi="Arial" w:eastAsia="宋体" w:cs="Times New Roman"/>
                <w:bCs/>
                <w:sz w:val="24"/>
                <w:szCs w:val="24"/>
                <w:lang w:eastAsia="zh-CN"/>
              </w:rPr>
              <w:t>普通高等院校</w:t>
            </w:r>
            <w:r>
              <w:rPr>
                <w:rFonts w:ascii="Times New Roman" w:hAnsi="Arial" w:eastAsia="宋体" w:cs="Times New Roman"/>
                <w:bCs/>
                <w:sz w:val="24"/>
                <w:szCs w:val="24"/>
              </w:rPr>
              <w:t>人力资源数据库系统完整的数据字典，保证数据准确性和权威性，明确数据库的表名称、表描述、字段</w:t>
            </w:r>
            <w:r>
              <w:rPr>
                <w:rFonts w:hint="eastAsia" w:ascii="Times New Roman" w:hAnsi="Arial" w:eastAsia="宋体" w:cs="Times New Roman"/>
                <w:bCs/>
                <w:sz w:val="24"/>
                <w:szCs w:val="24"/>
              </w:rPr>
              <w:t>名称</w:t>
            </w:r>
            <w:r>
              <w:rPr>
                <w:rFonts w:ascii="Times New Roman" w:hAnsi="Arial" w:eastAsia="宋体" w:cs="Times New Roman"/>
                <w:bCs/>
                <w:sz w:val="24"/>
                <w:szCs w:val="24"/>
              </w:rPr>
              <w:t>、字段描述、字段类型</w:t>
            </w:r>
            <w:r>
              <w:rPr>
                <w:rFonts w:hint="eastAsia" w:ascii="Times New Roman" w:hAnsi="Arial" w:eastAsia="宋体" w:cs="Times New Roman"/>
                <w:bCs/>
                <w:sz w:val="24"/>
                <w:szCs w:val="24"/>
                <w:lang w:eastAsia="zh-CN"/>
              </w:rPr>
              <w:t>、约束条件</w:t>
            </w:r>
            <w:r>
              <w:rPr>
                <w:rFonts w:ascii="Times New Roman" w:hAnsi="Arial" w:eastAsia="宋体" w:cs="Times New Roman"/>
                <w:bCs/>
                <w:sz w:val="24"/>
                <w:szCs w:val="24"/>
              </w:rPr>
              <w:t>等数据规范，完成与学校共享数据库的对接。</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6</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开放性和兼容性</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）要求按照学校信息化标准免费开放接口，免费完成与学校统一身份认证系统、网上办事大厅、电子签章系统、邮件系统、短信平台、教职工考核系统等的集成对接</w:t>
            </w:r>
            <w:r>
              <w:rPr>
                <w:rFonts w:hint="eastAsia" w:ascii="Times New Roman" w:hAnsi="Arial" w:eastAsia="宋体" w:cs="Times New Roman"/>
                <w:bCs/>
                <w:sz w:val="24"/>
                <w:szCs w:val="24"/>
                <w:lang w:eastAsia="zh-CN"/>
              </w:rPr>
              <w:t>、技术升级</w:t>
            </w:r>
            <w:r>
              <w:rPr>
                <w:rFonts w:ascii="Times New Roman" w:hAnsi="Arial" w:eastAsia="宋体" w:cs="Times New Roman"/>
                <w:bCs/>
                <w:sz w:val="24"/>
                <w:szCs w:val="24"/>
              </w:rPr>
              <w:t>和业务关联；</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）要求为学校其他业务系统提供服务接口和标准数据接口，支持与</w:t>
            </w:r>
            <w:r>
              <w:rPr>
                <w:rFonts w:hint="eastAsia" w:ascii="Times New Roman" w:hAnsi="Arial" w:eastAsia="宋体" w:cs="Times New Roman"/>
                <w:bCs/>
                <w:sz w:val="24"/>
                <w:szCs w:val="24"/>
                <w:lang w:eastAsia="zh-CN"/>
              </w:rPr>
              <w:t>学校</w:t>
            </w:r>
            <w:r>
              <w:rPr>
                <w:rFonts w:ascii="Times New Roman" w:hAnsi="Arial" w:eastAsia="宋体" w:cs="Times New Roman"/>
                <w:bCs/>
                <w:sz w:val="24"/>
                <w:szCs w:val="24"/>
              </w:rPr>
              <w:t>其他业务系统间的集成和数据交换；</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）要求与学校企业微信</w:t>
            </w:r>
            <w:r>
              <w:rPr>
                <w:rFonts w:hint="eastAsia" w:ascii="Times New Roman" w:hAnsi="Arial" w:eastAsia="宋体" w:cs="Times New Roman"/>
                <w:bCs/>
                <w:sz w:val="24"/>
                <w:szCs w:val="24"/>
              </w:rPr>
              <w:t>号</w:t>
            </w:r>
            <w:r>
              <w:rPr>
                <w:rFonts w:ascii="Times New Roman" w:hAnsi="Arial" w:eastAsia="宋体" w:cs="Times New Roman"/>
                <w:bCs/>
                <w:sz w:val="24"/>
                <w:szCs w:val="24"/>
              </w:rPr>
              <w:t>对接，用户可使用移动设备进行</w:t>
            </w:r>
            <w:r>
              <w:rPr>
                <w:rFonts w:hint="eastAsia" w:ascii="Times New Roman" w:hAnsi="Arial" w:eastAsia="宋体" w:cs="Times New Roman"/>
                <w:bCs/>
                <w:sz w:val="24"/>
                <w:szCs w:val="24"/>
                <w:lang w:eastAsia="zh-CN"/>
              </w:rPr>
              <w:t>人事</w:t>
            </w:r>
            <w:r>
              <w:rPr>
                <w:rFonts w:ascii="Times New Roman" w:hAnsi="Arial" w:eastAsia="宋体" w:cs="Times New Roman"/>
                <w:bCs/>
                <w:sz w:val="24"/>
                <w:szCs w:val="24"/>
              </w:rPr>
              <w:t>业务的申请、审批、受理等操作。</w:t>
            </w:r>
          </w:p>
          <w:p>
            <w:pPr>
              <w:spacing w:line="500" w:lineRule="exact"/>
              <w:ind w:firstLine="492" w:firstLineChars="176"/>
              <w:rPr>
                <w:rFonts w:ascii="Times New Roman" w:hAnsi="Arial"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Times New Roman" w:eastAsia="宋体" w:cs="Times New Roman"/>
                <w:bCs/>
                <w:sz w:val="24"/>
                <w:szCs w:val="24"/>
              </w:rPr>
              <w:t>7</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要求与人力资源和社会保障部、教育部、统计局等相关数据采集平台数据框架保持高度一致，可生成并自动填报报表数据，如人力资源和社会保障统计年报、</w:t>
            </w:r>
            <w:r>
              <w:rPr>
                <w:rFonts w:hint="eastAsia" w:ascii="Times New Roman" w:hAnsi="Arial" w:eastAsia="宋体" w:cs="Times New Roman"/>
                <w:bCs/>
                <w:sz w:val="24"/>
                <w:szCs w:val="24"/>
              </w:rPr>
              <w:t>编制实名制和人员信息统计年报、工资福利统计报表、从业人员及工资总额报表等</w:t>
            </w:r>
            <w:r>
              <w:rPr>
                <w:rFonts w:ascii="Times New Roman" w:hAnsi="Arial" w:eastAsia="宋体" w:cs="Times New Roman"/>
                <w:bCs/>
                <w:sz w:val="24"/>
                <w:szCs w:val="24"/>
              </w:rPr>
              <w:t>。</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本次采购内容，需实现招标需求功能模块范围内的个性化需求定制开发</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满足学校提出的功能细化要求</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支持后续其他功能的定制开发</w:t>
            </w:r>
            <w:r>
              <w:rPr>
                <w:rFonts w:hint="eastAsia" w:ascii="Times New Roman" w:hAnsi="Arial" w:eastAsia="宋体" w:cs="Times New Roman"/>
                <w:bCs/>
                <w:sz w:val="24"/>
                <w:szCs w:val="24"/>
                <w:lang w:eastAsia="zh-CN"/>
              </w:rPr>
              <w:t>等</w:t>
            </w:r>
            <w:r>
              <w:rPr>
                <w:rFonts w:ascii="Times New Roman" w:hAnsi="Arial" w:eastAsia="宋体" w:cs="Times New Roman"/>
                <w:bCs/>
                <w:sz w:val="24"/>
                <w:szCs w:val="24"/>
              </w:rPr>
              <w:t>。</w:t>
            </w:r>
          </w:p>
          <w:p>
            <w:pPr>
              <w:spacing w:line="500" w:lineRule="exact"/>
              <w:rPr>
                <w:rFonts w:ascii="Times New Roman" w:hAnsi="Times New Roman" w:eastAsia="楷体_GB2312" w:cs="Times New Roman"/>
                <w:bCs/>
                <w:sz w:val="24"/>
                <w:szCs w:val="24"/>
              </w:rPr>
            </w:pPr>
            <w:r>
              <w:rPr>
                <w:rFonts w:ascii="Times New Roman" w:hAnsi="楷体_GB2312" w:eastAsia="楷体_GB2312" w:cs="Times New Roman"/>
                <w:bCs/>
                <w:sz w:val="24"/>
                <w:szCs w:val="24"/>
              </w:rPr>
              <w:t>（二）系统性能要求</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1</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可靠性和稳定性</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具有良好的运行保障机制，提供完善的存储和备份手段及故障恢复</w:t>
            </w:r>
            <w:r>
              <w:rPr>
                <w:rFonts w:hint="eastAsia" w:ascii="Times New Roman" w:hAnsi="Arial" w:eastAsia="宋体" w:cs="Times New Roman"/>
                <w:bCs/>
                <w:sz w:val="24"/>
                <w:szCs w:val="24"/>
                <w:lang w:eastAsia="zh-CN"/>
              </w:rPr>
              <w:t>机制</w:t>
            </w:r>
            <w:r>
              <w:rPr>
                <w:rFonts w:ascii="Times New Roman" w:hAnsi="Arial" w:eastAsia="宋体" w:cs="Times New Roman"/>
                <w:bCs/>
                <w:sz w:val="24"/>
                <w:szCs w:val="24"/>
              </w:rPr>
              <w:t>，确保系统的可靠性和稳定性。</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2</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保密性和安全性</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系统设计必须考虑整体的安全性，应从数据访问</w:t>
            </w:r>
            <w:r>
              <w:rPr>
                <w:rFonts w:hint="eastAsia" w:ascii="Times New Roman" w:hAnsi="Arial" w:eastAsia="宋体" w:cs="Times New Roman"/>
                <w:bCs/>
                <w:sz w:val="24"/>
                <w:szCs w:val="24"/>
              </w:rPr>
              <w:t>控制</w:t>
            </w:r>
            <w:r>
              <w:rPr>
                <w:rFonts w:ascii="Times New Roman" w:hAnsi="Arial" w:eastAsia="宋体" w:cs="Times New Roman"/>
                <w:bCs/>
                <w:sz w:val="24"/>
                <w:szCs w:val="24"/>
              </w:rPr>
              <w:t>、用户认证、数据加密等多方面</w:t>
            </w:r>
            <w:r>
              <w:rPr>
                <w:rFonts w:hint="eastAsia" w:ascii="Times New Roman" w:hAnsi="Arial" w:eastAsia="宋体" w:cs="Times New Roman"/>
                <w:bCs/>
                <w:sz w:val="24"/>
                <w:szCs w:val="24"/>
              </w:rPr>
              <w:t>进行</w:t>
            </w:r>
            <w:r>
              <w:rPr>
                <w:rFonts w:ascii="Times New Roman" w:hAnsi="Arial" w:eastAsia="宋体" w:cs="Times New Roman"/>
                <w:bCs/>
                <w:sz w:val="24"/>
                <w:szCs w:val="24"/>
              </w:rPr>
              <w:t>安全性设计，应针对不同应用环境采取不同级别的安全</w:t>
            </w:r>
            <w:r>
              <w:rPr>
                <w:rFonts w:hint="eastAsia" w:ascii="Times New Roman" w:hAnsi="Arial" w:eastAsia="宋体" w:cs="Times New Roman"/>
                <w:bCs/>
                <w:sz w:val="24"/>
                <w:szCs w:val="24"/>
              </w:rPr>
              <w:t>保护</w:t>
            </w:r>
            <w:r>
              <w:rPr>
                <w:rFonts w:ascii="Times New Roman" w:hAnsi="Arial" w:eastAsia="宋体" w:cs="Times New Roman"/>
                <w:bCs/>
                <w:sz w:val="24"/>
                <w:szCs w:val="24"/>
              </w:rPr>
              <w:t>措施，包括系统安全机制、数据存取权限控制和数据存储加密机制等。</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3</w:t>
            </w:r>
            <w:r>
              <w:rPr>
                <w:rFonts w:hint="eastAsia" w:ascii="Times New Roman" w:hAnsi="Times New Roman" w:eastAsia="宋体" w:cs="Times New Roman"/>
                <w:bCs/>
                <w:sz w:val="24"/>
                <w:szCs w:val="24"/>
                <w:lang w:eastAsia="zh-CN"/>
              </w:rPr>
              <w:t>.</w:t>
            </w:r>
            <w:r>
              <w:rPr>
                <w:rFonts w:ascii="Times New Roman" w:hAnsi="Times New Roman" w:eastAsia="宋体" w:cs="Times New Roman"/>
                <w:bCs/>
                <w:sz w:val="24"/>
                <w:szCs w:val="24"/>
              </w:rPr>
              <w:t xml:space="preserve"> </w:t>
            </w:r>
            <w:r>
              <w:rPr>
                <w:rFonts w:ascii="Times New Roman" w:hAnsi="Arial" w:eastAsia="宋体" w:cs="Times New Roman"/>
                <w:bCs/>
                <w:sz w:val="24"/>
                <w:szCs w:val="24"/>
              </w:rPr>
              <w:t>在线人数和并发数要求</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在提供符合要求的硬件平台前提下，保证满足全校教职工使用且至少</w:t>
            </w:r>
            <w:r>
              <w:rPr>
                <w:rFonts w:ascii="Times New Roman" w:hAnsi="Times New Roman" w:eastAsia="宋体" w:cs="Times New Roman"/>
                <w:bCs/>
                <w:sz w:val="24"/>
                <w:szCs w:val="24"/>
              </w:rPr>
              <w:t>2000</w:t>
            </w:r>
            <w:r>
              <w:rPr>
                <w:rFonts w:hint="eastAsia" w:ascii="Times New Roman" w:hAnsi="Times New Roman" w:eastAsia="宋体" w:cs="Times New Roman"/>
                <w:bCs/>
                <w:sz w:val="24"/>
                <w:szCs w:val="24"/>
                <w:lang w:eastAsia="zh-CN"/>
              </w:rPr>
              <w:t>人</w:t>
            </w:r>
            <w:r>
              <w:rPr>
                <w:rFonts w:ascii="Times New Roman" w:hAnsi="Arial" w:eastAsia="宋体" w:cs="Times New Roman"/>
                <w:bCs/>
                <w:sz w:val="24"/>
                <w:szCs w:val="24"/>
              </w:rPr>
              <w:t>以上用户同时在线、峰值至少</w:t>
            </w:r>
            <w:r>
              <w:rPr>
                <w:rFonts w:ascii="Times New Roman" w:hAnsi="Times New Roman" w:eastAsia="宋体" w:cs="Times New Roman"/>
                <w:bCs/>
                <w:sz w:val="24"/>
                <w:szCs w:val="24"/>
              </w:rPr>
              <w:t>1000</w:t>
            </w:r>
            <w:r>
              <w:rPr>
                <w:rFonts w:ascii="Times New Roman" w:hAnsi="Arial" w:eastAsia="宋体" w:cs="Times New Roman"/>
                <w:bCs/>
                <w:sz w:val="24"/>
                <w:szCs w:val="24"/>
              </w:rPr>
              <w:t>人并发操作的情况下，实现系统</w:t>
            </w:r>
            <w:r>
              <w:rPr>
                <w:rFonts w:ascii="Times New Roman" w:hAnsi="Times New Roman" w:eastAsia="宋体" w:cs="Times New Roman"/>
                <w:bCs/>
                <w:sz w:val="24"/>
                <w:szCs w:val="24"/>
              </w:rPr>
              <w:t>7*24</w:t>
            </w:r>
            <w:r>
              <w:rPr>
                <w:rFonts w:ascii="Times New Roman" w:hAnsi="Arial" w:eastAsia="宋体" w:cs="Times New Roman"/>
                <w:bCs/>
                <w:sz w:val="24"/>
                <w:szCs w:val="24"/>
              </w:rPr>
              <w:t>小时的稳定运行；</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4</w:t>
            </w:r>
            <w:r>
              <w:rPr>
                <w:rFonts w:hint="eastAsia" w:ascii="Times New Roman" w:hAnsi="Times New Roman" w:eastAsia="宋体" w:cs="Times New Roman"/>
                <w:bCs/>
                <w:sz w:val="24"/>
                <w:szCs w:val="24"/>
                <w:lang w:eastAsia="zh-CN"/>
              </w:rPr>
              <w:t>.</w:t>
            </w:r>
            <w:r>
              <w:rPr>
                <w:rFonts w:ascii="Times New Roman" w:hAnsi="Times New Roman" w:eastAsia="宋体" w:cs="Times New Roman"/>
                <w:bCs/>
                <w:sz w:val="24"/>
                <w:szCs w:val="24"/>
              </w:rPr>
              <w:t xml:space="preserve"> </w:t>
            </w:r>
            <w:r>
              <w:rPr>
                <w:rFonts w:ascii="Times New Roman" w:hAnsi="Arial" w:eastAsia="宋体" w:cs="Times New Roman"/>
                <w:bCs/>
                <w:sz w:val="24"/>
                <w:szCs w:val="24"/>
              </w:rPr>
              <w:t>响应要求</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系统要求终端用户登录页面的操作响应时间应</w:t>
            </w:r>
            <w:r>
              <w:rPr>
                <w:rFonts w:ascii="Times New Roman" w:hAnsi="Times New Roman" w:eastAsia="宋体" w:cs="Times New Roman"/>
                <w:bCs/>
                <w:sz w:val="24"/>
                <w:szCs w:val="24"/>
              </w:rPr>
              <w:t>≤1</w:t>
            </w:r>
            <w:r>
              <w:rPr>
                <w:rFonts w:ascii="Times New Roman" w:hAnsi="Arial" w:eastAsia="宋体" w:cs="Times New Roman"/>
                <w:bCs/>
                <w:sz w:val="24"/>
                <w:szCs w:val="24"/>
              </w:rPr>
              <w:t>秒</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在并发查询量少于</w:t>
            </w:r>
            <w:r>
              <w:rPr>
                <w:rFonts w:ascii="Times New Roman" w:hAnsi="Times New Roman" w:eastAsia="宋体" w:cs="Times New Roman"/>
                <w:bCs/>
                <w:sz w:val="24"/>
                <w:szCs w:val="24"/>
              </w:rPr>
              <w:t>300</w:t>
            </w:r>
            <w:r>
              <w:rPr>
                <w:rFonts w:ascii="Times New Roman" w:hAnsi="Arial" w:eastAsia="宋体" w:cs="Times New Roman"/>
                <w:bCs/>
                <w:sz w:val="24"/>
                <w:szCs w:val="24"/>
              </w:rPr>
              <w:t>人时，业务操作页面操作响应时间应</w:t>
            </w:r>
            <w:r>
              <w:rPr>
                <w:rFonts w:ascii="Times New Roman" w:hAnsi="Times New Roman" w:eastAsia="宋体" w:cs="Times New Roman"/>
                <w:bCs/>
                <w:sz w:val="24"/>
                <w:szCs w:val="24"/>
              </w:rPr>
              <w:t>≤1</w:t>
            </w:r>
            <w:r>
              <w:rPr>
                <w:rFonts w:ascii="Times New Roman" w:hAnsi="Arial" w:eastAsia="宋体" w:cs="Times New Roman"/>
                <w:bCs/>
                <w:sz w:val="24"/>
                <w:szCs w:val="24"/>
              </w:rPr>
              <w:t>秒</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在并发查询量少于</w:t>
            </w:r>
            <w:r>
              <w:rPr>
                <w:rFonts w:ascii="Times New Roman" w:hAnsi="Times New Roman" w:eastAsia="宋体" w:cs="Times New Roman"/>
                <w:bCs/>
                <w:sz w:val="24"/>
                <w:szCs w:val="24"/>
              </w:rPr>
              <w:t>1000</w:t>
            </w:r>
            <w:r>
              <w:rPr>
                <w:rFonts w:ascii="Times New Roman" w:hAnsi="Arial" w:eastAsia="宋体" w:cs="Times New Roman"/>
                <w:bCs/>
                <w:sz w:val="24"/>
                <w:szCs w:val="24"/>
              </w:rPr>
              <w:t>人时，业务操作页面操作响应时间应</w:t>
            </w:r>
            <w:r>
              <w:rPr>
                <w:rFonts w:ascii="Times New Roman" w:hAnsi="Times New Roman" w:eastAsia="宋体" w:cs="Times New Roman"/>
                <w:bCs/>
                <w:sz w:val="24"/>
                <w:szCs w:val="24"/>
              </w:rPr>
              <w:t>≤2</w:t>
            </w:r>
            <w:r>
              <w:rPr>
                <w:rFonts w:ascii="Times New Roman" w:hAnsi="Arial" w:eastAsia="宋体" w:cs="Times New Roman"/>
                <w:bCs/>
                <w:sz w:val="24"/>
                <w:szCs w:val="24"/>
              </w:rPr>
              <w:t>秒</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在并发查询量少于</w:t>
            </w:r>
            <w:r>
              <w:rPr>
                <w:rFonts w:ascii="Times New Roman" w:hAnsi="Times New Roman" w:eastAsia="宋体" w:cs="Times New Roman"/>
                <w:bCs/>
                <w:sz w:val="24"/>
                <w:szCs w:val="24"/>
              </w:rPr>
              <w:t>2000</w:t>
            </w:r>
            <w:r>
              <w:rPr>
                <w:rFonts w:ascii="Times New Roman" w:hAnsi="Arial" w:eastAsia="宋体" w:cs="Times New Roman"/>
                <w:bCs/>
                <w:sz w:val="24"/>
                <w:szCs w:val="24"/>
              </w:rPr>
              <w:t>人时，业务操作页面操作响应时间应</w:t>
            </w:r>
            <w:r>
              <w:rPr>
                <w:rFonts w:ascii="Times New Roman" w:hAnsi="Times New Roman" w:eastAsia="宋体" w:cs="Times New Roman"/>
                <w:bCs/>
                <w:sz w:val="24"/>
                <w:szCs w:val="24"/>
              </w:rPr>
              <w:t>≤3</w:t>
            </w:r>
            <w:r>
              <w:rPr>
                <w:rFonts w:ascii="Times New Roman" w:hAnsi="Arial" w:eastAsia="宋体" w:cs="Times New Roman"/>
                <w:bCs/>
                <w:sz w:val="24"/>
                <w:szCs w:val="24"/>
              </w:rPr>
              <w:t>秒。（需提供系统性能评测报告）</w:t>
            </w:r>
          </w:p>
          <w:p>
            <w:pPr>
              <w:spacing w:line="500" w:lineRule="exact"/>
              <w:rPr>
                <w:rFonts w:ascii="Times New Roman" w:hAnsi="Times New Roman" w:eastAsia="楷体_GB2312" w:cs="Times New Roman"/>
                <w:bCs/>
                <w:sz w:val="24"/>
                <w:szCs w:val="24"/>
              </w:rPr>
            </w:pPr>
            <w:r>
              <w:rPr>
                <w:rFonts w:ascii="Times New Roman" w:hAnsi="楷体_GB2312" w:eastAsia="楷体_GB2312" w:cs="Times New Roman"/>
                <w:bCs/>
                <w:sz w:val="24"/>
                <w:szCs w:val="24"/>
              </w:rPr>
              <w:t>（三）主要功能要求</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1</w:t>
            </w:r>
            <w:r>
              <w:rPr>
                <w:rFonts w:hint="eastAsia" w:ascii="Times New Roman" w:hAnsi="Times New Roman" w:eastAsia="宋体" w:cs="Times New Roman"/>
                <w:bCs/>
                <w:sz w:val="24"/>
                <w:szCs w:val="24"/>
                <w:lang w:eastAsia="zh-CN"/>
              </w:rPr>
              <w:t>.</w:t>
            </w:r>
            <w:r>
              <w:rPr>
                <w:rFonts w:ascii="Times New Roman" w:hAnsi="Times New Roman" w:eastAsia="宋体" w:cs="Times New Roman"/>
                <w:bCs/>
                <w:sz w:val="24"/>
                <w:szCs w:val="24"/>
              </w:rPr>
              <w:t xml:space="preserve"> </w:t>
            </w:r>
            <w:r>
              <w:rPr>
                <w:rFonts w:ascii="Times New Roman" w:hAnsi="Arial" w:eastAsia="宋体" w:cs="Times New Roman"/>
                <w:bCs/>
                <w:sz w:val="24"/>
                <w:szCs w:val="24"/>
              </w:rPr>
              <w:t>组织机构管理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）系统基于学校机构改革调整方案，按分级分类管理原则，建立学校组织架构（要求组织架构不限层级），生成可视化的组织机构图；</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系统支持对全校组织机构的统一管理（含无行政级别实体机构和虚拟组织），采用机构编码方式标识机构唯一性，提供组织机构的新建、撤销、合并、划转、调整等功能，可根据机构管理审批流程或组织机构调整文件（支持以附件形式上传文件），完成组织机构及所属人员的变更；</w:t>
            </w:r>
          </w:p>
          <w:p>
            <w:pPr>
              <w:numPr>
                <w:ilvl w:val="0"/>
                <w:numId w:val="18"/>
              </w:num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系统记录组织机构的类型、创建时间、级别等详细信息，组织机构调整时，自动更新或提示更新相关人员的所属机构；</w:t>
            </w:r>
          </w:p>
          <w:p>
            <w:pPr>
              <w:spacing w:line="500" w:lineRule="exact"/>
              <w:ind w:firstLine="480" w:firstLineChars="200"/>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4</w:t>
            </w:r>
            <w:r>
              <w:rPr>
                <w:rFonts w:ascii="Times New Roman" w:hAnsi="Arial" w:eastAsia="宋体" w:cs="Times New Roman"/>
                <w:bCs/>
                <w:sz w:val="24"/>
                <w:szCs w:val="24"/>
              </w:rPr>
              <w:t>）组织机构撤销前，系统应强制约束</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先调整全部人员所属</w:t>
            </w:r>
            <w:r>
              <w:rPr>
                <w:rFonts w:hint="eastAsia" w:ascii="Times New Roman" w:hAnsi="Arial" w:eastAsia="宋体" w:cs="Times New Roman"/>
                <w:bCs/>
                <w:sz w:val="24"/>
                <w:szCs w:val="24"/>
              </w:rPr>
              <w:t>新</w:t>
            </w:r>
            <w:r>
              <w:rPr>
                <w:rFonts w:ascii="Times New Roman" w:hAnsi="Arial" w:eastAsia="宋体" w:cs="Times New Roman"/>
                <w:bCs/>
                <w:sz w:val="24"/>
                <w:szCs w:val="24"/>
              </w:rPr>
              <w:t>机构后再允许撤销该机构</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w:t>
            </w:r>
          </w:p>
          <w:p>
            <w:pPr>
              <w:spacing w:line="500" w:lineRule="exact"/>
              <w:ind w:firstLine="480" w:firstLineChars="200"/>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5</w:t>
            </w:r>
            <w:r>
              <w:rPr>
                <w:rFonts w:ascii="Times New Roman" w:hAnsi="Arial" w:eastAsia="宋体" w:cs="Times New Roman"/>
                <w:bCs/>
                <w:sz w:val="24"/>
                <w:szCs w:val="24"/>
              </w:rPr>
              <w:t>）系统生成人员机构图，可展示任意机构结点下的子机构类型、名称、人数等，</w:t>
            </w:r>
            <w:r>
              <w:rPr>
                <w:rFonts w:hint="eastAsia" w:ascii="Times New Roman" w:hAnsi="Arial" w:eastAsia="宋体" w:cs="Times New Roman"/>
                <w:bCs/>
                <w:sz w:val="24"/>
                <w:szCs w:val="24"/>
              </w:rPr>
              <w:t>并伴随显示</w:t>
            </w:r>
            <w:r>
              <w:rPr>
                <w:rFonts w:ascii="Times New Roman" w:hAnsi="Arial" w:eastAsia="宋体" w:cs="Times New Roman"/>
                <w:bCs/>
                <w:sz w:val="24"/>
                <w:szCs w:val="24"/>
              </w:rPr>
              <w:t>机构中人员的基本信息和照片，支持穿透至人员详细信息；</w:t>
            </w:r>
          </w:p>
          <w:p>
            <w:pPr>
              <w:spacing w:line="500" w:lineRule="exact"/>
              <w:ind w:firstLine="492" w:firstLineChars="176"/>
              <w:rPr>
                <w:rFonts w:hint="eastAsia" w:ascii="Times New Roman" w:hAnsi="Arial"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6</w:t>
            </w:r>
            <w:r>
              <w:rPr>
                <w:rFonts w:ascii="Times New Roman" w:hAnsi="Arial" w:eastAsia="宋体" w:cs="Times New Roman"/>
                <w:bCs/>
                <w:sz w:val="24"/>
                <w:szCs w:val="24"/>
              </w:rPr>
              <w:t>）系统要求维护组织机构历史数据，支持组织机构的演变查询，自动生成人员的任职历史数据，具有数据快照功能</w:t>
            </w:r>
            <w:r>
              <w:rPr>
                <w:rFonts w:hint="eastAsia" w:ascii="Times New Roman" w:hAnsi="Arial" w:eastAsia="宋体" w:cs="Times New Roman"/>
                <w:bCs/>
                <w:sz w:val="24"/>
                <w:szCs w:val="24"/>
              </w:rPr>
              <w:t>，</w:t>
            </w:r>
            <w:r>
              <w:rPr>
                <w:rFonts w:ascii="Times New Roman" w:hAnsi="Arial" w:eastAsia="宋体" w:cs="Times New Roman"/>
                <w:bCs/>
                <w:sz w:val="24"/>
                <w:szCs w:val="24"/>
              </w:rPr>
              <w:t>可以将特定时点</w:t>
            </w:r>
            <w:r>
              <w:rPr>
                <w:rFonts w:hint="eastAsia" w:ascii="Times New Roman" w:hAnsi="Arial" w:eastAsia="宋体" w:cs="Times New Roman"/>
                <w:bCs/>
                <w:sz w:val="24"/>
                <w:szCs w:val="24"/>
              </w:rPr>
              <w:t>下的</w:t>
            </w:r>
            <w:r>
              <w:rPr>
                <w:rFonts w:ascii="Times New Roman" w:hAnsi="Arial" w:eastAsia="宋体" w:cs="Times New Roman"/>
                <w:bCs/>
                <w:sz w:val="24"/>
                <w:szCs w:val="24"/>
              </w:rPr>
              <w:t>组织机构</w:t>
            </w:r>
            <w:r>
              <w:rPr>
                <w:rFonts w:hint="eastAsia" w:ascii="Times New Roman" w:hAnsi="Arial" w:eastAsia="宋体" w:cs="Times New Roman"/>
                <w:bCs/>
                <w:sz w:val="24"/>
                <w:szCs w:val="24"/>
              </w:rPr>
              <w:t>和</w:t>
            </w:r>
            <w:r>
              <w:rPr>
                <w:rFonts w:ascii="Times New Roman" w:hAnsi="Arial" w:eastAsia="宋体" w:cs="Times New Roman"/>
                <w:bCs/>
                <w:sz w:val="24"/>
                <w:szCs w:val="24"/>
              </w:rPr>
              <w:t>人员数据以快照方式进行存储，支持不同时点数据的</w:t>
            </w:r>
            <w:r>
              <w:rPr>
                <w:rFonts w:hint="eastAsia" w:ascii="Times New Roman" w:hAnsi="Arial" w:eastAsia="宋体" w:cs="Times New Roman"/>
                <w:bCs/>
                <w:sz w:val="24"/>
                <w:szCs w:val="24"/>
              </w:rPr>
              <w:t>查看和</w:t>
            </w:r>
            <w:r>
              <w:rPr>
                <w:rFonts w:ascii="Times New Roman" w:hAnsi="Arial" w:eastAsia="宋体" w:cs="Times New Roman"/>
                <w:bCs/>
                <w:sz w:val="24"/>
                <w:szCs w:val="24"/>
              </w:rPr>
              <w:t>对比分析</w:t>
            </w:r>
            <w:r>
              <w:rPr>
                <w:rFonts w:hint="eastAsia" w:ascii="Times New Roman" w:hAnsi="Arial" w:eastAsia="宋体" w:cs="Times New Roman"/>
                <w:bCs/>
                <w:sz w:val="24"/>
                <w:szCs w:val="24"/>
              </w:rPr>
              <w:t>，</w:t>
            </w:r>
            <w:r>
              <w:rPr>
                <w:rFonts w:ascii="Times New Roman" w:hAnsi="Arial" w:eastAsia="宋体" w:cs="Times New Roman"/>
                <w:bCs/>
                <w:sz w:val="24"/>
                <w:szCs w:val="24"/>
              </w:rPr>
              <w:t>要求</w:t>
            </w:r>
            <w:r>
              <w:rPr>
                <w:rFonts w:hint="eastAsia" w:ascii="Times New Roman" w:hAnsi="Arial" w:eastAsia="宋体" w:cs="Times New Roman"/>
                <w:bCs/>
                <w:sz w:val="24"/>
                <w:szCs w:val="24"/>
                <w:lang w:eastAsia="zh-CN"/>
              </w:rPr>
              <w:t>进行</w:t>
            </w:r>
            <w:r>
              <w:rPr>
                <w:rFonts w:ascii="Times New Roman" w:hAnsi="Arial" w:eastAsia="宋体" w:cs="Times New Roman"/>
                <w:bCs/>
                <w:sz w:val="24"/>
                <w:szCs w:val="24"/>
              </w:rPr>
              <w:t>时点操作</w:t>
            </w:r>
            <w:r>
              <w:rPr>
                <w:rFonts w:hint="eastAsia" w:ascii="Times New Roman" w:hAnsi="Arial" w:eastAsia="宋体" w:cs="Times New Roman"/>
                <w:bCs/>
                <w:sz w:val="24"/>
                <w:szCs w:val="24"/>
                <w:lang w:eastAsia="zh-CN"/>
              </w:rPr>
              <w:t>时</w:t>
            </w:r>
            <w:r>
              <w:rPr>
                <w:rFonts w:ascii="Times New Roman" w:hAnsi="Arial" w:eastAsia="宋体" w:cs="Times New Roman"/>
                <w:bCs/>
                <w:sz w:val="24"/>
                <w:szCs w:val="24"/>
              </w:rPr>
              <w:t>不影响当前</w:t>
            </w:r>
            <w:r>
              <w:rPr>
                <w:rFonts w:hint="eastAsia" w:ascii="Times New Roman" w:hAnsi="Arial" w:eastAsia="宋体" w:cs="Times New Roman"/>
                <w:bCs/>
                <w:sz w:val="24"/>
                <w:szCs w:val="24"/>
                <w:lang w:eastAsia="zh-CN"/>
              </w:rPr>
              <w:t>的</w:t>
            </w:r>
            <w:r>
              <w:rPr>
                <w:rFonts w:ascii="Times New Roman" w:hAnsi="Arial" w:eastAsia="宋体" w:cs="Times New Roman"/>
                <w:bCs/>
                <w:sz w:val="24"/>
                <w:szCs w:val="24"/>
              </w:rPr>
              <w:t>机构和人员状态。</w:t>
            </w:r>
          </w:p>
          <w:p>
            <w:pPr>
              <w:numPr>
                <w:ilvl w:val="0"/>
                <w:numId w:val="19"/>
              </w:num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岗位体系管理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w:t>
            </w:r>
            <w:r>
              <w:rPr>
                <w:rFonts w:hint="eastAsia" w:ascii="Times New Roman" w:hAnsi="Arial" w:eastAsia="宋体" w:cs="Times New Roman"/>
                <w:bCs/>
                <w:sz w:val="24"/>
                <w:szCs w:val="24"/>
                <w:lang w:eastAsia="zh-CN"/>
              </w:rPr>
              <w:t>根据</w:t>
            </w:r>
            <w:r>
              <w:rPr>
                <w:rFonts w:ascii="Times New Roman" w:hAnsi="Arial" w:eastAsia="宋体" w:cs="Times New Roman"/>
                <w:bCs/>
                <w:sz w:val="24"/>
                <w:szCs w:val="24"/>
              </w:rPr>
              <w:t>学校岗位管理实际，系统中</w:t>
            </w:r>
            <w:r>
              <w:rPr>
                <w:rFonts w:hint="eastAsia" w:ascii="Times New Roman" w:hAnsi="Arial" w:eastAsia="宋体" w:cs="Times New Roman"/>
                <w:bCs/>
                <w:sz w:val="24"/>
                <w:szCs w:val="24"/>
                <w:lang w:eastAsia="zh-CN"/>
              </w:rPr>
              <w:t>需</w:t>
            </w:r>
            <w:r>
              <w:rPr>
                <w:rFonts w:ascii="Times New Roman" w:hAnsi="Arial" w:eastAsia="宋体" w:cs="Times New Roman"/>
                <w:bCs/>
                <w:sz w:val="24"/>
                <w:szCs w:val="24"/>
              </w:rPr>
              <w:t>建立岗位类别、级别、名称等完整的岗位体系；</w:t>
            </w:r>
          </w:p>
          <w:p>
            <w:pPr>
              <w:spacing w:line="500" w:lineRule="exact"/>
              <w:ind w:firstLine="422" w:firstLineChars="176"/>
              <w:rPr>
                <w:rFonts w:hint="eastAsia" w:ascii="Times New Roman" w:hAnsi="Arial" w:eastAsia="宋体" w:cs="Times New Roman"/>
                <w:bCs/>
                <w:sz w:val="24"/>
                <w:szCs w:val="24"/>
                <w:lang w:eastAsia="zh-CN"/>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系统支持岗位分类管理和分级考核，系统内置人力资源和社会保障部颁布的国家标准指标体系、教育部颁布的教育管理基础代码、高等学校管理信息标准等，存储岗位基本信息（含岗位名称、编号、类别、定员人数等）、岗位说明（含岗位职责、权限等）、考核标准（含考核内容、周期等）、任职资格（含年龄、学历、职称要求等）等</w:t>
            </w:r>
            <w:r>
              <w:rPr>
                <w:rFonts w:hint="eastAsia" w:ascii="Times New Roman" w:hAnsi="Arial" w:eastAsia="宋体" w:cs="Times New Roman"/>
                <w:bCs/>
                <w:sz w:val="24"/>
                <w:szCs w:val="24"/>
                <w:lang w:eastAsia="zh-CN"/>
              </w:rPr>
              <w:t>；</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）系统提供岗位体系调整维护功能，可根据发文新增岗位并完善岗位信息，或根据审批流程自动更新岗位信息；</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4</w:t>
            </w:r>
            <w:r>
              <w:rPr>
                <w:rFonts w:ascii="Times New Roman" w:hAnsi="Arial" w:eastAsia="宋体" w:cs="Times New Roman"/>
                <w:bCs/>
                <w:sz w:val="24"/>
                <w:szCs w:val="24"/>
              </w:rPr>
              <w:t>）系统提供可视化的岗位信息展示功能，可直观展现岗位的基本信息、任职资格、岗位职责等，支持以</w:t>
            </w:r>
            <w:r>
              <w:rPr>
                <w:rFonts w:ascii="Times New Roman" w:hAnsi="Times New Roman" w:eastAsia="宋体" w:cs="Times New Roman"/>
                <w:bCs/>
                <w:sz w:val="24"/>
                <w:szCs w:val="24"/>
              </w:rPr>
              <w:t>Excel</w:t>
            </w:r>
            <w:r>
              <w:rPr>
                <w:rFonts w:ascii="Times New Roman" w:hAnsi="Arial" w:eastAsia="宋体" w:cs="Times New Roman"/>
                <w:bCs/>
                <w:sz w:val="24"/>
                <w:szCs w:val="24"/>
              </w:rPr>
              <w:t>、</w:t>
            </w:r>
            <w:r>
              <w:rPr>
                <w:rFonts w:ascii="Times New Roman" w:hAnsi="Times New Roman" w:eastAsia="宋体" w:cs="Times New Roman"/>
                <w:bCs/>
                <w:sz w:val="24"/>
                <w:szCs w:val="24"/>
              </w:rPr>
              <w:t>Word</w:t>
            </w:r>
            <w:r>
              <w:rPr>
                <w:rFonts w:ascii="Times New Roman" w:hAnsi="Arial" w:eastAsia="宋体" w:cs="Times New Roman"/>
                <w:bCs/>
                <w:sz w:val="24"/>
                <w:szCs w:val="24"/>
              </w:rPr>
              <w:t>、</w:t>
            </w:r>
            <w:r>
              <w:rPr>
                <w:rFonts w:ascii="Times New Roman" w:hAnsi="Times New Roman" w:eastAsia="宋体" w:cs="Times New Roman"/>
                <w:bCs/>
                <w:sz w:val="24"/>
                <w:szCs w:val="24"/>
              </w:rPr>
              <w:t>PDF</w:t>
            </w:r>
            <w:r>
              <w:rPr>
                <w:rFonts w:ascii="Times New Roman" w:hAnsi="Arial" w:eastAsia="宋体" w:cs="Times New Roman"/>
                <w:bCs/>
                <w:sz w:val="24"/>
                <w:szCs w:val="24"/>
              </w:rPr>
              <w:t>等格式的文件导出；</w:t>
            </w:r>
          </w:p>
          <w:p>
            <w:pPr>
              <w:spacing w:line="500" w:lineRule="exact"/>
              <w:ind w:firstLine="422" w:firstLineChars="176"/>
              <w:rPr>
                <w:rFonts w:ascii="Times New Roman" w:hAnsi="Arial"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5</w:t>
            </w:r>
            <w:r>
              <w:rPr>
                <w:rFonts w:ascii="Times New Roman" w:hAnsi="Arial" w:eastAsia="宋体" w:cs="Times New Roman"/>
                <w:bCs/>
                <w:sz w:val="24"/>
                <w:szCs w:val="24"/>
              </w:rPr>
              <w:t>）基于岗位体系，系统支持定义党群</w:t>
            </w:r>
            <w:r>
              <w:rPr>
                <w:rFonts w:hint="eastAsia" w:ascii="Times New Roman" w:hAnsi="Arial" w:eastAsia="宋体" w:cs="Times New Roman"/>
                <w:bCs/>
                <w:sz w:val="24"/>
                <w:szCs w:val="24"/>
              </w:rPr>
              <w:t>部门</w:t>
            </w:r>
            <w:r>
              <w:rPr>
                <w:rFonts w:ascii="Times New Roman" w:hAnsi="Arial" w:eastAsia="宋体" w:cs="Times New Roman"/>
                <w:bCs/>
                <w:sz w:val="24"/>
                <w:szCs w:val="24"/>
              </w:rPr>
              <w:t>、行政</w:t>
            </w:r>
            <w:r>
              <w:rPr>
                <w:rFonts w:hint="eastAsia" w:ascii="Times New Roman" w:hAnsi="Arial" w:eastAsia="宋体" w:cs="Times New Roman"/>
                <w:bCs/>
                <w:sz w:val="24"/>
                <w:szCs w:val="24"/>
              </w:rPr>
              <w:t>部门</w:t>
            </w:r>
            <w:r>
              <w:rPr>
                <w:rFonts w:ascii="Times New Roman" w:hAnsi="Arial" w:eastAsia="宋体" w:cs="Times New Roman"/>
                <w:bCs/>
                <w:sz w:val="24"/>
                <w:szCs w:val="24"/>
              </w:rPr>
              <w:t>或业务</w:t>
            </w:r>
            <w:r>
              <w:rPr>
                <w:rFonts w:hint="eastAsia" w:ascii="Times New Roman" w:hAnsi="Arial" w:eastAsia="宋体" w:cs="Times New Roman"/>
                <w:bCs/>
                <w:sz w:val="24"/>
                <w:szCs w:val="24"/>
              </w:rPr>
              <w:t>部门之间或者内部</w:t>
            </w:r>
            <w:r>
              <w:rPr>
                <w:rFonts w:ascii="Times New Roman" w:hAnsi="Arial" w:eastAsia="宋体" w:cs="Times New Roman"/>
                <w:bCs/>
                <w:sz w:val="24"/>
                <w:szCs w:val="24"/>
              </w:rPr>
              <w:t>的汇报关系，作为业务处理中流程审批及数据流转的依据。</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3</w:t>
            </w:r>
            <w:r>
              <w:rPr>
                <w:rFonts w:hint="eastAsia" w:ascii="Times New Roman" w:hAnsi="Times New Roman" w:eastAsia="宋体" w:cs="Times New Roman"/>
                <w:bCs/>
                <w:sz w:val="24"/>
                <w:szCs w:val="24"/>
                <w:lang w:eastAsia="zh-CN"/>
              </w:rPr>
              <w:t>.</w:t>
            </w:r>
            <w:r>
              <w:rPr>
                <w:rFonts w:ascii="Times New Roman" w:hAnsi="Times New Roman" w:eastAsia="宋体" w:cs="Times New Roman"/>
                <w:bCs/>
                <w:sz w:val="24"/>
                <w:szCs w:val="24"/>
              </w:rPr>
              <w:t xml:space="preserve"> </w:t>
            </w:r>
            <w:r>
              <w:rPr>
                <w:rFonts w:ascii="Times New Roman" w:hAnsi="Arial" w:eastAsia="宋体" w:cs="Times New Roman"/>
                <w:bCs/>
                <w:sz w:val="24"/>
                <w:szCs w:val="24"/>
              </w:rPr>
              <w:t>编制管理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）系统支持编制控制管理，包括强制控制、预警控制，数量控制、比例控制，年度控制、按月控制等；</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系统支持编制及编制数审批，建立编制信息体系，记录各维度的编制、实有人员、超缺编等情况，当实有人数达到或超出编制阈值时（即由于人员入职报到或内部岗位变动产生超编情况），系统可自动报警，也可限制人员调入或转任等相关操作；</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）系统支持岗位编制类报表的生成，对接人力资源和社会保障部、教育部、统计局等数据采集上报要求，完成报表数据计算。</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4</w:t>
            </w:r>
            <w:r>
              <w:rPr>
                <w:rFonts w:ascii="Times New Roman" w:hAnsi="Arial" w:eastAsia="宋体" w:cs="Times New Roman"/>
                <w:bCs/>
                <w:sz w:val="24"/>
                <w:szCs w:val="24"/>
              </w:rPr>
              <w:t>）基于机构、岗位、编制等情况，系统支持</w:t>
            </w:r>
            <w:r>
              <w:rPr>
                <w:rFonts w:hint="eastAsia" w:ascii="Times New Roman" w:hAnsi="Arial" w:eastAsia="宋体" w:cs="Times New Roman"/>
                <w:bCs/>
                <w:sz w:val="24"/>
                <w:szCs w:val="24"/>
                <w:lang w:eastAsia="zh-CN"/>
              </w:rPr>
              <w:t>以</w:t>
            </w:r>
            <w:r>
              <w:rPr>
                <w:rFonts w:ascii="Times New Roman" w:hAnsi="Arial" w:eastAsia="宋体" w:cs="Times New Roman"/>
                <w:bCs/>
                <w:sz w:val="24"/>
                <w:szCs w:val="24"/>
              </w:rPr>
              <w:t>可视化方式展现各机构人员岗位配置情况。</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4</w:t>
            </w:r>
            <w:r>
              <w:rPr>
                <w:rFonts w:hint="eastAsia" w:ascii="Times New Roman" w:hAnsi="Times New Roman" w:eastAsia="宋体" w:cs="Times New Roman"/>
                <w:bCs/>
                <w:sz w:val="24"/>
                <w:szCs w:val="24"/>
                <w:lang w:eastAsia="zh-CN"/>
              </w:rPr>
              <w:t>.</w:t>
            </w:r>
            <w:r>
              <w:rPr>
                <w:rFonts w:ascii="Times New Roman" w:hAnsi="Times New Roman" w:eastAsia="宋体" w:cs="Times New Roman"/>
                <w:bCs/>
                <w:sz w:val="24"/>
                <w:szCs w:val="24"/>
              </w:rPr>
              <w:t xml:space="preserve"> </w:t>
            </w:r>
            <w:r>
              <w:rPr>
                <w:rFonts w:ascii="Times New Roman" w:hAnsi="Arial" w:eastAsia="宋体" w:cs="Times New Roman"/>
                <w:bCs/>
                <w:sz w:val="24"/>
                <w:szCs w:val="24"/>
              </w:rPr>
              <w:t>招聘管理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）系统支持招聘计划制定，可汇总院系等</w:t>
            </w:r>
            <w:r>
              <w:rPr>
                <w:rFonts w:hint="eastAsia" w:ascii="Times New Roman" w:hAnsi="Arial" w:eastAsia="宋体" w:cs="Times New Roman"/>
                <w:bCs/>
                <w:sz w:val="24"/>
                <w:szCs w:val="24"/>
              </w:rPr>
              <w:t>部门</w:t>
            </w:r>
            <w:r>
              <w:rPr>
                <w:rFonts w:ascii="Times New Roman" w:hAnsi="Arial" w:eastAsia="宋体" w:cs="Times New Roman"/>
                <w:bCs/>
                <w:sz w:val="24"/>
                <w:szCs w:val="24"/>
              </w:rPr>
              <w:t>招聘计划，根据岗位和编制情况，生成学校年度招聘计划，并将具体的招聘计划和指标分发至各院系；</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）系统支持招聘信息</w:t>
            </w:r>
            <w:r>
              <w:rPr>
                <w:rFonts w:hint="eastAsia" w:ascii="Times New Roman" w:hAnsi="Arial" w:eastAsia="宋体" w:cs="Times New Roman"/>
                <w:bCs/>
                <w:sz w:val="24"/>
                <w:szCs w:val="24"/>
              </w:rPr>
              <w:t>的</w:t>
            </w:r>
            <w:r>
              <w:rPr>
                <w:rFonts w:ascii="Times New Roman" w:hAnsi="Arial" w:eastAsia="宋体" w:cs="Times New Roman"/>
                <w:bCs/>
                <w:sz w:val="24"/>
                <w:szCs w:val="24"/>
              </w:rPr>
              <w:t>一键发布，采用统一模板定义招聘的岗位、人数、资格条件等；</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）系统支持求职者在线提交个人简历，在线审核资格（以附件形式上传佐证材料），按招聘条件直接筛选符合条件的求职者，并将招录权限下放至院系，</w:t>
            </w:r>
            <w:r>
              <w:rPr>
                <w:rFonts w:hint="eastAsia" w:ascii="Times New Roman" w:hAnsi="Arial" w:eastAsia="宋体" w:cs="Times New Roman"/>
                <w:bCs/>
                <w:sz w:val="24"/>
                <w:szCs w:val="24"/>
                <w:lang w:eastAsia="zh-CN"/>
              </w:rPr>
              <w:t>由</w:t>
            </w:r>
            <w:r>
              <w:rPr>
                <w:rFonts w:ascii="Times New Roman" w:hAnsi="Arial" w:eastAsia="宋体" w:cs="Times New Roman"/>
                <w:bCs/>
                <w:sz w:val="24"/>
                <w:szCs w:val="24"/>
              </w:rPr>
              <w:t>人力资源管理部门对招聘</w:t>
            </w:r>
            <w:r>
              <w:rPr>
                <w:rFonts w:hint="eastAsia" w:ascii="Times New Roman" w:hAnsi="Arial" w:eastAsia="宋体" w:cs="Times New Roman"/>
                <w:bCs/>
                <w:sz w:val="24"/>
                <w:szCs w:val="24"/>
                <w:lang w:eastAsia="zh-CN"/>
              </w:rPr>
              <w:t>全</w:t>
            </w:r>
            <w:r>
              <w:rPr>
                <w:rFonts w:ascii="Times New Roman" w:hAnsi="Arial" w:eastAsia="宋体" w:cs="Times New Roman"/>
                <w:bCs/>
                <w:sz w:val="24"/>
                <w:szCs w:val="24"/>
              </w:rPr>
              <w:t>流程</w:t>
            </w:r>
            <w:r>
              <w:rPr>
                <w:rFonts w:hint="eastAsia" w:ascii="Times New Roman" w:hAnsi="Arial" w:eastAsia="宋体" w:cs="Times New Roman"/>
                <w:bCs/>
                <w:sz w:val="24"/>
                <w:szCs w:val="24"/>
                <w:lang w:eastAsia="zh-CN"/>
              </w:rPr>
              <w:t>进行</w:t>
            </w:r>
            <w:r>
              <w:rPr>
                <w:rFonts w:ascii="Times New Roman" w:hAnsi="Arial" w:eastAsia="宋体" w:cs="Times New Roman"/>
                <w:bCs/>
                <w:sz w:val="24"/>
                <w:szCs w:val="24"/>
              </w:rPr>
              <w:t>实时监控；</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4</w:t>
            </w:r>
            <w:r>
              <w:rPr>
                <w:rFonts w:ascii="Times New Roman" w:hAnsi="Arial" w:eastAsia="宋体" w:cs="Times New Roman"/>
                <w:bCs/>
                <w:sz w:val="24"/>
                <w:szCs w:val="24"/>
              </w:rPr>
              <w:t>）系统支持招聘进度和录用结果的对外发布，招聘者可订阅</w:t>
            </w:r>
            <w:r>
              <w:rPr>
                <w:rFonts w:hint="eastAsia" w:ascii="Times New Roman" w:hAnsi="Arial" w:eastAsia="宋体" w:cs="Times New Roman"/>
                <w:bCs/>
                <w:sz w:val="24"/>
                <w:szCs w:val="24"/>
                <w:lang w:eastAsia="zh-CN"/>
              </w:rPr>
              <w:t>关注</w:t>
            </w:r>
            <w:r>
              <w:rPr>
                <w:rFonts w:ascii="Times New Roman" w:hAnsi="Arial" w:eastAsia="宋体" w:cs="Times New Roman"/>
                <w:bCs/>
                <w:sz w:val="24"/>
                <w:szCs w:val="24"/>
              </w:rPr>
              <w:t>或</w:t>
            </w:r>
            <w:r>
              <w:rPr>
                <w:rFonts w:hint="eastAsia" w:ascii="Times New Roman" w:hAnsi="Arial" w:eastAsia="宋体" w:cs="Times New Roman"/>
                <w:bCs/>
                <w:sz w:val="24"/>
                <w:szCs w:val="24"/>
                <w:lang w:eastAsia="zh-CN"/>
              </w:rPr>
              <w:t>直接</w:t>
            </w:r>
            <w:r>
              <w:rPr>
                <w:rFonts w:ascii="Times New Roman" w:hAnsi="Arial" w:eastAsia="宋体" w:cs="Times New Roman"/>
                <w:bCs/>
                <w:sz w:val="24"/>
                <w:szCs w:val="24"/>
              </w:rPr>
              <w:t>查看招聘信息及状态；</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5</w:t>
            </w:r>
            <w:r>
              <w:rPr>
                <w:rFonts w:ascii="Times New Roman" w:hAnsi="Arial" w:eastAsia="宋体" w:cs="Times New Roman"/>
                <w:bCs/>
                <w:sz w:val="24"/>
                <w:szCs w:val="24"/>
              </w:rPr>
              <w:t>）系统提供考试、考核及面试的组织管理功能模块，能够对考试的时间、地点、场次及人员等进行安排，并将具体安排</w:t>
            </w:r>
            <w:r>
              <w:rPr>
                <w:rFonts w:hint="eastAsia" w:ascii="Times New Roman" w:hAnsi="Arial" w:eastAsia="宋体" w:cs="Times New Roman"/>
                <w:bCs/>
                <w:sz w:val="24"/>
                <w:szCs w:val="24"/>
                <w:lang w:eastAsia="zh-CN"/>
              </w:rPr>
              <w:t>信息</w:t>
            </w:r>
            <w:r>
              <w:rPr>
                <w:rFonts w:ascii="Times New Roman" w:hAnsi="Arial" w:eastAsia="宋体" w:cs="Times New Roman"/>
                <w:bCs/>
                <w:sz w:val="24"/>
                <w:szCs w:val="24"/>
              </w:rPr>
              <w:t>直接发送给求职者；</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6</w:t>
            </w:r>
            <w:r>
              <w:rPr>
                <w:rFonts w:ascii="Times New Roman" w:hAnsi="Arial" w:eastAsia="宋体" w:cs="Times New Roman"/>
                <w:bCs/>
                <w:sz w:val="24"/>
                <w:szCs w:val="24"/>
              </w:rPr>
              <w:t>）系统要求在设定一定的</w:t>
            </w:r>
            <w:r>
              <w:rPr>
                <w:rFonts w:hint="eastAsia" w:ascii="Times New Roman" w:hAnsi="Arial" w:eastAsia="宋体" w:cs="Times New Roman"/>
                <w:bCs/>
                <w:sz w:val="24"/>
                <w:szCs w:val="24"/>
              </w:rPr>
              <w:t>筛选</w:t>
            </w:r>
            <w:r>
              <w:rPr>
                <w:rFonts w:ascii="Times New Roman" w:hAnsi="Arial" w:eastAsia="宋体" w:cs="Times New Roman"/>
                <w:bCs/>
                <w:sz w:val="24"/>
                <w:szCs w:val="24"/>
              </w:rPr>
              <w:t>条件后，</w:t>
            </w:r>
            <w:r>
              <w:rPr>
                <w:rFonts w:hint="eastAsia" w:ascii="Times New Roman" w:hAnsi="Arial" w:eastAsia="宋体" w:cs="Times New Roman"/>
                <w:bCs/>
                <w:sz w:val="24"/>
                <w:szCs w:val="24"/>
                <w:lang w:eastAsia="zh-CN"/>
              </w:rPr>
              <w:t>可</w:t>
            </w:r>
            <w:r>
              <w:rPr>
                <w:rFonts w:ascii="Times New Roman" w:hAnsi="Arial" w:eastAsia="宋体" w:cs="Times New Roman"/>
                <w:bCs/>
                <w:sz w:val="24"/>
                <w:szCs w:val="24"/>
              </w:rPr>
              <w:t>将未录用的求职者信息自动存储至储备人才库，当发布新的招聘信息时，系统通过匹配</w:t>
            </w:r>
            <w:r>
              <w:rPr>
                <w:rFonts w:hint="eastAsia" w:ascii="Times New Roman" w:hAnsi="Arial" w:eastAsia="宋体" w:cs="Times New Roman"/>
                <w:bCs/>
                <w:sz w:val="24"/>
                <w:szCs w:val="24"/>
                <w:lang w:eastAsia="zh-CN"/>
              </w:rPr>
              <w:t>自动</w:t>
            </w:r>
            <w:r>
              <w:rPr>
                <w:rFonts w:ascii="Times New Roman" w:hAnsi="Arial" w:eastAsia="宋体" w:cs="Times New Roman"/>
                <w:bCs/>
                <w:sz w:val="24"/>
                <w:szCs w:val="24"/>
              </w:rPr>
              <w:t>向储备人才库中符合条件的求职者推送招聘信息；</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7</w:t>
            </w:r>
            <w:r>
              <w:rPr>
                <w:rFonts w:ascii="Times New Roman" w:hAnsi="Arial" w:eastAsia="宋体" w:cs="Times New Roman"/>
                <w:bCs/>
                <w:sz w:val="24"/>
                <w:szCs w:val="24"/>
              </w:rPr>
              <w:t>）系统支持招聘工作总结分析，生成招聘工作总结报告，并支持招聘情况的历史数据对比；</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8</w:t>
            </w:r>
            <w:r>
              <w:rPr>
                <w:rFonts w:ascii="Times New Roman" w:hAnsi="Arial" w:eastAsia="宋体" w:cs="Times New Roman"/>
                <w:bCs/>
                <w:sz w:val="24"/>
                <w:szCs w:val="24"/>
              </w:rPr>
              <w:t>）系统支持微招聘，求职者可以通过微信直接查看招聘信息、提交个人简历、查询招聘进度等。</w:t>
            </w:r>
          </w:p>
          <w:p>
            <w:pPr>
              <w:numPr>
                <w:ilvl w:val="0"/>
                <w:numId w:val="20"/>
              </w:num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人员管理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）系统支持按人员类别（事业编制、人事代理、临聘人员等）和人员状态（在职、离退休、离职（含调动）、在职去世等）进行分类管理，</w:t>
            </w:r>
            <w:r>
              <w:rPr>
                <w:rFonts w:hint="eastAsia" w:ascii="Times New Roman" w:hAnsi="Arial" w:eastAsia="宋体" w:cs="Times New Roman"/>
                <w:bCs/>
                <w:sz w:val="24"/>
                <w:szCs w:val="24"/>
              </w:rPr>
              <w:t>支持开展</w:t>
            </w:r>
            <w:r>
              <w:rPr>
                <w:rFonts w:ascii="Times New Roman" w:hAnsi="Arial" w:eastAsia="宋体" w:cs="Times New Roman"/>
                <w:bCs/>
                <w:sz w:val="24"/>
                <w:szCs w:val="24"/>
              </w:rPr>
              <w:t>各类人员的</w:t>
            </w:r>
            <w:r>
              <w:rPr>
                <w:rFonts w:hint="eastAsia" w:ascii="Times New Roman" w:hAnsi="Arial" w:eastAsia="宋体" w:cs="Times New Roman"/>
                <w:bCs/>
                <w:sz w:val="24"/>
                <w:szCs w:val="24"/>
              </w:rPr>
              <w:t>相关</w:t>
            </w:r>
            <w:r>
              <w:rPr>
                <w:rFonts w:ascii="Times New Roman" w:hAnsi="Arial" w:eastAsia="宋体" w:cs="Times New Roman"/>
                <w:bCs/>
                <w:sz w:val="24"/>
                <w:szCs w:val="24"/>
              </w:rPr>
              <w:t>业务，</w:t>
            </w:r>
            <w:r>
              <w:rPr>
                <w:rFonts w:hint="eastAsia" w:ascii="Times New Roman" w:hAnsi="Arial" w:eastAsia="宋体" w:cs="Times New Roman"/>
                <w:bCs/>
                <w:sz w:val="24"/>
                <w:szCs w:val="24"/>
              </w:rPr>
              <w:t>将</w:t>
            </w:r>
            <w:r>
              <w:rPr>
                <w:rFonts w:ascii="Times New Roman" w:hAnsi="Arial" w:eastAsia="宋体" w:cs="Times New Roman"/>
                <w:bCs/>
                <w:sz w:val="24"/>
                <w:szCs w:val="24"/>
              </w:rPr>
              <w:t>各类型</w:t>
            </w:r>
            <w:r>
              <w:rPr>
                <w:rFonts w:hint="eastAsia" w:ascii="Times New Roman" w:hAnsi="Arial" w:eastAsia="宋体" w:cs="Times New Roman"/>
                <w:bCs/>
                <w:sz w:val="24"/>
                <w:szCs w:val="24"/>
              </w:rPr>
              <w:t>的</w:t>
            </w:r>
            <w:r>
              <w:rPr>
                <w:rFonts w:ascii="Times New Roman" w:hAnsi="Arial" w:eastAsia="宋体" w:cs="Times New Roman"/>
                <w:bCs/>
                <w:sz w:val="24"/>
                <w:szCs w:val="24"/>
              </w:rPr>
              <w:t>高层次人才纳入</w:t>
            </w:r>
            <w:r>
              <w:rPr>
                <w:rFonts w:hint="eastAsia" w:ascii="Times New Roman" w:hAnsi="Arial" w:eastAsia="宋体" w:cs="Times New Roman"/>
                <w:bCs/>
                <w:sz w:val="24"/>
                <w:szCs w:val="24"/>
              </w:rPr>
              <w:t>人才库</w:t>
            </w:r>
            <w:r>
              <w:rPr>
                <w:rFonts w:hint="eastAsia" w:ascii="Times New Roman" w:hAnsi="Arial" w:eastAsia="宋体" w:cs="Times New Roman"/>
                <w:bCs/>
                <w:sz w:val="24"/>
                <w:szCs w:val="24"/>
                <w:lang w:eastAsia="zh-CN"/>
              </w:rPr>
              <w:t>中进行</w:t>
            </w:r>
            <w:r>
              <w:rPr>
                <w:rFonts w:hint="eastAsia" w:ascii="Times New Roman" w:hAnsi="Arial" w:eastAsia="宋体" w:cs="Times New Roman"/>
                <w:bCs/>
                <w:sz w:val="24"/>
                <w:szCs w:val="24"/>
              </w:rPr>
              <w:t>管理</w:t>
            </w:r>
            <w:r>
              <w:rPr>
                <w:rFonts w:ascii="Times New Roman" w:hAnsi="Arial" w:eastAsia="宋体" w:cs="Times New Roman"/>
                <w:bCs/>
                <w:sz w:val="24"/>
                <w:szCs w:val="24"/>
              </w:rPr>
              <w:t>；</w:t>
            </w:r>
          </w:p>
          <w:p>
            <w:pPr>
              <w:spacing w:line="500" w:lineRule="exact"/>
              <w:ind w:firstLine="422" w:firstLineChars="176"/>
              <w:rPr>
                <w:rFonts w:ascii="Times New Roman" w:hAnsi="Arial" w:eastAsia="宋体" w:cs="Times New Roman"/>
                <w:bCs/>
                <w:sz w:val="24"/>
                <w:szCs w:val="24"/>
              </w:rPr>
            </w:pPr>
            <w:r>
              <w:rPr>
                <w:rFonts w:ascii="Times New Roman" w:hAnsi="Arial" w:eastAsia="宋体" w:cs="Times New Roman"/>
                <w:bCs/>
                <w:sz w:val="24"/>
                <w:szCs w:val="24"/>
              </w:rPr>
              <w:t>（2）系统支持博士后管理，根据国家博士后管理办法，</w:t>
            </w:r>
            <w:r>
              <w:rPr>
                <w:rFonts w:hint="eastAsia" w:ascii="Times New Roman" w:hAnsi="Arial" w:eastAsia="宋体" w:cs="Times New Roman"/>
                <w:bCs/>
                <w:sz w:val="24"/>
                <w:szCs w:val="24"/>
              </w:rPr>
              <w:t>开展</w:t>
            </w:r>
            <w:r>
              <w:rPr>
                <w:rFonts w:ascii="Times New Roman" w:hAnsi="Arial" w:eastAsia="宋体" w:cs="Times New Roman"/>
                <w:bCs/>
                <w:sz w:val="24"/>
                <w:szCs w:val="24"/>
              </w:rPr>
              <w:t>博士后入站资格审查、在站管理、出站审批等业务</w:t>
            </w:r>
            <w:r>
              <w:rPr>
                <w:rFonts w:hint="eastAsia" w:ascii="Times New Roman" w:hAnsi="Arial" w:eastAsia="宋体" w:cs="Times New Roman"/>
                <w:bCs/>
                <w:sz w:val="24"/>
                <w:szCs w:val="24"/>
              </w:rPr>
              <w:t>，并授权院系组织上报拟进站或出站人员名单，</w:t>
            </w:r>
            <w:r>
              <w:rPr>
                <w:rFonts w:hint="eastAsia" w:ascii="Times New Roman" w:hAnsi="Arial" w:eastAsia="宋体" w:cs="Times New Roman"/>
                <w:bCs/>
                <w:sz w:val="24"/>
                <w:szCs w:val="24"/>
                <w:lang w:eastAsia="zh-CN"/>
              </w:rPr>
              <w:t>出站的</w:t>
            </w:r>
            <w:r>
              <w:rPr>
                <w:rFonts w:hint="eastAsia" w:ascii="Times New Roman" w:hAnsi="Arial" w:eastAsia="宋体" w:cs="Times New Roman"/>
                <w:bCs/>
                <w:sz w:val="24"/>
                <w:szCs w:val="24"/>
              </w:rPr>
              <w:t>师资博士后经审核</w:t>
            </w:r>
            <w:r>
              <w:rPr>
                <w:rFonts w:hint="eastAsia" w:ascii="Times New Roman" w:hAnsi="Arial" w:eastAsia="宋体" w:cs="Times New Roman"/>
                <w:bCs/>
                <w:sz w:val="24"/>
                <w:szCs w:val="24"/>
                <w:lang w:eastAsia="zh-CN"/>
              </w:rPr>
              <w:t>后</w:t>
            </w:r>
            <w:r>
              <w:rPr>
                <w:rFonts w:hint="eastAsia" w:ascii="Times New Roman" w:hAnsi="Arial" w:eastAsia="宋体" w:cs="Times New Roman"/>
                <w:bCs/>
                <w:sz w:val="24"/>
                <w:szCs w:val="24"/>
              </w:rPr>
              <w:t>直接进入入职环节；</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）系统采用统一规范的编码，根据高等院校人力资源管理的国家标准和行业标准，对接人力资源和社会保障</w:t>
            </w:r>
            <w:r>
              <w:rPr>
                <w:rFonts w:hint="eastAsia" w:ascii="Times New Roman" w:hAnsi="Arial" w:eastAsia="宋体" w:cs="Times New Roman"/>
                <w:bCs/>
                <w:sz w:val="24"/>
                <w:szCs w:val="24"/>
                <w:lang w:eastAsia="zh-CN"/>
              </w:rPr>
              <w:t>部</w:t>
            </w:r>
            <w:r>
              <w:rPr>
                <w:rFonts w:ascii="Times New Roman" w:hAnsi="Arial" w:eastAsia="宋体" w:cs="Times New Roman"/>
                <w:bCs/>
                <w:sz w:val="24"/>
                <w:szCs w:val="24"/>
              </w:rPr>
              <w:t>、教育部、统计局等的数据采集和统计表报，建立人员基本信息数据库；</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4</w:t>
            </w:r>
            <w:r>
              <w:rPr>
                <w:rFonts w:ascii="Times New Roman" w:hAnsi="Arial" w:eastAsia="宋体" w:cs="Times New Roman"/>
                <w:bCs/>
                <w:sz w:val="24"/>
                <w:szCs w:val="24"/>
              </w:rPr>
              <w:t>）支持人员档案管理，建立人员基本信息和扩展信息的数据结构，支持照片、简历、奖励、身份证、学历学位证、教师资格证等图像资料的上传和存储，支持在线资料审核；</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5</w:t>
            </w:r>
            <w:r>
              <w:rPr>
                <w:rFonts w:ascii="Times New Roman" w:hAnsi="Arial" w:eastAsia="宋体" w:cs="Times New Roman"/>
                <w:bCs/>
                <w:sz w:val="24"/>
                <w:szCs w:val="24"/>
              </w:rPr>
              <w:t>）系统支持数据校验功能，支持唯一性约束</w:t>
            </w:r>
            <w:r>
              <w:rPr>
                <w:rFonts w:hint="eastAsia" w:ascii="Times New Roman" w:hAnsi="Arial" w:eastAsia="宋体" w:cs="Times New Roman"/>
                <w:bCs/>
                <w:sz w:val="24"/>
                <w:szCs w:val="24"/>
                <w:lang w:eastAsia="zh-CN"/>
              </w:rPr>
              <w:t>和</w:t>
            </w:r>
            <w:r>
              <w:rPr>
                <w:rFonts w:ascii="Times New Roman" w:hAnsi="Arial" w:eastAsia="宋体" w:cs="Times New Roman"/>
                <w:bCs/>
                <w:sz w:val="24"/>
                <w:szCs w:val="24"/>
              </w:rPr>
              <w:t>自定义约束</w:t>
            </w:r>
            <w:r>
              <w:rPr>
                <w:rFonts w:hint="eastAsia" w:ascii="Times New Roman" w:hAnsi="Arial" w:eastAsia="宋体" w:cs="Times New Roman"/>
                <w:bCs/>
                <w:sz w:val="24"/>
                <w:szCs w:val="24"/>
                <w:lang w:eastAsia="zh-CN"/>
              </w:rPr>
              <w:t>等</w:t>
            </w:r>
            <w:r>
              <w:rPr>
                <w:rFonts w:ascii="Times New Roman" w:hAnsi="Arial" w:eastAsia="宋体" w:cs="Times New Roman"/>
                <w:bCs/>
                <w:sz w:val="24"/>
                <w:szCs w:val="24"/>
              </w:rPr>
              <w:t>的设置，对录入内容</w:t>
            </w:r>
            <w:r>
              <w:rPr>
                <w:rFonts w:hint="eastAsia" w:ascii="Times New Roman" w:hAnsi="Arial" w:eastAsia="宋体" w:cs="Times New Roman"/>
                <w:bCs/>
                <w:sz w:val="24"/>
                <w:szCs w:val="24"/>
                <w:lang w:eastAsia="zh-CN"/>
              </w:rPr>
              <w:t>和</w:t>
            </w:r>
            <w:r>
              <w:rPr>
                <w:rFonts w:ascii="Times New Roman" w:hAnsi="Arial" w:eastAsia="宋体" w:cs="Times New Roman"/>
                <w:bCs/>
                <w:sz w:val="24"/>
                <w:szCs w:val="24"/>
              </w:rPr>
              <w:t>格式</w:t>
            </w:r>
            <w:r>
              <w:rPr>
                <w:rFonts w:hint="eastAsia" w:ascii="Times New Roman" w:hAnsi="Arial" w:eastAsia="宋体" w:cs="Times New Roman"/>
                <w:bCs/>
                <w:sz w:val="24"/>
                <w:szCs w:val="24"/>
                <w:lang w:eastAsia="zh-CN"/>
              </w:rPr>
              <w:t>等</w:t>
            </w:r>
            <w:r>
              <w:rPr>
                <w:rFonts w:ascii="Times New Roman" w:hAnsi="Arial" w:eastAsia="宋体" w:cs="Times New Roman"/>
                <w:bCs/>
                <w:sz w:val="24"/>
                <w:szCs w:val="24"/>
              </w:rPr>
              <w:t>进行合法性检查，</w:t>
            </w:r>
            <w:r>
              <w:rPr>
                <w:rFonts w:hint="eastAsia" w:ascii="Times New Roman" w:hAnsi="Arial" w:eastAsia="宋体" w:cs="Times New Roman"/>
                <w:bCs/>
                <w:sz w:val="24"/>
                <w:szCs w:val="24"/>
                <w:lang w:eastAsia="zh-CN"/>
              </w:rPr>
              <w:t>要求</w:t>
            </w:r>
            <w:r>
              <w:rPr>
                <w:rFonts w:ascii="Times New Roman" w:hAnsi="Arial" w:eastAsia="宋体" w:cs="Times New Roman"/>
                <w:bCs/>
                <w:sz w:val="24"/>
                <w:szCs w:val="24"/>
              </w:rPr>
              <w:t>内置相关函数，支持年龄、工龄等</w:t>
            </w:r>
            <w:r>
              <w:rPr>
                <w:rFonts w:hint="eastAsia" w:ascii="Times New Roman" w:hAnsi="Arial" w:eastAsia="宋体" w:cs="Times New Roman"/>
                <w:bCs/>
                <w:sz w:val="24"/>
                <w:szCs w:val="24"/>
                <w:lang w:eastAsia="zh-CN"/>
              </w:rPr>
              <w:t>数据的</w:t>
            </w:r>
            <w:r>
              <w:rPr>
                <w:rFonts w:ascii="Times New Roman" w:hAnsi="Arial" w:eastAsia="宋体" w:cs="Times New Roman"/>
                <w:bCs/>
                <w:sz w:val="24"/>
                <w:szCs w:val="24"/>
              </w:rPr>
              <w:t>自动计算；</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6</w:t>
            </w:r>
            <w:r>
              <w:rPr>
                <w:rFonts w:ascii="Times New Roman" w:hAnsi="Arial" w:eastAsia="宋体" w:cs="Times New Roman"/>
                <w:bCs/>
                <w:sz w:val="24"/>
                <w:szCs w:val="24"/>
              </w:rPr>
              <w:t>）系统支持</w:t>
            </w:r>
            <w:r>
              <w:rPr>
                <w:rFonts w:hint="eastAsia" w:ascii="Times New Roman" w:hAnsi="Arial" w:eastAsia="宋体" w:cs="Times New Roman"/>
                <w:bCs/>
                <w:sz w:val="24"/>
                <w:szCs w:val="24"/>
                <w:lang w:eastAsia="zh-CN"/>
              </w:rPr>
              <w:t>自动将业务完成后的处理结果和人员属性数据同步更新；</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7</w:t>
            </w:r>
            <w:r>
              <w:rPr>
                <w:rFonts w:ascii="Times New Roman" w:hAnsi="Arial" w:eastAsia="宋体" w:cs="Times New Roman"/>
                <w:bCs/>
                <w:sz w:val="24"/>
                <w:szCs w:val="24"/>
              </w:rPr>
              <w:t>）系统支持人员信息的批量修改和更新</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可设置</w:t>
            </w:r>
            <w:r>
              <w:rPr>
                <w:rFonts w:hint="eastAsia" w:ascii="Times New Roman" w:hAnsi="Arial" w:eastAsia="宋体" w:cs="Times New Roman"/>
                <w:bCs/>
                <w:sz w:val="24"/>
                <w:szCs w:val="24"/>
                <w:lang w:eastAsia="zh-CN"/>
              </w:rPr>
              <w:t>修改</w:t>
            </w:r>
            <w:r>
              <w:rPr>
                <w:rFonts w:ascii="Times New Roman" w:hAnsi="Arial" w:eastAsia="宋体" w:cs="Times New Roman"/>
                <w:bCs/>
                <w:sz w:val="24"/>
                <w:szCs w:val="24"/>
              </w:rPr>
              <w:t>条件</w:t>
            </w:r>
            <w:r>
              <w:rPr>
                <w:rFonts w:hint="eastAsia" w:ascii="Times New Roman" w:hAnsi="Arial" w:eastAsia="宋体" w:cs="Times New Roman"/>
                <w:bCs/>
                <w:sz w:val="24"/>
                <w:szCs w:val="24"/>
                <w:lang w:eastAsia="zh-CN"/>
              </w:rPr>
              <w:t>或者</w:t>
            </w:r>
            <w:r>
              <w:rPr>
                <w:rFonts w:ascii="Times New Roman" w:hAnsi="Arial" w:eastAsia="宋体" w:cs="Times New Roman"/>
                <w:bCs/>
                <w:sz w:val="24"/>
                <w:szCs w:val="24"/>
              </w:rPr>
              <w:t>规则，批量更新符合条件</w:t>
            </w:r>
            <w:r>
              <w:rPr>
                <w:rFonts w:hint="eastAsia" w:ascii="Times New Roman" w:hAnsi="Arial" w:eastAsia="宋体" w:cs="Times New Roman"/>
                <w:bCs/>
                <w:sz w:val="24"/>
                <w:szCs w:val="24"/>
                <w:lang w:eastAsia="zh-CN"/>
              </w:rPr>
              <w:t>的数据</w:t>
            </w:r>
            <w:r>
              <w:rPr>
                <w:rFonts w:ascii="Times New Roman" w:hAnsi="Arial" w:eastAsia="宋体" w:cs="Times New Roman"/>
                <w:bCs/>
                <w:sz w:val="24"/>
                <w:szCs w:val="24"/>
              </w:rPr>
              <w:t>项；</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8</w:t>
            </w:r>
            <w:r>
              <w:rPr>
                <w:rFonts w:ascii="Times New Roman" w:hAnsi="Arial" w:eastAsia="宋体" w:cs="Times New Roman"/>
                <w:bCs/>
                <w:sz w:val="24"/>
                <w:szCs w:val="24"/>
              </w:rPr>
              <w:t>）系统可按照片墙的方式展示人员详细信息。</w:t>
            </w:r>
          </w:p>
          <w:p>
            <w:pPr>
              <w:numPr>
                <w:ilvl w:val="0"/>
                <w:numId w:val="20"/>
              </w:num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人事调配管理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）人员入职、调动及岗位调整、离职等业务由岗位聘用办公室办理，退休由薪酬管理办公室办理，职称变动由培训发展办公室办理；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）新增入职人员可以通过扫描身份证或由招聘环节直接提供身份数据自动录入系统中；</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）支持业务流程定义，描述业务流程规则，灵活定义各种人事业务流程和申请</w:t>
            </w:r>
            <w:r>
              <w:rPr>
                <w:rFonts w:ascii="Times New Roman" w:hAnsi="Times New Roman" w:eastAsia="宋体" w:cs="Times New Roman"/>
                <w:bCs/>
                <w:sz w:val="24"/>
                <w:szCs w:val="24"/>
              </w:rPr>
              <w:t>-</w:t>
            </w:r>
            <w:r>
              <w:rPr>
                <w:rFonts w:ascii="Times New Roman" w:hAnsi="Arial" w:eastAsia="宋体" w:cs="Times New Roman"/>
                <w:bCs/>
                <w:sz w:val="24"/>
                <w:szCs w:val="24"/>
              </w:rPr>
              <w:t>审批表单，各业务可自动流转至相关</w:t>
            </w:r>
            <w:r>
              <w:rPr>
                <w:rFonts w:hint="eastAsia" w:ascii="Times New Roman" w:hAnsi="Arial" w:eastAsia="宋体" w:cs="Times New Roman"/>
                <w:bCs/>
                <w:sz w:val="24"/>
                <w:szCs w:val="24"/>
                <w:lang w:eastAsia="zh-CN"/>
              </w:rPr>
              <w:t>业务管理</w:t>
            </w:r>
            <w:r>
              <w:rPr>
                <w:rFonts w:ascii="Times New Roman" w:hAnsi="Arial" w:eastAsia="宋体" w:cs="Times New Roman"/>
                <w:bCs/>
                <w:sz w:val="24"/>
                <w:szCs w:val="24"/>
              </w:rPr>
              <w:t>人员，并提供微信、邮件、短信等方式的任务提醒通知，相关业务按序自动发起下一业务，支持业务流程监控，允许相关人员查看审批进度，</w:t>
            </w:r>
            <w:r>
              <w:rPr>
                <w:rFonts w:hint="eastAsia" w:ascii="Times New Roman" w:hAnsi="Arial" w:eastAsia="宋体" w:cs="Times New Roman"/>
                <w:bCs/>
                <w:sz w:val="24"/>
                <w:szCs w:val="24"/>
                <w:lang w:eastAsia="zh-CN"/>
              </w:rPr>
              <w:t>支持</w:t>
            </w:r>
            <w:r>
              <w:rPr>
                <w:rFonts w:ascii="Times New Roman" w:hAnsi="Arial" w:eastAsia="宋体" w:cs="Times New Roman"/>
                <w:bCs/>
                <w:sz w:val="24"/>
                <w:szCs w:val="24"/>
              </w:rPr>
              <w:t>自定义流程任务</w:t>
            </w:r>
            <w:r>
              <w:rPr>
                <w:rFonts w:hint="eastAsia" w:ascii="Times New Roman" w:hAnsi="Arial" w:eastAsia="宋体" w:cs="Times New Roman"/>
                <w:bCs/>
                <w:sz w:val="24"/>
                <w:szCs w:val="24"/>
                <w:lang w:eastAsia="zh-CN"/>
              </w:rPr>
              <w:t>的</w:t>
            </w:r>
            <w:r>
              <w:rPr>
                <w:rFonts w:ascii="Times New Roman" w:hAnsi="Arial" w:eastAsia="宋体" w:cs="Times New Roman"/>
                <w:bCs/>
                <w:sz w:val="24"/>
                <w:szCs w:val="24"/>
              </w:rPr>
              <w:t>优先级和限定时间</w:t>
            </w:r>
            <w:r>
              <w:rPr>
                <w:rFonts w:hint="eastAsia" w:ascii="Times New Roman" w:hAnsi="Arial" w:eastAsia="宋体" w:cs="Times New Roman"/>
                <w:bCs/>
                <w:sz w:val="24"/>
                <w:szCs w:val="24"/>
                <w:lang w:eastAsia="zh-CN"/>
              </w:rPr>
              <w:t>等</w:t>
            </w:r>
            <w:r>
              <w:rPr>
                <w:rFonts w:ascii="Times New Roman" w:hAnsi="Arial" w:eastAsia="宋体" w:cs="Times New Roman"/>
                <w:bCs/>
                <w:sz w:val="24"/>
                <w:szCs w:val="24"/>
              </w:rPr>
              <w:t>；</w:t>
            </w:r>
          </w:p>
          <w:p>
            <w:pPr>
              <w:spacing w:line="500" w:lineRule="exact"/>
              <w:ind w:firstLine="422" w:firstLineChars="176"/>
              <w:rPr>
                <w:rFonts w:ascii="Times New Roman" w:hAnsi="Arial" w:eastAsia="宋体" w:cs="Times New Roman"/>
                <w:bCs/>
                <w:sz w:val="24"/>
                <w:szCs w:val="24"/>
              </w:rPr>
            </w:pPr>
            <w:r>
              <w:rPr>
                <w:rFonts w:ascii="Times New Roman" w:hAnsi="Arial" w:eastAsia="宋体" w:cs="Times New Roman"/>
                <w:bCs/>
                <w:sz w:val="24"/>
                <w:szCs w:val="24"/>
              </w:rPr>
              <w:t>（4）系统支持退休业务办理，可提前半年</w:t>
            </w:r>
            <w:r>
              <w:rPr>
                <w:rFonts w:hint="eastAsia" w:ascii="Times New Roman" w:hAnsi="Arial" w:eastAsia="宋体" w:cs="Times New Roman"/>
                <w:bCs/>
                <w:sz w:val="24"/>
                <w:szCs w:val="24"/>
                <w:lang w:eastAsia="zh-CN"/>
              </w:rPr>
              <w:t>提醒</w:t>
            </w:r>
            <w:r>
              <w:rPr>
                <w:rFonts w:ascii="Times New Roman" w:hAnsi="Arial" w:eastAsia="宋体" w:cs="Times New Roman"/>
                <w:bCs/>
                <w:sz w:val="24"/>
                <w:szCs w:val="24"/>
              </w:rPr>
              <w:t>达到退休年龄的人员办理退休相关手续申报，由各单位统一上报退休人员名单，经审批后将人员状态调整为</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退休</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，并执行退休工资待遇，</w:t>
            </w:r>
            <w:r>
              <w:rPr>
                <w:rFonts w:hint="eastAsia" w:ascii="Times New Roman" w:hAnsi="Arial" w:eastAsia="宋体" w:cs="Times New Roman"/>
                <w:bCs/>
                <w:sz w:val="24"/>
                <w:szCs w:val="24"/>
                <w:lang w:eastAsia="zh-CN"/>
              </w:rPr>
              <w:t>同时</w:t>
            </w:r>
            <w:r>
              <w:rPr>
                <w:rFonts w:ascii="Times New Roman" w:hAnsi="Arial" w:eastAsia="宋体" w:cs="Times New Roman"/>
                <w:bCs/>
                <w:sz w:val="24"/>
                <w:szCs w:val="24"/>
              </w:rPr>
              <w:t>支持办理缓退</w:t>
            </w:r>
            <w:r>
              <w:rPr>
                <w:rFonts w:hint="eastAsia" w:ascii="Times New Roman" w:hAnsi="Arial" w:eastAsia="宋体" w:cs="Times New Roman"/>
                <w:bCs/>
                <w:sz w:val="24"/>
                <w:szCs w:val="24"/>
                <w:lang w:eastAsia="zh-CN"/>
              </w:rPr>
              <w:t>相关</w:t>
            </w:r>
            <w:r>
              <w:rPr>
                <w:rFonts w:ascii="Times New Roman" w:hAnsi="Arial" w:eastAsia="宋体" w:cs="Times New Roman"/>
                <w:bCs/>
                <w:sz w:val="24"/>
                <w:szCs w:val="24"/>
              </w:rPr>
              <w:t>业务；</w:t>
            </w:r>
          </w:p>
          <w:p>
            <w:pPr>
              <w:numPr>
                <w:ilvl w:val="0"/>
                <w:numId w:val="20"/>
              </w:numPr>
              <w:spacing w:line="500" w:lineRule="exact"/>
              <w:ind w:firstLine="422" w:firstLineChars="176"/>
              <w:rPr>
                <w:rFonts w:ascii="Times New Roman" w:hAnsi="Arial" w:eastAsia="宋体" w:cs="Times New Roman"/>
                <w:bCs/>
                <w:sz w:val="24"/>
                <w:szCs w:val="24"/>
              </w:rPr>
            </w:pPr>
            <w:r>
              <w:rPr>
                <w:rFonts w:ascii="Times New Roman" w:hAnsi="Arial" w:eastAsia="宋体" w:cs="Times New Roman"/>
                <w:bCs/>
                <w:sz w:val="24"/>
                <w:szCs w:val="24"/>
              </w:rPr>
              <w:t>合同管理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）系统支持合同的签订、续签、变更、终止等合同管理，提供快捷的</w:t>
            </w:r>
            <w:r>
              <w:rPr>
                <w:rFonts w:hint="eastAsia" w:ascii="Times New Roman" w:hAnsi="Arial" w:eastAsia="宋体" w:cs="Times New Roman"/>
                <w:bCs/>
                <w:sz w:val="24"/>
                <w:szCs w:val="24"/>
                <w:lang w:eastAsia="zh-CN"/>
              </w:rPr>
              <w:t>合同</w:t>
            </w:r>
            <w:r>
              <w:rPr>
                <w:rFonts w:ascii="Times New Roman" w:hAnsi="Arial" w:eastAsia="宋体" w:cs="Times New Roman"/>
                <w:bCs/>
                <w:sz w:val="24"/>
                <w:szCs w:val="24"/>
              </w:rPr>
              <w:t>审批管理，</w:t>
            </w:r>
            <w:r>
              <w:rPr>
                <w:rFonts w:hint="eastAsia" w:ascii="Times New Roman" w:hAnsi="Arial" w:eastAsia="宋体" w:cs="Times New Roman"/>
                <w:bCs/>
                <w:sz w:val="24"/>
                <w:szCs w:val="24"/>
                <w:lang w:eastAsia="zh-CN"/>
              </w:rPr>
              <w:t>要求</w:t>
            </w:r>
            <w:r>
              <w:rPr>
                <w:rFonts w:ascii="Times New Roman" w:hAnsi="Arial" w:eastAsia="宋体" w:cs="Times New Roman"/>
                <w:bCs/>
                <w:sz w:val="24"/>
                <w:szCs w:val="24"/>
              </w:rPr>
              <w:t>合同管理简单便捷；</w:t>
            </w:r>
          </w:p>
          <w:p>
            <w:pPr>
              <w:spacing w:line="500" w:lineRule="exact"/>
              <w:ind w:firstLine="422" w:firstLineChars="176"/>
              <w:rPr>
                <w:rFonts w:ascii="Times New Roman" w:hAnsi="Arial" w:eastAsia="宋体" w:cs="Times New Roman"/>
                <w:bCs/>
                <w:sz w:val="24"/>
                <w:szCs w:val="24"/>
              </w:rPr>
            </w:pPr>
            <w:r>
              <w:rPr>
                <w:rFonts w:ascii="Times New Roman" w:hAnsi="Arial" w:eastAsia="宋体" w:cs="Times New Roman"/>
                <w:bCs/>
                <w:sz w:val="24"/>
                <w:szCs w:val="24"/>
              </w:rPr>
              <w:t>（2）系统</w:t>
            </w:r>
            <w:r>
              <w:rPr>
                <w:rFonts w:hint="eastAsia" w:ascii="Times New Roman" w:hAnsi="Arial" w:eastAsia="宋体" w:cs="Times New Roman"/>
                <w:bCs/>
                <w:sz w:val="24"/>
                <w:szCs w:val="24"/>
                <w:lang w:eastAsia="zh-CN"/>
              </w:rPr>
              <w:t>可</w:t>
            </w:r>
            <w:r>
              <w:rPr>
                <w:rFonts w:ascii="Times New Roman" w:hAnsi="Arial" w:eastAsia="宋体" w:cs="Times New Roman"/>
                <w:bCs/>
                <w:sz w:val="24"/>
                <w:szCs w:val="24"/>
              </w:rPr>
              <w:t>灵活</w:t>
            </w:r>
            <w:r>
              <w:rPr>
                <w:rFonts w:hint="eastAsia" w:ascii="Times New Roman" w:hAnsi="Arial" w:eastAsia="宋体" w:cs="Times New Roman"/>
                <w:bCs/>
                <w:sz w:val="24"/>
                <w:szCs w:val="24"/>
                <w:lang w:eastAsia="zh-CN"/>
              </w:rPr>
              <w:t>设置</w:t>
            </w:r>
            <w:r>
              <w:rPr>
                <w:rFonts w:ascii="Times New Roman" w:hAnsi="Arial" w:eastAsia="宋体" w:cs="Times New Roman"/>
                <w:bCs/>
                <w:sz w:val="24"/>
                <w:szCs w:val="24"/>
              </w:rPr>
              <w:t>聘用合同、劳动合同、保密协议、培训协议等常用合同模板，</w:t>
            </w:r>
            <w:r>
              <w:rPr>
                <w:rFonts w:hint="eastAsia" w:ascii="Times New Roman" w:hAnsi="Arial" w:eastAsia="宋体" w:cs="Times New Roman"/>
                <w:bCs/>
                <w:sz w:val="24"/>
                <w:szCs w:val="24"/>
                <w:lang w:eastAsia="zh-CN"/>
              </w:rPr>
              <w:t>支持</w:t>
            </w:r>
            <w:r>
              <w:rPr>
                <w:rFonts w:ascii="Times New Roman" w:hAnsi="Arial" w:eastAsia="宋体" w:cs="Times New Roman"/>
                <w:bCs/>
                <w:sz w:val="24"/>
                <w:szCs w:val="24"/>
              </w:rPr>
              <w:t>按合同类型、签订时间、人员单位等分类管理；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）系统能够维护完整的合同信息（含合同性质、类型、起止时间、签订次数、变更原因等），形成合同台账，支持合同的新增、查看和批量打印；</w:t>
            </w:r>
          </w:p>
          <w:p>
            <w:pPr>
              <w:spacing w:line="500" w:lineRule="exact"/>
              <w:ind w:firstLine="422" w:firstLineChars="176"/>
              <w:rPr>
                <w:rFonts w:hint="eastAsia" w:ascii="Times New Roman" w:hAnsi="Times New Roman" w:eastAsia="宋体" w:cs="Times New Roman"/>
                <w:bCs/>
                <w:sz w:val="24"/>
                <w:szCs w:val="24"/>
                <w:lang w:eastAsia="zh-CN"/>
              </w:rPr>
            </w:pPr>
            <w:r>
              <w:rPr>
                <w:rFonts w:ascii="Times New Roman" w:hAnsi="Arial" w:eastAsia="宋体" w:cs="Times New Roman"/>
                <w:bCs/>
                <w:sz w:val="24"/>
                <w:szCs w:val="24"/>
              </w:rPr>
              <w:t>（</w:t>
            </w:r>
            <w:r>
              <w:rPr>
                <w:rFonts w:ascii="Times New Roman" w:hAnsi="Times New Roman" w:eastAsia="宋体" w:cs="Times New Roman"/>
                <w:bCs/>
                <w:sz w:val="24"/>
                <w:szCs w:val="24"/>
              </w:rPr>
              <w:t>4</w:t>
            </w:r>
            <w:r>
              <w:rPr>
                <w:rFonts w:ascii="Times New Roman" w:hAnsi="Arial" w:eastAsia="宋体" w:cs="Times New Roman"/>
                <w:bCs/>
                <w:sz w:val="24"/>
                <w:szCs w:val="24"/>
              </w:rPr>
              <w:t>）合同签订时，必须经相关领导</w:t>
            </w:r>
            <w:r>
              <w:rPr>
                <w:rFonts w:hint="eastAsia" w:ascii="Times New Roman" w:hAnsi="Arial" w:eastAsia="宋体" w:cs="Times New Roman"/>
                <w:bCs/>
                <w:sz w:val="24"/>
                <w:szCs w:val="24"/>
                <w:lang w:eastAsia="zh-CN"/>
              </w:rPr>
              <w:t>审批</w:t>
            </w:r>
            <w:r>
              <w:rPr>
                <w:rFonts w:ascii="Times New Roman" w:hAnsi="Arial" w:eastAsia="宋体" w:cs="Times New Roman"/>
                <w:bCs/>
                <w:sz w:val="24"/>
                <w:szCs w:val="24"/>
              </w:rPr>
              <w:t>后，由系统自动发起办理合同签订的通知，打印后由合同双方签字盖章，并将纸质合同扫描上传至系统中完成合同签订流程</w:t>
            </w:r>
            <w:r>
              <w:rPr>
                <w:rFonts w:hint="eastAsia" w:ascii="Times New Roman" w:hAnsi="Arial" w:eastAsia="宋体" w:cs="Times New Roman"/>
                <w:bCs/>
                <w:sz w:val="24"/>
                <w:szCs w:val="24"/>
                <w:lang w:eastAsia="zh-CN"/>
              </w:rPr>
              <w:t>；</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5</w:t>
            </w:r>
            <w:r>
              <w:rPr>
                <w:rFonts w:ascii="Times New Roman" w:hAnsi="Arial" w:eastAsia="宋体" w:cs="Times New Roman"/>
                <w:bCs/>
                <w:sz w:val="24"/>
                <w:szCs w:val="24"/>
              </w:rPr>
              <w:t>）系统支持合同到期时，自动预警并通知合同双方，可由人员或单位发起续签合同申请，经相关领导审批后，完成合同续签业务；</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6</w:t>
            </w:r>
            <w:r>
              <w:rPr>
                <w:rFonts w:ascii="Times New Roman" w:hAnsi="Arial" w:eastAsia="宋体" w:cs="Times New Roman"/>
                <w:bCs/>
                <w:sz w:val="24"/>
                <w:szCs w:val="24"/>
              </w:rPr>
              <w:t>）系统支持人员或单位发起终止合同申请，经相关领导审核后，签订终止合同</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修改人员状态</w:t>
            </w:r>
            <w:r>
              <w:rPr>
                <w:rFonts w:hint="eastAsia" w:ascii="Times New Roman" w:hAnsi="Arial" w:eastAsia="宋体" w:cs="Times New Roman"/>
                <w:bCs/>
                <w:sz w:val="24"/>
                <w:szCs w:val="24"/>
                <w:lang w:eastAsia="zh-CN"/>
              </w:rPr>
              <w:t>并触发</w:t>
            </w:r>
            <w:r>
              <w:rPr>
                <w:rFonts w:ascii="Times New Roman" w:hAnsi="Arial" w:eastAsia="宋体" w:cs="Times New Roman"/>
                <w:bCs/>
                <w:sz w:val="24"/>
                <w:szCs w:val="24"/>
              </w:rPr>
              <w:t>离职</w:t>
            </w:r>
            <w:r>
              <w:rPr>
                <w:rFonts w:hint="eastAsia" w:ascii="Times New Roman" w:hAnsi="Arial" w:eastAsia="宋体" w:cs="Times New Roman"/>
                <w:bCs/>
                <w:sz w:val="24"/>
                <w:szCs w:val="24"/>
                <w:lang w:eastAsia="zh-CN"/>
              </w:rPr>
              <w:t>相关</w:t>
            </w:r>
            <w:r>
              <w:rPr>
                <w:rFonts w:ascii="Times New Roman" w:hAnsi="Arial" w:eastAsia="宋体" w:cs="Times New Roman"/>
                <w:bCs/>
                <w:sz w:val="24"/>
                <w:szCs w:val="24"/>
              </w:rPr>
              <w:t>业务；</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8</w:t>
            </w:r>
            <w:r>
              <w:rPr>
                <w:rFonts w:hint="eastAsia" w:ascii="Times New Roman" w:hAnsi="Times New Roman" w:eastAsia="宋体" w:cs="Times New Roman"/>
                <w:bCs/>
                <w:sz w:val="24"/>
                <w:szCs w:val="24"/>
                <w:lang w:eastAsia="zh-CN"/>
              </w:rPr>
              <w:t>.</w:t>
            </w:r>
            <w:r>
              <w:rPr>
                <w:rFonts w:ascii="Times New Roman" w:hAnsi="Times New Roman" w:eastAsia="宋体" w:cs="Times New Roman"/>
                <w:bCs/>
                <w:sz w:val="24"/>
                <w:szCs w:val="24"/>
              </w:rPr>
              <w:t xml:space="preserve"> </w:t>
            </w:r>
            <w:r>
              <w:rPr>
                <w:rFonts w:ascii="Times New Roman" w:hAnsi="Arial" w:eastAsia="宋体" w:cs="Times New Roman"/>
                <w:bCs/>
                <w:sz w:val="24"/>
                <w:szCs w:val="24"/>
              </w:rPr>
              <w:t>薪资管理</w:t>
            </w:r>
          </w:p>
          <w:p>
            <w:pPr>
              <w:spacing w:line="500" w:lineRule="exact"/>
              <w:ind w:firstLine="422" w:firstLineChars="176"/>
              <w:rPr>
                <w:rFonts w:ascii="Times New Roman" w:hAnsi="Arial"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）系统支持不同类别人员的薪资管理，针对校内编内人员、离退休人员、特聘人员、临聘人员、返聘人员等，执行不同的薪资管理标准；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）系统预制多种工资标准表，可根据岗位、职级、档次等实际情况修改工资标准表，可灵活定义工资项目和计算公式，支持工资套改操作；</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）系统要求适用于薪资改革，具有明确工资标准的工资项目（包括事业单位统一工资项目和学校自定项目），均可</w:t>
            </w:r>
            <w:r>
              <w:rPr>
                <w:rFonts w:hint="eastAsia" w:ascii="Times New Roman" w:hAnsi="Arial" w:eastAsia="宋体" w:cs="Times New Roman"/>
                <w:bCs/>
                <w:sz w:val="24"/>
                <w:szCs w:val="24"/>
                <w:lang w:eastAsia="zh-CN"/>
              </w:rPr>
              <w:t>由</w:t>
            </w:r>
            <w:r>
              <w:rPr>
                <w:rFonts w:ascii="Times New Roman" w:hAnsi="Arial" w:eastAsia="宋体" w:cs="Times New Roman"/>
                <w:bCs/>
                <w:sz w:val="24"/>
                <w:szCs w:val="24"/>
              </w:rPr>
              <w:t>系统自动</w:t>
            </w:r>
            <w:r>
              <w:rPr>
                <w:rFonts w:hint="eastAsia" w:ascii="Times New Roman" w:hAnsi="Arial" w:eastAsia="宋体" w:cs="Times New Roman"/>
                <w:bCs/>
                <w:sz w:val="24"/>
                <w:szCs w:val="24"/>
                <w:lang w:eastAsia="zh-CN"/>
              </w:rPr>
              <w:t>计算</w:t>
            </w:r>
            <w:r>
              <w:rPr>
                <w:rFonts w:ascii="Times New Roman" w:hAnsi="Arial" w:eastAsia="宋体" w:cs="Times New Roman"/>
                <w:bCs/>
                <w:sz w:val="24"/>
                <w:szCs w:val="24"/>
              </w:rPr>
              <w:t>生成；聘用人员工资计算、年度增加薪级工资、岗位变动工资调整、基本工资标准调整、津贴补贴标准调整等调资业务，可通过定义</w:t>
            </w:r>
            <w:r>
              <w:rPr>
                <w:rFonts w:hint="eastAsia" w:ascii="Times New Roman" w:hAnsi="Arial" w:eastAsia="宋体" w:cs="Times New Roman"/>
                <w:bCs/>
                <w:sz w:val="24"/>
                <w:szCs w:val="24"/>
                <w:lang w:eastAsia="zh-CN"/>
              </w:rPr>
              <w:t>公式</w:t>
            </w:r>
            <w:r>
              <w:rPr>
                <w:rFonts w:ascii="Times New Roman" w:hAnsi="Arial" w:eastAsia="宋体" w:cs="Times New Roman"/>
                <w:bCs/>
                <w:sz w:val="24"/>
                <w:szCs w:val="24"/>
              </w:rPr>
              <w:t>自动实现计算，</w:t>
            </w:r>
            <w:r>
              <w:rPr>
                <w:rFonts w:hint="eastAsia" w:ascii="Times New Roman" w:hAnsi="Arial" w:eastAsia="宋体" w:cs="Times New Roman"/>
                <w:bCs/>
                <w:sz w:val="24"/>
                <w:szCs w:val="24"/>
                <w:lang w:eastAsia="zh-CN"/>
              </w:rPr>
              <w:t>特殊</w:t>
            </w:r>
            <w:r>
              <w:rPr>
                <w:rFonts w:ascii="Times New Roman" w:hAnsi="Arial" w:eastAsia="宋体" w:cs="Times New Roman"/>
                <w:bCs/>
                <w:sz w:val="24"/>
                <w:szCs w:val="24"/>
              </w:rPr>
              <w:t>情况可进行手动修正；</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hint="eastAsia" w:ascii="Times New Roman" w:hAnsi="Times New Roman" w:eastAsia="宋体" w:cs="Times New Roman"/>
                <w:bCs/>
                <w:sz w:val="24"/>
                <w:szCs w:val="24"/>
                <w:lang w:val="en-US" w:eastAsia="zh-CN"/>
              </w:rPr>
              <w:t>4</w:t>
            </w:r>
            <w:r>
              <w:rPr>
                <w:rFonts w:ascii="Times New Roman" w:hAnsi="Arial" w:eastAsia="宋体" w:cs="Times New Roman"/>
                <w:bCs/>
                <w:sz w:val="24"/>
                <w:szCs w:val="24"/>
              </w:rPr>
              <w:t>）薪资计算支持汉化计算公式，薪资套帐中可以选择任意行或列进行锁定，报表中可根据任一指标项进行一键排序；</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hint="eastAsia" w:ascii="Times New Roman" w:hAnsi="Arial" w:eastAsia="宋体" w:cs="Times New Roman"/>
                <w:bCs/>
                <w:sz w:val="24"/>
                <w:szCs w:val="24"/>
                <w:lang w:val="en-US" w:eastAsia="zh-CN"/>
              </w:rPr>
              <w:t>5</w:t>
            </w:r>
            <w:r>
              <w:rPr>
                <w:rFonts w:ascii="Times New Roman" w:hAnsi="Arial" w:eastAsia="宋体" w:cs="Times New Roman"/>
                <w:bCs/>
                <w:sz w:val="24"/>
                <w:szCs w:val="24"/>
              </w:rPr>
              <w:t>）系统支持薪资调整审批流程定义，提供工资补发、补扣等自动处理机制，记录薪资变动情况并支持查询，支持工资标准的直接加载；</w:t>
            </w:r>
          </w:p>
          <w:p>
            <w:pPr>
              <w:spacing w:line="500" w:lineRule="exact"/>
              <w:ind w:firstLine="422" w:firstLineChars="176"/>
              <w:rPr>
                <w:rFonts w:ascii="Times New Roman" w:hAnsi="Arial" w:eastAsia="宋体" w:cs="Times New Roman"/>
                <w:bCs/>
                <w:sz w:val="24"/>
                <w:szCs w:val="24"/>
              </w:rPr>
            </w:pPr>
            <w:r>
              <w:rPr>
                <w:rFonts w:ascii="Times New Roman" w:hAnsi="Arial" w:eastAsia="宋体" w:cs="Times New Roman"/>
                <w:bCs/>
                <w:sz w:val="24"/>
                <w:szCs w:val="24"/>
              </w:rPr>
              <w:t>（</w:t>
            </w:r>
            <w:r>
              <w:rPr>
                <w:rFonts w:hint="eastAsia" w:ascii="Times New Roman" w:hAnsi="Arial" w:eastAsia="宋体" w:cs="Times New Roman"/>
                <w:bCs/>
                <w:sz w:val="24"/>
                <w:szCs w:val="24"/>
                <w:lang w:val="en-US" w:eastAsia="zh-CN"/>
              </w:rPr>
              <w:t>6</w:t>
            </w:r>
            <w:r>
              <w:rPr>
                <w:rFonts w:ascii="Times New Roman" w:hAnsi="Arial" w:eastAsia="宋体" w:cs="Times New Roman"/>
                <w:bCs/>
                <w:sz w:val="24"/>
                <w:szCs w:val="24"/>
              </w:rPr>
              <w:t>）工资核算时，系统支持引用考勤、奖惩等数据参与工资计算，自动核算绩效工资、考勤扣款、保险扣款、应发、应纳税所得额、税、实发等项目，支持正算、反算、合并计税</w:t>
            </w:r>
            <w:r>
              <w:rPr>
                <w:rFonts w:hint="eastAsia" w:ascii="Times New Roman" w:hAnsi="Arial" w:eastAsia="宋体" w:cs="Times New Roman"/>
                <w:bCs/>
                <w:sz w:val="24"/>
                <w:szCs w:val="24"/>
                <w:lang w:eastAsia="zh-CN"/>
              </w:rPr>
              <w:t>等</w:t>
            </w:r>
            <w:r>
              <w:rPr>
                <w:rFonts w:ascii="Times New Roman" w:hAnsi="Arial" w:eastAsia="宋体" w:cs="Times New Roman"/>
                <w:bCs/>
                <w:sz w:val="24"/>
                <w:szCs w:val="24"/>
              </w:rPr>
              <w:t>计税方式的自动计算；</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hint="eastAsia" w:ascii="Times New Roman" w:hAnsi="Times New Roman" w:eastAsia="宋体" w:cs="Times New Roman"/>
                <w:bCs/>
                <w:sz w:val="24"/>
                <w:szCs w:val="24"/>
                <w:lang w:val="en-US" w:eastAsia="zh-CN"/>
              </w:rPr>
              <w:t>7</w:t>
            </w:r>
            <w:r>
              <w:rPr>
                <w:rFonts w:ascii="Times New Roman" w:hAnsi="Arial" w:eastAsia="宋体" w:cs="Times New Roman"/>
                <w:bCs/>
                <w:sz w:val="24"/>
                <w:szCs w:val="24"/>
              </w:rPr>
              <w:t>）支持工资数据以</w:t>
            </w:r>
            <w:r>
              <w:rPr>
                <w:rFonts w:ascii="Times New Roman" w:hAnsi="Times New Roman" w:eastAsia="宋体" w:cs="Times New Roman"/>
                <w:bCs/>
                <w:sz w:val="24"/>
                <w:szCs w:val="24"/>
              </w:rPr>
              <w:t>Excel</w:t>
            </w:r>
            <w:r>
              <w:rPr>
                <w:rFonts w:ascii="Times New Roman" w:hAnsi="Arial" w:eastAsia="宋体" w:cs="Times New Roman"/>
                <w:bCs/>
                <w:sz w:val="24"/>
                <w:szCs w:val="24"/>
              </w:rPr>
              <w:t>文件等格式批量导入、批量导出，可批量进行工资项目更新，提供标准化的工资发放单，对接财务系统；</w:t>
            </w:r>
          </w:p>
          <w:p>
            <w:pPr>
              <w:spacing w:line="500" w:lineRule="exact"/>
              <w:ind w:firstLine="492" w:firstLineChars="176"/>
              <w:rPr>
                <w:rFonts w:hint="eastAsia" w:ascii="Times New Roman" w:hAnsi="Times New Roman" w:eastAsia="宋体" w:cs="Times New Roman"/>
                <w:bCs/>
                <w:sz w:val="24"/>
                <w:szCs w:val="24"/>
                <w:lang w:eastAsia="zh-CN"/>
              </w:rPr>
            </w:pPr>
            <w:r>
              <w:rPr>
                <w:rFonts w:hint="eastAsia" w:ascii="Times New Roman" w:eastAsia="宋体" w:cs="Times New Roman" w:hAnsiTheme="minorEastAsia"/>
                <w:sz w:val="28"/>
                <w:szCs w:val="28"/>
                <w:lang w:eastAsia="zh-CN"/>
              </w:rPr>
              <w:t>★</w:t>
            </w:r>
            <w:r>
              <w:rPr>
                <w:rFonts w:hint="eastAsia" w:ascii="Times New Roman" w:hAnsi="Arial" w:eastAsia="宋体" w:cs="Times New Roman"/>
                <w:bCs/>
                <w:sz w:val="24"/>
                <w:szCs w:val="24"/>
                <w:lang w:eastAsia="zh-CN"/>
              </w:rPr>
              <w:t>（</w:t>
            </w:r>
            <w:r>
              <w:rPr>
                <w:rFonts w:hint="eastAsia" w:ascii="Times New Roman" w:hAnsi="Arial" w:eastAsia="宋体" w:cs="Times New Roman"/>
                <w:bCs/>
                <w:sz w:val="24"/>
                <w:szCs w:val="24"/>
                <w:lang w:val="en-US" w:eastAsia="zh-CN"/>
              </w:rPr>
              <w:t>8</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支持年底绩效分配在线计算、调整和审批</w:t>
            </w:r>
            <w:r>
              <w:rPr>
                <w:rFonts w:hint="eastAsia" w:ascii="Times New Roman" w:hAnsi="Arial" w:eastAsia="宋体" w:cs="Times New Roman"/>
                <w:bCs/>
                <w:sz w:val="24"/>
                <w:szCs w:val="24"/>
                <w:lang w:eastAsia="zh-CN"/>
              </w:rPr>
              <w:t>；</w:t>
            </w:r>
          </w:p>
          <w:p>
            <w:pPr>
              <w:spacing w:line="500" w:lineRule="exact"/>
              <w:ind w:firstLine="422" w:firstLineChars="176"/>
              <w:rPr>
                <w:rFonts w:ascii="Times New Roman" w:hAnsi="Arial"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9</w:t>
            </w:r>
            <w:r>
              <w:rPr>
                <w:rFonts w:ascii="Times New Roman" w:hAnsi="Arial" w:eastAsia="宋体" w:cs="Times New Roman"/>
                <w:bCs/>
                <w:sz w:val="24"/>
                <w:szCs w:val="24"/>
              </w:rPr>
              <w:t>）支持输出不同格式的工资明细报表和统计报表；</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10</w:t>
            </w:r>
            <w:r>
              <w:rPr>
                <w:rFonts w:ascii="Times New Roman" w:hAnsi="Arial" w:eastAsia="宋体" w:cs="Times New Roman"/>
                <w:bCs/>
                <w:sz w:val="24"/>
                <w:szCs w:val="24"/>
              </w:rPr>
              <w:t>）支持内嵌丧葬处理，根据具体标准核发去世人员的丧葬费、抚恤金和遗属生活困难补助费；</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11</w:t>
            </w:r>
            <w:r>
              <w:rPr>
                <w:rFonts w:ascii="Times New Roman" w:hAnsi="Arial" w:eastAsia="宋体" w:cs="Times New Roman"/>
                <w:bCs/>
                <w:sz w:val="24"/>
                <w:szCs w:val="24"/>
              </w:rPr>
              <w:t>）系统支持</w:t>
            </w:r>
            <w:r>
              <w:rPr>
                <w:rFonts w:hint="eastAsia" w:ascii="Times New Roman" w:hAnsi="Arial" w:eastAsia="宋体" w:cs="Times New Roman"/>
                <w:bCs/>
                <w:sz w:val="24"/>
                <w:szCs w:val="24"/>
                <w:lang w:eastAsia="zh-CN"/>
              </w:rPr>
              <w:t>薪资</w:t>
            </w:r>
            <w:r>
              <w:rPr>
                <w:rFonts w:ascii="Times New Roman" w:hAnsi="Arial" w:eastAsia="宋体" w:cs="Times New Roman"/>
                <w:bCs/>
                <w:sz w:val="24"/>
                <w:szCs w:val="24"/>
              </w:rPr>
              <w:t>统计和分析，生成直观的分析图表，为分析工资状况</w:t>
            </w:r>
            <w:r>
              <w:rPr>
                <w:rFonts w:hint="eastAsia" w:ascii="Times New Roman" w:hAnsi="Arial" w:eastAsia="宋体" w:cs="Times New Roman"/>
                <w:bCs/>
                <w:sz w:val="24"/>
                <w:szCs w:val="24"/>
                <w:lang w:eastAsia="zh-CN"/>
              </w:rPr>
              <w:t>和</w:t>
            </w:r>
            <w:r>
              <w:rPr>
                <w:rFonts w:ascii="Times New Roman" w:hAnsi="Arial" w:eastAsia="宋体" w:cs="Times New Roman"/>
                <w:bCs/>
                <w:sz w:val="24"/>
                <w:szCs w:val="24"/>
              </w:rPr>
              <w:t>进行工资预算提供决策依据。</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9</w:t>
            </w:r>
            <w:r>
              <w:rPr>
                <w:rFonts w:hint="eastAsia" w:ascii="Times New Roman" w:hAnsi="Times New Roman" w:eastAsia="宋体" w:cs="Times New Roman"/>
                <w:bCs/>
                <w:sz w:val="24"/>
                <w:szCs w:val="24"/>
                <w:lang w:eastAsia="zh-CN"/>
              </w:rPr>
              <w:t>.</w:t>
            </w:r>
            <w:r>
              <w:rPr>
                <w:rFonts w:ascii="Times New Roman" w:hAnsi="Times New Roman" w:eastAsia="宋体" w:cs="Times New Roman"/>
                <w:bCs/>
                <w:sz w:val="24"/>
                <w:szCs w:val="24"/>
              </w:rPr>
              <w:t xml:space="preserve"> </w:t>
            </w:r>
            <w:r>
              <w:rPr>
                <w:rFonts w:ascii="Times New Roman" w:hAnsi="Arial" w:eastAsia="宋体" w:cs="Times New Roman"/>
                <w:bCs/>
                <w:sz w:val="24"/>
                <w:szCs w:val="24"/>
              </w:rPr>
              <w:t>社保管理</w:t>
            </w:r>
          </w:p>
          <w:p>
            <w:pPr>
              <w:spacing w:line="500" w:lineRule="exact"/>
              <w:ind w:firstLine="492" w:firstLineChars="176"/>
              <w:rPr>
                <w:rFonts w:ascii="Times New Roman" w:hAnsi="Arial"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系统支持社保缴纳金额的计算，可生成实际缴纳社保清单，根据养老保险基数变化情况，核算养老保险、职业年金缴纳金额等，能够进行社保数据的统计分析。</w:t>
            </w:r>
          </w:p>
          <w:p>
            <w:pPr>
              <w:spacing w:line="500" w:lineRule="exact"/>
              <w:ind w:firstLine="422" w:firstLineChars="176"/>
              <w:rPr>
                <w:rFonts w:ascii="Times New Roman" w:hAnsi="Times New Roman" w:eastAsia="宋体" w:cs="Times New Roman"/>
                <w:bCs/>
                <w:sz w:val="24"/>
                <w:szCs w:val="24"/>
              </w:rPr>
            </w:pPr>
            <w:r>
              <w:rPr>
                <w:rFonts w:hint="eastAsia" w:ascii="Times New Roman" w:hAnsi="Arial" w:eastAsia="宋体" w:cs="Times New Roman"/>
                <w:bCs/>
                <w:sz w:val="24"/>
                <w:szCs w:val="24"/>
                <w:lang w:val="en-US" w:eastAsia="zh-CN"/>
              </w:rPr>
              <w:t>10</w:t>
            </w:r>
            <w:r>
              <w:rPr>
                <w:rFonts w:hint="eastAsia" w:ascii="Times New Roman" w:hAnsi="Times New Roman" w:eastAsia="宋体" w:cs="Times New Roman"/>
                <w:bCs/>
                <w:sz w:val="24"/>
                <w:szCs w:val="24"/>
                <w:lang w:eastAsia="zh-CN"/>
              </w:rPr>
              <w:t>.</w:t>
            </w:r>
            <w:r>
              <w:rPr>
                <w:rFonts w:ascii="Times New Roman" w:hAnsi="Times New Roman" w:eastAsia="宋体" w:cs="Times New Roman"/>
                <w:bCs/>
                <w:sz w:val="24"/>
                <w:szCs w:val="24"/>
              </w:rPr>
              <w:t xml:space="preserve"> </w:t>
            </w:r>
            <w:r>
              <w:rPr>
                <w:rFonts w:ascii="Times New Roman" w:hAnsi="Arial" w:eastAsia="宋体" w:cs="Times New Roman"/>
                <w:bCs/>
                <w:sz w:val="24"/>
                <w:szCs w:val="24"/>
              </w:rPr>
              <w:t>请销假管理</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系统支持人员的请销假管理，能够完成请假申请、审批、销假的闭环回路，支持考勤数据的上报和汇总，依据</w:t>
            </w:r>
            <w:r>
              <w:rPr>
                <w:rFonts w:hint="eastAsia" w:ascii="Times New Roman" w:hAnsi="Arial" w:eastAsia="宋体" w:cs="Times New Roman"/>
                <w:bCs/>
                <w:sz w:val="24"/>
                <w:szCs w:val="24"/>
                <w:lang w:eastAsia="zh-CN"/>
              </w:rPr>
              <w:t>请销假</w:t>
            </w:r>
            <w:r>
              <w:rPr>
                <w:rFonts w:ascii="Times New Roman" w:hAnsi="Arial" w:eastAsia="宋体" w:cs="Times New Roman"/>
                <w:bCs/>
                <w:sz w:val="24"/>
                <w:szCs w:val="24"/>
              </w:rPr>
              <w:t>情况和考勤情况生成人员考勤报告，并将相应数据流转至薪资管理流程，若请病假需上传相关诊断证明和就诊</w:t>
            </w:r>
            <w:r>
              <w:rPr>
                <w:rFonts w:hint="eastAsia" w:ascii="Times New Roman" w:hAnsi="Arial" w:eastAsia="宋体" w:cs="Times New Roman"/>
                <w:bCs/>
                <w:sz w:val="24"/>
                <w:szCs w:val="24"/>
                <w:lang w:eastAsia="zh-CN"/>
              </w:rPr>
              <w:t>材料</w:t>
            </w:r>
            <w:r>
              <w:rPr>
                <w:rFonts w:ascii="Times New Roman" w:hAnsi="Arial" w:eastAsia="宋体" w:cs="Times New Roman"/>
                <w:bCs/>
                <w:sz w:val="24"/>
                <w:szCs w:val="24"/>
              </w:rPr>
              <w:t>。</w:t>
            </w:r>
          </w:p>
          <w:p>
            <w:pPr>
              <w:numPr>
                <w:ilvl w:val="0"/>
                <w:numId w:val="21"/>
              </w:num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信息查询统计</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）系统支持人力资源信息的查看，可以不同的浏览方式</w:t>
            </w:r>
            <w:r>
              <w:rPr>
                <w:rFonts w:hint="eastAsia" w:ascii="Times New Roman" w:hAnsi="Arial" w:eastAsia="宋体" w:cs="Times New Roman"/>
                <w:bCs/>
                <w:sz w:val="24"/>
                <w:szCs w:val="24"/>
                <w:lang w:eastAsia="zh-CN"/>
              </w:rPr>
              <w:t>查看</w:t>
            </w:r>
            <w:r>
              <w:rPr>
                <w:rFonts w:ascii="Times New Roman" w:hAnsi="Arial" w:eastAsia="宋体" w:cs="Times New Roman"/>
                <w:bCs/>
                <w:sz w:val="24"/>
                <w:szCs w:val="24"/>
              </w:rPr>
              <w:t>人员照片、基础数据等信息，支持按属性项排序</w:t>
            </w:r>
            <w:r>
              <w:rPr>
                <w:rFonts w:hint="eastAsia" w:ascii="Times New Roman" w:hAnsi="Arial" w:eastAsia="宋体" w:cs="Times New Roman"/>
                <w:bCs/>
                <w:sz w:val="24"/>
                <w:szCs w:val="24"/>
                <w:lang w:eastAsia="zh-CN"/>
              </w:rPr>
              <w:t>，</w:t>
            </w:r>
            <w:r>
              <w:rPr>
                <w:rFonts w:hint="eastAsia" w:ascii="Times New Roman" w:hAnsi="Arial" w:eastAsia="宋体" w:cs="Times New Roman"/>
                <w:bCs/>
                <w:sz w:val="24"/>
                <w:szCs w:val="24"/>
              </w:rPr>
              <w:t>能够查询历史记录</w:t>
            </w:r>
            <w:r>
              <w:rPr>
                <w:rFonts w:hint="eastAsia" w:ascii="Times New Roman" w:hAnsi="Arial" w:eastAsia="宋体" w:cs="Times New Roman"/>
                <w:bCs/>
                <w:sz w:val="24"/>
                <w:szCs w:val="24"/>
                <w:lang w:eastAsia="zh-CN"/>
              </w:rPr>
              <w:t>，</w:t>
            </w:r>
            <w:r>
              <w:rPr>
                <w:rFonts w:hint="eastAsia" w:ascii="Times New Roman" w:hAnsi="Arial" w:eastAsia="宋体" w:cs="Times New Roman"/>
                <w:bCs/>
                <w:sz w:val="24"/>
                <w:szCs w:val="24"/>
              </w:rPr>
              <w:t>查询结果可</w:t>
            </w:r>
            <w:r>
              <w:rPr>
                <w:rFonts w:hint="eastAsia" w:ascii="Times New Roman" w:hAnsi="Arial" w:eastAsia="宋体" w:cs="Times New Roman"/>
                <w:bCs/>
                <w:sz w:val="24"/>
                <w:szCs w:val="24"/>
                <w:lang w:eastAsia="zh-CN"/>
              </w:rPr>
              <w:t>以</w:t>
            </w:r>
            <w:r>
              <w:rPr>
                <w:rFonts w:hint="eastAsia" w:ascii="Times New Roman" w:hAnsi="Arial" w:eastAsia="宋体" w:cs="Times New Roman"/>
                <w:bCs/>
                <w:sz w:val="24"/>
                <w:szCs w:val="24"/>
              </w:rPr>
              <w:t>Excel、PDF等格式文件输出</w:t>
            </w:r>
            <w:r>
              <w:rPr>
                <w:rFonts w:ascii="Times New Roman" w:hAnsi="Arial" w:eastAsia="宋体" w:cs="Times New Roman"/>
                <w:bCs/>
                <w:sz w:val="24"/>
                <w:szCs w:val="24"/>
              </w:rPr>
              <w:t>；</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）系统支持单条件和多条件的查询，内置查询函数，预制常用的查询选项和统计分析函数，支持按总体结构、聘用岗位类别、编制类别、年龄分布、学科分布、学历分布、学缘结构、职称分布、工龄分布、各</w:t>
            </w:r>
            <w:r>
              <w:rPr>
                <w:rFonts w:hint="eastAsia" w:ascii="Times New Roman" w:hAnsi="Arial" w:eastAsia="宋体" w:cs="Times New Roman"/>
                <w:bCs/>
                <w:sz w:val="24"/>
                <w:szCs w:val="24"/>
                <w:lang w:eastAsia="zh-CN"/>
              </w:rPr>
              <w:t>组织</w:t>
            </w:r>
            <w:r>
              <w:rPr>
                <w:rFonts w:ascii="Times New Roman" w:hAnsi="Arial" w:eastAsia="宋体" w:cs="Times New Roman"/>
                <w:bCs/>
                <w:sz w:val="24"/>
                <w:szCs w:val="24"/>
              </w:rPr>
              <w:t>机构人数分析、各</w:t>
            </w:r>
            <w:r>
              <w:rPr>
                <w:rFonts w:hint="eastAsia" w:ascii="Times New Roman" w:hAnsi="Arial" w:eastAsia="宋体" w:cs="Times New Roman"/>
                <w:bCs/>
                <w:sz w:val="24"/>
                <w:szCs w:val="24"/>
                <w:lang w:eastAsia="zh-CN"/>
              </w:rPr>
              <w:t>组织</w:t>
            </w:r>
            <w:r>
              <w:rPr>
                <w:rFonts w:ascii="Times New Roman" w:hAnsi="Arial" w:eastAsia="宋体" w:cs="Times New Roman"/>
                <w:bCs/>
                <w:sz w:val="24"/>
                <w:szCs w:val="24"/>
              </w:rPr>
              <w:t>机构博士人数分析、博士年龄分布、博士职称分布、性别分布、民族分布、各</w:t>
            </w:r>
            <w:r>
              <w:rPr>
                <w:rFonts w:hint="eastAsia" w:ascii="Times New Roman" w:hAnsi="Arial" w:eastAsia="宋体" w:cs="Times New Roman"/>
                <w:bCs/>
                <w:sz w:val="24"/>
                <w:szCs w:val="24"/>
                <w:lang w:eastAsia="zh-CN"/>
              </w:rPr>
              <w:t>组织</w:t>
            </w:r>
            <w:r>
              <w:rPr>
                <w:rFonts w:ascii="Times New Roman" w:hAnsi="Arial" w:eastAsia="宋体" w:cs="Times New Roman"/>
                <w:bCs/>
                <w:sz w:val="24"/>
                <w:szCs w:val="24"/>
              </w:rPr>
              <w:t>机构专任教师人数、高层次人才类别、管理职务级别、各</w:t>
            </w:r>
            <w:r>
              <w:rPr>
                <w:rFonts w:hint="eastAsia" w:ascii="Times New Roman" w:hAnsi="Arial" w:eastAsia="宋体" w:cs="Times New Roman"/>
                <w:bCs/>
                <w:sz w:val="24"/>
                <w:szCs w:val="24"/>
                <w:lang w:eastAsia="zh-CN"/>
              </w:rPr>
              <w:t>组织</w:t>
            </w:r>
            <w:r>
              <w:rPr>
                <w:rFonts w:ascii="Times New Roman" w:hAnsi="Arial" w:eastAsia="宋体" w:cs="Times New Roman"/>
                <w:bCs/>
                <w:sz w:val="24"/>
                <w:szCs w:val="24"/>
              </w:rPr>
              <w:t>机构专业技术人员、专业技术岗位等级、工勤技能等级等</w:t>
            </w:r>
            <w:r>
              <w:rPr>
                <w:rFonts w:hint="eastAsia" w:ascii="Times New Roman" w:hAnsi="Arial" w:eastAsia="宋体" w:cs="Times New Roman"/>
                <w:bCs/>
                <w:sz w:val="24"/>
                <w:szCs w:val="24"/>
                <w:lang w:eastAsia="zh-CN"/>
              </w:rPr>
              <w:t>维度</w:t>
            </w:r>
            <w:r>
              <w:rPr>
                <w:rFonts w:ascii="Times New Roman" w:hAnsi="Arial" w:eastAsia="宋体" w:cs="Times New Roman"/>
                <w:bCs/>
                <w:sz w:val="24"/>
                <w:szCs w:val="24"/>
              </w:rPr>
              <w:t>进行统计；</w:t>
            </w:r>
          </w:p>
          <w:p>
            <w:pPr>
              <w:spacing w:line="500" w:lineRule="exact"/>
              <w:ind w:firstLine="492" w:firstLineChars="176"/>
              <w:rPr>
                <w:rFonts w:ascii="Times New Roman" w:hAnsi="Arial"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）系统支持所计算的统计数据逐级反查穿透，支持饼状图、柱状图、折线图等多种可视化展示方式</w:t>
            </w:r>
            <w:r>
              <w:rPr>
                <w:rFonts w:hint="eastAsia" w:ascii="Times New Roman" w:hAnsi="Arial" w:eastAsia="宋体" w:cs="Times New Roman"/>
                <w:bCs/>
                <w:sz w:val="24"/>
                <w:szCs w:val="24"/>
                <w:lang w:eastAsia="zh-CN"/>
              </w:rPr>
              <w:t>，展示结果可以</w:t>
            </w:r>
            <w:r>
              <w:rPr>
                <w:rFonts w:hint="eastAsia" w:ascii="Times New Roman" w:hAnsi="Arial" w:eastAsia="宋体" w:cs="Times New Roman"/>
                <w:bCs/>
                <w:sz w:val="24"/>
                <w:szCs w:val="24"/>
                <w:lang w:val="en-US" w:eastAsia="zh-CN"/>
              </w:rPr>
              <w:t>WORD、JPG、PDF等格式文件输出</w:t>
            </w:r>
            <w:r>
              <w:rPr>
                <w:rFonts w:ascii="Times New Roman" w:hAnsi="Arial" w:eastAsia="宋体" w:cs="Times New Roman"/>
                <w:bCs/>
                <w:sz w:val="24"/>
                <w:szCs w:val="24"/>
              </w:rPr>
              <w:t>。</w:t>
            </w:r>
          </w:p>
          <w:p>
            <w:pPr>
              <w:numPr>
                <w:ilvl w:val="0"/>
                <w:numId w:val="21"/>
              </w:num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报表管理</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）系统内置报表模板（包括高基报表、事业单位人员统计年报、年鉴人事统计表、年度档案归档人事花名册、事业单位工资福利统计年报</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工资总额发放统计报表等）；</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）支持自定义报表模板，通过表格设计工具可以自行绘制报表、花名册、登记册等，支持条件设置和</w:t>
            </w:r>
            <w:r>
              <w:rPr>
                <w:rFonts w:hint="eastAsia" w:ascii="Times New Roman" w:hAnsi="Arial" w:eastAsia="宋体" w:cs="Times New Roman"/>
                <w:bCs/>
                <w:sz w:val="24"/>
                <w:szCs w:val="24"/>
                <w:lang w:eastAsia="zh-CN"/>
              </w:rPr>
              <w:t>数据</w:t>
            </w:r>
            <w:r>
              <w:rPr>
                <w:rFonts w:ascii="Times New Roman" w:hAnsi="Arial" w:eastAsia="宋体" w:cs="Times New Roman"/>
                <w:bCs/>
                <w:sz w:val="24"/>
                <w:szCs w:val="24"/>
              </w:rPr>
              <w:t>校验设置；</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）对于内置报表或自定义报表，均支持报表数据的自动生成，可对报表进行反查展示数据来源，</w:t>
            </w:r>
            <w:r>
              <w:rPr>
                <w:rFonts w:hint="eastAsia" w:ascii="Times New Roman" w:hAnsi="Arial" w:eastAsia="宋体" w:cs="Times New Roman"/>
                <w:bCs/>
                <w:sz w:val="24"/>
                <w:szCs w:val="24"/>
                <w:lang w:eastAsia="zh-CN"/>
              </w:rPr>
              <w:t>查看</w:t>
            </w:r>
            <w:r>
              <w:rPr>
                <w:rFonts w:ascii="Times New Roman" w:hAnsi="Arial" w:eastAsia="宋体" w:cs="Times New Roman"/>
                <w:bCs/>
                <w:sz w:val="24"/>
                <w:szCs w:val="24"/>
              </w:rPr>
              <w:t>项目明细表，能够</w:t>
            </w:r>
            <w:r>
              <w:rPr>
                <w:rFonts w:hint="eastAsia" w:ascii="Times New Roman" w:hAnsi="Arial" w:eastAsia="宋体" w:cs="Times New Roman"/>
                <w:bCs/>
                <w:sz w:val="24"/>
                <w:szCs w:val="24"/>
                <w:lang w:eastAsia="zh-CN"/>
              </w:rPr>
              <w:t>直接</w:t>
            </w:r>
            <w:r>
              <w:rPr>
                <w:rFonts w:ascii="Times New Roman" w:hAnsi="Arial" w:eastAsia="宋体" w:cs="Times New Roman"/>
                <w:bCs/>
                <w:sz w:val="24"/>
                <w:szCs w:val="24"/>
              </w:rPr>
              <w:t>导出</w:t>
            </w:r>
            <w:r>
              <w:rPr>
                <w:rFonts w:ascii="Times New Roman" w:hAnsi="Times New Roman" w:eastAsia="宋体" w:cs="Times New Roman"/>
                <w:bCs/>
                <w:sz w:val="24"/>
                <w:szCs w:val="24"/>
              </w:rPr>
              <w:t>Excel</w:t>
            </w:r>
            <w:r>
              <w:rPr>
                <w:rFonts w:ascii="Times New Roman" w:hAnsi="Arial" w:eastAsia="宋体" w:cs="Times New Roman"/>
                <w:bCs/>
                <w:sz w:val="24"/>
                <w:szCs w:val="24"/>
              </w:rPr>
              <w:t>、</w:t>
            </w:r>
            <w:r>
              <w:rPr>
                <w:rFonts w:ascii="Times New Roman" w:hAnsi="Times New Roman" w:eastAsia="宋体" w:cs="Times New Roman"/>
                <w:bCs/>
                <w:sz w:val="24"/>
                <w:szCs w:val="24"/>
              </w:rPr>
              <w:t>PDF</w:t>
            </w:r>
            <w:r>
              <w:rPr>
                <w:rFonts w:ascii="Times New Roman" w:hAnsi="Arial" w:eastAsia="宋体" w:cs="Times New Roman"/>
                <w:bCs/>
                <w:sz w:val="24"/>
                <w:szCs w:val="24"/>
              </w:rPr>
              <w:t>等格式的文件；</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4</w:t>
            </w:r>
            <w:r>
              <w:rPr>
                <w:rFonts w:ascii="Times New Roman" w:hAnsi="Arial" w:eastAsia="宋体" w:cs="Times New Roman"/>
                <w:bCs/>
                <w:sz w:val="24"/>
                <w:szCs w:val="24"/>
              </w:rPr>
              <w:t>）支持历史报表数据的对比分析，提供报表的汇总、审核、驳回</w:t>
            </w:r>
            <w:r>
              <w:rPr>
                <w:rFonts w:hint="eastAsia" w:ascii="Times New Roman" w:hAnsi="Arial" w:eastAsia="宋体" w:cs="Times New Roman"/>
                <w:bCs/>
                <w:sz w:val="24"/>
                <w:szCs w:val="24"/>
                <w:lang w:eastAsia="zh-CN"/>
              </w:rPr>
              <w:t>等</w:t>
            </w:r>
            <w:r>
              <w:rPr>
                <w:rFonts w:ascii="Times New Roman" w:hAnsi="Arial" w:eastAsia="宋体" w:cs="Times New Roman"/>
                <w:bCs/>
                <w:sz w:val="24"/>
                <w:szCs w:val="24"/>
              </w:rPr>
              <w:t>功能，能够生成综合数据报表。</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13</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预警提醒</w:t>
            </w:r>
          </w:p>
          <w:p>
            <w:pPr>
              <w:spacing w:line="500" w:lineRule="exact"/>
              <w:ind w:firstLine="422" w:firstLineChars="176"/>
              <w:rPr>
                <w:rFonts w:ascii="Times New Roman" w:hAnsi="Arial"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）系统预制常用的预警提醒功能，可以选择人员生日、转正、培训、退休、返聘、合同到期、到时销假</w:t>
            </w:r>
            <w:r>
              <w:rPr>
                <w:rFonts w:hint="eastAsia" w:ascii="Times New Roman" w:hAnsi="Arial" w:eastAsia="宋体" w:cs="Times New Roman"/>
                <w:bCs/>
                <w:sz w:val="24"/>
                <w:szCs w:val="24"/>
                <w:lang w:eastAsia="zh-CN"/>
              </w:rPr>
              <w:t>、博士后出站</w:t>
            </w:r>
            <w:r>
              <w:rPr>
                <w:rFonts w:ascii="Times New Roman" w:hAnsi="Arial" w:eastAsia="宋体" w:cs="Times New Roman"/>
                <w:bCs/>
                <w:sz w:val="24"/>
                <w:szCs w:val="24"/>
              </w:rPr>
              <w:t>等自动提醒事件，并通过微信、邮件、短信等方式通知相关人员；</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）系统支持预警提醒</w:t>
            </w:r>
            <w:r>
              <w:rPr>
                <w:rFonts w:hint="eastAsia" w:ascii="Times New Roman" w:hAnsi="Arial" w:eastAsia="宋体" w:cs="Times New Roman"/>
                <w:bCs/>
                <w:sz w:val="24"/>
                <w:szCs w:val="24"/>
                <w:lang w:eastAsia="zh-CN"/>
              </w:rPr>
              <w:t>的</w:t>
            </w:r>
            <w:r>
              <w:rPr>
                <w:rFonts w:ascii="Times New Roman" w:hAnsi="Arial" w:eastAsia="宋体" w:cs="Times New Roman"/>
                <w:bCs/>
                <w:sz w:val="24"/>
                <w:szCs w:val="24"/>
              </w:rPr>
              <w:t>自定义，包括预警的提前时间、条件、通知方式、内容、是否可忽略等；</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）系统支持直接点击预警提醒内容进入业务处理页面，或查看预警</w:t>
            </w:r>
            <w:r>
              <w:rPr>
                <w:rFonts w:hint="eastAsia" w:ascii="Times New Roman" w:hAnsi="Arial" w:eastAsia="宋体" w:cs="Times New Roman"/>
                <w:bCs/>
                <w:sz w:val="24"/>
                <w:szCs w:val="24"/>
                <w:lang w:eastAsia="zh-CN"/>
              </w:rPr>
              <w:t>事件</w:t>
            </w:r>
            <w:r>
              <w:rPr>
                <w:rFonts w:ascii="Times New Roman" w:hAnsi="Arial" w:eastAsia="宋体" w:cs="Times New Roman"/>
                <w:bCs/>
                <w:sz w:val="24"/>
                <w:szCs w:val="24"/>
              </w:rPr>
              <w:t>。</w:t>
            </w:r>
          </w:p>
          <w:p>
            <w:pPr>
              <w:spacing w:line="500" w:lineRule="exact"/>
              <w:ind w:firstLine="422" w:firstLineChars="176"/>
              <w:rPr>
                <w:rFonts w:ascii="Times New Roman" w:hAnsi="Arial" w:eastAsia="宋体" w:cs="Times New Roman"/>
                <w:bCs/>
                <w:sz w:val="24"/>
                <w:szCs w:val="24"/>
              </w:rPr>
            </w:pPr>
            <w:r>
              <w:rPr>
                <w:rFonts w:ascii="Times New Roman" w:hAnsi="Arial" w:eastAsia="宋体" w:cs="Times New Roman"/>
                <w:bCs/>
                <w:sz w:val="24"/>
                <w:szCs w:val="24"/>
              </w:rPr>
              <w:t>14</w:t>
            </w:r>
            <w:r>
              <w:rPr>
                <w:rFonts w:hint="eastAsia" w:ascii="Times New Roman" w:hAnsi="Arial" w:eastAsia="宋体" w:cs="Times New Roman"/>
                <w:bCs/>
                <w:sz w:val="24"/>
                <w:szCs w:val="24"/>
                <w:lang w:val="en-US" w:eastAsia="zh-CN"/>
              </w:rPr>
              <w:t>.</w:t>
            </w:r>
            <w:r>
              <w:rPr>
                <w:rFonts w:ascii="Times New Roman" w:hAnsi="Arial" w:eastAsia="宋体" w:cs="Times New Roman"/>
                <w:bCs/>
                <w:sz w:val="24"/>
                <w:szCs w:val="24"/>
              </w:rPr>
              <w:t>自助服务</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）用户能够查看学校的人事管理制度和相关通知公告，可在各业务场景中，直接查看办事流程和下载相应表格文件；</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）系统支持在线咨询和意见</w:t>
            </w:r>
            <w:r>
              <w:rPr>
                <w:rFonts w:hint="eastAsia" w:ascii="Times New Roman" w:hAnsi="Arial" w:eastAsia="宋体" w:cs="Times New Roman"/>
                <w:bCs/>
                <w:sz w:val="24"/>
                <w:szCs w:val="24"/>
                <w:lang w:eastAsia="zh-CN"/>
              </w:rPr>
              <w:t>建议</w:t>
            </w:r>
            <w:r>
              <w:rPr>
                <w:rFonts w:ascii="Times New Roman" w:hAnsi="Arial" w:eastAsia="宋体" w:cs="Times New Roman"/>
                <w:bCs/>
                <w:sz w:val="24"/>
                <w:szCs w:val="24"/>
              </w:rPr>
              <w:t>等</w:t>
            </w:r>
            <w:r>
              <w:rPr>
                <w:rFonts w:hint="eastAsia" w:ascii="Times New Roman" w:hAnsi="Arial" w:eastAsia="宋体" w:cs="Times New Roman"/>
                <w:bCs/>
                <w:sz w:val="24"/>
                <w:szCs w:val="24"/>
                <w:lang w:eastAsia="zh-CN"/>
              </w:rPr>
              <w:t>信息发布</w:t>
            </w:r>
            <w:r>
              <w:rPr>
                <w:rFonts w:ascii="Times New Roman" w:hAnsi="Arial" w:eastAsia="宋体" w:cs="Times New Roman"/>
                <w:bCs/>
                <w:sz w:val="24"/>
                <w:szCs w:val="24"/>
              </w:rPr>
              <w:t>；</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）用户可以查看个人基本信息，</w:t>
            </w:r>
            <w:r>
              <w:rPr>
                <w:rFonts w:hint="eastAsia" w:ascii="Times New Roman" w:hAnsi="Arial" w:eastAsia="宋体" w:cs="Times New Roman"/>
                <w:bCs/>
                <w:sz w:val="24"/>
                <w:szCs w:val="24"/>
                <w:lang w:eastAsia="zh-CN"/>
              </w:rPr>
              <w:t>支持</w:t>
            </w:r>
            <w:r>
              <w:rPr>
                <w:rFonts w:ascii="Times New Roman" w:hAnsi="Arial" w:eastAsia="宋体" w:cs="Times New Roman"/>
                <w:bCs/>
                <w:sz w:val="24"/>
                <w:szCs w:val="24"/>
              </w:rPr>
              <w:t>提交</w:t>
            </w:r>
            <w:r>
              <w:rPr>
                <w:rFonts w:hint="eastAsia" w:ascii="Times New Roman" w:hAnsi="Arial" w:eastAsia="宋体" w:cs="Times New Roman"/>
                <w:bCs/>
                <w:sz w:val="24"/>
                <w:szCs w:val="24"/>
                <w:lang w:eastAsia="zh-CN"/>
              </w:rPr>
              <w:t>数据更新完善申请，并</w:t>
            </w:r>
            <w:r>
              <w:rPr>
                <w:rFonts w:ascii="Times New Roman" w:hAnsi="Arial" w:eastAsia="宋体" w:cs="Times New Roman"/>
                <w:bCs/>
                <w:sz w:val="24"/>
                <w:szCs w:val="24"/>
              </w:rPr>
              <w:t>上传佐证材料，经审核后完成数据更新；</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4</w:t>
            </w:r>
            <w:r>
              <w:rPr>
                <w:rFonts w:ascii="Times New Roman" w:hAnsi="Arial" w:eastAsia="宋体" w:cs="Times New Roman"/>
                <w:bCs/>
                <w:sz w:val="24"/>
                <w:szCs w:val="24"/>
              </w:rPr>
              <w:t>）用户可发起转正、请销假、退休、离职等人事相关业务申请，可查看考勤</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考核情况，支持贷款、担保、出国旅游签证、养老参保等各类证明材料的自助打印；</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5</w:t>
            </w:r>
            <w:r>
              <w:rPr>
                <w:rFonts w:ascii="Times New Roman" w:hAnsi="Arial" w:eastAsia="宋体" w:cs="Times New Roman"/>
                <w:bCs/>
                <w:sz w:val="24"/>
                <w:szCs w:val="24"/>
              </w:rPr>
              <w:t>）系统支持个人职业规划，能够对用户数据进行全面分析和比较，刻画用户的业务</w:t>
            </w:r>
            <w:r>
              <w:rPr>
                <w:rFonts w:hint="eastAsia" w:ascii="Times New Roman" w:hAnsi="Arial" w:eastAsia="宋体" w:cs="Times New Roman"/>
                <w:bCs/>
                <w:sz w:val="24"/>
                <w:szCs w:val="24"/>
                <w:lang w:eastAsia="zh-CN"/>
              </w:rPr>
              <w:t>水平</w:t>
            </w:r>
            <w:r>
              <w:rPr>
                <w:rFonts w:ascii="Times New Roman" w:hAnsi="Arial" w:eastAsia="宋体" w:cs="Times New Roman"/>
                <w:bCs/>
                <w:sz w:val="24"/>
                <w:szCs w:val="24"/>
              </w:rPr>
              <w:t>和需加强改进的</w:t>
            </w:r>
            <w:r>
              <w:rPr>
                <w:rFonts w:hint="eastAsia" w:ascii="Times New Roman" w:hAnsi="Arial" w:eastAsia="宋体" w:cs="Times New Roman"/>
                <w:bCs/>
                <w:sz w:val="24"/>
                <w:szCs w:val="24"/>
                <w:lang w:eastAsia="zh-CN"/>
              </w:rPr>
              <w:t>业务能力</w:t>
            </w:r>
            <w:r>
              <w:rPr>
                <w:rFonts w:ascii="Times New Roman" w:hAnsi="Arial" w:eastAsia="宋体" w:cs="Times New Roman"/>
                <w:bCs/>
                <w:sz w:val="24"/>
                <w:szCs w:val="24"/>
              </w:rPr>
              <w:t>，生成用户</w:t>
            </w:r>
            <w:r>
              <w:rPr>
                <w:rFonts w:hint="eastAsia" w:ascii="Times New Roman" w:hAnsi="Arial" w:eastAsia="宋体" w:cs="Times New Roman"/>
                <w:bCs/>
                <w:sz w:val="24"/>
                <w:szCs w:val="24"/>
                <w:lang w:eastAsia="zh-CN"/>
              </w:rPr>
              <w:t>综合</w:t>
            </w:r>
            <w:r>
              <w:rPr>
                <w:rFonts w:ascii="Times New Roman" w:hAnsi="Arial" w:eastAsia="宋体" w:cs="Times New Roman"/>
                <w:bCs/>
                <w:sz w:val="24"/>
                <w:szCs w:val="24"/>
              </w:rPr>
              <w:t>评价报告；</w:t>
            </w:r>
          </w:p>
          <w:p>
            <w:pPr>
              <w:spacing w:line="500" w:lineRule="exact"/>
              <w:ind w:firstLine="422" w:firstLineChars="176"/>
              <w:rPr>
                <w:rFonts w:ascii="Times New Roman" w:hAnsi="Times New Roman" w:eastAsia="宋体" w:cs="Times New Roman"/>
                <w:bCs/>
                <w:sz w:val="24"/>
                <w:szCs w:val="24"/>
              </w:rPr>
            </w:pPr>
            <w:r>
              <w:rPr>
                <w:rFonts w:ascii="Times New Roman" w:hAnsi="Times New Roman" w:eastAsia="宋体" w:cs="Times New Roman"/>
                <w:bCs/>
                <w:sz w:val="24"/>
                <w:szCs w:val="24"/>
              </w:rPr>
              <w:t>15</w:t>
            </w:r>
            <w:r>
              <w:rPr>
                <w:rFonts w:hint="eastAsia" w:ascii="Times New Roman" w:hAnsi="Times New Roman" w:eastAsia="宋体" w:cs="Times New Roman"/>
                <w:bCs/>
                <w:sz w:val="24"/>
                <w:szCs w:val="24"/>
                <w:lang w:eastAsia="zh-CN"/>
              </w:rPr>
              <w:t>.</w:t>
            </w:r>
            <w:r>
              <w:rPr>
                <w:rFonts w:ascii="Times New Roman" w:hAnsi="Arial" w:eastAsia="宋体" w:cs="Times New Roman"/>
                <w:bCs/>
                <w:sz w:val="24"/>
                <w:szCs w:val="24"/>
              </w:rPr>
              <w:t>权限管理</w:t>
            </w:r>
          </w:p>
          <w:p>
            <w:pPr>
              <w:spacing w:line="500" w:lineRule="exact"/>
              <w:ind w:firstLine="492" w:firstLineChars="176"/>
              <w:rPr>
                <w:rFonts w:ascii="Times New Roman" w:hAnsi="Times New Roman" w:eastAsia="宋体" w:cs="Times New Roman"/>
                <w:bCs/>
                <w:sz w:val="24"/>
                <w:szCs w:val="24"/>
              </w:rPr>
            </w:pPr>
            <w:r>
              <w:rPr>
                <w:rFonts w:hint="eastAsia" w:ascii="Times New Roman" w:eastAsia="宋体" w:cs="Times New Roman" w:hAnsiTheme="minorEastAsia"/>
                <w:sz w:val="28"/>
                <w:szCs w:val="28"/>
                <w:lang w:eastAsia="zh-CN"/>
              </w:rPr>
              <w:t>★</w:t>
            </w: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）系统支持决策者、管理者和普通用户的使用，不同级别人员具有不同</w:t>
            </w:r>
            <w:r>
              <w:rPr>
                <w:rFonts w:hint="eastAsia" w:ascii="Times New Roman" w:hAnsi="Arial" w:eastAsia="宋体" w:cs="Times New Roman"/>
                <w:bCs/>
                <w:sz w:val="24"/>
                <w:szCs w:val="24"/>
                <w:lang w:eastAsia="zh-CN"/>
              </w:rPr>
              <w:t>的</w:t>
            </w:r>
            <w:r>
              <w:rPr>
                <w:rFonts w:ascii="Times New Roman" w:hAnsi="Arial" w:eastAsia="宋体" w:cs="Times New Roman"/>
                <w:bCs/>
                <w:sz w:val="24"/>
                <w:szCs w:val="24"/>
              </w:rPr>
              <w:t>管理操作权限，操作页面</w:t>
            </w:r>
            <w:r>
              <w:rPr>
                <w:rFonts w:hint="eastAsia" w:ascii="Times New Roman" w:hAnsi="Arial" w:eastAsia="宋体" w:cs="Times New Roman"/>
                <w:bCs/>
                <w:sz w:val="24"/>
                <w:szCs w:val="24"/>
                <w:lang w:eastAsia="zh-CN"/>
              </w:rPr>
              <w:t>可以</w:t>
            </w:r>
            <w:r>
              <w:rPr>
                <w:rFonts w:ascii="Times New Roman" w:hAnsi="Arial" w:eastAsia="宋体" w:cs="Times New Roman"/>
                <w:bCs/>
                <w:sz w:val="24"/>
                <w:szCs w:val="24"/>
              </w:rPr>
              <w:t>根据</w:t>
            </w:r>
            <w:r>
              <w:rPr>
                <w:rFonts w:hint="eastAsia" w:ascii="Times New Roman" w:hAnsi="Arial" w:eastAsia="宋体" w:cs="Times New Roman"/>
                <w:bCs/>
                <w:sz w:val="24"/>
                <w:szCs w:val="24"/>
                <w:lang w:eastAsia="zh-CN"/>
              </w:rPr>
              <w:t>具体人员进行个性化</w:t>
            </w:r>
            <w:r>
              <w:rPr>
                <w:rFonts w:ascii="Times New Roman" w:hAnsi="Arial" w:eastAsia="宋体" w:cs="Times New Roman"/>
                <w:bCs/>
                <w:sz w:val="24"/>
                <w:szCs w:val="24"/>
              </w:rPr>
              <w:t>定制；</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）系统支持授权操作，</w:t>
            </w:r>
            <w:r>
              <w:rPr>
                <w:rFonts w:hint="eastAsia" w:ascii="Times New Roman" w:hAnsi="Arial" w:eastAsia="宋体" w:cs="Times New Roman"/>
                <w:bCs/>
                <w:sz w:val="24"/>
                <w:szCs w:val="24"/>
                <w:lang w:eastAsia="zh-CN"/>
              </w:rPr>
              <w:t>可以将</w:t>
            </w:r>
            <w:r>
              <w:rPr>
                <w:rFonts w:ascii="Times New Roman" w:hAnsi="Arial" w:eastAsia="宋体" w:cs="Times New Roman"/>
                <w:bCs/>
                <w:sz w:val="24"/>
                <w:szCs w:val="24"/>
              </w:rPr>
              <w:t>具体业务的权限、范围、时间向下授权，非授权用户禁止非法操作；</w:t>
            </w:r>
          </w:p>
          <w:p>
            <w:pPr>
              <w:spacing w:line="500" w:lineRule="exact"/>
              <w:ind w:firstLine="422" w:firstLineChars="176"/>
              <w:rPr>
                <w:rFonts w:ascii="Times New Roman" w:hAnsi="Times New Roman" w:cs="Times New Roman"/>
                <w:b/>
                <w:sz w:val="18"/>
                <w:szCs w:val="18"/>
              </w:rPr>
            </w:pPr>
            <w:r>
              <w:rPr>
                <w:rFonts w:ascii="Times New Roman" w:hAnsi="Arial" w:eastAsia="宋体" w:cs="Times New Roman"/>
                <w:bCs/>
                <w:sz w:val="24"/>
                <w:szCs w:val="24"/>
              </w:rPr>
              <w:t>（</w:t>
            </w:r>
            <w:r>
              <w:rPr>
                <w:rFonts w:ascii="Times New Roman" w:hAnsi="Times New Roman" w:eastAsia="宋体" w:cs="Times New Roman"/>
                <w:bCs/>
                <w:sz w:val="24"/>
                <w:szCs w:val="24"/>
              </w:rPr>
              <w:t>3</w:t>
            </w:r>
            <w:r>
              <w:rPr>
                <w:rFonts w:ascii="Times New Roman" w:hAnsi="Arial" w:eastAsia="宋体" w:cs="Times New Roman"/>
                <w:bCs/>
                <w:sz w:val="24"/>
                <w:szCs w:val="24"/>
              </w:rPr>
              <w:t>）系统支持角色授权管理，用户角色变更后其操作权限自动调整，</w:t>
            </w:r>
            <w:r>
              <w:rPr>
                <w:rFonts w:hint="eastAsia" w:ascii="Times New Roman" w:hAnsi="Arial" w:eastAsia="宋体" w:cs="Times New Roman"/>
                <w:bCs/>
                <w:sz w:val="24"/>
                <w:szCs w:val="24"/>
                <w:lang w:eastAsia="zh-CN"/>
              </w:rPr>
              <w:t>提供日志保护机制，通过</w:t>
            </w:r>
            <w:r>
              <w:rPr>
                <w:rFonts w:ascii="Times New Roman" w:hAnsi="Arial" w:eastAsia="宋体" w:cs="Times New Roman"/>
                <w:bCs/>
                <w:sz w:val="24"/>
                <w:szCs w:val="24"/>
              </w:rPr>
              <w:t>日志记录授权情况和操作信息。</w:t>
            </w:r>
          </w:p>
        </w:tc>
        <w:tc>
          <w:tcPr>
            <w:tcW w:w="852" w:type="dxa"/>
            <w:vAlign w:val="center"/>
          </w:tcPr>
          <w:p>
            <w:pPr>
              <w:spacing w:line="500" w:lineRule="exact"/>
              <w:ind w:firstLine="422" w:firstLineChars="176"/>
              <w:rPr>
                <w:rFonts w:hint="eastAsia" w:ascii="Times New Roman" w:hAnsi="Arial" w:eastAsia="宋体" w:cs="Times New Roman"/>
                <w:bCs/>
                <w:sz w:val="24"/>
                <w:szCs w:val="24"/>
                <w:lang w:val="en-US" w:eastAsia="zh-CN"/>
              </w:rPr>
            </w:pPr>
            <w:r>
              <w:rPr>
                <w:rFonts w:hint="eastAsia" w:ascii="Times New Roman" w:hAnsi="Arial" w:cs="Times New Roman"/>
                <w:bCs/>
                <w:sz w:val="24"/>
                <w:szCs w:val="24"/>
                <w:lang w:val="en-US" w:eastAsia="zh-CN"/>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76" w:hRule="atLeast"/>
        </w:trPr>
        <w:tc>
          <w:tcPr>
            <w:tcW w:w="515" w:type="dxa"/>
            <w:vAlign w:val="center"/>
          </w:tcPr>
          <w:p>
            <w:pPr>
              <w:spacing w:line="500" w:lineRule="exact"/>
              <w:jc w:val="center"/>
              <w:rPr>
                <w:b/>
                <w:sz w:val="28"/>
                <w:szCs w:val="28"/>
              </w:rPr>
            </w:pPr>
            <w:r>
              <w:rPr>
                <w:rFonts w:hint="eastAsia"/>
                <w:b/>
                <w:bCs w:val="0"/>
                <w:sz w:val="28"/>
                <w:szCs w:val="28"/>
              </w:rPr>
              <w:t>2</w:t>
            </w:r>
          </w:p>
        </w:tc>
        <w:tc>
          <w:tcPr>
            <w:tcW w:w="938" w:type="dxa"/>
            <w:vAlign w:val="center"/>
          </w:tcPr>
          <w:p>
            <w:pPr>
              <w:spacing w:line="500" w:lineRule="exact"/>
              <w:jc w:val="center"/>
              <w:rPr>
                <w:b/>
                <w:sz w:val="18"/>
                <w:szCs w:val="18"/>
              </w:rPr>
            </w:pPr>
          </w:p>
        </w:tc>
        <w:tc>
          <w:tcPr>
            <w:tcW w:w="6210" w:type="dxa"/>
            <w:vAlign w:val="center"/>
          </w:tcPr>
          <w:p>
            <w:pPr>
              <w:spacing w:line="500" w:lineRule="exact"/>
              <w:jc w:val="left"/>
              <w:rPr>
                <w:rFonts w:ascii="Times New Roman" w:hAnsi="Times New Roman" w:eastAsia="黑体" w:cs="Times New Roman"/>
                <w:bCs/>
                <w:sz w:val="24"/>
                <w:szCs w:val="24"/>
              </w:rPr>
            </w:pPr>
            <w:r>
              <w:rPr>
                <w:rFonts w:ascii="Times New Roman" w:hAnsi="黑体" w:eastAsia="黑体" w:cs="Times New Roman"/>
                <w:bCs/>
                <w:sz w:val="24"/>
                <w:szCs w:val="24"/>
              </w:rPr>
              <w:t>项目完成时间及实施要求</w:t>
            </w:r>
          </w:p>
          <w:p>
            <w:pPr>
              <w:spacing w:line="500" w:lineRule="exact"/>
              <w:ind w:firstLine="422" w:firstLineChars="176"/>
              <w:rPr>
                <w:rFonts w:ascii="Times New Roman" w:hAnsi="Times New Roman" w:eastAsia="楷体_GB2312" w:cs="Times New Roman"/>
                <w:bCs/>
                <w:sz w:val="24"/>
                <w:szCs w:val="24"/>
              </w:rPr>
            </w:pPr>
            <w:r>
              <w:rPr>
                <w:rFonts w:ascii="Times New Roman" w:hAnsi="楷体_GB2312" w:eastAsia="楷体_GB2312" w:cs="Times New Roman"/>
                <w:bCs/>
                <w:sz w:val="24"/>
                <w:szCs w:val="24"/>
              </w:rPr>
              <w:t>（</w:t>
            </w:r>
            <w:r>
              <w:rPr>
                <w:rFonts w:ascii="Times New Roman" w:hAnsi="Times New Roman" w:eastAsia="楷体_GB2312" w:cs="Times New Roman"/>
                <w:bCs/>
                <w:sz w:val="24"/>
                <w:szCs w:val="24"/>
              </w:rPr>
              <w:t>1</w:t>
            </w:r>
            <w:r>
              <w:rPr>
                <w:rFonts w:ascii="Times New Roman" w:hAnsi="楷体_GB2312" w:eastAsia="楷体_GB2312" w:cs="Times New Roman"/>
                <w:bCs/>
                <w:sz w:val="24"/>
                <w:szCs w:val="24"/>
              </w:rPr>
              <w:t>）完成时间</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自合同生效之日起</w:t>
            </w:r>
            <w:r>
              <w:rPr>
                <w:rFonts w:hint="eastAsia" w:ascii="Times New Roman" w:hAnsi="Times New Roman" w:eastAsia="宋体" w:cs="Times New Roman"/>
                <w:bCs/>
                <w:sz w:val="24"/>
                <w:szCs w:val="24"/>
                <w:lang w:val="en-US" w:eastAsia="zh-CN"/>
              </w:rPr>
              <w:t>120</w:t>
            </w:r>
            <w:r>
              <w:rPr>
                <w:rFonts w:ascii="Times New Roman" w:hAnsi="Arial" w:eastAsia="宋体" w:cs="Times New Roman"/>
                <w:bCs/>
                <w:sz w:val="24"/>
                <w:szCs w:val="24"/>
              </w:rPr>
              <w:t>个日历日内，</w:t>
            </w:r>
            <w:r>
              <w:rPr>
                <w:rFonts w:hint="eastAsia" w:ascii="Times New Roman" w:hAnsi="Arial" w:eastAsia="宋体" w:cs="Times New Roman"/>
                <w:bCs/>
                <w:sz w:val="24"/>
                <w:szCs w:val="24"/>
                <w:lang w:val="en-US" w:eastAsia="zh-CN"/>
              </w:rPr>
              <w:t>系统正式上线运行</w:t>
            </w:r>
            <w:r>
              <w:rPr>
                <w:rFonts w:ascii="Times New Roman" w:hAnsi="Arial" w:eastAsia="宋体" w:cs="Times New Roman"/>
                <w:bCs/>
                <w:sz w:val="24"/>
                <w:szCs w:val="24"/>
              </w:rPr>
              <w:t>。</w:t>
            </w:r>
          </w:p>
          <w:p>
            <w:pPr>
              <w:spacing w:line="500" w:lineRule="exact"/>
              <w:ind w:firstLine="422" w:firstLineChars="176"/>
              <w:rPr>
                <w:rFonts w:ascii="Times New Roman" w:hAnsi="Times New Roman" w:eastAsia="楷体_GB2312" w:cs="Times New Roman"/>
                <w:bCs/>
                <w:sz w:val="24"/>
                <w:szCs w:val="24"/>
              </w:rPr>
            </w:pPr>
            <w:r>
              <w:rPr>
                <w:rFonts w:ascii="Times New Roman" w:hAnsi="楷体_GB2312" w:eastAsia="楷体_GB2312" w:cs="Times New Roman"/>
                <w:bCs/>
                <w:sz w:val="24"/>
                <w:szCs w:val="24"/>
              </w:rPr>
              <w:t>（</w:t>
            </w:r>
            <w:r>
              <w:rPr>
                <w:rFonts w:ascii="Times New Roman" w:hAnsi="Times New Roman" w:eastAsia="楷体_GB2312" w:cs="Times New Roman"/>
                <w:bCs/>
                <w:sz w:val="24"/>
                <w:szCs w:val="24"/>
              </w:rPr>
              <w:t>2</w:t>
            </w:r>
            <w:r>
              <w:rPr>
                <w:rFonts w:ascii="Times New Roman" w:hAnsi="楷体_GB2312" w:eastAsia="楷体_GB2312" w:cs="Times New Roman"/>
                <w:bCs/>
                <w:sz w:val="24"/>
                <w:szCs w:val="24"/>
              </w:rPr>
              <w:t>）技术人员要求</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项目经理必须获得</w:t>
            </w:r>
            <w:r>
              <w:rPr>
                <w:rFonts w:hint="eastAsia" w:ascii="Times New Roman" w:hAnsi="Times New Roman" w:eastAsia="宋体" w:cs="Times New Roman"/>
                <w:bCs/>
                <w:sz w:val="24"/>
                <w:szCs w:val="24"/>
                <w:lang w:eastAsia="zh-CN"/>
              </w:rPr>
              <w:t>相应的资格</w:t>
            </w:r>
            <w:r>
              <w:rPr>
                <w:rFonts w:ascii="Times New Roman" w:hAnsi="Arial" w:eastAsia="宋体" w:cs="Times New Roman"/>
                <w:bCs/>
                <w:sz w:val="24"/>
                <w:szCs w:val="24"/>
              </w:rPr>
              <w:t>认证，</w:t>
            </w:r>
            <w:r>
              <w:rPr>
                <w:rFonts w:hint="eastAsia" w:ascii="Times New Roman" w:hAnsi="Arial" w:eastAsia="宋体" w:cs="Times New Roman"/>
                <w:bCs/>
                <w:sz w:val="24"/>
                <w:szCs w:val="24"/>
                <w:lang w:eastAsia="zh-CN"/>
              </w:rPr>
              <w:t>系统正式上线运行前</w:t>
            </w:r>
            <w:r>
              <w:rPr>
                <w:rFonts w:ascii="Times New Roman" w:hAnsi="Arial" w:eastAsia="宋体" w:cs="Times New Roman"/>
                <w:bCs/>
                <w:sz w:val="24"/>
                <w:szCs w:val="24"/>
              </w:rPr>
              <w:t>提供驻场实施服务</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（需提供证书）</w:t>
            </w:r>
          </w:p>
          <w:p>
            <w:pPr>
              <w:spacing w:line="500" w:lineRule="exact"/>
              <w:ind w:firstLine="422" w:firstLineChars="176"/>
              <w:rPr>
                <w:rFonts w:hint="eastAsia" w:ascii="Times New Roman" w:hAnsi="Arial" w:eastAsia="宋体" w:cs="Times New Roman"/>
                <w:bCs/>
                <w:sz w:val="24"/>
                <w:szCs w:val="24"/>
                <w:lang w:eastAsia="zh-CN"/>
              </w:rPr>
            </w:pPr>
            <w:r>
              <w:rPr>
                <w:rFonts w:hint="eastAsia" w:ascii="Times New Roman" w:hAnsi="Arial" w:eastAsia="宋体" w:cs="Times New Roman"/>
                <w:bCs/>
                <w:sz w:val="24"/>
                <w:szCs w:val="24"/>
                <w:lang w:eastAsia="zh-CN"/>
              </w:rPr>
              <w:t>在进行需求调研、系统配置和测试工作时，</w:t>
            </w:r>
            <w:r>
              <w:rPr>
                <w:rFonts w:ascii="Times New Roman" w:hAnsi="Arial" w:eastAsia="宋体" w:cs="Times New Roman"/>
                <w:bCs/>
                <w:sz w:val="24"/>
                <w:szCs w:val="24"/>
              </w:rPr>
              <w:t>需</w:t>
            </w:r>
            <w:r>
              <w:rPr>
                <w:rFonts w:hint="eastAsia" w:ascii="Times New Roman" w:hAnsi="Arial" w:eastAsia="宋体" w:cs="Times New Roman"/>
                <w:bCs/>
                <w:sz w:val="24"/>
                <w:szCs w:val="24"/>
                <w:lang w:eastAsia="zh-CN"/>
              </w:rPr>
              <w:t>保证除项目经理以外，</w:t>
            </w:r>
            <w:r>
              <w:rPr>
                <w:rFonts w:ascii="Times New Roman" w:hAnsi="Arial" w:eastAsia="宋体" w:cs="Times New Roman"/>
                <w:bCs/>
                <w:sz w:val="24"/>
                <w:szCs w:val="24"/>
              </w:rPr>
              <w:t>不少于</w:t>
            </w:r>
            <w:r>
              <w:rPr>
                <w:rFonts w:ascii="Times New Roman" w:hAnsi="Times New Roman" w:eastAsia="宋体" w:cs="Times New Roman"/>
                <w:bCs/>
                <w:sz w:val="24"/>
                <w:szCs w:val="24"/>
              </w:rPr>
              <w:t>2</w:t>
            </w:r>
            <w:r>
              <w:rPr>
                <w:rFonts w:ascii="Times New Roman" w:hAnsi="Arial" w:eastAsia="宋体" w:cs="Times New Roman"/>
                <w:bCs/>
                <w:sz w:val="24"/>
                <w:szCs w:val="24"/>
              </w:rPr>
              <w:t>人到现场提供技术服务</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均</w:t>
            </w:r>
            <w:r>
              <w:rPr>
                <w:rFonts w:hint="eastAsia" w:ascii="Times New Roman" w:hAnsi="Arial" w:eastAsia="宋体" w:cs="Times New Roman"/>
                <w:bCs/>
                <w:sz w:val="24"/>
                <w:szCs w:val="24"/>
                <w:lang w:eastAsia="zh-CN"/>
              </w:rPr>
              <w:t>应</w:t>
            </w:r>
            <w:r>
              <w:rPr>
                <w:rFonts w:ascii="Times New Roman" w:hAnsi="Arial" w:eastAsia="宋体" w:cs="Times New Roman"/>
                <w:bCs/>
                <w:sz w:val="24"/>
                <w:szCs w:val="24"/>
              </w:rPr>
              <w:t>有在公司工作超过</w:t>
            </w:r>
            <w:r>
              <w:rPr>
                <w:rFonts w:ascii="Times New Roman" w:hAnsi="Times New Roman" w:eastAsia="宋体" w:cs="Times New Roman"/>
                <w:bCs/>
                <w:sz w:val="24"/>
                <w:szCs w:val="24"/>
              </w:rPr>
              <w:t>3</w:t>
            </w:r>
            <w:r>
              <w:rPr>
                <w:rFonts w:ascii="Times New Roman" w:hAnsi="Arial" w:eastAsia="宋体" w:cs="Times New Roman"/>
                <w:bCs/>
                <w:sz w:val="24"/>
                <w:szCs w:val="24"/>
              </w:rPr>
              <w:t>年的工作经历，需提供工作简历和证明材料</w:t>
            </w:r>
            <w:r>
              <w:rPr>
                <w:rFonts w:hint="eastAsia" w:ascii="Times New Roman" w:hAnsi="Arial" w:eastAsia="宋体" w:cs="Times New Roman"/>
                <w:bCs/>
                <w:sz w:val="24"/>
                <w:szCs w:val="24"/>
                <w:lang w:eastAsia="zh-CN"/>
              </w:rPr>
              <w:t>）</w:t>
            </w:r>
          </w:p>
          <w:p>
            <w:pPr>
              <w:spacing w:line="500" w:lineRule="exact"/>
              <w:ind w:firstLine="422" w:firstLineChars="176"/>
              <w:rPr>
                <w:rFonts w:ascii="Times New Roman" w:hAnsi="Times New Roman" w:eastAsia="楷体_GB2312" w:cs="Times New Roman"/>
                <w:bCs/>
                <w:sz w:val="24"/>
                <w:szCs w:val="24"/>
              </w:rPr>
            </w:pPr>
            <w:r>
              <w:rPr>
                <w:rFonts w:ascii="Times New Roman" w:hAnsi="楷体_GB2312" w:eastAsia="楷体_GB2312" w:cs="Times New Roman"/>
                <w:bCs/>
                <w:sz w:val="24"/>
                <w:szCs w:val="24"/>
              </w:rPr>
              <w:t>（</w:t>
            </w:r>
            <w:r>
              <w:rPr>
                <w:rFonts w:ascii="Times New Roman" w:hAnsi="Times New Roman" w:eastAsia="楷体_GB2312" w:cs="Times New Roman"/>
                <w:bCs/>
                <w:sz w:val="24"/>
                <w:szCs w:val="24"/>
              </w:rPr>
              <w:t>3</w:t>
            </w:r>
            <w:r>
              <w:rPr>
                <w:rFonts w:ascii="Times New Roman" w:hAnsi="楷体_GB2312" w:eastAsia="楷体_GB2312" w:cs="Times New Roman"/>
                <w:bCs/>
                <w:sz w:val="24"/>
                <w:szCs w:val="24"/>
              </w:rPr>
              <w:t>）实施地点</w:t>
            </w:r>
          </w:p>
          <w:p>
            <w:pPr>
              <w:spacing w:line="500" w:lineRule="exact"/>
              <w:ind w:firstLine="422" w:firstLineChars="176"/>
              <w:rPr>
                <w:rFonts w:ascii="Times New Roman" w:hAnsi="Times New Roman" w:cs="Times New Roman"/>
                <w:b/>
                <w:sz w:val="18"/>
                <w:szCs w:val="18"/>
              </w:rPr>
            </w:pPr>
            <w:r>
              <w:rPr>
                <w:rFonts w:ascii="Times New Roman" w:hAnsi="Arial" w:eastAsia="宋体" w:cs="Times New Roman"/>
                <w:bCs/>
                <w:sz w:val="24"/>
                <w:szCs w:val="24"/>
              </w:rPr>
              <w:t>西北大学（用户指定地点）</w:t>
            </w:r>
          </w:p>
        </w:tc>
        <w:tc>
          <w:tcPr>
            <w:tcW w:w="852" w:type="dxa"/>
            <w:vAlign w:val="center"/>
          </w:tcPr>
          <w:p>
            <w:pPr>
              <w:spacing w:line="500" w:lineRule="exact"/>
              <w:ind w:firstLine="422" w:firstLineChars="176"/>
              <w:rPr>
                <w:rFonts w:ascii="Times New Roman" w:hAnsi="Arial" w:eastAsia="宋体" w:cs="Times New Roman"/>
                <w:bCs/>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76" w:hRule="atLeast"/>
        </w:trPr>
        <w:tc>
          <w:tcPr>
            <w:tcW w:w="515" w:type="dxa"/>
            <w:vAlign w:val="center"/>
          </w:tcPr>
          <w:p>
            <w:pPr>
              <w:spacing w:line="500" w:lineRule="exact"/>
              <w:jc w:val="center"/>
              <w:rPr>
                <w:b/>
                <w:sz w:val="28"/>
                <w:szCs w:val="28"/>
              </w:rPr>
            </w:pPr>
            <w:r>
              <w:rPr>
                <w:rFonts w:hint="eastAsia"/>
                <w:b/>
                <w:sz w:val="28"/>
                <w:szCs w:val="28"/>
              </w:rPr>
              <w:t>3</w:t>
            </w:r>
          </w:p>
        </w:tc>
        <w:tc>
          <w:tcPr>
            <w:tcW w:w="938" w:type="dxa"/>
            <w:vAlign w:val="center"/>
          </w:tcPr>
          <w:p>
            <w:pPr>
              <w:spacing w:line="500" w:lineRule="exact"/>
              <w:jc w:val="center"/>
              <w:rPr>
                <w:b/>
                <w:sz w:val="18"/>
                <w:szCs w:val="18"/>
              </w:rPr>
            </w:pPr>
          </w:p>
        </w:tc>
        <w:tc>
          <w:tcPr>
            <w:tcW w:w="6210" w:type="dxa"/>
            <w:vAlign w:val="center"/>
          </w:tcPr>
          <w:p>
            <w:pPr>
              <w:spacing w:line="500" w:lineRule="exact"/>
              <w:jc w:val="left"/>
              <w:rPr>
                <w:rFonts w:ascii="Times New Roman" w:hAnsi="Times New Roman" w:eastAsia="黑体" w:cs="Times New Roman"/>
                <w:bCs/>
                <w:sz w:val="24"/>
                <w:szCs w:val="24"/>
              </w:rPr>
            </w:pPr>
            <w:r>
              <w:rPr>
                <w:rFonts w:ascii="Times New Roman" w:hAnsi="黑体" w:eastAsia="黑体" w:cs="Times New Roman"/>
                <w:bCs/>
                <w:sz w:val="24"/>
                <w:szCs w:val="24"/>
              </w:rPr>
              <w:t>售后和培训要求</w:t>
            </w:r>
          </w:p>
          <w:p>
            <w:pPr>
              <w:spacing w:line="500" w:lineRule="exact"/>
              <w:ind w:firstLine="422" w:firstLineChars="176"/>
              <w:rPr>
                <w:rFonts w:ascii="Times New Roman" w:hAnsi="Times New Roman" w:eastAsia="楷体_GB2312" w:cs="Times New Roman"/>
                <w:bCs/>
                <w:sz w:val="24"/>
                <w:szCs w:val="24"/>
              </w:rPr>
            </w:pPr>
            <w:r>
              <w:rPr>
                <w:rFonts w:ascii="Times New Roman" w:hAnsi="楷体_GB2312" w:eastAsia="楷体_GB2312" w:cs="Times New Roman"/>
                <w:bCs/>
                <w:sz w:val="24"/>
                <w:szCs w:val="24"/>
              </w:rPr>
              <w:t>（一）售后服务要求</w:t>
            </w:r>
          </w:p>
          <w:p>
            <w:pPr>
              <w:spacing w:line="500" w:lineRule="exact"/>
              <w:ind w:firstLine="422" w:firstLineChars="176"/>
              <w:rPr>
                <w:rFonts w:ascii="Times New Roman" w:hAnsi="Times New Roman" w:eastAsia="宋体" w:cs="Times New Roman"/>
                <w:bCs/>
                <w:sz w:val="24"/>
                <w:szCs w:val="24"/>
              </w:rPr>
            </w:pPr>
            <w:r>
              <w:rPr>
                <w:rFonts w:hint="eastAsia" w:ascii="Times New Roman" w:hAnsi="Arial" w:eastAsia="宋体" w:cs="Times New Roman"/>
                <w:bCs/>
                <w:sz w:val="24"/>
                <w:szCs w:val="24"/>
                <w:lang w:eastAsia="zh-CN"/>
              </w:rPr>
              <w:t>（</w:t>
            </w:r>
            <w:r>
              <w:rPr>
                <w:rFonts w:hint="eastAsia" w:ascii="Times New Roman" w:hAnsi="Arial" w:eastAsia="宋体" w:cs="Times New Roman"/>
                <w:bCs/>
                <w:sz w:val="24"/>
                <w:szCs w:val="24"/>
                <w:lang w:val="en-US" w:eastAsia="zh-CN"/>
              </w:rPr>
              <w:t>1</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提供系统安装光盘和操作说明；</w:t>
            </w:r>
          </w:p>
          <w:p>
            <w:pPr>
              <w:spacing w:line="500" w:lineRule="exact"/>
              <w:ind w:firstLine="422" w:firstLineChars="176"/>
              <w:rPr>
                <w:rFonts w:hint="eastAsia" w:ascii="Times New Roman" w:hAnsi="Arial" w:eastAsia="宋体" w:cs="Times New Roman"/>
                <w:bCs/>
                <w:sz w:val="24"/>
                <w:szCs w:val="24"/>
                <w:lang w:val="en-US" w:eastAsia="zh-CN"/>
              </w:rPr>
            </w:pPr>
            <w:r>
              <w:rPr>
                <w:rFonts w:hint="eastAsia" w:ascii="Times New Roman" w:hAnsi="Arial" w:eastAsia="宋体" w:cs="Times New Roman"/>
                <w:bCs/>
                <w:sz w:val="24"/>
                <w:szCs w:val="24"/>
                <w:lang w:eastAsia="zh-CN"/>
              </w:rPr>
              <w:t>（</w:t>
            </w:r>
            <w:r>
              <w:rPr>
                <w:rFonts w:hint="eastAsia" w:ascii="Times New Roman" w:hAnsi="Arial" w:eastAsia="宋体" w:cs="Times New Roman"/>
                <w:bCs/>
                <w:sz w:val="24"/>
                <w:szCs w:val="24"/>
                <w:lang w:val="en-US" w:eastAsia="zh-CN"/>
              </w:rPr>
              <w:t>2</w:t>
            </w:r>
            <w:r>
              <w:rPr>
                <w:rFonts w:hint="eastAsia" w:ascii="Times New Roman" w:hAnsi="Arial" w:eastAsia="宋体" w:cs="Times New Roman"/>
                <w:bCs/>
                <w:sz w:val="24"/>
                <w:szCs w:val="24"/>
                <w:lang w:eastAsia="zh-CN"/>
              </w:rPr>
              <w:t>）应具有专业化的本地售后服务</w:t>
            </w:r>
            <w:r>
              <w:rPr>
                <w:rFonts w:ascii="Times New Roman" w:hAnsi="Arial" w:eastAsia="宋体" w:cs="Times New Roman"/>
                <w:bCs/>
                <w:sz w:val="24"/>
                <w:szCs w:val="24"/>
              </w:rPr>
              <w:t>团队</w:t>
            </w:r>
            <w:r>
              <w:rPr>
                <w:rFonts w:hint="eastAsia" w:ascii="Times New Roman" w:hAnsi="Arial" w:eastAsia="宋体" w:cs="Times New Roman"/>
                <w:bCs/>
                <w:sz w:val="24"/>
                <w:szCs w:val="24"/>
                <w:lang w:eastAsia="zh-CN"/>
              </w:rPr>
              <w:t>，提供</w:t>
            </w:r>
            <w:r>
              <w:rPr>
                <w:rFonts w:hint="eastAsia" w:ascii="Times New Roman" w:hAnsi="Arial" w:eastAsia="宋体" w:cs="Times New Roman"/>
                <w:bCs/>
                <w:sz w:val="24"/>
                <w:szCs w:val="24"/>
                <w:lang w:val="en-US" w:eastAsia="zh-CN"/>
              </w:rPr>
              <w:t>3年免费质保，其中第1年提供上门服务，后2年可采用远程方式；</w:t>
            </w:r>
          </w:p>
          <w:p>
            <w:pPr>
              <w:spacing w:line="500" w:lineRule="exact"/>
              <w:ind w:firstLine="422" w:firstLineChars="176"/>
              <w:rPr>
                <w:rFonts w:ascii="Times New Roman" w:hAnsi="Times New Roman" w:eastAsia="宋体" w:cs="Times New Roman"/>
                <w:bCs/>
                <w:sz w:val="24"/>
                <w:szCs w:val="24"/>
              </w:rPr>
            </w:pPr>
            <w:r>
              <w:rPr>
                <w:rFonts w:hint="eastAsia" w:ascii="Times New Roman" w:hAnsi="Arial" w:eastAsia="宋体" w:cs="Times New Roman"/>
                <w:bCs/>
                <w:sz w:val="24"/>
                <w:szCs w:val="24"/>
                <w:lang w:val="en-US" w:eastAsia="zh-CN"/>
              </w:rPr>
              <w:t>（3）质保期内，</w:t>
            </w:r>
            <w:r>
              <w:rPr>
                <w:rFonts w:ascii="Times New Roman" w:hAnsi="Arial" w:eastAsia="宋体" w:cs="Times New Roman"/>
                <w:bCs/>
                <w:sz w:val="24"/>
                <w:szCs w:val="24"/>
              </w:rPr>
              <w:t>免费协助学校完成</w:t>
            </w:r>
            <w:r>
              <w:rPr>
                <w:rFonts w:hint="eastAsia" w:ascii="Times New Roman" w:hAnsi="Arial" w:eastAsia="宋体" w:cs="Times New Roman"/>
                <w:bCs/>
                <w:sz w:val="24"/>
                <w:szCs w:val="24"/>
                <w:lang w:eastAsia="zh-CN"/>
              </w:rPr>
              <w:t>本</w:t>
            </w:r>
            <w:r>
              <w:rPr>
                <w:rFonts w:ascii="Times New Roman" w:hAnsi="Arial" w:eastAsia="宋体" w:cs="Times New Roman"/>
                <w:bCs/>
                <w:sz w:val="24"/>
                <w:szCs w:val="24"/>
              </w:rPr>
              <w:t>系统与学校智慧校园</w:t>
            </w:r>
            <w:r>
              <w:rPr>
                <w:rFonts w:hint="eastAsia" w:ascii="Times New Roman" w:hAnsi="Arial" w:eastAsia="宋体" w:cs="Times New Roman"/>
                <w:bCs/>
                <w:sz w:val="24"/>
                <w:szCs w:val="24"/>
                <w:lang w:eastAsia="zh-CN"/>
              </w:rPr>
              <w:t>平台和</w:t>
            </w:r>
            <w:r>
              <w:rPr>
                <w:rFonts w:ascii="Times New Roman" w:hAnsi="Arial" w:eastAsia="宋体" w:cs="Times New Roman"/>
                <w:bCs/>
                <w:sz w:val="24"/>
                <w:szCs w:val="24"/>
              </w:rPr>
              <w:t>其他业务系统的</w:t>
            </w:r>
            <w:r>
              <w:rPr>
                <w:rFonts w:hint="eastAsia" w:ascii="Times New Roman" w:hAnsi="Arial" w:eastAsia="宋体" w:cs="Times New Roman"/>
                <w:bCs/>
                <w:sz w:val="24"/>
                <w:szCs w:val="24"/>
                <w:lang w:eastAsia="zh-CN"/>
              </w:rPr>
              <w:t>集成对接，</w:t>
            </w:r>
            <w:r>
              <w:rPr>
                <w:rFonts w:hint="eastAsia" w:ascii="Times New Roman" w:hAnsi="Arial" w:eastAsia="宋体" w:cs="Times New Roman"/>
                <w:bCs/>
                <w:sz w:val="24"/>
                <w:szCs w:val="24"/>
                <w:lang w:val="en-US" w:eastAsia="zh-CN"/>
              </w:rPr>
              <w:t>且需承诺</w:t>
            </w:r>
            <w:r>
              <w:rPr>
                <w:rFonts w:ascii="Times New Roman" w:hAnsi="Arial" w:eastAsia="宋体" w:cs="Times New Roman"/>
                <w:bCs/>
                <w:sz w:val="24"/>
                <w:szCs w:val="24"/>
              </w:rPr>
              <w:t>系统的具体</w:t>
            </w:r>
            <w:r>
              <w:rPr>
                <w:rFonts w:hint="eastAsia" w:ascii="Times New Roman" w:hAnsi="Arial" w:eastAsia="宋体" w:cs="Times New Roman"/>
                <w:bCs/>
                <w:sz w:val="24"/>
                <w:szCs w:val="24"/>
                <w:lang w:eastAsia="zh-CN"/>
              </w:rPr>
              <w:t>功能</w:t>
            </w:r>
            <w:r>
              <w:rPr>
                <w:rFonts w:ascii="Times New Roman" w:hAnsi="Arial" w:eastAsia="宋体" w:cs="Times New Roman"/>
                <w:bCs/>
                <w:sz w:val="24"/>
                <w:szCs w:val="24"/>
              </w:rPr>
              <w:t>以业务部门的</w:t>
            </w:r>
            <w:r>
              <w:rPr>
                <w:rFonts w:hint="eastAsia" w:ascii="Times New Roman" w:hAnsi="Arial" w:eastAsia="宋体" w:cs="Times New Roman"/>
                <w:bCs/>
                <w:sz w:val="24"/>
                <w:szCs w:val="24"/>
                <w:lang w:eastAsia="zh-CN"/>
              </w:rPr>
              <w:t>最终</w:t>
            </w:r>
            <w:r>
              <w:rPr>
                <w:rFonts w:ascii="Times New Roman" w:hAnsi="Arial" w:eastAsia="宋体" w:cs="Times New Roman"/>
                <w:bCs/>
                <w:sz w:val="24"/>
                <w:szCs w:val="24"/>
              </w:rPr>
              <w:t>实际需求为准</w:t>
            </w:r>
            <w:r>
              <w:rPr>
                <w:rFonts w:hint="eastAsia" w:ascii="Times New Roman" w:hAnsi="Arial" w:eastAsia="宋体" w:cs="Times New Roman"/>
                <w:bCs/>
                <w:sz w:val="24"/>
                <w:szCs w:val="24"/>
                <w:lang w:eastAsia="zh-CN"/>
              </w:rPr>
              <w:t>，</w:t>
            </w:r>
            <w:r>
              <w:rPr>
                <w:rFonts w:hint="eastAsia" w:ascii="Times New Roman" w:hAnsi="Arial" w:eastAsia="宋体" w:cs="Times New Roman"/>
                <w:bCs/>
                <w:sz w:val="24"/>
                <w:szCs w:val="24"/>
                <w:lang w:val="en-US" w:eastAsia="zh-CN"/>
              </w:rPr>
              <w:t>系统小版本升级免费，</w:t>
            </w:r>
            <w:r>
              <w:rPr>
                <w:rFonts w:hint="eastAsia" w:ascii="Times New Roman" w:hAnsi="Arial" w:eastAsia="宋体" w:cs="Times New Roman"/>
                <w:bCs/>
                <w:sz w:val="24"/>
                <w:szCs w:val="24"/>
                <w:lang w:eastAsia="zh-CN"/>
              </w:rPr>
              <w:t>所有系统维护服务要求工作日内1小时服务响应，维护工程师应在接到保障申请后，4个小时内现场处理系统出现的故障，</w:t>
            </w:r>
            <w:r>
              <w:rPr>
                <w:rFonts w:ascii="Times New Roman" w:hAnsi="Times New Roman" w:eastAsia="宋体" w:cs="Times New Roman"/>
                <w:bCs/>
                <w:sz w:val="24"/>
                <w:szCs w:val="24"/>
              </w:rPr>
              <w:t>6</w:t>
            </w:r>
            <w:r>
              <w:rPr>
                <w:rFonts w:ascii="Times New Roman" w:hAnsi="Arial" w:eastAsia="宋体" w:cs="Times New Roman"/>
                <w:bCs/>
                <w:sz w:val="24"/>
                <w:szCs w:val="24"/>
              </w:rPr>
              <w:t>小时内解决重大或紧急故障</w:t>
            </w:r>
            <w:r>
              <w:rPr>
                <w:rFonts w:hint="eastAsia" w:ascii="Times New Roman" w:hAnsi="Arial" w:eastAsia="宋体" w:cs="Times New Roman"/>
                <w:bCs/>
                <w:sz w:val="24"/>
                <w:szCs w:val="24"/>
                <w:lang w:eastAsia="zh-CN"/>
              </w:rPr>
              <w:t>并</w:t>
            </w:r>
            <w:r>
              <w:rPr>
                <w:rFonts w:ascii="Times New Roman" w:hAnsi="Arial" w:eastAsia="宋体" w:cs="Times New Roman"/>
                <w:bCs/>
                <w:sz w:val="24"/>
                <w:szCs w:val="24"/>
              </w:rPr>
              <w:t>恢复系统正常运行</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一年内每季度进行一次系统运行及安全性能检测</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要求投标人对请求响应流程进行详细描述</w:t>
            </w:r>
            <w:r>
              <w:rPr>
                <w:rFonts w:hint="eastAsia" w:ascii="Times New Roman" w:hAnsi="Arial" w:eastAsia="宋体" w:cs="Times New Roman"/>
                <w:bCs/>
                <w:sz w:val="24"/>
                <w:szCs w:val="24"/>
                <w:lang w:eastAsia="zh-CN"/>
              </w:rPr>
              <w:t>）</w:t>
            </w:r>
          </w:p>
          <w:p>
            <w:pPr>
              <w:spacing w:line="500" w:lineRule="exact"/>
              <w:ind w:firstLine="422" w:firstLineChars="176"/>
              <w:rPr>
                <w:rFonts w:hint="eastAsia" w:ascii="Times New Roman" w:hAnsi="Arial" w:eastAsia="宋体" w:cs="Times New Roman"/>
                <w:bCs/>
                <w:sz w:val="24"/>
                <w:szCs w:val="24"/>
                <w:lang w:val="en-US" w:eastAsia="zh-CN"/>
              </w:rPr>
            </w:pPr>
            <w:r>
              <w:rPr>
                <w:rFonts w:hint="eastAsia" w:ascii="Times New Roman" w:hAnsi="Arial" w:eastAsia="宋体" w:cs="Times New Roman"/>
                <w:bCs/>
                <w:sz w:val="24"/>
                <w:szCs w:val="24"/>
                <w:lang w:val="en-US" w:eastAsia="zh-CN"/>
              </w:rPr>
              <w:t>（4）质保期外，</w:t>
            </w:r>
            <w:r>
              <w:rPr>
                <w:rFonts w:ascii="Times New Roman" w:hAnsi="Arial" w:eastAsia="宋体" w:cs="Times New Roman"/>
                <w:bCs/>
                <w:sz w:val="24"/>
                <w:szCs w:val="24"/>
              </w:rPr>
              <w:t>应为学校提供优惠</w:t>
            </w:r>
            <w:r>
              <w:rPr>
                <w:rFonts w:hint="eastAsia" w:ascii="Times New Roman" w:hAnsi="Arial" w:eastAsia="宋体" w:cs="Times New Roman"/>
                <w:bCs/>
                <w:sz w:val="24"/>
                <w:szCs w:val="24"/>
                <w:lang w:eastAsia="zh-CN"/>
              </w:rPr>
              <w:t>的系统</w:t>
            </w:r>
            <w:r>
              <w:rPr>
                <w:rFonts w:hint="eastAsia" w:ascii="Times New Roman" w:hAnsi="Arial" w:eastAsia="宋体" w:cs="Times New Roman"/>
                <w:bCs/>
                <w:sz w:val="24"/>
                <w:szCs w:val="24"/>
                <w:lang w:val="en-US" w:eastAsia="zh-CN"/>
              </w:rPr>
              <w:t>维护和升级服务，维护和升级费用每年不超过合同价10%，具体</w:t>
            </w:r>
            <w:r>
              <w:rPr>
                <w:rFonts w:ascii="Times New Roman" w:hAnsi="Arial" w:eastAsia="宋体" w:cs="Times New Roman"/>
                <w:bCs/>
                <w:sz w:val="24"/>
                <w:szCs w:val="24"/>
              </w:rPr>
              <w:t>收费方式及价格应在报价表中详细表述</w:t>
            </w:r>
            <w:r>
              <w:rPr>
                <w:rFonts w:hint="eastAsia" w:ascii="Times New Roman" w:hAnsi="Arial" w:eastAsia="宋体" w:cs="Times New Roman"/>
                <w:bCs/>
                <w:sz w:val="24"/>
                <w:szCs w:val="24"/>
                <w:lang w:eastAsia="zh-CN"/>
              </w:rPr>
              <w:t>；</w:t>
            </w:r>
          </w:p>
          <w:p>
            <w:pPr>
              <w:spacing w:line="500" w:lineRule="exact"/>
              <w:ind w:firstLine="422" w:firstLineChars="176"/>
              <w:rPr>
                <w:rFonts w:ascii="Times New Roman" w:hAnsi="Times New Roman" w:eastAsia="宋体" w:cs="Times New Roman"/>
                <w:bCs/>
                <w:sz w:val="24"/>
                <w:szCs w:val="24"/>
              </w:rPr>
            </w:pPr>
            <w:r>
              <w:rPr>
                <w:rFonts w:hint="eastAsia" w:ascii="Times New Roman" w:hAnsi="Arial" w:eastAsia="宋体" w:cs="Times New Roman"/>
                <w:bCs/>
                <w:sz w:val="24"/>
                <w:szCs w:val="24"/>
                <w:lang w:eastAsia="zh-CN"/>
              </w:rPr>
              <w:t>（</w:t>
            </w:r>
            <w:r>
              <w:rPr>
                <w:rFonts w:hint="eastAsia" w:ascii="Times New Roman" w:hAnsi="Arial" w:eastAsia="宋体" w:cs="Times New Roman"/>
                <w:bCs/>
                <w:sz w:val="24"/>
                <w:szCs w:val="24"/>
                <w:lang w:val="en-US" w:eastAsia="zh-CN"/>
              </w:rPr>
              <w:t>5</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必须</w:t>
            </w:r>
            <w:r>
              <w:rPr>
                <w:rFonts w:hint="eastAsia" w:ascii="Times New Roman" w:hAnsi="Arial" w:eastAsia="宋体" w:cs="Times New Roman"/>
                <w:bCs/>
                <w:sz w:val="24"/>
                <w:szCs w:val="24"/>
                <w:lang w:eastAsia="zh-CN"/>
              </w:rPr>
              <w:t>提供</w:t>
            </w:r>
            <w:r>
              <w:rPr>
                <w:rFonts w:ascii="Times New Roman" w:hAnsi="Arial" w:eastAsia="宋体" w:cs="Times New Roman"/>
                <w:bCs/>
                <w:sz w:val="24"/>
                <w:szCs w:val="24"/>
              </w:rPr>
              <w:t>免费技术支持热线</w:t>
            </w:r>
            <w:r>
              <w:rPr>
                <w:rFonts w:hint="eastAsia" w:ascii="Times New Roman" w:hAnsi="Arial" w:eastAsia="宋体" w:cs="Times New Roman"/>
                <w:bCs/>
                <w:sz w:val="24"/>
                <w:szCs w:val="24"/>
                <w:lang w:eastAsia="zh-CN"/>
              </w:rPr>
              <w:t>和</w:t>
            </w:r>
            <w:r>
              <w:rPr>
                <w:rFonts w:ascii="Times New Roman" w:hAnsi="Arial" w:eastAsia="宋体" w:cs="Times New Roman"/>
                <w:bCs/>
                <w:sz w:val="24"/>
                <w:szCs w:val="24"/>
              </w:rPr>
              <w:t>定期的咨询服务（</w:t>
            </w:r>
            <w:r>
              <w:rPr>
                <w:rFonts w:hint="eastAsia" w:ascii="Times New Roman" w:hAnsi="Arial" w:eastAsia="宋体" w:cs="Times New Roman"/>
                <w:bCs/>
                <w:sz w:val="24"/>
                <w:szCs w:val="24"/>
                <w:lang w:eastAsia="zh-CN"/>
              </w:rPr>
              <w:t>第</w:t>
            </w:r>
            <w:r>
              <w:rPr>
                <w:rFonts w:hint="eastAsia" w:ascii="Times New Roman" w:hAnsi="Arial" w:eastAsia="宋体" w:cs="Times New Roman"/>
                <w:bCs/>
                <w:sz w:val="24"/>
                <w:szCs w:val="24"/>
                <w:lang w:val="en-US" w:eastAsia="zh-CN"/>
              </w:rPr>
              <w:t>1</w:t>
            </w:r>
            <w:r>
              <w:rPr>
                <w:rFonts w:hint="eastAsia" w:ascii="Times New Roman" w:hAnsi="Arial" w:eastAsia="宋体" w:cs="Times New Roman"/>
                <w:bCs/>
                <w:sz w:val="24"/>
                <w:szCs w:val="24"/>
                <w:lang w:eastAsia="zh-CN"/>
              </w:rPr>
              <w:t>年</w:t>
            </w:r>
            <w:r>
              <w:rPr>
                <w:rFonts w:ascii="Times New Roman" w:hAnsi="Arial" w:eastAsia="宋体" w:cs="Times New Roman"/>
                <w:bCs/>
                <w:sz w:val="24"/>
                <w:szCs w:val="24"/>
              </w:rPr>
              <w:t>至少每</w:t>
            </w:r>
            <w:r>
              <w:rPr>
                <w:rFonts w:ascii="Times New Roman" w:hAnsi="Times New Roman" w:eastAsia="宋体" w:cs="Times New Roman"/>
                <w:bCs/>
                <w:sz w:val="24"/>
                <w:szCs w:val="24"/>
              </w:rPr>
              <w:t>2</w:t>
            </w:r>
            <w:r>
              <w:rPr>
                <w:rFonts w:ascii="Times New Roman" w:hAnsi="Arial" w:eastAsia="宋体" w:cs="Times New Roman"/>
                <w:bCs/>
                <w:sz w:val="24"/>
                <w:szCs w:val="24"/>
              </w:rPr>
              <w:t>个月</w:t>
            </w:r>
            <w:r>
              <w:rPr>
                <w:rFonts w:hint="eastAsia" w:ascii="Times New Roman" w:hAnsi="Arial" w:eastAsia="宋体" w:cs="Times New Roman"/>
                <w:bCs/>
                <w:sz w:val="24"/>
                <w:szCs w:val="24"/>
                <w:lang w:eastAsia="zh-CN"/>
              </w:rPr>
              <w:t>提供一次</w:t>
            </w:r>
            <w:r>
              <w:rPr>
                <w:rFonts w:ascii="Times New Roman" w:hAnsi="Arial" w:eastAsia="宋体" w:cs="Times New Roman"/>
                <w:bCs/>
                <w:sz w:val="24"/>
                <w:szCs w:val="24"/>
              </w:rPr>
              <w:t>，</w:t>
            </w:r>
            <w:r>
              <w:rPr>
                <w:rFonts w:hint="eastAsia" w:ascii="Times New Roman" w:hAnsi="Arial" w:eastAsia="宋体" w:cs="Times New Roman"/>
                <w:bCs/>
                <w:sz w:val="24"/>
                <w:szCs w:val="24"/>
                <w:lang w:eastAsia="zh-CN"/>
              </w:rPr>
              <w:t>后续</w:t>
            </w:r>
            <w:r>
              <w:rPr>
                <w:rFonts w:ascii="Times New Roman" w:hAnsi="Arial" w:eastAsia="宋体" w:cs="Times New Roman"/>
                <w:bCs/>
                <w:sz w:val="24"/>
                <w:szCs w:val="24"/>
              </w:rPr>
              <w:t>至少每半年一次），</w:t>
            </w:r>
            <w:r>
              <w:rPr>
                <w:rFonts w:hint="eastAsia" w:ascii="Times New Roman" w:hAnsi="Arial" w:eastAsia="宋体" w:cs="Times New Roman"/>
                <w:bCs/>
                <w:sz w:val="24"/>
                <w:szCs w:val="24"/>
                <w:lang w:eastAsia="zh-CN"/>
              </w:rPr>
              <w:t>当</w:t>
            </w:r>
            <w:r>
              <w:rPr>
                <w:rFonts w:ascii="Times New Roman" w:hAnsi="Arial" w:eastAsia="宋体" w:cs="Times New Roman"/>
                <w:bCs/>
                <w:sz w:val="24"/>
                <w:szCs w:val="24"/>
              </w:rPr>
              <w:t>学校行政组织调整或业务流程变更</w:t>
            </w:r>
            <w:r>
              <w:rPr>
                <w:rFonts w:hint="eastAsia" w:ascii="Times New Roman" w:hAnsi="Arial" w:eastAsia="宋体" w:cs="Times New Roman"/>
                <w:bCs/>
                <w:sz w:val="24"/>
                <w:szCs w:val="24"/>
                <w:lang w:eastAsia="zh-CN"/>
              </w:rPr>
              <w:t>时</w:t>
            </w:r>
            <w:r>
              <w:rPr>
                <w:rFonts w:ascii="Times New Roman" w:hAnsi="Arial" w:eastAsia="宋体" w:cs="Times New Roman"/>
                <w:bCs/>
                <w:sz w:val="24"/>
                <w:szCs w:val="24"/>
              </w:rPr>
              <w:t>，投标人应及时提供升级服务。</w:t>
            </w:r>
          </w:p>
          <w:p>
            <w:pPr>
              <w:spacing w:line="500" w:lineRule="exact"/>
              <w:ind w:firstLine="422" w:firstLineChars="176"/>
              <w:rPr>
                <w:rFonts w:ascii="Times New Roman" w:hAnsi="Times New Roman" w:eastAsia="楷体_GB2312" w:cs="Times New Roman"/>
                <w:bCs/>
                <w:sz w:val="24"/>
                <w:szCs w:val="24"/>
              </w:rPr>
            </w:pPr>
            <w:r>
              <w:rPr>
                <w:rFonts w:ascii="Times New Roman" w:hAnsi="楷体_GB2312" w:eastAsia="楷体_GB2312" w:cs="Times New Roman"/>
                <w:bCs/>
                <w:sz w:val="24"/>
                <w:szCs w:val="24"/>
              </w:rPr>
              <w:t>（二）培训要求</w:t>
            </w:r>
          </w:p>
          <w:p>
            <w:pPr>
              <w:spacing w:line="500" w:lineRule="exact"/>
              <w:ind w:firstLine="422" w:firstLineChars="176"/>
              <w:rPr>
                <w:rFonts w:hint="eastAsia" w:ascii="Times New Roman" w:hAnsi="Arial" w:eastAsia="宋体" w:cs="Times New Roman"/>
                <w:bCs/>
                <w:sz w:val="24"/>
                <w:szCs w:val="24"/>
                <w:lang w:val="zh-TW" w:eastAsia="zh-TW"/>
              </w:rPr>
            </w:pPr>
            <w:r>
              <w:rPr>
                <w:rFonts w:hint="eastAsia" w:ascii="Times New Roman" w:hAnsi="Arial" w:eastAsia="宋体" w:cs="Times New Roman"/>
                <w:bCs/>
                <w:sz w:val="24"/>
                <w:szCs w:val="24"/>
                <w:lang w:val="zh-TW" w:eastAsia="zh-TW"/>
              </w:rPr>
              <w:t>要求培训贯穿于整个项目的实施过程中，包括</w:t>
            </w:r>
            <w:r>
              <w:rPr>
                <w:rFonts w:hint="eastAsia" w:ascii="Times New Roman" w:hAnsi="Arial" w:eastAsia="宋体" w:cs="Times New Roman"/>
                <w:bCs/>
                <w:sz w:val="24"/>
                <w:szCs w:val="24"/>
                <w:lang w:val="zh-TW" w:eastAsia="zh-CN"/>
              </w:rPr>
              <w:t>从</w:t>
            </w:r>
            <w:r>
              <w:rPr>
                <w:rFonts w:hint="eastAsia" w:ascii="Times New Roman" w:hAnsi="Arial" w:eastAsia="宋体" w:cs="Times New Roman"/>
                <w:bCs/>
                <w:sz w:val="24"/>
                <w:szCs w:val="24"/>
                <w:lang w:val="zh-TW" w:eastAsia="zh-TW"/>
              </w:rPr>
              <w:t>项目准备、需求调研、系统部署、试运行</w:t>
            </w:r>
            <w:r>
              <w:rPr>
                <w:rFonts w:hint="eastAsia" w:ascii="Times New Roman" w:hAnsi="Arial" w:eastAsia="宋体" w:cs="Times New Roman"/>
                <w:bCs/>
                <w:sz w:val="24"/>
                <w:szCs w:val="24"/>
                <w:lang w:val="zh-TW" w:eastAsia="zh-CN"/>
              </w:rPr>
              <w:t>等到</w:t>
            </w:r>
            <w:r>
              <w:rPr>
                <w:rFonts w:hint="eastAsia" w:ascii="Times New Roman" w:hAnsi="Arial" w:eastAsia="宋体" w:cs="Times New Roman"/>
                <w:bCs/>
                <w:sz w:val="24"/>
                <w:szCs w:val="24"/>
                <w:lang w:val="zh-TW" w:eastAsia="zh-TW"/>
              </w:rPr>
              <w:t>项目</w:t>
            </w:r>
            <w:r>
              <w:rPr>
                <w:rFonts w:hint="eastAsia" w:ascii="Times New Roman" w:hAnsi="Arial" w:eastAsia="宋体" w:cs="Times New Roman"/>
                <w:bCs/>
                <w:sz w:val="24"/>
                <w:szCs w:val="24"/>
                <w:lang w:val="zh-TW" w:eastAsia="zh-CN"/>
              </w:rPr>
              <w:t>正式上线</w:t>
            </w:r>
            <w:r>
              <w:rPr>
                <w:rFonts w:hint="eastAsia" w:ascii="Times New Roman" w:hAnsi="Arial" w:eastAsia="宋体" w:cs="Times New Roman"/>
                <w:bCs/>
                <w:sz w:val="24"/>
                <w:szCs w:val="24"/>
                <w:lang w:val="zh-TW" w:eastAsia="zh-TW"/>
              </w:rPr>
              <w:t>运行的全过程。</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1</w:t>
            </w:r>
            <w:r>
              <w:rPr>
                <w:rFonts w:ascii="Times New Roman" w:hAnsi="Arial" w:eastAsia="宋体" w:cs="Times New Roman"/>
                <w:bCs/>
                <w:sz w:val="24"/>
                <w:szCs w:val="24"/>
              </w:rPr>
              <w:t>）要求在实施过程中提供全面</w:t>
            </w:r>
            <w:r>
              <w:rPr>
                <w:rFonts w:hint="eastAsia" w:ascii="Times New Roman" w:hAnsi="Arial" w:eastAsia="宋体" w:cs="Times New Roman"/>
                <w:bCs/>
                <w:sz w:val="24"/>
                <w:szCs w:val="24"/>
                <w:lang w:eastAsia="zh-CN"/>
              </w:rPr>
              <w:t>的</w:t>
            </w:r>
            <w:r>
              <w:rPr>
                <w:rFonts w:ascii="Times New Roman" w:hAnsi="Arial" w:eastAsia="宋体" w:cs="Times New Roman"/>
                <w:bCs/>
                <w:sz w:val="24"/>
                <w:szCs w:val="24"/>
              </w:rPr>
              <w:t>培训，包括面向系统管理员和业务人员的相应培训，包括但不限于系统操作、配置管理、二次开发和系统维护等培训；</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w:t>
            </w:r>
            <w:r>
              <w:rPr>
                <w:rFonts w:ascii="Times New Roman" w:hAnsi="Times New Roman" w:eastAsia="宋体" w:cs="Times New Roman"/>
                <w:bCs/>
                <w:sz w:val="24"/>
                <w:szCs w:val="24"/>
              </w:rPr>
              <w:t>2</w:t>
            </w:r>
            <w:r>
              <w:rPr>
                <w:rFonts w:ascii="Times New Roman" w:hAnsi="Arial" w:eastAsia="宋体" w:cs="Times New Roman"/>
                <w:bCs/>
                <w:sz w:val="24"/>
                <w:szCs w:val="24"/>
              </w:rPr>
              <w:t>）对于所有培训，必须派出具有相应专业资格和实际工作、教育经验的</w:t>
            </w:r>
            <w:r>
              <w:rPr>
                <w:rFonts w:hint="eastAsia" w:ascii="Times New Roman" w:hAnsi="Arial" w:eastAsia="宋体" w:cs="Times New Roman"/>
                <w:bCs/>
                <w:sz w:val="24"/>
                <w:szCs w:val="24"/>
                <w:lang w:eastAsia="zh-CN"/>
              </w:rPr>
              <w:t>培训教员</w:t>
            </w:r>
            <w:r>
              <w:rPr>
                <w:rFonts w:ascii="Times New Roman" w:hAnsi="Arial" w:eastAsia="宋体" w:cs="Times New Roman"/>
                <w:bCs/>
                <w:sz w:val="24"/>
                <w:szCs w:val="24"/>
              </w:rPr>
              <w:t>和相应的辅导人员，主要培训教员应至少具有</w:t>
            </w:r>
            <w:r>
              <w:rPr>
                <w:rFonts w:ascii="Times New Roman" w:hAnsi="Times New Roman" w:eastAsia="宋体" w:cs="Times New Roman"/>
                <w:bCs/>
                <w:sz w:val="24"/>
                <w:szCs w:val="24"/>
              </w:rPr>
              <w:t>3</w:t>
            </w:r>
            <w:r>
              <w:rPr>
                <w:rFonts w:ascii="Times New Roman" w:hAnsi="Arial" w:eastAsia="宋体" w:cs="Times New Roman"/>
                <w:bCs/>
                <w:sz w:val="24"/>
                <w:szCs w:val="24"/>
              </w:rPr>
              <w:t>年</w:t>
            </w:r>
            <w:r>
              <w:rPr>
                <w:rFonts w:hint="eastAsia" w:ascii="Times New Roman" w:hAnsi="Arial" w:eastAsia="宋体" w:cs="Times New Roman"/>
                <w:bCs/>
                <w:sz w:val="24"/>
                <w:szCs w:val="24"/>
                <w:lang w:eastAsia="zh-CN"/>
              </w:rPr>
              <w:t>以上</w:t>
            </w:r>
            <w:r>
              <w:rPr>
                <w:rFonts w:ascii="Times New Roman" w:hAnsi="Arial" w:eastAsia="宋体" w:cs="Times New Roman"/>
                <w:bCs/>
                <w:sz w:val="24"/>
                <w:szCs w:val="24"/>
              </w:rPr>
              <w:t>的培训经验；</w:t>
            </w:r>
          </w:p>
          <w:p>
            <w:pPr>
              <w:spacing w:line="500" w:lineRule="exact"/>
              <w:ind w:firstLine="422" w:firstLineChars="176"/>
              <w:rPr>
                <w:rFonts w:hint="eastAsia" w:ascii="Times New Roman" w:hAnsi="Arial" w:eastAsia="宋体" w:cs="Times New Roman"/>
                <w:bCs/>
                <w:sz w:val="24"/>
                <w:szCs w:val="24"/>
                <w:lang w:eastAsia="zh-CN"/>
              </w:rPr>
            </w:pPr>
            <w:r>
              <w:rPr>
                <w:rFonts w:ascii="Times New Roman" w:hAnsi="Arial" w:eastAsia="宋体" w:cs="Times New Roman"/>
                <w:bCs/>
                <w:sz w:val="24"/>
                <w:szCs w:val="24"/>
              </w:rPr>
              <w:t>（3）提供详细的培训计划，采用理论培训和现场演示、辅助操作相结合的方式，提供文字资料</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讲义等培训教材，培训教材必须以印刷品形式提供，费用由公司支付</w:t>
            </w:r>
            <w:r>
              <w:rPr>
                <w:rFonts w:hint="eastAsia" w:ascii="Times New Roman" w:hAnsi="Arial" w:eastAsia="宋体" w:cs="Times New Roman"/>
                <w:bCs/>
                <w:sz w:val="24"/>
                <w:szCs w:val="24"/>
                <w:lang w:eastAsia="zh-CN"/>
              </w:rPr>
              <w:t>；</w:t>
            </w:r>
          </w:p>
          <w:p>
            <w:pPr>
              <w:spacing w:line="500" w:lineRule="exact"/>
              <w:ind w:firstLine="422" w:firstLineChars="176"/>
              <w:rPr>
                <w:rFonts w:hint="eastAsia" w:ascii="Times New Roman" w:hAnsi="Arial" w:eastAsia="宋体" w:cs="Times New Roman"/>
                <w:bCs/>
                <w:sz w:val="24"/>
                <w:szCs w:val="24"/>
                <w:lang w:eastAsia="zh-CN"/>
              </w:rPr>
            </w:pPr>
            <w:r>
              <w:rPr>
                <w:rFonts w:ascii="Times New Roman" w:hAnsi="Arial" w:eastAsia="宋体" w:cs="Times New Roman"/>
                <w:bCs/>
                <w:sz w:val="24"/>
                <w:szCs w:val="24"/>
              </w:rPr>
              <w:t>（4）培训项目结束时，安排进行培训测试，以检验对系统的基本操作能力和掌握水平</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同时</w:t>
            </w:r>
            <w:r>
              <w:rPr>
                <w:rFonts w:hint="eastAsia" w:ascii="Times New Roman" w:hAnsi="Arial" w:eastAsia="宋体" w:cs="Times New Roman"/>
                <w:bCs/>
                <w:sz w:val="24"/>
                <w:szCs w:val="24"/>
                <w:lang w:eastAsia="zh-CN"/>
              </w:rPr>
              <w:t>受训者</w:t>
            </w:r>
            <w:r>
              <w:rPr>
                <w:rFonts w:ascii="Times New Roman" w:hAnsi="Arial" w:eastAsia="宋体" w:cs="Times New Roman"/>
                <w:bCs/>
                <w:sz w:val="24"/>
                <w:szCs w:val="24"/>
              </w:rPr>
              <w:t>对整个培训项目作出评价</w:t>
            </w:r>
            <w:r>
              <w:rPr>
                <w:rFonts w:hint="eastAsia" w:ascii="Times New Roman" w:hAnsi="Arial" w:eastAsia="宋体" w:cs="Times New Roman"/>
                <w:bCs/>
                <w:sz w:val="24"/>
                <w:szCs w:val="24"/>
                <w:lang w:eastAsia="zh-CN"/>
              </w:rPr>
              <w:t>；</w:t>
            </w:r>
          </w:p>
          <w:p>
            <w:pPr>
              <w:spacing w:line="500" w:lineRule="exact"/>
              <w:ind w:firstLine="422" w:firstLineChars="176"/>
              <w:rPr>
                <w:rFonts w:ascii="Times New Roman" w:hAnsi="Times New Roman" w:eastAsia="宋体" w:cs="Times New Roman"/>
                <w:bCs/>
                <w:sz w:val="24"/>
                <w:szCs w:val="24"/>
              </w:rPr>
            </w:pPr>
            <w:r>
              <w:rPr>
                <w:rFonts w:ascii="Times New Roman" w:hAnsi="Arial" w:eastAsia="宋体" w:cs="Times New Roman"/>
                <w:bCs/>
                <w:sz w:val="24"/>
                <w:szCs w:val="24"/>
              </w:rPr>
              <w:t>（5）培训内容主要包括运行管理培训和使用培训，运行管理培训为使相关人员掌握系统的使用、维护和管理方法，达到独立进行管理、故障处理、日常测试和维护等目标，保证系统正常、安全、平稳运行</w:t>
            </w:r>
            <w:r>
              <w:rPr>
                <w:rFonts w:hint="eastAsia" w:ascii="Times New Roman" w:hAnsi="Arial" w:eastAsia="宋体" w:cs="Times New Roman"/>
                <w:bCs/>
                <w:sz w:val="24"/>
                <w:szCs w:val="24"/>
                <w:lang w:eastAsia="zh-CN"/>
              </w:rPr>
              <w:t>；</w:t>
            </w:r>
            <w:r>
              <w:rPr>
                <w:rFonts w:ascii="Times New Roman" w:hAnsi="Arial" w:eastAsia="宋体" w:cs="Times New Roman"/>
                <w:bCs/>
                <w:sz w:val="24"/>
                <w:szCs w:val="24"/>
              </w:rPr>
              <w:t>使用培训是对相关用户进行应用系统使用培训，掌握系统的使用方法。</w:t>
            </w:r>
          </w:p>
        </w:tc>
        <w:tc>
          <w:tcPr>
            <w:tcW w:w="852" w:type="dxa"/>
            <w:vAlign w:val="center"/>
          </w:tcPr>
          <w:p>
            <w:pPr>
              <w:pStyle w:val="6"/>
              <w:ind w:left="0" w:leftChars="0" w:firstLine="0" w:firstLineChars="0"/>
              <w:rPr>
                <w:rFonts w:ascii="Times New Roman" w:hAnsi="Times New Roman" w:eastAsia="宋体" w:cs="Times New Roman"/>
                <w:bCs/>
                <w:sz w:val="24"/>
                <w:szCs w:val="24"/>
              </w:rPr>
            </w:pPr>
          </w:p>
        </w:tc>
      </w:tr>
    </w:tbl>
    <w:p>
      <w:pPr>
        <w:pStyle w:val="71"/>
        <w:spacing w:line="360" w:lineRule="auto"/>
        <w:rPr>
          <w:rFonts w:hint="default" w:asciiTheme="minorEastAsia" w:hAnsiTheme="minorEastAsia" w:eastAsiaTheme="minorEastAsia" w:cstheme="minorEastAsia"/>
          <w:b/>
          <w:sz w:val="24"/>
          <w:szCs w:val="24"/>
          <w:lang w:val="en-US"/>
        </w:rPr>
      </w:pPr>
    </w:p>
    <w:p>
      <w:pPr>
        <w:pStyle w:val="71"/>
        <w:spacing w:line="360" w:lineRule="auto"/>
        <w:rPr>
          <w:rFonts w:hint="default" w:asciiTheme="minorEastAsia" w:hAnsiTheme="minorEastAsia" w:eastAsiaTheme="minorEastAsia" w:cstheme="minorEastAsia"/>
          <w:b/>
          <w:sz w:val="24"/>
          <w:szCs w:val="24"/>
          <w:lang w:val="en-US"/>
        </w:rPr>
      </w:pPr>
    </w:p>
    <w:p>
      <w:pPr>
        <w:pStyle w:val="3"/>
        <w:sectPr>
          <w:pgSz w:w="11906" w:h="16838"/>
          <w:pgMar w:top="1440" w:right="1803" w:bottom="1440" w:left="1803" w:header="851" w:footer="992" w:gutter="0"/>
          <w:cols w:space="720" w:num="1"/>
          <w:docGrid w:type="lines" w:linePitch="319" w:charSpace="0"/>
        </w:sectPr>
      </w:pPr>
    </w:p>
    <w:p>
      <w:pPr>
        <w:pStyle w:val="4"/>
        <w:pageBreakBefore/>
        <w:numPr>
          <w:ilvl w:val="0"/>
          <w:numId w:val="22"/>
        </w:numPr>
        <w:spacing w:beforeLines="100" w:afterLines="150" w:line="500" w:lineRule="exact"/>
        <w:rPr>
          <w:rFonts w:asciiTheme="minorEastAsia" w:hAnsiTheme="minorEastAsia" w:eastAsiaTheme="minorEastAsia" w:cstheme="minorEastAsia"/>
          <w:sz w:val="36"/>
          <w:szCs w:val="36"/>
        </w:rPr>
      </w:pPr>
      <w:bookmarkStart w:id="79" w:name="_Toc15647"/>
      <w:bookmarkStart w:id="80" w:name="_Toc7617"/>
      <w:bookmarkStart w:id="81" w:name="_Toc13277"/>
      <w:r>
        <w:rPr>
          <w:rFonts w:hint="eastAsia" w:asciiTheme="minorEastAsia" w:hAnsiTheme="minorEastAsia" w:eastAsiaTheme="minorEastAsia" w:cstheme="minorEastAsia"/>
          <w:sz w:val="36"/>
          <w:szCs w:val="36"/>
        </w:rPr>
        <w:t xml:space="preserve">分  </w:t>
      </w:r>
      <w:bookmarkEnd w:id="78"/>
      <w:bookmarkEnd w:id="79"/>
      <w:r>
        <w:rPr>
          <w:rFonts w:hint="eastAsia" w:asciiTheme="minorEastAsia" w:hAnsiTheme="minorEastAsia" w:eastAsiaTheme="minorEastAsia" w:cstheme="minorEastAsia"/>
          <w:sz w:val="36"/>
          <w:szCs w:val="36"/>
        </w:rPr>
        <w:t>合同条款</w:t>
      </w:r>
      <w:bookmarkEnd w:id="80"/>
      <w:bookmarkEnd w:id="81"/>
    </w:p>
    <w:p>
      <w:pPr>
        <w:spacing w:line="360" w:lineRule="auto"/>
        <w:jc w:val="center"/>
        <w:rPr>
          <w:color w:val="FF0000"/>
        </w:rPr>
      </w:pPr>
      <w:r>
        <w:rPr>
          <w:rFonts w:hint="eastAsia"/>
          <w:color w:val="FF0000"/>
        </w:rPr>
        <w:t>(国产设备合同模板)</w:t>
      </w:r>
    </w:p>
    <w:p>
      <w:pPr>
        <w:spacing w:line="360" w:lineRule="auto"/>
        <w:ind w:firstLine="420" w:firstLineChars="200"/>
      </w:pPr>
      <w:r>
        <w:rPr>
          <w:rFonts w:hint="eastAsia" w:ascii="宋体"/>
        </w:rPr>
        <w:t>西北大学（甲方）与××××</w:t>
      </w:r>
      <w:r>
        <w:rPr>
          <w:rFonts w:hint="eastAsia"/>
        </w:rPr>
        <w:t>公司（乙方）</w:t>
      </w:r>
      <w:r>
        <w:rPr>
          <w:rFonts w:hint="eastAsia" w:ascii="宋体"/>
        </w:rPr>
        <w:t>就西北大学××××学院（系）购置的××××等设备（招标编号：</w:t>
      </w:r>
      <w:r>
        <w:rPr>
          <w:rFonts w:hint="eastAsia" w:ascii="宋体"/>
          <w:u w:val="single"/>
        </w:rPr>
        <w:t>　　　　　</w:t>
      </w:r>
      <w:r>
        <w:rPr>
          <w:rFonts w:hint="eastAsia" w:ascii="宋体"/>
        </w:rPr>
        <w:t>）</w:t>
      </w:r>
      <w:r>
        <w:rPr>
          <w:rFonts w:hint="eastAsia"/>
        </w:rPr>
        <w:t>经双方协商达成如下合同条款：</w:t>
      </w:r>
    </w:p>
    <w:p>
      <w:pPr>
        <w:spacing w:line="360" w:lineRule="auto"/>
        <w:rPr>
          <w:b/>
          <w:sz w:val="24"/>
        </w:rPr>
      </w:pPr>
      <w:r>
        <w:rPr>
          <w:rFonts w:hint="eastAsia"/>
          <w:b/>
          <w:sz w:val="24"/>
        </w:rPr>
        <w:t>一、合同内容</w:t>
      </w:r>
    </w:p>
    <w:p>
      <w:pPr>
        <w:spacing w:line="360" w:lineRule="auto"/>
        <w:ind w:firstLine="420" w:firstLineChars="200"/>
      </w:pPr>
      <w:r>
        <w:rPr>
          <w:rFonts w:hint="eastAsia"/>
        </w:rPr>
        <w:t>乙方按本合同中确定的设备名称、型号与规格、产地、数量及配套内容进行供货，详细配置见</w:t>
      </w:r>
      <w:r>
        <w:rPr>
          <w:rFonts w:hint="eastAsia" w:ascii="宋体"/>
        </w:rPr>
        <w:t>《</w:t>
      </w:r>
      <w:r>
        <w:rPr>
          <w:rFonts w:hint="eastAsia"/>
        </w:rPr>
        <w:t>仪器设备购置清单</w:t>
      </w:r>
      <w:r>
        <w:rPr>
          <w:rFonts w:hint="eastAsia" w:ascii="宋体"/>
        </w:rPr>
        <w:t>》</w:t>
      </w:r>
      <w:r>
        <w:rPr>
          <w:rFonts w:hint="eastAsia"/>
        </w:rPr>
        <w:t>；乙方按时将货物运送到甲方指定的地点，负责到货设备的安装与调试，达到正常使用；乙方负责为甲方培训操作、维护人员，质保期内负责指导仪器设备的操作使用和保养维修，做好售后服务工作。甲方在乙方完成合同明确规定的责任和义务后，按合同要求付给乙方相应的设备货款。</w:t>
      </w:r>
    </w:p>
    <w:p>
      <w:pPr>
        <w:spacing w:line="360" w:lineRule="auto"/>
        <w:ind w:firstLine="420" w:firstLineChars="200"/>
      </w:pPr>
      <w:r>
        <w:rPr>
          <w:rFonts w:hint="eastAsia"/>
        </w:rPr>
        <w:t>1、设备购置清单</w:t>
      </w:r>
    </w:p>
    <w:tbl>
      <w:tblPr>
        <w:tblStyle w:val="25"/>
        <w:tblW w:w="82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95"/>
        <w:gridCol w:w="1545"/>
        <w:gridCol w:w="1440"/>
        <w:gridCol w:w="900"/>
        <w:gridCol w:w="720"/>
        <w:gridCol w:w="900"/>
        <w:gridCol w:w="10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169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产品名称</w:t>
            </w:r>
          </w:p>
        </w:tc>
        <w:tc>
          <w:tcPr>
            <w:tcW w:w="15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型号与规格</w:t>
            </w: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生产商、产地</w:t>
            </w: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数量</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单位</w:t>
            </w: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单价</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总价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1695" w:type="dxa"/>
            <w:tcBorders>
              <w:top w:val="single" w:color="auto" w:sz="4" w:space="0"/>
              <w:left w:val="single" w:color="auto" w:sz="4" w:space="0"/>
              <w:bottom w:val="single" w:color="auto" w:sz="4" w:space="0"/>
              <w:right w:val="single" w:color="auto" w:sz="4" w:space="0"/>
            </w:tcBorders>
          </w:tcPr>
          <w:p>
            <w:pPr>
              <w:spacing w:line="360" w:lineRule="auto"/>
            </w:pPr>
          </w:p>
        </w:tc>
        <w:tc>
          <w:tcPr>
            <w:tcW w:w="1545" w:type="dxa"/>
            <w:tcBorders>
              <w:top w:val="single" w:color="auto" w:sz="4" w:space="0"/>
              <w:left w:val="single" w:color="auto" w:sz="4" w:space="0"/>
              <w:bottom w:val="single" w:color="auto" w:sz="4" w:space="0"/>
              <w:right w:val="single" w:color="auto" w:sz="4" w:space="0"/>
            </w:tcBorders>
          </w:tcPr>
          <w:p>
            <w:pPr>
              <w:spacing w:line="360" w:lineRule="auto"/>
            </w:pPr>
          </w:p>
        </w:tc>
        <w:tc>
          <w:tcPr>
            <w:tcW w:w="1440" w:type="dxa"/>
            <w:tcBorders>
              <w:top w:val="single" w:color="auto" w:sz="4" w:space="0"/>
              <w:left w:val="single" w:color="auto" w:sz="4" w:space="0"/>
              <w:bottom w:val="single" w:color="auto" w:sz="4" w:space="0"/>
              <w:right w:val="single" w:color="auto" w:sz="4" w:space="0"/>
            </w:tcBorders>
          </w:tcPr>
          <w:p>
            <w:pPr>
              <w:spacing w:line="360" w:lineRule="auto"/>
            </w:pPr>
          </w:p>
        </w:tc>
        <w:tc>
          <w:tcPr>
            <w:tcW w:w="900" w:type="dxa"/>
            <w:tcBorders>
              <w:top w:val="single" w:color="auto" w:sz="4" w:space="0"/>
              <w:left w:val="single" w:color="auto" w:sz="4" w:space="0"/>
              <w:bottom w:val="single" w:color="auto" w:sz="4" w:space="0"/>
              <w:right w:val="single" w:color="auto" w:sz="4" w:space="0"/>
            </w:tcBorders>
          </w:tcPr>
          <w:p>
            <w:pPr>
              <w:spacing w:line="360" w:lineRule="auto"/>
            </w:pPr>
          </w:p>
        </w:tc>
        <w:tc>
          <w:tcPr>
            <w:tcW w:w="720" w:type="dxa"/>
            <w:tcBorders>
              <w:top w:val="single" w:color="auto" w:sz="4" w:space="0"/>
              <w:left w:val="single" w:color="auto" w:sz="4" w:space="0"/>
              <w:bottom w:val="single" w:color="auto" w:sz="4" w:space="0"/>
              <w:right w:val="single" w:color="auto" w:sz="4" w:space="0"/>
            </w:tcBorders>
          </w:tcPr>
          <w:p>
            <w:pPr>
              <w:spacing w:line="360" w:lineRule="auto"/>
            </w:pPr>
          </w:p>
        </w:tc>
        <w:tc>
          <w:tcPr>
            <w:tcW w:w="900" w:type="dxa"/>
            <w:tcBorders>
              <w:top w:val="single" w:color="auto" w:sz="4" w:space="0"/>
              <w:left w:val="single" w:color="auto" w:sz="4" w:space="0"/>
              <w:bottom w:val="single" w:color="auto" w:sz="4" w:space="0"/>
              <w:right w:val="single" w:color="auto" w:sz="4" w:space="0"/>
            </w:tcBorders>
          </w:tcPr>
          <w:p>
            <w:pPr>
              <w:spacing w:line="360" w:lineRule="auto"/>
            </w:pPr>
          </w:p>
        </w:tc>
        <w:tc>
          <w:tcPr>
            <w:tcW w:w="1080" w:type="dxa"/>
            <w:tcBorders>
              <w:top w:val="single" w:color="auto" w:sz="4" w:space="0"/>
              <w:left w:val="single" w:color="auto" w:sz="4" w:space="0"/>
              <w:bottom w:val="single" w:color="auto" w:sz="4" w:space="0"/>
              <w:right w:val="single" w:color="auto" w:sz="4" w:space="0"/>
            </w:tcBorders>
          </w:tcPr>
          <w:p>
            <w:pPr>
              <w:spacing w:line="360" w:lineRule="auto"/>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1695"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1545"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trPr>
        <w:tc>
          <w:tcPr>
            <w:tcW w:w="6300"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pPr>
            <w:r>
              <w:rPr>
                <w:rFonts w:hint="eastAsia"/>
              </w:rPr>
              <w:t>合计金额（大写）：</w:t>
            </w:r>
          </w:p>
        </w:tc>
        <w:tc>
          <w:tcPr>
            <w:tcW w:w="900" w:type="dxa"/>
            <w:tcBorders>
              <w:top w:val="single" w:color="auto" w:sz="4" w:space="0"/>
              <w:left w:val="single" w:color="auto" w:sz="4" w:space="0"/>
              <w:bottom w:val="single" w:color="auto" w:sz="4" w:space="0"/>
              <w:right w:val="single" w:color="auto" w:sz="4" w:space="0"/>
            </w:tcBorders>
            <w:vAlign w:val="center"/>
          </w:tcPr>
          <w:p>
            <w:pPr>
              <w:spacing w:line="360" w:lineRule="auto"/>
            </w:pPr>
            <w:r>
              <w:rPr>
                <w:rFonts w:hint="eastAsia"/>
              </w:rPr>
              <w:t>合计</w:t>
            </w:r>
            <w:r>
              <w:rPr>
                <w:rFonts w:hint="eastAsia" w:ascii="宋体" w:hAnsi="宋体"/>
              </w:rPr>
              <w:t>→</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pPr>
            <w:r>
              <w:rPr>
                <w:rFonts w:hint="eastAsia"/>
              </w:rPr>
              <w:t>小写</w:t>
            </w:r>
          </w:p>
        </w:tc>
      </w:tr>
    </w:tbl>
    <w:p>
      <w:pPr>
        <w:spacing w:line="360" w:lineRule="auto"/>
        <w:ind w:firstLine="420" w:firstLineChars="200"/>
      </w:pPr>
      <w:r>
        <w:rPr>
          <w:rFonts w:hint="eastAsia"/>
        </w:rPr>
        <w:t>2、合同总额：</w:t>
      </w:r>
      <w:r>
        <w:rPr>
          <w:rFonts w:hint="eastAsia"/>
          <w:u w:val="single"/>
        </w:rPr>
        <w:t>　　　　</w:t>
      </w:r>
      <w:r>
        <w:rPr>
          <w:rFonts w:hint="eastAsia"/>
        </w:rPr>
        <w:t>万元，是指设备到达西北大学指定地点、完成验收后的价格，其中已包含设备价格、包装运杂费（含保险）、工程费、安装调试费及相关费用等。</w:t>
      </w:r>
    </w:p>
    <w:p>
      <w:pPr>
        <w:spacing w:line="360" w:lineRule="auto"/>
        <w:ind w:firstLine="420" w:firstLineChars="200"/>
      </w:pPr>
      <w:r>
        <w:rPr>
          <w:rFonts w:hint="eastAsia"/>
        </w:rPr>
        <w:t>3、合同总额为一次性包死价格，不受市场价格的变化和影响，在合同不发生变更时作为付款结算的依据。</w:t>
      </w:r>
    </w:p>
    <w:p>
      <w:pPr>
        <w:spacing w:line="360" w:lineRule="auto"/>
        <w:rPr>
          <w:b/>
          <w:sz w:val="24"/>
        </w:rPr>
      </w:pPr>
      <w:r>
        <w:rPr>
          <w:rFonts w:hint="eastAsia"/>
          <w:sz w:val="24"/>
        </w:rPr>
        <w:t>二、</w:t>
      </w:r>
      <w:r>
        <w:rPr>
          <w:rFonts w:hint="eastAsia"/>
          <w:b/>
          <w:sz w:val="24"/>
        </w:rPr>
        <w:t>包装运输要求</w:t>
      </w:r>
    </w:p>
    <w:p>
      <w:pPr>
        <w:spacing w:line="360" w:lineRule="auto"/>
        <w:ind w:firstLine="420" w:firstLineChars="200"/>
      </w:pPr>
      <w:r>
        <w:rPr>
          <w:rFonts w:hint="eastAsia"/>
        </w:rPr>
        <w:t>仪器设备的运输方式由乙方自行选择，但包装必须符合国家标准或行业标准，满足航空、铁路或公路运输以及货物装卸要求，保证使用人收到的是无任何损伤的货物。否则，因此造成的损失由乙方自行承担。</w:t>
      </w:r>
    </w:p>
    <w:p>
      <w:pPr>
        <w:spacing w:line="360" w:lineRule="auto"/>
        <w:rPr>
          <w:b/>
          <w:sz w:val="24"/>
        </w:rPr>
      </w:pPr>
      <w:r>
        <w:rPr>
          <w:rFonts w:hint="eastAsia"/>
          <w:b/>
          <w:sz w:val="24"/>
        </w:rPr>
        <w:t>三、交货时间及交货地点</w:t>
      </w:r>
    </w:p>
    <w:p>
      <w:pPr>
        <w:spacing w:line="360" w:lineRule="auto"/>
        <w:ind w:firstLine="420" w:firstLineChars="200"/>
      </w:pPr>
      <w:r>
        <w:rPr>
          <w:rFonts w:hint="eastAsia"/>
        </w:rPr>
        <w:t>交货时间为本合同生效后</w:t>
      </w:r>
      <w:r>
        <w:rPr>
          <w:u w:val="single"/>
        </w:rPr>
        <w:t xml:space="preserve"> </w:t>
      </w:r>
      <w:r>
        <w:rPr>
          <w:rFonts w:hint="eastAsia"/>
          <w:u w:val="single"/>
        </w:rPr>
        <w:t>　</w:t>
      </w:r>
      <w:r>
        <w:rPr>
          <w:u w:val="single"/>
        </w:rPr>
        <w:t xml:space="preserve"> </w:t>
      </w:r>
      <w:r>
        <w:rPr>
          <w:rFonts w:hint="eastAsia"/>
        </w:rPr>
        <w:t>天内到货，货到后</w:t>
      </w:r>
      <w:r>
        <w:rPr>
          <w:u w:val="single"/>
        </w:rPr>
        <w:t xml:space="preserve">  </w:t>
      </w:r>
      <w:r>
        <w:rPr>
          <w:rFonts w:hint="eastAsia"/>
        </w:rPr>
        <w:t>日内安装调试交付使用。交货地点为西北大学</w:t>
      </w:r>
      <w:r>
        <w:rPr>
          <w:rFonts w:hint="eastAsia" w:ascii="宋体"/>
        </w:rPr>
        <w:t>××××学院（系）</w:t>
      </w:r>
      <w:r>
        <w:rPr>
          <w:rFonts w:hint="eastAsia"/>
        </w:rPr>
        <w:t>指定地点。</w:t>
      </w:r>
    </w:p>
    <w:p>
      <w:pPr>
        <w:spacing w:line="360" w:lineRule="auto"/>
        <w:rPr>
          <w:b/>
          <w:sz w:val="24"/>
        </w:rPr>
      </w:pPr>
      <w:r>
        <w:rPr>
          <w:rFonts w:hint="eastAsia"/>
          <w:b/>
          <w:sz w:val="24"/>
        </w:rPr>
        <w:t>四、产品质量保证</w:t>
      </w:r>
    </w:p>
    <w:p>
      <w:pPr>
        <w:spacing w:line="360" w:lineRule="auto"/>
        <w:ind w:firstLine="420" w:firstLineChars="200"/>
      </w:pPr>
      <w:r>
        <w:t>1</w:t>
      </w:r>
      <w:r>
        <w:rPr>
          <w:rFonts w:hint="eastAsia"/>
        </w:rPr>
        <w:t>、乙方提供的设备及配套产品，必须是合同规定厂家制造的、合格、全新、未曾使用的、且经过国家质检部门检验，并颁发了产品准销证的产品。</w:t>
      </w:r>
    </w:p>
    <w:p>
      <w:pPr>
        <w:spacing w:line="360" w:lineRule="auto"/>
      </w:pPr>
      <w:r>
        <w:t xml:space="preserve">    2</w:t>
      </w:r>
      <w:r>
        <w:rPr>
          <w:rFonts w:hint="eastAsia"/>
        </w:rPr>
        <w:t>、乙方提供的设备及配套产品必须等同于或优于合同技术指标要求，并能按国家标准或行业标准供应、检测、调试，确保产品技术指标满足使用要求。</w:t>
      </w:r>
    </w:p>
    <w:p>
      <w:pPr>
        <w:spacing w:line="360" w:lineRule="auto"/>
      </w:pPr>
      <w:r>
        <w:t xml:space="preserve">    3</w:t>
      </w:r>
      <w:r>
        <w:rPr>
          <w:rFonts w:hint="eastAsia"/>
        </w:rPr>
        <w:t>、产品质量保证期为设备验收合格后</w:t>
      </w:r>
      <w:r>
        <w:rPr>
          <w:rFonts w:hint="eastAsia"/>
          <w:u w:val="single"/>
        </w:rPr>
        <w:t>　　</w:t>
      </w:r>
      <w:r>
        <w:rPr>
          <w:rFonts w:hint="eastAsia"/>
        </w:rPr>
        <w:t>年。质保期内，乙方对所供设备免费进行质保和服务。</w:t>
      </w:r>
    </w:p>
    <w:p>
      <w:pPr>
        <w:spacing w:line="360" w:lineRule="auto"/>
        <w:rPr>
          <w:b/>
          <w:sz w:val="24"/>
        </w:rPr>
      </w:pPr>
      <w:r>
        <w:rPr>
          <w:rFonts w:hint="eastAsia"/>
          <w:b/>
          <w:sz w:val="24"/>
        </w:rPr>
        <w:t>五、技术服务承诺</w:t>
      </w:r>
    </w:p>
    <w:p>
      <w:pPr>
        <w:pStyle w:val="16"/>
        <w:spacing w:line="360" w:lineRule="auto"/>
        <w:ind w:firstLine="420" w:firstLineChars="200"/>
        <w:rPr>
          <w:sz w:val="21"/>
          <w:szCs w:val="24"/>
        </w:rPr>
      </w:pPr>
      <w:r>
        <w:rPr>
          <w:sz w:val="21"/>
          <w:szCs w:val="24"/>
        </w:rPr>
        <w:t>1</w:t>
      </w:r>
      <w:r>
        <w:rPr>
          <w:rFonts w:hint="eastAsia"/>
          <w:sz w:val="21"/>
          <w:szCs w:val="24"/>
        </w:rPr>
        <w:t>、乙方负责提供仪器设备相应的技术资料，包括产品合格证、产品保修单、安装使用及维护说明书以及运输装箱清单等。</w:t>
      </w:r>
    </w:p>
    <w:p>
      <w:pPr>
        <w:spacing w:line="360" w:lineRule="auto"/>
        <w:ind w:firstLine="420" w:firstLineChars="200"/>
      </w:pPr>
      <w:r>
        <w:t>2</w:t>
      </w:r>
      <w:r>
        <w:rPr>
          <w:rFonts w:hint="eastAsia"/>
        </w:rPr>
        <w:t>、人员培训：乙方免费为甲方培训设备使用人员，培训内容包括：设备操作、维护、简单维修等。</w:t>
      </w:r>
    </w:p>
    <w:p>
      <w:pPr>
        <w:spacing w:line="360" w:lineRule="auto"/>
        <w:ind w:firstLine="420" w:firstLineChars="200"/>
      </w:pPr>
      <w:r>
        <w:t>3</w:t>
      </w:r>
      <w:r>
        <w:rPr>
          <w:rFonts w:hint="eastAsia"/>
        </w:rPr>
        <w:t>、售后服务：质保期内乙方对甲方提出的服务响应不得超出</w:t>
      </w:r>
      <w:r>
        <w:t>24</w:t>
      </w:r>
      <w:r>
        <w:rPr>
          <w:rFonts w:hint="eastAsia"/>
        </w:rPr>
        <w:t>小时。</w:t>
      </w:r>
    </w:p>
    <w:p>
      <w:pPr>
        <w:spacing w:line="360" w:lineRule="auto"/>
        <w:rPr>
          <w:b/>
          <w:sz w:val="24"/>
        </w:rPr>
      </w:pPr>
      <w:r>
        <w:rPr>
          <w:rFonts w:hint="eastAsia"/>
          <w:b/>
          <w:sz w:val="24"/>
        </w:rPr>
        <w:t>六、验收方法及标准</w:t>
      </w:r>
    </w:p>
    <w:p>
      <w:pPr>
        <w:spacing w:line="360" w:lineRule="auto"/>
        <w:ind w:firstLine="411" w:firstLineChars="196"/>
      </w:pPr>
      <w:r>
        <w:t>1</w:t>
      </w:r>
      <w:r>
        <w:rPr>
          <w:rFonts w:hint="eastAsia"/>
        </w:rPr>
        <w:t>、设备到货后，甲、乙双方共同开箱验收。在检查设备原产地、型号、规格、配置符合合同要求后，由乙方负责安装调试、甲方负责技术验收（乙方协助），验收以国内行业标准或合同文本仪器设备供货配置清单中描述的有关技术要求为准。</w:t>
      </w:r>
    </w:p>
    <w:p>
      <w:pPr>
        <w:spacing w:line="360" w:lineRule="auto"/>
        <w:ind w:firstLine="420" w:firstLineChars="200"/>
      </w:pPr>
      <w:r>
        <w:t>2</w:t>
      </w:r>
      <w:r>
        <w:rPr>
          <w:rFonts w:hint="eastAsia"/>
        </w:rPr>
        <w:t>、学校根据最终使用单位技术验收结果，组织有关专家进行设备的最终验收。</w:t>
      </w:r>
    </w:p>
    <w:p>
      <w:pPr>
        <w:spacing w:line="360" w:lineRule="auto"/>
        <w:rPr>
          <w:b/>
          <w:sz w:val="24"/>
        </w:rPr>
      </w:pPr>
      <w:r>
        <w:rPr>
          <w:rFonts w:hint="eastAsia"/>
          <w:b/>
          <w:sz w:val="24"/>
        </w:rPr>
        <w:t>七、合同款项支付方式</w:t>
      </w:r>
    </w:p>
    <w:p>
      <w:pPr>
        <w:spacing w:line="360" w:lineRule="auto"/>
        <w:ind w:firstLine="420" w:firstLineChars="200"/>
      </w:pPr>
      <w:r>
        <w:rPr>
          <w:rFonts w:hint="eastAsia"/>
        </w:rPr>
        <w:t>合同生效后，由乙方全部垫资，待设备到达指定地点、安装调试验收合格后，一次性付清合同货款。</w:t>
      </w:r>
    </w:p>
    <w:p>
      <w:pPr>
        <w:spacing w:line="360" w:lineRule="auto"/>
        <w:rPr>
          <w:b/>
          <w:sz w:val="24"/>
        </w:rPr>
      </w:pPr>
      <w:r>
        <w:rPr>
          <w:rFonts w:hint="eastAsia"/>
          <w:b/>
          <w:sz w:val="24"/>
        </w:rPr>
        <w:t>八、违约责任</w:t>
      </w:r>
    </w:p>
    <w:p>
      <w:pPr>
        <w:spacing w:line="360" w:lineRule="auto"/>
        <w:ind w:firstLine="420" w:firstLineChars="200"/>
      </w:pPr>
      <w:r>
        <w:t>1</w:t>
      </w:r>
      <w:r>
        <w:rPr>
          <w:rFonts w:hint="eastAsia"/>
        </w:rPr>
        <w:t>、合同生效后，甲乙双方应按合同规定认真履约。合同履约责任只涉及合同甲乙双方，不考虑第三方因素。</w:t>
      </w:r>
    </w:p>
    <w:p>
      <w:pPr>
        <w:spacing w:line="360" w:lineRule="auto"/>
        <w:ind w:firstLine="420" w:firstLineChars="200"/>
      </w:pPr>
      <w:r>
        <w:t>2</w:t>
      </w:r>
      <w:r>
        <w:rPr>
          <w:rFonts w:hint="eastAsia"/>
        </w:rPr>
        <w:t>、除不可抗力原因外，如遇下列情况之一者，乙方所缴纳的合同履约、产品质量保证金甲方有权不予退还，作为对甲方的赔偿：（</w:t>
      </w:r>
      <w:r>
        <w:t>1</w:t>
      </w:r>
      <w:r>
        <w:rPr>
          <w:rFonts w:hint="eastAsia"/>
        </w:rPr>
        <w:t>）合同签订后不能按合同时限要求供货或安装调试；（</w:t>
      </w:r>
      <w:r>
        <w:t>2</w:t>
      </w:r>
      <w:r>
        <w:rPr>
          <w:rFonts w:hint="eastAsia"/>
        </w:rPr>
        <w:t>）所供设备不合格、与合同不符；（</w:t>
      </w:r>
      <w:r>
        <w:t>3</w:t>
      </w:r>
      <w:r>
        <w:rPr>
          <w:rFonts w:hint="eastAsia"/>
        </w:rPr>
        <w:t>）不能按合同履约；（</w:t>
      </w:r>
      <w:r>
        <w:t>4</w:t>
      </w:r>
      <w:r>
        <w:rPr>
          <w:rFonts w:hint="eastAsia"/>
        </w:rPr>
        <w:t>）设备验收不合格。</w:t>
      </w:r>
    </w:p>
    <w:p>
      <w:pPr>
        <w:spacing w:line="360" w:lineRule="auto"/>
        <w:ind w:firstLine="420" w:firstLineChars="200"/>
      </w:pPr>
      <w:r>
        <w:t>3</w:t>
      </w:r>
      <w:r>
        <w:rPr>
          <w:rFonts w:hint="eastAsia"/>
        </w:rPr>
        <w:t>、乙方对所供产品出现的问题推委、拖延，</w:t>
      </w:r>
      <w:r>
        <w:t>24</w:t>
      </w:r>
      <w:r>
        <w:rPr>
          <w:rFonts w:hint="eastAsia"/>
        </w:rPr>
        <w:t>小时未作出服务响应，应接受甲方的合理处罚。并且，甲方有权拒绝乙方以后参加学校竞标。</w:t>
      </w:r>
    </w:p>
    <w:p>
      <w:pPr>
        <w:spacing w:line="360" w:lineRule="auto"/>
        <w:ind w:firstLine="420" w:firstLineChars="200"/>
      </w:pPr>
      <w:r>
        <w:t>4</w:t>
      </w:r>
      <w:r>
        <w:rPr>
          <w:rFonts w:hint="eastAsia"/>
        </w:rPr>
        <w:t>、合同履约过程中，甲方应积极配合乙方进行设备验收以及验收前的外围配套等工作。否则，因此导致设备不能按期验收时，不能追究乙方责任；正常情况下应在设备验收合格后</w:t>
      </w:r>
      <w:r>
        <w:t>15</w:t>
      </w:r>
      <w:r>
        <w:rPr>
          <w:rFonts w:hint="eastAsia"/>
        </w:rPr>
        <w:t>天内按规定向乙方付款，最长时间不能超过</w:t>
      </w:r>
      <w:r>
        <w:t>30</w:t>
      </w:r>
      <w:r>
        <w:rPr>
          <w:rFonts w:hint="eastAsia"/>
        </w:rPr>
        <w:t>天。否则，每超过一周应向乙方支付合同应付款3‰的滞纳金。</w:t>
      </w:r>
    </w:p>
    <w:p>
      <w:pPr>
        <w:spacing w:line="360" w:lineRule="auto"/>
        <w:rPr>
          <w:b/>
          <w:sz w:val="24"/>
        </w:rPr>
      </w:pPr>
      <w:r>
        <w:rPr>
          <w:rFonts w:hint="eastAsia"/>
          <w:b/>
          <w:sz w:val="24"/>
        </w:rPr>
        <w:t>十、其它事项</w:t>
      </w:r>
    </w:p>
    <w:p>
      <w:pPr>
        <w:spacing w:line="360" w:lineRule="auto"/>
        <w:ind w:firstLine="420" w:firstLineChars="200"/>
      </w:pPr>
      <w:r>
        <w:t>1</w:t>
      </w:r>
      <w:r>
        <w:rPr>
          <w:rFonts w:hint="eastAsia"/>
        </w:rPr>
        <w:t>、合同经双方签字盖章后生效。本合同一式陆份，甲方执肆份（设备管理1份，使用单位2份，财务处1份），乙方执壹份，代理机构执壹份，执行完毕后自行失效。</w:t>
      </w:r>
    </w:p>
    <w:p>
      <w:pPr>
        <w:spacing w:line="360" w:lineRule="auto"/>
        <w:ind w:firstLine="420" w:firstLineChars="200"/>
      </w:pPr>
      <w:r>
        <w:t>2</w:t>
      </w:r>
      <w:r>
        <w:rPr>
          <w:rFonts w:hint="eastAsia"/>
        </w:rPr>
        <w:t>、下述文件为本合同的一部分，并与本合同一起阅读和解释，且具有同等法律效力：</w:t>
      </w:r>
    </w:p>
    <w:p>
      <w:pPr>
        <w:spacing w:line="360" w:lineRule="auto"/>
        <w:ind w:firstLine="560"/>
        <w:rPr>
          <w:rFonts w:ascii="宋体" w:hAnsi="宋体"/>
        </w:rPr>
      </w:pPr>
      <w:r>
        <w:rPr>
          <w:rFonts w:hint="eastAsia" w:ascii="宋体" w:hAnsi="宋体"/>
        </w:rPr>
        <w:t>①合同附件1：产品功能要求、技术规格及配置详单；</w:t>
      </w:r>
    </w:p>
    <w:p>
      <w:pPr>
        <w:spacing w:line="360" w:lineRule="auto"/>
        <w:ind w:firstLine="560"/>
        <w:rPr>
          <w:rFonts w:ascii="宋体" w:hAnsi="宋体"/>
        </w:rPr>
      </w:pPr>
      <w:r>
        <w:rPr>
          <w:rFonts w:hint="eastAsia" w:ascii="宋体" w:hAnsi="宋体"/>
        </w:rPr>
        <w:t>②合同附件2：补充条款（如果有）；</w:t>
      </w:r>
    </w:p>
    <w:p>
      <w:pPr>
        <w:spacing w:line="360" w:lineRule="auto"/>
        <w:ind w:firstLine="560"/>
        <w:rPr>
          <w:rFonts w:ascii="宋体" w:hAnsi="宋体"/>
        </w:rPr>
      </w:pPr>
      <w:r>
        <w:rPr>
          <w:rFonts w:hint="eastAsia" w:ascii="宋体" w:hAnsi="宋体"/>
        </w:rPr>
        <w:t>③合同附件3：澄清函及最终报价和承诺；</w:t>
      </w:r>
    </w:p>
    <w:p>
      <w:pPr>
        <w:spacing w:line="360" w:lineRule="auto"/>
        <w:ind w:firstLine="560"/>
        <w:rPr>
          <w:rFonts w:ascii="宋体" w:hAnsi="宋体"/>
        </w:rPr>
      </w:pPr>
      <w:r>
        <w:rPr>
          <w:rFonts w:hint="eastAsia" w:ascii="宋体" w:hAnsi="宋体"/>
        </w:rPr>
        <w:t>④招标文件；</w:t>
      </w:r>
    </w:p>
    <w:p>
      <w:pPr>
        <w:spacing w:line="360" w:lineRule="auto"/>
        <w:ind w:firstLine="560"/>
        <w:rPr>
          <w:rFonts w:ascii="宋体" w:hAnsi="宋体"/>
        </w:rPr>
      </w:pPr>
      <w:r>
        <w:rPr>
          <w:rFonts w:hint="eastAsia" w:ascii="宋体" w:hAnsi="宋体"/>
        </w:rPr>
        <w:t>⑤投标文件；</w:t>
      </w:r>
    </w:p>
    <w:p>
      <w:pPr>
        <w:spacing w:line="360" w:lineRule="auto"/>
        <w:ind w:firstLine="560"/>
        <w:rPr>
          <w:rFonts w:ascii="宋体" w:hAnsi="宋体"/>
        </w:rPr>
      </w:pPr>
      <w:r>
        <w:rPr>
          <w:rFonts w:hint="eastAsia" w:ascii="宋体" w:hAnsi="宋体"/>
        </w:rPr>
        <w:t>⑥进出口代理协议；</w:t>
      </w:r>
    </w:p>
    <w:p>
      <w:pPr>
        <w:spacing w:line="360" w:lineRule="auto"/>
        <w:ind w:firstLine="560"/>
      </w:pPr>
      <w:r>
        <w:rPr>
          <w:rFonts w:hint="eastAsia" w:ascii="宋体" w:hAnsi="宋体"/>
        </w:rPr>
        <w:t>⑦中标通知书。</w:t>
      </w:r>
    </w:p>
    <w:p>
      <w:pPr>
        <w:spacing w:line="360" w:lineRule="auto"/>
        <w:ind w:firstLine="420" w:firstLineChars="200"/>
      </w:pPr>
      <w:r>
        <w:t>3</w:t>
      </w:r>
      <w:r>
        <w:rPr>
          <w:rFonts w:hint="eastAsia"/>
        </w:rPr>
        <w:t>、在本合同执行过程中，甲、乙双方协商签订的补充合同与原合同具有同等法律效力。</w:t>
      </w:r>
    </w:p>
    <w:p>
      <w:pPr>
        <w:spacing w:line="360" w:lineRule="auto"/>
      </w:pPr>
      <w:r>
        <w:t xml:space="preserve">    4</w:t>
      </w:r>
      <w:r>
        <w:rPr>
          <w:rFonts w:hint="eastAsia"/>
        </w:rPr>
        <w:t>、未尽事宜，双方协商解决。</w:t>
      </w:r>
    </w:p>
    <w:p>
      <w:pPr>
        <w:spacing w:line="360" w:lineRule="auto"/>
        <w:ind w:firstLine="420" w:firstLineChars="200"/>
      </w:pPr>
      <w:r>
        <w:rPr>
          <w:rFonts w:hint="eastAsia"/>
        </w:rPr>
        <w:t>5、合同签订地点：西安</w:t>
      </w:r>
      <w:r>
        <w:t>.</w:t>
      </w:r>
      <w:r>
        <w:rPr>
          <w:rFonts w:hint="eastAsia"/>
        </w:rPr>
        <w:t>西北大学</w:t>
      </w:r>
    </w:p>
    <w:p>
      <w:pPr>
        <w:spacing w:line="360" w:lineRule="auto"/>
        <w:ind w:firstLine="420" w:firstLineChars="200"/>
      </w:pPr>
      <w:r>
        <w:rPr>
          <w:rFonts w:hint="eastAsia"/>
        </w:rPr>
        <w:t>6、合同签订时间：</w:t>
      </w:r>
      <w:r>
        <w:rPr>
          <w:rFonts w:hint="eastAsia"/>
          <w:u w:val="single"/>
        </w:rPr>
        <w:t>　　</w:t>
      </w:r>
      <w:r>
        <w:rPr>
          <w:u w:val="single"/>
        </w:rPr>
        <w:t xml:space="preserve"> </w:t>
      </w:r>
      <w:r>
        <w:rPr>
          <w:rFonts w:hint="eastAsia"/>
          <w:u w:val="single"/>
        </w:rPr>
        <w:t>　　</w:t>
      </w:r>
      <w:r>
        <w:rPr>
          <w:rFonts w:hint="eastAsia"/>
        </w:rPr>
        <w:t>年</w:t>
      </w:r>
      <w:r>
        <w:rPr>
          <w:rFonts w:hint="eastAsia"/>
          <w:u w:val="single"/>
        </w:rPr>
        <w:t>　</w:t>
      </w:r>
      <w:r>
        <w:rPr>
          <w:u w:val="single"/>
        </w:rPr>
        <w:t xml:space="preserve">  </w:t>
      </w:r>
      <w:r>
        <w:rPr>
          <w:rFonts w:hint="eastAsia"/>
        </w:rPr>
        <w:t>月</w:t>
      </w:r>
      <w:r>
        <w:rPr>
          <w:rFonts w:hint="eastAsia"/>
          <w:u w:val="single"/>
        </w:rPr>
        <w:t>　</w:t>
      </w:r>
      <w:r>
        <w:rPr>
          <w:u w:val="single"/>
        </w:rPr>
        <w:t xml:space="preserve">  </w:t>
      </w:r>
      <w:r>
        <w:rPr>
          <w:rFonts w:hint="eastAsia"/>
        </w:rPr>
        <w:t>日</w:t>
      </w:r>
    </w:p>
    <w:p>
      <w:pPr>
        <w:spacing w:line="360" w:lineRule="auto"/>
        <w:ind w:firstLine="420" w:firstLineChars="200"/>
      </w:pPr>
    </w:p>
    <w:p>
      <w:pPr>
        <w:spacing w:line="360" w:lineRule="auto"/>
        <w:ind w:firstLine="482" w:firstLineChars="200"/>
        <w:rPr>
          <w:rFonts w:ascii="宋体" w:hAnsi="宋体" w:cs="宋体" w:eastAsiaTheme="minorEastAsia"/>
          <w:sz w:val="24"/>
        </w:rPr>
      </w:pPr>
      <w:r>
        <w:rPr>
          <w:rFonts w:hint="eastAsia" w:ascii="宋体" w:hAnsi="宋体" w:cs="宋体"/>
          <w:b/>
          <w:sz w:val="24"/>
        </w:rPr>
        <w:t>招标代理机构</w:t>
      </w:r>
      <w:r>
        <w:rPr>
          <w:rFonts w:hint="eastAsia" w:ascii="宋体" w:hAnsi="宋体" w:cs="宋体"/>
          <w:sz w:val="24"/>
        </w:rPr>
        <w:t>：陕西卓佲招标有限公司</w:t>
      </w:r>
    </w:p>
    <w:p>
      <w:pPr>
        <w:spacing w:line="360" w:lineRule="auto"/>
        <w:ind w:firstLine="555"/>
        <w:rPr>
          <w:rFonts w:eastAsiaTheme="minorEastAsia"/>
          <w:b/>
        </w:rPr>
      </w:pPr>
      <w:r>
        <w:rPr>
          <w:rFonts w:hint="eastAsia" w:ascii="宋体" w:hAnsi="宋体" w:cs="宋体"/>
          <w:sz w:val="24"/>
        </w:rPr>
        <w:t xml:space="preserve">              电话：029-88440695</w:t>
      </w:r>
    </w:p>
    <w:p>
      <w:pPr>
        <w:spacing w:line="360" w:lineRule="auto"/>
        <w:ind w:firstLine="555"/>
        <w:rPr>
          <w:b/>
        </w:rPr>
      </w:pPr>
      <w:r>
        <w:rPr>
          <w:rFonts w:hint="eastAsia"/>
          <w:b/>
        </w:rPr>
        <w:t>甲</w:t>
      </w:r>
      <w:r>
        <w:rPr>
          <w:b/>
        </w:rPr>
        <w:t xml:space="preserve">    </w:t>
      </w:r>
      <w:r>
        <w:rPr>
          <w:rFonts w:hint="eastAsia"/>
          <w:b/>
        </w:rPr>
        <w:t>方</w:t>
      </w:r>
      <w:r>
        <w:rPr>
          <w:b/>
        </w:rPr>
        <w:t xml:space="preserve">                        </w:t>
      </w:r>
      <w:r>
        <w:rPr>
          <w:rFonts w:hint="eastAsia"/>
          <w:b/>
        </w:rPr>
        <w:t xml:space="preserve">              乙</w:t>
      </w:r>
      <w:r>
        <w:rPr>
          <w:b/>
        </w:rPr>
        <w:t xml:space="preserve">    </w:t>
      </w:r>
      <w:r>
        <w:rPr>
          <w:rFonts w:hint="eastAsia"/>
          <w:b/>
        </w:rPr>
        <w:t>方（全填）</w:t>
      </w:r>
    </w:p>
    <w:p>
      <w:pPr>
        <w:spacing w:line="360" w:lineRule="auto"/>
        <w:ind w:firstLine="560"/>
        <w:rPr>
          <w:b/>
        </w:rPr>
      </w:pPr>
      <w:r>
        <w:rPr>
          <w:rFonts w:hint="eastAsia"/>
        </w:rPr>
        <w:t>单位名称（盖章）：</w:t>
      </w:r>
      <w:r>
        <w:t xml:space="preserve">              </w:t>
      </w:r>
      <w:r>
        <w:rPr>
          <w:rFonts w:hint="eastAsia"/>
        </w:rPr>
        <w:t xml:space="preserve">               单位名称（盖章）：</w:t>
      </w:r>
    </w:p>
    <w:p>
      <w:pPr>
        <w:spacing w:line="360" w:lineRule="auto"/>
        <w:ind w:firstLine="540"/>
      </w:pPr>
      <w:r>
        <w:rPr>
          <w:rFonts w:hint="eastAsia"/>
        </w:rPr>
        <w:t>地</w:t>
      </w:r>
      <w:r>
        <w:t xml:space="preserve">    </w:t>
      </w:r>
      <w:r>
        <w:rPr>
          <w:rFonts w:hint="eastAsia"/>
        </w:rPr>
        <w:t>址：</w:t>
      </w:r>
      <w:r>
        <w:t xml:space="preserve">                     </w:t>
      </w:r>
      <w:r>
        <w:rPr>
          <w:rFonts w:hint="eastAsia"/>
        </w:rPr>
        <w:t xml:space="preserve">               地</w:t>
      </w:r>
      <w:r>
        <w:t xml:space="preserve">    </w:t>
      </w:r>
      <w:r>
        <w:rPr>
          <w:rFonts w:hint="eastAsia"/>
        </w:rPr>
        <w:t>址：</w:t>
      </w:r>
    </w:p>
    <w:p>
      <w:pPr>
        <w:spacing w:line="360" w:lineRule="auto"/>
        <w:ind w:firstLine="560"/>
      </w:pPr>
      <w:r>
        <w:rPr>
          <w:rFonts w:hint="eastAsia"/>
        </w:rPr>
        <w:t>法定代表人：                                  法定代表人：（盖章/签字）</w:t>
      </w:r>
    </w:p>
    <w:p>
      <w:pPr>
        <w:spacing w:line="360" w:lineRule="auto"/>
        <w:ind w:firstLine="560"/>
      </w:pPr>
      <w:r>
        <w:rPr>
          <w:rFonts w:hint="eastAsia"/>
        </w:rPr>
        <w:t>委托代理人：（签字）                           委托代理人：（签字）</w:t>
      </w:r>
    </w:p>
    <w:p>
      <w:pPr>
        <w:spacing w:line="360" w:lineRule="auto"/>
        <w:ind w:firstLine="540"/>
      </w:pPr>
      <w:r>
        <w:rPr>
          <w:rFonts w:hint="eastAsia"/>
        </w:rPr>
        <w:t>电话：　　　　　　　　　　　　　　　　　　　　电话：</w:t>
      </w:r>
    </w:p>
    <w:p>
      <w:pPr>
        <w:spacing w:line="360" w:lineRule="auto"/>
        <w:ind w:firstLine="540"/>
      </w:pPr>
      <w:r>
        <w:rPr>
          <w:rFonts w:hint="eastAsia"/>
        </w:rPr>
        <w:t>传真：</w:t>
      </w:r>
      <w:r>
        <w:t xml:space="preserve">                     </w:t>
      </w:r>
      <w:r>
        <w:rPr>
          <w:rFonts w:hint="eastAsia"/>
        </w:rPr>
        <w:t xml:space="preserve">               　　传真：</w:t>
      </w:r>
    </w:p>
    <w:p>
      <w:pPr>
        <w:spacing w:line="360" w:lineRule="auto"/>
        <w:ind w:firstLine="570"/>
      </w:pPr>
      <w:r>
        <w:rPr>
          <w:rFonts w:hint="eastAsia"/>
        </w:rPr>
        <w:t>邮编：　　　　　　　　　　　　　　　　　　　　邮编：</w:t>
      </w:r>
    </w:p>
    <w:p>
      <w:pPr>
        <w:spacing w:line="360" w:lineRule="auto"/>
        <w:ind w:firstLine="570"/>
      </w:pPr>
      <w:r>
        <w:rPr>
          <w:rFonts w:hint="eastAsia"/>
        </w:rPr>
        <w:t>　　　　　　　　　　　　　　　　　　　　　　　开户银行及账号：</w:t>
      </w:r>
    </w:p>
    <w:p>
      <w:pPr>
        <w:pStyle w:val="8"/>
        <w:sectPr>
          <w:pgSz w:w="11906" w:h="16838"/>
          <w:pgMar w:top="1440" w:right="1803" w:bottom="1440" w:left="1803" w:header="851" w:footer="992" w:gutter="0"/>
          <w:cols w:space="720" w:num="1"/>
          <w:docGrid w:type="lines" w:linePitch="319" w:charSpace="0"/>
        </w:sectPr>
      </w:pPr>
    </w:p>
    <w:p>
      <w:pPr>
        <w:pStyle w:val="4"/>
        <w:keepNext w:val="0"/>
        <w:pageBreakBefore/>
      </w:pPr>
      <w:bookmarkStart w:id="82" w:name="_Toc18734"/>
      <w:r>
        <w:rPr>
          <w:rFonts w:hint="eastAsia"/>
        </w:rPr>
        <w:t>第七部分磋商响应文件格式</w:t>
      </w:r>
      <w:bookmarkEnd w:id="77"/>
      <w:bookmarkEnd w:id="82"/>
    </w:p>
    <w:p>
      <w:pPr>
        <w:adjustRightInd w:val="0"/>
        <w:snapToGrid w:val="0"/>
        <w:spacing w:line="400" w:lineRule="exact"/>
        <w:jc w:val="left"/>
        <w:rPr>
          <w:rFonts w:ascii="宋体" w:cs="宋体"/>
          <w:b/>
          <w:w w:val="120"/>
          <w:sz w:val="28"/>
          <w:szCs w:val="28"/>
        </w:rPr>
      </w:pPr>
      <w:r>
        <w:rPr>
          <w:rFonts w:hint="eastAsia" w:ascii="宋体" w:hAnsi="宋体" w:cs="宋体"/>
          <w:b/>
          <w:w w:val="120"/>
          <w:sz w:val="28"/>
          <w:szCs w:val="28"/>
        </w:rPr>
        <w:t>项目编号：</w:t>
      </w:r>
      <w:r>
        <w:rPr>
          <w:rFonts w:hint="eastAsia" w:ascii="宋体" w:hAnsi="宋体" w:cs="宋体"/>
          <w:b/>
          <w:w w:val="120"/>
          <w:sz w:val="28"/>
          <w:szCs w:val="28"/>
          <w:lang w:eastAsia="zh-CN"/>
        </w:rPr>
        <w:t>ZMZB2019XBDX-21</w:t>
      </w:r>
      <w:r>
        <w:rPr>
          <w:rFonts w:hint="eastAsia" w:ascii="宋体" w:hAnsi="宋体" w:cs="宋体"/>
          <w:b/>
          <w:w w:val="120"/>
          <w:sz w:val="28"/>
          <w:szCs w:val="28"/>
        </w:rPr>
        <w:t>（正本或副本）</w:t>
      </w:r>
    </w:p>
    <w:p>
      <w:pPr>
        <w:adjustRightInd w:val="0"/>
        <w:snapToGrid w:val="0"/>
        <w:spacing w:line="360" w:lineRule="auto"/>
        <w:jc w:val="left"/>
        <w:rPr>
          <w:rFonts w:ascii="宋体" w:cs="宋体"/>
          <w:bCs/>
          <w:spacing w:val="-34"/>
          <w:w w:val="120"/>
          <w:sz w:val="34"/>
        </w:rPr>
      </w:pPr>
    </w:p>
    <w:p>
      <w:pPr>
        <w:jc w:val="center"/>
        <w:rPr>
          <w:rFonts w:ascii="宋体" w:cs="宋体"/>
          <w:b/>
          <w:sz w:val="36"/>
          <w:szCs w:val="36"/>
        </w:rPr>
      </w:pPr>
    </w:p>
    <w:p>
      <w:pPr>
        <w:snapToGrid w:val="0"/>
        <w:spacing w:line="480" w:lineRule="auto"/>
        <w:jc w:val="center"/>
        <w:rPr>
          <w:rFonts w:hint="eastAsia" w:ascii="宋体" w:hAnsi="宋体" w:eastAsia="宋体" w:cs="宋体"/>
          <w:b/>
          <w:sz w:val="72"/>
          <w:szCs w:val="72"/>
          <w:lang w:eastAsia="zh-CN"/>
        </w:rPr>
      </w:pPr>
      <w:r>
        <w:rPr>
          <w:rFonts w:hint="eastAsia" w:ascii="宋体" w:hAnsi="宋体" w:cs="宋体"/>
          <w:b/>
          <w:sz w:val="72"/>
          <w:szCs w:val="72"/>
          <w:lang w:eastAsia="zh-CN"/>
        </w:rPr>
        <w:t>西北大学人力资源管理信息系统采购项目</w:t>
      </w:r>
    </w:p>
    <w:p>
      <w:pPr>
        <w:snapToGrid w:val="0"/>
        <w:spacing w:line="480" w:lineRule="auto"/>
        <w:jc w:val="center"/>
        <w:rPr>
          <w:rFonts w:ascii="宋体" w:cs="宋体"/>
          <w:b/>
          <w:sz w:val="72"/>
          <w:szCs w:val="72"/>
        </w:rPr>
      </w:pPr>
      <w:r>
        <w:rPr>
          <w:rFonts w:hint="eastAsia" w:ascii="宋体" w:hAnsi="宋体" w:cs="宋体"/>
          <w:b/>
          <w:sz w:val="72"/>
          <w:szCs w:val="72"/>
        </w:rPr>
        <w:t>响应文件</w:t>
      </w:r>
    </w:p>
    <w:p>
      <w:pPr>
        <w:snapToGrid w:val="0"/>
        <w:spacing w:line="480" w:lineRule="auto"/>
        <w:ind w:firstLine="1446" w:firstLineChars="200"/>
        <w:jc w:val="left"/>
        <w:rPr>
          <w:rFonts w:ascii="宋体" w:cs="宋体"/>
          <w:b/>
          <w:sz w:val="72"/>
          <w:szCs w:val="72"/>
        </w:rPr>
      </w:pPr>
    </w:p>
    <w:p>
      <w:pPr>
        <w:ind w:firstLine="960" w:firstLineChars="300"/>
        <w:rPr>
          <w:rFonts w:ascii="宋体" w:hAnsi="宋体" w:cs="宋体"/>
          <w:sz w:val="32"/>
          <w:szCs w:val="32"/>
          <w:lang w:val="zh-CN"/>
        </w:rPr>
      </w:pPr>
      <w:r>
        <w:rPr>
          <w:rFonts w:hint="eastAsia" w:ascii="宋体" w:hAnsi="宋体" w:cs="宋体"/>
          <w:sz w:val="32"/>
          <w:szCs w:val="32"/>
          <w:lang w:val="zh-CN"/>
        </w:rPr>
        <w:t>供应商（单位名称及公章）：</w:t>
      </w:r>
    </w:p>
    <w:p>
      <w:pPr>
        <w:ind w:firstLine="960" w:firstLineChars="300"/>
        <w:rPr>
          <w:rFonts w:ascii="宋体" w:cs="宋体"/>
          <w:sz w:val="32"/>
          <w:szCs w:val="32"/>
          <w:u w:val="single"/>
        </w:rPr>
      </w:pPr>
      <w:r>
        <w:rPr>
          <w:rFonts w:hint="eastAsia" w:ascii="宋体" w:hAnsi="宋体" w:cs="宋体"/>
          <w:sz w:val="32"/>
          <w:szCs w:val="32"/>
        </w:rPr>
        <w:t xml:space="preserve">法定代表人/被授权人（签字或盖章）： </w:t>
      </w:r>
    </w:p>
    <w:p>
      <w:pPr>
        <w:snapToGrid w:val="0"/>
        <w:spacing w:line="480" w:lineRule="auto"/>
        <w:ind w:firstLine="960" w:firstLineChars="300"/>
        <w:jc w:val="left"/>
        <w:rPr>
          <w:rFonts w:ascii="宋体" w:cs="宋体"/>
          <w:sz w:val="36"/>
          <w:szCs w:val="36"/>
          <w:u w:val="single"/>
        </w:rPr>
      </w:pPr>
      <w:r>
        <w:rPr>
          <w:rFonts w:hint="eastAsia" w:ascii="宋体" w:hAnsi="宋体" w:cs="宋体"/>
          <w:sz w:val="32"/>
          <w:szCs w:val="32"/>
        </w:rPr>
        <w:t>日期</w:t>
      </w:r>
      <w:r>
        <w:rPr>
          <w:rFonts w:hint="eastAsia" w:ascii="宋体" w:hAnsi="宋体" w:cs="宋体"/>
          <w:sz w:val="32"/>
          <w:szCs w:val="32"/>
          <w:lang w:val="zh-CN"/>
        </w:rPr>
        <w:t>：</w:t>
      </w:r>
    </w:p>
    <w:p>
      <w:pPr>
        <w:pageBreakBefore/>
        <w:ind w:firstLine="1004" w:firstLineChars="200"/>
        <w:jc w:val="center"/>
        <w:rPr>
          <w:rFonts w:ascii="宋体" w:cs="宋体"/>
          <w:b/>
          <w:sz w:val="50"/>
        </w:rPr>
      </w:pPr>
      <w:r>
        <w:rPr>
          <w:rFonts w:hint="eastAsia" w:ascii="宋体" w:hAnsi="宋体" w:cs="宋体"/>
          <w:b/>
          <w:sz w:val="50"/>
        </w:rPr>
        <w:t>目录</w:t>
      </w:r>
    </w:p>
    <w:p>
      <w:pPr>
        <w:ind w:firstLine="1004" w:firstLineChars="200"/>
        <w:jc w:val="left"/>
        <w:rPr>
          <w:rFonts w:ascii="宋体" w:cs="宋体"/>
          <w:b/>
          <w:sz w:val="50"/>
        </w:rPr>
      </w:pPr>
    </w:p>
    <w:p>
      <w:pPr>
        <w:pStyle w:val="15"/>
        <w:snapToGrid w:val="0"/>
        <w:spacing w:line="480" w:lineRule="auto"/>
        <w:ind w:firstLine="562" w:firstLineChars="200"/>
        <w:jc w:val="left"/>
        <w:rPr>
          <w:rFonts w:hAnsi="宋体" w:cs="宋体"/>
          <w:b/>
          <w:bCs/>
          <w:sz w:val="28"/>
          <w:szCs w:val="28"/>
        </w:rPr>
      </w:pPr>
      <w:r>
        <w:rPr>
          <w:rFonts w:hint="eastAsia" w:hAnsi="宋体" w:cs="宋体"/>
          <w:b/>
          <w:bCs/>
          <w:sz w:val="28"/>
          <w:szCs w:val="28"/>
        </w:rPr>
        <w:t>第一部分磋商函</w:t>
      </w:r>
    </w:p>
    <w:p>
      <w:pPr>
        <w:snapToGrid w:val="0"/>
        <w:spacing w:line="480" w:lineRule="auto"/>
        <w:ind w:firstLine="562" w:firstLineChars="200"/>
        <w:jc w:val="left"/>
        <w:rPr>
          <w:rFonts w:ascii="宋体" w:cs="宋体"/>
          <w:b/>
          <w:sz w:val="28"/>
          <w:szCs w:val="28"/>
        </w:rPr>
      </w:pPr>
      <w:r>
        <w:rPr>
          <w:rFonts w:hint="eastAsia" w:ascii="宋体" w:hAnsi="宋体" w:cs="宋体"/>
          <w:b/>
          <w:sz w:val="28"/>
          <w:szCs w:val="28"/>
        </w:rPr>
        <w:t>第二部分磋商一览表</w:t>
      </w:r>
    </w:p>
    <w:p>
      <w:pPr>
        <w:pStyle w:val="15"/>
        <w:snapToGrid w:val="0"/>
        <w:spacing w:line="480" w:lineRule="auto"/>
        <w:ind w:firstLine="562" w:firstLineChars="200"/>
        <w:jc w:val="left"/>
        <w:rPr>
          <w:rFonts w:hAnsi="宋体" w:cs="宋体"/>
          <w:b/>
          <w:sz w:val="28"/>
          <w:szCs w:val="28"/>
        </w:rPr>
      </w:pPr>
      <w:r>
        <w:rPr>
          <w:rFonts w:hint="eastAsia" w:hAnsi="宋体" w:cs="宋体"/>
          <w:b/>
          <w:sz w:val="28"/>
          <w:szCs w:val="28"/>
        </w:rPr>
        <w:t>第三部分磋商产品分项报价表</w:t>
      </w:r>
    </w:p>
    <w:p>
      <w:pPr>
        <w:pStyle w:val="15"/>
        <w:snapToGrid w:val="0"/>
        <w:spacing w:line="480" w:lineRule="auto"/>
        <w:ind w:firstLine="562" w:firstLineChars="200"/>
        <w:jc w:val="left"/>
        <w:rPr>
          <w:rFonts w:hAnsi="宋体" w:cs="宋体"/>
          <w:b/>
          <w:sz w:val="28"/>
          <w:szCs w:val="28"/>
        </w:rPr>
      </w:pPr>
      <w:r>
        <w:rPr>
          <w:rFonts w:hint="eastAsia" w:hAnsi="宋体" w:cs="宋体"/>
          <w:b/>
          <w:bCs/>
          <w:sz w:val="28"/>
          <w:szCs w:val="28"/>
        </w:rPr>
        <w:t>第四部分磋商产品技术偏差表</w:t>
      </w:r>
    </w:p>
    <w:p>
      <w:pPr>
        <w:pStyle w:val="15"/>
        <w:snapToGrid w:val="0"/>
        <w:spacing w:line="480" w:lineRule="auto"/>
        <w:ind w:firstLine="562" w:firstLineChars="200"/>
        <w:jc w:val="left"/>
        <w:rPr>
          <w:rFonts w:hAnsi="宋体" w:cs="宋体"/>
          <w:b/>
          <w:sz w:val="28"/>
          <w:szCs w:val="28"/>
        </w:rPr>
      </w:pPr>
      <w:r>
        <w:rPr>
          <w:rFonts w:hint="eastAsia" w:hAnsi="宋体" w:cs="宋体"/>
          <w:b/>
          <w:bCs/>
          <w:sz w:val="28"/>
          <w:szCs w:val="28"/>
        </w:rPr>
        <w:t>第五部分</w:t>
      </w:r>
      <w:r>
        <w:rPr>
          <w:rFonts w:hint="eastAsia" w:hAnsi="宋体" w:cs="宋体"/>
          <w:b/>
          <w:sz w:val="28"/>
          <w:szCs w:val="28"/>
        </w:rPr>
        <w:t>商务响应说明</w:t>
      </w:r>
    </w:p>
    <w:p>
      <w:pPr>
        <w:pStyle w:val="15"/>
        <w:snapToGrid w:val="0"/>
        <w:spacing w:line="480" w:lineRule="auto"/>
        <w:ind w:firstLine="562" w:firstLineChars="200"/>
        <w:jc w:val="left"/>
        <w:rPr>
          <w:rFonts w:hAnsi="宋体" w:cs="宋体"/>
          <w:b/>
          <w:sz w:val="28"/>
          <w:szCs w:val="28"/>
        </w:rPr>
      </w:pPr>
      <w:r>
        <w:rPr>
          <w:rFonts w:hint="eastAsia" w:hAnsi="宋体" w:cs="宋体"/>
          <w:b/>
          <w:sz w:val="28"/>
          <w:szCs w:val="28"/>
        </w:rPr>
        <w:t>第六部分供应商资格要求</w:t>
      </w:r>
    </w:p>
    <w:p>
      <w:pPr>
        <w:pStyle w:val="15"/>
        <w:snapToGrid w:val="0"/>
        <w:spacing w:line="480" w:lineRule="auto"/>
        <w:ind w:firstLine="562" w:firstLineChars="200"/>
        <w:jc w:val="left"/>
        <w:rPr>
          <w:rFonts w:hAnsi="宋体" w:cs="宋体"/>
          <w:b/>
          <w:bCs/>
          <w:sz w:val="28"/>
          <w:szCs w:val="28"/>
        </w:rPr>
      </w:pPr>
      <w:r>
        <w:rPr>
          <w:rFonts w:hint="eastAsia" w:hAnsi="宋体" w:cs="宋体"/>
          <w:b/>
          <w:bCs/>
          <w:sz w:val="28"/>
          <w:szCs w:val="28"/>
        </w:rPr>
        <w:t>第七部分投标技术方案</w:t>
      </w:r>
    </w:p>
    <w:p>
      <w:pPr>
        <w:pStyle w:val="15"/>
        <w:snapToGrid w:val="0"/>
        <w:spacing w:line="480" w:lineRule="auto"/>
        <w:ind w:firstLine="562" w:firstLineChars="200"/>
        <w:jc w:val="left"/>
        <w:rPr>
          <w:rFonts w:hAnsi="宋体" w:cs="宋体"/>
          <w:b/>
          <w:sz w:val="28"/>
          <w:szCs w:val="28"/>
        </w:rPr>
      </w:pPr>
      <w:r>
        <w:rPr>
          <w:rFonts w:hint="eastAsia" w:hAnsi="宋体" w:cs="宋体"/>
          <w:b/>
          <w:sz w:val="28"/>
          <w:szCs w:val="28"/>
        </w:rPr>
        <w:t>第八部分供应商类似项目业绩一览表</w:t>
      </w:r>
    </w:p>
    <w:p>
      <w:pPr>
        <w:snapToGrid w:val="0"/>
        <w:spacing w:line="480" w:lineRule="auto"/>
        <w:ind w:firstLine="562" w:firstLineChars="200"/>
        <w:jc w:val="left"/>
        <w:rPr>
          <w:rFonts w:ascii="宋体" w:hAnsi="宋体" w:cs="宋体"/>
          <w:b/>
          <w:bCs/>
          <w:sz w:val="28"/>
          <w:szCs w:val="28"/>
        </w:rPr>
      </w:pPr>
      <w:r>
        <w:rPr>
          <w:rFonts w:hint="eastAsia" w:ascii="宋体" w:hAnsi="宋体" w:cs="宋体"/>
          <w:b/>
          <w:bCs/>
          <w:sz w:val="28"/>
          <w:szCs w:val="28"/>
        </w:rPr>
        <w:t>第九部分供应商认为有必要说明的其他问题</w:t>
      </w:r>
    </w:p>
    <w:p>
      <w:pPr>
        <w:snapToGrid w:val="0"/>
        <w:spacing w:line="480" w:lineRule="auto"/>
        <w:ind w:firstLine="562" w:firstLineChars="200"/>
        <w:jc w:val="left"/>
        <w:rPr>
          <w:rFonts w:ascii="宋体" w:cs="宋体"/>
          <w:b/>
          <w:bCs/>
          <w:sz w:val="28"/>
          <w:szCs w:val="28"/>
        </w:rPr>
      </w:pPr>
      <w:r>
        <w:rPr>
          <w:rFonts w:hint="eastAsia" w:ascii="宋体" w:hAnsi="宋体" w:cs="宋体"/>
          <w:b/>
          <w:bCs/>
          <w:sz w:val="28"/>
          <w:szCs w:val="28"/>
        </w:rPr>
        <w:t>第十部分供应商承诺书</w:t>
      </w:r>
    </w:p>
    <w:p>
      <w:pPr>
        <w:pStyle w:val="5"/>
        <w:pageBreakBefore/>
      </w:pPr>
      <w:bookmarkStart w:id="83" w:name="_Toc2536"/>
      <w:bookmarkStart w:id="84" w:name="_Toc27180"/>
      <w:r>
        <w:rPr>
          <w:rFonts w:hint="eastAsia"/>
        </w:rPr>
        <w:t>第一部分磋商函</w:t>
      </w:r>
      <w:bookmarkEnd w:id="83"/>
      <w:bookmarkEnd w:id="84"/>
    </w:p>
    <w:p>
      <w:pPr>
        <w:adjustRightInd w:val="0"/>
        <w:snapToGrid w:val="0"/>
        <w:spacing w:line="276" w:lineRule="auto"/>
        <w:jc w:val="left"/>
        <w:rPr>
          <w:rFonts w:ascii="宋体" w:cs="宋体"/>
          <w:bCs/>
          <w:sz w:val="32"/>
          <w:szCs w:val="32"/>
        </w:rPr>
      </w:pPr>
      <w:r>
        <w:rPr>
          <w:rFonts w:hint="eastAsia" w:ascii="宋体" w:hAnsi="宋体" w:cs="宋体"/>
          <w:b/>
          <w:bCs/>
          <w:sz w:val="28"/>
          <w:szCs w:val="28"/>
        </w:rPr>
        <w:t>陕西卓佲招标有限公司</w:t>
      </w:r>
      <w:r>
        <w:rPr>
          <w:rFonts w:hint="eastAsia" w:ascii="宋体" w:hAnsi="宋体" w:cs="宋体"/>
          <w:bCs/>
          <w:sz w:val="32"/>
          <w:szCs w:val="32"/>
        </w:rPr>
        <w:t>：</w:t>
      </w:r>
    </w:p>
    <w:p>
      <w:pPr>
        <w:adjustRightInd w:val="0"/>
        <w:snapToGrid w:val="0"/>
        <w:spacing w:line="360" w:lineRule="auto"/>
        <w:ind w:firstLine="480" w:firstLineChars="200"/>
        <w:jc w:val="left"/>
        <w:rPr>
          <w:rFonts w:ascii="宋体" w:cs="宋体"/>
          <w:sz w:val="24"/>
        </w:rPr>
      </w:pPr>
      <w:r>
        <w:rPr>
          <w:rFonts w:hint="eastAsia" w:ascii="宋体" w:hAnsi="宋体" w:cs="宋体"/>
          <w:sz w:val="24"/>
        </w:rPr>
        <w:t>我单位收到编号为：</w:t>
      </w:r>
      <w:r>
        <w:rPr>
          <w:rFonts w:hint="eastAsia" w:ascii="宋体" w:hAnsi="宋体" w:cs="宋体"/>
          <w:sz w:val="24"/>
          <w:u w:val="single"/>
        </w:rPr>
        <w:t xml:space="preserve">（项目编号）   </w:t>
      </w:r>
      <w:r>
        <w:rPr>
          <w:rFonts w:ascii="宋体" w:hAnsi="宋体" w:cs="宋体"/>
          <w:sz w:val="24"/>
          <w:u w:val="single"/>
        </w:rPr>
        <w:t xml:space="preserve">        </w:t>
      </w:r>
      <w:r>
        <w:rPr>
          <w:rFonts w:hint="eastAsia" w:ascii="宋体" w:hAnsi="宋体" w:cs="宋体"/>
          <w:sz w:val="24"/>
        </w:rPr>
        <w:t>的竞争性磋商文件，经详细研究，我公司决定参加本次招标活动。为此，我方郑重承诺以下诸点，并负法律责任。</w:t>
      </w:r>
    </w:p>
    <w:p>
      <w:pPr>
        <w:adjustRightInd w:val="0"/>
        <w:snapToGrid w:val="0"/>
        <w:spacing w:line="360" w:lineRule="auto"/>
        <w:ind w:firstLine="480" w:firstLineChars="200"/>
        <w:jc w:val="left"/>
        <w:rPr>
          <w:rFonts w:ascii="宋体" w:cs="宋体"/>
          <w:sz w:val="24"/>
        </w:rPr>
      </w:pPr>
      <w:r>
        <w:rPr>
          <w:rFonts w:ascii="宋体" w:hAnsi="宋体" w:cs="宋体"/>
          <w:sz w:val="24"/>
        </w:rPr>
        <w:t>1</w:t>
      </w:r>
      <w:r>
        <w:rPr>
          <w:rFonts w:hint="eastAsia" w:ascii="宋体" w:hAnsi="宋体" w:cs="宋体"/>
          <w:sz w:val="24"/>
        </w:rPr>
        <w:t>、愿意按照竞争性磋商文件中的全部要求，提供合格的产品及完善的技术服务，履行合同的责任和义务。</w:t>
      </w:r>
    </w:p>
    <w:p>
      <w:pPr>
        <w:adjustRightInd w:val="0"/>
        <w:snapToGrid w:val="0"/>
        <w:spacing w:line="360" w:lineRule="auto"/>
        <w:ind w:firstLine="480" w:firstLineChars="200"/>
        <w:jc w:val="left"/>
        <w:rPr>
          <w:rFonts w:ascii="宋体" w:cs="宋体"/>
          <w:sz w:val="24"/>
        </w:rPr>
      </w:pPr>
      <w:r>
        <w:rPr>
          <w:rFonts w:ascii="宋体" w:hAnsi="宋体" w:cs="宋体"/>
          <w:sz w:val="24"/>
        </w:rPr>
        <w:t>2</w:t>
      </w:r>
      <w:r>
        <w:rPr>
          <w:rFonts w:hint="eastAsia" w:ascii="宋体" w:hAnsi="宋体" w:cs="宋体"/>
          <w:sz w:val="24"/>
        </w:rPr>
        <w:t>、按照竞争性磋商文件的规定，完成总体供货和服务的磋商总报价为：</w:t>
      </w:r>
    </w:p>
    <w:p>
      <w:pPr>
        <w:adjustRightInd w:val="0"/>
        <w:snapToGrid w:val="0"/>
        <w:spacing w:line="360" w:lineRule="auto"/>
        <w:ind w:left="210" w:leftChars="100" w:firstLine="240" w:firstLineChars="100"/>
        <w:rPr>
          <w:rFonts w:ascii="宋体" w:cs="宋体"/>
          <w:sz w:val="24"/>
        </w:rPr>
      </w:pPr>
      <w:r>
        <w:rPr>
          <w:rFonts w:hint="eastAsia" w:ascii="宋体" w:hAnsi="宋体" w:cs="宋体"/>
          <w:sz w:val="24"/>
        </w:rPr>
        <w:t>人民币（大写）</w:t>
      </w:r>
      <w:r>
        <w:rPr>
          <w:rFonts w:hint="eastAsia" w:ascii="宋体" w:hAnsi="宋体" w:cs="宋体"/>
          <w:sz w:val="24"/>
          <w:u w:val="single"/>
        </w:rPr>
        <w:t xml:space="preserve">：    </w:t>
      </w:r>
      <w:r>
        <w:rPr>
          <w:rFonts w:hint="eastAsia" w:ascii="宋体" w:hAnsi="宋体" w:cs="宋体"/>
          <w:sz w:val="24"/>
        </w:rPr>
        <w:t>；（小写</w:t>
      </w:r>
      <w:r>
        <w:rPr>
          <w:rFonts w:hint="eastAsia" w:ascii="宋体" w:cs="宋体"/>
          <w:sz w:val="24"/>
        </w:rPr>
        <w:t>）￥：    万元。</w:t>
      </w:r>
    </w:p>
    <w:p>
      <w:pPr>
        <w:adjustRightInd w:val="0"/>
        <w:snapToGrid w:val="0"/>
        <w:spacing w:line="360" w:lineRule="auto"/>
        <w:ind w:firstLine="480" w:firstLineChars="200"/>
        <w:jc w:val="left"/>
        <w:rPr>
          <w:rFonts w:ascii="宋体" w:cs="宋体"/>
          <w:sz w:val="24"/>
        </w:rPr>
      </w:pPr>
      <w:r>
        <w:rPr>
          <w:rFonts w:ascii="宋体" w:hAnsi="宋体" w:cs="宋体"/>
          <w:sz w:val="24"/>
        </w:rPr>
        <w:t>3</w:t>
      </w:r>
      <w:r>
        <w:rPr>
          <w:rFonts w:hint="eastAsia" w:ascii="宋体" w:hAnsi="宋体" w:cs="宋体"/>
          <w:sz w:val="24"/>
        </w:rPr>
        <w:t>、我方提交的磋商响应文件正本壹份、副本肆份，电子文档壹份、</w:t>
      </w:r>
      <w:r>
        <w:rPr>
          <w:rFonts w:hint="eastAsia" w:ascii="宋体" w:hAnsi="宋体" w:cs="宋体"/>
          <w:sz w:val="24"/>
          <w:szCs w:val="24"/>
        </w:rPr>
        <w:t>磋商一览表壹份</w:t>
      </w:r>
      <w:r>
        <w:rPr>
          <w:rFonts w:hint="eastAsia" w:ascii="宋体" w:hAnsi="宋体" w:cs="宋体"/>
          <w:sz w:val="24"/>
        </w:rPr>
        <w:t>。</w:t>
      </w:r>
    </w:p>
    <w:p>
      <w:pPr>
        <w:adjustRightInd w:val="0"/>
        <w:snapToGrid w:val="0"/>
        <w:spacing w:line="360" w:lineRule="auto"/>
        <w:ind w:firstLine="480" w:firstLineChars="200"/>
        <w:jc w:val="left"/>
        <w:rPr>
          <w:rFonts w:ascii="宋体" w:cs="宋体"/>
          <w:sz w:val="24"/>
        </w:rPr>
      </w:pPr>
      <w:r>
        <w:rPr>
          <w:rFonts w:ascii="宋体" w:hAnsi="宋体" w:cs="宋体"/>
          <w:sz w:val="24"/>
        </w:rPr>
        <w:t>4</w:t>
      </w:r>
      <w:r>
        <w:rPr>
          <w:rFonts w:hint="eastAsia" w:ascii="宋体" w:hAnsi="宋体" w:cs="宋体"/>
          <w:sz w:val="24"/>
        </w:rPr>
        <w:t>、我们已详细阅读了竞争性磋商文件，完全理解并同意放弃提出含糊不清和误解问题的权力。</w:t>
      </w:r>
    </w:p>
    <w:p>
      <w:pPr>
        <w:adjustRightInd w:val="0"/>
        <w:snapToGrid w:val="0"/>
        <w:spacing w:line="360" w:lineRule="auto"/>
        <w:ind w:firstLine="480" w:firstLineChars="200"/>
        <w:jc w:val="left"/>
        <w:rPr>
          <w:rFonts w:ascii="宋体" w:cs="宋体"/>
          <w:sz w:val="24"/>
        </w:rPr>
      </w:pPr>
      <w:r>
        <w:rPr>
          <w:rFonts w:ascii="宋体" w:hAnsi="宋体" w:cs="宋体"/>
          <w:sz w:val="24"/>
        </w:rPr>
        <w:t>5</w:t>
      </w:r>
      <w:r>
        <w:rPr>
          <w:rFonts w:hint="eastAsia" w:ascii="宋体" w:hAnsi="宋体" w:cs="宋体"/>
          <w:sz w:val="24"/>
        </w:rPr>
        <w:t>、如果我方在磋商后到规定的磋商有效期内撤回磋商响应文件及承诺，我们的保证金将被对方没收。</w:t>
      </w:r>
    </w:p>
    <w:p>
      <w:pPr>
        <w:adjustRightInd w:val="0"/>
        <w:snapToGrid w:val="0"/>
        <w:spacing w:line="360" w:lineRule="auto"/>
        <w:ind w:firstLine="480" w:firstLineChars="200"/>
        <w:jc w:val="left"/>
        <w:rPr>
          <w:rFonts w:ascii="宋体" w:cs="宋体"/>
          <w:sz w:val="24"/>
        </w:rPr>
      </w:pPr>
      <w:r>
        <w:rPr>
          <w:rFonts w:ascii="宋体" w:hAnsi="宋体" w:cs="宋体"/>
          <w:sz w:val="24"/>
        </w:rPr>
        <w:t>6</w:t>
      </w:r>
      <w:r>
        <w:rPr>
          <w:rFonts w:hint="eastAsia" w:ascii="宋体" w:hAnsi="宋体" w:cs="宋体"/>
          <w:sz w:val="24"/>
        </w:rPr>
        <w:t>、同意向贵方提供贵方可能要求的、与本次磋商有关的任何证据资料。</w:t>
      </w:r>
    </w:p>
    <w:p>
      <w:pPr>
        <w:adjustRightInd w:val="0"/>
        <w:snapToGrid w:val="0"/>
        <w:spacing w:line="360" w:lineRule="auto"/>
        <w:ind w:firstLine="480" w:firstLineChars="200"/>
        <w:jc w:val="left"/>
        <w:rPr>
          <w:rFonts w:ascii="宋体" w:cs="宋体"/>
          <w:sz w:val="24"/>
        </w:rPr>
      </w:pPr>
      <w:r>
        <w:rPr>
          <w:rFonts w:ascii="宋体" w:hAnsi="宋体" w:cs="宋体"/>
          <w:sz w:val="24"/>
        </w:rPr>
        <w:t>7</w:t>
      </w:r>
      <w:r>
        <w:rPr>
          <w:rFonts w:hint="eastAsia" w:ascii="宋体" w:hAnsi="宋体" w:cs="宋体"/>
          <w:sz w:val="24"/>
        </w:rPr>
        <w:t>、我方承诺磋商有效期为磋商后</w:t>
      </w:r>
      <w:r>
        <w:rPr>
          <w:rFonts w:hint="eastAsia" w:ascii="宋体" w:hAnsi="宋体" w:cs="宋体"/>
          <w:sz w:val="24"/>
          <w:u w:val="single"/>
        </w:rPr>
        <w:t xml:space="preserve">           </w:t>
      </w:r>
      <w:r>
        <w:rPr>
          <w:rFonts w:hint="eastAsia" w:ascii="宋体" w:hAnsi="宋体" w:cs="宋体"/>
          <w:sz w:val="24"/>
        </w:rPr>
        <w:t>日历日内有效。</w:t>
      </w:r>
    </w:p>
    <w:p>
      <w:pPr>
        <w:adjustRightInd w:val="0"/>
        <w:snapToGrid w:val="0"/>
        <w:spacing w:line="360" w:lineRule="auto"/>
        <w:ind w:firstLine="480" w:firstLineChars="200"/>
        <w:jc w:val="left"/>
        <w:rPr>
          <w:rFonts w:ascii="宋体" w:cs="宋体"/>
          <w:sz w:val="24"/>
        </w:rPr>
      </w:pPr>
      <w:r>
        <w:rPr>
          <w:rFonts w:ascii="宋体" w:hAnsi="宋体" w:cs="宋体"/>
          <w:sz w:val="24"/>
        </w:rPr>
        <w:t>8</w:t>
      </w:r>
      <w:r>
        <w:rPr>
          <w:rFonts w:hint="eastAsia" w:ascii="宋体" w:hAnsi="宋体" w:cs="宋体"/>
          <w:sz w:val="24"/>
        </w:rPr>
        <w:t>、所有关于本次磋商的函电，请按下列地址联系：</w:t>
      </w:r>
    </w:p>
    <w:p>
      <w:pPr>
        <w:adjustRightInd w:val="0"/>
        <w:snapToGrid w:val="0"/>
        <w:spacing w:line="360" w:lineRule="auto"/>
        <w:ind w:firstLine="480" w:firstLineChars="200"/>
        <w:jc w:val="left"/>
        <w:rPr>
          <w:rFonts w:ascii="宋体" w:cs="宋体"/>
          <w:sz w:val="24"/>
          <w:u w:val="single"/>
        </w:rPr>
      </w:pPr>
      <w:r>
        <w:rPr>
          <w:rFonts w:hint="eastAsia" w:ascii="宋体" w:hAnsi="宋体" w:cs="宋体"/>
          <w:sz w:val="24"/>
        </w:rPr>
        <w:t>供应商（单位名称及公章）：</w:t>
      </w:r>
    </w:p>
    <w:p>
      <w:pPr>
        <w:adjustRightInd w:val="0"/>
        <w:snapToGrid w:val="0"/>
        <w:spacing w:line="360" w:lineRule="auto"/>
        <w:ind w:firstLine="480" w:firstLineChars="200"/>
        <w:rPr>
          <w:rFonts w:ascii="宋体" w:cs="宋体"/>
          <w:sz w:val="24"/>
        </w:rPr>
      </w:pPr>
      <w:r>
        <w:rPr>
          <w:rFonts w:hint="eastAsia" w:ascii="宋体" w:hAnsi="宋体" w:cs="宋体"/>
          <w:sz w:val="24"/>
        </w:rPr>
        <w:t>法定代表人</w:t>
      </w:r>
      <w:r>
        <w:rPr>
          <w:rFonts w:ascii="宋体" w:hAnsi="宋体" w:cs="宋体"/>
          <w:sz w:val="24"/>
        </w:rPr>
        <w:t>/</w:t>
      </w:r>
      <w:r>
        <w:rPr>
          <w:rFonts w:hint="eastAsia" w:ascii="宋体" w:hAnsi="宋体" w:cs="宋体"/>
          <w:sz w:val="24"/>
        </w:rPr>
        <w:t>被授权人（签字或盖章）：</w:t>
      </w:r>
    </w:p>
    <w:p>
      <w:pPr>
        <w:adjustRightInd w:val="0"/>
        <w:snapToGrid w:val="0"/>
        <w:spacing w:line="360" w:lineRule="auto"/>
        <w:ind w:firstLine="480" w:firstLineChars="200"/>
        <w:jc w:val="left"/>
        <w:rPr>
          <w:rFonts w:ascii="宋体" w:cs="宋体"/>
          <w:sz w:val="24"/>
        </w:rPr>
      </w:pPr>
      <w:r>
        <w:rPr>
          <w:rFonts w:hint="eastAsia" w:ascii="宋体" w:hAnsi="宋体" w:cs="宋体"/>
          <w:sz w:val="24"/>
        </w:rPr>
        <w:t>地址：</w:t>
      </w:r>
    </w:p>
    <w:p>
      <w:pPr>
        <w:adjustRightInd w:val="0"/>
        <w:snapToGrid w:val="0"/>
        <w:spacing w:line="360" w:lineRule="auto"/>
        <w:ind w:firstLine="480" w:firstLineChars="200"/>
        <w:jc w:val="left"/>
        <w:rPr>
          <w:rFonts w:ascii="宋体" w:cs="宋体"/>
          <w:sz w:val="24"/>
          <w:u w:val="single"/>
        </w:rPr>
      </w:pPr>
      <w:r>
        <w:rPr>
          <w:rFonts w:hint="eastAsia" w:ascii="宋体" w:hAnsi="宋体" w:cs="宋体"/>
          <w:sz w:val="24"/>
        </w:rPr>
        <w:t>开户银行：</w:t>
      </w:r>
    </w:p>
    <w:p>
      <w:pPr>
        <w:adjustRightInd w:val="0"/>
        <w:snapToGrid w:val="0"/>
        <w:spacing w:line="360" w:lineRule="auto"/>
        <w:ind w:firstLine="480" w:firstLineChars="200"/>
        <w:jc w:val="left"/>
        <w:rPr>
          <w:rFonts w:ascii="宋体" w:cs="宋体"/>
          <w:sz w:val="24"/>
          <w:u w:val="single"/>
        </w:rPr>
      </w:pPr>
      <w:r>
        <w:rPr>
          <w:rFonts w:hint="eastAsia" w:ascii="宋体" w:hAnsi="宋体" w:cs="宋体"/>
          <w:sz w:val="24"/>
        </w:rPr>
        <w:t>帐号：</w:t>
      </w:r>
    </w:p>
    <w:p>
      <w:pPr>
        <w:adjustRightInd w:val="0"/>
        <w:snapToGrid w:val="0"/>
        <w:spacing w:line="360" w:lineRule="auto"/>
        <w:ind w:firstLine="480" w:firstLineChars="200"/>
        <w:jc w:val="left"/>
        <w:rPr>
          <w:rFonts w:ascii="宋体" w:cs="宋体"/>
          <w:sz w:val="24"/>
          <w:u w:val="single"/>
        </w:rPr>
      </w:pPr>
      <w:r>
        <w:rPr>
          <w:rFonts w:hint="eastAsia" w:ascii="宋体" w:hAnsi="宋体" w:cs="宋体"/>
          <w:sz w:val="24"/>
        </w:rPr>
        <w:t>电话：</w:t>
      </w:r>
    </w:p>
    <w:p>
      <w:pPr>
        <w:adjustRightInd w:val="0"/>
        <w:snapToGrid w:val="0"/>
        <w:spacing w:line="360" w:lineRule="auto"/>
        <w:ind w:firstLine="480" w:firstLineChars="200"/>
        <w:jc w:val="left"/>
        <w:rPr>
          <w:rFonts w:ascii="宋体" w:cs="宋体"/>
          <w:sz w:val="24"/>
          <w:u w:val="single"/>
        </w:rPr>
      </w:pPr>
      <w:r>
        <w:rPr>
          <w:rFonts w:hint="eastAsia" w:ascii="宋体" w:hAnsi="宋体" w:cs="宋体"/>
          <w:sz w:val="24"/>
        </w:rPr>
        <w:t>传真：</w:t>
      </w:r>
    </w:p>
    <w:p>
      <w:pPr>
        <w:adjustRightInd w:val="0"/>
        <w:snapToGrid w:val="0"/>
        <w:spacing w:line="360" w:lineRule="auto"/>
        <w:ind w:firstLine="480" w:firstLineChars="200"/>
        <w:jc w:val="left"/>
        <w:rPr>
          <w:rFonts w:ascii="宋体" w:cs="宋体"/>
          <w:sz w:val="24"/>
          <w:u w:val="single"/>
        </w:rPr>
      </w:pPr>
      <w:r>
        <w:rPr>
          <w:rFonts w:hint="eastAsia" w:ascii="宋体" w:hAnsi="宋体" w:cs="宋体"/>
          <w:sz w:val="24"/>
        </w:rPr>
        <w:t>邮编：</w:t>
      </w:r>
    </w:p>
    <w:p>
      <w:pPr>
        <w:adjustRightInd w:val="0"/>
        <w:snapToGrid w:val="0"/>
        <w:spacing w:line="360" w:lineRule="auto"/>
        <w:ind w:firstLine="480" w:firstLineChars="200"/>
        <w:rPr>
          <w:rFonts w:ascii="宋体" w:cs="宋体"/>
          <w:sz w:val="24"/>
        </w:rPr>
      </w:pPr>
      <w:r>
        <w:rPr>
          <w:rFonts w:hint="eastAsia" w:ascii="宋体" w:hAnsi="宋体" w:cs="宋体"/>
          <w:sz w:val="24"/>
        </w:rPr>
        <w:t>日期：年月日</w:t>
      </w:r>
    </w:p>
    <w:p>
      <w:pPr>
        <w:widowControl/>
        <w:spacing w:line="460" w:lineRule="exact"/>
        <w:ind w:firstLine="720" w:firstLineChars="200"/>
        <w:jc w:val="left"/>
        <w:rPr>
          <w:rFonts w:ascii="宋体" w:cs="宋体"/>
          <w:sz w:val="36"/>
          <w:szCs w:val="36"/>
          <w:u w:val="single"/>
        </w:rPr>
      </w:pPr>
    </w:p>
    <w:p>
      <w:pPr>
        <w:pStyle w:val="3"/>
      </w:pPr>
    </w:p>
    <w:p>
      <w:pPr>
        <w:pStyle w:val="5"/>
      </w:pPr>
      <w:bookmarkStart w:id="85" w:name="_Toc28494"/>
      <w:bookmarkStart w:id="86" w:name="_Toc20366"/>
      <w:r>
        <w:rPr>
          <w:rFonts w:hint="eastAsia"/>
        </w:rPr>
        <w:t>第二部分磋商一览表</w:t>
      </w:r>
      <w:bookmarkEnd w:id="85"/>
      <w:bookmarkEnd w:id="86"/>
    </w:p>
    <w:p>
      <w:pPr>
        <w:widowControl/>
        <w:wordWrap w:val="0"/>
        <w:spacing w:line="360" w:lineRule="auto"/>
        <w:jc w:val="left"/>
        <w:rPr>
          <w:rFonts w:ascii="宋体" w:cs="宋体"/>
          <w:sz w:val="24"/>
          <w:u w:val="single"/>
        </w:rPr>
      </w:pPr>
      <w:r>
        <w:rPr>
          <w:rFonts w:hint="eastAsia" w:ascii="宋体" w:hAnsi="宋体" w:cs="宋体"/>
          <w:sz w:val="24"/>
        </w:rPr>
        <w:t>项目名称：                           供应商名称：</w:t>
      </w:r>
    </w:p>
    <w:p>
      <w:pPr>
        <w:kinsoku w:val="0"/>
        <w:spacing w:line="360" w:lineRule="auto"/>
        <w:jc w:val="left"/>
        <w:rPr>
          <w:rFonts w:ascii="宋体" w:cs="宋体"/>
          <w:sz w:val="24"/>
          <w:highlight w:val="yellow"/>
          <w:u w:val="single"/>
        </w:rPr>
      </w:pPr>
      <w:r>
        <w:rPr>
          <w:rFonts w:hint="eastAsia" w:ascii="宋体" w:hAnsi="宋体" w:cs="宋体"/>
          <w:sz w:val="24"/>
        </w:rPr>
        <w:t xml:space="preserve">单位：万元                           </w:t>
      </w:r>
    </w:p>
    <w:tbl>
      <w:tblPr>
        <w:tblStyle w:val="25"/>
        <w:tblpPr w:leftFromText="180" w:rightFromText="180" w:vertAnchor="text" w:horzAnchor="margin" w:tblpXSpec="center" w:tblpY="205"/>
        <w:tblW w:w="96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39"/>
        <w:gridCol w:w="2000"/>
        <w:gridCol w:w="1604"/>
        <w:gridCol w:w="2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1" w:hRule="atLeast"/>
          <w:jc w:val="center"/>
        </w:trPr>
        <w:tc>
          <w:tcPr>
            <w:tcW w:w="3739" w:type="dxa"/>
            <w:tcBorders>
              <w:tl2br w:val="single" w:color="auto" w:sz="4" w:space="0"/>
            </w:tcBorders>
          </w:tcPr>
          <w:p>
            <w:pPr>
              <w:kinsoku w:val="0"/>
              <w:jc w:val="left"/>
              <w:rPr>
                <w:rFonts w:ascii="宋体" w:cs="宋体"/>
                <w:szCs w:val="21"/>
              </w:rPr>
            </w:pPr>
          </w:p>
          <w:p>
            <w:pPr>
              <w:kinsoku w:val="0"/>
              <w:jc w:val="left"/>
              <w:rPr>
                <w:rFonts w:ascii="宋体" w:cs="宋体"/>
                <w:szCs w:val="21"/>
              </w:rPr>
            </w:pPr>
          </w:p>
          <w:p>
            <w:pPr>
              <w:kinsoku w:val="0"/>
              <w:ind w:firstLine="1050" w:firstLineChars="500"/>
              <w:jc w:val="left"/>
              <w:rPr>
                <w:rFonts w:ascii="宋体" w:cs="宋体"/>
                <w:szCs w:val="21"/>
              </w:rPr>
            </w:pPr>
            <w:r>
              <w:rPr>
                <w:rFonts w:hint="eastAsia" w:ascii="宋体" w:hAnsi="宋体" w:cs="宋体"/>
                <w:szCs w:val="21"/>
              </w:rPr>
              <w:t>报价内容</w:t>
            </w:r>
          </w:p>
          <w:p>
            <w:pPr>
              <w:kinsoku w:val="0"/>
              <w:jc w:val="left"/>
              <w:rPr>
                <w:rFonts w:ascii="宋体" w:cs="宋体"/>
                <w:szCs w:val="21"/>
              </w:rPr>
            </w:pPr>
          </w:p>
          <w:p>
            <w:pPr>
              <w:kinsoku w:val="0"/>
              <w:jc w:val="left"/>
              <w:rPr>
                <w:rFonts w:ascii="宋体" w:cs="宋体"/>
                <w:szCs w:val="21"/>
              </w:rPr>
            </w:pPr>
          </w:p>
          <w:p>
            <w:pPr>
              <w:kinsoku w:val="0"/>
              <w:jc w:val="left"/>
              <w:rPr>
                <w:rFonts w:ascii="宋体" w:hAnsi="宋体" w:cs="宋体"/>
                <w:szCs w:val="21"/>
              </w:rPr>
            </w:pPr>
          </w:p>
          <w:p>
            <w:pPr>
              <w:kinsoku w:val="0"/>
              <w:jc w:val="left"/>
              <w:rPr>
                <w:rFonts w:ascii="宋体" w:cs="宋体"/>
                <w:szCs w:val="21"/>
              </w:rPr>
            </w:pPr>
          </w:p>
          <w:p>
            <w:pPr>
              <w:kinsoku w:val="0"/>
              <w:jc w:val="left"/>
              <w:rPr>
                <w:rFonts w:ascii="宋体" w:cs="宋体"/>
                <w:szCs w:val="21"/>
              </w:rPr>
            </w:pPr>
            <w:r>
              <w:rPr>
                <w:rFonts w:hint="eastAsia" w:ascii="宋体" w:hAnsi="宋体" w:cs="宋体"/>
                <w:szCs w:val="21"/>
              </w:rPr>
              <w:t>磋商内容</w:t>
            </w:r>
          </w:p>
        </w:tc>
        <w:tc>
          <w:tcPr>
            <w:tcW w:w="2000" w:type="dxa"/>
            <w:vAlign w:val="center"/>
          </w:tcPr>
          <w:p>
            <w:pPr>
              <w:kinsoku w:val="0"/>
              <w:jc w:val="center"/>
              <w:rPr>
                <w:rFonts w:ascii="宋体" w:cs="宋体"/>
                <w:szCs w:val="21"/>
              </w:rPr>
            </w:pPr>
            <w:r>
              <w:rPr>
                <w:rFonts w:hint="eastAsia" w:ascii="宋体" w:hAnsi="宋体" w:cs="宋体"/>
                <w:szCs w:val="21"/>
              </w:rPr>
              <w:t>磋商总报价</w:t>
            </w:r>
          </w:p>
          <w:p>
            <w:pPr>
              <w:kinsoku w:val="0"/>
              <w:jc w:val="center"/>
              <w:rPr>
                <w:rFonts w:ascii="宋体" w:cs="宋体"/>
                <w:szCs w:val="21"/>
              </w:rPr>
            </w:pPr>
            <w:r>
              <w:rPr>
                <w:rFonts w:hint="eastAsia" w:ascii="宋体" w:hAnsi="宋体" w:cs="宋体"/>
                <w:szCs w:val="21"/>
              </w:rPr>
              <w:t>（万元）</w:t>
            </w:r>
          </w:p>
        </w:tc>
        <w:tc>
          <w:tcPr>
            <w:tcW w:w="1604" w:type="dxa"/>
            <w:vAlign w:val="center"/>
          </w:tcPr>
          <w:p>
            <w:pPr>
              <w:kinsoku w:val="0"/>
              <w:jc w:val="center"/>
              <w:rPr>
                <w:rFonts w:ascii="宋体" w:cs="宋体"/>
                <w:szCs w:val="21"/>
              </w:rPr>
            </w:pPr>
            <w:r>
              <w:rPr>
                <w:rFonts w:hint="eastAsia" w:ascii="宋体" w:hAnsi="宋体" w:cs="宋体"/>
                <w:szCs w:val="21"/>
                <w:lang w:eastAsia="zh-CN"/>
              </w:rPr>
              <w:t>完工</w:t>
            </w:r>
            <w:r>
              <w:rPr>
                <w:rFonts w:hint="eastAsia" w:ascii="宋体" w:hAnsi="宋体" w:cs="宋体"/>
                <w:szCs w:val="21"/>
              </w:rPr>
              <w:t>期（合同签订后</w:t>
            </w:r>
            <w:r>
              <w:rPr>
                <w:rFonts w:hint="eastAsia" w:ascii="宋体" w:hAnsi="宋体" w:cs="宋体"/>
                <w:szCs w:val="21"/>
                <w:u w:val="single"/>
              </w:rPr>
              <w:t xml:space="preserve">    </w:t>
            </w:r>
            <w:r>
              <w:rPr>
                <w:rFonts w:hint="eastAsia" w:ascii="宋体" w:hAnsi="宋体" w:cs="宋体"/>
                <w:szCs w:val="21"/>
              </w:rPr>
              <w:t>日历日）</w:t>
            </w:r>
          </w:p>
        </w:tc>
        <w:tc>
          <w:tcPr>
            <w:tcW w:w="2317" w:type="dxa"/>
            <w:vAlign w:val="center"/>
          </w:tcPr>
          <w:p>
            <w:pPr>
              <w:kinsoku w:val="0"/>
              <w:jc w:val="center"/>
              <w:rPr>
                <w:rFonts w:ascii="宋体" w:cs="宋体"/>
                <w:szCs w:val="21"/>
              </w:rPr>
            </w:pPr>
            <w:r>
              <w:rPr>
                <w:rFonts w:hint="eastAsia" w:ascii="宋体" w:hAnsi="宋体" w:cs="宋体"/>
                <w:szCs w:val="21"/>
              </w:rPr>
              <w:t>质保期</w:t>
            </w:r>
          </w:p>
          <w:p>
            <w:pPr>
              <w:kinsoku w:val="0"/>
              <w:jc w:val="center"/>
              <w:rPr>
                <w:rFonts w:ascii="宋体" w:cs="宋体"/>
                <w:szCs w:val="21"/>
              </w:rPr>
            </w:pPr>
            <w:r>
              <w:rPr>
                <w:rFonts w:hint="eastAsia" w:ascii="宋体" w:hAnsi="宋体" w:cs="宋体"/>
                <w:szCs w:val="21"/>
              </w:rPr>
              <w:t>（验收合格后</w:t>
            </w:r>
            <w:r>
              <w:rPr>
                <w:rFonts w:hint="eastAsia" w:ascii="宋体" w:hAnsi="宋体" w:cs="宋体"/>
                <w:szCs w:val="21"/>
                <w:u w:val="single"/>
              </w:rPr>
              <w:t xml:space="preserve">   </w:t>
            </w:r>
            <w:r>
              <w:rPr>
                <w:rFonts w:hint="eastAsia" w:ascii="宋体" w:hAnsi="宋体" w:cs="宋体"/>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8" w:hRule="atLeast"/>
          <w:jc w:val="center"/>
        </w:trPr>
        <w:tc>
          <w:tcPr>
            <w:tcW w:w="3739" w:type="dxa"/>
            <w:vAlign w:val="center"/>
          </w:tcPr>
          <w:p>
            <w:pPr>
              <w:kinsoku w:val="0"/>
              <w:jc w:val="left"/>
              <w:rPr>
                <w:rFonts w:hint="eastAsia" w:ascii="宋体" w:eastAsia="宋体" w:cs="宋体"/>
                <w:b/>
                <w:bCs/>
                <w:szCs w:val="21"/>
                <w:lang w:eastAsia="zh-CN"/>
              </w:rPr>
            </w:pPr>
            <w:r>
              <w:rPr>
                <w:rFonts w:hint="eastAsia" w:ascii="宋体" w:cs="宋体"/>
                <w:szCs w:val="21"/>
                <w:lang w:eastAsia="zh-CN"/>
              </w:rPr>
              <w:t>西北大学人力资源管理信息系统采购项目</w:t>
            </w:r>
          </w:p>
        </w:tc>
        <w:tc>
          <w:tcPr>
            <w:tcW w:w="2000" w:type="dxa"/>
            <w:vAlign w:val="center"/>
          </w:tcPr>
          <w:p>
            <w:pPr>
              <w:kinsoku w:val="0"/>
              <w:jc w:val="center"/>
              <w:rPr>
                <w:rFonts w:ascii="宋体" w:cs="宋体"/>
                <w:szCs w:val="21"/>
              </w:rPr>
            </w:pPr>
          </w:p>
        </w:tc>
        <w:tc>
          <w:tcPr>
            <w:tcW w:w="1604" w:type="dxa"/>
            <w:vAlign w:val="center"/>
          </w:tcPr>
          <w:p>
            <w:pPr>
              <w:kinsoku w:val="0"/>
              <w:jc w:val="center"/>
              <w:rPr>
                <w:rFonts w:ascii="宋体" w:cs="宋体"/>
                <w:szCs w:val="21"/>
              </w:rPr>
            </w:pPr>
          </w:p>
        </w:tc>
        <w:tc>
          <w:tcPr>
            <w:tcW w:w="2317" w:type="dxa"/>
            <w:vAlign w:val="center"/>
          </w:tcPr>
          <w:p>
            <w:pPr>
              <w:kinsoku w:val="0"/>
              <w:jc w:val="cente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atLeast"/>
          <w:jc w:val="center"/>
        </w:trPr>
        <w:tc>
          <w:tcPr>
            <w:tcW w:w="9660" w:type="dxa"/>
            <w:gridSpan w:val="4"/>
            <w:vAlign w:val="center"/>
          </w:tcPr>
          <w:p>
            <w:pPr>
              <w:kinsoku w:val="0"/>
              <w:jc w:val="left"/>
              <w:rPr>
                <w:rFonts w:ascii="宋体" w:cs="宋体"/>
                <w:szCs w:val="21"/>
              </w:rPr>
            </w:pPr>
            <w:r>
              <w:rPr>
                <w:rFonts w:hint="eastAsia" w:ascii="宋体" w:hAnsi="宋体" w:cs="宋体"/>
                <w:szCs w:val="21"/>
              </w:rPr>
              <w:t>磋商总报价（大写）                           ；（小写）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9660" w:type="dxa"/>
            <w:gridSpan w:val="4"/>
            <w:vAlign w:val="center"/>
          </w:tcPr>
          <w:p>
            <w:pPr>
              <w:kinsoku w:val="0"/>
              <w:jc w:val="left"/>
              <w:rPr>
                <w:rFonts w:ascii="宋体" w:cs="宋体"/>
                <w:szCs w:val="21"/>
              </w:rPr>
            </w:pPr>
            <w:r>
              <w:rPr>
                <w:rFonts w:hint="eastAsia" w:ascii="宋体" w:hAnsi="宋体" w:cs="宋体"/>
                <w:szCs w:val="21"/>
              </w:rPr>
              <w:t>备注：表内报价内容以万元为单位，精确到小数点后两位。</w:t>
            </w:r>
          </w:p>
        </w:tc>
      </w:tr>
    </w:tbl>
    <w:p>
      <w:pPr>
        <w:adjustRightInd w:val="0"/>
        <w:snapToGrid w:val="0"/>
        <w:spacing w:line="480" w:lineRule="auto"/>
        <w:jc w:val="left"/>
        <w:rPr>
          <w:rFonts w:ascii="宋体" w:cs="宋体"/>
          <w:b/>
          <w:bCs/>
          <w:sz w:val="28"/>
          <w:szCs w:val="28"/>
        </w:rPr>
      </w:pPr>
      <w:r>
        <w:rPr>
          <w:rFonts w:hint="eastAsia" w:ascii="宋体" w:hAnsi="宋体" w:cs="宋体"/>
          <w:b/>
          <w:bCs/>
          <w:sz w:val="28"/>
          <w:szCs w:val="28"/>
        </w:rPr>
        <w:t>注：</w:t>
      </w:r>
      <w:r>
        <w:rPr>
          <w:rFonts w:hint="eastAsia" w:ascii="宋体" w:hAnsi="宋体" w:cs="宋体"/>
          <w:b/>
          <w:bCs/>
          <w:spacing w:val="20"/>
          <w:kern w:val="0"/>
          <w:sz w:val="28"/>
          <w:szCs w:val="28"/>
        </w:rPr>
        <w:t>此表再单独密封一份递交，供唱标时使用</w:t>
      </w:r>
      <w:r>
        <w:rPr>
          <w:rFonts w:hint="eastAsia" w:ascii="宋体" w:hAnsi="宋体" w:cs="宋体"/>
          <w:b/>
          <w:bCs/>
          <w:sz w:val="28"/>
          <w:szCs w:val="28"/>
        </w:rPr>
        <w:t>。</w:t>
      </w:r>
    </w:p>
    <w:p>
      <w:pPr>
        <w:adjustRightInd w:val="0"/>
        <w:snapToGrid w:val="0"/>
        <w:spacing w:line="480" w:lineRule="auto"/>
        <w:jc w:val="left"/>
        <w:rPr>
          <w:rFonts w:ascii="宋体" w:cs="宋体"/>
          <w:sz w:val="24"/>
          <w:u w:val="single"/>
        </w:rPr>
      </w:pPr>
      <w:r>
        <w:rPr>
          <w:rFonts w:hint="eastAsia" w:ascii="宋体" w:hAnsi="宋体" w:cs="宋体"/>
          <w:sz w:val="24"/>
        </w:rPr>
        <w:t>供应商（单位名称及公章）：</w:t>
      </w:r>
    </w:p>
    <w:p>
      <w:pPr>
        <w:adjustRightInd w:val="0"/>
        <w:snapToGrid w:val="0"/>
        <w:spacing w:line="480" w:lineRule="auto"/>
        <w:rPr>
          <w:rFonts w:ascii="宋体" w:cs="宋体"/>
          <w:sz w:val="24"/>
          <w:u w:val="single"/>
        </w:rPr>
      </w:pPr>
      <w:r>
        <w:rPr>
          <w:rFonts w:hint="eastAsia" w:ascii="宋体" w:hAnsi="宋体" w:cs="宋体"/>
          <w:sz w:val="24"/>
        </w:rPr>
        <w:t>法定代表人</w:t>
      </w:r>
      <w:r>
        <w:rPr>
          <w:rFonts w:ascii="宋体" w:hAnsi="宋体" w:cs="宋体"/>
          <w:sz w:val="24"/>
        </w:rPr>
        <w:t>/</w:t>
      </w:r>
      <w:r>
        <w:rPr>
          <w:rFonts w:hint="eastAsia" w:ascii="宋体" w:hAnsi="宋体" w:cs="宋体"/>
          <w:sz w:val="24"/>
        </w:rPr>
        <w:t>被授权人（签字或盖章）：</w:t>
      </w:r>
    </w:p>
    <w:p>
      <w:pPr>
        <w:adjustRightInd w:val="0"/>
        <w:snapToGrid w:val="0"/>
        <w:spacing w:line="480" w:lineRule="auto"/>
        <w:rPr>
          <w:rFonts w:ascii="宋体" w:cs="宋体"/>
          <w:sz w:val="24"/>
        </w:rPr>
      </w:pPr>
      <w:r>
        <w:rPr>
          <w:rFonts w:hint="eastAsia" w:ascii="宋体" w:hAnsi="宋体" w:cs="宋体"/>
          <w:sz w:val="24"/>
        </w:rPr>
        <w:t>日期：年月日</w:t>
      </w:r>
    </w:p>
    <w:p>
      <w:pPr>
        <w:pStyle w:val="5"/>
        <w:rPr>
          <w:rStyle w:val="35"/>
          <w:b/>
        </w:rPr>
      </w:pPr>
      <w:r>
        <w:rPr>
          <w:rFonts w:hAnsi="宋体" w:cs="宋体"/>
        </w:rPr>
        <w:br w:type="page"/>
      </w:r>
      <w:bookmarkStart w:id="87" w:name="_Toc28613"/>
      <w:r>
        <w:rPr>
          <w:rStyle w:val="35"/>
          <w:rFonts w:hint="eastAsia"/>
          <w:b/>
        </w:rPr>
        <w:t>第三部分磋商产品分项报价表</w:t>
      </w:r>
      <w:bookmarkEnd w:id="87"/>
    </w:p>
    <w:p>
      <w:pPr>
        <w:widowControl/>
        <w:wordWrap w:val="0"/>
        <w:spacing w:line="360" w:lineRule="auto"/>
        <w:jc w:val="left"/>
        <w:rPr>
          <w:rFonts w:ascii="宋体" w:cs="宋体"/>
          <w:kern w:val="0"/>
          <w:sz w:val="24"/>
          <w:szCs w:val="24"/>
          <w:u w:val="single"/>
        </w:rPr>
      </w:pPr>
      <w:r>
        <w:rPr>
          <w:rFonts w:hint="eastAsia" w:ascii="宋体" w:hAnsi="宋体" w:cs="宋体"/>
          <w:sz w:val="24"/>
        </w:rPr>
        <w:t>项目名称：</w:t>
      </w:r>
    </w:p>
    <w:p>
      <w:pPr>
        <w:widowControl/>
        <w:wordWrap w:val="0"/>
        <w:spacing w:line="360" w:lineRule="auto"/>
        <w:jc w:val="left"/>
        <w:rPr>
          <w:rFonts w:ascii="宋体" w:cs="宋体"/>
          <w:sz w:val="24"/>
        </w:rPr>
      </w:pPr>
      <w:r>
        <w:rPr>
          <w:rFonts w:hint="eastAsia" w:ascii="宋体" w:hAnsi="宋体" w:cs="宋体"/>
          <w:sz w:val="24"/>
        </w:rPr>
        <w:t>共 页，第 页</w:t>
      </w:r>
    </w:p>
    <w:tbl>
      <w:tblPr>
        <w:tblStyle w:val="25"/>
        <w:tblpPr w:leftFromText="180" w:rightFromText="180" w:vertAnchor="text" w:horzAnchor="page" w:tblpX="1534" w:tblpY="373"/>
        <w:tblOverlap w:val="never"/>
        <w:tblW w:w="9214" w:type="dxa"/>
        <w:tblInd w:w="0" w:type="dxa"/>
        <w:tblLayout w:type="fixed"/>
        <w:tblCellMar>
          <w:top w:w="0" w:type="dxa"/>
          <w:left w:w="28" w:type="dxa"/>
          <w:bottom w:w="0" w:type="dxa"/>
          <w:right w:w="28" w:type="dxa"/>
        </w:tblCellMar>
      </w:tblPr>
      <w:tblGrid>
        <w:gridCol w:w="1167"/>
        <w:gridCol w:w="539"/>
        <w:gridCol w:w="803"/>
        <w:gridCol w:w="598"/>
        <w:gridCol w:w="979"/>
        <w:gridCol w:w="1596"/>
        <w:gridCol w:w="984"/>
        <w:gridCol w:w="1376"/>
        <w:gridCol w:w="1172"/>
      </w:tblGrid>
      <w:tr>
        <w:tblPrEx>
          <w:tblLayout w:type="fixed"/>
          <w:tblCellMar>
            <w:top w:w="0" w:type="dxa"/>
            <w:left w:w="28" w:type="dxa"/>
            <w:bottom w:w="0" w:type="dxa"/>
            <w:right w:w="28" w:type="dxa"/>
          </w:tblCellMar>
        </w:tblPrEx>
        <w:trPr>
          <w:trHeight w:val="675" w:hRule="atLeast"/>
        </w:trPr>
        <w:tc>
          <w:tcPr>
            <w:tcW w:w="1167" w:type="dxa"/>
            <w:vMerge w:val="restart"/>
            <w:tcBorders>
              <w:top w:val="single" w:color="auto" w:sz="6" w:space="0"/>
              <w:left w:val="single" w:color="auto" w:sz="6" w:space="0"/>
              <w:right w:val="single" w:color="auto" w:sz="4" w:space="0"/>
            </w:tcBorders>
            <w:vAlign w:val="center"/>
          </w:tcPr>
          <w:p>
            <w:pPr>
              <w:jc w:val="left"/>
              <w:rPr>
                <w:sz w:val="24"/>
              </w:rPr>
            </w:pPr>
            <w:r>
              <w:rPr>
                <w:rFonts w:hint="eastAsia"/>
                <w:sz w:val="24"/>
                <w:szCs w:val="24"/>
              </w:rPr>
              <w:t>产品费用</w:t>
            </w:r>
          </w:p>
        </w:tc>
        <w:tc>
          <w:tcPr>
            <w:tcW w:w="539" w:type="dxa"/>
            <w:tcBorders>
              <w:top w:val="single" w:color="auto" w:sz="6" w:space="0"/>
              <w:left w:val="single" w:color="auto" w:sz="4" w:space="0"/>
              <w:bottom w:val="single" w:color="auto" w:sz="6" w:space="0"/>
            </w:tcBorders>
            <w:vAlign w:val="center"/>
          </w:tcPr>
          <w:p>
            <w:pPr>
              <w:spacing w:after="120"/>
              <w:jc w:val="center"/>
              <w:rPr>
                <w:sz w:val="24"/>
              </w:rPr>
            </w:pPr>
            <w:r>
              <w:rPr>
                <w:rFonts w:hint="eastAsia"/>
                <w:sz w:val="24"/>
              </w:rPr>
              <w:t>序号</w:t>
            </w:r>
          </w:p>
        </w:tc>
        <w:tc>
          <w:tcPr>
            <w:tcW w:w="803" w:type="dxa"/>
            <w:tcBorders>
              <w:top w:val="single" w:color="auto" w:sz="6" w:space="0"/>
              <w:left w:val="single" w:color="auto" w:sz="6" w:space="0"/>
              <w:bottom w:val="single" w:color="auto" w:sz="6" w:space="0"/>
              <w:right w:val="single" w:color="auto" w:sz="6" w:space="0"/>
            </w:tcBorders>
            <w:vAlign w:val="center"/>
          </w:tcPr>
          <w:p>
            <w:pPr>
              <w:spacing w:after="120"/>
              <w:jc w:val="center"/>
              <w:rPr>
                <w:sz w:val="24"/>
              </w:rPr>
            </w:pPr>
            <w:r>
              <w:rPr>
                <w:rFonts w:hint="eastAsia"/>
                <w:sz w:val="24"/>
              </w:rPr>
              <w:t>名称</w:t>
            </w:r>
          </w:p>
        </w:tc>
        <w:tc>
          <w:tcPr>
            <w:tcW w:w="598" w:type="dxa"/>
            <w:tcBorders>
              <w:top w:val="single" w:color="auto" w:sz="6" w:space="0"/>
              <w:left w:val="single" w:color="auto" w:sz="6" w:space="0"/>
              <w:bottom w:val="single" w:color="auto" w:sz="6" w:space="0"/>
              <w:right w:val="single" w:color="auto" w:sz="4" w:space="0"/>
            </w:tcBorders>
            <w:vAlign w:val="center"/>
          </w:tcPr>
          <w:p>
            <w:pPr>
              <w:spacing w:after="120"/>
              <w:jc w:val="center"/>
              <w:rPr>
                <w:sz w:val="24"/>
              </w:rPr>
            </w:pPr>
            <w:r>
              <w:rPr>
                <w:rFonts w:hint="eastAsia"/>
                <w:sz w:val="24"/>
              </w:rPr>
              <w:t>品牌</w:t>
            </w:r>
          </w:p>
        </w:tc>
        <w:tc>
          <w:tcPr>
            <w:tcW w:w="979" w:type="dxa"/>
            <w:tcBorders>
              <w:top w:val="single" w:color="auto" w:sz="6" w:space="0"/>
              <w:left w:val="single" w:color="auto" w:sz="4" w:space="0"/>
              <w:bottom w:val="single" w:color="auto" w:sz="6" w:space="0"/>
              <w:right w:val="single" w:color="auto" w:sz="6" w:space="0"/>
            </w:tcBorders>
            <w:vAlign w:val="center"/>
          </w:tcPr>
          <w:p>
            <w:pPr>
              <w:spacing w:after="120"/>
              <w:jc w:val="center"/>
              <w:rPr>
                <w:sz w:val="24"/>
              </w:rPr>
            </w:pPr>
            <w:r>
              <w:rPr>
                <w:rFonts w:hint="eastAsia"/>
                <w:sz w:val="24"/>
              </w:rPr>
              <w:t>型号和规格</w:t>
            </w:r>
          </w:p>
        </w:tc>
        <w:tc>
          <w:tcPr>
            <w:tcW w:w="1596" w:type="dxa"/>
            <w:tcBorders>
              <w:top w:val="single" w:color="auto" w:sz="6" w:space="0"/>
              <w:left w:val="single" w:color="auto" w:sz="6" w:space="0"/>
              <w:bottom w:val="single" w:color="auto" w:sz="6" w:space="0"/>
              <w:right w:val="single" w:color="auto" w:sz="6" w:space="0"/>
            </w:tcBorders>
            <w:vAlign w:val="center"/>
          </w:tcPr>
          <w:p>
            <w:pPr>
              <w:spacing w:beforeLines="50" w:after="120"/>
              <w:jc w:val="center"/>
              <w:rPr>
                <w:sz w:val="24"/>
              </w:rPr>
            </w:pPr>
            <w:r>
              <w:rPr>
                <w:rFonts w:hint="eastAsia"/>
                <w:sz w:val="24"/>
              </w:rPr>
              <w:t>原产地及制造厂名</w:t>
            </w:r>
          </w:p>
        </w:tc>
        <w:tc>
          <w:tcPr>
            <w:tcW w:w="984" w:type="dxa"/>
            <w:tcBorders>
              <w:top w:val="single" w:color="auto" w:sz="6" w:space="0"/>
              <w:left w:val="single" w:color="auto" w:sz="6" w:space="0"/>
              <w:bottom w:val="single" w:color="auto" w:sz="6" w:space="0"/>
              <w:right w:val="single" w:color="auto" w:sz="6" w:space="0"/>
            </w:tcBorders>
            <w:vAlign w:val="center"/>
          </w:tcPr>
          <w:p>
            <w:pPr>
              <w:spacing w:after="120"/>
              <w:jc w:val="center"/>
              <w:rPr>
                <w:sz w:val="24"/>
              </w:rPr>
            </w:pPr>
            <w:r>
              <w:rPr>
                <w:rFonts w:hint="eastAsia"/>
                <w:sz w:val="24"/>
              </w:rPr>
              <w:t>数量</w:t>
            </w:r>
          </w:p>
        </w:tc>
        <w:tc>
          <w:tcPr>
            <w:tcW w:w="1376" w:type="dxa"/>
            <w:tcBorders>
              <w:top w:val="single" w:color="auto" w:sz="6" w:space="0"/>
              <w:left w:val="single" w:color="auto" w:sz="6" w:space="0"/>
              <w:bottom w:val="single" w:color="auto" w:sz="6" w:space="0"/>
              <w:right w:val="single" w:color="auto" w:sz="6" w:space="0"/>
            </w:tcBorders>
            <w:vAlign w:val="center"/>
          </w:tcPr>
          <w:p>
            <w:pPr>
              <w:spacing w:after="120"/>
              <w:jc w:val="center"/>
              <w:rPr>
                <w:sz w:val="24"/>
              </w:rPr>
            </w:pPr>
            <w:r>
              <w:rPr>
                <w:rFonts w:hint="eastAsia"/>
                <w:sz w:val="24"/>
              </w:rPr>
              <w:t>单价</w:t>
            </w:r>
          </w:p>
          <w:p>
            <w:pPr>
              <w:spacing w:after="120"/>
              <w:jc w:val="center"/>
              <w:rPr>
                <w:bCs/>
                <w:sz w:val="24"/>
              </w:rPr>
            </w:pPr>
            <w:r>
              <w:rPr>
                <w:rFonts w:hint="eastAsia"/>
                <w:sz w:val="24"/>
              </w:rPr>
              <w:t>（元）</w:t>
            </w:r>
          </w:p>
        </w:tc>
        <w:tc>
          <w:tcPr>
            <w:tcW w:w="1172" w:type="dxa"/>
            <w:tcBorders>
              <w:top w:val="single" w:color="auto" w:sz="6" w:space="0"/>
              <w:left w:val="single" w:color="auto" w:sz="6" w:space="0"/>
              <w:bottom w:val="single" w:color="auto" w:sz="6" w:space="0"/>
              <w:right w:val="single" w:color="auto" w:sz="6" w:space="0"/>
            </w:tcBorders>
            <w:vAlign w:val="center"/>
          </w:tcPr>
          <w:p>
            <w:pPr>
              <w:spacing w:after="120"/>
              <w:jc w:val="center"/>
              <w:rPr>
                <w:bCs/>
                <w:sz w:val="24"/>
              </w:rPr>
            </w:pPr>
            <w:r>
              <w:rPr>
                <w:rFonts w:hint="eastAsia"/>
                <w:bCs/>
                <w:sz w:val="24"/>
              </w:rPr>
              <w:t>总价</w:t>
            </w:r>
          </w:p>
          <w:p>
            <w:pPr>
              <w:spacing w:after="120"/>
              <w:jc w:val="center"/>
              <w:rPr>
                <w:bCs/>
                <w:sz w:val="24"/>
              </w:rPr>
            </w:pPr>
            <w:r>
              <w:rPr>
                <w:rFonts w:hint="eastAsia"/>
                <w:bCs/>
                <w:sz w:val="24"/>
              </w:rPr>
              <w:t>（元）</w:t>
            </w:r>
          </w:p>
        </w:tc>
      </w:tr>
      <w:tr>
        <w:tblPrEx>
          <w:tblLayout w:type="fixed"/>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Lines="100"/>
              <w:jc w:val="center"/>
              <w:rPr>
                <w:sz w:val="24"/>
              </w:rPr>
            </w:pPr>
          </w:p>
        </w:tc>
        <w:tc>
          <w:tcPr>
            <w:tcW w:w="539" w:type="dxa"/>
            <w:tcBorders>
              <w:top w:val="single" w:color="auto" w:sz="6" w:space="0"/>
              <w:left w:val="single" w:color="auto" w:sz="4" w:space="0"/>
              <w:bottom w:val="single" w:color="auto" w:sz="4" w:space="0"/>
            </w:tcBorders>
            <w:vAlign w:val="center"/>
          </w:tcPr>
          <w:p>
            <w:pPr>
              <w:spacing w:beforeLines="100"/>
              <w:jc w:val="center"/>
              <w:rPr>
                <w:sz w:val="24"/>
              </w:rPr>
            </w:pPr>
            <w:r>
              <w:rPr>
                <w:sz w:val="24"/>
              </w:rPr>
              <w:t>1</w:t>
            </w:r>
          </w:p>
        </w:tc>
        <w:tc>
          <w:tcPr>
            <w:tcW w:w="803" w:type="dxa"/>
            <w:tcBorders>
              <w:top w:val="single" w:color="auto" w:sz="6" w:space="0"/>
              <w:left w:val="single" w:color="auto" w:sz="6" w:space="0"/>
              <w:bottom w:val="single" w:color="auto" w:sz="4" w:space="0"/>
              <w:right w:val="single" w:color="auto" w:sz="6" w:space="0"/>
            </w:tcBorders>
            <w:vAlign w:val="center"/>
          </w:tcPr>
          <w:p>
            <w:pPr>
              <w:spacing w:beforeLines="50"/>
              <w:jc w:val="center"/>
              <w:rPr>
                <w:sz w:val="24"/>
              </w:rPr>
            </w:pPr>
          </w:p>
        </w:tc>
        <w:tc>
          <w:tcPr>
            <w:tcW w:w="598" w:type="dxa"/>
            <w:tcBorders>
              <w:top w:val="single" w:color="auto" w:sz="6" w:space="0"/>
              <w:left w:val="single" w:color="auto" w:sz="6" w:space="0"/>
              <w:bottom w:val="single" w:color="auto" w:sz="4" w:space="0"/>
              <w:right w:val="single" w:color="auto" w:sz="4" w:space="0"/>
            </w:tcBorders>
            <w:vAlign w:val="center"/>
          </w:tcPr>
          <w:p>
            <w:pPr>
              <w:spacing w:beforeLines="50"/>
              <w:jc w:val="center"/>
              <w:rPr>
                <w:sz w:val="24"/>
              </w:rPr>
            </w:pPr>
          </w:p>
        </w:tc>
        <w:tc>
          <w:tcPr>
            <w:tcW w:w="979" w:type="dxa"/>
            <w:tcBorders>
              <w:top w:val="single" w:color="auto" w:sz="6" w:space="0"/>
              <w:left w:val="single" w:color="auto" w:sz="4" w:space="0"/>
              <w:bottom w:val="single" w:color="auto" w:sz="4" w:space="0"/>
              <w:right w:val="single" w:color="auto" w:sz="6" w:space="0"/>
            </w:tcBorders>
            <w:vAlign w:val="center"/>
          </w:tcPr>
          <w:p>
            <w:pPr>
              <w:spacing w:beforeLines="50"/>
              <w:jc w:val="center"/>
              <w:rPr>
                <w:sz w:val="24"/>
              </w:rPr>
            </w:pPr>
          </w:p>
        </w:tc>
        <w:tc>
          <w:tcPr>
            <w:tcW w:w="1596" w:type="dxa"/>
            <w:tcBorders>
              <w:top w:val="single" w:color="auto" w:sz="6" w:space="0"/>
              <w:left w:val="single" w:color="auto" w:sz="6" w:space="0"/>
              <w:bottom w:val="single" w:color="auto" w:sz="4" w:space="0"/>
              <w:right w:val="single" w:color="auto" w:sz="6" w:space="0"/>
            </w:tcBorders>
            <w:vAlign w:val="center"/>
          </w:tcPr>
          <w:p>
            <w:pPr>
              <w:spacing w:beforeLines="50"/>
              <w:jc w:val="center"/>
              <w:rPr>
                <w:sz w:val="24"/>
              </w:rPr>
            </w:pPr>
          </w:p>
        </w:tc>
        <w:tc>
          <w:tcPr>
            <w:tcW w:w="984" w:type="dxa"/>
            <w:tcBorders>
              <w:top w:val="single" w:color="auto" w:sz="6" w:space="0"/>
              <w:left w:val="single" w:color="auto" w:sz="6" w:space="0"/>
              <w:bottom w:val="single" w:color="auto" w:sz="4" w:space="0"/>
              <w:right w:val="single" w:color="auto" w:sz="6" w:space="0"/>
            </w:tcBorders>
            <w:vAlign w:val="center"/>
          </w:tcPr>
          <w:p>
            <w:pPr>
              <w:spacing w:beforeLines="50"/>
              <w:jc w:val="center"/>
              <w:rPr>
                <w:sz w:val="24"/>
              </w:rPr>
            </w:pPr>
          </w:p>
        </w:tc>
        <w:tc>
          <w:tcPr>
            <w:tcW w:w="1376" w:type="dxa"/>
            <w:tcBorders>
              <w:top w:val="single" w:color="auto" w:sz="6" w:space="0"/>
              <w:left w:val="single" w:color="auto" w:sz="6" w:space="0"/>
              <w:bottom w:val="single" w:color="auto" w:sz="4" w:space="0"/>
              <w:right w:val="single" w:color="auto" w:sz="6" w:space="0"/>
            </w:tcBorders>
            <w:vAlign w:val="center"/>
          </w:tcPr>
          <w:p>
            <w:pPr>
              <w:spacing w:beforeLines="50"/>
              <w:jc w:val="center"/>
              <w:rPr>
                <w:sz w:val="24"/>
              </w:rPr>
            </w:pPr>
          </w:p>
        </w:tc>
        <w:tc>
          <w:tcPr>
            <w:tcW w:w="1172" w:type="dxa"/>
            <w:tcBorders>
              <w:top w:val="single" w:color="auto" w:sz="6" w:space="0"/>
              <w:left w:val="single" w:color="auto" w:sz="6" w:space="0"/>
              <w:bottom w:val="single" w:color="auto" w:sz="4" w:space="0"/>
              <w:right w:val="single" w:color="auto" w:sz="6" w:space="0"/>
            </w:tcBorders>
            <w:vAlign w:val="center"/>
          </w:tcPr>
          <w:p>
            <w:pPr>
              <w:spacing w:beforeLines="50"/>
              <w:jc w:val="center"/>
              <w:rPr>
                <w:sz w:val="24"/>
              </w:rPr>
            </w:pPr>
          </w:p>
        </w:tc>
      </w:tr>
      <w:tr>
        <w:tblPrEx>
          <w:tblLayout w:type="fixed"/>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Lines="100"/>
              <w:jc w:val="center"/>
              <w:rPr>
                <w:sz w:val="24"/>
              </w:rPr>
            </w:pPr>
          </w:p>
        </w:tc>
        <w:tc>
          <w:tcPr>
            <w:tcW w:w="539" w:type="dxa"/>
            <w:tcBorders>
              <w:top w:val="single" w:color="auto" w:sz="4" w:space="0"/>
              <w:left w:val="single" w:color="auto" w:sz="4" w:space="0"/>
              <w:bottom w:val="single" w:color="auto" w:sz="6" w:space="0"/>
            </w:tcBorders>
            <w:vAlign w:val="center"/>
          </w:tcPr>
          <w:p>
            <w:pPr>
              <w:spacing w:beforeLines="100"/>
              <w:jc w:val="center"/>
              <w:rPr>
                <w:sz w:val="24"/>
              </w:rPr>
            </w:pPr>
            <w:r>
              <w:rPr>
                <w:sz w:val="24"/>
              </w:rPr>
              <w:t>2</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Lines="100"/>
              <w:jc w:val="center"/>
              <w:rPr>
                <w:sz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Lines="50"/>
              <w:jc w:val="center"/>
              <w:rPr>
                <w:sz w:val="24"/>
              </w:rPr>
            </w:pPr>
          </w:p>
        </w:tc>
        <w:tc>
          <w:tcPr>
            <w:tcW w:w="979" w:type="dxa"/>
            <w:tcBorders>
              <w:top w:val="single" w:color="auto" w:sz="4" w:space="0"/>
              <w:left w:val="single" w:color="auto" w:sz="4" w:space="0"/>
              <w:bottom w:val="single" w:color="auto" w:sz="6" w:space="0"/>
              <w:right w:val="single" w:color="auto" w:sz="6" w:space="0"/>
            </w:tcBorders>
            <w:vAlign w:val="center"/>
          </w:tcPr>
          <w:p>
            <w:pPr>
              <w:spacing w:beforeLines="50"/>
              <w:jc w:val="center"/>
              <w:rPr>
                <w:sz w:val="24"/>
              </w:rPr>
            </w:pPr>
          </w:p>
        </w:tc>
        <w:tc>
          <w:tcPr>
            <w:tcW w:w="1596"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984"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1376"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1172"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r>
      <w:tr>
        <w:tblPrEx>
          <w:tblLayout w:type="fixed"/>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Lines="100"/>
              <w:jc w:val="center"/>
              <w:rPr>
                <w:sz w:val="24"/>
              </w:rPr>
            </w:pPr>
          </w:p>
        </w:tc>
        <w:tc>
          <w:tcPr>
            <w:tcW w:w="539" w:type="dxa"/>
            <w:tcBorders>
              <w:top w:val="single" w:color="auto" w:sz="4" w:space="0"/>
              <w:left w:val="single" w:color="auto" w:sz="4" w:space="0"/>
              <w:bottom w:val="single" w:color="auto" w:sz="6" w:space="0"/>
            </w:tcBorders>
            <w:vAlign w:val="center"/>
          </w:tcPr>
          <w:p>
            <w:pPr>
              <w:spacing w:beforeLines="100"/>
              <w:jc w:val="center"/>
              <w:rPr>
                <w:sz w:val="24"/>
              </w:rPr>
            </w:pPr>
            <w:r>
              <w:rPr>
                <w:sz w:val="24"/>
              </w:rPr>
              <w:t>3</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Lines="100"/>
              <w:jc w:val="center"/>
              <w:rPr>
                <w:sz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Lines="50"/>
              <w:jc w:val="center"/>
              <w:rPr>
                <w:sz w:val="24"/>
              </w:rPr>
            </w:pPr>
          </w:p>
        </w:tc>
        <w:tc>
          <w:tcPr>
            <w:tcW w:w="979" w:type="dxa"/>
            <w:tcBorders>
              <w:top w:val="single" w:color="auto" w:sz="4" w:space="0"/>
              <w:left w:val="single" w:color="auto" w:sz="4" w:space="0"/>
              <w:bottom w:val="single" w:color="auto" w:sz="6" w:space="0"/>
              <w:right w:val="single" w:color="auto" w:sz="6" w:space="0"/>
            </w:tcBorders>
            <w:vAlign w:val="center"/>
          </w:tcPr>
          <w:p>
            <w:pPr>
              <w:spacing w:beforeLines="50"/>
              <w:jc w:val="center"/>
              <w:rPr>
                <w:sz w:val="24"/>
              </w:rPr>
            </w:pPr>
          </w:p>
        </w:tc>
        <w:tc>
          <w:tcPr>
            <w:tcW w:w="1596"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984"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1376"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1172"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r>
      <w:tr>
        <w:tblPrEx>
          <w:tblLayout w:type="fixed"/>
          <w:tblCellMar>
            <w:top w:w="0" w:type="dxa"/>
            <w:left w:w="28" w:type="dxa"/>
            <w:bottom w:w="0" w:type="dxa"/>
            <w:right w:w="28" w:type="dxa"/>
          </w:tblCellMar>
        </w:tblPrEx>
        <w:trPr>
          <w:trHeight w:val="599" w:hRule="atLeast"/>
        </w:trPr>
        <w:tc>
          <w:tcPr>
            <w:tcW w:w="1167" w:type="dxa"/>
            <w:vMerge w:val="continue"/>
            <w:tcBorders>
              <w:left w:val="single" w:color="auto" w:sz="6" w:space="0"/>
              <w:right w:val="single" w:color="auto" w:sz="4" w:space="0"/>
            </w:tcBorders>
            <w:vAlign w:val="center"/>
          </w:tcPr>
          <w:p>
            <w:pPr>
              <w:spacing w:beforeLines="100"/>
              <w:jc w:val="center"/>
              <w:rPr>
                <w:sz w:val="24"/>
              </w:rPr>
            </w:pPr>
          </w:p>
        </w:tc>
        <w:tc>
          <w:tcPr>
            <w:tcW w:w="539" w:type="dxa"/>
            <w:tcBorders>
              <w:top w:val="single" w:color="auto" w:sz="4" w:space="0"/>
              <w:left w:val="single" w:color="auto" w:sz="4" w:space="0"/>
              <w:bottom w:val="single" w:color="auto" w:sz="6" w:space="0"/>
            </w:tcBorders>
            <w:vAlign w:val="center"/>
          </w:tcPr>
          <w:p>
            <w:pPr>
              <w:spacing w:beforeLines="100"/>
              <w:jc w:val="center"/>
              <w:rPr>
                <w:sz w:val="24"/>
              </w:rPr>
            </w:pPr>
            <w:r>
              <w:rPr>
                <w:rFonts w:hint="eastAsia"/>
                <w:sz w:val="24"/>
                <w:szCs w:val="24"/>
              </w:rPr>
              <w:t>……</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Lines="50"/>
              <w:jc w:val="center"/>
              <w:rPr>
                <w:sz w:val="24"/>
              </w:rPr>
            </w:pPr>
          </w:p>
        </w:tc>
        <w:tc>
          <w:tcPr>
            <w:tcW w:w="979" w:type="dxa"/>
            <w:tcBorders>
              <w:top w:val="single" w:color="auto" w:sz="4" w:space="0"/>
              <w:left w:val="single" w:color="auto" w:sz="4" w:space="0"/>
              <w:bottom w:val="single" w:color="auto" w:sz="6" w:space="0"/>
              <w:right w:val="single" w:color="auto" w:sz="6" w:space="0"/>
            </w:tcBorders>
            <w:vAlign w:val="center"/>
          </w:tcPr>
          <w:p>
            <w:pPr>
              <w:spacing w:beforeLines="50"/>
              <w:jc w:val="center"/>
              <w:rPr>
                <w:sz w:val="24"/>
              </w:rPr>
            </w:pPr>
          </w:p>
        </w:tc>
        <w:tc>
          <w:tcPr>
            <w:tcW w:w="1596"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984"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1376"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1172"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r>
      <w:tr>
        <w:tblPrEx>
          <w:tblLayout w:type="fixed"/>
          <w:tblCellMar>
            <w:top w:w="0" w:type="dxa"/>
            <w:left w:w="28" w:type="dxa"/>
            <w:bottom w:w="0" w:type="dxa"/>
            <w:right w:w="28" w:type="dxa"/>
          </w:tblCellMar>
        </w:tblPrEx>
        <w:trPr>
          <w:trHeight w:val="599" w:hRule="atLeast"/>
        </w:trPr>
        <w:tc>
          <w:tcPr>
            <w:tcW w:w="1167" w:type="dxa"/>
            <w:vMerge w:val="continue"/>
            <w:tcBorders>
              <w:left w:val="single" w:color="auto" w:sz="6" w:space="0"/>
              <w:bottom w:val="single" w:color="auto" w:sz="6" w:space="0"/>
              <w:right w:val="single" w:color="auto" w:sz="4" w:space="0"/>
            </w:tcBorders>
            <w:vAlign w:val="center"/>
          </w:tcPr>
          <w:p>
            <w:pPr>
              <w:spacing w:beforeLines="100"/>
              <w:jc w:val="center"/>
              <w:rPr>
                <w:sz w:val="24"/>
              </w:rPr>
            </w:pPr>
          </w:p>
        </w:tc>
        <w:tc>
          <w:tcPr>
            <w:tcW w:w="539" w:type="dxa"/>
            <w:tcBorders>
              <w:top w:val="single" w:color="auto" w:sz="4" w:space="0"/>
              <w:left w:val="single" w:color="auto" w:sz="4" w:space="0"/>
              <w:bottom w:val="single" w:color="auto" w:sz="6" w:space="0"/>
            </w:tcBorders>
            <w:vAlign w:val="center"/>
          </w:tcPr>
          <w:p>
            <w:pPr>
              <w:spacing w:beforeLines="100"/>
              <w:jc w:val="center"/>
              <w:rPr>
                <w:b/>
                <w:sz w:val="24"/>
              </w:rPr>
            </w:pPr>
            <w:r>
              <w:rPr>
                <w:rFonts w:hint="eastAsia"/>
                <w:sz w:val="24"/>
                <w:szCs w:val="24"/>
              </w:rPr>
              <w:t>……</w:t>
            </w:r>
          </w:p>
        </w:tc>
        <w:tc>
          <w:tcPr>
            <w:tcW w:w="803"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598" w:type="dxa"/>
            <w:tcBorders>
              <w:top w:val="single" w:color="auto" w:sz="4" w:space="0"/>
              <w:left w:val="single" w:color="auto" w:sz="6" w:space="0"/>
              <w:bottom w:val="single" w:color="auto" w:sz="6" w:space="0"/>
              <w:right w:val="single" w:color="auto" w:sz="4" w:space="0"/>
            </w:tcBorders>
            <w:vAlign w:val="center"/>
          </w:tcPr>
          <w:p>
            <w:pPr>
              <w:spacing w:beforeLines="50"/>
              <w:jc w:val="center"/>
              <w:rPr>
                <w:sz w:val="24"/>
              </w:rPr>
            </w:pPr>
          </w:p>
        </w:tc>
        <w:tc>
          <w:tcPr>
            <w:tcW w:w="979" w:type="dxa"/>
            <w:tcBorders>
              <w:top w:val="single" w:color="auto" w:sz="4" w:space="0"/>
              <w:left w:val="single" w:color="auto" w:sz="4" w:space="0"/>
              <w:bottom w:val="single" w:color="auto" w:sz="6" w:space="0"/>
              <w:right w:val="single" w:color="auto" w:sz="6" w:space="0"/>
            </w:tcBorders>
            <w:vAlign w:val="center"/>
          </w:tcPr>
          <w:p>
            <w:pPr>
              <w:spacing w:beforeLines="50"/>
              <w:jc w:val="center"/>
              <w:rPr>
                <w:sz w:val="24"/>
              </w:rPr>
            </w:pPr>
          </w:p>
        </w:tc>
        <w:tc>
          <w:tcPr>
            <w:tcW w:w="1596"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984"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1376"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c>
          <w:tcPr>
            <w:tcW w:w="1172" w:type="dxa"/>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p>
        </w:tc>
      </w:tr>
      <w:tr>
        <w:tblPrEx>
          <w:tblLayout w:type="fixed"/>
          <w:tblCellMar>
            <w:top w:w="0" w:type="dxa"/>
            <w:left w:w="28" w:type="dxa"/>
            <w:bottom w:w="0" w:type="dxa"/>
            <w:right w:w="28" w:type="dxa"/>
          </w:tblCellMar>
        </w:tblPrEx>
        <w:trPr>
          <w:trHeight w:val="599" w:hRule="atLeast"/>
        </w:trPr>
        <w:tc>
          <w:tcPr>
            <w:tcW w:w="2509" w:type="dxa"/>
            <w:gridSpan w:val="3"/>
            <w:tcBorders>
              <w:top w:val="single" w:color="auto" w:sz="4" w:space="0"/>
              <w:left w:val="single" w:color="auto" w:sz="6" w:space="0"/>
              <w:bottom w:val="single" w:color="auto" w:sz="6" w:space="0"/>
              <w:right w:val="single" w:color="auto" w:sz="6" w:space="0"/>
            </w:tcBorders>
            <w:vAlign w:val="center"/>
          </w:tcPr>
          <w:p>
            <w:pPr>
              <w:jc w:val="center"/>
              <w:rPr>
                <w:sz w:val="24"/>
                <w:szCs w:val="24"/>
              </w:rPr>
            </w:pPr>
            <w:r>
              <w:rPr>
                <w:rFonts w:hint="eastAsia"/>
                <w:sz w:val="24"/>
                <w:szCs w:val="24"/>
              </w:rPr>
              <w:t>运杂费</w:t>
            </w:r>
          </w:p>
        </w:tc>
        <w:tc>
          <w:tcPr>
            <w:tcW w:w="6705" w:type="dxa"/>
            <w:gridSpan w:val="6"/>
            <w:tcBorders>
              <w:top w:val="single" w:color="auto" w:sz="4" w:space="0"/>
              <w:left w:val="single" w:color="auto" w:sz="6" w:space="0"/>
              <w:bottom w:val="single" w:color="auto" w:sz="6" w:space="0"/>
              <w:right w:val="single" w:color="auto" w:sz="6" w:space="0"/>
            </w:tcBorders>
            <w:vAlign w:val="center"/>
          </w:tcPr>
          <w:p>
            <w:pPr>
              <w:jc w:val="center"/>
            </w:pPr>
            <w:r>
              <w:rPr>
                <w:rFonts w:hint="eastAsia"/>
                <w:sz w:val="24"/>
                <w:szCs w:val="24"/>
              </w:rPr>
              <w:t>……</w:t>
            </w:r>
          </w:p>
        </w:tc>
      </w:tr>
      <w:tr>
        <w:tblPrEx>
          <w:tblLayout w:type="fixed"/>
          <w:tblCellMar>
            <w:top w:w="0" w:type="dxa"/>
            <w:left w:w="28" w:type="dxa"/>
            <w:bottom w:w="0" w:type="dxa"/>
            <w:right w:w="28" w:type="dxa"/>
          </w:tblCellMar>
        </w:tblPrEx>
        <w:trPr>
          <w:trHeight w:val="599" w:hRule="atLeast"/>
        </w:trPr>
        <w:tc>
          <w:tcPr>
            <w:tcW w:w="2509" w:type="dxa"/>
            <w:gridSpan w:val="3"/>
            <w:tcBorders>
              <w:top w:val="single" w:color="auto" w:sz="4" w:space="0"/>
              <w:left w:val="single" w:color="auto" w:sz="6" w:space="0"/>
              <w:bottom w:val="single" w:color="auto" w:sz="6" w:space="0"/>
              <w:right w:val="single" w:color="auto" w:sz="6" w:space="0"/>
            </w:tcBorders>
            <w:vAlign w:val="center"/>
          </w:tcPr>
          <w:p>
            <w:pPr>
              <w:jc w:val="center"/>
              <w:rPr>
                <w:sz w:val="24"/>
                <w:szCs w:val="24"/>
              </w:rPr>
            </w:pPr>
            <w:r>
              <w:rPr>
                <w:rFonts w:hint="eastAsia"/>
                <w:sz w:val="24"/>
                <w:szCs w:val="24"/>
              </w:rPr>
              <w:t>其他费用</w:t>
            </w:r>
          </w:p>
        </w:tc>
        <w:tc>
          <w:tcPr>
            <w:tcW w:w="6705" w:type="dxa"/>
            <w:gridSpan w:val="6"/>
            <w:tcBorders>
              <w:top w:val="single" w:color="auto" w:sz="4" w:space="0"/>
              <w:left w:val="single" w:color="auto" w:sz="6" w:space="0"/>
              <w:bottom w:val="single" w:color="auto" w:sz="6" w:space="0"/>
              <w:right w:val="single" w:color="auto" w:sz="6" w:space="0"/>
            </w:tcBorders>
            <w:vAlign w:val="center"/>
          </w:tcPr>
          <w:p>
            <w:pPr>
              <w:jc w:val="center"/>
            </w:pPr>
            <w:r>
              <w:rPr>
                <w:rFonts w:hint="eastAsia"/>
                <w:sz w:val="24"/>
                <w:szCs w:val="24"/>
              </w:rPr>
              <w:t>……</w:t>
            </w:r>
          </w:p>
        </w:tc>
      </w:tr>
      <w:tr>
        <w:tblPrEx>
          <w:tblLayout w:type="fixed"/>
          <w:tblCellMar>
            <w:top w:w="0" w:type="dxa"/>
            <w:left w:w="28" w:type="dxa"/>
            <w:bottom w:w="0" w:type="dxa"/>
            <w:right w:w="28" w:type="dxa"/>
          </w:tblCellMar>
        </w:tblPrEx>
        <w:trPr>
          <w:trHeight w:val="599" w:hRule="atLeast"/>
        </w:trPr>
        <w:tc>
          <w:tcPr>
            <w:tcW w:w="2509" w:type="dxa"/>
            <w:gridSpan w:val="3"/>
            <w:tcBorders>
              <w:top w:val="single" w:color="auto" w:sz="4" w:space="0"/>
              <w:left w:val="single" w:color="auto" w:sz="6" w:space="0"/>
              <w:bottom w:val="single" w:color="auto" w:sz="6" w:space="0"/>
              <w:right w:val="single" w:color="auto" w:sz="6" w:space="0"/>
            </w:tcBorders>
            <w:vAlign w:val="center"/>
          </w:tcPr>
          <w:p>
            <w:pPr>
              <w:jc w:val="center"/>
              <w:rPr>
                <w:sz w:val="24"/>
                <w:szCs w:val="24"/>
              </w:rPr>
            </w:pPr>
            <w:r>
              <w:rPr>
                <w:rFonts w:hint="eastAsia"/>
                <w:sz w:val="24"/>
                <w:szCs w:val="24"/>
              </w:rPr>
              <w:t>……</w:t>
            </w:r>
          </w:p>
        </w:tc>
        <w:tc>
          <w:tcPr>
            <w:tcW w:w="6705" w:type="dxa"/>
            <w:gridSpan w:val="6"/>
            <w:tcBorders>
              <w:top w:val="single" w:color="auto" w:sz="4" w:space="0"/>
              <w:left w:val="single" w:color="auto" w:sz="6" w:space="0"/>
              <w:bottom w:val="single" w:color="auto" w:sz="6" w:space="0"/>
              <w:right w:val="single" w:color="auto" w:sz="6" w:space="0"/>
            </w:tcBorders>
            <w:vAlign w:val="center"/>
          </w:tcPr>
          <w:p>
            <w:pPr>
              <w:jc w:val="center"/>
            </w:pPr>
            <w:r>
              <w:rPr>
                <w:rFonts w:hint="eastAsia"/>
                <w:sz w:val="24"/>
                <w:szCs w:val="24"/>
              </w:rPr>
              <w:t>……</w:t>
            </w:r>
          </w:p>
        </w:tc>
      </w:tr>
      <w:tr>
        <w:tblPrEx>
          <w:tblLayout w:type="fixed"/>
          <w:tblCellMar>
            <w:top w:w="0" w:type="dxa"/>
            <w:left w:w="28" w:type="dxa"/>
            <w:bottom w:w="0" w:type="dxa"/>
            <w:right w:w="28" w:type="dxa"/>
          </w:tblCellMar>
        </w:tblPrEx>
        <w:trPr>
          <w:trHeight w:val="599" w:hRule="atLeast"/>
        </w:trPr>
        <w:tc>
          <w:tcPr>
            <w:tcW w:w="1706" w:type="dxa"/>
            <w:gridSpan w:val="2"/>
            <w:tcBorders>
              <w:top w:val="single" w:color="auto" w:sz="4" w:space="0"/>
              <w:left w:val="single" w:color="auto" w:sz="6" w:space="0"/>
              <w:bottom w:val="single" w:color="auto" w:sz="6" w:space="0"/>
            </w:tcBorders>
            <w:vAlign w:val="center"/>
          </w:tcPr>
          <w:p>
            <w:pPr>
              <w:jc w:val="center"/>
              <w:rPr>
                <w:sz w:val="24"/>
              </w:rPr>
            </w:pPr>
            <w:r>
              <w:rPr>
                <w:rFonts w:hint="eastAsia"/>
                <w:sz w:val="24"/>
              </w:rPr>
              <w:t>磋商总报价</w:t>
            </w:r>
          </w:p>
        </w:tc>
        <w:tc>
          <w:tcPr>
            <w:tcW w:w="7508" w:type="dxa"/>
            <w:gridSpan w:val="7"/>
            <w:tcBorders>
              <w:top w:val="single" w:color="auto" w:sz="4" w:space="0"/>
              <w:left w:val="single" w:color="auto" w:sz="6" w:space="0"/>
              <w:bottom w:val="single" w:color="auto" w:sz="6" w:space="0"/>
              <w:right w:val="single" w:color="auto" w:sz="6" w:space="0"/>
            </w:tcBorders>
            <w:vAlign w:val="center"/>
          </w:tcPr>
          <w:p>
            <w:pPr>
              <w:spacing w:beforeLines="50"/>
              <w:jc w:val="left"/>
              <w:rPr>
                <w:sz w:val="24"/>
              </w:rPr>
            </w:pPr>
            <w:r>
              <w:rPr>
                <w:rFonts w:hint="eastAsia"/>
                <w:sz w:val="24"/>
              </w:rPr>
              <w:t>大写：小写：</w:t>
            </w:r>
          </w:p>
        </w:tc>
      </w:tr>
      <w:tr>
        <w:tblPrEx>
          <w:tblLayout w:type="fixed"/>
          <w:tblCellMar>
            <w:top w:w="0" w:type="dxa"/>
            <w:left w:w="28" w:type="dxa"/>
            <w:bottom w:w="0" w:type="dxa"/>
            <w:right w:w="28" w:type="dxa"/>
          </w:tblCellMar>
        </w:tblPrEx>
        <w:trPr>
          <w:trHeight w:val="599" w:hRule="atLeast"/>
        </w:trPr>
        <w:tc>
          <w:tcPr>
            <w:tcW w:w="1706" w:type="dxa"/>
            <w:gridSpan w:val="2"/>
            <w:tcBorders>
              <w:top w:val="single" w:color="auto" w:sz="4" w:space="0"/>
              <w:left w:val="single" w:color="auto" w:sz="6" w:space="0"/>
              <w:bottom w:val="single" w:color="auto" w:sz="6" w:space="0"/>
            </w:tcBorders>
            <w:vAlign w:val="center"/>
          </w:tcPr>
          <w:p>
            <w:pPr>
              <w:jc w:val="center"/>
              <w:rPr>
                <w:sz w:val="24"/>
              </w:rPr>
            </w:pPr>
            <w:r>
              <w:rPr>
                <w:rFonts w:hint="eastAsia"/>
                <w:sz w:val="24"/>
              </w:rPr>
              <w:t>备注</w:t>
            </w:r>
          </w:p>
        </w:tc>
        <w:tc>
          <w:tcPr>
            <w:tcW w:w="7508" w:type="dxa"/>
            <w:gridSpan w:val="7"/>
            <w:tcBorders>
              <w:top w:val="single" w:color="auto" w:sz="4" w:space="0"/>
              <w:left w:val="single" w:color="auto" w:sz="6" w:space="0"/>
              <w:bottom w:val="single" w:color="auto" w:sz="6" w:space="0"/>
              <w:right w:val="single" w:color="auto" w:sz="6" w:space="0"/>
            </w:tcBorders>
            <w:vAlign w:val="center"/>
          </w:tcPr>
          <w:p>
            <w:pPr>
              <w:spacing w:beforeLines="50"/>
              <w:jc w:val="center"/>
              <w:rPr>
                <w:sz w:val="24"/>
              </w:rPr>
            </w:pPr>
            <w:r>
              <w:rPr>
                <w:rFonts w:hint="eastAsia" w:hAnsi="宋体"/>
                <w:spacing w:val="-6"/>
                <w:sz w:val="24"/>
              </w:rPr>
              <w:t>保留小数点后两位。</w:t>
            </w:r>
          </w:p>
        </w:tc>
      </w:tr>
    </w:tbl>
    <w:p>
      <w:pPr>
        <w:kinsoku w:val="0"/>
        <w:spacing w:line="360" w:lineRule="auto"/>
        <w:jc w:val="left"/>
        <w:rPr>
          <w:rFonts w:ascii="宋体" w:cs="宋体"/>
          <w:sz w:val="24"/>
        </w:rPr>
      </w:pPr>
    </w:p>
    <w:p>
      <w:pPr>
        <w:adjustRightInd w:val="0"/>
        <w:snapToGrid w:val="0"/>
        <w:spacing w:line="480" w:lineRule="auto"/>
        <w:jc w:val="left"/>
        <w:rPr>
          <w:rFonts w:ascii="宋体" w:cs="宋体"/>
          <w:sz w:val="24"/>
          <w:u w:val="single"/>
        </w:rPr>
      </w:pPr>
      <w:r>
        <w:rPr>
          <w:rFonts w:hint="eastAsia" w:ascii="宋体" w:hAnsi="宋体" w:cs="宋体"/>
          <w:sz w:val="24"/>
        </w:rPr>
        <w:t>供应商（单位名称及公章）：</w:t>
      </w:r>
    </w:p>
    <w:p>
      <w:pPr>
        <w:adjustRightInd w:val="0"/>
        <w:snapToGrid w:val="0"/>
        <w:spacing w:line="480" w:lineRule="auto"/>
        <w:rPr>
          <w:rFonts w:ascii="宋体" w:cs="宋体"/>
          <w:sz w:val="24"/>
        </w:rPr>
      </w:pPr>
      <w:r>
        <w:rPr>
          <w:rFonts w:hint="eastAsia" w:ascii="宋体" w:hAnsi="宋体" w:cs="宋体"/>
          <w:sz w:val="24"/>
        </w:rPr>
        <w:t>法定代表人</w:t>
      </w:r>
      <w:r>
        <w:rPr>
          <w:rFonts w:ascii="宋体" w:hAnsi="宋体" w:cs="宋体"/>
          <w:sz w:val="24"/>
        </w:rPr>
        <w:t>/</w:t>
      </w:r>
      <w:r>
        <w:rPr>
          <w:rFonts w:hint="eastAsia" w:ascii="宋体" w:hAnsi="宋体" w:cs="宋体"/>
          <w:sz w:val="24"/>
        </w:rPr>
        <w:t>被授权人（签字或盖章）：</w:t>
      </w:r>
    </w:p>
    <w:p>
      <w:pPr>
        <w:adjustRightInd w:val="0"/>
        <w:snapToGrid w:val="0"/>
        <w:spacing w:line="480" w:lineRule="auto"/>
        <w:rPr>
          <w:rFonts w:ascii="宋体" w:cs="宋体"/>
          <w:sz w:val="24"/>
        </w:rPr>
      </w:pPr>
      <w:r>
        <w:rPr>
          <w:rFonts w:hint="eastAsia" w:ascii="宋体" w:hAnsi="宋体" w:cs="宋体"/>
          <w:sz w:val="24"/>
        </w:rPr>
        <w:t>日期： 年 月 日</w:t>
      </w:r>
    </w:p>
    <w:p>
      <w:pPr>
        <w:pStyle w:val="15"/>
        <w:spacing w:line="480" w:lineRule="auto"/>
        <w:ind w:firstLine="562" w:firstLineChars="200"/>
        <w:jc w:val="center"/>
        <w:rPr>
          <w:rFonts w:ascii="Arial" w:hAnsi="Arial"/>
          <w:b/>
          <w:sz w:val="28"/>
          <w:szCs w:val="22"/>
        </w:rPr>
        <w:sectPr>
          <w:pgSz w:w="11906" w:h="16838"/>
          <w:pgMar w:top="1440" w:right="1483" w:bottom="1440" w:left="1803" w:header="851" w:footer="992" w:gutter="0"/>
          <w:cols w:space="720" w:num="1"/>
          <w:docGrid w:type="lines" w:linePitch="319" w:charSpace="0"/>
        </w:sectPr>
      </w:pPr>
    </w:p>
    <w:p>
      <w:pPr>
        <w:pStyle w:val="5"/>
      </w:pPr>
      <w:bookmarkStart w:id="88" w:name="_Toc25018"/>
      <w:r>
        <w:rPr>
          <w:rFonts w:hint="eastAsia"/>
        </w:rPr>
        <w:t>第四部分磋商产品技术偏差表</w:t>
      </w:r>
      <w:bookmarkEnd w:id="88"/>
    </w:p>
    <w:p>
      <w:pPr>
        <w:kinsoku w:val="0"/>
        <w:spacing w:line="480" w:lineRule="auto"/>
        <w:ind w:left="1056" w:hanging="1056" w:hangingChars="440"/>
        <w:jc w:val="left"/>
        <w:rPr>
          <w:rFonts w:ascii="宋体" w:cs="宋体"/>
          <w:sz w:val="24"/>
          <w:u w:val="single"/>
        </w:rPr>
      </w:pPr>
      <w:r>
        <w:rPr>
          <w:rFonts w:hint="eastAsia" w:ascii="宋体" w:hAnsi="宋体" w:cs="宋体"/>
          <w:sz w:val="24"/>
        </w:rPr>
        <w:t>项目名称：</w:t>
      </w:r>
    </w:p>
    <w:tbl>
      <w:tblPr>
        <w:tblStyle w:val="25"/>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269"/>
        <w:gridCol w:w="2219"/>
        <w:gridCol w:w="2350"/>
        <w:gridCol w:w="1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851" w:type="dxa"/>
            <w:vAlign w:val="center"/>
          </w:tcPr>
          <w:p>
            <w:pPr>
              <w:pStyle w:val="15"/>
              <w:spacing w:line="480" w:lineRule="auto"/>
              <w:jc w:val="left"/>
              <w:rPr>
                <w:rFonts w:hAnsi="宋体" w:cs="宋体"/>
                <w:kern w:val="2"/>
                <w:sz w:val="21"/>
              </w:rPr>
            </w:pPr>
            <w:r>
              <w:rPr>
                <w:rFonts w:hint="eastAsia" w:hAnsi="宋体" w:cs="宋体"/>
                <w:kern w:val="2"/>
                <w:sz w:val="21"/>
              </w:rPr>
              <w:t>序号</w:t>
            </w:r>
          </w:p>
        </w:tc>
        <w:tc>
          <w:tcPr>
            <w:tcW w:w="2269" w:type="dxa"/>
            <w:vAlign w:val="center"/>
          </w:tcPr>
          <w:p>
            <w:pPr>
              <w:pStyle w:val="15"/>
              <w:spacing w:line="480" w:lineRule="auto"/>
              <w:ind w:firstLine="420" w:firstLineChars="200"/>
              <w:jc w:val="left"/>
              <w:rPr>
                <w:rFonts w:hAnsi="宋体" w:cs="宋体"/>
                <w:kern w:val="2"/>
                <w:sz w:val="21"/>
              </w:rPr>
            </w:pPr>
            <w:r>
              <w:rPr>
                <w:rFonts w:hint="eastAsia" w:hAnsi="宋体" w:cs="宋体"/>
                <w:kern w:val="2"/>
                <w:sz w:val="21"/>
              </w:rPr>
              <w:t>产品名称</w:t>
            </w:r>
          </w:p>
        </w:tc>
        <w:tc>
          <w:tcPr>
            <w:tcW w:w="2219" w:type="dxa"/>
            <w:vAlign w:val="center"/>
          </w:tcPr>
          <w:p>
            <w:pPr>
              <w:pStyle w:val="15"/>
              <w:spacing w:line="480" w:lineRule="auto"/>
              <w:ind w:firstLine="420" w:firstLineChars="200"/>
              <w:jc w:val="left"/>
              <w:rPr>
                <w:rFonts w:hAnsi="宋体" w:cs="宋体"/>
                <w:kern w:val="2"/>
                <w:sz w:val="21"/>
              </w:rPr>
            </w:pPr>
            <w:r>
              <w:rPr>
                <w:rFonts w:hint="eastAsia" w:hAnsi="宋体" w:cs="宋体"/>
                <w:kern w:val="2"/>
                <w:sz w:val="21"/>
              </w:rPr>
              <w:t>标书要求</w:t>
            </w:r>
          </w:p>
          <w:p>
            <w:pPr>
              <w:pStyle w:val="15"/>
              <w:spacing w:line="480" w:lineRule="auto"/>
              <w:ind w:firstLine="420" w:firstLineChars="200"/>
              <w:jc w:val="left"/>
              <w:rPr>
                <w:rFonts w:hAnsi="宋体" w:cs="宋体"/>
                <w:kern w:val="2"/>
                <w:sz w:val="21"/>
              </w:rPr>
            </w:pPr>
            <w:r>
              <w:rPr>
                <w:rFonts w:hint="eastAsia" w:hAnsi="宋体" w:cs="宋体"/>
                <w:kern w:val="2"/>
                <w:sz w:val="21"/>
              </w:rPr>
              <w:t>技术指标</w:t>
            </w:r>
          </w:p>
        </w:tc>
        <w:tc>
          <w:tcPr>
            <w:tcW w:w="2350" w:type="dxa"/>
            <w:vAlign w:val="center"/>
          </w:tcPr>
          <w:p>
            <w:pPr>
              <w:pStyle w:val="15"/>
              <w:spacing w:line="480" w:lineRule="auto"/>
              <w:ind w:firstLine="420" w:firstLineChars="200"/>
              <w:jc w:val="left"/>
              <w:rPr>
                <w:rFonts w:hAnsi="宋体" w:cs="宋体"/>
                <w:kern w:val="2"/>
                <w:sz w:val="21"/>
              </w:rPr>
            </w:pPr>
            <w:r>
              <w:rPr>
                <w:rFonts w:hint="eastAsia" w:hAnsi="宋体" w:cs="宋体"/>
                <w:kern w:val="2"/>
                <w:sz w:val="21"/>
              </w:rPr>
              <w:t>磋商产品</w:t>
            </w:r>
          </w:p>
          <w:p>
            <w:pPr>
              <w:pStyle w:val="15"/>
              <w:spacing w:line="480" w:lineRule="auto"/>
              <w:ind w:firstLine="420" w:firstLineChars="200"/>
              <w:jc w:val="left"/>
              <w:rPr>
                <w:rFonts w:hAnsi="宋体" w:cs="宋体"/>
                <w:kern w:val="2"/>
                <w:sz w:val="21"/>
              </w:rPr>
            </w:pPr>
            <w:r>
              <w:rPr>
                <w:rFonts w:hint="eastAsia" w:hAnsi="宋体" w:cs="宋体"/>
                <w:kern w:val="2"/>
                <w:sz w:val="21"/>
              </w:rPr>
              <w:t>技术指标</w:t>
            </w:r>
          </w:p>
        </w:tc>
        <w:tc>
          <w:tcPr>
            <w:tcW w:w="1067" w:type="dxa"/>
            <w:vAlign w:val="center"/>
          </w:tcPr>
          <w:p>
            <w:pPr>
              <w:pStyle w:val="15"/>
              <w:spacing w:line="480" w:lineRule="auto"/>
              <w:jc w:val="left"/>
              <w:rPr>
                <w:rFonts w:hAnsi="宋体" w:cs="宋体"/>
                <w:kern w:val="2"/>
                <w:sz w:val="21"/>
              </w:rPr>
            </w:pPr>
            <w:r>
              <w:rPr>
                <w:rFonts w:hint="eastAsia" w:hAnsi="宋体" w:cs="宋体"/>
                <w:kern w:val="2"/>
                <w:sz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20" w:firstLineChars="200"/>
              <w:jc w:val="left"/>
              <w:rPr>
                <w:rFonts w:hAnsi="宋体" w:cs="宋体"/>
                <w:kern w:val="2"/>
                <w:sz w:val="21"/>
              </w:rPr>
            </w:pPr>
          </w:p>
        </w:tc>
        <w:tc>
          <w:tcPr>
            <w:tcW w:w="2269" w:type="dxa"/>
          </w:tcPr>
          <w:p>
            <w:pPr>
              <w:pStyle w:val="15"/>
              <w:spacing w:line="480" w:lineRule="auto"/>
              <w:ind w:firstLine="420" w:firstLineChars="200"/>
              <w:jc w:val="left"/>
              <w:rPr>
                <w:rFonts w:hAnsi="宋体" w:cs="宋体"/>
                <w:kern w:val="2"/>
                <w:sz w:val="21"/>
              </w:rPr>
            </w:pPr>
          </w:p>
        </w:tc>
        <w:tc>
          <w:tcPr>
            <w:tcW w:w="2219" w:type="dxa"/>
            <w:vAlign w:val="center"/>
          </w:tcPr>
          <w:p>
            <w:pPr>
              <w:pStyle w:val="15"/>
              <w:spacing w:line="480" w:lineRule="auto"/>
              <w:ind w:firstLine="420" w:firstLineChars="200"/>
              <w:jc w:val="left"/>
              <w:rPr>
                <w:rFonts w:hAnsi="宋体" w:cs="宋体"/>
                <w:kern w:val="2"/>
                <w:sz w:val="21"/>
              </w:rPr>
            </w:pPr>
          </w:p>
        </w:tc>
        <w:tc>
          <w:tcPr>
            <w:tcW w:w="2350" w:type="dxa"/>
            <w:vAlign w:val="center"/>
          </w:tcPr>
          <w:p>
            <w:pPr>
              <w:pStyle w:val="15"/>
              <w:spacing w:line="480" w:lineRule="auto"/>
              <w:ind w:firstLine="420" w:firstLineChars="200"/>
              <w:jc w:val="left"/>
              <w:rPr>
                <w:rFonts w:hAnsi="宋体" w:cs="宋体"/>
                <w:kern w:val="2"/>
                <w:sz w:val="21"/>
              </w:rPr>
            </w:pPr>
          </w:p>
        </w:tc>
        <w:tc>
          <w:tcPr>
            <w:tcW w:w="1067" w:type="dxa"/>
            <w:vAlign w:val="center"/>
          </w:tcPr>
          <w:p>
            <w:pPr>
              <w:pStyle w:val="15"/>
              <w:spacing w:line="480" w:lineRule="auto"/>
              <w:ind w:firstLine="420" w:firstLineChars="200"/>
              <w:jc w:val="left"/>
              <w:rPr>
                <w:rFonts w:hAnsi="宋体" w:cs="宋体"/>
                <w:kern w:val="2"/>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5"/>
              <w:spacing w:line="480" w:lineRule="auto"/>
              <w:ind w:firstLine="420" w:firstLineChars="200"/>
              <w:jc w:val="left"/>
              <w:rPr>
                <w:rFonts w:hAnsi="宋体" w:cs="宋体"/>
                <w:kern w:val="2"/>
                <w:sz w:val="21"/>
              </w:rPr>
            </w:pPr>
          </w:p>
        </w:tc>
        <w:tc>
          <w:tcPr>
            <w:tcW w:w="2269" w:type="dxa"/>
          </w:tcPr>
          <w:p>
            <w:pPr>
              <w:pStyle w:val="15"/>
              <w:spacing w:line="480" w:lineRule="auto"/>
              <w:ind w:firstLine="420" w:firstLineChars="200"/>
              <w:jc w:val="left"/>
              <w:rPr>
                <w:rFonts w:hAnsi="宋体" w:cs="宋体"/>
                <w:kern w:val="2"/>
                <w:sz w:val="21"/>
              </w:rPr>
            </w:pPr>
          </w:p>
        </w:tc>
        <w:tc>
          <w:tcPr>
            <w:tcW w:w="2219" w:type="dxa"/>
          </w:tcPr>
          <w:p>
            <w:pPr>
              <w:pStyle w:val="15"/>
              <w:spacing w:line="480" w:lineRule="auto"/>
              <w:ind w:firstLine="420" w:firstLineChars="200"/>
              <w:jc w:val="left"/>
              <w:rPr>
                <w:rFonts w:hAnsi="宋体" w:cs="宋体"/>
                <w:kern w:val="2"/>
                <w:sz w:val="21"/>
              </w:rPr>
            </w:pPr>
          </w:p>
        </w:tc>
        <w:tc>
          <w:tcPr>
            <w:tcW w:w="2350" w:type="dxa"/>
          </w:tcPr>
          <w:p>
            <w:pPr>
              <w:pStyle w:val="15"/>
              <w:spacing w:line="480" w:lineRule="auto"/>
              <w:ind w:firstLine="420" w:firstLineChars="200"/>
              <w:jc w:val="left"/>
              <w:rPr>
                <w:rFonts w:hAnsi="宋体" w:cs="宋体"/>
                <w:kern w:val="2"/>
                <w:sz w:val="21"/>
              </w:rPr>
            </w:pPr>
          </w:p>
        </w:tc>
        <w:tc>
          <w:tcPr>
            <w:tcW w:w="1067" w:type="dxa"/>
          </w:tcPr>
          <w:p>
            <w:pPr>
              <w:pStyle w:val="15"/>
              <w:spacing w:line="480" w:lineRule="auto"/>
              <w:ind w:firstLine="420" w:firstLineChars="200"/>
              <w:jc w:val="left"/>
              <w:rPr>
                <w:rFonts w:hAnsi="宋体" w:cs="宋体"/>
                <w:kern w:val="2"/>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5"/>
              <w:spacing w:line="480" w:lineRule="auto"/>
              <w:ind w:firstLine="420" w:firstLineChars="200"/>
              <w:jc w:val="left"/>
              <w:rPr>
                <w:rFonts w:hAnsi="宋体" w:cs="宋体"/>
                <w:kern w:val="2"/>
                <w:sz w:val="21"/>
              </w:rPr>
            </w:pPr>
          </w:p>
        </w:tc>
        <w:tc>
          <w:tcPr>
            <w:tcW w:w="2269" w:type="dxa"/>
          </w:tcPr>
          <w:p>
            <w:pPr>
              <w:pStyle w:val="15"/>
              <w:spacing w:line="480" w:lineRule="auto"/>
              <w:ind w:firstLine="420" w:firstLineChars="200"/>
              <w:jc w:val="left"/>
              <w:rPr>
                <w:rFonts w:hAnsi="宋体" w:cs="宋体"/>
                <w:kern w:val="2"/>
                <w:sz w:val="21"/>
              </w:rPr>
            </w:pPr>
          </w:p>
        </w:tc>
        <w:tc>
          <w:tcPr>
            <w:tcW w:w="2219" w:type="dxa"/>
          </w:tcPr>
          <w:p>
            <w:pPr>
              <w:pStyle w:val="15"/>
              <w:spacing w:line="480" w:lineRule="auto"/>
              <w:ind w:firstLine="420" w:firstLineChars="200"/>
              <w:jc w:val="left"/>
              <w:rPr>
                <w:rFonts w:hAnsi="宋体" w:cs="宋体"/>
                <w:kern w:val="2"/>
                <w:sz w:val="21"/>
              </w:rPr>
            </w:pPr>
          </w:p>
        </w:tc>
        <w:tc>
          <w:tcPr>
            <w:tcW w:w="2350" w:type="dxa"/>
          </w:tcPr>
          <w:p>
            <w:pPr>
              <w:pStyle w:val="15"/>
              <w:spacing w:line="480" w:lineRule="auto"/>
              <w:ind w:firstLine="420" w:firstLineChars="200"/>
              <w:jc w:val="left"/>
              <w:rPr>
                <w:rFonts w:hAnsi="宋体" w:cs="宋体"/>
                <w:kern w:val="2"/>
                <w:sz w:val="21"/>
              </w:rPr>
            </w:pPr>
          </w:p>
        </w:tc>
        <w:tc>
          <w:tcPr>
            <w:tcW w:w="1067" w:type="dxa"/>
          </w:tcPr>
          <w:p>
            <w:pPr>
              <w:pStyle w:val="15"/>
              <w:spacing w:line="480" w:lineRule="auto"/>
              <w:ind w:firstLine="420" w:firstLineChars="200"/>
              <w:jc w:val="left"/>
              <w:rPr>
                <w:rFonts w:hAnsi="宋体" w:cs="宋体"/>
                <w:kern w:val="2"/>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20" w:firstLineChars="200"/>
              <w:jc w:val="left"/>
              <w:rPr>
                <w:rFonts w:hAnsi="宋体" w:cs="宋体"/>
                <w:kern w:val="2"/>
                <w:sz w:val="21"/>
              </w:rPr>
            </w:pPr>
          </w:p>
        </w:tc>
        <w:tc>
          <w:tcPr>
            <w:tcW w:w="2269" w:type="dxa"/>
          </w:tcPr>
          <w:p>
            <w:pPr>
              <w:pStyle w:val="15"/>
              <w:spacing w:line="480" w:lineRule="auto"/>
              <w:ind w:firstLine="420" w:firstLineChars="200"/>
              <w:jc w:val="left"/>
              <w:rPr>
                <w:rFonts w:hAnsi="宋体" w:cs="宋体"/>
                <w:kern w:val="2"/>
                <w:sz w:val="21"/>
              </w:rPr>
            </w:pPr>
          </w:p>
        </w:tc>
        <w:tc>
          <w:tcPr>
            <w:tcW w:w="2219" w:type="dxa"/>
          </w:tcPr>
          <w:p>
            <w:pPr>
              <w:pStyle w:val="15"/>
              <w:spacing w:line="480" w:lineRule="auto"/>
              <w:ind w:firstLine="420" w:firstLineChars="200"/>
              <w:jc w:val="left"/>
              <w:rPr>
                <w:rFonts w:hAnsi="宋体" w:cs="宋体"/>
                <w:kern w:val="2"/>
                <w:sz w:val="21"/>
              </w:rPr>
            </w:pPr>
          </w:p>
        </w:tc>
        <w:tc>
          <w:tcPr>
            <w:tcW w:w="2350" w:type="dxa"/>
          </w:tcPr>
          <w:p>
            <w:pPr>
              <w:pStyle w:val="15"/>
              <w:spacing w:line="480" w:lineRule="auto"/>
              <w:ind w:firstLine="420" w:firstLineChars="200"/>
              <w:jc w:val="left"/>
              <w:rPr>
                <w:rFonts w:hAnsi="宋体" w:cs="宋体"/>
                <w:kern w:val="2"/>
                <w:sz w:val="21"/>
              </w:rPr>
            </w:pPr>
          </w:p>
        </w:tc>
        <w:tc>
          <w:tcPr>
            <w:tcW w:w="1067" w:type="dxa"/>
          </w:tcPr>
          <w:p>
            <w:pPr>
              <w:pStyle w:val="15"/>
              <w:spacing w:line="480" w:lineRule="auto"/>
              <w:ind w:firstLine="420" w:firstLineChars="200"/>
              <w:jc w:val="left"/>
              <w:rPr>
                <w:rFonts w:hAnsi="宋体" w:cs="宋体"/>
                <w:kern w:val="2"/>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5"/>
              <w:spacing w:line="480" w:lineRule="auto"/>
              <w:ind w:firstLine="420" w:firstLineChars="200"/>
              <w:jc w:val="left"/>
              <w:rPr>
                <w:rFonts w:hAnsi="宋体" w:cs="宋体"/>
                <w:kern w:val="2"/>
                <w:sz w:val="21"/>
              </w:rPr>
            </w:pPr>
          </w:p>
        </w:tc>
        <w:tc>
          <w:tcPr>
            <w:tcW w:w="2269" w:type="dxa"/>
          </w:tcPr>
          <w:p>
            <w:pPr>
              <w:pStyle w:val="15"/>
              <w:spacing w:line="480" w:lineRule="auto"/>
              <w:ind w:firstLine="420" w:firstLineChars="200"/>
              <w:jc w:val="left"/>
              <w:rPr>
                <w:rFonts w:hAnsi="宋体" w:cs="宋体"/>
                <w:kern w:val="2"/>
                <w:sz w:val="21"/>
              </w:rPr>
            </w:pPr>
          </w:p>
        </w:tc>
        <w:tc>
          <w:tcPr>
            <w:tcW w:w="2219" w:type="dxa"/>
          </w:tcPr>
          <w:p>
            <w:pPr>
              <w:pStyle w:val="15"/>
              <w:spacing w:line="480" w:lineRule="auto"/>
              <w:ind w:firstLine="420" w:firstLineChars="200"/>
              <w:jc w:val="left"/>
              <w:rPr>
                <w:rFonts w:hAnsi="宋体" w:cs="宋体"/>
                <w:kern w:val="2"/>
                <w:sz w:val="21"/>
              </w:rPr>
            </w:pPr>
          </w:p>
        </w:tc>
        <w:tc>
          <w:tcPr>
            <w:tcW w:w="2350" w:type="dxa"/>
          </w:tcPr>
          <w:p>
            <w:pPr>
              <w:pStyle w:val="15"/>
              <w:spacing w:line="480" w:lineRule="auto"/>
              <w:ind w:firstLine="420" w:firstLineChars="200"/>
              <w:jc w:val="left"/>
              <w:rPr>
                <w:rFonts w:hAnsi="宋体" w:cs="宋体"/>
                <w:kern w:val="2"/>
                <w:sz w:val="21"/>
              </w:rPr>
            </w:pPr>
          </w:p>
        </w:tc>
        <w:tc>
          <w:tcPr>
            <w:tcW w:w="1067" w:type="dxa"/>
          </w:tcPr>
          <w:p>
            <w:pPr>
              <w:pStyle w:val="15"/>
              <w:spacing w:line="480" w:lineRule="auto"/>
              <w:ind w:firstLine="420" w:firstLineChars="200"/>
              <w:jc w:val="left"/>
              <w:rPr>
                <w:rFonts w:hAnsi="宋体" w:cs="宋体"/>
                <w:kern w:val="2"/>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20" w:firstLineChars="200"/>
              <w:jc w:val="left"/>
              <w:rPr>
                <w:rFonts w:hAnsi="宋体" w:cs="宋体"/>
                <w:kern w:val="2"/>
                <w:sz w:val="21"/>
              </w:rPr>
            </w:pPr>
          </w:p>
        </w:tc>
        <w:tc>
          <w:tcPr>
            <w:tcW w:w="2269" w:type="dxa"/>
          </w:tcPr>
          <w:p>
            <w:pPr>
              <w:pStyle w:val="15"/>
              <w:spacing w:line="480" w:lineRule="auto"/>
              <w:ind w:firstLine="420" w:firstLineChars="200"/>
              <w:jc w:val="left"/>
              <w:rPr>
                <w:rFonts w:hAnsi="宋体" w:cs="宋体"/>
                <w:kern w:val="2"/>
                <w:sz w:val="21"/>
              </w:rPr>
            </w:pPr>
          </w:p>
        </w:tc>
        <w:tc>
          <w:tcPr>
            <w:tcW w:w="2219" w:type="dxa"/>
          </w:tcPr>
          <w:p>
            <w:pPr>
              <w:pStyle w:val="15"/>
              <w:spacing w:line="480" w:lineRule="auto"/>
              <w:ind w:firstLine="420" w:firstLineChars="200"/>
              <w:jc w:val="left"/>
              <w:rPr>
                <w:rFonts w:hAnsi="宋体" w:cs="宋体"/>
                <w:kern w:val="2"/>
                <w:sz w:val="21"/>
              </w:rPr>
            </w:pPr>
          </w:p>
        </w:tc>
        <w:tc>
          <w:tcPr>
            <w:tcW w:w="2350" w:type="dxa"/>
          </w:tcPr>
          <w:p>
            <w:pPr>
              <w:pStyle w:val="15"/>
              <w:spacing w:line="480" w:lineRule="auto"/>
              <w:ind w:firstLine="420" w:firstLineChars="200"/>
              <w:jc w:val="left"/>
              <w:rPr>
                <w:rFonts w:hAnsi="宋体" w:cs="宋体"/>
                <w:kern w:val="2"/>
                <w:sz w:val="21"/>
              </w:rPr>
            </w:pPr>
          </w:p>
        </w:tc>
        <w:tc>
          <w:tcPr>
            <w:tcW w:w="1067" w:type="dxa"/>
          </w:tcPr>
          <w:p>
            <w:pPr>
              <w:pStyle w:val="15"/>
              <w:spacing w:line="480" w:lineRule="auto"/>
              <w:ind w:firstLine="420" w:firstLineChars="200"/>
              <w:jc w:val="left"/>
              <w:rPr>
                <w:rFonts w:hAnsi="宋体" w:cs="宋体"/>
                <w:kern w:val="2"/>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5"/>
              <w:spacing w:line="480" w:lineRule="auto"/>
              <w:ind w:firstLine="420" w:firstLineChars="200"/>
              <w:jc w:val="left"/>
              <w:rPr>
                <w:rFonts w:hAnsi="宋体" w:cs="宋体"/>
                <w:kern w:val="2"/>
                <w:sz w:val="21"/>
              </w:rPr>
            </w:pPr>
          </w:p>
        </w:tc>
        <w:tc>
          <w:tcPr>
            <w:tcW w:w="2269" w:type="dxa"/>
          </w:tcPr>
          <w:p>
            <w:pPr>
              <w:pStyle w:val="15"/>
              <w:spacing w:line="480" w:lineRule="auto"/>
              <w:ind w:firstLine="420" w:firstLineChars="200"/>
              <w:jc w:val="left"/>
              <w:rPr>
                <w:rFonts w:hAnsi="宋体" w:cs="宋体"/>
                <w:kern w:val="2"/>
                <w:sz w:val="21"/>
              </w:rPr>
            </w:pPr>
          </w:p>
        </w:tc>
        <w:tc>
          <w:tcPr>
            <w:tcW w:w="2219" w:type="dxa"/>
          </w:tcPr>
          <w:p>
            <w:pPr>
              <w:pStyle w:val="15"/>
              <w:spacing w:line="480" w:lineRule="auto"/>
              <w:ind w:firstLine="420" w:firstLineChars="200"/>
              <w:jc w:val="left"/>
              <w:rPr>
                <w:rFonts w:hAnsi="宋体" w:cs="宋体"/>
                <w:kern w:val="2"/>
                <w:sz w:val="21"/>
              </w:rPr>
            </w:pPr>
          </w:p>
        </w:tc>
        <w:tc>
          <w:tcPr>
            <w:tcW w:w="2350" w:type="dxa"/>
          </w:tcPr>
          <w:p>
            <w:pPr>
              <w:pStyle w:val="15"/>
              <w:spacing w:line="480" w:lineRule="auto"/>
              <w:ind w:firstLine="420" w:firstLineChars="200"/>
              <w:jc w:val="left"/>
              <w:rPr>
                <w:rFonts w:hAnsi="宋体" w:cs="宋体"/>
                <w:kern w:val="2"/>
                <w:sz w:val="21"/>
              </w:rPr>
            </w:pPr>
          </w:p>
        </w:tc>
        <w:tc>
          <w:tcPr>
            <w:tcW w:w="1067" w:type="dxa"/>
          </w:tcPr>
          <w:p>
            <w:pPr>
              <w:pStyle w:val="15"/>
              <w:spacing w:line="480" w:lineRule="auto"/>
              <w:ind w:firstLine="420" w:firstLineChars="200"/>
              <w:jc w:val="left"/>
              <w:rPr>
                <w:rFonts w:hAnsi="宋体" w:cs="宋体"/>
                <w:kern w:val="2"/>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20" w:firstLineChars="200"/>
              <w:jc w:val="left"/>
              <w:rPr>
                <w:rFonts w:hAnsi="宋体" w:cs="宋体"/>
                <w:kern w:val="2"/>
                <w:sz w:val="21"/>
              </w:rPr>
            </w:pPr>
          </w:p>
        </w:tc>
        <w:tc>
          <w:tcPr>
            <w:tcW w:w="2269" w:type="dxa"/>
          </w:tcPr>
          <w:p>
            <w:pPr>
              <w:pStyle w:val="15"/>
              <w:spacing w:line="480" w:lineRule="auto"/>
              <w:ind w:firstLine="420" w:firstLineChars="200"/>
              <w:jc w:val="left"/>
              <w:rPr>
                <w:rFonts w:hAnsi="宋体" w:cs="宋体"/>
                <w:kern w:val="2"/>
                <w:sz w:val="21"/>
              </w:rPr>
            </w:pPr>
          </w:p>
        </w:tc>
        <w:tc>
          <w:tcPr>
            <w:tcW w:w="2219" w:type="dxa"/>
          </w:tcPr>
          <w:p>
            <w:pPr>
              <w:pStyle w:val="15"/>
              <w:spacing w:line="480" w:lineRule="auto"/>
              <w:ind w:firstLine="420" w:firstLineChars="200"/>
              <w:jc w:val="left"/>
              <w:rPr>
                <w:rFonts w:hAnsi="宋体" w:cs="宋体"/>
                <w:kern w:val="2"/>
                <w:sz w:val="21"/>
              </w:rPr>
            </w:pPr>
          </w:p>
        </w:tc>
        <w:tc>
          <w:tcPr>
            <w:tcW w:w="2350" w:type="dxa"/>
          </w:tcPr>
          <w:p>
            <w:pPr>
              <w:pStyle w:val="15"/>
              <w:spacing w:line="480" w:lineRule="auto"/>
              <w:ind w:firstLine="420" w:firstLineChars="200"/>
              <w:jc w:val="left"/>
              <w:rPr>
                <w:rFonts w:hAnsi="宋体" w:cs="宋体"/>
                <w:kern w:val="2"/>
                <w:sz w:val="21"/>
              </w:rPr>
            </w:pPr>
          </w:p>
        </w:tc>
        <w:tc>
          <w:tcPr>
            <w:tcW w:w="1067" w:type="dxa"/>
          </w:tcPr>
          <w:p>
            <w:pPr>
              <w:pStyle w:val="15"/>
              <w:spacing w:line="480" w:lineRule="auto"/>
              <w:ind w:firstLine="420" w:firstLineChars="200"/>
              <w:jc w:val="left"/>
              <w:rPr>
                <w:rFonts w:hAnsi="宋体" w:cs="宋体"/>
                <w:kern w:val="2"/>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5"/>
              <w:spacing w:line="480" w:lineRule="auto"/>
              <w:ind w:firstLine="420" w:firstLineChars="200"/>
              <w:jc w:val="left"/>
              <w:rPr>
                <w:rFonts w:hAnsi="宋体" w:cs="宋体"/>
                <w:kern w:val="2"/>
                <w:sz w:val="21"/>
              </w:rPr>
            </w:pPr>
          </w:p>
        </w:tc>
        <w:tc>
          <w:tcPr>
            <w:tcW w:w="2269" w:type="dxa"/>
          </w:tcPr>
          <w:p>
            <w:pPr>
              <w:pStyle w:val="15"/>
              <w:spacing w:line="480" w:lineRule="auto"/>
              <w:ind w:firstLine="420" w:firstLineChars="200"/>
              <w:jc w:val="left"/>
              <w:rPr>
                <w:rFonts w:hAnsi="宋体" w:cs="宋体"/>
                <w:kern w:val="2"/>
                <w:sz w:val="21"/>
              </w:rPr>
            </w:pPr>
          </w:p>
        </w:tc>
        <w:tc>
          <w:tcPr>
            <w:tcW w:w="2219" w:type="dxa"/>
          </w:tcPr>
          <w:p>
            <w:pPr>
              <w:pStyle w:val="15"/>
              <w:spacing w:line="480" w:lineRule="auto"/>
              <w:ind w:firstLine="420" w:firstLineChars="200"/>
              <w:jc w:val="left"/>
              <w:rPr>
                <w:rFonts w:hAnsi="宋体" w:cs="宋体"/>
                <w:kern w:val="2"/>
                <w:sz w:val="21"/>
              </w:rPr>
            </w:pPr>
          </w:p>
        </w:tc>
        <w:tc>
          <w:tcPr>
            <w:tcW w:w="2350" w:type="dxa"/>
          </w:tcPr>
          <w:p>
            <w:pPr>
              <w:pStyle w:val="15"/>
              <w:spacing w:line="480" w:lineRule="auto"/>
              <w:ind w:firstLine="420" w:firstLineChars="200"/>
              <w:jc w:val="left"/>
              <w:rPr>
                <w:rFonts w:hAnsi="宋体" w:cs="宋体"/>
                <w:kern w:val="2"/>
                <w:sz w:val="21"/>
              </w:rPr>
            </w:pPr>
          </w:p>
        </w:tc>
        <w:tc>
          <w:tcPr>
            <w:tcW w:w="1067" w:type="dxa"/>
          </w:tcPr>
          <w:p>
            <w:pPr>
              <w:pStyle w:val="15"/>
              <w:spacing w:line="480" w:lineRule="auto"/>
              <w:ind w:firstLine="420" w:firstLineChars="200"/>
              <w:jc w:val="left"/>
              <w:rPr>
                <w:rFonts w:hAnsi="宋体" w:cs="宋体"/>
                <w:kern w:val="2"/>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20" w:firstLineChars="200"/>
              <w:jc w:val="left"/>
              <w:rPr>
                <w:rFonts w:hAnsi="宋体" w:cs="宋体"/>
                <w:kern w:val="2"/>
                <w:sz w:val="21"/>
              </w:rPr>
            </w:pPr>
          </w:p>
        </w:tc>
        <w:tc>
          <w:tcPr>
            <w:tcW w:w="2269" w:type="dxa"/>
          </w:tcPr>
          <w:p>
            <w:pPr>
              <w:pStyle w:val="15"/>
              <w:spacing w:line="480" w:lineRule="auto"/>
              <w:ind w:firstLine="420" w:firstLineChars="200"/>
              <w:jc w:val="left"/>
              <w:rPr>
                <w:rFonts w:hAnsi="宋体" w:cs="宋体"/>
                <w:kern w:val="2"/>
                <w:sz w:val="21"/>
              </w:rPr>
            </w:pPr>
          </w:p>
        </w:tc>
        <w:tc>
          <w:tcPr>
            <w:tcW w:w="2219" w:type="dxa"/>
          </w:tcPr>
          <w:p>
            <w:pPr>
              <w:pStyle w:val="15"/>
              <w:spacing w:line="480" w:lineRule="auto"/>
              <w:ind w:firstLine="420" w:firstLineChars="200"/>
              <w:jc w:val="left"/>
              <w:rPr>
                <w:rFonts w:hAnsi="宋体" w:cs="宋体"/>
                <w:kern w:val="2"/>
                <w:sz w:val="21"/>
              </w:rPr>
            </w:pPr>
          </w:p>
        </w:tc>
        <w:tc>
          <w:tcPr>
            <w:tcW w:w="2350" w:type="dxa"/>
          </w:tcPr>
          <w:p>
            <w:pPr>
              <w:pStyle w:val="15"/>
              <w:spacing w:line="480" w:lineRule="auto"/>
              <w:ind w:firstLine="420" w:firstLineChars="200"/>
              <w:jc w:val="left"/>
              <w:rPr>
                <w:rFonts w:hAnsi="宋体" w:cs="宋体"/>
                <w:kern w:val="2"/>
                <w:sz w:val="21"/>
              </w:rPr>
            </w:pPr>
          </w:p>
        </w:tc>
        <w:tc>
          <w:tcPr>
            <w:tcW w:w="1067" w:type="dxa"/>
          </w:tcPr>
          <w:p>
            <w:pPr>
              <w:pStyle w:val="15"/>
              <w:spacing w:line="480" w:lineRule="auto"/>
              <w:ind w:firstLine="420" w:firstLineChars="200"/>
              <w:jc w:val="left"/>
              <w:rPr>
                <w:rFonts w:hAnsi="宋体" w:cs="宋体"/>
                <w:kern w:val="2"/>
                <w:sz w:val="21"/>
              </w:rPr>
            </w:pPr>
          </w:p>
        </w:tc>
      </w:tr>
    </w:tbl>
    <w:p>
      <w:pPr>
        <w:pStyle w:val="15"/>
        <w:ind w:firstLine="482" w:firstLineChars="200"/>
        <w:jc w:val="left"/>
        <w:rPr>
          <w:rFonts w:hAnsi="宋体" w:cs="宋体"/>
          <w:sz w:val="24"/>
          <w:szCs w:val="24"/>
        </w:rPr>
      </w:pPr>
      <w:r>
        <w:rPr>
          <w:rFonts w:hint="eastAsia" w:hAnsi="宋体" w:cs="宋体"/>
          <w:b/>
          <w:sz w:val="24"/>
          <w:szCs w:val="24"/>
        </w:rPr>
        <w:t>说明：</w:t>
      </w:r>
      <w:r>
        <w:rPr>
          <w:rFonts w:hint="eastAsia" w:hAnsi="宋体" w:cs="宋体"/>
          <w:sz w:val="24"/>
          <w:szCs w:val="24"/>
        </w:rPr>
        <w:t>请按所投产品的实际技术参数，逐条对应磋商响应文件的“磋商内容与要求”中的技术要求认真填写本表。偏差说明填写：</w:t>
      </w:r>
      <w:r>
        <w:rPr>
          <w:rFonts w:hint="eastAsia" w:hAnsi="宋体" w:cs="宋体"/>
          <w:b/>
          <w:sz w:val="24"/>
          <w:szCs w:val="24"/>
        </w:rPr>
        <w:t>正偏离（标明正偏离内容及正偏离的证明材料及页码）、符合或负偏离</w:t>
      </w:r>
      <w:r>
        <w:rPr>
          <w:rFonts w:hint="eastAsia" w:hAnsi="宋体" w:cs="宋体"/>
          <w:sz w:val="24"/>
          <w:szCs w:val="24"/>
        </w:rPr>
        <w:t>。</w:t>
      </w:r>
    </w:p>
    <w:p>
      <w:pPr>
        <w:pStyle w:val="15"/>
        <w:jc w:val="left"/>
        <w:rPr>
          <w:rFonts w:hAnsi="宋体" w:cs="宋体"/>
          <w:sz w:val="24"/>
          <w:szCs w:val="24"/>
        </w:rPr>
      </w:pPr>
    </w:p>
    <w:p>
      <w:pPr>
        <w:adjustRightInd w:val="0"/>
        <w:snapToGrid w:val="0"/>
        <w:spacing w:line="480" w:lineRule="auto"/>
        <w:jc w:val="left"/>
        <w:rPr>
          <w:rFonts w:ascii="宋体" w:cs="宋体"/>
          <w:sz w:val="24"/>
          <w:u w:val="single"/>
        </w:rPr>
      </w:pPr>
      <w:r>
        <w:rPr>
          <w:rFonts w:hint="eastAsia" w:ascii="宋体" w:hAnsi="宋体" w:cs="宋体"/>
          <w:sz w:val="24"/>
        </w:rPr>
        <w:t>供应商（单位名称及公章）：</w:t>
      </w:r>
    </w:p>
    <w:p>
      <w:pPr>
        <w:adjustRightInd w:val="0"/>
        <w:snapToGrid w:val="0"/>
        <w:spacing w:line="480" w:lineRule="auto"/>
        <w:rPr>
          <w:rFonts w:ascii="宋体" w:cs="宋体"/>
          <w:sz w:val="24"/>
          <w:u w:val="single"/>
        </w:rPr>
      </w:pPr>
      <w:r>
        <w:rPr>
          <w:rFonts w:hint="eastAsia" w:ascii="宋体" w:hAnsi="宋体" w:cs="宋体"/>
          <w:sz w:val="24"/>
        </w:rPr>
        <w:t>法定代表人</w:t>
      </w:r>
      <w:r>
        <w:rPr>
          <w:rFonts w:ascii="宋体" w:hAnsi="宋体" w:cs="宋体"/>
          <w:sz w:val="24"/>
        </w:rPr>
        <w:t>/</w:t>
      </w:r>
      <w:r>
        <w:rPr>
          <w:rFonts w:hint="eastAsia" w:ascii="宋体" w:hAnsi="宋体" w:cs="宋体"/>
          <w:sz w:val="24"/>
        </w:rPr>
        <w:t>被授权人（签字或盖章）：</w:t>
      </w:r>
    </w:p>
    <w:p>
      <w:pPr>
        <w:adjustRightInd w:val="0"/>
        <w:snapToGrid w:val="0"/>
        <w:spacing w:line="480" w:lineRule="auto"/>
        <w:rPr>
          <w:rFonts w:ascii="宋体" w:cs="宋体"/>
          <w:sz w:val="24"/>
        </w:rPr>
      </w:pPr>
      <w:r>
        <w:rPr>
          <w:rFonts w:hint="eastAsia" w:ascii="宋体" w:hAnsi="宋体" w:cs="宋体"/>
          <w:sz w:val="24"/>
        </w:rPr>
        <w:t>日期：年月日</w:t>
      </w:r>
    </w:p>
    <w:p>
      <w:pPr>
        <w:pStyle w:val="5"/>
        <w:sectPr>
          <w:pgSz w:w="11906" w:h="16838"/>
          <w:pgMar w:top="1440" w:right="1483" w:bottom="1440" w:left="1803" w:header="851" w:footer="992" w:gutter="0"/>
          <w:cols w:space="720" w:num="1"/>
          <w:docGrid w:type="lines" w:linePitch="319" w:charSpace="0"/>
        </w:sectPr>
      </w:pPr>
    </w:p>
    <w:p>
      <w:pPr>
        <w:pStyle w:val="5"/>
        <w:jc w:val="both"/>
        <w:rPr>
          <w:rFonts w:ascii="宋体" w:hAnsi="宋体" w:cs="宋体"/>
        </w:rPr>
      </w:pPr>
      <w:bookmarkStart w:id="89" w:name="_Toc2305"/>
      <w:bookmarkStart w:id="90" w:name="_Toc15679"/>
      <w:bookmarkStart w:id="91" w:name="_Toc11309"/>
      <w:bookmarkStart w:id="92" w:name="_Toc28174"/>
      <w:r>
        <w:rPr>
          <w:rFonts w:hint="eastAsia" w:ascii="宋体" w:hAnsi="宋体" w:cs="宋体"/>
        </w:rPr>
        <w:t xml:space="preserve">第五部分 </w:t>
      </w:r>
      <w:bookmarkStart w:id="93" w:name="_Toc793"/>
      <w:bookmarkStart w:id="94" w:name="_Toc1703"/>
      <w:r>
        <w:rPr>
          <w:rFonts w:hint="eastAsia" w:ascii="宋体" w:hAnsi="宋体" w:cs="宋体"/>
        </w:rPr>
        <w:t>商务响应说明</w:t>
      </w:r>
      <w:bookmarkEnd w:id="89"/>
      <w:bookmarkEnd w:id="93"/>
      <w:bookmarkEnd w:id="94"/>
    </w:p>
    <w:p>
      <w:pPr>
        <w:pStyle w:val="6"/>
        <w:ind w:firstLine="0"/>
      </w:pPr>
    </w:p>
    <w:p>
      <w:pPr>
        <w:widowControl/>
        <w:wordWrap w:val="0"/>
        <w:spacing w:line="360" w:lineRule="auto"/>
        <w:jc w:val="left"/>
        <w:rPr>
          <w:rFonts w:ascii="宋体" w:hAnsi="宋体" w:cs="宋体"/>
          <w:sz w:val="28"/>
          <w:szCs w:val="28"/>
        </w:rPr>
      </w:pPr>
      <w:r>
        <w:rPr>
          <w:rFonts w:hint="eastAsia" w:ascii="宋体" w:hAnsi="宋体" w:cs="宋体"/>
          <w:sz w:val="28"/>
          <w:szCs w:val="28"/>
        </w:rPr>
        <w:t>项目名称：</w:t>
      </w:r>
    </w:p>
    <w:p>
      <w:pPr>
        <w:widowControl/>
        <w:wordWrap w:val="0"/>
        <w:spacing w:line="360" w:lineRule="auto"/>
        <w:jc w:val="left"/>
        <w:rPr>
          <w:rFonts w:ascii="宋体" w:hAnsi="宋体" w:cs="宋体"/>
          <w:sz w:val="28"/>
          <w:szCs w:val="28"/>
        </w:rPr>
      </w:pPr>
      <w:r>
        <w:rPr>
          <w:rFonts w:hint="eastAsia" w:ascii="宋体" w:hAnsi="宋体" w:cs="宋体"/>
          <w:sz w:val="28"/>
          <w:szCs w:val="28"/>
        </w:rPr>
        <w:t>项目编号：</w:t>
      </w:r>
    </w:p>
    <w:tbl>
      <w:tblPr>
        <w:tblStyle w:val="25"/>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345"/>
        <w:gridCol w:w="2025"/>
        <w:gridCol w:w="2957"/>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851" w:type="dxa"/>
            <w:vAlign w:val="center"/>
          </w:tcPr>
          <w:p>
            <w:pPr>
              <w:pStyle w:val="15"/>
              <w:spacing w:line="480" w:lineRule="auto"/>
              <w:jc w:val="center"/>
              <w:rPr>
                <w:rFonts w:hAnsi="宋体" w:cs="宋体"/>
                <w:sz w:val="24"/>
                <w:szCs w:val="24"/>
              </w:rPr>
            </w:pPr>
            <w:r>
              <w:rPr>
                <w:rFonts w:hint="eastAsia" w:hAnsi="宋体" w:cs="宋体"/>
                <w:sz w:val="28"/>
                <w:szCs w:val="28"/>
              </w:rPr>
              <w:t xml:space="preserve"> </w:t>
            </w:r>
            <w:r>
              <w:rPr>
                <w:rFonts w:hint="eastAsia" w:hAnsi="宋体" w:cs="宋体"/>
                <w:sz w:val="24"/>
                <w:szCs w:val="24"/>
              </w:rPr>
              <w:t>序号</w:t>
            </w:r>
          </w:p>
        </w:tc>
        <w:tc>
          <w:tcPr>
            <w:tcW w:w="1345" w:type="dxa"/>
            <w:vAlign w:val="center"/>
          </w:tcPr>
          <w:p>
            <w:pPr>
              <w:pStyle w:val="15"/>
              <w:spacing w:line="480" w:lineRule="auto"/>
              <w:jc w:val="left"/>
              <w:rPr>
                <w:rFonts w:hAnsi="宋体" w:cs="宋体"/>
                <w:sz w:val="24"/>
                <w:szCs w:val="24"/>
              </w:rPr>
            </w:pPr>
            <w:r>
              <w:rPr>
                <w:rFonts w:hint="eastAsia" w:hAnsi="宋体" w:cs="宋体"/>
                <w:sz w:val="24"/>
                <w:szCs w:val="24"/>
              </w:rPr>
              <w:t xml:space="preserve"> 商务条款</w:t>
            </w:r>
          </w:p>
        </w:tc>
        <w:tc>
          <w:tcPr>
            <w:tcW w:w="2025" w:type="dxa"/>
            <w:vAlign w:val="center"/>
          </w:tcPr>
          <w:p>
            <w:pPr>
              <w:pStyle w:val="15"/>
              <w:spacing w:line="480" w:lineRule="auto"/>
              <w:jc w:val="left"/>
              <w:rPr>
                <w:rFonts w:hAnsi="宋体" w:cs="宋体"/>
                <w:sz w:val="24"/>
                <w:szCs w:val="24"/>
              </w:rPr>
            </w:pPr>
            <w:r>
              <w:rPr>
                <w:rFonts w:hint="eastAsia" w:hAnsi="宋体" w:cs="宋体"/>
                <w:sz w:val="24"/>
                <w:szCs w:val="24"/>
              </w:rPr>
              <w:t>商务要求内容</w:t>
            </w:r>
          </w:p>
        </w:tc>
        <w:tc>
          <w:tcPr>
            <w:tcW w:w="2957" w:type="dxa"/>
            <w:vAlign w:val="center"/>
          </w:tcPr>
          <w:p>
            <w:pPr>
              <w:pStyle w:val="15"/>
              <w:spacing w:line="480" w:lineRule="auto"/>
              <w:rPr>
                <w:rFonts w:hAnsi="宋体" w:cs="宋体"/>
                <w:sz w:val="24"/>
                <w:szCs w:val="24"/>
              </w:rPr>
            </w:pPr>
            <w:r>
              <w:rPr>
                <w:rFonts w:hint="eastAsia" w:hAnsi="宋体" w:cs="宋体"/>
                <w:sz w:val="24"/>
                <w:szCs w:val="24"/>
              </w:rPr>
              <w:t>响应文件响应商务内容</w:t>
            </w:r>
          </w:p>
        </w:tc>
        <w:tc>
          <w:tcPr>
            <w:tcW w:w="1578" w:type="dxa"/>
            <w:vAlign w:val="center"/>
          </w:tcPr>
          <w:p>
            <w:pPr>
              <w:pStyle w:val="15"/>
              <w:spacing w:line="480" w:lineRule="auto"/>
              <w:jc w:val="center"/>
              <w:rPr>
                <w:rFonts w:hAnsi="宋体" w:cs="宋体"/>
                <w:sz w:val="24"/>
                <w:szCs w:val="24"/>
              </w:rPr>
            </w:pPr>
            <w:r>
              <w:rPr>
                <w:rFonts w:hint="eastAsia" w:hAnsi="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vAlign w:val="center"/>
          </w:tcPr>
          <w:p>
            <w:pPr>
              <w:pStyle w:val="15"/>
              <w:spacing w:line="480" w:lineRule="auto"/>
              <w:ind w:firstLine="480" w:firstLineChars="200"/>
              <w:jc w:val="left"/>
              <w:rPr>
                <w:rFonts w:hAnsi="宋体" w:cs="宋体"/>
                <w:sz w:val="24"/>
                <w:szCs w:val="24"/>
              </w:rPr>
            </w:pPr>
          </w:p>
        </w:tc>
        <w:tc>
          <w:tcPr>
            <w:tcW w:w="2957" w:type="dxa"/>
            <w:vAlign w:val="center"/>
          </w:tcPr>
          <w:p>
            <w:pPr>
              <w:pStyle w:val="15"/>
              <w:spacing w:line="480" w:lineRule="auto"/>
              <w:ind w:firstLine="480" w:firstLineChars="200"/>
              <w:jc w:val="left"/>
              <w:rPr>
                <w:rFonts w:hAnsi="宋体" w:cs="宋体"/>
                <w:sz w:val="24"/>
                <w:szCs w:val="24"/>
              </w:rPr>
            </w:pPr>
          </w:p>
        </w:tc>
        <w:tc>
          <w:tcPr>
            <w:tcW w:w="1578" w:type="dxa"/>
            <w:vAlign w:val="center"/>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851" w:type="dxa"/>
          </w:tcPr>
          <w:p>
            <w:pPr>
              <w:pStyle w:val="15"/>
              <w:spacing w:line="480" w:lineRule="auto"/>
              <w:ind w:firstLine="480" w:firstLineChars="200"/>
              <w:jc w:val="left"/>
              <w:rPr>
                <w:rFonts w:hAnsi="宋体" w:cs="宋体"/>
                <w:sz w:val="24"/>
                <w:szCs w:val="24"/>
              </w:rPr>
            </w:pPr>
          </w:p>
        </w:tc>
        <w:tc>
          <w:tcPr>
            <w:tcW w:w="1345" w:type="dxa"/>
          </w:tcPr>
          <w:p>
            <w:pPr>
              <w:pStyle w:val="15"/>
              <w:spacing w:line="480" w:lineRule="auto"/>
              <w:ind w:firstLine="480" w:firstLineChars="200"/>
              <w:jc w:val="left"/>
              <w:rPr>
                <w:rFonts w:hAnsi="宋体" w:cs="宋体"/>
                <w:sz w:val="24"/>
                <w:szCs w:val="24"/>
              </w:rPr>
            </w:pPr>
          </w:p>
        </w:tc>
        <w:tc>
          <w:tcPr>
            <w:tcW w:w="2025" w:type="dxa"/>
          </w:tcPr>
          <w:p>
            <w:pPr>
              <w:pStyle w:val="15"/>
              <w:spacing w:line="480" w:lineRule="auto"/>
              <w:ind w:firstLine="480" w:firstLineChars="200"/>
              <w:jc w:val="left"/>
              <w:rPr>
                <w:rFonts w:hAnsi="宋体" w:cs="宋体"/>
                <w:sz w:val="24"/>
                <w:szCs w:val="24"/>
              </w:rPr>
            </w:pPr>
          </w:p>
        </w:tc>
        <w:tc>
          <w:tcPr>
            <w:tcW w:w="2957" w:type="dxa"/>
          </w:tcPr>
          <w:p>
            <w:pPr>
              <w:pStyle w:val="15"/>
              <w:spacing w:line="480" w:lineRule="auto"/>
              <w:ind w:firstLine="480" w:firstLineChars="200"/>
              <w:jc w:val="left"/>
              <w:rPr>
                <w:rFonts w:hAnsi="宋体" w:cs="宋体"/>
                <w:sz w:val="24"/>
                <w:szCs w:val="24"/>
              </w:rPr>
            </w:pPr>
          </w:p>
        </w:tc>
        <w:tc>
          <w:tcPr>
            <w:tcW w:w="1578" w:type="dxa"/>
          </w:tcPr>
          <w:p>
            <w:pPr>
              <w:pStyle w:val="15"/>
              <w:spacing w:line="480" w:lineRule="auto"/>
              <w:ind w:firstLine="480" w:firstLineChars="200"/>
              <w:jc w:val="left"/>
              <w:rPr>
                <w:rFonts w:hAnsi="宋体" w:cs="宋体"/>
                <w:sz w:val="24"/>
                <w:szCs w:val="24"/>
              </w:rPr>
            </w:pPr>
          </w:p>
        </w:tc>
      </w:tr>
    </w:tbl>
    <w:p>
      <w:pPr>
        <w:pStyle w:val="6"/>
        <w:ind w:firstLine="0"/>
        <w:rPr>
          <w:rFonts w:ascii="宋体" w:hAnsi="宋体"/>
          <w:b/>
          <w:bCs/>
          <w:sz w:val="28"/>
          <w:szCs w:val="28"/>
        </w:rPr>
      </w:pPr>
      <w:r>
        <w:rPr>
          <w:rFonts w:hint="eastAsia" w:ascii="宋体" w:hAnsi="宋体"/>
          <w:b/>
          <w:bCs/>
          <w:sz w:val="28"/>
          <w:szCs w:val="28"/>
        </w:rPr>
        <w:t xml:space="preserve"> 填写说明：供应商根据采购要求及合同条款对本项目付款、交货、质保、履约验收等商务方面进行响应说明，并保证响应的真实性。</w:t>
      </w:r>
    </w:p>
    <w:p>
      <w:pPr>
        <w:pStyle w:val="6"/>
        <w:ind w:firstLine="0"/>
        <w:rPr>
          <w:rFonts w:ascii="宋体" w:hAnsi="宋体"/>
          <w:sz w:val="28"/>
          <w:szCs w:val="28"/>
        </w:rPr>
      </w:pPr>
      <w:r>
        <w:rPr>
          <w:rFonts w:hint="eastAsia" w:ascii="宋体" w:hAnsi="宋体"/>
          <w:b/>
          <w:bCs/>
          <w:sz w:val="28"/>
          <w:szCs w:val="28"/>
        </w:rPr>
        <w:t>商务条款不允许负偏离；</w:t>
      </w:r>
    </w:p>
    <w:p>
      <w:pPr>
        <w:pStyle w:val="6"/>
        <w:ind w:firstLine="0"/>
        <w:rPr>
          <w:rFonts w:ascii="宋体" w:hAnsi="宋体"/>
          <w:sz w:val="28"/>
          <w:szCs w:val="28"/>
        </w:rPr>
      </w:pPr>
    </w:p>
    <w:p>
      <w:pPr>
        <w:adjustRightInd w:val="0"/>
        <w:snapToGrid w:val="0"/>
        <w:spacing w:line="480" w:lineRule="auto"/>
        <w:jc w:val="left"/>
        <w:rPr>
          <w:rFonts w:ascii="宋体" w:hAnsi="宋体" w:cs="宋体"/>
          <w:sz w:val="28"/>
          <w:szCs w:val="28"/>
          <w:u w:val="single"/>
        </w:rPr>
      </w:pPr>
      <w:r>
        <w:rPr>
          <w:rFonts w:hint="eastAsia" w:ascii="宋体" w:hAnsi="宋体" w:cs="宋体"/>
          <w:sz w:val="28"/>
          <w:szCs w:val="28"/>
        </w:rPr>
        <w:t>供应商（单位名称及公章）：</w:t>
      </w:r>
    </w:p>
    <w:p>
      <w:pPr>
        <w:adjustRightInd w:val="0"/>
        <w:snapToGrid w:val="0"/>
        <w:spacing w:line="480" w:lineRule="auto"/>
        <w:rPr>
          <w:rFonts w:ascii="宋体" w:hAnsi="宋体" w:cs="宋体"/>
          <w:sz w:val="28"/>
          <w:szCs w:val="28"/>
        </w:rPr>
      </w:pPr>
      <w:r>
        <w:rPr>
          <w:rFonts w:hint="eastAsia" w:ascii="宋体" w:hAnsi="宋体" w:cs="宋体"/>
          <w:sz w:val="28"/>
          <w:szCs w:val="28"/>
        </w:rPr>
        <w:t>法定代表人/被授权人（签字或盖章）：</w:t>
      </w:r>
    </w:p>
    <w:p>
      <w:pPr>
        <w:adjustRightInd w:val="0"/>
        <w:snapToGrid w:val="0"/>
        <w:spacing w:line="480" w:lineRule="auto"/>
        <w:rPr>
          <w:rFonts w:ascii="宋体" w:hAnsi="宋体" w:cs="宋体"/>
          <w:sz w:val="28"/>
          <w:szCs w:val="28"/>
        </w:rPr>
      </w:pPr>
      <w:r>
        <w:rPr>
          <w:rFonts w:hint="eastAsia" w:ascii="宋体" w:hAnsi="宋体" w:cs="宋体"/>
          <w:sz w:val="28"/>
          <w:szCs w:val="28"/>
        </w:rPr>
        <w:t>日    期：年月日</w:t>
      </w:r>
    </w:p>
    <w:p>
      <w:pPr>
        <w:pStyle w:val="6"/>
        <w:ind w:firstLine="0"/>
        <w:rPr>
          <w:rFonts w:ascii="宋体" w:hAnsi="宋体"/>
          <w:sz w:val="28"/>
          <w:szCs w:val="28"/>
        </w:rPr>
        <w:sectPr>
          <w:pgSz w:w="11906" w:h="16838"/>
          <w:pgMar w:top="1440" w:right="1803" w:bottom="1440" w:left="1803" w:header="851" w:footer="992" w:gutter="0"/>
          <w:cols w:space="720" w:num="1"/>
          <w:docGrid w:type="lines" w:linePitch="319" w:charSpace="0"/>
        </w:sectPr>
      </w:pPr>
    </w:p>
    <w:bookmarkEnd w:id="90"/>
    <w:bookmarkEnd w:id="91"/>
    <w:bookmarkEnd w:id="92"/>
    <w:p>
      <w:pPr>
        <w:pStyle w:val="5"/>
        <w:jc w:val="both"/>
        <w:rPr>
          <w:rFonts w:ascii="宋体" w:hAnsi="宋体" w:cs="宋体"/>
        </w:rPr>
      </w:pPr>
      <w:bookmarkStart w:id="95" w:name="_Toc31976"/>
      <w:bookmarkStart w:id="96" w:name="_Toc32169"/>
      <w:bookmarkStart w:id="97" w:name="_Toc13027"/>
      <w:bookmarkStart w:id="98" w:name="_Toc8964"/>
      <w:bookmarkStart w:id="99" w:name="_Toc30066"/>
      <w:bookmarkStart w:id="100" w:name="_Toc10667"/>
      <w:bookmarkStart w:id="101" w:name="_Toc2911"/>
      <w:r>
        <w:rPr>
          <w:rFonts w:hint="eastAsia" w:ascii="宋体" w:hAnsi="宋体" w:cs="宋体"/>
        </w:rPr>
        <w:t xml:space="preserve">第六部分 </w:t>
      </w:r>
      <w:bookmarkStart w:id="102" w:name="_Toc28643"/>
      <w:bookmarkStart w:id="103" w:name="_Toc29990"/>
      <w:r>
        <w:rPr>
          <w:rFonts w:hint="eastAsia" w:ascii="宋体" w:hAnsi="宋体" w:cs="宋体"/>
        </w:rPr>
        <w:t>供应商资格要求</w:t>
      </w:r>
      <w:bookmarkEnd w:id="95"/>
      <w:bookmarkEnd w:id="96"/>
      <w:bookmarkEnd w:id="102"/>
      <w:bookmarkEnd w:id="103"/>
    </w:p>
    <w:p>
      <w:pPr>
        <w:rPr>
          <w:rFonts w:ascii="宋体" w:hAnsi="宋体" w:cs="宋体"/>
          <w:sz w:val="24"/>
          <w:szCs w:val="24"/>
        </w:rPr>
      </w:pPr>
      <w:r>
        <w:rPr>
          <w:rFonts w:hint="eastAsia" w:ascii="宋体" w:hAnsi="宋体" w:cs="宋体"/>
          <w:sz w:val="24"/>
          <w:szCs w:val="24"/>
        </w:rPr>
        <w:t>基本资格条件：</w:t>
      </w:r>
    </w:p>
    <w:p>
      <w:pPr>
        <w:rPr>
          <w:rFonts w:ascii="宋体"/>
        </w:rPr>
      </w:pPr>
      <w:r>
        <w:rPr>
          <w:rFonts w:hint="eastAsia" w:ascii="宋体" w:hAnsi="宋体" w:cs="宋体"/>
          <w:sz w:val="24"/>
          <w:szCs w:val="24"/>
        </w:rPr>
        <w:t>供应商符合《政府采购法》第二十二条规定条件的承诺函</w:t>
      </w:r>
    </w:p>
    <w:p>
      <w:pPr>
        <w:pStyle w:val="13"/>
        <w:spacing w:line="360" w:lineRule="auto"/>
        <w:ind w:left="0" w:leftChars="0"/>
        <w:rPr>
          <w:rFonts w:ascii="宋体"/>
          <w:sz w:val="24"/>
          <w:szCs w:val="24"/>
        </w:rPr>
      </w:pPr>
      <w:r>
        <w:rPr>
          <w:rFonts w:hint="eastAsia" w:ascii="宋体" w:hAnsi="宋体" w:cs="宋体"/>
          <w:sz w:val="24"/>
          <w:szCs w:val="24"/>
        </w:rPr>
        <w:t>致陕西卓佲招标有限公司：</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本公司</w:t>
      </w:r>
      <w:r>
        <w:rPr>
          <w:rFonts w:ascii="宋体" w:hAnsi="宋体" w:cs="宋体"/>
          <w:sz w:val="24"/>
          <w:szCs w:val="24"/>
          <w:u w:val="single"/>
        </w:rPr>
        <w:t xml:space="preserve">                   </w:t>
      </w:r>
      <w:r>
        <w:rPr>
          <w:rFonts w:hint="eastAsia" w:ascii="宋体" w:hAnsi="宋体" w:cs="宋体"/>
          <w:sz w:val="24"/>
          <w:szCs w:val="24"/>
          <w:u w:val="single"/>
        </w:rPr>
        <w:t>（公司名称）</w:t>
      </w:r>
      <w:r>
        <w:rPr>
          <w:rFonts w:hint="eastAsia" w:ascii="宋体" w:hAnsi="宋体" w:cs="宋体"/>
          <w:sz w:val="24"/>
          <w:szCs w:val="24"/>
        </w:rPr>
        <w:t>参加</w:t>
      </w:r>
      <w:r>
        <w:rPr>
          <w:rFonts w:ascii="宋体" w:hAnsi="宋体" w:cs="宋体"/>
          <w:sz w:val="24"/>
          <w:szCs w:val="24"/>
          <w:u w:val="single"/>
        </w:rPr>
        <w:t xml:space="preserve">                 </w:t>
      </w:r>
      <w:r>
        <w:rPr>
          <w:rFonts w:hint="eastAsia" w:ascii="宋体" w:hAnsi="宋体" w:cs="宋体"/>
          <w:sz w:val="24"/>
          <w:szCs w:val="24"/>
          <w:u w:val="single"/>
        </w:rPr>
        <w:t>（项目名称）</w:t>
      </w:r>
      <w:r>
        <w:rPr>
          <w:rFonts w:hint="eastAsia" w:ascii="宋体" w:hAnsi="宋体" w:cs="宋体"/>
          <w:sz w:val="24"/>
          <w:szCs w:val="24"/>
        </w:rPr>
        <w:t>的投标活动，现承诺：</w:t>
      </w:r>
    </w:p>
    <w:p>
      <w:pPr>
        <w:pStyle w:val="13"/>
        <w:spacing w:line="360" w:lineRule="auto"/>
        <w:ind w:left="0" w:leftChars="0" w:firstLine="540" w:firstLineChars="225"/>
        <w:rPr>
          <w:rFonts w:ascii="宋体"/>
          <w:sz w:val="24"/>
          <w:szCs w:val="24"/>
        </w:rPr>
      </w:pPr>
      <w:r>
        <w:rPr>
          <w:rFonts w:hint="eastAsia" w:ascii="宋体" w:hAnsi="宋体" w:cs="宋体"/>
          <w:sz w:val="24"/>
          <w:szCs w:val="24"/>
        </w:rPr>
        <w:t>我公司满足政府采购法第二十二条关于供应商的资格要求：</w:t>
      </w:r>
    </w:p>
    <w:p>
      <w:pPr>
        <w:pStyle w:val="13"/>
        <w:spacing w:line="360" w:lineRule="auto"/>
        <w:ind w:left="0" w:leftChars="0" w:firstLine="540" w:firstLineChars="225"/>
        <w:rPr>
          <w:rFonts w:ascii="宋体"/>
          <w:sz w:val="24"/>
          <w:szCs w:val="24"/>
        </w:rPr>
      </w:pPr>
      <w:r>
        <w:rPr>
          <w:rFonts w:hint="eastAsia" w:ascii="宋体" w:hAnsi="宋体" w:cs="宋体"/>
          <w:sz w:val="24"/>
          <w:szCs w:val="24"/>
        </w:rPr>
        <w:t>（一）具有独立承担民事责任的能力；</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（二）具有良好的商业信誉和健全的财务会计制度；</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（三）具有履行合同所必需的设备和专业技术能力；</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（四）有依法缴纳税收的良好记录；</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（五）参加政府采购活动前三年内，在经营活动中没有重大违法记录；</w:t>
      </w:r>
      <w:r>
        <w:rPr>
          <w:rFonts w:ascii="宋体" w:hAnsi="宋体" w:cs="宋体"/>
          <w:sz w:val="24"/>
          <w:szCs w:val="24"/>
        </w:rPr>
        <w:t xml:space="preserve"> </w:t>
      </w:r>
    </w:p>
    <w:p>
      <w:pPr>
        <w:pStyle w:val="13"/>
        <w:spacing w:line="360" w:lineRule="auto"/>
        <w:ind w:left="0" w:leftChars="0" w:firstLine="540" w:firstLineChars="225"/>
        <w:rPr>
          <w:rFonts w:ascii="宋体"/>
          <w:sz w:val="24"/>
          <w:szCs w:val="24"/>
        </w:rPr>
      </w:pPr>
      <w:r>
        <w:rPr>
          <w:rFonts w:hint="eastAsia" w:ascii="宋体" w:hAnsi="宋体" w:cs="宋体"/>
          <w:sz w:val="24"/>
          <w:szCs w:val="24"/>
        </w:rPr>
        <w:t>（六）法律、行政法规规定的其他条件。</w:t>
      </w:r>
    </w:p>
    <w:p>
      <w:pPr>
        <w:spacing w:line="400" w:lineRule="exact"/>
        <w:ind w:firstLine="432"/>
        <w:rPr>
          <w:rFonts w:hAnsi="宋体"/>
          <w:sz w:val="24"/>
        </w:rPr>
      </w:pPr>
      <w:r>
        <w:rPr>
          <w:rFonts w:hint="eastAsia" w:hAnsi="宋体"/>
          <w:sz w:val="24"/>
        </w:rPr>
        <w:t>本单位对上述承诺的内容事项真实性负责。如经查实上述承诺的内容事项存在虚假，我单位愿意接受以提供虚假材料谋取中标追究法律责任。</w:t>
      </w:r>
    </w:p>
    <w:p>
      <w:pPr>
        <w:pStyle w:val="13"/>
        <w:spacing w:line="360" w:lineRule="auto"/>
        <w:ind w:left="0" w:leftChars="0" w:firstLine="540" w:firstLineChars="225"/>
        <w:rPr>
          <w:rFonts w:ascii="宋体"/>
          <w:sz w:val="24"/>
          <w:szCs w:val="24"/>
          <w:highlight w:val="yellow"/>
        </w:rPr>
      </w:pPr>
    </w:p>
    <w:p>
      <w:pPr>
        <w:pStyle w:val="13"/>
        <w:spacing w:line="360" w:lineRule="auto"/>
        <w:ind w:left="0" w:leftChars="0"/>
        <w:rPr>
          <w:rFonts w:ascii="宋体"/>
          <w:sz w:val="24"/>
          <w:szCs w:val="24"/>
        </w:rPr>
      </w:pPr>
    </w:p>
    <w:p>
      <w:pPr>
        <w:spacing w:line="360" w:lineRule="auto"/>
        <w:rPr>
          <w:rFonts w:ascii="宋体"/>
          <w:sz w:val="24"/>
          <w:szCs w:val="24"/>
          <w:u w:val="single"/>
        </w:rPr>
      </w:pPr>
      <w:r>
        <w:rPr>
          <w:rFonts w:hint="eastAsia" w:ascii="宋体" w:hAnsi="宋体" w:cs="宋体"/>
          <w:sz w:val="24"/>
          <w:szCs w:val="24"/>
        </w:rPr>
        <w:t>供应商名称：</w:t>
      </w:r>
      <w:r>
        <w:rPr>
          <w:rFonts w:ascii="宋体" w:hAnsi="宋体" w:cs="宋体"/>
          <w:sz w:val="24"/>
          <w:szCs w:val="24"/>
          <w:u w:val="single"/>
        </w:rPr>
        <w:t xml:space="preserve">        </w:t>
      </w:r>
      <w:r>
        <w:rPr>
          <w:rFonts w:hint="eastAsia" w:ascii="宋体" w:hAnsi="宋体" w:cs="宋体"/>
          <w:sz w:val="24"/>
          <w:szCs w:val="24"/>
          <w:u w:val="single"/>
        </w:rPr>
        <w:t>（盖章）</w:t>
      </w:r>
    </w:p>
    <w:p>
      <w:pPr>
        <w:spacing w:line="360" w:lineRule="auto"/>
        <w:rPr>
          <w:rFonts w:ascii="宋体"/>
          <w:sz w:val="24"/>
          <w:szCs w:val="24"/>
        </w:rPr>
      </w:pPr>
    </w:p>
    <w:p>
      <w:pPr>
        <w:spacing w:line="360" w:lineRule="auto"/>
        <w:rPr>
          <w:rFonts w:ascii="宋体"/>
          <w:sz w:val="24"/>
          <w:szCs w:val="24"/>
        </w:rPr>
      </w:pPr>
      <w:r>
        <w:rPr>
          <w:rFonts w:hint="eastAsia" w:ascii="宋体" w:hAnsi="宋体" w:cs="宋体"/>
          <w:sz w:val="24"/>
          <w:szCs w:val="24"/>
        </w:rPr>
        <w:t>法定代表人或委托代理人（签字或盖章）：</w:t>
      </w:r>
      <w:r>
        <w:rPr>
          <w:rFonts w:hAnsi="宋体"/>
          <w:sz w:val="24"/>
          <w:szCs w:val="24"/>
          <w:u w:val="single"/>
        </w:rPr>
        <w:t xml:space="preserve">   </w:t>
      </w:r>
      <w:r>
        <w:rPr>
          <w:rFonts w:hint="eastAsia" w:hAnsi="宋体"/>
          <w:sz w:val="24"/>
          <w:szCs w:val="24"/>
          <w:u w:val="single"/>
        </w:rPr>
        <w:t xml:space="preserve">            </w:t>
      </w:r>
      <w:r>
        <w:rPr>
          <w:rFonts w:hAnsi="宋体"/>
          <w:sz w:val="24"/>
          <w:szCs w:val="24"/>
          <w:u w:val="single"/>
        </w:rPr>
        <w:t xml:space="preserve">  </w:t>
      </w:r>
    </w:p>
    <w:p>
      <w:pPr>
        <w:spacing w:line="360" w:lineRule="auto"/>
        <w:rPr>
          <w:rFonts w:ascii="宋体"/>
          <w:sz w:val="24"/>
          <w:szCs w:val="24"/>
        </w:rPr>
      </w:pPr>
    </w:p>
    <w:p>
      <w:pPr>
        <w:spacing w:line="360" w:lineRule="auto"/>
        <w:rPr>
          <w:rFonts w:ascii="宋体"/>
          <w:sz w:val="24"/>
          <w:szCs w:val="24"/>
        </w:rPr>
      </w:pPr>
      <w:r>
        <w:rPr>
          <w:rFonts w:hint="eastAsia" w:ascii="宋体" w:hAnsi="宋体" w:cs="宋体"/>
          <w:sz w:val="24"/>
          <w:szCs w:val="24"/>
        </w:rPr>
        <w:t>日期：</w:t>
      </w:r>
      <w:r>
        <w:rPr>
          <w:rFonts w:hAnsi="宋体"/>
          <w:sz w:val="24"/>
          <w:szCs w:val="24"/>
          <w:u w:val="single"/>
        </w:rPr>
        <w:t xml:space="preserve"> </w:t>
      </w:r>
      <w:r>
        <w:rPr>
          <w:rFonts w:hint="eastAsia" w:hAnsi="宋体"/>
          <w:sz w:val="24"/>
          <w:szCs w:val="24"/>
          <w:u w:val="single"/>
        </w:rPr>
        <w:t xml:space="preserve">              </w:t>
      </w:r>
      <w:r>
        <w:rPr>
          <w:rFonts w:hAnsi="宋体"/>
          <w:sz w:val="24"/>
          <w:szCs w:val="24"/>
          <w:u w:val="single"/>
        </w:rPr>
        <w:t xml:space="preserve">    </w:t>
      </w:r>
    </w:p>
    <w:p>
      <w:pPr>
        <w:pStyle w:val="6"/>
        <w:ind w:firstLine="0"/>
      </w:pPr>
    </w:p>
    <w:p>
      <w:bookmarkStart w:id="104" w:name="_Toc1408"/>
    </w:p>
    <w:p/>
    <w:p/>
    <w:p/>
    <w:p/>
    <w:p/>
    <w:p/>
    <w:p/>
    <w:p/>
    <w:p/>
    <w:p>
      <w:pPr>
        <w:sectPr>
          <w:pgSz w:w="11906" w:h="16838"/>
          <w:pgMar w:top="1440" w:right="1803" w:bottom="1440" w:left="1803" w:header="851" w:footer="992" w:gutter="0"/>
          <w:cols w:space="720" w:num="1"/>
          <w:docGrid w:type="lines" w:linePitch="319" w:charSpace="0"/>
        </w:sectPr>
      </w:pPr>
    </w:p>
    <w:p>
      <w:pPr>
        <w:rPr>
          <w:rFonts w:ascii="宋体" w:hAnsi="宋体" w:cs="宋体"/>
          <w:sz w:val="24"/>
          <w:szCs w:val="24"/>
        </w:rPr>
      </w:pPr>
      <w:r>
        <w:rPr>
          <w:rFonts w:hint="eastAsia" w:ascii="宋体" w:hAnsi="宋体" w:cs="宋体"/>
          <w:sz w:val="24"/>
          <w:szCs w:val="24"/>
        </w:rPr>
        <w:t>特定资格条件：</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1、具有独立承担民事责任能力的法人、其他组织或自然人：法人参与的提供营业执照或法人证书；其他组织参与的提供合法证明文件；自然人参与的提供其身份证明；</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2、财务状况报告:提供2017年或2018年的财务审计报告或供应商开户银行近三个月内出具的银行资信证明及基本存款账户开户许可证；</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3、税收缴纳证明:提供2018年1月以来至少一个月的纳税证明或完税证明，依法免税的单位应提供相关证明材料；</w:t>
      </w:r>
    </w:p>
    <w:p>
      <w:pPr>
        <w:spacing w:line="360" w:lineRule="auto"/>
        <w:ind w:firstLine="420" w:firstLineChars="200"/>
        <w:jc w:val="left"/>
        <w:rPr>
          <w:rFonts w:hint="eastAsia"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4、社会保障资金缴纳证明:提供2018年1月以来至少一个月的社会保障资金缴存单据或社保机构开具的社会保险参保缴费情况证明，依法不需要缴纳社会保障资金的单位应提供相关证明材料；</w:t>
      </w:r>
    </w:p>
    <w:p>
      <w:pPr>
        <w:rPr>
          <w:rFonts w:hint="eastAsia"/>
        </w:rPr>
      </w:pPr>
      <w:r>
        <w:rPr>
          <w:rFonts w:hint="eastAsia" w:asciiTheme="minorEastAsia" w:hAnsiTheme="minorEastAsia" w:cstheme="minorEastAsia"/>
          <w:color w:val="000000" w:themeColor="text1"/>
          <w:szCs w:val="21"/>
        </w:rPr>
        <w:br w:type="page"/>
      </w:r>
    </w:p>
    <w:p>
      <w:pPr>
        <w:rPr>
          <w:sz w:val="24"/>
          <w:szCs w:val="28"/>
        </w:rPr>
      </w:pPr>
      <w:r>
        <w:rPr>
          <w:rFonts w:hint="eastAsia"/>
          <w:sz w:val="24"/>
          <w:szCs w:val="28"/>
          <w:lang w:val="en-US" w:eastAsia="zh-CN"/>
        </w:rPr>
        <w:t>5</w:t>
      </w:r>
      <w:r>
        <w:rPr>
          <w:rFonts w:hint="eastAsia"/>
          <w:sz w:val="24"/>
          <w:szCs w:val="28"/>
        </w:rPr>
        <w:t>、无重大违法记录声明</w:t>
      </w:r>
    </w:p>
    <w:p>
      <w:pPr>
        <w:widowControl/>
        <w:snapToGrid w:val="0"/>
        <w:spacing w:line="480" w:lineRule="auto"/>
        <w:ind w:firstLine="480" w:firstLineChars="200"/>
        <w:jc w:val="left"/>
        <w:rPr>
          <w:rFonts w:ascii="宋体" w:hAnsi="宋体" w:cs="宋体"/>
          <w:kern w:val="0"/>
          <w:sz w:val="24"/>
        </w:rPr>
      </w:pPr>
    </w:p>
    <w:p>
      <w:pPr>
        <w:widowControl/>
        <w:snapToGrid w:val="0"/>
        <w:spacing w:line="480" w:lineRule="auto"/>
        <w:ind w:firstLine="480" w:firstLineChars="200"/>
        <w:jc w:val="left"/>
        <w:rPr>
          <w:rFonts w:ascii="宋体" w:hAnsi="宋体" w:cs="宋体"/>
          <w:kern w:val="0"/>
          <w:sz w:val="24"/>
        </w:rPr>
      </w:pPr>
      <w:r>
        <w:rPr>
          <w:rFonts w:hint="eastAsia" w:ascii="宋体" w:hAnsi="宋体" w:cs="宋体"/>
          <w:kern w:val="0"/>
          <w:sz w:val="24"/>
        </w:rPr>
        <w:t>我单位参与</w:t>
      </w:r>
      <w:r>
        <w:rPr>
          <w:rFonts w:hint="eastAsia" w:ascii="宋体" w:hAnsi="宋体" w:cs="宋体"/>
          <w:kern w:val="0"/>
          <w:sz w:val="24"/>
          <w:u w:val="single"/>
        </w:rPr>
        <w:t xml:space="preserve">陕西卓佲招标有限公司 </w:t>
      </w:r>
      <w:r>
        <w:rPr>
          <w:rFonts w:hint="eastAsia" w:ascii="宋体" w:hAnsi="宋体" w:cs="宋体"/>
          <w:kern w:val="0"/>
          <w:sz w:val="24"/>
        </w:rPr>
        <w:t>组织的</w:t>
      </w:r>
      <w:r>
        <w:rPr>
          <w:rFonts w:hint="eastAsia" w:ascii="宋体" w:hAnsi="宋体" w:cs="宋体"/>
          <w:kern w:val="0"/>
          <w:sz w:val="24"/>
          <w:u w:val="single"/>
        </w:rPr>
        <w:t xml:space="preserve">   （项目名称 ）    </w:t>
      </w:r>
      <w:r>
        <w:rPr>
          <w:rFonts w:hint="eastAsia" w:ascii="宋体" w:hAnsi="宋体" w:cs="宋体"/>
          <w:kern w:val="0"/>
          <w:sz w:val="24"/>
        </w:rPr>
        <w:t>投标活动，我单位郑重声明：我方参加本项目投标工作前三年内在经营活动中无重大违法活动记录，符合《中华人民共和国政府采购法》规定的供应商资格条件，我方对此声明负全部法律责任。</w:t>
      </w:r>
    </w:p>
    <w:p>
      <w:pPr>
        <w:widowControl/>
        <w:snapToGrid w:val="0"/>
        <w:spacing w:line="480" w:lineRule="auto"/>
        <w:ind w:firstLine="480" w:firstLineChars="200"/>
        <w:jc w:val="left"/>
        <w:rPr>
          <w:rFonts w:ascii="宋体" w:hAnsi="宋体" w:cs="宋体"/>
          <w:kern w:val="0"/>
          <w:sz w:val="24"/>
        </w:rPr>
      </w:pPr>
      <w:r>
        <w:rPr>
          <w:rFonts w:hint="eastAsia" w:ascii="宋体" w:hAnsi="宋体" w:cs="宋体"/>
          <w:kern w:val="0"/>
          <w:sz w:val="24"/>
        </w:rPr>
        <w:t>特此声明。</w:t>
      </w:r>
    </w:p>
    <w:p>
      <w:pPr>
        <w:widowControl/>
        <w:spacing w:line="460" w:lineRule="exact"/>
        <w:ind w:firstLine="480" w:firstLineChars="200"/>
        <w:jc w:val="left"/>
        <w:rPr>
          <w:rFonts w:ascii="宋体" w:hAnsi="宋体" w:cs="宋体"/>
          <w:kern w:val="0"/>
          <w:sz w:val="24"/>
        </w:rPr>
      </w:pPr>
    </w:p>
    <w:p>
      <w:pPr>
        <w:pStyle w:val="15"/>
        <w:spacing w:line="500" w:lineRule="exact"/>
        <w:ind w:firstLine="480" w:firstLineChars="200"/>
        <w:jc w:val="left"/>
        <w:rPr>
          <w:rFonts w:hAnsi="宋体" w:cs="宋体"/>
          <w:sz w:val="24"/>
        </w:rPr>
      </w:pPr>
    </w:p>
    <w:p>
      <w:pPr>
        <w:pStyle w:val="15"/>
        <w:spacing w:line="480" w:lineRule="auto"/>
        <w:jc w:val="left"/>
        <w:rPr>
          <w:rFonts w:hAnsi="宋体" w:cs="宋体"/>
          <w:sz w:val="24"/>
        </w:rPr>
      </w:pPr>
      <w:r>
        <w:rPr>
          <w:rFonts w:hint="eastAsia" w:hAnsi="宋体" w:cs="宋体"/>
          <w:sz w:val="24"/>
        </w:rPr>
        <w:br w:type="textWrapping"/>
      </w:r>
      <w:r>
        <w:rPr>
          <w:rFonts w:hint="eastAsia" w:hAnsi="宋体" w:cs="宋体"/>
          <w:sz w:val="24"/>
        </w:rPr>
        <w:t>供应商（单位名称及公章）：</w:t>
      </w:r>
      <w:r>
        <w:rPr>
          <w:rFonts w:hint="eastAsia" w:hAnsi="宋体" w:cs="宋体"/>
          <w:sz w:val="24"/>
          <w:u w:val="single"/>
        </w:rPr>
        <w:t xml:space="preserve">             </w:t>
      </w:r>
    </w:p>
    <w:p>
      <w:pPr>
        <w:pStyle w:val="15"/>
        <w:spacing w:line="480" w:lineRule="auto"/>
        <w:jc w:val="left"/>
        <w:rPr>
          <w:rFonts w:hAnsi="宋体" w:cs="宋体"/>
          <w:sz w:val="24"/>
        </w:rPr>
      </w:pPr>
      <w:r>
        <w:rPr>
          <w:rFonts w:hint="eastAsia" w:hAnsi="宋体" w:cs="宋体"/>
          <w:sz w:val="24"/>
        </w:rPr>
        <w:t>法定代表人/被授权人（签字或盖章）：</w:t>
      </w:r>
      <w:r>
        <w:rPr>
          <w:rFonts w:hint="eastAsia" w:hAnsi="宋体" w:cs="宋体"/>
          <w:sz w:val="24"/>
          <w:u w:val="single"/>
        </w:rPr>
        <w:t xml:space="preserve">          </w:t>
      </w:r>
    </w:p>
    <w:p>
      <w:pPr>
        <w:spacing w:line="480" w:lineRule="auto"/>
        <w:rPr>
          <w:rFonts w:ascii="宋体" w:hAnsi="宋体" w:cs="宋体"/>
          <w:kern w:val="0"/>
          <w:sz w:val="24"/>
        </w:rPr>
      </w:pPr>
      <w:r>
        <w:rPr>
          <w:rFonts w:hint="eastAsia" w:hAnsi="宋体" w:cs="宋体"/>
          <w:kern w:val="0"/>
          <w:sz w:val="24"/>
        </w:rPr>
        <w:t>日    期</w:t>
      </w:r>
      <w:r>
        <w:rPr>
          <w:rFonts w:hint="eastAsia" w:hAnsi="宋体" w:cs="宋体"/>
          <w:kern w:val="0"/>
          <w:sz w:val="24"/>
          <w:u w:val="single"/>
        </w:rPr>
        <w:t xml:space="preserve">：             </w:t>
      </w:r>
      <w:r>
        <w:rPr>
          <w:rFonts w:hint="eastAsia" w:hAnsi="宋体" w:cs="宋体"/>
          <w:kern w:val="0"/>
          <w:sz w:val="24"/>
          <w:u w:val="single"/>
        </w:rPr>
        <w:br w:type="textWrapping"/>
      </w:r>
      <w:r>
        <w:rPr>
          <w:rFonts w:hint="eastAsia" w:hAnsi="宋体" w:cs="宋体"/>
          <w:kern w:val="0"/>
          <w:sz w:val="24"/>
        </w:rPr>
        <w:t xml:space="preserve"> </w:t>
      </w:r>
    </w:p>
    <w:p>
      <w:pPr>
        <w:pStyle w:val="6"/>
        <w:sectPr>
          <w:pgSz w:w="11906" w:h="16838"/>
          <w:pgMar w:top="1440" w:right="1803" w:bottom="1440" w:left="1803" w:header="851" w:footer="992" w:gutter="0"/>
          <w:cols w:space="720" w:num="1"/>
          <w:docGrid w:type="lines" w:linePitch="319" w:charSpace="0"/>
        </w:sectPr>
      </w:pPr>
    </w:p>
    <w:p>
      <w:pPr>
        <w:pStyle w:val="6"/>
      </w:pPr>
    </w:p>
    <w:p>
      <w:pPr>
        <w:rPr>
          <w:sz w:val="32"/>
          <w:szCs w:val="36"/>
        </w:rPr>
      </w:pPr>
      <w:r>
        <w:rPr>
          <w:rFonts w:hint="eastAsia"/>
          <w:sz w:val="32"/>
          <w:szCs w:val="36"/>
          <w:lang w:val="en-US" w:eastAsia="zh-CN"/>
        </w:rPr>
        <w:t>6</w:t>
      </w:r>
      <w:r>
        <w:rPr>
          <w:rFonts w:hint="eastAsia"/>
          <w:sz w:val="32"/>
          <w:szCs w:val="36"/>
        </w:rPr>
        <w:t>、法定代表人证明书及法定代表人授权书</w:t>
      </w:r>
    </w:p>
    <w:p>
      <w:pPr>
        <w:rPr>
          <w:sz w:val="28"/>
          <w:szCs w:val="32"/>
        </w:rPr>
      </w:pPr>
      <w:r>
        <w:rPr>
          <w:rFonts w:hint="eastAsia"/>
          <w:sz w:val="28"/>
          <w:szCs w:val="32"/>
          <w:lang w:val="en-US" w:eastAsia="zh-CN"/>
        </w:rPr>
        <w:t>6</w:t>
      </w:r>
      <w:r>
        <w:rPr>
          <w:rFonts w:hint="eastAsia"/>
          <w:sz w:val="28"/>
          <w:szCs w:val="32"/>
        </w:rPr>
        <w:t>-1法定代表人证明书</w:t>
      </w:r>
    </w:p>
    <w:tbl>
      <w:tblPr>
        <w:tblStyle w:val="25"/>
        <w:tblW w:w="94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2160"/>
        <w:gridCol w:w="2156"/>
        <w:gridCol w:w="184"/>
        <w:gridCol w:w="2156"/>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jc w:val="center"/>
        </w:trPr>
        <w:tc>
          <w:tcPr>
            <w:tcW w:w="9410" w:type="dxa"/>
            <w:gridSpan w:val="6"/>
            <w:vAlign w:val="center"/>
          </w:tcPr>
          <w:p>
            <w:pPr>
              <w:tabs>
                <w:tab w:val="left" w:pos="210"/>
              </w:tabs>
              <w:spacing w:line="360" w:lineRule="auto"/>
              <w:jc w:val="left"/>
              <w:rPr>
                <w:rFonts w:ascii="宋体" w:hAnsi="宋体" w:cs="宋体"/>
                <w:kern w:val="0"/>
                <w:szCs w:val="21"/>
              </w:rPr>
            </w:pPr>
            <w:r>
              <w:rPr>
                <w:rFonts w:hint="eastAsia" w:ascii="宋体" w:hAnsi="宋体" w:cs="宋体"/>
                <w:kern w:val="0"/>
                <w:szCs w:val="21"/>
              </w:rPr>
              <w:t>致：陕西卓佲招标有限公司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restart"/>
            <w:vAlign w:val="center"/>
          </w:tcPr>
          <w:p>
            <w:pPr>
              <w:tabs>
                <w:tab w:val="left" w:pos="210"/>
              </w:tabs>
              <w:spacing w:line="360" w:lineRule="auto"/>
              <w:jc w:val="center"/>
              <w:rPr>
                <w:rFonts w:ascii="宋体" w:hAnsi="宋体" w:cs="宋体"/>
                <w:kern w:val="0"/>
                <w:szCs w:val="21"/>
              </w:rPr>
            </w:pPr>
            <w:r>
              <w:rPr>
                <w:rFonts w:hint="eastAsia" w:ascii="宋体" w:hAnsi="宋体" w:cs="宋体"/>
                <w:kern w:val="0"/>
                <w:szCs w:val="21"/>
              </w:rPr>
              <w:t>企</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业</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法</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人</w:t>
            </w: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企业名称</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法定地址</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邮政编码</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工商登记机关</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Merge w:val="restart"/>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税务登记机关</w:t>
            </w:r>
          </w:p>
        </w:tc>
        <w:tc>
          <w:tcPr>
            <w:tcW w:w="6656" w:type="dxa"/>
            <w:gridSpan w:val="4"/>
            <w:vAlign w:val="center"/>
          </w:tcPr>
          <w:p>
            <w:pPr>
              <w:tabs>
                <w:tab w:val="left" w:pos="210"/>
              </w:tabs>
              <w:spacing w:line="360" w:lineRule="auto"/>
              <w:jc w:val="left"/>
              <w:rPr>
                <w:rFonts w:ascii="宋体" w:hAnsi="宋体" w:cs="宋体"/>
                <w:kern w:val="0"/>
                <w:szCs w:val="21"/>
              </w:rPr>
            </w:pPr>
            <w:r>
              <w:rPr>
                <w:rFonts w:hint="eastAsia" w:ascii="宋体" w:hAnsi="宋体" w:cs="宋体"/>
                <w:kern w:val="0"/>
                <w:szCs w:val="21"/>
              </w:rPr>
              <w:t>（国税）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Merge w:val="continue"/>
            <w:vAlign w:val="center"/>
          </w:tcPr>
          <w:p>
            <w:pPr>
              <w:tabs>
                <w:tab w:val="left" w:pos="210"/>
              </w:tabs>
              <w:spacing w:line="360" w:lineRule="auto"/>
              <w:ind w:firstLine="420" w:firstLineChars="200"/>
              <w:rPr>
                <w:rFonts w:ascii="宋体" w:hAnsi="宋体" w:cs="宋体"/>
                <w:kern w:val="0"/>
                <w:szCs w:val="21"/>
              </w:rPr>
            </w:pPr>
          </w:p>
        </w:tc>
        <w:tc>
          <w:tcPr>
            <w:tcW w:w="6656" w:type="dxa"/>
            <w:gridSpan w:val="4"/>
            <w:vAlign w:val="center"/>
          </w:tcPr>
          <w:p>
            <w:pPr>
              <w:tabs>
                <w:tab w:val="left" w:pos="210"/>
              </w:tabs>
              <w:spacing w:line="360" w:lineRule="auto"/>
              <w:jc w:val="left"/>
              <w:rPr>
                <w:rFonts w:ascii="宋体" w:hAnsi="宋体" w:cs="宋体"/>
                <w:kern w:val="0"/>
                <w:szCs w:val="21"/>
              </w:rPr>
            </w:pPr>
            <w:r>
              <w:rPr>
                <w:rFonts w:hint="eastAsia" w:ascii="宋体" w:hAnsi="宋体" w:cs="宋体"/>
                <w:kern w:val="0"/>
                <w:szCs w:val="21"/>
              </w:rPr>
              <w:t>（地税）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机构代码证号</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restart"/>
            <w:vAlign w:val="center"/>
          </w:tcPr>
          <w:p>
            <w:pPr>
              <w:tabs>
                <w:tab w:val="left" w:pos="210"/>
              </w:tabs>
              <w:spacing w:line="360" w:lineRule="auto"/>
              <w:jc w:val="center"/>
              <w:rPr>
                <w:rFonts w:ascii="宋体" w:hAnsi="宋体" w:cs="宋体"/>
                <w:kern w:val="0"/>
                <w:szCs w:val="21"/>
              </w:rPr>
            </w:pPr>
            <w:r>
              <w:rPr>
                <w:rFonts w:hint="eastAsia" w:ascii="宋体" w:hAnsi="宋体" w:cs="宋体"/>
                <w:kern w:val="0"/>
                <w:szCs w:val="21"/>
              </w:rPr>
              <w:t>法</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定</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代</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表</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人</w:t>
            </w: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姓名</w:t>
            </w:r>
          </w:p>
        </w:tc>
        <w:tc>
          <w:tcPr>
            <w:tcW w:w="2340" w:type="dxa"/>
            <w:gridSpan w:val="2"/>
            <w:vAlign w:val="center"/>
          </w:tcPr>
          <w:p>
            <w:pPr>
              <w:tabs>
                <w:tab w:val="left" w:pos="210"/>
              </w:tabs>
              <w:spacing w:line="360" w:lineRule="auto"/>
              <w:ind w:firstLine="420" w:firstLineChars="200"/>
              <w:jc w:val="left"/>
              <w:rPr>
                <w:rFonts w:ascii="宋体" w:hAnsi="宋体" w:cs="宋体"/>
                <w:kern w:val="0"/>
                <w:szCs w:val="21"/>
              </w:rPr>
            </w:pPr>
          </w:p>
        </w:tc>
        <w:tc>
          <w:tcPr>
            <w:tcW w:w="2156" w:type="dxa"/>
            <w:vAlign w:val="center"/>
          </w:tcPr>
          <w:p>
            <w:pPr>
              <w:tabs>
                <w:tab w:val="left" w:pos="210"/>
              </w:tabs>
              <w:spacing w:line="360" w:lineRule="auto"/>
              <w:ind w:firstLine="420" w:firstLineChars="200"/>
              <w:jc w:val="left"/>
              <w:rPr>
                <w:rFonts w:ascii="宋体" w:hAnsi="宋体" w:cs="宋体"/>
                <w:kern w:val="0"/>
                <w:szCs w:val="21"/>
              </w:rPr>
            </w:pPr>
            <w:r>
              <w:rPr>
                <w:rFonts w:hint="eastAsia" w:ascii="宋体" w:hAnsi="宋体" w:cs="宋体"/>
                <w:kern w:val="0"/>
                <w:szCs w:val="21"/>
              </w:rPr>
              <w:t>性别</w:t>
            </w:r>
          </w:p>
        </w:tc>
        <w:tc>
          <w:tcPr>
            <w:tcW w:w="2160" w:type="dxa"/>
            <w:vAlign w:val="center"/>
          </w:tcPr>
          <w:p>
            <w:pPr>
              <w:tabs>
                <w:tab w:val="left" w:pos="210"/>
              </w:tabs>
              <w:spacing w:line="360" w:lineRule="auto"/>
              <w:ind w:firstLine="420" w:firstLineChars="200"/>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职务</w:t>
            </w:r>
          </w:p>
        </w:tc>
        <w:tc>
          <w:tcPr>
            <w:tcW w:w="2340" w:type="dxa"/>
            <w:gridSpan w:val="2"/>
            <w:vAlign w:val="center"/>
          </w:tcPr>
          <w:p>
            <w:pPr>
              <w:tabs>
                <w:tab w:val="left" w:pos="210"/>
              </w:tabs>
              <w:spacing w:line="360" w:lineRule="auto"/>
              <w:jc w:val="left"/>
              <w:rPr>
                <w:rFonts w:ascii="宋体" w:hAnsi="宋体" w:cs="宋体"/>
                <w:kern w:val="0"/>
                <w:szCs w:val="21"/>
              </w:rPr>
            </w:pPr>
          </w:p>
        </w:tc>
        <w:tc>
          <w:tcPr>
            <w:tcW w:w="2156" w:type="dxa"/>
            <w:vAlign w:val="center"/>
          </w:tcPr>
          <w:p>
            <w:pPr>
              <w:tabs>
                <w:tab w:val="left" w:pos="210"/>
              </w:tabs>
              <w:spacing w:line="360" w:lineRule="auto"/>
              <w:ind w:firstLine="420" w:firstLineChars="200"/>
              <w:jc w:val="left"/>
              <w:rPr>
                <w:rFonts w:ascii="宋体" w:hAnsi="宋体" w:cs="宋体"/>
                <w:kern w:val="0"/>
                <w:szCs w:val="21"/>
              </w:rPr>
            </w:pPr>
            <w:r>
              <w:rPr>
                <w:rFonts w:hint="eastAsia" w:ascii="宋体" w:hAnsi="宋体" w:cs="宋体"/>
                <w:kern w:val="0"/>
                <w:szCs w:val="21"/>
              </w:rPr>
              <w:t>联系电话</w:t>
            </w:r>
          </w:p>
        </w:tc>
        <w:tc>
          <w:tcPr>
            <w:tcW w:w="2160" w:type="dxa"/>
            <w:vAlign w:val="center"/>
          </w:tcPr>
          <w:p>
            <w:pPr>
              <w:tabs>
                <w:tab w:val="left" w:pos="210"/>
              </w:tabs>
              <w:spacing w:line="360" w:lineRule="auto"/>
              <w:ind w:firstLine="420" w:firstLineChars="200"/>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9" w:hRule="atLeast"/>
          <w:jc w:val="center"/>
        </w:trPr>
        <w:tc>
          <w:tcPr>
            <w:tcW w:w="594" w:type="dxa"/>
            <w:vMerge w:val="continue"/>
            <w:vAlign w:val="center"/>
          </w:tcPr>
          <w:p>
            <w:pPr>
              <w:tabs>
                <w:tab w:val="left" w:pos="210"/>
              </w:tabs>
              <w:spacing w:line="360" w:lineRule="auto"/>
              <w:ind w:firstLine="420" w:firstLineChars="200"/>
              <w:jc w:val="center"/>
              <w:rPr>
                <w:rFonts w:ascii="宋体" w:hAnsi="宋体" w:cs="宋体"/>
                <w:kern w:val="0"/>
                <w:szCs w:val="21"/>
              </w:rPr>
            </w:pPr>
          </w:p>
        </w:tc>
        <w:tc>
          <w:tcPr>
            <w:tcW w:w="2160" w:type="dxa"/>
            <w:vAlign w:val="center"/>
          </w:tcPr>
          <w:p>
            <w:pPr>
              <w:tabs>
                <w:tab w:val="left" w:pos="210"/>
              </w:tabs>
              <w:spacing w:line="360" w:lineRule="auto"/>
              <w:rPr>
                <w:rFonts w:ascii="宋体" w:hAnsi="宋体" w:cs="宋体"/>
                <w:kern w:val="0"/>
                <w:szCs w:val="21"/>
              </w:rPr>
            </w:pPr>
            <w:r>
              <w:rPr>
                <w:rFonts w:hint="eastAsia" w:ascii="宋体" w:hAnsi="宋体" w:cs="宋体"/>
                <w:kern w:val="0"/>
                <w:szCs w:val="21"/>
              </w:rPr>
              <w:t>传真</w:t>
            </w:r>
          </w:p>
        </w:tc>
        <w:tc>
          <w:tcPr>
            <w:tcW w:w="6656" w:type="dxa"/>
            <w:gridSpan w:val="4"/>
            <w:vAlign w:val="center"/>
          </w:tcPr>
          <w:p>
            <w:pPr>
              <w:tabs>
                <w:tab w:val="left" w:pos="210"/>
              </w:tabs>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7" w:hRule="atLeast"/>
          <w:jc w:val="center"/>
        </w:trPr>
        <w:tc>
          <w:tcPr>
            <w:tcW w:w="594" w:type="dxa"/>
            <w:vMerge w:val="restart"/>
            <w:vAlign w:val="center"/>
          </w:tcPr>
          <w:p>
            <w:pPr>
              <w:tabs>
                <w:tab w:val="left" w:pos="210"/>
              </w:tabs>
              <w:spacing w:line="360" w:lineRule="auto"/>
              <w:jc w:val="center"/>
              <w:rPr>
                <w:rFonts w:ascii="宋体" w:hAnsi="宋体" w:cs="宋体"/>
                <w:kern w:val="0"/>
                <w:szCs w:val="21"/>
              </w:rPr>
            </w:pPr>
            <w:r>
              <w:rPr>
                <w:rFonts w:hint="eastAsia" w:ascii="宋体" w:hAnsi="宋体" w:cs="宋体"/>
                <w:kern w:val="0"/>
                <w:szCs w:val="21"/>
              </w:rPr>
              <w:t>法</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定</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代</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表</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人</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身</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份</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证</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复</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印</w:t>
            </w:r>
          </w:p>
          <w:p>
            <w:pPr>
              <w:tabs>
                <w:tab w:val="left" w:pos="210"/>
              </w:tabs>
              <w:spacing w:line="360" w:lineRule="auto"/>
              <w:jc w:val="center"/>
              <w:rPr>
                <w:rFonts w:ascii="宋体" w:hAnsi="宋体" w:cs="宋体"/>
                <w:kern w:val="0"/>
                <w:szCs w:val="21"/>
              </w:rPr>
            </w:pPr>
            <w:r>
              <w:rPr>
                <w:rFonts w:hint="eastAsia" w:ascii="宋体" w:hAnsi="宋体" w:cs="宋体"/>
                <w:kern w:val="0"/>
                <w:szCs w:val="21"/>
              </w:rPr>
              <w:t>件</w:t>
            </w:r>
          </w:p>
        </w:tc>
        <w:tc>
          <w:tcPr>
            <w:tcW w:w="4316" w:type="dxa"/>
            <w:gridSpan w:val="2"/>
            <w:vMerge w:val="restart"/>
            <w:vAlign w:val="center"/>
          </w:tcPr>
          <w:p>
            <w:pPr>
              <w:tabs>
                <w:tab w:val="left" w:pos="210"/>
              </w:tabs>
              <w:spacing w:line="360" w:lineRule="auto"/>
              <w:ind w:firstLine="420" w:firstLineChars="200"/>
              <w:jc w:val="left"/>
              <w:rPr>
                <w:rFonts w:ascii="宋体" w:hAnsi="宋体" w:cs="宋体"/>
                <w:kern w:val="0"/>
                <w:szCs w:val="21"/>
              </w:rPr>
            </w:pPr>
            <w:r>
              <w:rPr>
                <w:rFonts w:hint="eastAsia" w:ascii="宋体" w:hAnsi="宋体" w:cs="宋体"/>
                <w:kern w:val="0"/>
                <w:szCs w:val="21"/>
              </w:rPr>
              <w:t>（正反面）</w:t>
            </w:r>
          </w:p>
        </w:tc>
        <w:tc>
          <w:tcPr>
            <w:tcW w:w="4500" w:type="dxa"/>
            <w:gridSpan w:val="3"/>
            <w:vAlign w:val="center"/>
          </w:tcPr>
          <w:p>
            <w:pPr>
              <w:tabs>
                <w:tab w:val="left" w:pos="210"/>
              </w:tabs>
              <w:spacing w:line="360" w:lineRule="auto"/>
              <w:ind w:firstLine="420" w:firstLineChars="200"/>
              <w:jc w:val="left"/>
              <w:rPr>
                <w:rFonts w:ascii="宋体" w:hAnsi="宋体" w:cs="宋体"/>
                <w:kern w:val="0"/>
                <w:szCs w:val="21"/>
              </w:rPr>
            </w:pPr>
            <w:r>
              <w:rPr>
                <w:rFonts w:hint="eastAsia" w:ascii="宋体" w:hAnsi="宋体" w:cs="宋体"/>
                <w:kern w:val="0"/>
                <w:szCs w:val="21"/>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2" w:hRule="atLeast"/>
          <w:jc w:val="center"/>
        </w:trPr>
        <w:tc>
          <w:tcPr>
            <w:tcW w:w="594" w:type="dxa"/>
            <w:vMerge w:val="continue"/>
            <w:vAlign w:val="center"/>
          </w:tcPr>
          <w:p>
            <w:pPr>
              <w:tabs>
                <w:tab w:val="left" w:pos="210"/>
              </w:tabs>
              <w:spacing w:line="360" w:lineRule="auto"/>
              <w:ind w:firstLine="420" w:firstLineChars="200"/>
              <w:jc w:val="left"/>
              <w:rPr>
                <w:rFonts w:ascii="宋体" w:hAnsi="宋体" w:cs="宋体"/>
                <w:kern w:val="0"/>
                <w:szCs w:val="21"/>
              </w:rPr>
            </w:pPr>
          </w:p>
        </w:tc>
        <w:tc>
          <w:tcPr>
            <w:tcW w:w="4316" w:type="dxa"/>
            <w:gridSpan w:val="2"/>
            <w:vMerge w:val="continue"/>
            <w:vAlign w:val="center"/>
          </w:tcPr>
          <w:p>
            <w:pPr>
              <w:tabs>
                <w:tab w:val="left" w:pos="210"/>
              </w:tabs>
              <w:spacing w:line="360" w:lineRule="auto"/>
              <w:ind w:firstLine="420" w:firstLineChars="200"/>
              <w:jc w:val="left"/>
              <w:rPr>
                <w:rFonts w:ascii="宋体" w:hAnsi="宋体" w:cs="宋体"/>
                <w:kern w:val="0"/>
                <w:szCs w:val="21"/>
              </w:rPr>
            </w:pPr>
          </w:p>
        </w:tc>
        <w:tc>
          <w:tcPr>
            <w:tcW w:w="4500" w:type="dxa"/>
            <w:gridSpan w:val="3"/>
            <w:vAlign w:val="bottom"/>
          </w:tcPr>
          <w:p>
            <w:pPr>
              <w:tabs>
                <w:tab w:val="left" w:pos="210"/>
              </w:tabs>
              <w:spacing w:line="360" w:lineRule="auto"/>
              <w:ind w:firstLine="420" w:firstLineChars="200"/>
              <w:jc w:val="left"/>
              <w:rPr>
                <w:rFonts w:ascii="宋体" w:hAnsi="宋体" w:cs="宋体"/>
                <w:kern w:val="0"/>
                <w:szCs w:val="21"/>
              </w:rPr>
            </w:pPr>
            <w:r>
              <w:rPr>
                <w:rFonts w:hint="eastAsia" w:ascii="宋体" w:hAnsi="宋体" w:cs="宋体"/>
                <w:kern w:val="0"/>
                <w:szCs w:val="21"/>
              </w:rPr>
              <w:t>（公章）</w:t>
            </w:r>
          </w:p>
          <w:p>
            <w:pPr>
              <w:tabs>
                <w:tab w:val="left" w:pos="210"/>
              </w:tabs>
              <w:spacing w:line="360" w:lineRule="auto"/>
              <w:jc w:val="left"/>
              <w:rPr>
                <w:rFonts w:ascii="宋体" w:hAnsi="宋体" w:cs="宋体"/>
                <w:kern w:val="0"/>
                <w:szCs w:val="21"/>
              </w:rPr>
            </w:pPr>
          </w:p>
          <w:p>
            <w:pPr>
              <w:tabs>
                <w:tab w:val="left" w:pos="210"/>
              </w:tabs>
              <w:spacing w:line="360" w:lineRule="auto"/>
              <w:jc w:val="left"/>
              <w:rPr>
                <w:rFonts w:ascii="宋体" w:hAnsi="宋体" w:cs="宋体"/>
                <w:kern w:val="0"/>
                <w:szCs w:val="21"/>
              </w:rPr>
            </w:pPr>
          </w:p>
          <w:p>
            <w:pPr>
              <w:tabs>
                <w:tab w:val="left" w:pos="210"/>
              </w:tabs>
              <w:spacing w:line="360" w:lineRule="auto"/>
              <w:jc w:val="left"/>
              <w:rPr>
                <w:rFonts w:ascii="宋体" w:hAnsi="宋体" w:cs="宋体"/>
                <w:kern w:val="0"/>
                <w:szCs w:val="21"/>
              </w:rPr>
            </w:pPr>
          </w:p>
          <w:p>
            <w:pPr>
              <w:adjustRightInd w:val="0"/>
              <w:snapToGrid w:val="0"/>
              <w:spacing w:line="480" w:lineRule="auto"/>
              <w:ind w:firstLine="480" w:firstLineChars="200"/>
              <w:jc w:val="right"/>
              <w:rPr>
                <w:rFonts w:ascii="宋体" w:hAnsi="宋体" w:cs="宋体"/>
                <w:kern w:val="0"/>
                <w:szCs w:val="21"/>
              </w:rPr>
            </w:pPr>
            <w:r>
              <w:rPr>
                <w:rFonts w:hint="eastAsia" w:ascii="宋体" w:hAnsi="宋体" w:cs="宋体"/>
                <w:sz w:val="24"/>
              </w:rPr>
              <w:t>年  月 日</w:t>
            </w:r>
          </w:p>
        </w:tc>
      </w:tr>
    </w:tbl>
    <w:p>
      <w:pPr>
        <w:pStyle w:val="8"/>
        <w:sectPr>
          <w:pgSz w:w="11906" w:h="16838"/>
          <w:pgMar w:top="1440" w:right="1803" w:bottom="1440" w:left="1803" w:header="851" w:footer="992" w:gutter="0"/>
          <w:cols w:space="720" w:num="1"/>
          <w:docGrid w:type="lines" w:linePitch="319" w:charSpace="0"/>
        </w:sectPr>
      </w:pPr>
    </w:p>
    <w:p>
      <w:pPr>
        <w:pageBreakBefore/>
        <w:tabs>
          <w:tab w:val="left" w:pos="210"/>
        </w:tabs>
        <w:spacing w:line="320" w:lineRule="exact"/>
        <w:rPr>
          <w:rFonts w:ascii="宋体" w:hAnsi="宋体" w:cs="宋体"/>
          <w:b/>
          <w:kern w:val="0"/>
          <w:sz w:val="24"/>
          <w:szCs w:val="24"/>
        </w:rPr>
      </w:pPr>
      <w:r>
        <w:rPr>
          <w:rFonts w:hint="eastAsia" w:ascii="宋体" w:hAnsi="宋体" w:cs="宋体"/>
          <w:b/>
          <w:kern w:val="0"/>
          <w:sz w:val="24"/>
          <w:szCs w:val="24"/>
          <w:lang w:val="en-US" w:eastAsia="zh-CN"/>
        </w:rPr>
        <w:t>6</w:t>
      </w:r>
      <w:r>
        <w:rPr>
          <w:rFonts w:hint="eastAsia" w:ascii="宋体" w:hAnsi="宋体" w:cs="宋体"/>
          <w:b/>
          <w:kern w:val="0"/>
          <w:sz w:val="24"/>
          <w:szCs w:val="24"/>
        </w:rPr>
        <w:t>-2法定代表人授权书</w:t>
      </w:r>
    </w:p>
    <w:p>
      <w:pPr>
        <w:pStyle w:val="15"/>
        <w:spacing w:line="500" w:lineRule="exact"/>
        <w:jc w:val="center"/>
        <w:rPr>
          <w:rFonts w:hAnsi="宋体" w:cs="宋体"/>
          <w:sz w:val="24"/>
          <w:szCs w:val="24"/>
        </w:rPr>
      </w:pPr>
      <w:r>
        <w:rPr>
          <w:rFonts w:hint="eastAsia" w:hAnsi="宋体" w:cs="宋体"/>
          <w:b/>
          <w:sz w:val="24"/>
          <w:szCs w:val="24"/>
        </w:rPr>
        <w:t>法定代表人授权书</w:t>
      </w:r>
    </w:p>
    <w:p>
      <w:pPr>
        <w:pStyle w:val="15"/>
        <w:spacing w:line="500" w:lineRule="exact"/>
        <w:jc w:val="left"/>
        <w:rPr>
          <w:rFonts w:hAnsi="宋体" w:cs="宋体"/>
          <w:sz w:val="24"/>
          <w:szCs w:val="24"/>
        </w:rPr>
      </w:pPr>
      <w:r>
        <w:rPr>
          <w:rFonts w:hint="eastAsia" w:hAnsi="宋体" w:cs="宋体"/>
          <w:sz w:val="24"/>
          <w:szCs w:val="24"/>
        </w:rPr>
        <w:t>陕西卓佲招标有限公司：</w:t>
      </w:r>
    </w:p>
    <w:p>
      <w:pPr>
        <w:tabs>
          <w:tab w:val="left" w:pos="8820"/>
        </w:tabs>
        <w:spacing w:line="360" w:lineRule="auto"/>
        <w:ind w:firstLine="570"/>
        <w:rPr>
          <w:rFonts w:ascii="宋体" w:hAnsi="宋体" w:cs="宋体"/>
          <w:sz w:val="24"/>
          <w:u w:val="single"/>
        </w:rPr>
      </w:pPr>
      <w:r>
        <w:rPr>
          <w:rFonts w:hint="eastAsia" w:ascii="宋体" w:hAnsi="宋体" w:cs="宋体"/>
          <w:sz w:val="24"/>
        </w:rPr>
        <w:t>本授权委托书声明：我</w:t>
      </w:r>
      <w:r>
        <w:rPr>
          <w:rFonts w:hint="eastAsia" w:ascii="宋体" w:hAnsi="宋体" w:cs="宋体"/>
          <w:sz w:val="24"/>
          <w:u w:val="single"/>
        </w:rPr>
        <w:t xml:space="preserve">（法定代表人姓名）   </w:t>
      </w:r>
      <w:r>
        <w:rPr>
          <w:rFonts w:hint="eastAsia" w:ascii="宋体" w:hAnsi="宋体" w:cs="宋体"/>
          <w:sz w:val="24"/>
        </w:rPr>
        <w:t>系注册于</w:t>
      </w:r>
      <w:r>
        <w:rPr>
          <w:rFonts w:hint="eastAsia" w:ascii="宋体" w:hAnsi="宋体" w:cs="宋体"/>
          <w:sz w:val="24"/>
          <w:u w:val="single"/>
        </w:rPr>
        <w:t xml:space="preserve">  （供应商地址）     </w:t>
      </w:r>
      <w:r>
        <w:rPr>
          <w:rFonts w:hint="eastAsia" w:ascii="宋体" w:hAnsi="宋体" w:cs="宋体"/>
          <w:sz w:val="24"/>
        </w:rPr>
        <w:t>的</w:t>
      </w:r>
      <w:r>
        <w:rPr>
          <w:rFonts w:hint="eastAsia" w:ascii="宋体" w:hAnsi="宋体" w:cs="宋体"/>
          <w:sz w:val="24"/>
          <w:u w:val="single"/>
        </w:rPr>
        <w:t xml:space="preserve">（供应商名称）  </w:t>
      </w:r>
      <w:r>
        <w:rPr>
          <w:rFonts w:hint="eastAsia" w:ascii="宋体" w:hAnsi="宋体" w:cs="宋体"/>
          <w:sz w:val="24"/>
        </w:rPr>
        <w:t>的法定代表人，现代表公司授权下面签字的</w:t>
      </w:r>
      <w:r>
        <w:rPr>
          <w:rFonts w:hint="eastAsia" w:ascii="宋体" w:hAnsi="宋体" w:cs="宋体"/>
          <w:sz w:val="24"/>
          <w:u w:val="single"/>
        </w:rPr>
        <w:t xml:space="preserve">（被授权人的姓名、职务）   </w:t>
      </w:r>
      <w:r>
        <w:rPr>
          <w:rFonts w:hint="eastAsia" w:ascii="宋体" w:hAnsi="宋体" w:cs="宋体"/>
          <w:sz w:val="24"/>
        </w:rPr>
        <w:t>为我公司合法代理人，代表本公司参加</w:t>
      </w:r>
      <w:r>
        <w:rPr>
          <w:rFonts w:hint="eastAsia" w:ascii="宋体" w:hAnsi="宋体" w:cs="宋体"/>
          <w:sz w:val="24"/>
          <w:u w:val="single"/>
        </w:rPr>
        <w:t xml:space="preserve">  （项目名称） </w:t>
      </w:r>
      <w:r>
        <w:rPr>
          <w:rFonts w:hint="eastAsia" w:ascii="宋体" w:hAnsi="宋体" w:cs="宋体"/>
          <w:sz w:val="24"/>
        </w:rPr>
        <w:t>采购项目编号为的采购活动。以我方名义全权处理该项目有关磋商、签订合同以及执行合同等一切事宜。</w:t>
      </w:r>
    </w:p>
    <w:p>
      <w:pPr>
        <w:spacing w:line="360" w:lineRule="auto"/>
        <w:ind w:firstLine="480" w:firstLineChars="200"/>
        <w:rPr>
          <w:rFonts w:ascii="宋体" w:hAnsi="宋体" w:cs="宋体"/>
          <w:sz w:val="24"/>
          <w:szCs w:val="24"/>
        </w:rPr>
      </w:pPr>
      <w:r>
        <w:rPr>
          <w:rFonts w:hint="eastAsia" w:ascii="宋体" w:hAnsi="宋体" w:cs="宋体"/>
          <w:sz w:val="24"/>
        </w:rPr>
        <w:t>本授权书于</w:t>
      </w:r>
      <w:r>
        <w:rPr>
          <w:rFonts w:hint="eastAsia" w:ascii="宋体" w:hAnsi="宋体" w:cs="宋体"/>
          <w:sz w:val="24"/>
          <w:u w:val="single"/>
        </w:rPr>
        <w:t xml:space="preserve">   年   月   日</w:t>
      </w:r>
      <w:r>
        <w:rPr>
          <w:rFonts w:hint="eastAsia" w:ascii="宋体" w:hAnsi="宋体" w:cs="宋体"/>
          <w:sz w:val="24"/>
        </w:rPr>
        <w:t>签字生效，自投标文件递交截止之日</w:t>
      </w:r>
      <w:r>
        <w:rPr>
          <w:rFonts w:hint="eastAsia" w:ascii="宋体" w:hAnsi="宋体" w:cs="宋体"/>
          <w:sz w:val="24"/>
          <w:u w:val="single"/>
        </w:rPr>
        <w:t>起    日历天</w:t>
      </w:r>
      <w:r>
        <w:rPr>
          <w:rFonts w:hint="eastAsia" w:ascii="宋体" w:hAnsi="宋体" w:cs="宋体"/>
          <w:sz w:val="24"/>
        </w:rPr>
        <w:t>，特此声明。</w:t>
      </w:r>
    </w:p>
    <w:p>
      <w:pPr>
        <w:pStyle w:val="15"/>
        <w:spacing w:line="500" w:lineRule="exact"/>
        <w:ind w:firstLine="480" w:firstLineChars="200"/>
        <w:jc w:val="left"/>
        <w:rPr>
          <w:rFonts w:hAnsi="宋体" w:cs="宋体"/>
          <w:sz w:val="24"/>
          <w:szCs w:val="24"/>
        </w:rPr>
      </w:pPr>
      <w:r>
        <w:rPr>
          <w:rFonts w:hint="eastAsia" w:hAnsi="宋体" w:cs="宋体"/>
          <w:sz w:val="24"/>
          <w:szCs w:val="24"/>
        </w:rPr>
        <w:t>供应商（单位名称及公章）</w:t>
      </w:r>
      <w:r>
        <w:rPr>
          <w:rFonts w:hint="eastAsia" w:hAnsi="宋体" w:cs="宋体"/>
          <w:sz w:val="24"/>
          <w:szCs w:val="24"/>
          <w:u w:val="single"/>
        </w:rPr>
        <w:t xml:space="preserve">：                  </w:t>
      </w:r>
    </w:p>
    <w:p>
      <w:pPr>
        <w:pStyle w:val="15"/>
        <w:spacing w:line="500" w:lineRule="exact"/>
        <w:ind w:firstLine="480" w:firstLineChars="200"/>
        <w:jc w:val="left"/>
        <w:rPr>
          <w:rFonts w:hAnsi="宋体" w:cs="宋体"/>
          <w:sz w:val="24"/>
          <w:szCs w:val="24"/>
        </w:rPr>
      </w:pPr>
      <w:r>
        <w:rPr>
          <w:rFonts w:hint="eastAsia" w:hAnsi="宋体" w:cs="宋体"/>
          <w:sz w:val="24"/>
          <w:szCs w:val="24"/>
        </w:rPr>
        <w:t>法定代表人（签字或盖章）</w:t>
      </w:r>
      <w:r>
        <w:rPr>
          <w:rFonts w:hint="eastAsia" w:hAnsi="宋体" w:cs="宋体"/>
          <w:sz w:val="24"/>
          <w:szCs w:val="24"/>
          <w:u w:val="single"/>
        </w:rPr>
        <w:t xml:space="preserve">：                  </w:t>
      </w:r>
    </w:p>
    <w:p>
      <w:pPr>
        <w:pStyle w:val="15"/>
        <w:spacing w:line="500" w:lineRule="exact"/>
        <w:ind w:firstLine="480" w:firstLineChars="200"/>
        <w:jc w:val="left"/>
        <w:rPr>
          <w:rFonts w:hAnsi="宋体" w:cs="宋体"/>
          <w:sz w:val="24"/>
          <w:szCs w:val="24"/>
          <w:u w:val="single"/>
        </w:rPr>
      </w:pPr>
      <w:r>
        <w:rPr>
          <w:rFonts w:hint="eastAsia" w:hAnsi="宋体" w:cs="宋体"/>
          <w:sz w:val="24"/>
          <w:szCs w:val="24"/>
        </w:rPr>
        <w:t>被授权人姓名</w:t>
      </w:r>
      <w:r>
        <w:rPr>
          <w:rFonts w:hint="eastAsia" w:hAnsi="宋体" w:cs="宋体"/>
          <w:sz w:val="24"/>
          <w:szCs w:val="24"/>
          <w:u w:val="single"/>
        </w:rPr>
        <w:t xml:space="preserve">：      </w:t>
      </w:r>
      <w:r>
        <w:rPr>
          <w:rFonts w:hint="eastAsia" w:hAnsi="宋体" w:cs="宋体"/>
          <w:sz w:val="24"/>
          <w:szCs w:val="24"/>
        </w:rPr>
        <w:t>性别</w:t>
      </w:r>
      <w:r>
        <w:rPr>
          <w:rFonts w:hint="eastAsia" w:hAnsi="宋体" w:cs="宋体"/>
          <w:sz w:val="24"/>
          <w:szCs w:val="24"/>
          <w:u w:val="single"/>
        </w:rPr>
        <w:t xml:space="preserve">：        </w:t>
      </w:r>
      <w:r>
        <w:rPr>
          <w:rFonts w:hint="eastAsia" w:hAnsi="宋体" w:cs="宋体"/>
          <w:sz w:val="24"/>
          <w:szCs w:val="24"/>
        </w:rPr>
        <w:t>职务：</w:t>
      </w:r>
      <w:r>
        <w:rPr>
          <w:rFonts w:hint="eastAsia" w:hAnsi="宋体" w:cs="宋体"/>
          <w:sz w:val="24"/>
          <w:szCs w:val="24"/>
          <w:u w:val="single"/>
        </w:rPr>
        <w:t xml:space="preserve">              </w:t>
      </w:r>
    </w:p>
    <w:p>
      <w:pPr>
        <w:pStyle w:val="15"/>
        <w:spacing w:line="500" w:lineRule="exact"/>
        <w:ind w:firstLine="480" w:firstLineChars="200"/>
        <w:jc w:val="left"/>
        <w:rPr>
          <w:rFonts w:hAnsi="宋体" w:cs="宋体"/>
          <w:sz w:val="24"/>
          <w:szCs w:val="24"/>
        </w:rPr>
      </w:pPr>
      <w:r>
        <w:rPr>
          <w:rFonts w:hint="eastAsia" w:hAnsi="宋体" w:cs="宋体"/>
          <w:sz w:val="24"/>
          <w:szCs w:val="24"/>
        </w:rPr>
        <w:t>被授权人身份证号码</w:t>
      </w:r>
      <w:r>
        <w:rPr>
          <w:rFonts w:hint="eastAsia" w:hAnsi="宋体" w:cs="宋体"/>
          <w:sz w:val="24"/>
          <w:szCs w:val="24"/>
          <w:u w:val="single"/>
        </w:rPr>
        <w:t xml:space="preserve">：                                  </w:t>
      </w:r>
    </w:p>
    <w:p>
      <w:pPr>
        <w:pStyle w:val="15"/>
        <w:spacing w:line="500" w:lineRule="exact"/>
        <w:ind w:firstLine="480" w:firstLineChars="200"/>
        <w:jc w:val="left"/>
        <w:rPr>
          <w:rFonts w:hAnsi="宋体" w:cs="宋体"/>
          <w:sz w:val="24"/>
          <w:szCs w:val="24"/>
          <w:u w:val="single"/>
        </w:rPr>
      </w:pPr>
      <w:r>
        <w:rPr>
          <w:rFonts w:hint="eastAsia" w:hAnsi="宋体" w:cs="宋体"/>
          <w:sz w:val="24"/>
          <w:szCs w:val="24"/>
        </w:rPr>
        <w:t>联系地址</w:t>
      </w:r>
      <w:r>
        <w:rPr>
          <w:rFonts w:hint="eastAsia" w:hAnsi="宋体" w:cs="宋体"/>
          <w:sz w:val="24"/>
          <w:szCs w:val="24"/>
          <w:u w:val="single"/>
        </w:rPr>
        <w:t xml:space="preserve">：               </w:t>
      </w:r>
    </w:p>
    <w:p>
      <w:pPr>
        <w:pStyle w:val="15"/>
        <w:spacing w:line="500" w:lineRule="exact"/>
        <w:ind w:firstLine="480" w:firstLineChars="200"/>
        <w:jc w:val="left"/>
        <w:rPr>
          <w:rFonts w:hAnsi="宋体" w:cs="宋体"/>
          <w:sz w:val="24"/>
          <w:szCs w:val="24"/>
          <w:u w:val="single"/>
        </w:rPr>
      </w:pPr>
      <w:r>
        <w:rPr>
          <w:rFonts w:hint="eastAsia" w:hAnsi="宋体" w:cs="宋体"/>
          <w:sz w:val="24"/>
          <w:szCs w:val="24"/>
        </w:rPr>
        <w:t>联系电话：</w:t>
      </w:r>
      <w:r>
        <w:rPr>
          <w:rFonts w:hint="eastAsia" w:hAnsi="宋体" w:cs="宋体"/>
          <w:sz w:val="24"/>
          <w:szCs w:val="24"/>
          <w:u w:val="single"/>
        </w:rPr>
        <w:t xml:space="preserve">               </w:t>
      </w:r>
    </w:p>
    <w:p>
      <w:pPr>
        <w:pStyle w:val="15"/>
        <w:spacing w:line="500" w:lineRule="exact"/>
        <w:ind w:firstLine="480" w:firstLineChars="200"/>
        <w:jc w:val="left"/>
        <w:rPr>
          <w:rFonts w:hAnsi="宋体" w:cs="宋体"/>
          <w:sz w:val="24"/>
          <w:szCs w:val="24"/>
        </w:rPr>
      </w:pPr>
      <w:r>
        <w:rPr>
          <w:rFonts w:hint="eastAsia" w:hAnsi="宋体" w:cs="宋体"/>
          <w:sz w:val="24"/>
          <w:szCs w:val="24"/>
        </w:rPr>
        <w:t>法定代表人及被授权人身份证复印件（</w:t>
      </w:r>
      <w:r>
        <w:rPr>
          <w:rFonts w:hint="eastAsia" w:hAnsi="宋体" w:cs="宋体"/>
          <w:b/>
          <w:bCs/>
          <w:sz w:val="24"/>
          <w:szCs w:val="24"/>
        </w:rPr>
        <w:t>注：身份证复印件加盖企业公章</w:t>
      </w:r>
      <w:r>
        <w:rPr>
          <w:rFonts w:hint="eastAsia" w:hAnsi="宋体" w:cs="宋体"/>
          <w:sz w:val="24"/>
          <w:szCs w:val="24"/>
        </w:rPr>
        <w:t>）</w:t>
      </w:r>
    </w:p>
    <w:tbl>
      <w:tblPr>
        <w:tblStyle w:val="25"/>
        <w:tblW w:w="8940"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4"/>
        <w:gridCol w:w="4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6" w:hRule="atLeast"/>
        </w:trPr>
        <w:tc>
          <w:tcPr>
            <w:tcW w:w="4394" w:type="dxa"/>
            <w:shd w:val="clear" w:color="auto" w:fill="D9D9D9"/>
            <w:vAlign w:val="center"/>
          </w:tcPr>
          <w:p>
            <w:pPr>
              <w:pStyle w:val="15"/>
              <w:spacing w:line="500" w:lineRule="exact"/>
              <w:jc w:val="left"/>
              <w:rPr>
                <w:rFonts w:hAnsi="宋体" w:cs="宋体"/>
                <w:sz w:val="24"/>
                <w:szCs w:val="24"/>
                <w:shd w:val="pct10" w:color="auto" w:fill="FFFFFF"/>
              </w:rPr>
            </w:pPr>
            <w:r>
              <w:rPr>
                <w:rFonts w:hint="eastAsia" w:hAnsi="宋体" w:cs="宋体"/>
                <w:sz w:val="24"/>
                <w:szCs w:val="24"/>
                <w:shd w:val="pct10" w:color="auto" w:fill="FFFFFF"/>
              </w:rPr>
              <w:t>法定代表人身份证复印件（正反面）</w:t>
            </w:r>
          </w:p>
          <w:p>
            <w:pPr>
              <w:pStyle w:val="15"/>
              <w:spacing w:line="500" w:lineRule="exact"/>
              <w:jc w:val="left"/>
              <w:rPr>
                <w:rFonts w:hAnsi="宋体" w:cs="宋体"/>
                <w:sz w:val="24"/>
                <w:szCs w:val="24"/>
                <w:shd w:val="pct10" w:color="auto" w:fill="FFFFFF"/>
              </w:rPr>
            </w:pPr>
          </w:p>
        </w:tc>
        <w:tc>
          <w:tcPr>
            <w:tcW w:w="4546" w:type="dxa"/>
            <w:shd w:val="clear" w:color="auto" w:fill="D9D9D9"/>
            <w:vAlign w:val="center"/>
          </w:tcPr>
          <w:p>
            <w:pPr>
              <w:pStyle w:val="15"/>
              <w:spacing w:line="500" w:lineRule="exact"/>
              <w:ind w:firstLine="480" w:firstLineChars="200"/>
              <w:jc w:val="left"/>
              <w:rPr>
                <w:rFonts w:hAnsi="宋体" w:cs="宋体"/>
                <w:sz w:val="24"/>
                <w:szCs w:val="24"/>
                <w:shd w:val="pct10" w:color="auto" w:fill="FFFFFF"/>
              </w:rPr>
            </w:pPr>
            <w:r>
              <w:rPr>
                <w:rFonts w:hint="eastAsia" w:hAnsi="宋体" w:cs="宋体"/>
                <w:sz w:val="24"/>
                <w:szCs w:val="24"/>
                <w:shd w:val="pct10" w:color="auto" w:fill="FFFFFF"/>
              </w:rPr>
              <w:t>被授权人身份证复印件（正反面）</w:t>
            </w:r>
          </w:p>
          <w:p>
            <w:pPr>
              <w:pStyle w:val="15"/>
              <w:spacing w:line="500" w:lineRule="exact"/>
              <w:ind w:firstLine="480" w:firstLineChars="200"/>
              <w:jc w:val="left"/>
              <w:rPr>
                <w:rFonts w:hAnsi="宋体" w:cs="宋体"/>
                <w:sz w:val="24"/>
                <w:szCs w:val="24"/>
                <w:shd w:val="pct10" w:color="auto" w:fill="FFFFFF"/>
              </w:rPr>
            </w:pPr>
          </w:p>
        </w:tc>
      </w:tr>
    </w:tbl>
    <w:p>
      <w:pPr>
        <w:pStyle w:val="15"/>
        <w:spacing w:line="500" w:lineRule="exact"/>
        <w:ind w:firstLine="480" w:firstLineChars="200"/>
        <w:jc w:val="left"/>
        <w:rPr>
          <w:rFonts w:hAnsi="宋体" w:cs="宋体"/>
          <w:sz w:val="24"/>
          <w:szCs w:val="24"/>
        </w:rPr>
      </w:pPr>
      <w:r>
        <w:rPr>
          <w:rFonts w:hint="eastAsia" w:hAnsi="宋体" w:cs="宋体"/>
          <w:sz w:val="24"/>
          <w:szCs w:val="24"/>
        </w:rPr>
        <w:t>说明：</w:t>
      </w:r>
    </w:p>
    <w:p>
      <w:pPr>
        <w:pStyle w:val="15"/>
        <w:spacing w:line="500" w:lineRule="exact"/>
        <w:ind w:firstLine="480" w:firstLineChars="200"/>
        <w:jc w:val="left"/>
        <w:rPr>
          <w:rFonts w:hAnsi="宋体" w:cs="宋体"/>
          <w:sz w:val="24"/>
          <w:szCs w:val="24"/>
        </w:rPr>
      </w:pPr>
      <w:r>
        <w:rPr>
          <w:rFonts w:hint="eastAsia" w:hAnsi="宋体" w:cs="宋体"/>
          <w:sz w:val="24"/>
          <w:szCs w:val="24"/>
        </w:rPr>
        <w:t>1．本授权书有效期自磋商会议之日计算不得少于90日历日。</w:t>
      </w:r>
    </w:p>
    <w:p>
      <w:pPr>
        <w:pStyle w:val="15"/>
        <w:spacing w:line="500" w:lineRule="exact"/>
        <w:ind w:firstLine="480" w:firstLineChars="200"/>
        <w:jc w:val="left"/>
        <w:rPr>
          <w:rFonts w:hAnsi="宋体" w:cs="宋体"/>
          <w:sz w:val="24"/>
          <w:szCs w:val="24"/>
        </w:rPr>
      </w:pPr>
      <w:r>
        <w:rPr>
          <w:rFonts w:hint="eastAsia" w:hAnsi="宋体" w:cs="宋体"/>
          <w:sz w:val="24"/>
          <w:szCs w:val="24"/>
        </w:rPr>
        <w:t>2．授权书内容填写要明确，文字要工整清楚，涂改无效。</w:t>
      </w:r>
    </w:p>
    <w:p>
      <w:pPr>
        <w:sectPr>
          <w:pgSz w:w="11906" w:h="16838"/>
          <w:pgMar w:top="1440" w:right="1803" w:bottom="1440" w:left="1803" w:header="851" w:footer="992" w:gutter="0"/>
          <w:cols w:space="720" w:num="1"/>
          <w:docGrid w:type="lines" w:linePitch="319" w:charSpace="0"/>
        </w:sectPr>
      </w:pPr>
    </w:p>
    <w:p>
      <w:pPr>
        <w:widowControl/>
        <w:jc w:val="left"/>
        <w:rPr>
          <w:rFonts w:ascii="宋体" w:hAnsi="宋体" w:cs="宋体" w:eastAsiaTheme="minorEastAsia"/>
        </w:rPr>
      </w:pPr>
      <w:r>
        <w:rPr>
          <w:rFonts w:hint="eastAsia" w:ascii="宋体" w:hAnsi="宋体" w:cs="宋体"/>
          <w:lang w:val="en-US" w:eastAsia="zh-CN"/>
        </w:rPr>
        <w:t>7</w:t>
      </w:r>
      <w:r>
        <w:rPr>
          <w:rFonts w:hint="eastAsia" w:ascii="宋体" w:hAnsi="宋体" w:cs="宋体"/>
        </w:rPr>
        <w:t>、保证金缴纳凭证（加盖供应商公章）</w:t>
      </w:r>
    </w:p>
    <w:tbl>
      <w:tblPr>
        <w:tblStyle w:val="26"/>
        <w:tblpPr w:leftFromText="180" w:rightFromText="180" w:vertAnchor="text" w:horzAnchor="page" w:tblpX="1830" w:tblpY="495"/>
        <w:tblOverlap w:val="never"/>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7" w:hRule="atLeast"/>
        </w:trPr>
        <w:tc>
          <w:tcPr>
            <w:tcW w:w="9040" w:type="dxa"/>
          </w:tcPr>
          <w:p>
            <w:pPr>
              <w:pStyle w:val="6"/>
              <w:rPr>
                <w:sz w:val="44"/>
                <w:szCs w:val="44"/>
              </w:rPr>
            </w:pPr>
          </w:p>
          <w:p>
            <w:pPr>
              <w:pStyle w:val="6"/>
              <w:rPr>
                <w:sz w:val="44"/>
                <w:szCs w:val="44"/>
              </w:rPr>
            </w:pPr>
          </w:p>
          <w:p>
            <w:pPr>
              <w:pStyle w:val="6"/>
              <w:rPr>
                <w:sz w:val="44"/>
                <w:szCs w:val="44"/>
              </w:rPr>
            </w:pPr>
          </w:p>
          <w:p>
            <w:pPr>
              <w:pStyle w:val="6"/>
              <w:ind w:firstLine="2200" w:firstLineChars="500"/>
              <w:rPr>
                <w:sz w:val="44"/>
                <w:szCs w:val="44"/>
              </w:rPr>
            </w:pPr>
            <w:r>
              <w:rPr>
                <w:rFonts w:hint="eastAsia"/>
                <w:sz w:val="44"/>
                <w:szCs w:val="44"/>
              </w:rPr>
              <w:t>保证金缴纳凭证粘贴处</w:t>
            </w:r>
          </w:p>
          <w:p>
            <w:pPr>
              <w:pStyle w:val="6"/>
            </w:pPr>
          </w:p>
        </w:tc>
      </w:tr>
    </w:tbl>
    <w:p>
      <w:pPr>
        <w:widowControl/>
        <w:jc w:val="left"/>
        <w:rPr>
          <w:rFonts w:ascii="宋体" w:hAnsi="宋体" w:cs="宋体" w:eastAsiaTheme="minorEastAsia"/>
        </w:rPr>
      </w:pPr>
    </w:p>
    <w:p>
      <w:pPr>
        <w:widowControl/>
        <w:jc w:val="left"/>
        <w:rPr>
          <w:rFonts w:ascii="宋体" w:hAnsi="宋体" w:cs="宋体"/>
        </w:rPr>
      </w:pPr>
    </w:p>
    <w:p>
      <w:pPr>
        <w:widowControl/>
        <w:jc w:val="left"/>
        <w:rPr>
          <w:rFonts w:ascii="宋体" w:hAnsi="宋体" w:cs="宋体"/>
        </w:rPr>
      </w:pPr>
    </w:p>
    <w:p>
      <w:pPr>
        <w:widowControl/>
        <w:spacing w:line="360" w:lineRule="auto"/>
        <w:ind w:firstLine="480" w:firstLineChars="200"/>
        <w:jc w:val="left"/>
        <w:rPr>
          <w:rFonts w:ascii="宋体" w:hAnsi="宋体" w:cs="宋体"/>
          <w:sz w:val="24"/>
          <w:szCs w:val="24"/>
        </w:rPr>
        <w:sectPr>
          <w:pgSz w:w="11906" w:h="16838"/>
          <w:pgMar w:top="1440" w:right="1803" w:bottom="1440" w:left="1803" w:header="851" w:footer="992" w:gutter="0"/>
          <w:cols w:space="720" w:num="1"/>
          <w:docGrid w:type="lines" w:linePitch="319" w:charSpace="0"/>
        </w:sectPr>
      </w:pPr>
    </w:p>
    <w:p>
      <w:pPr>
        <w:widowControl/>
        <w:numPr>
          <w:ilvl w:val="0"/>
          <w:numId w:val="0"/>
        </w:numPr>
        <w:spacing w:line="360" w:lineRule="auto"/>
        <w:ind w:left="420" w:leftChars="0"/>
        <w:jc w:val="left"/>
        <w:rPr>
          <w:rFonts w:hint="eastAsia" w:ascii="宋体" w:hAnsi="宋体" w:cs="宋体"/>
          <w:sz w:val="24"/>
          <w:szCs w:val="24"/>
        </w:rPr>
      </w:pPr>
      <w:r>
        <w:rPr>
          <w:rFonts w:hint="eastAsia" w:ascii="宋体" w:hAnsi="宋体" w:cs="宋体"/>
          <w:sz w:val="24"/>
          <w:szCs w:val="24"/>
          <w:lang w:val="en-US" w:eastAsia="zh-CN"/>
        </w:rPr>
        <w:t>8、</w:t>
      </w:r>
      <w:r>
        <w:rPr>
          <w:rFonts w:hint="eastAsia" w:ascii="宋体" w:hAnsi="宋体" w:cs="宋体"/>
          <w:sz w:val="24"/>
          <w:szCs w:val="24"/>
        </w:rPr>
        <w:t>本项目不接受联合体磋商：</w:t>
      </w:r>
    </w:p>
    <w:p>
      <w:pPr>
        <w:widowControl/>
        <w:numPr>
          <w:ilvl w:val="0"/>
          <w:numId w:val="0"/>
        </w:numPr>
        <w:spacing w:line="360" w:lineRule="auto"/>
        <w:ind w:left="420" w:leftChars="0"/>
        <w:jc w:val="center"/>
        <w:rPr>
          <w:rFonts w:hint="eastAsia" w:ascii="宋体" w:hAnsi="宋体" w:cs="宋体"/>
          <w:sz w:val="24"/>
          <w:szCs w:val="24"/>
        </w:rPr>
      </w:pPr>
      <w:r>
        <w:rPr>
          <w:rFonts w:hint="eastAsia" w:ascii="宋体" w:hAnsi="宋体" w:cs="宋体"/>
          <w:sz w:val="24"/>
          <w:szCs w:val="24"/>
        </w:rPr>
        <w:t>非联合体磋商声明</w:t>
      </w:r>
    </w:p>
    <w:p>
      <w:pPr>
        <w:widowControl/>
        <w:spacing w:line="360" w:lineRule="auto"/>
        <w:ind w:firstLine="480"/>
        <w:rPr>
          <w:rFonts w:ascii="宋体" w:hAnsi="宋体" w:cs="宋体"/>
          <w:kern w:val="0"/>
          <w:sz w:val="24"/>
          <w:szCs w:val="24"/>
        </w:rPr>
      </w:pPr>
      <w:r>
        <w:rPr>
          <w:rFonts w:hint="eastAsia" w:ascii="宋体" w:hAnsi="宋体" w:cs="宋体"/>
          <w:bCs/>
          <w:color w:val="000000"/>
          <w:sz w:val="24"/>
          <w:szCs w:val="24"/>
        </w:rPr>
        <w:t>我司参加本次</w:t>
      </w:r>
      <w:r>
        <w:rPr>
          <w:rFonts w:hint="eastAsia" w:ascii="宋体" w:hAnsi="宋体" w:cs="宋体"/>
          <w:bCs/>
          <w:color w:val="000000"/>
          <w:sz w:val="24"/>
          <w:szCs w:val="24"/>
          <w:u w:val="single"/>
        </w:rPr>
        <w:t>项目名称：</w:t>
      </w:r>
      <w:r>
        <w:rPr>
          <w:rFonts w:hint="eastAsia" w:ascii="宋体" w:hAnsi="宋体" w:cs="宋体"/>
          <w:bCs/>
          <w:color w:val="000000"/>
          <w:sz w:val="24"/>
          <w:szCs w:val="24"/>
          <w:u w:val="single"/>
          <w:lang w:val="en-US" w:eastAsia="zh-CN"/>
        </w:rPr>
        <w:t xml:space="preserve">              </w:t>
      </w:r>
      <w:r>
        <w:rPr>
          <w:rFonts w:hint="eastAsia" w:ascii="宋体" w:hAnsi="宋体" w:cs="宋体"/>
          <w:kern w:val="0"/>
          <w:sz w:val="24"/>
          <w:szCs w:val="24"/>
          <w:u w:val="single"/>
        </w:rPr>
        <w:t>编号：</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政府采购的投标，非联合体投标，如有虚假，承担相应责任。</w:t>
      </w:r>
    </w:p>
    <w:p>
      <w:pPr>
        <w:widowControl/>
        <w:spacing w:line="360" w:lineRule="auto"/>
        <w:ind w:firstLine="480"/>
        <w:rPr>
          <w:rFonts w:ascii="宋体" w:hAnsi="宋体" w:cs="宋体"/>
          <w:kern w:val="0"/>
          <w:sz w:val="24"/>
          <w:szCs w:val="24"/>
        </w:rPr>
      </w:pPr>
      <w:r>
        <w:rPr>
          <w:rFonts w:hint="eastAsia" w:ascii="宋体" w:hAnsi="宋体" w:cs="宋体"/>
          <w:kern w:val="0"/>
          <w:sz w:val="24"/>
          <w:szCs w:val="24"/>
        </w:rPr>
        <w:t>特此声明！</w:t>
      </w:r>
    </w:p>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6"/>
        <w:rPr>
          <w:sz w:val="24"/>
          <w:szCs w:val="24"/>
        </w:rPr>
      </w:pPr>
    </w:p>
    <w:p>
      <w:pPr>
        <w:pStyle w:val="15"/>
        <w:spacing w:line="480" w:lineRule="auto"/>
        <w:jc w:val="left"/>
        <w:rPr>
          <w:rFonts w:hAnsi="宋体" w:cs="宋体"/>
          <w:sz w:val="24"/>
        </w:rPr>
      </w:pPr>
      <w:r>
        <w:rPr>
          <w:rFonts w:hint="eastAsia" w:hAnsi="宋体" w:cs="宋体"/>
          <w:sz w:val="24"/>
        </w:rPr>
        <w:t>供应商（单位名称及公章）：</w:t>
      </w:r>
      <w:r>
        <w:rPr>
          <w:rFonts w:hint="eastAsia" w:hAnsi="宋体" w:cs="宋体"/>
          <w:sz w:val="24"/>
          <w:u w:val="single"/>
        </w:rPr>
        <w:t xml:space="preserve">             </w:t>
      </w:r>
    </w:p>
    <w:p>
      <w:pPr>
        <w:pStyle w:val="15"/>
        <w:spacing w:line="480" w:lineRule="auto"/>
        <w:jc w:val="left"/>
        <w:rPr>
          <w:rFonts w:hAnsi="宋体" w:cs="宋体"/>
          <w:sz w:val="24"/>
        </w:rPr>
      </w:pPr>
      <w:r>
        <w:rPr>
          <w:rFonts w:hint="eastAsia" w:hAnsi="宋体" w:cs="宋体"/>
          <w:sz w:val="24"/>
        </w:rPr>
        <w:t>法定代表人/被授权人（签字或盖章）：</w:t>
      </w:r>
      <w:r>
        <w:rPr>
          <w:rFonts w:hint="eastAsia" w:hAnsi="宋体" w:cs="宋体"/>
          <w:sz w:val="24"/>
          <w:u w:val="single"/>
        </w:rPr>
        <w:t xml:space="preserve">          </w:t>
      </w:r>
    </w:p>
    <w:p>
      <w:pPr>
        <w:pStyle w:val="6"/>
        <w:ind w:left="0" w:leftChars="0" w:firstLine="0" w:firstLineChars="0"/>
        <w:rPr>
          <w:rFonts w:hint="eastAsia" w:hAnsi="宋体" w:cs="宋体"/>
          <w:kern w:val="0"/>
          <w:sz w:val="24"/>
          <w:u w:val="single"/>
        </w:rPr>
      </w:pPr>
      <w:r>
        <w:rPr>
          <w:rFonts w:hint="eastAsia" w:hAnsi="宋体" w:cs="宋体"/>
          <w:kern w:val="0"/>
          <w:sz w:val="24"/>
        </w:rPr>
        <w:t>日    期</w:t>
      </w:r>
      <w:r>
        <w:rPr>
          <w:rFonts w:hint="eastAsia" w:hAnsi="宋体" w:cs="宋体"/>
          <w:kern w:val="0"/>
          <w:sz w:val="24"/>
          <w:u w:val="single"/>
        </w:rPr>
        <w:t xml:space="preserve">：             </w:t>
      </w:r>
    </w:p>
    <w:p>
      <w:pPr>
        <w:rPr>
          <w:rFonts w:hint="eastAsia" w:hAnsi="宋体" w:cs="宋体"/>
          <w:kern w:val="0"/>
          <w:sz w:val="24"/>
          <w:u w:val="single"/>
        </w:rPr>
      </w:pPr>
      <w:r>
        <w:rPr>
          <w:rFonts w:hint="eastAsia" w:hAnsi="宋体" w:cs="宋体"/>
          <w:kern w:val="0"/>
          <w:sz w:val="24"/>
          <w:u w:val="single"/>
        </w:rPr>
        <w:br w:type="page"/>
      </w:r>
    </w:p>
    <w:p>
      <w:pPr>
        <w:widowControl/>
        <w:spacing w:line="360" w:lineRule="auto"/>
        <w:jc w:val="left"/>
        <w:rPr>
          <w:rFonts w:ascii="宋体" w:hAnsi="宋体" w:cs="宋体"/>
          <w:sz w:val="24"/>
          <w:szCs w:val="24"/>
        </w:rPr>
      </w:pPr>
      <w:r>
        <w:rPr>
          <w:rFonts w:hint="eastAsia" w:ascii="宋体" w:hAnsi="宋体" w:cs="宋体"/>
          <w:sz w:val="24"/>
          <w:szCs w:val="24"/>
          <w:lang w:val="en-US" w:eastAsia="zh-CN"/>
        </w:rPr>
        <w:t>9</w:t>
      </w:r>
      <w:r>
        <w:rPr>
          <w:rFonts w:hint="eastAsia" w:ascii="宋体" w:hAnsi="宋体" w:cs="宋体"/>
          <w:sz w:val="24"/>
          <w:szCs w:val="24"/>
        </w:rPr>
        <w:t>、中国政府采购网及信用中国网站截图</w:t>
      </w:r>
    </w:p>
    <w:p>
      <w:pPr>
        <w:widowControl/>
        <w:spacing w:line="360" w:lineRule="auto"/>
        <w:ind w:firstLine="480" w:firstLineChars="200"/>
        <w:jc w:val="left"/>
        <w:rPr>
          <w:rFonts w:ascii="宋体" w:hAnsi="宋体" w:cs="宋体"/>
          <w:sz w:val="24"/>
          <w:szCs w:val="24"/>
        </w:rPr>
      </w:pPr>
      <w:r>
        <w:rPr>
          <w:rFonts w:hint="eastAsia" w:ascii="宋体" w:hAnsi="宋体" w:cs="宋体"/>
          <w:sz w:val="24"/>
          <w:szCs w:val="24"/>
        </w:rPr>
        <w:t>供应商应在以下渠道查询在投标截止日前未被列入失信被执行人、重大税收违法案件当事人名单、政府采购严重违法失信行为记录名单（处罚期限届满的除外）（以信用中国网（www.creditchina.gov.cn ）、中国政府采购网（www.ccgp.gov.cn ）查询结果为准、如相关失信记录已失效，供应商需提供相关证明资料），并在投标文件中提供查询结果的网站截图。</w:t>
      </w:r>
      <w:r>
        <w:rPr>
          <w:rFonts w:hint="eastAsia" w:ascii="宋体" w:hAnsi="宋体" w:cs="宋体"/>
          <w:color w:val="000000" w:themeColor="text1"/>
          <w:szCs w:val="21"/>
        </w:rPr>
        <w:t>（查询日期为从招标文件发售之日起至投标截止日前）</w:t>
      </w:r>
    </w:p>
    <w:p/>
    <w:p/>
    <w:bookmarkEnd w:id="104"/>
    <w:p>
      <w:pPr>
        <w:ind w:firstLine="420" w:firstLineChars="200"/>
      </w:pPr>
    </w:p>
    <w:p>
      <w:pPr>
        <w:rPr>
          <w:rFonts w:hint="eastAsia"/>
          <w:sz w:val="24"/>
          <w:szCs w:val="28"/>
        </w:rPr>
        <w:sectPr>
          <w:pgSz w:w="11906" w:h="16838"/>
          <w:pgMar w:top="1440" w:right="863" w:bottom="1440" w:left="1803" w:header="851" w:footer="992" w:gutter="0"/>
          <w:cols w:space="720" w:num="1"/>
          <w:docGrid w:type="lines" w:linePitch="319" w:charSpace="0"/>
        </w:sectPr>
      </w:pPr>
      <w:r>
        <w:rPr>
          <w:rFonts w:hint="eastAsia"/>
          <w:sz w:val="24"/>
          <w:szCs w:val="28"/>
          <w:lang w:val="en-US" w:eastAsia="zh-CN"/>
        </w:rPr>
        <w:t>10</w:t>
      </w:r>
      <w:r>
        <w:rPr>
          <w:rFonts w:hint="eastAsia"/>
          <w:sz w:val="24"/>
          <w:szCs w:val="28"/>
        </w:rPr>
        <w:t>、供应商认为应递交的其他证明材料。</w:t>
      </w:r>
    </w:p>
    <w:p>
      <w:pPr>
        <w:pStyle w:val="5"/>
        <w:spacing w:beforeLines="100" w:afterLines="150" w:line="500" w:lineRule="exact"/>
        <w:rPr>
          <w:rFonts w:ascii="宋体" w:hAnsi="宋体"/>
          <w:sz w:val="36"/>
          <w:szCs w:val="36"/>
        </w:rPr>
      </w:pPr>
      <w:bookmarkStart w:id="105" w:name="_Toc110"/>
      <w:r>
        <w:rPr>
          <w:rFonts w:hint="eastAsia" w:ascii="宋体" w:hAnsi="宋体"/>
          <w:sz w:val="36"/>
          <w:szCs w:val="36"/>
        </w:rPr>
        <w:t>第七部分 投标技术方案</w:t>
      </w:r>
      <w:bookmarkEnd w:id="105"/>
    </w:p>
    <w:p>
      <w:pPr>
        <w:rPr>
          <w:b/>
          <w:bCs/>
          <w:sz w:val="32"/>
          <w:szCs w:val="36"/>
        </w:rPr>
      </w:pPr>
      <w:r>
        <w:rPr>
          <w:rFonts w:hint="eastAsia"/>
          <w:b/>
          <w:bCs/>
          <w:sz w:val="32"/>
          <w:szCs w:val="36"/>
        </w:rPr>
        <w:t>供应商按照招标文件第四部分评标办法编写技术方案，包含但不限于及以下格式。</w:t>
      </w:r>
    </w:p>
    <w:p>
      <w:pPr>
        <w:spacing w:line="480" w:lineRule="auto"/>
        <w:ind w:firstLine="420" w:firstLineChars="150"/>
        <w:rPr>
          <w:rFonts w:ascii="宋体" w:hAnsi="宋体"/>
          <w:sz w:val="28"/>
          <w:szCs w:val="28"/>
        </w:rPr>
      </w:pPr>
      <w:r>
        <w:rPr>
          <w:rFonts w:hint="eastAsia" w:ascii="宋体" w:hAnsi="宋体"/>
          <w:sz w:val="28"/>
          <w:szCs w:val="28"/>
        </w:rPr>
        <w:t>1、供应商简介，附生产厂家简介；</w:t>
      </w:r>
    </w:p>
    <w:p>
      <w:pPr>
        <w:spacing w:line="480" w:lineRule="auto"/>
        <w:ind w:firstLine="420" w:firstLineChars="150"/>
        <w:rPr>
          <w:rFonts w:ascii="宋体" w:hAnsi="宋体"/>
          <w:sz w:val="28"/>
          <w:szCs w:val="28"/>
        </w:rPr>
      </w:pPr>
      <w:r>
        <w:rPr>
          <w:rFonts w:hint="eastAsia" w:ascii="宋体" w:hAnsi="宋体"/>
          <w:sz w:val="28"/>
          <w:szCs w:val="28"/>
        </w:rPr>
        <w:t>2、投标产品的基本配置、规格、技术参数、基本功能和特殊功能、彩色产品样本和说明；</w:t>
      </w:r>
    </w:p>
    <w:p>
      <w:pPr>
        <w:spacing w:line="480" w:lineRule="auto"/>
        <w:ind w:firstLine="420" w:firstLineChars="150"/>
        <w:rPr>
          <w:rFonts w:ascii="宋体" w:hAnsi="宋体"/>
          <w:sz w:val="28"/>
          <w:szCs w:val="28"/>
        </w:rPr>
      </w:pPr>
      <w:r>
        <w:rPr>
          <w:rFonts w:hint="eastAsia" w:ascii="宋体" w:hAnsi="宋体"/>
          <w:sz w:val="28"/>
          <w:szCs w:val="28"/>
        </w:rPr>
        <w:t>3、项目组织管理及实施方案；</w:t>
      </w:r>
    </w:p>
    <w:p>
      <w:pPr>
        <w:spacing w:line="480" w:lineRule="auto"/>
        <w:ind w:firstLine="420" w:firstLineChars="150"/>
        <w:rPr>
          <w:rFonts w:ascii="宋体" w:hAnsi="宋体"/>
          <w:sz w:val="28"/>
          <w:szCs w:val="28"/>
        </w:rPr>
      </w:pPr>
      <w:r>
        <w:rPr>
          <w:rFonts w:hint="eastAsia" w:ascii="宋体" w:hAnsi="宋体"/>
          <w:sz w:val="28"/>
          <w:szCs w:val="28"/>
        </w:rPr>
        <w:t>4、投标产品的供货、实施、培训等技术组织方案；</w:t>
      </w:r>
    </w:p>
    <w:p/>
    <w:p/>
    <w:p>
      <w:pPr>
        <w:rPr>
          <w:rFonts w:ascii="宋体" w:hAnsi="宋体"/>
          <w:sz w:val="28"/>
          <w:szCs w:val="28"/>
        </w:rPr>
        <w:sectPr>
          <w:pgSz w:w="11906" w:h="16838"/>
          <w:pgMar w:top="1440" w:right="863" w:bottom="1440" w:left="1803" w:header="851" w:footer="992" w:gutter="0"/>
          <w:cols w:space="720" w:num="1"/>
          <w:docGrid w:type="lines" w:linePitch="319" w:charSpace="0"/>
        </w:sectPr>
      </w:pPr>
    </w:p>
    <w:p>
      <w:pPr>
        <w:spacing w:line="480" w:lineRule="auto"/>
        <w:rPr>
          <w:rFonts w:ascii="宋体" w:hAnsi="宋体"/>
          <w:sz w:val="28"/>
          <w:szCs w:val="28"/>
        </w:rPr>
      </w:pPr>
      <w:r>
        <w:rPr>
          <w:rFonts w:hint="eastAsia" w:ascii="宋体" w:hAnsi="宋体"/>
          <w:sz w:val="28"/>
          <w:szCs w:val="28"/>
        </w:rPr>
        <w:t>5、售后服务方案及培训计划；</w:t>
      </w:r>
    </w:p>
    <w:p>
      <w:pPr>
        <w:spacing w:line="360" w:lineRule="auto"/>
        <w:rPr>
          <w:sz w:val="24"/>
          <w:szCs w:val="24"/>
        </w:rPr>
      </w:pPr>
      <w:r>
        <w:rPr>
          <w:rFonts w:hint="eastAsia"/>
          <w:sz w:val="24"/>
          <w:szCs w:val="24"/>
        </w:rPr>
        <w:t>售后服务承诺及培训计划由供应商根据招标文件自行编写，包含但不限于以下内容：</w:t>
      </w:r>
    </w:p>
    <w:p>
      <w:pPr>
        <w:spacing w:line="360" w:lineRule="auto"/>
        <w:rPr>
          <w:sz w:val="24"/>
          <w:szCs w:val="24"/>
        </w:rPr>
      </w:pPr>
      <w:r>
        <w:rPr>
          <w:rFonts w:hint="eastAsia"/>
          <w:sz w:val="24"/>
          <w:szCs w:val="24"/>
        </w:rPr>
        <w:t>5-1针对本项目投标产品的质量保证承诺 （含售前、售中、售后的质量保证承诺）</w:t>
      </w:r>
    </w:p>
    <w:p>
      <w:pPr>
        <w:spacing w:line="360" w:lineRule="auto"/>
        <w:rPr>
          <w:sz w:val="24"/>
          <w:szCs w:val="24"/>
        </w:rPr>
      </w:pPr>
      <w:r>
        <w:rPr>
          <w:rFonts w:hint="eastAsia"/>
          <w:sz w:val="24"/>
          <w:szCs w:val="24"/>
        </w:rPr>
        <w:t>5-2针对本项目完善的本地化售后服务方案（含售后服务概述；故障报修服务；满意度及回访调查服务；培训服务）</w:t>
      </w:r>
    </w:p>
    <w:p>
      <w:pPr>
        <w:spacing w:line="360" w:lineRule="auto"/>
        <w:rPr>
          <w:sz w:val="24"/>
          <w:szCs w:val="24"/>
        </w:rPr>
      </w:pPr>
      <w:r>
        <w:rPr>
          <w:rFonts w:hint="eastAsia"/>
          <w:sz w:val="24"/>
          <w:szCs w:val="24"/>
        </w:rPr>
        <w:t>5-3针对本项目的产品使用及技术支持的培训计划（含培训时间、地点、培训人员数量、培训对象、主要内容、培训步骤、培训费用免费的承诺）</w:t>
      </w:r>
    </w:p>
    <w:p>
      <w:pPr>
        <w:spacing w:line="360" w:lineRule="auto"/>
        <w:rPr>
          <w:sz w:val="24"/>
          <w:szCs w:val="24"/>
        </w:rPr>
      </w:pPr>
      <w:r>
        <w:rPr>
          <w:rFonts w:hint="eastAsia"/>
          <w:sz w:val="24"/>
          <w:szCs w:val="24"/>
        </w:rPr>
        <w:t>5-4 供应商本项目技术培训、服务人员情况表（见下表）</w:t>
      </w:r>
    </w:p>
    <w:p>
      <w:pPr>
        <w:rPr>
          <w:rFonts w:ascii="宋体"/>
        </w:rPr>
      </w:pPr>
    </w:p>
    <w:tbl>
      <w:tblPr>
        <w:tblStyle w:val="25"/>
        <w:tblW w:w="82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699"/>
        <w:gridCol w:w="949"/>
        <w:gridCol w:w="1499"/>
        <w:gridCol w:w="1363"/>
        <w:gridCol w:w="1315"/>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jc w:val="center"/>
        </w:trPr>
        <w:tc>
          <w:tcPr>
            <w:tcW w:w="816" w:type="dxa"/>
            <w:vAlign w:val="center"/>
          </w:tcPr>
          <w:p>
            <w:pPr>
              <w:spacing w:line="400" w:lineRule="exact"/>
              <w:jc w:val="center"/>
              <w:rPr>
                <w:rFonts w:ascii="宋体"/>
              </w:rPr>
            </w:pPr>
            <w:r>
              <w:rPr>
                <w:rFonts w:hint="eastAsia" w:ascii="宋体" w:hAnsi="宋体" w:cs="宋体"/>
              </w:rPr>
              <w:t>类别</w:t>
            </w:r>
          </w:p>
        </w:tc>
        <w:tc>
          <w:tcPr>
            <w:tcW w:w="699" w:type="dxa"/>
            <w:vAlign w:val="center"/>
          </w:tcPr>
          <w:p>
            <w:pPr>
              <w:spacing w:line="400" w:lineRule="exact"/>
              <w:jc w:val="center"/>
              <w:rPr>
                <w:rFonts w:ascii="宋体"/>
              </w:rPr>
            </w:pPr>
            <w:r>
              <w:rPr>
                <w:rFonts w:hint="eastAsia" w:ascii="宋体" w:hAnsi="宋体" w:cs="宋体"/>
              </w:rPr>
              <w:t>职务</w:t>
            </w:r>
          </w:p>
        </w:tc>
        <w:tc>
          <w:tcPr>
            <w:tcW w:w="949" w:type="dxa"/>
            <w:vAlign w:val="center"/>
          </w:tcPr>
          <w:p>
            <w:pPr>
              <w:spacing w:line="400" w:lineRule="exact"/>
              <w:jc w:val="center"/>
              <w:rPr>
                <w:rFonts w:ascii="宋体"/>
              </w:rPr>
            </w:pPr>
            <w:r>
              <w:rPr>
                <w:rFonts w:hint="eastAsia" w:ascii="宋体" w:hAnsi="宋体" w:cs="宋体"/>
              </w:rPr>
              <w:t>姓名</w:t>
            </w:r>
          </w:p>
        </w:tc>
        <w:tc>
          <w:tcPr>
            <w:tcW w:w="1499" w:type="dxa"/>
            <w:vAlign w:val="center"/>
          </w:tcPr>
          <w:p>
            <w:pPr>
              <w:spacing w:line="400" w:lineRule="exact"/>
              <w:jc w:val="center"/>
              <w:rPr>
                <w:rFonts w:ascii="宋体"/>
              </w:rPr>
            </w:pPr>
            <w:r>
              <w:rPr>
                <w:rFonts w:hint="eastAsia" w:ascii="宋体" w:hAnsi="宋体" w:cs="宋体"/>
              </w:rPr>
              <w:t>身份证号码</w:t>
            </w:r>
          </w:p>
        </w:tc>
        <w:tc>
          <w:tcPr>
            <w:tcW w:w="1363" w:type="dxa"/>
            <w:vAlign w:val="center"/>
          </w:tcPr>
          <w:p>
            <w:pPr>
              <w:spacing w:line="400" w:lineRule="exact"/>
              <w:jc w:val="center"/>
              <w:rPr>
                <w:rFonts w:ascii="宋体"/>
              </w:rPr>
            </w:pPr>
            <w:r>
              <w:rPr>
                <w:rFonts w:hint="eastAsia" w:ascii="宋体" w:hAnsi="宋体" w:cs="宋体"/>
              </w:rPr>
              <w:t>联系方式</w:t>
            </w:r>
          </w:p>
        </w:tc>
        <w:tc>
          <w:tcPr>
            <w:tcW w:w="1315" w:type="dxa"/>
            <w:vAlign w:val="center"/>
          </w:tcPr>
          <w:p>
            <w:pPr>
              <w:spacing w:line="400" w:lineRule="exact"/>
              <w:jc w:val="center"/>
              <w:rPr>
                <w:rFonts w:ascii="宋体"/>
              </w:rPr>
            </w:pPr>
            <w:r>
              <w:rPr>
                <w:rFonts w:hint="eastAsia" w:ascii="宋体" w:hAnsi="宋体" w:cs="宋体"/>
              </w:rPr>
              <w:t>专业</w:t>
            </w:r>
          </w:p>
        </w:tc>
        <w:tc>
          <w:tcPr>
            <w:tcW w:w="1619" w:type="dxa"/>
            <w:vAlign w:val="center"/>
          </w:tcPr>
          <w:p>
            <w:pPr>
              <w:spacing w:line="400" w:lineRule="exact"/>
              <w:jc w:val="center"/>
              <w:rPr>
                <w:rFonts w:ascii="宋体"/>
              </w:rPr>
            </w:pPr>
            <w:r>
              <w:rPr>
                <w:rFonts w:hint="eastAsia" w:ascii="宋体" w:hAnsi="宋体" w:cs="宋体"/>
              </w:rPr>
              <w:t>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816" w:type="dxa"/>
            <w:vMerge w:val="restart"/>
          </w:tcPr>
          <w:p>
            <w:pPr>
              <w:spacing w:line="400" w:lineRule="exact"/>
              <w:jc w:val="center"/>
              <w:rPr>
                <w:rFonts w:ascii="宋体"/>
              </w:rPr>
            </w:pPr>
            <w:r>
              <w:rPr>
                <w:rFonts w:hint="eastAsia" w:ascii="宋体" w:hAnsi="宋体" w:cs="宋体"/>
              </w:rPr>
              <w:t>管</w:t>
            </w:r>
          </w:p>
          <w:p>
            <w:pPr>
              <w:spacing w:line="400" w:lineRule="exact"/>
              <w:jc w:val="center"/>
              <w:rPr>
                <w:rFonts w:ascii="宋体"/>
              </w:rPr>
            </w:pPr>
            <w:r>
              <w:rPr>
                <w:rFonts w:hint="eastAsia" w:ascii="宋体" w:hAnsi="宋体" w:cs="宋体"/>
              </w:rPr>
              <w:t>理</w:t>
            </w:r>
          </w:p>
          <w:p>
            <w:pPr>
              <w:spacing w:line="400" w:lineRule="exact"/>
              <w:jc w:val="center"/>
              <w:rPr>
                <w:rFonts w:ascii="宋体"/>
              </w:rPr>
            </w:pPr>
            <w:r>
              <w:rPr>
                <w:rFonts w:hint="eastAsia" w:ascii="宋体" w:hAnsi="宋体" w:cs="宋体"/>
              </w:rPr>
              <w:t>人</w:t>
            </w:r>
          </w:p>
          <w:p>
            <w:pPr>
              <w:spacing w:line="400" w:lineRule="exact"/>
              <w:jc w:val="center"/>
              <w:rPr>
                <w:rFonts w:ascii="宋体"/>
              </w:rPr>
            </w:pPr>
            <w:r>
              <w:rPr>
                <w:rFonts w:hint="eastAsia" w:ascii="宋体" w:hAnsi="宋体" w:cs="宋体"/>
              </w:rPr>
              <w:t>员</w:t>
            </w: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jc w:val="center"/>
        </w:trPr>
        <w:tc>
          <w:tcPr>
            <w:tcW w:w="816" w:type="dxa"/>
            <w:vMerge w:val="restart"/>
          </w:tcPr>
          <w:p>
            <w:pPr>
              <w:spacing w:line="400" w:lineRule="exact"/>
              <w:jc w:val="center"/>
              <w:rPr>
                <w:rFonts w:ascii="宋体"/>
              </w:rPr>
            </w:pPr>
            <w:r>
              <w:rPr>
                <w:rFonts w:hint="eastAsia" w:ascii="宋体" w:hAnsi="宋体" w:cs="宋体"/>
              </w:rPr>
              <w:t>技</w:t>
            </w:r>
          </w:p>
          <w:p>
            <w:pPr>
              <w:spacing w:line="400" w:lineRule="exact"/>
              <w:jc w:val="center"/>
              <w:rPr>
                <w:rFonts w:ascii="宋体"/>
              </w:rPr>
            </w:pPr>
            <w:r>
              <w:rPr>
                <w:rFonts w:hint="eastAsia" w:ascii="宋体" w:hAnsi="宋体" w:cs="宋体"/>
              </w:rPr>
              <w:t>术</w:t>
            </w:r>
          </w:p>
          <w:p>
            <w:pPr>
              <w:spacing w:line="400" w:lineRule="exact"/>
              <w:jc w:val="center"/>
              <w:rPr>
                <w:rFonts w:ascii="宋体"/>
              </w:rPr>
            </w:pPr>
            <w:r>
              <w:rPr>
                <w:rFonts w:hint="eastAsia" w:ascii="宋体" w:hAnsi="宋体" w:cs="宋体"/>
              </w:rPr>
              <w:t>培</w:t>
            </w:r>
          </w:p>
          <w:p>
            <w:pPr>
              <w:spacing w:line="400" w:lineRule="exact"/>
              <w:jc w:val="center"/>
              <w:rPr>
                <w:rFonts w:ascii="宋体"/>
              </w:rPr>
            </w:pPr>
            <w:r>
              <w:rPr>
                <w:rFonts w:hint="eastAsia" w:ascii="宋体" w:hAnsi="宋体" w:cs="宋体"/>
              </w:rPr>
              <w:t>训</w:t>
            </w:r>
          </w:p>
          <w:p>
            <w:pPr>
              <w:spacing w:line="400" w:lineRule="exact"/>
              <w:jc w:val="center"/>
              <w:rPr>
                <w:rFonts w:ascii="宋体"/>
              </w:rPr>
            </w:pPr>
            <w:r>
              <w:rPr>
                <w:rFonts w:hint="eastAsia" w:ascii="宋体" w:hAnsi="宋体" w:cs="宋体"/>
              </w:rPr>
              <w:t>人</w:t>
            </w:r>
          </w:p>
          <w:p>
            <w:pPr>
              <w:spacing w:line="400" w:lineRule="exact"/>
              <w:jc w:val="center"/>
              <w:rPr>
                <w:rFonts w:ascii="宋体"/>
              </w:rPr>
            </w:pPr>
            <w:r>
              <w:rPr>
                <w:rFonts w:hint="eastAsia" w:ascii="宋体" w:hAnsi="宋体" w:cs="宋体"/>
              </w:rPr>
              <w:t>员</w:t>
            </w: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816" w:type="dxa"/>
            <w:vMerge w:val="restart"/>
          </w:tcPr>
          <w:p>
            <w:pPr>
              <w:spacing w:line="400" w:lineRule="exact"/>
              <w:jc w:val="center"/>
              <w:rPr>
                <w:rFonts w:ascii="宋体"/>
              </w:rPr>
            </w:pPr>
            <w:r>
              <w:rPr>
                <w:rFonts w:hint="eastAsia" w:ascii="宋体" w:hAnsi="宋体" w:cs="宋体"/>
              </w:rPr>
              <w:t>售后</w:t>
            </w:r>
          </w:p>
          <w:p>
            <w:pPr>
              <w:spacing w:line="400" w:lineRule="exact"/>
              <w:jc w:val="center"/>
              <w:rPr>
                <w:rFonts w:ascii="宋体"/>
              </w:rPr>
            </w:pPr>
            <w:r>
              <w:rPr>
                <w:rFonts w:hint="eastAsia" w:ascii="宋体" w:hAnsi="宋体" w:cs="宋体"/>
              </w:rPr>
              <w:t>服务</w:t>
            </w:r>
          </w:p>
          <w:p>
            <w:pPr>
              <w:spacing w:line="400" w:lineRule="exact"/>
              <w:jc w:val="center"/>
              <w:rPr>
                <w:rFonts w:ascii="宋体"/>
              </w:rPr>
            </w:pPr>
            <w:r>
              <w:rPr>
                <w:rFonts w:hint="eastAsia" w:ascii="宋体" w:hAnsi="宋体" w:cs="宋体"/>
              </w:rPr>
              <w:t>人员</w:t>
            </w:r>
          </w:p>
        </w:tc>
        <w:tc>
          <w:tcPr>
            <w:tcW w:w="699" w:type="dxa"/>
          </w:tcPr>
          <w:p>
            <w:pPr>
              <w:spacing w:line="400" w:lineRule="exact"/>
              <w:jc w:val="center"/>
              <w:rPr>
                <w:rFonts w:ascii="宋体"/>
              </w:rPr>
            </w:pPr>
          </w:p>
        </w:tc>
        <w:tc>
          <w:tcPr>
            <w:tcW w:w="949" w:type="dxa"/>
          </w:tcPr>
          <w:p>
            <w:pPr>
              <w:spacing w:line="400" w:lineRule="exact"/>
              <w:jc w:val="center"/>
              <w:rPr>
                <w:rFonts w:ascii="宋体"/>
              </w:rPr>
            </w:pPr>
          </w:p>
        </w:tc>
        <w:tc>
          <w:tcPr>
            <w:tcW w:w="1499" w:type="dxa"/>
          </w:tcPr>
          <w:p>
            <w:pPr>
              <w:spacing w:line="400" w:lineRule="exact"/>
              <w:jc w:val="center"/>
              <w:rPr>
                <w:rFonts w:ascii="宋体"/>
              </w:rPr>
            </w:pPr>
          </w:p>
        </w:tc>
        <w:tc>
          <w:tcPr>
            <w:tcW w:w="1363" w:type="dxa"/>
          </w:tcPr>
          <w:p>
            <w:pPr>
              <w:spacing w:line="400" w:lineRule="exact"/>
              <w:jc w:val="center"/>
              <w:rPr>
                <w:rFonts w:ascii="宋体"/>
              </w:rPr>
            </w:pPr>
          </w:p>
        </w:tc>
        <w:tc>
          <w:tcPr>
            <w:tcW w:w="1315" w:type="dxa"/>
          </w:tcPr>
          <w:p>
            <w:pPr>
              <w:spacing w:line="400" w:lineRule="exact"/>
              <w:jc w:val="center"/>
              <w:rPr>
                <w:rFonts w:ascii="宋体"/>
              </w:rPr>
            </w:pPr>
          </w:p>
        </w:tc>
        <w:tc>
          <w:tcPr>
            <w:tcW w:w="1619" w:type="dxa"/>
          </w:tcPr>
          <w:p>
            <w:pPr>
              <w:spacing w:line="4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b/>
                <w:bCs/>
              </w:rPr>
            </w:pPr>
          </w:p>
        </w:tc>
        <w:tc>
          <w:tcPr>
            <w:tcW w:w="1499" w:type="dxa"/>
          </w:tcPr>
          <w:p>
            <w:pPr>
              <w:spacing w:line="400" w:lineRule="exact"/>
              <w:jc w:val="center"/>
              <w:rPr>
                <w:rFonts w:ascii="宋体"/>
                <w:b/>
                <w:bCs/>
              </w:rPr>
            </w:pPr>
          </w:p>
        </w:tc>
        <w:tc>
          <w:tcPr>
            <w:tcW w:w="1363" w:type="dxa"/>
          </w:tcPr>
          <w:p>
            <w:pPr>
              <w:spacing w:line="400" w:lineRule="exact"/>
              <w:jc w:val="center"/>
              <w:rPr>
                <w:rFonts w:ascii="宋体"/>
                <w:b/>
                <w:bCs/>
              </w:rPr>
            </w:pPr>
          </w:p>
        </w:tc>
        <w:tc>
          <w:tcPr>
            <w:tcW w:w="1315" w:type="dxa"/>
          </w:tcPr>
          <w:p>
            <w:pPr>
              <w:spacing w:line="400" w:lineRule="exact"/>
              <w:jc w:val="center"/>
              <w:rPr>
                <w:rFonts w:ascii="宋体"/>
                <w:b/>
                <w:bCs/>
              </w:rPr>
            </w:pPr>
          </w:p>
        </w:tc>
        <w:tc>
          <w:tcPr>
            <w:tcW w:w="1619" w:type="dxa"/>
          </w:tcPr>
          <w:p>
            <w:pPr>
              <w:spacing w:line="400" w:lineRule="exact"/>
              <w:jc w:val="center"/>
              <w:rPr>
                <w:rFonts w:ascii="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7" w:hRule="atLeast"/>
          <w:jc w:val="center"/>
        </w:trPr>
        <w:tc>
          <w:tcPr>
            <w:tcW w:w="816" w:type="dxa"/>
            <w:vMerge w:val="continue"/>
          </w:tcPr>
          <w:p>
            <w:pPr>
              <w:spacing w:line="400" w:lineRule="exact"/>
              <w:jc w:val="center"/>
              <w:rPr>
                <w:rFonts w:ascii="宋体"/>
              </w:rPr>
            </w:pPr>
          </w:p>
        </w:tc>
        <w:tc>
          <w:tcPr>
            <w:tcW w:w="699" w:type="dxa"/>
          </w:tcPr>
          <w:p>
            <w:pPr>
              <w:spacing w:line="400" w:lineRule="exact"/>
              <w:jc w:val="center"/>
              <w:rPr>
                <w:rFonts w:ascii="宋体"/>
              </w:rPr>
            </w:pPr>
          </w:p>
        </w:tc>
        <w:tc>
          <w:tcPr>
            <w:tcW w:w="949" w:type="dxa"/>
          </w:tcPr>
          <w:p>
            <w:pPr>
              <w:spacing w:line="400" w:lineRule="exact"/>
              <w:jc w:val="center"/>
              <w:rPr>
                <w:rFonts w:ascii="宋体"/>
                <w:b/>
                <w:bCs/>
              </w:rPr>
            </w:pPr>
          </w:p>
        </w:tc>
        <w:tc>
          <w:tcPr>
            <w:tcW w:w="1499" w:type="dxa"/>
          </w:tcPr>
          <w:p>
            <w:pPr>
              <w:spacing w:line="400" w:lineRule="exact"/>
              <w:jc w:val="center"/>
              <w:rPr>
                <w:rFonts w:ascii="宋体"/>
                <w:b/>
                <w:bCs/>
              </w:rPr>
            </w:pPr>
          </w:p>
        </w:tc>
        <w:tc>
          <w:tcPr>
            <w:tcW w:w="1363" w:type="dxa"/>
          </w:tcPr>
          <w:p>
            <w:pPr>
              <w:spacing w:line="400" w:lineRule="exact"/>
              <w:jc w:val="center"/>
              <w:rPr>
                <w:rFonts w:ascii="宋体"/>
                <w:b/>
                <w:bCs/>
              </w:rPr>
            </w:pPr>
          </w:p>
        </w:tc>
        <w:tc>
          <w:tcPr>
            <w:tcW w:w="1315" w:type="dxa"/>
          </w:tcPr>
          <w:p>
            <w:pPr>
              <w:spacing w:line="400" w:lineRule="exact"/>
              <w:jc w:val="center"/>
              <w:rPr>
                <w:rFonts w:ascii="宋体"/>
                <w:b/>
                <w:bCs/>
              </w:rPr>
            </w:pPr>
          </w:p>
        </w:tc>
        <w:tc>
          <w:tcPr>
            <w:tcW w:w="1619" w:type="dxa"/>
          </w:tcPr>
          <w:p>
            <w:pPr>
              <w:spacing w:line="400" w:lineRule="exact"/>
              <w:jc w:val="center"/>
              <w:rPr>
                <w:rFonts w:ascii="宋体"/>
                <w:b/>
                <w:bCs/>
              </w:rPr>
            </w:pPr>
          </w:p>
        </w:tc>
      </w:tr>
    </w:tbl>
    <w:p>
      <w:r>
        <w:rPr>
          <w:rFonts w:hint="eastAsia"/>
        </w:rPr>
        <w:br w:type="page"/>
      </w:r>
    </w:p>
    <w:p>
      <w:pPr>
        <w:pStyle w:val="5"/>
        <w:rPr>
          <w:rFonts w:ascii="宋体" w:hAnsi="宋体"/>
          <w:sz w:val="24"/>
          <w:szCs w:val="24"/>
        </w:rPr>
      </w:pPr>
      <w:bookmarkStart w:id="106" w:name="_Toc17114"/>
      <w:r>
        <w:rPr>
          <w:rFonts w:hint="eastAsia" w:ascii="宋体" w:hAnsi="宋体"/>
          <w:sz w:val="36"/>
          <w:szCs w:val="36"/>
        </w:rPr>
        <w:t>第八部分 供应商类似项目业绩一览表</w:t>
      </w:r>
      <w:bookmarkEnd w:id="106"/>
      <w:r>
        <w:rPr>
          <w:rFonts w:hint="eastAsia" w:ascii="宋体" w:hAnsi="宋体"/>
          <w:sz w:val="24"/>
          <w:szCs w:val="24"/>
        </w:rPr>
        <w:t xml:space="preserve"> </w:t>
      </w:r>
    </w:p>
    <w:tbl>
      <w:tblPr>
        <w:tblStyle w:val="25"/>
        <w:tblW w:w="882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23"/>
        <w:gridCol w:w="1446"/>
        <w:gridCol w:w="1325"/>
        <w:gridCol w:w="1341"/>
        <w:gridCol w:w="1424"/>
        <w:gridCol w:w="1511"/>
        <w:gridCol w:w="10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2" w:hRule="atLeast"/>
        </w:trPr>
        <w:tc>
          <w:tcPr>
            <w:tcW w:w="723" w:type="dxa"/>
            <w:tcBorders>
              <w:top w:val="single" w:color="auto" w:sz="4" w:space="0"/>
            </w:tcBorders>
            <w:vAlign w:val="center"/>
          </w:tcPr>
          <w:p>
            <w:pPr>
              <w:spacing w:line="400" w:lineRule="exact"/>
              <w:rPr>
                <w:rFonts w:ascii="宋体" w:hAnsi="宋体"/>
                <w:bCs/>
                <w:szCs w:val="21"/>
              </w:rPr>
            </w:pPr>
            <w:r>
              <w:rPr>
                <w:rFonts w:hint="eastAsia" w:ascii="宋体" w:hAnsi="宋体"/>
                <w:bCs/>
                <w:szCs w:val="21"/>
              </w:rPr>
              <w:t>年份</w:t>
            </w:r>
          </w:p>
        </w:tc>
        <w:tc>
          <w:tcPr>
            <w:tcW w:w="1446" w:type="dxa"/>
            <w:vAlign w:val="center"/>
          </w:tcPr>
          <w:p>
            <w:pPr>
              <w:spacing w:line="400" w:lineRule="exact"/>
              <w:jc w:val="center"/>
              <w:rPr>
                <w:rFonts w:ascii="宋体" w:hAnsi="宋体"/>
                <w:bCs/>
                <w:szCs w:val="21"/>
              </w:rPr>
            </w:pPr>
            <w:r>
              <w:rPr>
                <w:rFonts w:hint="eastAsia" w:ascii="宋体" w:hAnsi="宋体"/>
                <w:bCs/>
                <w:szCs w:val="21"/>
              </w:rPr>
              <w:t>用户名称</w:t>
            </w:r>
          </w:p>
        </w:tc>
        <w:tc>
          <w:tcPr>
            <w:tcW w:w="1325" w:type="dxa"/>
            <w:vAlign w:val="center"/>
          </w:tcPr>
          <w:p>
            <w:pPr>
              <w:spacing w:line="400" w:lineRule="exact"/>
              <w:jc w:val="center"/>
              <w:rPr>
                <w:rFonts w:ascii="宋体" w:hAnsi="宋体"/>
                <w:bCs/>
                <w:szCs w:val="21"/>
              </w:rPr>
            </w:pPr>
            <w:r>
              <w:rPr>
                <w:rFonts w:hint="eastAsia" w:ascii="宋体" w:hAnsi="宋体"/>
                <w:bCs/>
                <w:szCs w:val="21"/>
              </w:rPr>
              <w:t>项目名称</w:t>
            </w:r>
          </w:p>
        </w:tc>
        <w:tc>
          <w:tcPr>
            <w:tcW w:w="1341" w:type="dxa"/>
            <w:vAlign w:val="center"/>
          </w:tcPr>
          <w:p>
            <w:pPr>
              <w:spacing w:line="400" w:lineRule="exact"/>
              <w:jc w:val="center"/>
              <w:rPr>
                <w:rFonts w:ascii="宋体" w:hAnsi="宋体"/>
                <w:bCs/>
                <w:szCs w:val="21"/>
              </w:rPr>
            </w:pPr>
            <w:r>
              <w:rPr>
                <w:rFonts w:hint="eastAsia" w:ascii="宋体" w:hAnsi="宋体"/>
                <w:bCs/>
                <w:szCs w:val="21"/>
              </w:rPr>
              <w:t>完成时间</w:t>
            </w:r>
          </w:p>
        </w:tc>
        <w:tc>
          <w:tcPr>
            <w:tcW w:w="1424" w:type="dxa"/>
            <w:vAlign w:val="center"/>
          </w:tcPr>
          <w:p>
            <w:pPr>
              <w:spacing w:line="400" w:lineRule="exact"/>
              <w:ind w:firstLine="105" w:firstLineChars="50"/>
              <w:rPr>
                <w:rFonts w:ascii="宋体" w:hAnsi="宋体"/>
                <w:bCs/>
                <w:szCs w:val="21"/>
              </w:rPr>
            </w:pPr>
            <w:r>
              <w:rPr>
                <w:rFonts w:hint="eastAsia" w:ascii="宋体" w:hAnsi="宋体"/>
                <w:bCs/>
                <w:szCs w:val="21"/>
              </w:rPr>
              <w:t>合同金额</w:t>
            </w:r>
          </w:p>
        </w:tc>
        <w:tc>
          <w:tcPr>
            <w:tcW w:w="1511" w:type="dxa"/>
            <w:tcBorders>
              <w:right w:val="single" w:color="auto" w:sz="4" w:space="0"/>
            </w:tcBorders>
            <w:vAlign w:val="center"/>
          </w:tcPr>
          <w:p>
            <w:pPr>
              <w:spacing w:line="400" w:lineRule="exact"/>
              <w:ind w:left="204" w:hanging="203" w:hangingChars="97"/>
              <w:rPr>
                <w:rFonts w:ascii="宋体" w:hAnsi="宋体"/>
                <w:bCs/>
                <w:szCs w:val="21"/>
              </w:rPr>
            </w:pPr>
            <w:r>
              <w:rPr>
                <w:rFonts w:hint="eastAsia" w:ascii="宋体" w:hAnsi="宋体"/>
                <w:bCs/>
                <w:szCs w:val="21"/>
              </w:rPr>
              <w:t>完成项目质量</w:t>
            </w:r>
          </w:p>
        </w:tc>
        <w:tc>
          <w:tcPr>
            <w:tcW w:w="1050" w:type="dxa"/>
            <w:tcBorders>
              <w:left w:val="single" w:color="auto" w:sz="4" w:space="0"/>
            </w:tcBorders>
            <w:vAlign w:val="center"/>
          </w:tcPr>
          <w:p>
            <w:pPr>
              <w:spacing w:line="400" w:lineRule="exact"/>
              <w:rPr>
                <w:rFonts w:ascii="宋体" w:hAnsi="宋体"/>
                <w:bCs/>
                <w:szCs w:val="21"/>
              </w:rPr>
            </w:pPr>
            <w:r>
              <w:rPr>
                <w:rFonts w:hint="eastAsia" w:ascii="宋体" w:hAnsi="宋体"/>
                <w:bCs/>
                <w:szCs w:val="21"/>
              </w:rPr>
              <w:t xml:space="preserve">  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bCs/>
                <w:szCs w:val="21"/>
              </w:rPr>
            </w:pPr>
          </w:p>
        </w:tc>
        <w:tc>
          <w:tcPr>
            <w:tcW w:w="1446" w:type="dxa"/>
            <w:vAlign w:val="center"/>
          </w:tcPr>
          <w:p>
            <w:pPr>
              <w:spacing w:line="400" w:lineRule="exact"/>
              <w:jc w:val="center"/>
              <w:rPr>
                <w:rFonts w:ascii="宋体" w:hAnsi="宋体"/>
                <w:bCs/>
                <w:szCs w:val="21"/>
              </w:rPr>
            </w:pPr>
          </w:p>
        </w:tc>
        <w:tc>
          <w:tcPr>
            <w:tcW w:w="1325" w:type="dxa"/>
            <w:vAlign w:val="center"/>
          </w:tcPr>
          <w:p>
            <w:pPr>
              <w:spacing w:line="400" w:lineRule="exact"/>
              <w:jc w:val="center"/>
              <w:rPr>
                <w:rFonts w:ascii="宋体" w:hAnsi="宋体"/>
                <w:bCs/>
                <w:szCs w:val="21"/>
              </w:rPr>
            </w:pPr>
          </w:p>
        </w:tc>
        <w:tc>
          <w:tcPr>
            <w:tcW w:w="1341" w:type="dxa"/>
            <w:vAlign w:val="center"/>
          </w:tcPr>
          <w:p>
            <w:pPr>
              <w:spacing w:line="400" w:lineRule="exact"/>
              <w:jc w:val="center"/>
              <w:rPr>
                <w:rFonts w:ascii="宋体" w:hAnsi="宋体"/>
                <w:bCs/>
                <w:szCs w:val="21"/>
              </w:rPr>
            </w:pPr>
          </w:p>
        </w:tc>
        <w:tc>
          <w:tcPr>
            <w:tcW w:w="1424" w:type="dxa"/>
            <w:vAlign w:val="center"/>
          </w:tcPr>
          <w:p>
            <w:pPr>
              <w:spacing w:line="400" w:lineRule="exact"/>
              <w:jc w:val="center"/>
              <w:rPr>
                <w:rFonts w:ascii="宋体" w:hAnsi="宋体"/>
                <w:bCs/>
                <w:szCs w:val="21"/>
              </w:rPr>
            </w:pPr>
          </w:p>
        </w:tc>
        <w:tc>
          <w:tcPr>
            <w:tcW w:w="1511" w:type="dxa"/>
            <w:tcBorders>
              <w:right w:val="single" w:color="auto" w:sz="4" w:space="0"/>
            </w:tcBorders>
            <w:vAlign w:val="center"/>
          </w:tcPr>
          <w:p>
            <w:pPr>
              <w:spacing w:line="400" w:lineRule="exact"/>
              <w:jc w:val="center"/>
              <w:rPr>
                <w:rFonts w:ascii="宋体" w:hAnsi="宋体"/>
                <w:bCs/>
                <w:szCs w:val="21"/>
              </w:rPr>
            </w:pPr>
          </w:p>
        </w:tc>
        <w:tc>
          <w:tcPr>
            <w:tcW w:w="1050" w:type="dxa"/>
            <w:tcBorders>
              <w:left w:val="single" w:color="auto" w:sz="4" w:space="0"/>
            </w:tcBorders>
            <w:vAlign w:val="center"/>
          </w:tcPr>
          <w:p>
            <w:pPr>
              <w:spacing w:line="40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bCs/>
                <w:szCs w:val="21"/>
              </w:rPr>
            </w:pPr>
          </w:p>
        </w:tc>
        <w:tc>
          <w:tcPr>
            <w:tcW w:w="1446" w:type="dxa"/>
            <w:vAlign w:val="center"/>
          </w:tcPr>
          <w:p>
            <w:pPr>
              <w:spacing w:line="400" w:lineRule="exact"/>
              <w:jc w:val="center"/>
              <w:rPr>
                <w:rFonts w:ascii="宋体" w:hAnsi="宋体"/>
                <w:bCs/>
                <w:szCs w:val="21"/>
              </w:rPr>
            </w:pPr>
          </w:p>
        </w:tc>
        <w:tc>
          <w:tcPr>
            <w:tcW w:w="1325" w:type="dxa"/>
            <w:vAlign w:val="center"/>
          </w:tcPr>
          <w:p>
            <w:pPr>
              <w:spacing w:line="400" w:lineRule="exact"/>
              <w:jc w:val="center"/>
              <w:rPr>
                <w:rFonts w:ascii="宋体" w:hAnsi="宋体"/>
                <w:bCs/>
                <w:szCs w:val="21"/>
              </w:rPr>
            </w:pPr>
          </w:p>
        </w:tc>
        <w:tc>
          <w:tcPr>
            <w:tcW w:w="1341" w:type="dxa"/>
            <w:vAlign w:val="center"/>
          </w:tcPr>
          <w:p>
            <w:pPr>
              <w:spacing w:line="400" w:lineRule="exact"/>
              <w:jc w:val="center"/>
              <w:rPr>
                <w:rFonts w:ascii="宋体" w:hAnsi="宋体"/>
                <w:bCs/>
                <w:szCs w:val="21"/>
              </w:rPr>
            </w:pPr>
          </w:p>
        </w:tc>
        <w:tc>
          <w:tcPr>
            <w:tcW w:w="1424" w:type="dxa"/>
            <w:vAlign w:val="center"/>
          </w:tcPr>
          <w:p>
            <w:pPr>
              <w:spacing w:line="400" w:lineRule="exact"/>
              <w:jc w:val="center"/>
              <w:rPr>
                <w:rFonts w:ascii="宋体" w:hAnsi="宋体"/>
                <w:bCs/>
                <w:szCs w:val="21"/>
              </w:rPr>
            </w:pPr>
          </w:p>
        </w:tc>
        <w:tc>
          <w:tcPr>
            <w:tcW w:w="1511" w:type="dxa"/>
            <w:tcBorders>
              <w:right w:val="single" w:color="auto" w:sz="4" w:space="0"/>
            </w:tcBorders>
            <w:vAlign w:val="center"/>
          </w:tcPr>
          <w:p>
            <w:pPr>
              <w:spacing w:line="400" w:lineRule="exact"/>
              <w:jc w:val="center"/>
              <w:rPr>
                <w:rFonts w:ascii="宋体" w:hAnsi="宋体"/>
                <w:bCs/>
                <w:szCs w:val="21"/>
              </w:rPr>
            </w:pPr>
          </w:p>
        </w:tc>
        <w:tc>
          <w:tcPr>
            <w:tcW w:w="1050" w:type="dxa"/>
            <w:tcBorders>
              <w:left w:val="single" w:color="auto" w:sz="4" w:space="0"/>
            </w:tcBorders>
            <w:vAlign w:val="center"/>
          </w:tcPr>
          <w:p>
            <w:pPr>
              <w:spacing w:line="40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bCs/>
                <w:szCs w:val="21"/>
              </w:rPr>
            </w:pPr>
          </w:p>
        </w:tc>
        <w:tc>
          <w:tcPr>
            <w:tcW w:w="1446" w:type="dxa"/>
            <w:vAlign w:val="center"/>
          </w:tcPr>
          <w:p>
            <w:pPr>
              <w:spacing w:line="400" w:lineRule="exact"/>
              <w:jc w:val="center"/>
              <w:rPr>
                <w:rFonts w:ascii="宋体" w:hAnsi="宋体"/>
                <w:bCs/>
                <w:szCs w:val="21"/>
              </w:rPr>
            </w:pPr>
          </w:p>
        </w:tc>
        <w:tc>
          <w:tcPr>
            <w:tcW w:w="1325" w:type="dxa"/>
            <w:vAlign w:val="center"/>
          </w:tcPr>
          <w:p>
            <w:pPr>
              <w:spacing w:line="400" w:lineRule="exact"/>
              <w:jc w:val="center"/>
              <w:rPr>
                <w:rFonts w:ascii="宋体" w:hAnsi="宋体"/>
                <w:bCs/>
                <w:szCs w:val="21"/>
              </w:rPr>
            </w:pPr>
          </w:p>
        </w:tc>
        <w:tc>
          <w:tcPr>
            <w:tcW w:w="1341" w:type="dxa"/>
            <w:vAlign w:val="center"/>
          </w:tcPr>
          <w:p>
            <w:pPr>
              <w:spacing w:line="400" w:lineRule="exact"/>
              <w:jc w:val="center"/>
              <w:rPr>
                <w:rFonts w:ascii="宋体" w:hAnsi="宋体"/>
                <w:bCs/>
                <w:szCs w:val="21"/>
              </w:rPr>
            </w:pPr>
          </w:p>
        </w:tc>
        <w:tc>
          <w:tcPr>
            <w:tcW w:w="1424" w:type="dxa"/>
            <w:vAlign w:val="center"/>
          </w:tcPr>
          <w:p>
            <w:pPr>
              <w:spacing w:line="400" w:lineRule="exact"/>
              <w:jc w:val="center"/>
              <w:rPr>
                <w:rFonts w:ascii="宋体" w:hAnsi="宋体"/>
                <w:bCs/>
                <w:szCs w:val="21"/>
              </w:rPr>
            </w:pPr>
          </w:p>
        </w:tc>
        <w:tc>
          <w:tcPr>
            <w:tcW w:w="1511" w:type="dxa"/>
            <w:tcBorders>
              <w:right w:val="single" w:color="auto" w:sz="4" w:space="0"/>
            </w:tcBorders>
            <w:vAlign w:val="center"/>
          </w:tcPr>
          <w:p>
            <w:pPr>
              <w:spacing w:line="400" w:lineRule="exact"/>
              <w:jc w:val="center"/>
              <w:rPr>
                <w:rFonts w:ascii="宋体" w:hAnsi="宋体"/>
                <w:bCs/>
                <w:szCs w:val="21"/>
              </w:rPr>
            </w:pPr>
          </w:p>
        </w:tc>
        <w:tc>
          <w:tcPr>
            <w:tcW w:w="1050" w:type="dxa"/>
            <w:tcBorders>
              <w:left w:val="single" w:color="auto" w:sz="4" w:space="0"/>
            </w:tcBorders>
            <w:vAlign w:val="center"/>
          </w:tcPr>
          <w:p>
            <w:pPr>
              <w:spacing w:line="40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jc w:val="center"/>
              <w:rPr>
                <w:rFonts w:ascii="宋体" w:hAnsi="宋体"/>
                <w:bCs/>
                <w:szCs w:val="21"/>
              </w:rPr>
            </w:pPr>
          </w:p>
        </w:tc>
        <w:tc>
          <w:tcPr>
            <w:tcW w:w="1446" w:type="dxa"/>
            <w:tcBorders>
              <w:right w:val="single" w:color="auto" w:sz="4" w:space="0"/>
            </w:tcBorders>
            <w:vAlign w:val="center"/>
          </w:tcPr>
          <w:p>
            <w:pPr>
              <w:spacing w:line="400" w:lineRule="exact"/>
              <w:jc w:val="center"/>
              <w:rPr>
                <w:rFonts w:ascii="宋体" w:hAnsi="宋体"/>
                <w:bCs/>
                <w:szCs w:val="21"/>
              </w:rPr>
            </w:pPr>
          </w:p>
        </w:tc>
        <w:tc>
          <w:tcPr>
            <w:tcW w:w="1325" w:type="dxa"/>
            <w:tcBorders>
              <w:left w:val="single" w:color="auto" w:sz="4" w:space="0"/>
            </w:tcBorders>
            <w:vAlign w:val="center"/>
          </w:tcPr>
          <w:p>
            <w:pPr>
              <w:spacing w:line="400" w:lineRule="exact"/>
              <w:jc w:val="center"/>
              <w:rPr>
                <w:rFonts w:ascii="宋体" w:hAnsi="宋体"/>
                <w:bCs/>
                <w:szCs w:val="21"/>
              </w:rPr>
            </w:pPr>
          </w:p>
        </w:tc>
        <w:tc>
          <w:tcPr>
            <w:tcW w:w="1341" w:type="dxa"/>
            <w:vAlign w:val="center"/>
          </w:tcPr>
          <w:p>
            <w:pPr>
              <w:spacing w:line="400" w:lineRule="exact"/>
              <w:jc w:val="center"/>
              <w:rPr>
                <w:rFonts w:ascii="宋体" w:hAnsi="宋体"/>
                <w:bCs/>
                <w:szCs w:val="21"/>
              </w:rPr>
            </w:pPr>
          </w:p>
        </w:tc>
        <w:tc>
          <w:tcPr>
            <w:tcW w:w="1424" w:type="dxa"/>
            <w:vAlign w:val="center"/>
          </w:tcPr>
          <w:p>
            <w:pPr>
              <w:spacing w:line="400" w:lineRule="exact"/>
              <w:jc w:val="center"/>
              <w:rPr>
                <w:rFonts w:ascii="宋体" w:hAnsi="宋体"/>
                <w:bCs/>
                <w:szCs w:val="21"/>
              </w:rPr>
            </w:pPr>
          </w:p>
        </w:tc>
        <w:tc>
          <w:tcPr>
            <w:tcW w:w="1511" w:type="dxa"/>
            <w:tcBorders>
              <w:right w:val="single" w:color="auto" w:sz="4" w:space="0"/>
            </w:tcBorders>
            <w:vAlign w:val="center"/>
          </w:tcPr>
          <w:p>
            <w:pPr>
              <w:spacing w:line="400" w:lineRule="exact"/>
              <w:jc w:val="center"/>
              <w:rPr>
                <w:rFonts w:ascii="宋体" w:hAnsi="宋体"/>
                <w:bCs/>
                <w:szCs w:val="21"/>
              </w:rPr>
            </w:pPr>
          </w:p>
        </w:tc>
        <w:tc>
          <w:tcPr>
            <w:tcW w:w="1050" w:type="dxa"/>
            <w:tcBorders>
              <w:left w:val="single" w:color="auto" w:sz="4" w:space="0"/>
            </w:tcBorders>
            <w:vAlign w:val="center"/>
          </w:tcPr>
          <w:p>
            <w:pPr>
              <w:spacing w:line="40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tcBorders>
              <w:right w:val="single" w:color="auto" w:sz="4" w:space="0"/>
            </w:tcBorders>
            <w:vAlign w:val="center"/>
          </w:tcPr>
          <w:p>
            <w:pPr>
              <w:spacing w:line="400" w:lineRule="exact"/>
              <w:rPr>
                <w:rFonts w:ascii="宋体" w:hAnsi="宋体"/>
                <w:bCs/>
                <w:szCs w:val="21"/>
              </w:rPr>
            </w:pPr>
          </w:p>
        </w:tc>
        <w:tc>
          <w:tcPr>
            <w:tcW w:w="1446" w:type="dxa"/>
            <w:tcBorders>
              <w:left w:val="single" w:color="auto" w:sz="4" w:space="0"/>
              <w:right w:val="single" w:color="auto" w:sz="4" w:space="0"/>
            </w:tcBorders>
            <w:vAlign w:val="center"/>
          </w:tcPr>
          <w:p>
            <w:pPr>
              <w:spacing w:line="400" w:lineRule="exact"/>
              <w:rPr>
                <w:rFonts w:ascii="宋体" w:hAnsi="宋体"/>
                <w:bCs/>
                <w:szCs w:val="21"/>
              </w:rPr>
            </w:pPr>
          </w:p>
        </w:tc>
        <w:tc>
          <w:tcPr>
            <w:tcW w:w="1325" w:type="dxa"/>
            <w:tcBorders>
              <w:left w:val="single" w:color="auto" w:sz="4" w:space="0"/>
              <w:right w:val="single" w:color="auto" w:sz="4" w:space="0"/>
            </w:tcBorders>
            <w:vAlign w:val="center"/>
          </w:tcPr>
          <w:p>
            <w:pPr>
              <w:spacing w:line="400" w:lineRule="exact"/>
              <w:rPr>
                <w:rFonts w:ascii="宋体" w:hAnsi="宋体"/>
                <w:bCs/>
                <w:szCs w:val="21"/>
              </w:rPr>
            </w:pPr>
          </w:p>
        </w:tc>
        <w:tc>
          <w:tcPr>
            <w:tcW w:w="1341" w:type="dxa"/>
            <w:tcBorders>
              <w:left w:val="single" w:color="auto" w:sz="4" w:space="0"/>
              <w:right w:val="single" w:color="auto" w:sz="4" w:space="0"/>
            </w:tcBorders>
            <w:vAlign w:val="center"/>
          </w:tcPr>
          <w:p>
            <w:pPr>
              <w:spacing w:line="400" w:lineRule="exact"/>
              <w:rPr>
                <w:rFonts w:ascii="宋体" w:hAnsi="宋体"/>
                <w:bCs/>
                <w:szCs w:val="21"/>
              </w:rPr>
            </w:pPr>
          </w:p>
        </w:tc>
        <w:tc>
          <w:tcPr>
            <w:tcW w:w="1424" w:type="dxa"/>
            <w:tcBorders>
              <w:left w:val="single" w:color="auto" w:sz="4" w:space="0"/>
              <w:right w:val="single" w:color="auto" w:sz="4" w:space="0"/>
            </w:tcBorders>
            <w:vAlign w:val="center"/>
          </w:tcPr>
          <w:p>
            <w:pPr>
              <w:spacing w:line="400" w:lineRule="exact"/>
              <w:rPr>
                <w:rFonts w:ascii="宋体" w:hAnsi="宋体"/>
                <w:bCs/>
                <w:szCs w:val="21"/>
              </w:rPr>
            </w:pPr>
          </w:p>
        </w:tc>
        <w:tc>
          <w:tcPr>
            <w:tcW w:w="1511" w:type="dxa"/>
            <w:tcBorders>
              <w:left w:val="single" w:color="auto" w:sz="4" w:space="0"/>
              <w:right w:val="single" w:color="auto" w:sz="4" w:space="0"/>
            </w:tcBorders>
            <w:vAlign w:val="center"/>
          </w:tcPr>
          <w:p>
            <w:pPr>
              <w:spacing w:line="400" w:lineRule="exact"/>
              <w:rPr>
                <w:rFonts w:ascii="宋体" w:hAnsi="宋体"/>
                <w:bCs/>
                <w:szCs w:val="21"/>
              </w:rPr>
            </w:pPr>
          </w:p>
        </w:tc>
        <w:tc>
          <w:tcPr>
            <w:tcW w:w="1050" w:type="dxa"/>
            <w:tcBorders>
              <w:left w:val="single" w:color="auto" w:sz="4" w:space="0"/>
            </w:tcBorders>
            <w:vAlign w:val="center"/>
          </w:tcPr>
          <w:p>
            <w:pPr>
              <w:spacing w:line="40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68" w:hRule="atLeast"/>
        </w:trPr>
        <w:tc>
          <w:tcPr>
            <w:tcW w:w="723" w:type="dxa"/>
            <w:vAlign w:val="center"/>
          </w:tcPr>
          <w:p>
            <w:pPr>
              <w:spacing w:line="400" w:lineRule="exact"/>
              <w:rPr>
                <w:rFonts w:ascii="宋体" w:hAnsi="宋体"/>
                <w:bCs/>
                <w:szCs w:val="21"/>
              </w:rPr>
            </w:pPr>
          </w:p>
        </w:tc>
        <w:tc>
          <w:tcPr>
            <w:tcW w:w="1446" w:type="dxa"/>
            <w:vAlign w:val="center"/>
          </w:tcPr>
          <w:p>
            <w:pPr>
              <w:spacing w:line="400" w:lineRule="exact"/>
              <w:rPr>
                <w:rFonts w:ascii="宋体" w:hAnsi="宋体"/>
                <w:bCs/>
                <w:szCs w:val="21"/>
              </w:rPr>
            </w:pPr>
          </w:p>
        </w:tc>
        <w:tc>
          <w:tcPr>
            <w:tcW w:w="1325" w:type="dxa"/>
            <w:vAlign w:val="center"/>
          </w:tcPr>
          <w:p>
            <w:pPr>
              <w:spacing w:line="400" w:lineRule="exact"/>
              <w:rPr>
                <w:rFonts w:ascii="宋体" w:hAnsi="宋体"/>
                <w:bCs/>
                <w:szCs w:val="21"/>
              </w:rPr>
            </w:pPr>
          </w:p>
        </w:tc>
        <w:tc>
          <w:tcPr>
            <w:tcW w:w="1341" w:type="dxa"/>
            <w:vAlign w:val="center"/>
          </w:tcPr>
          <w:p>
            <w:pPr>
              <w:spacing w:line="400" w:lineRule="exact"/>
              <w:rPr>
                <w:rFonts w:ascii="宋体" w:hAnsi="宋体"/>
                <w:bCs/>
                <w:szCs w:val="21"/>
              </w:rPr>
            </w:pPr>
          </w:p>
        </w:tc>
        <w:tc>
          <w:tcPr>
            <w:tcW w:w="1424" w:type="dxa"/>
            <w:tcBorders>
              <w:right w:val="single" w:color="auto" w:sz="4" w:space="0"/>
            </w:tcBorders>
            <w:vAlign w:val="center"/>
          </w:tcPr>
          <w:p>
            <w:pPr>
              <w:spacing w:line="400" w:lineRule="exact"/>
              <w:rPr>
                <w:rFonts w:ascii="宋体" w:hAnsi="宋体"/>
                <w:bCs/>
                <w:szCs w:val="21"/>
              </w:rPr>
            </w:pPr>
          </w:p>
        </w:tc>
        <w:tc>
          <w:tcPr>
            <w:tcW w:w="1511" w:type="dxa"/>
            <w:tcBorders>
              <w:left w:val="single" w:color="auto" w:sz="4" w:space="0"/>
              <w:right w:val="single" w:color="auto" w:sz="4" w:space="0"/>
            </w:tcBorders>
            <w:vAlign w:val="center"/>
          </w:tcPr>
          <w:p>
            <w:pPr>
              <w:spacing w:line="400" w:lineRule="exact"/>
              <w:rPr>
                <w:rFonts w:ascii="宋体" w:hAnsi="宋体"/>
                <w:bCs/>
                <w:szCs w:val="21"/>
              </w:rPr>
            </w:pPr>
          </w:p>
        </w:tc>
        <w:tc>
          <w:tcPr>
            <w:tcW w:w="1050" w:type="dxa"/>
            <w:tcBorders>
              <w:left w:val="single" w:color="auto" w:sz="4" w:space="0"/>
            </w:tcBorders>
            <w:vAlign w:val="center"/>
          </w:tcPr>
          <w:p>
            <w:pPr>
              <w:spacing w:line="40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79" w:hRule="atLeast"/>
        </w:trPr>
        <w:tc>
          <w:tcPr>
            <w:tcW w:w="723" w:type="dxa"/>
            <w:vAlign w:val="center"/>
          </w:tcPr>
          <w:p>
            <w:pPr>
              <w:spacing w:line="400" w:lineRule="exact"/>
              <w:jc w:val="center"/>
              <w:rPr>
                <w:rFonts w:ascii="宋体" w:hAnsi="宋体"/>
                <w:bCs/>
                <w:szCs w:val="21"/>
              </w:rPr>
            </w:pPr>
          </w:p>
        </w:tc>
        <w:tc>
          <w:tcPr>
            <w:tcW w:w="1446" w:type="dxa"/>
            <w:vAlign w:val="center"/>
          </w:tcPr>
          <w:p>
            <w:pPr>
              <w:spacing w:line="400" w:lineRule="exact"/>
              <w:jc w:val="center"/>
              <w:rPr>
                <w:rFonts w:ascii="宋体" w:hAnsi="宋体"/>
                <w:bCs/>
                <w:szCs w:val="21"/>
              </w:rPr>
            </w:pPr>
          </w:p>
        </w:tc>
        <w:tc>
          <w:tcPr>
            <w:tcW w:w="1325" w:type="dxa"/>
            <w:vAlign w:val="center"/>
          </w:tcPr>
          <w:p>
            <w:pPr>
              <w:spacing w:line="400" w:lineRule="exact"/>
              <w:jc w:val="center"/>
              <w:rPr>
                <w:rFonts w:ascii="宋体" w:hAnsi="宋体"/>
                <w:bCs/>
                <w:szCs w:val="21"/>
              </w:rPr>
            </w:pPr>
          </w:p>
        </w:tc>
        <w:tc>
          <w:tcPr>
            <w:tcW w:w="1341" w:type="dxa"/>
            <w:vAlign w:val="center"/>
          </w:tcPr>
          <w:p>
            <w:pPr>
              <w:spacing w:line="400" w:lineRule="exact"/>
              <w:jc w:val="center"/>
              <w:rPr>
                <w:rFonts w:ascii="宋体" w:hAnsi="宋体"/>
                <w:bCs/>
                <w:szCs w:val="21"/>
              </w:rPr>
            </w:pPr>
          </w:p>
        </w:tc>
        <w:tc>
          <w:tcPr>
            <w:tcW w:w="1424" w:type="dxa"/>
            <w:tcBorders>
              <w:right w:val="single" w:color="auto" w:sz="4" w:space="0"/>
            </w:tcBorders>
            <w:vAlign w:val="center"/>
          </w:tcPr>
          <w:p>
            <w:pPr>
              <w:spacing w:line="400" w:lineRule="exact"/>
              <w:jc w:val="center"/>
              <w:rPr>
                <w:rFonts w:ascii="宋体" w:hAnsi="宋体"/>
                <w:bCs/>
                <w:szCs w:val="21"/>
              </w:rPr>
            </w:pPr>
          </w:p>
        </w:tc>
        <w:tc>
          <w:tcPr>
            <w:tcW w:w="1511" w:type="dxa"/>
            <w:tcBorders>
              <w:left w:val="single" w:color="auto" w:sz="4" w:space="0"/>
              <w:right w:val="single" w:color="auto" w:sz="4" w:space="0"/>
            </w:tcBorders>
            <w:vAlign w:val="center"/>
          </w:tcPr>
          <w:p>
            <w:pPr>
              <w:spacing w:line="400" w:lineRule="exact"/>
              <w:jc w:val="center"/>
              <w:rPr>
                <w:rFonts w:ascii="宋体" w:hAnsi="宋体"/>
                <w:bCs/>
                <w:szCs w:val="21"/>
              </w:rPr>
            </w:pPr>
          </w:p>
        </w:tc>
        <w:tc>
          <w:tcPr>
            <w:tcW w:w="1050" w:type="dxa"/>
            <w:tcBorders>
              <w:left w:val="single" w:color="auto" w:sz="4" w:space="0"/>
            </w:tcBorders>
            <w:vAlign w:val="center"/>
          </w:tcPr>
          <w:p>
            <w:pPr>
              <w:spacing w:line="400" w:lineRule="exact"/>
              <w:jc w:val="center"/>
              <w:rPr>
                <w:rFonts w:ascii="宋体" w:hAnsi="宋体"/>
                <w:bCs/>
                <w:szCs w:val="21"/>
              </w:rPr>
            </w:pPr>
          </w:p>
        </w:tc>
      </w:tr>
    </w:tbl>
    <w:p>
      <w:pPr>
        <w:rPr>
          <w:rFonts w:ascii="宋体" w:hAnsi="宋体"/>
        </w:rPr>
      </w:pPr>
    </w:p>
    <w:p>
      <w:pPr>
        <w:tabs>
          <w:tab w:val="left" w:pos="555"/>
          <w:tab w:val="left" w:pos="2214"/>
          <w:tab w:val="left" w:pos="3774"/>
          <w:tab w:val="left" w:pos="4854"/>
          <w:tab w:val="left" w:pos="5934"/>
          <w:tab w:val="left" w:pos="7014"/>
          <w:tab w:val="left" w:pos="8214"/>
          <w:tab w:val="left" w:pos="10134"/>
          <w:tab w:val="left" w:pos="11124"/>
        </w:tabs>
        <w:spacing w:line="400" w:lineRule="exact"/>
        <w:rPr>
          <w:rFonts w:ascii="宋体" w:hAnsi="宋体"/>
          <w:sz w:val="24"/>
          <w:szCs w:val="24"/>
        </w:rPr>
      </w:pPr>
      <w:r>
        <w:rPr>
          <w:rFonts w:hint="eastAsia" w:ascii="宋体" w:hAnsi="宋体"/>
          <w:sz w:val="24"/>
          <w:szCs w:val="24"/>
        </w:rPr>
        <w:t>注：以上业绩需提供采购合同复印件加盖公章，原件备查。</w:t>
      </w:r>
    </w:p>
    <w:p>
      <w:pPr>
        <w:spacing w:line="360" w:lineRule="auto"/>
        <w:ind w:left="360"/>
        <w:jc w:val="center"/>
        <w:rPr>
          <w:rFonts w:ascii="宋体" w:hAnsi="宋体"/>
          <w:sz w:val="24"/>
          <w:szCs w:val="24"/>
        </w:rPr>
      </w:pPr>
    </w:p>
    <w:p>
      <w:pPr>
        <w:adjustRightInd w:val="0"/>
        <w:spacing w:line="360" w:lineRule="auto"/>
        <w:ind w:firstLine="420" w:firstLineChars="175"/>
        <w:jc w:val="left"/>
        <w:rPr>
          <w:rFonts w:ascii="宋体" w:hAnsi="宋体"/>
          <w:bCs/>
          <w:sz w:val="24"/>
          <w:szCs w:val="24"/>
          <w:u w:val="single"/>
        </w:rPr>
      </w:pPr>
      <w:r>
        <w:rPr>
          <w:rFonts w:hint="eastAsia" w:ascii="宋体" w:hAnsi="宋体"/>
          <w:bCs/>
          <w:sz w:val="24"/>
          <w:szCs w:val="24"/>
        </w:rPr>
        <w:t>供应商名称：</w:t>
      </w:r>
      <w:r>
        <w:rPr>
          <w:rFonts w:hint="eastAsia" w:ascii="宋体" w:hAnsi="宋体"/>
          <w:bCs/>
          <w:sz w:val="24"/>
          <w:szCs w:val="24"/>
          <w:u w:val="single"/>
        </w:rPr>
        <w:t>（全称及公章）</w:t>
      </w:r>
    </w:p>
    <w:p>
      <w:pPr>
        <w:adjustRightInd w:val="0"/>
        <w:spacing w:line="360" w:lineRule="auto"/>
        <w:ind w:firstLine="420" w:firstLineChars="175"/>
        <w:jc w:val="left"/>
        <w:rPr>
          <w:rFonts w:hAnsi="宋体" w:cs="宋体"/>
          <w:kern w:val="0"/>
          <w:sz w:val="24"/>
        </w:rPr>
      </w:pPr>
      <w:r>
        <w:rPr>
          <w:rFonts w:hint="eastAsia" w:hAnsi="宋体" w:cs="宋体"/>
          <w:kern w:val="0"/>
          <w:sz w:val="24"/>
        </w:rPr>
        <w:t>法定代表人/被授权人（签字或盖章）：</w:t>
      </w:r>
    </w:p>
    <w:p>
      <w:pPr>
        <w:adjustRightInd w:val="0"/>
        <w:spacing w:line="360" w:lineRule="auto"/>
        <w:ind w:firstLine="420" w:firstLineChars="175"/>
        <w:jc w:val="left"/>
        <w:rPr>
          <w:rFonts w:ascii="宋体" w:hAnsi="宋体"/>
          <w:bCs/>
          <w:sz w:val="24"/>
          <w:szCs w:val="24"/>
        </w:rPr>
      </w:pPr>
      <w:r>
        <w:rPr>
          <w:rFonts w:hint="eastAsia" w:ascii="宋体" w:hAnsi="宋体"/>
          <w:bCs/>
          <w:sz w:val="24"/>
          <w:szCs w:val="24"/>
        </w:rPr>
        <w:t>日期:</w:t>
      </w:r>
    </w:p>
    <w:p>
      <w:pPr>
        <w:spacing w:line="360" w:lineRule="auto"/>
        <w:ind w:firstLine="480" w:firstLineChars="200"/>
        <w:rPr>
          <w:rFonts w:ascii="宋体" w:hAnsi="宋体" w:cs="宋体"/>
          <w:sz w:val="24"/>
          <w:szCs w:val="24"/>
        </w:rPr>
        <w:sectPr>
          <w:pgSz w:w="11906" w:h="16838"/>
          <w:pgMar w:top="1440" w:right="1803" w:bottom="1440" w:left="1803" w:header="851" w:footer="992" w:gutter="0"/>
          <w:cols w:space="720" w:num="1"/>
          <w:docGrid w:type="lines" w:linePitch="319" w:charSpace="0"/>
        </w:sectPr>
      </w:pPr>
      <w:r>
        <w:rPr>
          <w:rFonts w:hint="eastAsia" w:ascii="宋体" w:hAnsi="宋体" w:cs="宋体"/>
          <w:sz w:val="24"/>
          <w:szCs w:val="24"/>
        </w:rPr>
        <w:br w:type="page"/>
      </w:r>
    </w:p>
    <w:p>
      <w:pPr>
        <w:pStyle w:val="5"/>
        <w:rPr>
          <w:rFonts w:ascii="宋体"/>
        </w:rPr>
      </w:pPr>
      <w:bookmarkStart w:id="107" w:name="_Toc5256"/>
      <w:r>
        <w:rPr>
          <w:rFonts w:hint="eastAsia" w:ascii="宋体" w:hAnsi="宋体" w:cs="宋体"/>
        </w:rPr>
        <w:t>第九部分 供应商认为有必要说明的其他问题</w:t>
      </w:r>
      <w:bookmarkEnd w:id="107"/>
    </w:p>
    <w:p>
      <w:pPr>
        <w:rPr>
          <w:rFonts w:ascii="宋体"/>
        </w:rPr>
      </w:pPr>
      <w:r>
        <w:rPr>
          <w:rFonts w:ascii="宋体" w:hAnsi="宋体" w:cs="宋体"/>
          <w:sz w:val="24"/>
          <w:szCs w:val="24"/>
        </w:rPr>
        <w:t xml:space="preserve"> </w:t>
      </w:r>
      <w:r>
        <w:rPr>
          <w:rFonts w:hint="eastAsia" w:ascii="宋体" w:hAnsi="宋体" w:cs="宋体"/>
          <w:sz w:val="24"/>
          <w:szCs w:val="24"/>
        </w:rPr>
        <w:t>供应商认为有必要提供的其他证明文件</w:t>
      </w:r>
    </w:p>
    <w:p>
      <w:pPr>
        <w:rPr>
          <w:rFonts w:ascii="宋体" w:hAnsi="宋体" w:cs="宋体"/>
          <w:b/>
          <w:bCs/>
          <w:color w:val="FF0000"/>
          <w:sz w:val="44"/>
          <w:szCs w:val="44"/>
        </w:rPr>
      </w:pPr>
      <w:r>
        <w:rPr>
          <w:rFonts w:hint="eastAsia" w:ascii="宋体" w:hAnsi="宋体" w:cs="宋体"/>
          <w:b/>
          <w:bCs/>
          <w:color w:val="FF0000"/>
          <w:sz w:val="44"/>
          <w:szCs w:val="44"/>
        </w:rPr>
        <w:t>供应商可在本页附招标文件附件二至附件五，此项为供应商自愿提供。如没有提供，视为无。</w:t>
      </w:r>
    </w:p>
    <w:p>
      <w:r>
        <w:rPr>
          <w:rFonts w:hint="eastAsia"/>
        </w:rPr>
        <w:t xml:space="preserve">  </w:t>
      </w:r>
    </w:p>
    <w:p/>
    <w:p/>
    <w:p/>
    <w:p>
      <w:pPr>
        <w:pStyle w:val="5"/>
        <w:rPr>
          <w:rFonts w:ascii="宋体" w:hAnsi="宋体" w:cs="宋体"/>
        </w:rPr>
        <w:sectPr>
          <w:pgSz w:w="11906" w:h="16838"/>
          <w:pgMar w:top="1440" w:right="1803" w:bottom="1440" w:left="1803" w:header="851" w:footer="992" w:gutter="0"/>
          <w:cols w:space="720" w:num="1"/>
          <w:docGrid w:type="lines" w:linePitch="319" w:charSpace="0"/>
        </w:sectPr>
      </w:pPr>
    </w:p>
    <w:p>
      <w:pPr>
        <w:pStyle w:val="2"/>
        <w:sectPr>
          <w:pgSz w:w="11906" w:h="16838"/>
          <w:pgMar w:top="1440" w:right="863" w:bottom="1440" w:left="1803" w:header="851" w:footer="992" w:gutter="0"/>
          <w:cols w:space="720" w:num="1"/>
          <w:docGrid w:type="lines" w:linePitch="319" w:charSpace="0"/>
        </w:sectPr>
      </w:pPr>
    </w:p>
    <w:p>
      <w:pPr>
        <w:pStyle w:val="2"/>
      </w:pPr>
    </w:p>
    <w:p/>
    <w:p>
      <w:pPr>
        <w:sectPr>
          <w:pgSz w:w="11906" w:h="16838"/>
          <w:pgMar w:top="1440" w:right="863" w:bottom="1440" w:left="1803" w:header="851" w:footer="992" w:gutter="0"/>
          <w:cols w:space="720" w:num="1"/>
          <w:docGrid w:type="lines" w:linePitch="319" w:charSpace="0"/>
        </w:sectPr>
      </w:pPr>
    </w:p>
    <w:p>
      <w:pPr>
        <w:pStyle w:val="5"/>
        <w:rPr>
          <w:rFonts w:ascii="宋体" w:hAnsi="宋体" w:cs="宋体"/>
        </w:rPr>
      </w:pPr>
      <w:bookmarkStart w:id="108" w:name="_Toc5336"/>
      <w:r>
        <w:rPr>
          <w:rFonts w:hint="eastAsia" w:ascii="宋体" w:hAnsi="宋体" w:cs="宋体"/>
        </w:rPr>
        <w:t>第十部分 供应商承诺书</w:t>
      </w:r>
      <w:bookmarkEnd w:id="97"/>
      <w:bookmarkEnd w:id="98"/>
      <w:bookmarkEnd w:id="99"/>
      <w:bookmarkEnd w:id="100"/>
      <w:bookmarkEnd w:id="101"/>
      <w:bookmarkEnd w:id="108"/>
    </w:p>
    <w:p>
      <w:pPr>
        <w:pStyle w:val="15"/>
        <w:ind w:firstLine="562" w:firstLineChars="200"/>
        <w:jc w:val="left"/>
        <w:rPr>
          <w:rFonts w:hAnsi="宋体" w:cs="宋体"/>
          <w:b/>
          <w:bCs/>
          <w:sz w:val="28"/>
          <w:szCs w:val="28"/>
        </w:rPr>
      </w:pPr>
      <w:r>
        <w:rPr>
          <w:rFonts w:hint="eastAsia" w:hAnsi="宋体" w:cs="宋体"/>
          <w:b/>
          <w:bCs/>
          <w:sz w:val="28"/>
          <w:szCs w:val="28"/>
        </w:rPr>
        <w:t>陕西省政府采购供货商拒绝政府采购领域商业贿赂承诺书Ⅰ</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为响应党中央、国务院关于治理政府采购领域商业贿赂行为的号召，我公司在此庄严承诺：</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1、在参与政府采购活动中遵纪守法、诚信经营、公平竞标。</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2、不向政府采购人、代理机构和政府采购评审专家进行任何形式的商业贿赂以谋取交易机会。</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3、不向政府代理机构和采购人提供虚假资质文件或采用虚假应标方式参与政府采购市场竞争并谋取成交。</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4、不采取“围标、陪标”等商业欺诈手段获得政府采购订单。</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5、不采取不正当手段诋毁、排挤其它供货商。</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6、不在提供商品和服务时“偷梁换柱、以次充好”损害采购人的合法权益。</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7、不与采购人、代理机构政府采购评审专家或其它供货商恶意串通，进行质疑和投诉，维护政府采购市场秩序。</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8、尊重和接受政府采购监督管理部门的监督和政府代理机构招标采购要求，承担因违约行为给采购人造成的损失。</w:t>
      </w:r>
    </w:p>
    <w:p>
      <w:pPr>
        <w:spacing w:line="480" w:lineRule="auto"/>
        <w:ind w:firstLine="480" w:firstLineChars="200"/>
        <w:jc w:val="left"/>
        <w:rPr>
          <w:rFonts w:ascii="宋体" w:hAnsi="宋体" w:cs="宋体"/>
          <w:sz w:val="24"/>
          <w:szCs w:val="28"/>
        </w:rPr>
      </w:pPr>
      <w:r>
        <w:rPr>
          <w:rFonts w:hint="eastAsia" w:ascii="宋体" w:hAnsi="宋体" w:cs="宋体"/>
          <w:sz w:val="24"/>
          <w:szCs w:val="28"/>
        </w:rPr>
        <w:t>9、不发生其它有悖于政府采购公开、公平、公正和诚信原则的行为。</w:t>
      </w:r>
    </w:p>
    <w:p>
      <w:pPr>
        <w:adjustRightInd w:val="0"/>
        <w:snapToGrid w:val="0"/>
        <w:spacing w:line="360" w:lineRule="auto"/>
        <w:ind w:firstLine="480" w:firstLineChars="200"/>
        <w:jc w:val="left"/>
        <w:rPr>
          <w:rFonts w:ascii="宋体" w:hAnsi="宋体" w:cs="宋体"/>
          <w:sz w:val="24"/>
        </w:rPr>
      </w:pPr>
    </w:p>
    <w:p>
      <w:pPr>
        <w:adjustRightInd w:val="0"/>
        <w:snapToGrid w:val="0"/>
        <w:spacing w:line="360" w:lineRule="auto"/>
        <w:ind w:firstLine="480" w:firstLineChars="200"/>
        <w:jc w:val="left"/>
        <w:rPr>
          <w:rFonts w:ascii="宋体" w:hAnsi="宋体" w:cs="宋体"/>
          <w:sz w:val="24"/>
          <w:u w:val="single"/>
        </w:rPr>
      </w:pPr>
      <w:r>
        <w:rPr>
          <w:rFonts w:hint="eastAsia" w:ascii="宋体" w:hAnsi="宋体" w:cs="宋体"/>
          <w:sz w:val="24"/>
        </w:rPr>
        <w:t>供应商（单位名称及公章）：</w:t>
      </w:r>
      <w:r>
        <w:rPr>
          <w:rFonts w:hint="eastAsia" w:ascii="宋体" w:hAnsi="宋体" w:cs="宋体"/>
          <w:sz w:val="24"/>
          <w:u w:val="single"/>
        </w:rPr>
        <w:t xml:space="preserve">                          </w:t>
      </w:r>
    </w:p>
    <w:p>
      <w:pPr>
        <w:snapToGrid w:val="0"/>
        <w:spacing w:line="360" w:lineRule="auto"/>
        <w:ind w:firstLine="480" w:firstLineChars="200"/>
        <w:jc w:val="left"/>
        <w:rPr>
          <w:rFonts w:ascii="宋体" w:hAnsi="宋体" w:cs="宋体"/>
          <w:sz w:val="24"/>
        </w:rPr>
      </w:pPr>
      <w:r>
        <w:rPr>
          <w:rFonts w:hint="eastAsia" w:ascii="宋体" w:hAnsi="宋体" w:cs="宋体"/>
          <w:sz w:val="24"/>
        </w:rPr>
        <w:t>法定代表人/被授权人（签字或盖章）：</w:t>
      </w:r>
      <w:r>
        <w:rPr>
          <w:rFonts w:hint="eastAsia" w:ascii="宋体" w:hAnsi="宋体" w:cs="宋体"/>
          <w:sz w:val="24"/>
          <w:u w:val="single"/>
        </w:rPr>
        <w:t xml:space="preserve">           </w:t>
      </w:r>
      <w:r>
        <w:rPr>
          <w:rFonts w:hint="eastAsia" w:ascii="宋体" w:hAnsi="宋体" w:cs="宋体"/>
          <w:sz w:val="24"/>
        </w:rPr>
        <w:t xml:space="preserve"> </w:t>
      </w:r>
    </w:p>
    <w:p>
      <w:pPr>
        <w:snapToGrid w:val="0"/>
        <w:spacing w:line="360" w:lineRule="auto"/>
        <w:ind w:firstLine="480" w:firstLineChars="200"/>
        <w:jc w:val="left"/>
        <w:rPr>
          <w:rFonts w:ascii="宋体" w:hAnsi="宋体" w:cs="宋体"/>
          <w:sz w:val="24"/>
          <w:szCs w:val="28"/>
        </w:rPr>
      </w:pPr>
      <w:r>
        <w:rPr>
          <w:rFonts w:hint="eastAsia" w:ascii="宋体" w:hAnsi="宋体" w:cs="宋体"/>
          <w:sz w:val="24"/>
          <w:szCs w:val="28"/>
        </w:rPr>
        <w:t>邮编：</w:t>
      </w:r>
      <w:r>
        <w:rPr>
          <w:rFonts w:hint="eastAsia" w:ascii="宋体" w:hAnsi="宋体" w:cs="宋体"/>
          <w:sz w:val="24"/>
          <w:szCs w:val="28"/>
          <w:u w:val="single"/>
        </w:rPr>
        <w:t xml:space="preserve">                    </w:t>
      </w:r>
      <w:r>
        <w:rPr>
          <w:rFonts w:hint="eastAsia" w:ascii="宋体" w:hAnsi="宋体" w:cs="宋体"/>
          <w:sz w:val="24"/>
        </w:rPr>
        <w:t xml:space="preserve">  </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地址：</w:t>
      </w:r>
      <w:r>
        <w:rPr>
          <w:rFonts w:hint="eastAsia" w:ascii="宋体" w:hAnsi="宋体" w:cs="宋体"/>
          <w:sz w:val="24"/>
          <w:szCs w:val="28"/>
          <w:u w:val="single"/>
        </w:rPr>
        <w:t xml:space="preserve">                   </w:t>
      </w:r>
      <w:r>
        <w:rPr>
          <w:rFonts w:hint="eastAsia" w:ascii="宋体" w:hAnsi="宋体" w:cs="宋体"/>
          <w:sz w:val="24"/>
          <w:szCs w:val="28"/>
        </w:rPr>
        <w:t xml:space="preserve">             </w:t>
      </w:r>
    </w:p>
    <w:p>
      <w:pPr>
        <w:spacing w:line="360" w:lineRule="auto"/>
        <w:ind w:firstLine="480" w:firstLineChars="200"/>
        <w:jc w:val="left"/>
        <w:rPr>
          <w:rFonts w:ascii="宋体" w:hAnsi="宋体" w:cs="宋体"/>
          <w:sz w:val="24"/>
          <w:szCs w:val="28"/>
        </w:rPr>
      </w:pPr>
      <w:r>
        <w:rPr>
          <w:rFonts w:hint="eastAsia" w:ascii="宋体" w:hAnsi="宋体" w:cs="宋体"/>
          <w:sz w:val="24"/>
          <w:szCs w:val="28"/>
        </w:rPr>
        <w:t>电话：</w:t>
      </w:r>
      <w:r>
        <w:rPr>
          <w:rFonts w:hint="eastAsia" w:ascii="宋体" w:hAnsi="宋体" w:cs="宋体"/>
          <w:sz w:val="24"/>
          <w:szCs w:val="28"/>
          <w:u w:val="single"/>
        </w:rPr>
        <w:t xml:space="preserve">                    </w:t>
      </w:r>
      <w:r>
        <w:rPr>
          <w:rFonts w:hint="eastAsia" w:ascii="宋体" w:hAnsi="宋体" w:cs="宋体"/>
          <w:sz w:val="24"/>
          <w:szCs w:val="28"/>
        </w:rPr>
        <w:t xml:space="preserve">            </w:t>
      </w:r>
    </w:p>
    <w:p>
      <w:pPr>
        <w:spacing w:line="360" w:lineRule="auto"/>
        <w:ind w:firstLine="480" w:firstLineChars="200"/>
        <w:jc w:val="left"/>
        <w:rPr>
          <w:rFonts w:ascii="宋体" w:hAnsi="宋体" w:cs="宋体"/>
          <w:sz w:val="24"/>
          <w:szCs w:val="28"/>
          <w:u w:val="single"/>
        </w:rPr>
      </w:pPr>
      <w:r>
        <w:rPr>
          <w:rFonts w:hint="eastAsia" w:ascii="宋体" w:hAnsi="宋体" w:cs="宋体"/>
          <w:sz w:val="24"/>
          <w:szCs w:val="28"/>
        </w:rPr>
        <w:t xml:space="preserve">时间： </w:t>
      </w:r>
      <w:r>
        <w:rPr>
          <w:rFonts w:hint="eastAsia" w:ascii="宋体" w:hAnsi="宋体" w:cs="宋体"/>
          <w:sz w:val="24"/>
          <w:szCs w:val="28"/>
          <w:u w:val="single"/>
        </w:rPr>
        <w:t xml:space="preserve">    年   月    日</w:t>
      </w:r>
    </w:p>
    <w:p>
      <w:pPr>
        <w:pageBreakBefore/>
        <w:spacing w:line="360" w:lineRule="atLeast"/>
        <w:ind w:firstLine="482" w:firstLineChars="200"/>
        <w:jc w:val="center"/>
        <w:rPr>
          <w:rFonts w:ascii="宋体" w:cs="宋体"/>
          <w:b/>
          <w:sz w:val="24"/>
          <w:szCs w:val="24"/>
        </w:rPr>
      </w:pPr>
      <w:r>
        <w:rPr>
          <w:rFonts w:hint="eastAsia" w:ascii="宋体" w:hAnsi="宋体" w:cs="宋体"/>
          <w:b/>
          <w:sz w:val="24"/>
          <w:szCs w:val="24"/>
        </w:rPr>
        <w:t>承诺书Ⅱ</w:t>
      </w:r>
    </w:p>
    <w:tbl>
      <w:tblPr>
        <w:tblStyle w:val="25"/>
        <w:tblW w:w="91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0"/>
        <w:gridCol w:w="3474"/>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9140" w:type="dxa"/>
            <w:gridSpan w:val="3"/>
            <w:vAlign w:val="center"/>
          </w:tcPr>
          <w:p>
            <w:pPr>
              <w:spacing w:line="360" w:lineRule="atLeast"/>
              <w:jc w:val="left"/>
              <w:rPr>
                <w:rFonts w:ascii="宋体" w:cs="宋体"/>
                <w:szCs w:val="21"/>
              </w:rPr>
            </w:pPr>
            <w:r>
              <w:rPr>
                <w:rFonts w:hint="eastAsia" w:ascii="宋体" w:hAnsi="宋体" w:cs="宋体"/>
                <w:szCs w:val="21"/>
              </w:rPr>
              <w:t>致：陕西卓佲招标有限公司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1" w:hRule="atLeast"/>
          <w:jc w:val="center"/>
        </w:trPr>
        <w:tc>
          <w:tcPr>
            <w:tcW w:w="9140" w:type="dxa"/>
            <w:gridSpan w:val="3"/>
            <w:vAlign w:val="center"/>
          </w:tcPr>
          <w:p>
            <w:pPr>
              <w:spacing w:line="360" w:lineRule="atLeast"/>
              <w:ind w:firstLine="420" w:firstLineChars="200"/>
              <w:jc w:val="left"/>
              <w:rPr>
                <w:rFonts w:ascii="宋体" w:cs="宋体"/>
                <w:szCs w:val="21"/>
              </w:rPr>
            </w:pPr>
            <w:r>
              <w:rPr>
                <w:rFonts w:hint="eastAsia" w:ascii="宋体" w:hAnsi="宋体" w:cs="宋体"/>
                <w:szCs w:val="21"/>
              </w:rPr>
              <w:t>作为参加贵公司组织本项目的供应商，本公司承诺：在参加本项目磋商之前不存在被依法禁止经营行为、财产被接管或冻结的情况，如有隐瞒实情，愿承担一切责任及后果。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3290" w:type="dxa"/>
            <w:vAlign w:val="center"/>
          </w:tcPr>
          <w:p>
            <w:pPr>
              <w:spacing w:line="360" w:lineRule="atLeast"/>
              <w:ind w:firstLine="420" w:firstLineChars="200"/>
              <w:jc w:val="left"/>
              <w:rPr>
                <w:rFonts w:ascii="宋体" w:cs="宋体"/>
                <w:szCs w:val="21"/>
              </w:rPr>
            </w:pPr>
            <w:r>
              <w:rPr>
                <w:rFonts w:hint="eastAsia" w:ascii="宋体" w:hAnsi="宋体" w:cs="宋体"/>
                <w:szCs w:val="21"/>
              </w:rPr>
              <w:t>供应商</w:t>
            </w:r>
          </w:p>
        </w:tc>
        <w:tc>
          <w:tcPr>
            <w:tcW w:w="3474" w:type="dxa"/>
            <w:vAlign w:val="center"/>
          </w:tcPr>
          <w:p>
            <w:pPr>
              <w:spacing w:line="360" w:lineRule="atLeast"/>
              <w:ind w:firstLine="420" w:firstLineChars="200"/>
              <w:jc w:val="left"/>
              <w:rPr>
                <w:rFonts w:ascii="宋体" w:cs="宋体"/>
                <w:szCs w:val="21"/>
              </w:rPr>
            </w:pPr>
            <w:r>
              <w:rPr>
                <w:rFonts w:hint="eastAsia" w:ascii="宋体" w:hAnsi="宋体" w:cs="宋体"/>
                <w:szCs w:val="21"/>
              </w:rPr>
              <w:t>法定代表人</w:t>
            </w:r>
            <w:r>
              <w:rPr>
                <w:rFonts w:ascii="宋体" w:hAnsi="宋体" w:cs="宋体"/>
                <w:szCs w:val="21"/>
              </w:rPr>
              <w:t>/</w:t>
            </w:r>
            <w:r>
              <w:rPr>
                <w:rFonts w:hint="eastAsia" w:ascii="宋体" w:hAnsi="宋体" w:cs="宋体"/>
                <w:szCs w:val="21"/>
              </w:rPr>
              <w:t>被授权人</w:t>
            </w:r>
          </w:p>
        </w:tc>
        <w:tc>
          <w:tcPr>
            <w:tcW w:w="2376" w:type="dxa"/>
            <w:vAlign w:val="center"/>
          </w:tcPr>
          <w:p>
            <w:pPr>
              <w:spacing w:line="360" w:lineRule="atLeast"/>
              <w:ind w:firstLine="420" w:firstLineChars="200"/>
              <w:jc w:val="left"/>
              <w:rPr>
                <w:rFonts w:asci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3" w:hRule="atLeast"/>
          <w:jc w:val="center"/>
        </w:trPr>
        <w:tc>
          <w:tcPr>
            <w:tcW w:w="3290" w:type="dxa"/>
            <w:vAlign w:val="center"/>
          </w:tcPr>
          <w:p>
            <w:pPr>
              <w:spacing w:line="360" w:lineRule="atLeast"/>
              <w:ind w:firstLine="420" w:firstLineChars="200"/>
              <w:jc w:val="left"/>
              <w:rPr>
                <w:rFonts w:ascii="宋体" w:cs="宋体"/>
                <w:szCs w:val="21"/>
              </w:rPr>
            </w:pPr>
            <w:r>
              <w:rPr>
                <w:rFonts w:hint="eastAsia" w:ascii="宋体" w:hAnsi="宋体" w:cs="宋体"/>
                <w:szCs w:val="21"/>
              </w:rPr>
              <w:t>（公章）</w:t>
            </w:r>
          </w:p>
        </w:tc>
        <w:tc>
          <w:tcPr>
            <w:tcW w:w="3474" w:type="dxa"/>
            <w:vAlign w:val="center"/>
          </w:tcPr>
          <w:p>
            <w:pPr>
              <w:spacing w:line="360" w:lineRule="atLeast"/>
              <w:ind w:firstLine="420" w:firstLineChars="200"/>
              <w:jc w:val="left"/>
              <w:rPr>
                <w:rFonts w:ascii="宋体" w:cs="宋体"/>
                <w:szCs w:val="21"/>
              </w:rPr>
            </w:pPr>
            <w:r>
              <w:rPr>
                <w:rFonts w:hint="eastAsia" w:ascii="宋体" w:hAnsi="宋体" w:cs="宋体"/>
                <w:szCs w:val="21"/>
              </w:rPr>
              <w:t>（签字或盖章）</w:t>
            </w:r>
          </w:p>
        </w:tc>
        <w:tc>
          <w:tcPr>
            <w:tcW w:w="2376" w:type="dxa"/>
            <w:vAlign w:val="center"/>
          </w:tcPr>
          <w:p>
            <w:pPr>
              <w:spacing w:line="360" w:lineRule="atLeast"/>
              <w:jc w:val="left"/>
              <w:rPr>
                <w:rFonts w:ascii="宋体" w:cs="宋体"/>
                <w:szCs w:val="21"/>
              </w:rPr>
            </w:pPr>
            <w:r>
              <w:rPr>
                <w:rFonts w:hint="eastAsia" w:ascii="宋体" w:hAnsi="宋体" w:cs="宋体"/>
                <w:szCs w:val="21"/>
              </w:rPr>
              <w:t>年月日</w:t>
            </w:r>
          </w:p>
        </w:tc>
      </w:tr>
    </w:tbl>
    <w:p>
      <w:pPr>
        <w:spacing w:line="360" w:lineRule="atLeast"/>
        <w:ind w:firstLine="843" w:firstLineChars="200"/>
        <w:jc w:val="left"/>
        <w:rPr>
          <w:rFonts w:ascii="宋体" w:cs="宋体"/>
          <w:b/>
          <w:sz w:val="42"/>
          <w:szCs w:val="42"/>
        </w:rPr>
      </w:pPr>
    </w:p>
    <w:p>
      <w:pPr>
        <w:spacing w:line="360" w:lineRule="atLeast"/>
        <w:ind w:firstLine="482" w:firstLineChars="200"/>
        <w:jc w:val="center"/>
        <w:rPr>
          <w:rFonts w:ascii="宋体" w:cs="宋体"/>
          <w:b/>
          <w:sz w:val="24"/>
          <w:szCs w:val="24"/>
        </w:rPr>
      </w:pPr>
      <w:r>
        <w:rPr>
          <w:rFonts w:hint="eastAsia" w:ascii="宋体" w:hAnsi="宋体" w:cs="宋体"/>
          <w:b/>
          <w:sz w:val="24"/>
          <w:szCs w:val="24"/>
        </w:rPr>
        <w:t>承诺书Ⅲ</w:t>
      </w:r>
    </w:p>
    <w:tbl>
      <w:tblPr>
        <w:tblStyle w:val="25"/>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5"/>
        <w:gridCol w:w="348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9180" w:type="dxa"/>
            <w:gridSpan w:val="3"/>
            <w:vAlign w:val="center"/>
          </w:tcPr>
          <w:p>
            <w:pPr>
              <w:spacing w:line="360" w:lineRule="atLeast"/>
              <w:jc w:val="left"/>
              <w:rPr>
                <w:rFonts w:ascii="宋体" w:cs="宋体"/>
                <w:szCs w:val="21"/>
              </w:rPr>
            </w:pPr>
            <w:r>
              <w:rPr>
                <w:rFonts w:hint="eastAsia" w:ascii="宋体" w:hAnsi="宋体" w:cs="宋体"/>
                <w:szCs w:val="21"/>
              </w:rPr>
              <w:t>致：陕西卓佲招标有限公司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5" w:hRule="atLeast"/>
          <w:jc w:val="center"/>
        </w:trPr>
        <w:tc>
          <w:tcPr>
            <w:tcW w:w="9180" w:type="dxa"/>
            <w:gridSpan w:val="3"/>
            <w:vAlign w:val="center"/>
          </w:tcPr>
          <w:p>
            <w:pPr>
              <w:spacing w:line="360" w:lineRule="atLeast"/>
              <w:ind w:firstLine="420" w:firstLineChars="200"/>
              <w:jc w:val="left"/>
              <w:rPr>
                <w:rFonts w:ascii="宋体" w:cs="宋体"/>
                <w:szCs w:val="21"/>
              </w:rPr>
            </w:pPr>
            <w:r>
              <w:rPr>
                <w:rFonts w:hint="eastAsia" w:ascii="宋体" w:hAnsi="宋体" w:cs="宋体"/>
                <w:szCs w:val="21"/>
              </w:rPr>
              <w:t>作为参加贵公司组织本项目的供应商，本公司郑重申告并承诺：近三年受到有关行政主管部门的行政处理、不良行为记录为</w:t>
            </w:r>
            <w:r>
              <w:rPr>
                <w:rFonts w:hint="eastAsia" w:ascii="宋体" w:hAnsi="宋体" w:cs="宋体"/>
                <w:szCs w:val="21"/>
                <w:u w:val="single"/>
              </w:rPr>
              <w:t xml:space="preserve">   </w:t>
            </w:r>
            <w:r>
              <w:rPr>
                <w:rFonts w:hint="eastAsia" w:ascii="宋体" w:hAnsi="宋体" w:cs="宋体"/>
                <w:szCs w:val="21"/>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3305" w:type="dxa"/>
            <w:vAlign w:val="center"/>
          </w:tcPr>
          <w:p>
            <w:pPr>
              <w:spacing w:line="360" w:lineRule="atLeast"/>
              <w:ind w:firstLine="420" w:firstLineChars="200"/>
              <w:jc w:val="left"/>
              <w:rPr>
                <w:rFonts w:ascii="宋体" w:cs="宋体"/>
                <w:szCs w:val="21"/>
              </w:rPr>
            </w:pPr>
            <w:r>
              <w:rPr>
                <w:rFonts w:hint="eastAsia" w:ascii="宋体" w:hAnsi="宋体" w:cs="宋体"/>
                <w:szCs w:val="21"/>
              </w:rPr>
              <w:t>供应商</w:t>
            </w:r>
          </w:p>
        </w:tc>
        <w:tc>
          <w:tcPr>
            <w:tcW w:w="3488" w:type="dxa"/>
            <w:vAlign w:val="center"/>
          </w:tcPr>
          <w:p>
            <w:pPr>
              <w:spacing w:line="360" w:lineRule="atLeast"/>
              <w:ind w:firstLine="420" w:firstLineChars="200"/>
              <w:jc w:val="left"/>
              <w:rPr>
                <w:rFonts w:ascii="宋体" w:cs="宋体"/>
                <w:szCs w:val="21"/>
              </w:rPr>
            </w:pPr>
            <w:r>
              <w:rPr>
                <w:rFonts w:hint="eastAsia" w:ascii="宋体" w:hAnsi="宋体" w:cs="宋体"/>
                <w:szCs w:val="21"/>
              </w:rPr>
              <w:t>法定代表人</w:t>
            </w:r>
            <w:r>
              <w:rPr>
                <w:rFonts w:ascii="宋体" w:hAnsi="宋体" w:cs="宋体"/>
                <w:szCs w:val="21"/>
              </w:rPr>
              <w:t>/</w:t>
            </w:r>
            <w:r>
              <w:rPr>
                <w:rFonts w:hint="eastAsia" w:ascii="宋体" w:hAnsi="宋体" w:cs="宋体"/>
                <w:szCs w:val="21"/>
              </w:rPr>
              <w:t>被授权人</w:t>
            </w:r>
          </w:p>
        </w:tc>
        <w:tc>
          <w:tcPr>
            <w:tcW w:w="2387" w:type="dxa"/>
            <w:vAlign w:val="center"/>
          </w:tcPr>
          <w:p>
            <w:pPr>
              <w:spacing w:line="360" w:lineRule="atLeast"/>
              <w:ind w:firstLine="420" w:firstLineChars="200"/>
              <w:jc w:val="left"/>
              <w:rPr>
                <w:rFonts w:asci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4" w:hRule="atLeast"/>
          <w:jc w:val="center"/>
        </w:trPr>
        <w:tc>
          <w:tcPr>
            <w:tcW w:w="3305" w:type="dxa"/>
            <w:vAlign w:val="center"/>
          </w:tcPr>
          <w:p>
            <w:pPr>
              <w:spacing w:line="360" w:lineRule="atLeast"/>
              <w:ind w:firstLine="420" w:firstLineChars="200"/>
              <w:jc w:val="left"/>
              <w:rPr>
                <w:rFonts w:ascii="宋体" w:cs="宋体"/>
                <w:szCs w:val="21"/>
              </w:rPr>
            </w:pPr>
            <w:r>
              <w:rPr>
                <w:rFonts w:hint="eastAsia" w:ascii="宋体" w:hAnsi="宋体" w:cs="宋体"/>
                <w:szCs w:val="21"/>
              </w:rPr>
              <w:t>（公章）</w:t>
            </w:r>
          </w:p>
        </w:tc>
        <w:tc>
          <w:tcPr>
            <w:tcW w:w="3488" w:type="dxa"/>
            <w:vAlign w:val="center"/>
          </w:tcPr>
          <w:p>
            <w:pPr>
              <w:spacing w:line="360" w:lineRule="atLeast"/>
              <w:ind w:firstLine="420" w:firstLineChars="200"/>
              <w:jc w:val="left"/>
              <w:rPr>
                <w:rFonts w:ascii="宋体" w:cs="宋体"/>
                <w:szCs w:val="21"/>
              </w:rPr>
            </w:pPr>
            <w:r>
              <w:rPr>
                <w:rFonts w:hint="eastAsia" w:ascii="宋体" w:hAnsi="宋体" w:cs="宋体"/>
                <w:szCs w:val="21"/>
              </w:rPr>
              <w:t>（签字或盖章）</w:t>
            </w:r>
          </w:p>
        </w:tc>
        <w:tc>
          <w:tcPr>
            <w:tcW w:w="2387" w:type="dxa"/>
            <w:vAlign w:val="center"/>
          </w:tcPr>
          <w:p>
            <w:pPr>
              <w:spacing w:line="360" w:lineRule="atLeast"/>
              <w:jc w:val="left"/>
              <w:rPr>
                <w:rFonts w:ascii="宋体" w:cs="宋体"/>
                <w:szCs w:val="21"/>
              </w:rPr>
            </w:pPr>
            <w:r>
              <w:rPr>
                <w:rFonts w:hint="eastAsia" w:ascii="宋体" w:hAnsi="宋体" w:cs="宋体"/>
                <w:szCs w:val="21"/>
              </w:rPr>
              <w:t>年月日</w:t>
            </w:r>
          </w:p>
        </w:tc>
      </w:tr>
    </w:tbl>
    <w:p>
      <w:pPr>
        <w:pageBreakBefore/>
        <w:spacing w:line="360" w:lineRule="atLeast"/>
        <w:ind w:firstLine="482" w:firstLineChars="200"/>
        <w:jc w:val="center"/>
        <w:rPr>
          <w:rFonts w:ascii="宋体" w:cs="宋体"/>
          <w:b/>
          <w:sz w:val="24"/>
          <w:szCs w:val="24"/>
        </w:rPr>
      </w:pPr>
      <w:r>
        <w:rPr>
          <w:rFonts w:hint="eastAsia" w:ascii="宋体" w:hAnsi="宋体" w:cs="宋体"/>
          <w:b/>
          <w:sz w:val="24"/>
          <w:szCs w:val="24"/>
        </w:rPr>
        <w:t>承诺书Ⅳ</w:t>
      </w:r>
    </w:p>
    <w:tbl>
      <w:tblPr>
        <w:tblStyle w:val="25"/>
        <w:tblW w:w="91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3466"/>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9120" w:type="dxa"/>
            <w:gridSpan w:val="3"/>
            <w:vAlign w:val="center"/>
          </w:tcPr>
          <w:p>
            <w:pPr>
              <w:spacing w:line="360" w:lineRule="atLeast"/>
              <w:jc w:val="left"/>
              <w:rPr>
                <w:rFonts w:ascii="宋体" w:cs="宋体"/>
                <w:szCs w:val="21"/>
              </w:rPr>
            </w:pPr>
            <w:r>
              <w:rPr>
                <w:rFonts w:hint="eastAsia" w:ascii="宋体" w:hAnsi="宋体" w:cs="宋体"/>
                <w:szCs w:val="21"/>
              </w:rPr>
              <w:t>致：陕西卓佲招标有限公司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1" w:hRule="atLeast"/>
          <w:jc w:val="center"/>
        </w:trPr>
        <w:tc>
          <w:tcPr>
            <w:tcW w:w="9120" w:type="dxa"/>
            <w:gridSpan w:val="3"/>
            <w:vAlign w:val="center"/>
          </w:tcPr>
          <w:p>
            <w:pPr>
              <w:spacing w:line="360" w:lineRule="atLeast"/>
              <w:ind w:firstLine="420" w:firstLineChars="200"/>
              <w:jc w:val="left"/>
              <w:rPr>
                <w:rFonts w:ascii="宋体" w:cs="宋体"/>
                <w:szCs w:val="21"/>
              </w:rPr>
            </w:pPr>
            <w:r>
              <w:rPr>
                <w:rFonts w:hint="eastAsia" w:ascii="宋体" w:hAnsi="宋体" w:cs="宋体"/>
                <w:szCs w:val="21"/>
              </w:rPr>
              <w:t>作为参加贵公司组织本项目的供应商，本公司郑重申告：近三年因产品供货问题（水货、替代品、次品、翻新品等）的不法行为记录为</w:t>
            </w:r>
            <w:r>
              <w:rPr>
                <w:rFonts w:hint="eastAsia" w:ascii="宋体" w:hAnsi="宋体" w:cs="宋体"/>
                <w:szCs w:val="21"/>
                <w:u w:val="single"/>
              </w:rPr>
              <w:t xml:space="preserve">    </w:t>
            </w:r>
            <w:r>
              <w:rPr>
                <w:rFonts w:hint="eastAsia" w:ascii="宋体" w:hAnsi="宋体" w:cs="宋体"/>
                <w:szCs w:val="21"/>
              </w:rPr>
              <w:t>次（没有填零），如有隐瞒实情，愿承担一切责任及后果。</w:t>
            </w:r>
          </w:p>
          <w:p>
            <w:pPr>
              <w:spacing w:line="360" w:lineRule="atLeast"/>
              <w:ind w:firstLine="420" w:firstLineChars="200"/>
              <w:jc w:val="left"/>
              <w:rPr>
                <w:rFonts w:ascii="宋体" w:cs="宋体"/>
                <w:szCs w:val="21"/>
              </w:rPr>
            </w:pPr>
            <w:r>
              <w:rPr>
                <w:rFonts w:hint="eastAsia" w:ascii="宋体" w:hAnsi="宋体" w:cs="宋体"/>
                <w:szCs w:val="21"/>
              </w:rPr>
              <w:t>本公司承诺：本次磋商产品为正品行货。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3283" w:type="dxa"/>
            <w:vAlign w:val="center"/>
          </w:tcPr>
          <w:p>
            <w:pPr>
              <w:spacing w:line="360" w:lineRule="atLeast"/>
              <w:ind w:firstLine="420" w:firstLineChars="200"/>
              <w:jc w:val="left"/>
              <w:rPr>
                <w:rFonts w:ascii="宋体" w:cs="宋体"/>
                <w:szCs w:val="21"/>
              </w:rPr>
            </w:pPr>
            <w:r>
              <w:rPr>
                <w:rFonts w:hint="eastAsia" w:ascii="宋体" w:hAnsi="宋体" w:cs="宋体"/>
                <w:szCs w:val="21"/>
              </w:rPr>
              <w:t>供应商</w:t>
            </w:r>
          </w:p>
        </w:tc>
        <w:tc>
          <w:tcPr>
            <w:tcW w:w="3466" w:type="dxa"/>
            <w:vAlign w:val="center"/>
          </w:tcPr>
          <w:p>
            <w:pPr>
              <w:spacing w:line="360" w:lineRule="atLeast"/>
              <w:ind w:firstLine="420" w:firstLineChars="200"/>
              <w:jc w:val="left"/>
              <w:rPr>
                <w:rFonts w:ascii="宋体" w:cs="宋体"/>
                <w:szCs w:val="21"/>
              </w:rPr>
            </w:pPr>
            <w:r>
              <w:rPr>
                <w:rFonts w:hint="eastAsia" w:ascii="宋体" w:hAnsi="宋体" w:cs="宋体"/>
                <w:szCs w:val="21"/>
              </w:rPr>
              <w:t>法定代表人</w:t>
            </w:r>
            <w:r>
              <w:rPr>
                <w:rFonts w:ascii="宋体" w:hAnsi="宋体" w:cs="宋体"/>
                <w:szCs w:val="21"/>
              </w:rPr>
              <w:t>/</w:t>
            </w:r>
            <w:r>
              <w:rPr>
                <w:rFonts w:hint="eastAsia" w:ascii="宋体" w:hAnsi="宋体" w:cs="宋体"/>
                <w:szCs w:val="21"/>
              </w:rPr>
              <w:t>被授权人</w:t>
            </w:r>
          </w:p>
        </w:tc>
        <w:tc>
          <w:tcPr>
            <w:tcW w:w="2371" w:type="dxa"/>
            <w:vAlign w:val="center"/>
          </w:tcPr>
          <w:p>
            <w:pPr>
              <w:spacing w:line="360" w:lineRule="atLeast"/>
              <w:ind w:firstLine="420" w:firstLineChars="200"/>
              <w:jc w:val="left"/>
              <w:rPr>
                <w:rFonts w:asci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3" w:hRule="atLeast"/>
          <w:jc w:val="center"/>
        </w:trPr>
        <w:tc>
          <w:tcPr>
            <w:tcW w:w="3283" w:type="dxa"/>
            <w:vAlign w:val="center"/>
          </w:tcPr>
          <w:p>
            <w:pPr>
              <w:spacing w:line="360" w:lineRule="atLeast"/>
              <w:ind w:firstLine="420" w:firstLineChars="200"/>
              <w:jc w:val="left"/>
              <w:rPr>
                <w:rFonts w:ascii="宋体" w:cs="宋体"/>
                <w:szCs w:val="21"/>
              </w:rPr>
            </w:pPr>
            <w:r>
              <w:rPr>
                <w:rFonts w:hint="eastAsia" w:ascii="宋体" w:hAnsi="宋体" w:cs="宋体"/>
                <w:szCs w:val="21"/>
              </w:rPr>
              <w:t>（公章）</w:t>
            </w:r>
          </w:p>
        </w:tc>
        <w:tc>
          <w:tcPr>
            <w:tcW w:w="3466" w:type="dxa"/>
            <w:vAlign w:val="center"/>
          </w:tcPr>
          <w:p>
            <w:pPr>
              <w:spacing w:line="360" w:lineRule="atLeast"/>
              <w:ind w:firstLine="420" w:firstLineChars="200"/>
              <w:jc w:val="left"/>
              <w:rPr>
                <w:rFonts w:ascii="宋体" w:cs="宋体"/>
                <w:szCs w:val="21"/>
              </w:rPr>
            </w:pPr>
            <w:r>
              <w:rPr>
                <w:rFonts w:hint="eastAsia" w:ascii="宋体" w:hAnsi="宋体" w:cs="宋体"/>
                <w:szCs w:val="21"/>
              </w:rPr>
              <w:t>（签字或盖章）</w:t>
            </w:r>
          </w:p>
        </w:tc>
        <w:tc>
          <w:tcPr>
            <w:tcW w:w="2371" w:type="dxa"/>
            <w:vAlign w:val="center"/>
          </w:tcPr>
          <w:p>
            <w:pPr>
              <w:spacing w:line="360" w:lineRule="atLeast"/>
              <w:jc w:val="left"/>
              <w:rPr>
                <w:rFonts w:ascii="宋体" w:cs="宋体"/>
                <w:szCs w:val="21"/>
              </w:rPr>
            </w:pPr>
            <w:r>
              <w:rPr>
                <w:rFonts w:hint="eastAsia" w:ascii="宋体" w:hAnsi="宋体" w:cs="宋体"/>
                <w:szCs w:val="21"/>
              </w:rPr>
              <w:t>年月日</w:t>
            </w:r>
          </w:p>
        </w:tc>
      </w:tr>
    </w:tbl>
    <w:p>
      <w:pPr>
        <w:spacing w:line="360" w:lineRule="auto"/>
        <w:ind w:firstLine="480" w:firstLineChars="200"/>
        <w:jc w:val="left"/>
        <w:rPr>
          <w:rFonts w:ascii="宋体" w:cs="宋体"/>
          <w:sz w:val="24"/>
          <w:szCs w:val="28"/>
        </w:rPr>
      </w:pPr>
    </w:p>
    <w:p>
      <w:pPr>
        <w:spacing w:line="360" w:lineRule="atLeast"/>
        <w:ind w:firstLine="482" w:firstLineChars="200"/>
        <w:jc w:val="center"/>
        <w:rPr>
          <w:rFonts w:ascii="宋体" w:cs="宋体"/>
          <w:b/>
          <w:sz w:val="32"/>
          <w:szCs w:val="32"/>
        </w:rPr>
      </w:pPr>
      <w:r>
        <w:rPr>
          <w:rFonts w:hint="eastAsia" w:ascii="宋体" w:hAnsi="宋体" w:cs="宋体"/>
          <w:b/>
          <w:sz w:val="24"/>
          <w:szCs w:val="24"/>
        </w:rPr>
        <w:t>承诺书</w:t>
      </w:r>
      <w:r>
        <w:rPr>
          <w:rFonts w:ascii="宋体" w:hAnsi="宋体" w:cs="宋体"/>
          <w:b/>
          <w:sz w:val="24"/>
          <w:szCs w:val="24"/>
        </w:rPr>
        <w:fldChar w:fldCharType="begin"/>
      </w:r>
      <w:r>
        <w:rPr>
          <w:rFonts w:ascii="宋体" w:hAnsi="宋体" w:cs="宋体"/>
          <w:b/>
          <w:sz w:val="24"/>
          <w:szCs w:val="24"/>
        </w:rPr>
        <w:instrText xml:space="preserve"> = 5 \* ROMAN </w:instrText>
      </w:r>
      <w:r>
        <w:rPr>
          <w:rFonts w:ascii="宋体" w:hAnsi="宋体" w:cs="宋体"/>
          <w:b/>
          <w:sz w:val="24"/>
          <w:szCs w:val="24"/>
        </w:rPr>
        <w:fldChar w:fldCharType="separate"/>
      </w:r>
      <w:r>
        <w:rPr>
          <w:rFonts w:ascii="宋体" w:hAnsi="宋体" w:cs="宋体"/>
          <w:b/>
          <w:sz w:val="24"/>
          <w:szCs w:val="24"/>
          <w:lang w:val="zh-CN"/>
        </w:rPr>
        <w:t>V</w:t>
      </w:r>
      <w:r>
        <w:rPr>
          <w:rFonts w:ascii="宋体" w:hAnsi="宋体" w:cs="宋体"/>
          <w:b/>
          <w:sz w:val="24"/>
          <w:szCs w:val="24"/>
        </w:rPr>
        <w:fldChar w:fldCharType="end"/>
      </w:r>
    </w:p>
    <w:tbl>
      <w:tblPr>
        <w:tblStyle w:val="25"/>
        <w:tblW w:w="93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3534"/>
        <w:gridCol w:w="2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9300" w:type="dxa"/>
            <w:gridSpan w:val="3"/>
            <w:vAlign w:val="center"/>
          </w:tcPr>
          <w:p>
            <w:pPr>
              <w:spacing w:line="360" w:lineRule="atLeast"/>
              <w:jc w:val="left"/>
              <w:rPr>
                <w:rFonts w:ascii="宋体" w:cs="宋体"/>
                <w:szCs w:val="21"/>
              </w:rPr>
            </w:pPr>
            <w:r>
              <w:rPr>
                <w:rFonts w:hint="eastAsia" w:ascii="宋体" w:hAnsi="宋体" w:cs="宋体"/>
                <w:szCs w:val="21"/>
              </w:rPr>
              <w:t>致：陕西卓佲招标有限公司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2" w:hRule="atLeast"/>
          <w:jc w:val="center"/>
        </w:trPr>
        <w:tc>
          <w:tcPr>
            <w:tcW w:w="9300" w:type="dxa"/>
            <w:gridSpan w:val="3"/>
            <w:vAlign w:val="center"/>
          </w:tcPr>
          <w:p>
            <w:pPr>
              <w:spacing w:line="360" w:lineRule="atLeast"/>
              <w:ind w:firstLine="420" w:firstLineChars="200"/>
              <w:jc w:val="left"/>
              <w:rPr>
                <w:rFonts w:ascii="宋体" w:cs="宋体"/>
                <w:szCs w:val="21"/>
              </w:rPr>
            </w:pPr>
            <w:r>
              <w:rPr>
                <w:rFonts w:hint="eastAsia" w:ascii="宋体" w:hAnsi="宋体" w:cs="宋体"/>
                <w:szCs w:val="21"/>
              </w:rPr>
              <w:t>作为参加贵公司组织本项目的供应商，本公司承诺：参加本次磋商提交的所有资格证明文件及业绩证明文件是真实的、有效的，如有隐瞒实情，愿承担一切责任及后果。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jc w:val="center"/>
        </w:trPr>
        <w:tc>
          <w:tcPr>
            <w:tcW w:w="3348" w:type="dxa"/>
            <w:vAlign w:val="center"/>
          </w:tcPr>
          <w:p>
            <w:pPr>
              <w:spacing w:line="360" w:lineRule="atLeast"/>
              <w:ind w:firstLine="420" w:firstLineChars="200"/>
              <w:jc w:val="left"/>
              <w:rPr>
                <w:rFonts w:ascii="宋体" w:cs="宋体"/>
                <w:szCs w:val="21"/>
              </w:rPr>
            </w:pPr>
            <w:r>
              <w:rPr>
                <w:rFonts w:hint="eastAsia" w:ascii="宋体" w:hAnsi="宋体" w:cs="宋体"/>
                <w:szCs w:val="21"/>
              </w:rPr>
              <w:t>供应商</w:t>
            </w:r>
          </w:p>
        </w:tc>
        <w:tc>
          <w:tcPr>
            <w:tcW w:w="3534" w:type="dxa"/>
            <w:vAlign w:val="center"/>
          </w:tcPr>
          <w:p>
            <w:pPr>
              <w:spacing w:line="360" w:lineRule="atLeast"/>
              <w:ind w:firstLine="420" w:firstLineChars="200"/>
              <w:jc w:val="left"/>
              <w:rPr>
                <w:rFonts w:ascii="宋体" w:cs="宋体"/>
                <w:szCs w:val="21"/>
              </w:rPr>
            </w:pPr>
            <w:r>
              <w:rPr>
                <w:rFonts w:hint="eastAsia" w:ascii="宋体" w:hAnsi="宋体" w:cs="宋体"/>
                <w:szCs w:val="21"/>
              </w:rPr>
              <w:t>法定代表人</w:t>
            </w:r>
            <w:r>
              <w:rPr>
                <w:rFonts w:ascii="宋体" w:hAnsi="宋体" w:cs="宋体"/>
                <w:szCs w:val="21"/>
              </w:rPr>
              <w:t>/</w:t>
            </w:r>
            <w:r>
              <w:rPr>
                <w:rFonts w:hint="eastAsia" w:ascii="宋体" w:hAnsi="宋体" w:cs="宋体"/>
                <w:szCs w:val="21"/>
              </w:rPr>
              <w:t>被授权人</w:t>
            </w:r>
          </w:p>
        </w:tc>
        <w:tc>
          <w:tcPr>
            <w:tcW w:w="2418" w:type="dxa"/>
            <w:vAlign w:val="center"/>
          </w:tcPr>
          <w:p>
            <w:pPr>
              <w:spacing w:line="360" w:lineRule="atLeast"/>
              <w:ind w:firstLine="420" w:firstLineChars="200"/>
              <w:jc w:val="left"/>
              <w:rPr>
                <w:rFonts w:asci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8" w:hRule="atLeast"/>
          <w:jc w:val="center"/>
        </w:trPr>
        <w:tc>
          <w:tcPr>
            <w:tcW w:w="3348" w:type="dxa"/>
            <w:vAlign w:val="center"/>
          </w:tcPr>
          <w:p>
            <w:pPr>
              <w:spacing w:line="360" w:lineRule="atLeast"/>
              <w:ind w:firstLine="420" w:firstLineChars="200"/>
              <w:jc w:val="left"/>
              <w:rPr>
                <w:rFonts w:ascii="宋体" w:cs="宋体"/>
                <w:szCs w:val="21"/>
              </w:rPr>
            </w:pPr>
            <w:r>
              <w:rPr>
                <w:rFonts w:hint="eastAsia" w:ascii="宋体" w:hAnsi="宋体" w:cs="宋体"/>
                <w:szCs w:val="21"/>
              </w:rPr>
              <w:t>（公章）</w:t>
            </w:r>
          </w:p>
        </w:tc>
        <w:tc>
          <w:tcPr>
            <w:tcW w:w="3534" w:type="dxa"/>
            <w:vAlign w:val="center"/>
          </w:tcPr>
          <w:p>
            <w:pPr>
              <w:spacing w:line="360" w:lineRule="atLeast"/>
              <w:ind w:firstLine="420" w:firstLineChars="200"/>
              <w:jc w:val="left"/>
              <w:rPr>
                <w:rFonts w:ascii="宋体" w:cs="宋体"/>
                <w:szCs w:val="21"/>
              </w:rPr>
            </w:pPr>
            <w:r>
              <w:rPr>
                <w:rFonts w:hint="eastAsia" w:ascii="宋体" w:hAnsi="宋体" w:cs="宋体"/>
                <w:szCs w:val="21"/>
              </w:rPr>
              <w:t>（签字或盖章）</w:t>
            </w:r>
          </w:p>
        </w:tc>
        <w:tc>
          <w:tcPr>
            <w:tcW w:w="2418" w:type="dxa"/>
            <w:vAlign w:val="center"/>
          </w:tcPr>
          <w:p>
            <w:pPr>
              <w:spacing w:line="360" w:lineRule="atLeast"/>
              <w:jc w:val="left"/>
              <w:rPr>
                <w:rFonts w:ascii="宋体" w:cs="宋体"/>
                <w:szCs w:val="21"/>
              </w:rPr>
            </w:pPr>
            <w:r>
              <w:rPr>
                <w:rFonts w:hint="eastAsia" w:ascii="宋体" w:hAnsi="宋体" w:cs="宋体"/>
                <w:szCs w:val="21"/>
              </w:rPr>
              <w:t>年月日</w:t>
            </w:r>
          </w:p>
        </w:tc>
      </w:tr>
    </w:tbl>
    <w:p>
      <w:pPr>
        <w:adjustRightInd w:val="0"/>
        <w:snapToGrid w:val="0"/>
        <w:ind w:firstLine="720" w:firstLineChars="200"/>
        <w:jc w:val="left"/>
        <w:rPr>
          <w:rFonts w:ascii="宋体" w:cs="宋体"/>
          <w:bCs/>
          <w:sz w:val="36"/>
          <w:szCs w:val="36"/>
        </w:rPr>
      </w:pPr>
    </w:p>
    <w:p>
      <w:pPr>
        <w:widowControl/>
        <w:spacing w:line="460" w:lineRule="exact"/>
        <w:ind w:firstLine="480" w:firstLineChars="200"/>
        <w:jc w:val="left"/>
        <w:rPr>
          <w:rFonts w:ascii="宋体" w:cs="宋体"/>
          <w:sz w:val="24"/>
          <w:szCs w:val="28"/>
        </w:rPr>
        <w:sectPr>
          <w:headerReference r:id="rId9" w:type="default"/>
          <w:pgSz w:w="11906" w:h="16838"/>
          <w:pgMar w:top="1440" w:right="1803" w:bottom="1440" w:left="1803" w:header="851" w:footer="992" w:gutter="0"/>
          <w:cols w:space="720" w:num="1"/>
          <w:docGrid w:type="lines" w:linePitch="319" w:charSpace="0"/>
        </w:sectPr>
      </w:pPr>
    </w:p>
    <w:p>
      <w:pPr>
        <w:pStyle w:val="5"/>
        <w:adjustRightInd w:val="0"/>
        <w:spacing w:line="416" w:lineRule="atLeast"/>
        <w:textAlignment w:val="baseline"/>
        <w:rPr>
          <w:rFonts w:ascii="宋体" w:cs="宋体"/>
        </w:rPr>
      </w:pPr>
      <w:bookmarkStart w:id="109" w:name="_Toc13134"/>
      <w:r>
        <w:rPr>
          <w:rFonts w:hint="eastAsia" w:ascii="宋体" w:hAnsi="宋体" w:cs="宋体"/>
        </w:rPr>
        <w:t>附件一：封袋正面标识式样</w:t>
      </w:r>
      <w:bookmarkEnd w:id="109"/>
    </w:p>
    <w:p>
      <w:pPr>
        <w:spacing w:line="460" w:lineRule="exact"/>
        <w:ind w:firstLine="482" w:firstLineChars="200"/>
        <w:jc w:val="left"/>
        <w:rPr>
          <w:rFonts w:ascii="宋体" w:cs="宋体"/>
          <w:b/>
          <w:sz w:val="24"/>
        </w:rPr>
      </w:pPr>
      <w:r>
        <w:rPr>
          <w:rFonts w:hint="eastAsia" w:ascii="宋体" w:hAnsi="宋体" w:cs="宋体"/>
          <w:b/>
          <w:sz w:val="24"/>
        </w:rPr>
        <w:t>磋商响应文件正本封袋正面标识式样</w:t>
      </w:r>
    </w:p>
    <w:p>
      <w:pPr>
        <w:spacing w:line="460" w:lineRule="exact"/>
        <w:ind w:firstLine="420" w:firstLineChars="200"/>
        <w:jc w:val="left"/>
        <w:rPr>
          <w:rFonts w:ascii="宋体" w:cs="宋体"/>
          <w:b/>
          <w:sz w:val="24"/>
        </w:rPr>
      </w:pPr>
      <w:r>
        <w:pict>
          <v:shape id="Text Box 3" o:spid="_x0000_s1026" o:spt="202" type="#_x0000_t202" style="position:absolute;left:0pt;margin-left:-9.15pt;margin-top:4.8pt;height:286.2pt;width:444.25pt;z-index:251658240;mso-width-relative:page;mso-height-relative:page;" coordsize="21600,21600" o:gfxdata="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CUE&#10;xtkAAAAJAQAADwAAAAAAAAABACAAAAAiAAAAZHJzL2Rvd25yZXYueG1sUEsBAhQAFAAAAAgAh07i&#10;QGNRVvfoAQAA9gMAAA4AAAAAAAAAAQAgAAAAKAEAAGRycy9lMm9Eb2MueG1sUEsFBgAAAAAGAAYA&#10;WQEAAIIFAAAAAA==&#10;">
            <v:path/>
            <v:fill focussize="0,0"/>
            <v:stroke joinstyle="miter"/>
            <v:imagedata o:title=""/>
            <o:lock v:ext="edit"/>
            <v:textbox>
              <w:txbxContent>
                <w:p>
                  <w:pPr>
                    <w:rPr>
                      <w:rFonts w:hint="eastAsia" w:eastAsia="宋体"/>
                      <w:sz w:val="28"/>
                      <w:szCs w:val="28"/>
                      <w:lang w:eastAsia="zh-CN"/>
                    </w:rPr>
                  </w:pPr>
                  <w:r>
                    <w:rPr>
                      <w:rFonts w:hint="eastAsia"/>
                      <w:sz w:val="28"/>
                      <w:szCs w:val="28"/>
                    </w:rPr>
                    <w:t>致：陕西卓佲招标有限公司        项目编号：</w:t>
                  </w:r>
                  <w:r>
                    <w:rPr>
                      <w:rFonts w:hint="eastAsia"/>
                      <w:sz w:val="28"/>
                      <w:szCs w:val="28"/>
                      <w:lang w:eastAsia="zh-CN"/>
                    </w:rPr>
                    <w:t>ZMZB2019XBDX-21</w:t>
                  </w:r>
                </w:p>
                <w:p>
                  <w:pPr>
                    <w:jc w:val="center"/>
                    <w:rPr>
                      <w:rFonts w:hint="eastAsia" w:eastAsia="宋体"/>
                      <w:sz w:val="28"/>
                      <w:szCs w:val="28"/>
                      <w:lang w:eastAsia="zh-CN"/>
                    </w:rPr>
                  </w:pPr>
                  <w:r>
                    <w:rPr>
                      <w:rFonts w:hint="eastAsia"/>
                      <w:sz w:val="28"/>
                      <w:szCs w:val="28"/>
                    </w:rPr>
                    <w:t>项目名称：</w:t>
                  </w:r>
                  <w:r>
                    <w:rPr>
                      <w:rFonts w:hint="eastAsia"/>
                      <w:sz w:val="28"/>
                      <w:szCs w:val="28"/>
                      <w:lang w:eastAsia="zh-CN"/>
                    </w:rPr>
                    <w:t>西北大学人力资源管理信息系统采购项目</w:t>
                  </w:r>
                </w:p>
                <w:p>
                  <w:pPr>
                    <w:jc w:val="center"/>
                    <w:rPr>
                      <w:b/>
                      <w:sz w:val="44"/>
                      <w:szCs w:val="44"/>
                    </w:rPr>
                  </w:pPr>
                  <w:r>
                    <w:rPr>
                      <w:rFonts w:hint="eastAsia"/>
                      <w:b/>
                      <w:sz w:val="44"/>
                      <w:szCs w:val="44"/>
                    </w:rPr>
                    <w:t>磋商响应文件（正本）</w:t>
                  </w:r>
                </w:p>
                <w:p>
                  <w:pPr>
                    <w:jc w:val="center"/>
                    <w:rPr>
                      <w:sz w:val="28"/>
                      <w:szCs w:val="28"/>
                    </w:rPr>
                  </w:pPr>
                  <w:r>
                    <w:rPr>
                      <w:rFonts w:hint="eastAsia"/>
                      <w:sz w:val="28"/>
                      <w:szCs w:val="28"/>
                    </w:rPr>
                    <w:t>（非招标大会不得启封）</w:t>
                  </w:r>
                </w:p>
                <w:p>
                  <w:pPr>
                    <w:rPr>
                      <w:sz w:val="28"/>
                      <w:szCs w:val="28"/>
                    </w:rPr>
                  </w:pPr>
                  <w:r>
                    <w:rPr>
                      <w:rFonts w:hint="eastAsia"/>
                      <w:sz w:val="28"/>
                      <w:szCs w:val="28"/>
                    </w:rPr>
                    <w:t>供应商（公章）：</w:t>
                  </w:r>
                </w:p>
                <w:p>
                  <w:pPr>
                    <w:rPr>
                      <w:sz w:val="28"/>
                      <w:szCs w:val="28"/>
                    </w:rPr>
                  </w:pPr>
                  <w:r>
                    <w:rPr>
                      <w:rFonts w:hint="eastAsia"/>
                      <w:sz w:val="28"/>
                      <w:szCs w:val="28"/>
                    </w:rPr>
                    <w:t>法定代表人/被授权人（签字或盖章）：</w:t>
                  </w:r>
                </w:p>
                <w:p>
                  <w:pPr>
                    <w:rPr>
                      <w:sz w:val="28"/>
                      <w:szCs w:val="28"/>
                    </w:rPr>
                  </w:pPr>
                  <w:r>
                    <w:rPr>
                      <w:rFonts w:hint="eastAsia"/>
                      <w:sz w:val="28"/>
                      <w:szCs w:val="28"/>
                    </w:rPr>
                    <w:t>时间</w:t>
                  </w:r>
                  <w:r>
                    <w:rPr>
                      <w:rFonts w:hint="eastAsia"/>
                      <w:sz w:val="28"/>
                      <w:szCs w:val="28"/>
                      <w:u w:val="single"/>
                    </w:rPr>
                    <w:t>：年月日</w:t>
                  </w:r>
                </w:p>
                <w:p>
                  <w:pPr>
                    <w:rPr>
                      <w:sz w:val="28"/>
                      <w:szCs w:val="28"/>
                    </w:rPr>
                  </w:pPr>
                </w:p>
              </w:txbxContent>
            </v:textbox>
          </v:shape>
        </w:pict>
      </w: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r>
        <w:rPr>
          <w:rFonts w:hint="eastAsia" w:ascii="宋体" w:hAnsi="宋体" w:cs="宋体"/>
          <w:b/>
          <w:sz w:val="24"/>
        </w:rPr>
        <w:t>磋商响应文件副本封袋正面标识式样</w:t>
      </w:r>
    </w:p>
    <w:p>
      <w:pPr>
        <w:spacing w:line="460" w:lineRule="exact"/>
        <w:ind w:firstLine="420" w:firstLineChars="200"/>
        <w:jc w:val="left"/>
        <w:rPr>
          <w:rFonts w:ascii="宋体" w:cs="宋体"/>
          <w:b/>
          <w:sz w:val="24"/>
        </w:rPr>
      </w:pPr>
      <w:r>
        <w:pict>
          <v:shape id="Text Box 4" o:spid="_x0000_s1029" o:spt="202" type="#_x0000_t202" style="position:absolute;left:0pt;margin-left:-10.6pt;margin-top:4.35pt;height:278.6pt;width:455.75pt;z-index:251659264;mso-width-relative:page;mso-height-relative:page;" coordsize="21600,21600" o:gfxdata="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7w3&#10;gtkAAAAJAQAADwAAAAAAAAABACAAAAAiAAAAZHJzL2Rvd25yZXYueG1sUEsBAhQAFAAAAAgAh07i&#10;QIG0BfroAQAA9gMAAA4AAAAAAAAAAQAgAAAAKAEAAGRycy9lMm9Eb2MueG1sUEsFBgAAAAAGAAYA&#10;WQEAAIIFAAAAAA==&#10;">
            <v:path/>
            <v:fill focussize="0,0"/>
            <v:stroke joinstyle="miter"/>
            <v:imagedata o:title=""/>
            <o:lock v:ext="edit"/>
            <v:textbox>
              <w:txbxContent>
                <w:p>
                  <w:pPr>
                    <w:rPr>
                      <w:rFonts w:hint="eastAsia" w:eastAsia="宋体"/>
                      <w:sz w:val="28"/>
                      <w:szCs w:val="28"/>
                      <w:lang w:eastAsia="zh-CN"/>
                    </w:rPr>
                  </w:pPr>
                  <w:r>
                    <w:rPr>
                      <w:rFonts w:hint="eastAsia"/>
                      <w:sz w:val="28"/>
                      <w:szCs w:val="28"/>
                    </w:rPr>
                    <w:t>致：陕西卓佲招标有限公司          项目编号：</w:t>
                  </w:r>
                  <w:r>
                    <w:rPr>
                      <w:rFonts w:hint="eastAsia"/>
                      <w:sz w:val="28"/>
                      <w:szCs w:val="28"/>
                      <w:lang w:eastAsia="zh-CN"/>
                    </w:rPr>
                    <w:t>ZMZB2019XBDX-21</w:t>
                  </w:r>
                </w:p>
                <w:p>
                  <w:pPr>
                    <w:jc w:val="center"/>
                    <w:rPr>
                      <w:rFonts w:hint="eastAsia" w:eastAsia="宋体"/>
                      <w:sz w:val="28"/>
                      <w:szCs w:val="28"/>
                      <w:lang w:eastAsia="zh-CN"/>
                    </w:rPr>
                  </w:pPr>
                  <w:r>
                    <w:rPr>
                      <w:rFonts w:hint="eastAsia"/>
                      <w:sz w:val="28"/>
                      <w:szCs w:val="28"/>
                    </w:rPr>
                    <w:t>项目名称：</w:t>
                  </w:r>
                  <w:r>
                    <w:rPr>
                      <w:rFonts w:hint="eastAsia"/>
                      <w:sz w:val="28"/>
                      <w:szCs w:val="28"/>
                      <w:lang w:eastAsia="zh-CN"/>
                    </w:rPr>
                    <w:t>西北大学人力资源管理信息系统采购项目</w:t>
                  </w:r>
                </w:p>
                <w:p>
                  <w:pPr>
                    <w:jc w:val="center"/>
                    <w:rPr>
                      <w:b/>
                      <w:sz w:val="44"/>
                      <w:szCs w:val="44"/>
                    </w:rPr>
                  </w:pPr>
                  <w:r>
                    <w:rPr>
                      <w:rFonts w:hint="eastAsia"/>
                      <w:b/>
                      <w:sz w:val="44"/>
                      <w:szCs w:val="44"/>
                    </w:rPr>
                    <w:t>磋商响应文件（副本）</w:t>
                  </w:r>
                </w:p>
                <w:p>
                  <w:pPr>
                    <w:jc w:val="center"/>
                    <w:rPr>
                      <w:sz w:val="28"/>
                      <w:szCs w:val="28"/>
                    </w:rPr>
                  </w:pPr>
                  <w:r>
                    <w:rPr>
                      <w:rFonts w:hint="eastAsia"/>
                      <w:sz w:val="28"/>
                      <w:szCs w:val="28"/>
                    </w:rPr>
                    <w:t>（非招标大会不得启封）</w:t>
                  </w:r>
                </w:p>
                <w:p>
                  <w:pPr>
                    <w:rPr>
                      <w:sz w:val="28"/>
                      <w:szCs w:val="28"/>
                    </w:rPr>
                  </w:pPr>
                  <w:r>
                    <w:rPr>
                      <w:rFonts w:hint="eastAsia"/>
                      <w:sz w:val="28"/>
                      <w:szCs w:val="28"/>
                    </w:rPr>
                    <w:t>供应商（公章）：</w:t>
                  </w:r>
                </w:p>
                <w:p>
                  <w:r>
                    <w:rPr>
                      <w:rFonts w:hint="eastAsia"/>
                      <w:sz w:val="28"/>
                      <w:szCs w:val="28"/>
                    </w:rPr>
                    <w:t>法定代表人/被授权人（签字或盖章）：</w:t>
                  </w:r>
                </w:p>
                <w:p>
                  <w:pPr>
                    <w:rPr>
                      <w:sz w:val="28"/>
                      <w:szCs w:val="28"/>
                    </w:rPr>
                  </w:pPr>
                  <w:r>
                    <w:rPr>
                      <w:rFonts w:hint="eastAsia"/>
                      <w:sz w:val="28"/>
                      <w:szCs w:val="28"/>
                    </w:rPr>
                    <w:t>时间：</w:t>
                  </w:r>
                  <w:r>
                    <w:rPr>
                      <w:rFonts w:hint="eastAsia"/>
                      <w:sz w:val="28"/>
                      <w:szCs w:val="28"/>
                      <w:u w:val="single"/>
                    </w:rPr>
                    <w:t>年月日</w:t>
                  </w:r>
                </w:p>
                <w:p>
                  <w:pPr>
                    <w:rPr>
                      <w:sz w:val="28"/>
                      <w:szCs w:val="28"/>
                    </w:rPr>
                  </w:pPr>
                </w:p>
              </w:txbxContent>
            </v:textbox>
          </v:shape>
        </w:pict>
      </w:r>
    </w:p>
    <w:p>
      <w:pPr>
        <w:spacing w:line="460" w:lineRule="exact"/>
        <w:ind w:firstLine="482" w:firstLineChars="200"/>
        <w:jc w:val="left"/>
        <w:rPr>
          <w:rFonts w:ascii="宋体" w:cs="宋体"/>
          <w:b/>
          <w:sz w:val="24"/>
        </w:rPr>
      </w:pPr>
    </w:p>
    <w:p>
      <w:pPr>
        <w:tabs>
          <w:tab w:val="left" w:pos="8280"/>
        </w:tabs>
        <w:spacing w:line="460" w:lineRule="exact"/>
        <w:ind w:firstLine="482" w:firstLineChars="200"/>
        <w:jc w:val="left"/>
        <w:rPr>
          <w:rFonts w:ascii="宋体" w:cs="宋体"/>
          <w:b/>
          <w:sz w:val="24"/>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1004" w:firstLineChars="200"/>
        <w:jc w:val="left"/>
        <w:rPr>
          <w:rFonts w:ascii="宋体" w:cs="宋体"/>
          <w:b/>
          <w:sz w:val="50"/>
        </w:rPr>
      </w:pPr>
    </w:p>
    <w:p>
      <w:pPr>
        <w:widowControl/>
        <w:spacing w:line="460" w:lineRule="exact"/>
        <w:ind w:firstLine="480" w:firstLineChars="200"/>
        <w:jc w:val="left"/>
        <w:rPr>
          <w:rFonts w:ascii="宋体" w:cs="宋体"/>
          <w:sz w:val="24"/>
          <w:szCs w:val="28"/>
        </w:rPr>
        <w:sectPr>
          <w:pgSz w:w="11906" w:h="16838"/>
          <w:pgMar w:top="1440" w:right="1800" w:bottom="1440" w:left="1800" w:header="851" w:footer="992" w:gutter="0"/>
          <w:cols w:space="720" w:num="1"/>
          <w:docGrid w:type="lines" w:linePitch="312" w:charSpace="0"/>
        </w:sectPr>
      </w:pPr>
    </w:p>
    <w:p>
      <w:pPr>
        <w:spacing w:line="460" w:lineRule="exact"/>
        <w:ind w:firstLine="482" w:firstLineChars="200"/>
        <w:jc w:val="left"/>
        <w:rPr>
          <w:rFonts w:ascii="宋体" w:cs="宋体"/>
          <w:b/>
          <w:sz w:val="24"/>
        </w:rPr>
      </w:pPr>
      <w:r>
        <w:rPr>
          <w:rFonts w:hint="eastAsia" w:ascii="宋体" w:hAnsi="宋体" w:cs="宋体"/>
          <w:b/>
          <w:sz w:val="24"/>
        </w:rPr>
        <w:t>磋商一览表封袋正面标识式样</w:t>
      </w:r>
    </w:p>
    <w:p>
      <w:pPr>
        <w:spacing w:line="460" w:lineRule="exact"/>
        <w:ind w:firstLine="482" w:firstLineChars="200"/>
        <w:jc w:val="left"/>
        <w:rPr>
          <w:rFonts w:ascii="宋体" w:cs="宋体"/>
          <w:b/>
          <w:sz w:val="24"/>
        </w:rPr>
      </w:pPr>
    </w:p>
    <w:p>
      <w:pPr>
        <w:spacing w:line="460" w:lineRule="exact"/>
        <w:ind w:firstLine="420" w:firstLineChars="200"/>
        <w:jc w:val="left"/>
        <w:rPr>
          <w:rFonts w:ascii="宋体" w:cs="宋体"/>
          <w:b/>
          <w:sz w:val="24"/>
        </w:rPr>
      </w:pPr>
      <w:r>
        <w:pict>
          <v:shape id="文本框 5" o:spid="_x0000_s1028" o:spt="202" type="#_x0000_t202" style="position:absolute;left:0pt;margin-left:-6.6pt;margin-top:13.65pt;height:285.4pt;width:436.6pt;z-index:251660288;mso-width-relative:page;mso-height-relative:page;" coordsize="21600,21600" o:gfxdata="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cvRttoAAAAKAQAADwAAAAAAAAABACAAAAAiAAAAZHJzL2Rvd25yZXYu&#10;eG1sUEsBAhQAFAAAAAgAh07iQCIy4wj5AQAA9wMAAA4AAAAAAAAAAQAgAAAAKQEAAGRycy9lMm9E&#10;b2MueG1sUEsFBgAAAAAGAAYAWQEAAJQFAAAAAA==&#10;">
            <v:path/>
            <v:fill focussize="0,0"/>
            <v:stroke joinstyle="miter"/>
            <v:imagedata o:title=""/>
            <o:lock v:ext="edit"/>
            <v:textbox>
              <w:txbxContent>
                <w:p>
                  <w:pPr>
                    <w:rPr>
                      <w:rFonts w:hint="eastAsia" w:eastAsia="宋体"/>
                      <w:sz w:val="28"/>
                      <w:szCs w:val="28"/>
                      <w:lang w:eastAsia="zh-CN"/>
                    </w:rPr>
                  </w:pPr>
                  <w:r>
                    <w:rPr>
                      <w:rFonts w:hint="eastAsia"/>
                      <w:sz w:val="28"/>
                      <w:szCs w:val="28"/>
                    </w:rPr>
                    <w:t>致：陕西卓佲招标有限公司       项目编号：</w:t>
                  </w:r>
                  <w:r>
                    <w:rPr>
                      <w:rFonts w:hint="eastAsia"/>
                      <w:sz w:val="28"/>
                      <w:szCs w:val="28"/>
                      <w:lang w:eastAsia="zh-CN"/>
                    </w:rPr>
                    <w:t>ZMZB2019XBDX-21</w:t>
                  </w:r>
                </w:p>
                <w:p>
                  <w:pPr>
                    <w:jc w:val="center"/>
                    <w:rPr>
                      <w:rFonts w:hint="eastAsia" w:eastAsia="宋体"/>
                      <w:sz w:val="28"/>
                      <w:szCs w:val="28"/>
                      <w:lang w:eastAsia="zh-CN"/>
                    </w:rPr>
                  </w:pPr>
                  <w:r>
                    <w:rPr>
                      <w:rFonts w:hint="eastAsia"/>
                      <w:sz w:val="28"/>
                      <w:szCs w:val="28"/>
                    </w:rPr>
                    <w:t>项目名称：</w:t>
                  </w:r>
                  <w:r>
                    <w:rPr>
                      <w:rFonts w:hint="eastAsia"/>
                      <w:sz w:val="28"/>
                      <w:szCs w:val="28"/>
                      <w:lang w:eastAsia="zh-CN"/>
                    </w:rPr>
                    <w:t>西北大学人力资源管理信息系统采购项目</w:t>
                  </w:r>
                </w:p>
                <w:p>
                  <w:pPr>
                    <w:jc w:val="center"/>
                    <w:rPr>
                      <w:b/>
                      <w:sz w:val="44"/>
                      <w:szCs w:val="44"/>
                    </w:rPr>
                  </w:pPr>
                  <w:r>
                    <w:rPr>
                      <w:rFonts w:hint="eastAsia"/>
                      <w:b/>
                      <w:sz w:val="44"/>
                      <w:szCs w:val="44"/>
                    </w:rPr>
                    <w:t>磋商一览表</w:t>
                  </w:r>
                </w:p>
                <w:p>
                  <w:pPr>
                    <w:jc w:val="center"/>
                    <w:rPr>
                      <w:sz w:val="28"/>
                      <w:szCs w:val="28"/>
                    </w:rPr>
                  </w:pPr>
                  <w:r>
                    <w:rPr>
                      <w:rFonts w:hint="eastAsia"/>
                      <w:sz w:val="28"/>
                      <w:szCs w:val="28"/>
                    </w:rPr>
                    <w:t>（非招标大会不得启封）</w:t>
                  </w:r>
                </w:p>
                <w:p>
                  <w:pPr>
                    <w:rPr>
                      <w:sz w:val="28"/>
                      <w:szCs w:val="28"/>
                    </w:rPr>
                  </w:pPr>
                  <w:r>
                    <w:rPr>
                      <w:rFonts w:hint="eastAsia"/>
                      <w:sz w:val="28"/>
                      <w:szCs w:val="28"/>
                    </w:rPr>
                    <w:t>供应商（公章）：</w:t>
                  </w:r>
                </w:p>
                <w:p>
                  <w:r>
                    <w:rPr>
                      <w:rFonts w:hint="eastAsia"/>
                      <w:sz w:val="28"/>
                      <w:szCs w:val="28"/>
                    </w:rPr>
                    <w:t>法定代表人/被授权人（签字或盖章）：</w:t>
                  </w:r>
                </w:p>
                <w:p>
                  <w:pPr>
                    <w:rPr>
                      <w:sz w:val="28"/>
                      <w:szCs w:val="28"/>
                      <w:u w:val="single"/>
                    </w:rPr>
                  </w:pPr>
                  <w:r>
                    <w:rPr>
                      <w:rFonts w:hint="eastAsia"/>
                      <w:sz w:val="28"/>
                      <w:szCs w:val="28"/>
                    </w:rPr>
                    <w:t>时间：</w:t>
                  </w:r>
                  <w:r>
                    <w:rPr>
                      <w:rFonts w:hint="eastAsia"/>
                      <w:sz w:val="28"/>
                      <w:szCs w:val="28"/>
                      <w:u w:val="single"/>
                    </w:rPr>
                    <w:t>年月日</w:t>
                  </w:r>
                </w:p>
                <w:p>
                  <w:pPr>
                    <w:pStyle w:val="3"/>
                  </w:pPr>
                </w:p>
              </w:txbxContent>
            </v:textbox>
          </v:shape>
        </w:pict>
      </w: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ind w:firstLine="482" w:firstLineChars="200"/>
        <w:jc w:val="left"/>
        <w:rPr>
          <w:rFonts w:ascii="宋体" w:cs="宋体"/>
          <w:b/>
          <w:sz w:val="24"/>
        </w:rPr>
      </w:pPr>
    </w:p>
    <w:p>
      <w:pPr>
        <w:spacing w:line="460" w:lineRule="exact"/>
        <w:jc w:val="left"/>
        <w:rPr>
          <w:rFonts w:ascii="宋体" w:cs="宋体"/>
          <w:b/>
          <w:sz w:val="24"/>
        </w:rPr>
      </w:pPr>
    </w:p>
    <w:p>
      <w:pPr>
        <w:spacing w:line="460" w:lineRule="exact"/>
        <w:jc w:val="left"/>
        <w:rPr>
          <w:rFonts w:ascii="宋体" w:cs="宋体"/>
          <w:b/>
          <w:sz w:val="24"/>
        </w:rPr>
      </w:pPr>
    </w:p>
    <w:p>
      <w:pPr>
        <w:spacing w:line="460" w:lineRule="exact"/>
        <w:jc w:val="left"/>
        <w:rPr>
          <w:rFonts w:ascii="宋体" w:cs="宋体"/>
          <w:b/>
          <w:sz w:val="24"/>
        </w:rPr>
      </w:pPr>
    </w:p>
    <w:p>
      <w:pPr>
        <w:spacing w:line="460" w:lineRule="exact"/>
        <w:jc w:val="left"/>
        <w:rPr>
          <w:rFonts w:ascii="宋体" w:cs="宋体"/>
          <w:b/>
          <w:sz w:val="24"/>
        </w:rPr>
      </w:pPr>
      <w:r>
        <w:rPr>
          <w:rFonts w:hint="eastAsia" w:ascii="宋体" w:hAnsi="宋体" w:cs="宋体"/>
          <w:b/>
          <w:sz w:val="24"/>
        </w:rPr>
        <w:t>电子文档封袋正面标识式样</w:t>
      </w:r>
    </w:p>
    <w:p>
      <w:pPr>
        <w:tabs>
          <w:tab w:val="left" w:pos="8280"/>
        </w:tabs>
        <w:spacing w:line="460" w:lineRule="exact"/>
        <w:ind w:firstLine="420" w:firstLineChars="200"/>
        <w:jc w:val="left"/>
        <w:rPr>
          <w:rFonts w:ascii="宋体" w:cs="宋体"/>
          <w:b/>
          <w:sz w:val="24"/>
        </w:rPr>
      </w:pPr>
      <w:r>
        <w:pict>
          <v:shape id="文本框 6" o:spid="_x0000_s1027" o:spt="202" type="#_x0000_t202" style="position:absolute;left:0pt;margin-left:-13pt;margin-top:5.7pt;height:296pt;width:448.75pt;z-index:251661312;mso-width-relative:page;mso-height-relative:page;" coordsize="21600,21600" o:gfxdata="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0BE1h2gAAAAoBAAAPAAAAAAAAAAEAIAAAACIAAABkcnMvZG93bnJldi54bWxQ&#10;SwECFAAUAAAACACHTuJAhHcyF/UBAAD3AwAADgAAAAAAAAABACAAAAApAQAAZHJzL2Uyb0RvYy54&#10;bWxQSwUGAAAAAAYABgBZAQAAkAUAAAAA&#10;">
            <v:path/>
            <v:fill focussize="0,0"/>
            <v:stroke joinstyle="miter"/>
            <v:imagedata o:title=""/>
            <o:lock v:ext="edit"/>
            <v:textbox>
              <w:txbxContent>
                <w:p>
                  <w:pPr>
                    <w:rPr>
                      <w:rFonts w:hint="eastAsia" w:eastAsia="宋体"/>
                      <w:sz w:val="28"/>
                      <w:szCs w:val="28"/>
                      <w:lang w:eastAsia="zh-CN"/>
                    </w:rPr>
                  </w:pPr>
                  <w:r>
                    <w:rPr>
                      <w:rFonts w:hint="eastAsia"/>
                      <w:sz w:val="28"/>
                      <w:szCs w:val="28"/>
                    </w:rPr>
                    <w:t>致：陕西卓佲招标有限公司         项目编号：</w:t>
                  </w:r>
                  <w:r>
                    <w:rPr>
                      <w:rFonts w:hint="eastAsia"/>
                      <w:sz w:val="28"/>
                      <w:szCs w:val="28"/>
                      <w:lang w:eastAsia="zh-CN"/>
                    </w:rPr>
                    <w:t>ZMZB2019XBDX-21</w:t>
                  </w:r>
                </w:p>
                <w:p>
                  <w:pPr>
                    <w:jc w:val="center"/>
                    <w:rPr>
                      <w:rFonts w:hint="eastAsia" w:eastAsia="宋体"/>
                      <w:sz w:val="28"/>
                      <w:szCs w:val="28"/>
                      <w:lang w:eastAsia="zh-CN"/>
                    </w:rPr>
                  </w:pPr>
                  <w:r>
                    <w:rPr>
                      <w:rFonts w:hint="eastAsia"/>
                      <w:sz w:val="28"/>
                      <w:szCs w:val="28"/>
                    </w:rPr>
                    <w:t>项目名称：</w:t>
                  </w:r>
                  <w:r>
                    <w:rPr>
                      <w:rFonts w:hint="eastAsia"/>
                      <w:sz w:val="28"/>
                      <w:szCs w:val="28"/>
                      <w:lang w:eastAsia="zh-CN"/>
                    </w:rPr>
                    <w:t>西北大学人力资源管理信息系统采购项目</w:t>
                  </w:r>
                </w:p>
                <w:p>
                  <w:pPr>
                    <w:jc w:val="center"/>
                    <w:rPr>
                      <w:b/>
                      <w:sz w:val="44"/>
                      <w:szCs w:val="44"/>
                    </w:rPr>
                  </w:pPr>
                  <w:r>
                    <w:rPr>
                      <w:rFonts w:hint="eastAsia"/>
                      <w:b/>
                      <w:sz w:val="44"/>
                      <w:szCs w:val="44"/>
                    </w:rPr>
                    <w:t>电子文档</w:t>
                  </w:r>
                </w:p>
                <w:p>
                  <w:pPr>
                    <w:jc w:val="center"/>
                    <w:rPr>
                      <w:sz w:val="28"/>
                      <w:szCs w:val="28"/>
                    </w:rPr>
                  </w:pPr>
                  <w:r>
                    <w:rPr>
                      <w:rFonts w:hint="eastAsia"/>
                      <w:sz w:val="28"/>
                      <w:szCs w:val="28"/>
                    </w:rPr>
                    <w:t>（非招标大会不得启封）</w:t>
                  </w:r>
                </w:p>
                <w:p>
                  <w:pPr>
                    <w:rPr>
                      <w:sz w:val="28"/>
                      <w:szCs w:val="28"/>
                    </w:rPr>
                  </w:pPr>
                  <w:r>
                    <w:rPr>
                      <w:rFonts w:hint="eastAsia"/>
                      <w:sz w:val="28"/>
                      <w:szCs w:val="28"/>
                    </w:rPr>
                    <w:t>供应商（公章）：</w:t>
                  </w:r>
                </w:p>
                <w:p>
                  <w:r>
                    <w:rPr>
                      <w:rFonts w:hint="eastAsia"/>
                      <w:sz w:val="28"/>
                      <w:szCs w:val="28"/>
                    </w:rPr>
                    <w:t>法定代表人/被授权人（签字或盖章）：</w:t>
                  </w:r>
                </w:p>
                <w:p>
                  <w:pPr>
                    <w:rPr>
                      <w:sz w:val="28"/>
                      <w:szCs w:val="28"/>
                    </w:rPr>
                  </w:pPr>
                  <w:r>
                    <w:rPr>
                      <w:rFonts w:hint="eastAsia"/>
                      <w:sz w:val="28"/>
                      <w:szCs w:val="28"/>
                    </w:rPr>
                    <w:t>时间</w:t>
                  </w:r>
                  <w:r>
                    <w:rPr>
                      <w:rFonts w:hint="eastAsia"/>
                      <w:sz w:val="28"/>
                      <w:szCs w:val="28"/>
                      <w:u w:val="single"/>
                    </w:rPr>
                    <w:t>：年月日</w:t>
                  </w:r>
                </w:p>
              </w:txbxContent>
            </v:textbox>
          </v:shape>
        </w:pict>
      </w: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420" w:firstLineChars="200"/>
        <w:jc w:val="left"/>
        <w:rPr>
          <w:rFonts w:ascii="宋体" w:cs="宋体"/>
        </w:rPr>
      </w:pPr>
    </w:p>
    <w:p>
      <w:pPr>
        <w:ind w:firstLine="1004" w:firstLineChars="200"/>
        <w:jc w:val="left"/>
        <w:rPr>
          <w:rFonts w:ascii="宋体" w:cs="宋体"/>
          <w:b/>
          <w:sz w:val="50"/>
        </w:rPr>
      </w:pPr>
    </w:p>
    <w:p>
      <w:pPr>
        <w:pageBreakBefore/>
        <w:spacing w:line="420" w:lineRule="auto"/>
        <w:rPr>
          <w:rFonts w:ascii="宋体" w:cs="宋体"/>
          <w:b/>
          <w:bCs/>
          <w:sz w:val="36"/>
          <w:szCs w:val="36"/>
        </w:rPr>
        <w:sectPr>
          <w:pgSz w:w="11906" w:h="16838"/>
          <w:pgMar w:top="1440" w:right="1803" w:bottom="1440" w:left="1803" w:header="851" w:footer="992" w:gutter="0"/>
          <w:cols w:space="720" w:num="1"/>
          <w:docGrid w:type="lines" w:linePitch="319" w:charSpace="0"/>
        </w:sectPr>
      </w:pPr>
    </w:p>
    <w:p>
      <w:pPr>
        <w:pStyle w:val="5"/>
        <w:adjustRightInd w:val="0"/>
        <w:spacing w:line="416" w:lineRule="atLeast"/>
        <w:textAlignment w:val="baseline"/>
        <w:rPr>
          <w:rFonts w:ascii="宋体" w:cs="宋体"/>
        </w:rPr>
      </w:pPr>
      <w:bookmarkStart w:id="110" w:name="_Toc8177"/>
      <w:bookmarkStart w:id="111" w:name="_Toc15212"/>
      <w:bookmarkStart w:id="112" w:name="_Toc2630"/>
      <w:r>
        <w:rPr>
          <w:rFonts w:hint="eastAsia" w:ascii="宋体" w:hAnsi="宋体" w:cs="宋体"/>
        </w:rPr>
        <w:t>附件二、中小企业申明</w:t>
      </w:r>
      <w:bookmarkEnd w:id="110"/>
      <w:bookmarkEnd w:id="111"/>
      <w:bookmarkEnd w:id="112"/>
    </w:p>
    <w:p>
      <w:pPr>
        <w:spacing w:line="588" w:lineRule="exact"/>
        <w:ind w:firstLine="504" w:firstLineChars="200"/>
        <w:rPr>
          <w:rFonts w:ascii="宋体" w:cs="宋体"/>
          <w:spacing w:val="6"/>
          <w:sz w:val="24"/>
        </w:rPr>
      </w:pPr>
      <w:r>
        <w:rPr>
          <w:rFonts w:hint="eastAsia" w:ascii="宋体" w:hAnsi="宋体" w:cs="宋体"/>
          <w:spacing w:val="6"/>
          <w:sz w:val="24"/>
        </w:rPr>
        <w:t>根据《政府采购促进中小企业发展暂行办法》（财库</w:t>
      </w:r>
      <w:r>
        <w:rPr>
          <w:rFonts w:ascii="宋体" w:hAnsi="宋体" w:cs="宋体"/>
          <w:spacing w:val="6"/>
          <w:sz w:val="24"/>
        </w:rPr>
        <w:t>[2011]181</w:t>
      </w:r>
      <w:r>
        <w:rPr>
          <w:rFonts w:hint="eastAsia" w:ascii="宋体" w:hAnsi="宋体" w:cs="宋体"/>
          <w:spacing w:val="6"/>
          <w:sz w:val="24"/>
        </w:rPr>
        <w:t>号）的规定，由供应商自行声明并对真实性负责。如有虚假，将依法承担相应责任。</w:t>
      </w:r>
    </w:p>
    <w:p>
      <w:pPr>
        <w:spacing w:line="588" w:lineRule="exact"/>
        <w:jc w:val="center"/>
        <w:rPr>
          <w:rFonts w:ascii="仿宋_GB2312" w:eastAsia="仿宋_GB2312"/>
          <w:b/>
          <w:spacing w:val="6"/>
          <w:sz w:val="24"/>
          <w:szCs w:val="24"/>
        </w:rPr>
      </w:pPr>
      <w:r>
        <w:rPr>
          <w:rFonts w:hint="eastAsia" w:ascii="宋体" w:hAnsi="宋体"/>
          <w:b/>
          <w:spacing w:val="6"/>
          <w:sz w:val="24"/>
          <w:szCs w:val="24"/>
        </w:rPr>
        <w:t>中小企业声明函</w:t>
      </w:r>
    </w:p>
    <w:p>
      <w:pPr>
        <w:spacing w:line="360" w:lineRule="auto"/>
        <w:ind w:firstLine="504" w:firstLineChars="200"/>
        <w:rPr>
          <w:rFonts w:ascii="宋体"/>
          <w:spacing w:val="6"/>
          <w:sz w:val="24"/>
          <w:szCs w:val="24"/>
        </w:rPr>
      </w:pPr>
      <w:r>
        <w:rPr>
          <w:rFonts w:hint="eastAsia" w:ascii="宋体" w:hAnsi="宋体"/>
          <w:spacing w:val="6"/>
          <w:sz w:val="24"/>
          <w:szCs w:val="24"/>
        </w:rPr>
        <w:t>本公司郑重声明，根据《政府采购促进中小企业发展暂行办法》（财库</w:t>
      </w:r>
      <w:r>
        <w:rPr>
          <w:rFonts w:ascii="宋体" w:hAnsi="宋体"/>
          <w:spacing w:val="6"/>
          <w:sz w:val="24"/>
          <w:szCs w:val="24"/>
        </w:rPr>
        <w:t>[2011]181</w:t>
      </w:r>
      <w:r>
        <w:rPr>
          <w:rFonts w:hint="eastAsia" w:ascii="宋体" w:hAnsi="宋体"/>
          <w:spacing w:val="6"/>
          <w:sz w:val="24"/>
          <w:szCs w:val="24"/>
        </w:rPr>
        <w:t>号）的规定，本公司为</w:t>
      </w:r>
      <w:r>
        <w:rPr>
          <w:rFonts w:ascii="宋体" w:hAnsi="宋体"/>
          <w:spacing w:val="6"/>
          <w:sz w:val="24"/>
          <w:szCs w:val="24"/>
        </w:rPr>
        <w:t>______</w:t>
      </w:r>
      <w:r>
        <w:rPr>
          <w:rFonts w:hint="eastAsia" w:ascii="宋体" w:hAnsi="宋体"/>
          <w:spacing w:val="6"/>
          <w:sz w:val="24"/>
          <w:szCs w:val="24"/>
        </w:rPr>
        <w:t>（请填写：中型、小型、微型）企业。即，本公司同时满足以下条件：</w:t>
      </w:r>
    </w:p>
    <w:p>
      <w:pPr>
        <w:spacing w:line="360" w:lineRule="auto"/>
        <w:ind w:firstLine="504" w:firstLineChars="200"/>
        <w:rPr>
          <w:rFonts w:ascii="宋体"/>
          <w:spacing w:val="6"/>
          <w:sz w:val="24"/>
          <w:szCs w:val="24"/>
        </w:rPr>
      </w:pPr>
      <w:r>
        <w:rPr>
          <w:rFonts w:ascii="宋体" w:hAnsi="宋体"/>
          <w:spacing w:val="6"/>
          <w:sz w:val="24"/>
          <w:szCs w:val="24"/>
        </w:rPr>
        <w:t>1.</w:t>
      </w:r>
      <w:r>
        <w:rPr>
          <w:rFonts w:hint="eastAsia" w:ascii="宋体" w:hAnsi="宋体"/>
          <w:spacing w:val="6"/>
          <w:sz w:val="24"/>
          <w:szCs w:val="24"/>
        </w:rPr>
        <w:t>根据《工业和信息化部、国家统计局、国家发展和改革委员会、财政部关于印发中小企业划型标准规定的通知》（工信部联企业</w:t>
      </w:r>
      <w:r>
        <w:rPr>
          <w:rFonts w:ascii="宋体" w:hAnsi="宋体"/>
          <w:spacing w:val="6"/>
          <w:sz w:val="24"/>
          <w:szCs w:val="24"/>
        </w:rPr>
        <w:t>[2011]300</w:t>
      </w:r>
      <w:r>
        <w:rPr>
          <w:rFonts w:hint="eastAsia" w:ascii="宋体" w:hAnsi="宋体"/>
          <w:spacing w:val="6"/>
          <w:sz w:val="24"/>
          <w:szCs w:val="24"/>
        </w:rPr>
        <w:t>号）规定的划分标准，本公司为</w:t>
      </w:r>
      <w:r>
        <w:rPr>
          <w:rFonts w:ascii="宋体" w:hAnsi="宋体"/>
          <w:spacing w:val="6"/>
          <w:sz w:val="24"/>
          <w:szCs w:val="24"/>
        </w:rPr>
        <w:t>______</w:t>
      </w:r>
      <w:r>
        <w:rPr>
          <w:rFonts w:hint="eastAsia" w:ascii="宋体" w:hAnsi="宋体"/>
          <w:spacing w:val="6"/>
          <w:sz w:val="24"/>
          <w:szCs w:val="24"/>
        </w:rPr>
        <w:t>（请填写：中型、小型、微型）企业。</w:t>
      </w:r>
    </w:p>
    <w:p>
      <w:pPr>
        <w:spacing w:line="360" w:lineRule="auto"/>
        <w:ind w:firstLine="504" w:firstLineChars="200"/>
        <w:rPr>
          <w:rFonts w:ascii="宋体"/>
          <w:spacing w:val="6"/>
          <w:sz w:val="24"/>
          <w:szCs w:val="24"/>
        </w:rPr>
      </w:pPr>
      <w:r>
        <w:rPr>
          <w:rFonts w:ascii="宋体" w:hAnsi="宋体"/>
          <w:spacing w:val="6"/>
          <w:sz w:val="24"/>
          <w:szCs w:val="24"/>
        </w:rPr>
        <w:t>2.</w:t>
      </w:r>
      <w:r>
        <w:rPr>
          <w:rFonts w:hint="eastAsia" w:ascii="宋体" w:hAnsi="宋体"/>
          <w:spacing w:val="6"/>
          <w:sz w:val="24"/>
          <w:szCs w:val="24"/>
        </w:rPr>
        <w:t>本公司参加</w:t>
      </w:r>
      <w:r>
        <w:rPr>
          <w:rFonts w:ascii="宋体" w:hAnsi="宋体"/>
          <w:spacing w:val="6"/>
          <w:sz w:val="24"/>
          <w:szCs w:val="24"/>
        </w:rPr>
        <w:t>______</w:t>
      </w:r>
      <w:r>
        <w:rPr>
          <w:rFonts w:hint="eastAsia" w:ascii="宋体" w:hAnsi="宋体"/>
          <w:spacing w:val="6"/>
          <w:sz w:val="24"/>
          <w:szCs w:val="24"/>
        </w:rPr>
        <w:t>单位的</w:t>
      </w:r>
      <w:r>
        <w:rPr>
          <w:rFonts w:ascii="宋体" w:hAnsi="宋体"/>
          <w:spacing w:val="6"/>
          <w:sz w:val="24"/>
          <w:szCs w:val="24"/>
        </w:rPr>
        <w:t>______</w:t>
      </w:r>
      <w:r>
        <w:rPr>
          <w:rFonts w:hint="eastAsia" w:ascii="宋体" w:hAnsi="宋体"/>
          <w:spacing w:val="6"/>
          <w:sz w:val="24"/>
          <w:szCs w:val="24"/>
        </w:rPr>
        <w:t>项目采购活动</w:t>
      </w:r>
      <w:r>
        <w:rPr>
          <w:rFonts w:hint="eastAsia" w:ascii="宋体" w:hAnsi="宋体"/>
          <w:spacing w:val="6"/>
          <w:sz w:val="24"/>
          <w:szCs w:val="24"/>
          <w:u w:val="single"/>
        </w:rPr>
        <w:t>提供本企业制造的货物，由本企业承担项目、提供服务</w:t>
      </w:r>
      <w:r>
        <w:rPr>
          <w:rFonts w:hint="eastAsia" w:ascii="宋体" w:hAnsi="宋体"/>
          <w:spacing w:val="6"/>
          <w:sz w:val="24"/>
          <w:szCs w:val="24"/>
        </w:rPr>
        <w:t>，</w:t>
      </w:r>
      <w:r>
        <w:rPr>
          <w:rFonts w:hint="eastAsia" w:ascii="宋体" w:hAnsi="宋体"/>
          <w:spacing w:val="6"/>
          <w:sz w:val="24"/>
          <w:szCs w:val="24"/>
          <w:u w:val="single"/>
        </w:rPr>
        <w:t>或者提供其他</w:t>
      </w:r>
      <w:r>
        <w:rPr>
          <w:rFonts w:ascii="宋体" w:hAnsi="宋体"/>
          <w:spacing w:val="6"/>
          <w:sz w:val="24"/>
          <w:szCs w:val="24"/>
          <w:u w:val="single"/>
        </w:rPr>
        <w:t>______</w:t>
      </w:r>
      <w:r>
        <w:rPr>
          <w:rFonts w:hint="eastAsia" w:ascii="宋体" w:hAnsi="宋体"/>
          <w:spacing w:val="6"/>
          <w:sz w:val="24"/>
          <w:szCs w:val="24"/>
          <w:u w:val="single"/>
        </w:rPr>
        <w:t>（请填写：中型、小型、微型）企业制造的货物</w:t>
      </w:r>
      <w:r>
        <w:rPr>
          <w:rFonts w:hint="eastAsia" w:ascii="宋体" w:hAnsi="宋体"/>
          <w:spacing w:val="6"/>
          <w:sz w:val="24"/>
          <w:szCs w:val="24"/>
        </w:rPr>
        <w:t>。本条所称货物不包括使用大型企业注册商标的货物。</w:t>
      </w:r>
    </w:p>
    <w:p>
      <w:pPr>
        <w:spacing w:line="360" w:lineRule="auto"/>
        <w:ind w:firstLine="504" w:firstLineChars="200"/>
        <w:rPr>
          <w:rFonts w:ascii="宋体"/>
          <w:spacing w:val="6"/>
          <w:sz w:val="24"/>
          <w:szCs w:val="24"/>
        </w:rPr>
      </w:pPr>
      <w:r>
        <w:rPr>
          <w:rFonts w:hint="eastAsia" w:ascii="宋体" w:hAnsi="宋体"/>
          <w:spacing w:val="6"/>
          <w:sz w:val="24"/>
          <w:szCs w:val="24"/>
        </w:rPr>
        <w:t>本公司对上述声明的真实性负责。如有虚假，将依法承担相应责任。</w:t>
      </w:r>
    </w:p>
    <w:tbl>
      <w:tblPr>
        <w:tblStyle w:val="25"/>
        <w:tblW w:w="8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3000"/>
        <w:gridCol w:w="1254"/>
        <w:gridCol w:w="996"/>
        <w:gridCol w:w="164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615" w:type="dxa"/>
            <w:vAlign w:val="center"/>
          </w:tcPr>
          <w:p>
            <w:pPr>
              <w:spacing w:line="360" w:lineRule="auto"/>
              <w:jc w:val="center"/>
              <w:rPr>
                <w:rFonts w:ascii="宋体"/>
                <w:spacing w:val="6"/>
                <w:sz w:val="24"/>
                <w:szCs w:val="24"/>
              </w:rPr>
            </w:pPr>
            <w:r>
              <w:rPr>
                <w:rFonts w:hint="eastAsia" w:ascii="宋体" w:hAnsi="宋体"/>
                <w:spacing w:val="6"/>
                <w:sz w:val="24"/>
                <w:szCs w:val="24"/>
              </w:rPr>
              <w:t>序号</w:t>
            </w:r>
          </w:p>
        </w:tc>
        <w:tc>
          <w:tcPr>
            <w:tcW w:w="3000" w:type="dxa"/>
            <w:vAlign w:val="center"/>
          </w:tcPr>
          <w:p>
            <w:pPr>
              <w:spacing w:line="360" w:lineRule="auto"/>
              <w:jc w:val="center"/>
              <w:rPr>
                <w:rFonts w:ascii="宋体"/>
                <w:spacing w:val="6"/>
                <w:sz w:val="24"/>
                <w:szCs w:val="24"/>
              </w:rPr>
            </w:pPr>
            <w:r>
              <w:rPr>
                <w:rFonts w:hint="eastAsia" w:ascii="宋体" w:hAnsi="宋体"/>
                <w:spacing w:val="6"/>
                <w:sz w:val="24"/>
                <w:szCs w:val="24"/>
              </w:rPr>
              <w:t>产品类型</w:t>
            </w:r>
          </w:p>
        </w:tc>
        <w:tc>
          <w:tcPr>
            <w:tcW w:w="1254" w:type="dxa"/>
            <w:vAlign w:val="center"/>
          </w:tcPr>
          <w:p>
            <w:pPr>
              <w:spacing w:line="360" w:lineRule="auto"/>
              <w:jc w:val="center"/>
              <w:rPr>
                <w:rFonts w:ascii="宋体"/>
                <w:spacing w:val="6"/>
                <w:sz w:val="24"/>
                <w:szCs w:val="24"/>
              </w:rPr>
            </w:pPr>
            <w:r>
              <w:rPr>
                <w:rFonts w:hint="eastAsia" w:ascii="宋体" w:hAnsi="宋体"/>
                <w:spacing w:val="6"/>
                <w:sz w:val="24"/>
                <w:szCs w:val="24"/>
              </w:rPr>
              <w:t>产品名称</w:t>
            </w:r>
          </w:p>
        </w:tc>
        <w:tc>
          <w:tcPr>
            <w:tcW w:w="996" w:type="dxa"/>
            <w:vAlign w:val="center"/>
          </w:tcPr>
          <w:p>
            <w:pPr>
              <w:spacing w:line="360" w:lineRule="auto"/>
              <w:jc w:val="center"/>
              <w:rPr>
                <w:rFonts w:ascii="宋体"/>
                <w:spacing w:val="6"/>
                <w:sz w:val="24"/>
                <w:szCs w:val="24"/>
              </w:rPr>
            </w:pPr>
            <w:r>
              <w:rPr>
                <w:rFonts w:hint="eastAsia" w:ascii="宋体" w:hAnsi="宋体"/>
                <w:spacing w:val="6"/>
                <w:sz w:val="24"/>
                <w:szCs w:val="24"/>
              </w:rPr>
              <w:t>制造商</w:t>
            </w:r>
          </w:p>
        </w:tc>
        <w:tc>
          <w:tcPr>
            <w:tcW w:w="1640" w:type="dxa"/>
            <w:vAlign w:val="center"/>
          </w:tcPr>
          <w:p>
            <w:pPr>
              <w:spacing w:line="360" w:lineRule="auto"/>
              <w:jc w:val="center"/>
              <w:rPr>
                <w:rFonts w:ascii="宋体"/>
                <w:spacing w:val="6"/>
                <w:sz w:val="24"/>
                <w:szCs w:val="24"/>
              </w:rPr>
            </w:pPr>
            <w:r>
              <w:rPr>
                <w:rFonts w:hint="eastAsia" w:ascii="宋体" w:hAnsi="宋体"/>
                <w:spacing w:val="6"/>
                <w:sz w:val="24"/>
                <w:szCs w:val="24"/>
              </w:rPr>
              <w:t>金额（万元）</w:t>
            </w:r>
          </w:p>
        </w:tc>
        <w:tc>
          <w:tcPr>
            <w:tcW w:w="1275" w:type="dxa"/>
            <w:vAlign w:val="center"/>
          </w:tcPr>
          <w:p>
            <w:pPr>
              <w:spacing w:line="360" w:lineRule="auto"/>
              <w:jc w:val="center"/>
              <w:rPr>
                <w:rFonts w:ascii="宋体"/>
                <w:spacing w:val="6"/>
                <w:sz w:val="24"/>
                <w:szCs w:val="24"/>
              </w:rPr>
            </w:pPr>
            <w:r>
              <w:rPr>
                <w:rFonts w:hint="eastAsia" w:ascii="宋体" w:hAnsi="宋体"/>
                <w:spacing w:val="6"/>
                <w:sz w:val="24"/>
                <w:szCs w:val="24"/>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615" w:type="dxa"/>
            <w:vAlign w:val="center"/>
          </w:tcPr>
          <w:p>
            <w:pPr>
              <w:spacing w:line="360" w:lineRule="auto"/>
              <w:jc w:val="center"/>
              <w:rPr>
                <w:rFonts w:ascii="宋体"/>
                <w:spacing w:val="6"/>
                <w:sz w:val="24"/>
                <w:szCs w:val="24"/>
              </w:rPr>
            </w:pPr>
            <w:r>
              <w:rPr>
                <w:rFonts w:ascii="宋体" w:hAnsi="宋体"/>
                <w:spacing w:val="6"/>
                <w:sz w:val="24"/>
                <w:szCs w:val="24"/>
              </w:rPr>
              <w:t>1</w:t>
            </w:r>
          </w:p>
        </w:tc>
        <w:tc>
          <w:tcPr>
            <w:tcW w:w="3000" w:type="dxa"/>
            <w:vAlign w:val="center"/>
          </w:tcPr>
          <w:p>
            <w:pPr>
              <w:spacing w:line="360" w:lineRule="auto"/>
              <w:rPr>
                <w:rFonts w:ascii="宋体"/>
                <w:spacing w:val="6"/>
                <w:sz w:val="24"/>
                <w:szCs w:val="24"/>
              </w:rPr>
            </w:pPr>
            <w:r>
              <w:rPr>
                <w:rFonts w:hint="eastAsia" w:ascii="宋体" w:hAnsi="宋体"/>
                <w:spacing w:val="6"/>
                <w:sz w:val="24"/>
                <w:szCs w:val="24"/>
              </w:rPr>
              <w:t>本企业制造的货物</w:t>
            </w:r>
          </w:p>
        </w:tc>
        <w:tc>
          <w:tcPr>
            <w:tcW w:w="1254" w:type="dxa"/>
            <w:vAlign w:val="center"/>
          </w:tcPr>
          <w:p>
            <w:pPr>
              <w:spacing w:line="360" w:lineRule="auto"/>
              <w:jc w:val="center"/>
              <w:rPr>
                <w:rFonts w:ascii="宋体"/>
                <w:spacing w:val="6"/>
                <w:sz w:val="24"/>
                <w:szCs w:val="24"/>
              </w:rPr>
            </w:pPr>
          </w:p>
        </w:tc>
        <w:tc>
          <w:tcPr>
            <w:tcW w:w="996" w:type="dxa"/>
            <w:vAlign w:val="center"/>
          </w:tcPr>
          <w:p>
            <w:pPr>
              <w:spacing w:line="360" w:lineRule="auto"/>
              <w:jc w:val="center"/>
              <w:rPr>
                <w:rFonts w:ascii="宋体"/>
                <w:spacing w:val="6"/>
                <w:sz w:val="24"/>
                <w:szCs w:val="24"/>
              </w:rPr>
            </w:pPr>
          </w:p>
        </w:tc>
        <w:tc>
          <w:tcPr>
            <w:tcW w:w="1640" w:type="dxa"/>
            <w:vAlign w:val="center"/>
          </w:tcPr>
          <w:p>
            <w:pPr>
              <w:spacing w:line="360" w:lineRule="auto"/>
              <w:jc w:val="center"/>
              <w:rPr>
                <w:rFonts w:ascii="宋体"/>
                <w:spacing w:val="6"/>
                <w:sz w:val="24"/>
                <w:szCs w:val="24"/>
              </w:rPr>
            </w:pPr>
          </w:p>
        </w:tc>
        <w:tc>
          <w:tcPr>
            <w:tcW w:w="1275" w:type="dxa"/>
            <w:vAlign w:val="center"/>
          </w:tcPr>
          <w:p>
            <w:pPr>
              <w:spacing w:line="360" w:lineRule="auto"/>
              <w:jc w:val="center"/>
              <w:rPr>
                <w:rFonts w:ascii="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615" w:type="dxa"/>
            <w:vAlign w:val="center"/>
          </w:tcPr>
          <w:p>
            <w:pPr>
              <w:spacing w:line="360" w:lineRule="auto"/>
              <w:jc w:val="center"/>
              <w:rPr>
                <w:rFonts w:ascii="宋体"/>
                <w:spacing w:val="6"/>
                <w:sz w:val="24"/>
                <w:szCs w:val="24"/>
              </w:rPr>
            </w:pPr>
            <w:r>
              <w:rPr>
                <w:rFonts w:ascii="宋体" w:hAnsi="宋体"/>
                <w:spacing w:val="6"/>
                <w:sz w:val="24"/>
                <w:szCs w:val="24"/>
              </w:rPr>
              <w:t>2</w:t>
            </w:r>
          </w:p>
        </w:tc>
        <w:tc>
          <w:tcPr>
            <w:tcW w:w="3000" w:type="dxa"/>
            <w:vAlign w:val="center"/>
          </w:tcPr>
          <w:p>
            <w:pPr>
              <w:spacing w:line="360" w:lineRule="auto"/>
              <w:rPr>
                <w:rFonts w:ascii="宋体"/>
                <w:spacing w:val="6"/>
                <w:sz w:val="24"/>
                <w:szCs w:val="24"/>
              </w:rPr>
            </w:pPr>
            <w:r>
              <w:rPr>
                <w:rFonts w:hint="eastAsia" w:ascii="宋体" w:hAnsi="宋体"/>
                <w:spacing w:val="6"/>
                <w:sz w:val="24"/>
                <w:szCs w:val="24"/>
              </w:rPr>
              <w:t>其他中型企业制造的货物</w:t>
            </w:r>
          </w:p>
        </w:tc>
        <w:tc>
          <w:tcPr>
            <w:tcW w:w="1254" w:type="dxa"/>
            <w:vAlign w:val="center"/>
          </w:tcPr>
          <w:p>
            <w:pPr>
              <w:spacing w:line="360" w:lineRule="auto"/>
              <w:jc w:val="center"/>
              <w:rPr>
                <w:rFonts w:ascii="宋体"/>
                <w:spacing w:val="6"/>
                <w:sz w:val="24"/>
                <w:szCs w:val="24"/>
              </w:rPr>
            </w:pPr>
          </w:p>
        </w:tc>
        <w:tc>
          <w:tcPr>
            <w:tcW w:w="996" w:type="dxa"/>
            <w:vAlign w:val="center"/>
          </w:tcPr>
          <w:p>
            <w:pPr>
              <w:spacing w:line="360" w:lineRule="auto"/>
              <w:jc w:val="center"/>
              <w:rPr>
                <w:rFonts w:ascii="宋体"/>
                <w:spacing w:val="6"/>
                <w:sz w:val="24"/>
                <w:szCs w:val="24"/>
              </w:rPr>
            </w:pPr>
          </w:p>
        </w:tc>
        <w:tc>
          <w:tcPr>
            <w:tcW w:w="1640" w:type="dxa"/>
            <w:vAlign w:val="center"/>
          </w:tcPr>
          <w:p>
            <w:pPr>
              <w:spacing w:line="360" w:lineRule="auto"/>
              <w:jc w:val="center"/>
              <w:rPr>
                <w:rFonts w:ascii="宋体"/>
                <w:spacing w:val="6"/>
                <w:sz w:val="24"/>
                <w:szCs w:val="24"/>
              </w:rPr>
            </w:pPr>
          </w:p>
        </w:tc>
        <w:tc>
          <w:tcPr>
            <w:tcW w:w="1275" w:type="dxa"/>
            <w:vAlign w:val="center"/>
          </w:tcPr>
          <w:p>
            <w:pPr>
              <w:spacing w:line="360" w:lineRule="auto"/>
              <w:jc w:val="center"/>
              <w:rPr>
                <w:rFonts w:ascii="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615" w:type="dxa"/>
            <w:vAlign w:val="center"/>
          </w:tcPr>
          <w:p>
            <w:pPr>
              <w:spacing w:line="360" w:lineRule="auto"/>
              <w:jc w:val="center"/>
              <w:rPr>
                <w:rFonts w:ascii="宋体"/>
                <w:spacing w:val="6"/>
                <w:sz w:val="24"/>
                <w:szCs w:val="24"/>
              </w:rPr>
            </w:pPr>
            <w:r>
              <w:rPr>
                <w:rFonts w:ascii="宋体" w:hAnsi="宋体"/>
                <w:spacing w:val="6"/>
                <w:sz w:val="24"/>
                <w:szCs w:val="24"/>
              </w:rPr>
              <w:t>3</w:t>
            </w:r>
          </w:p>
        </w:tc>
        <w:tc>
          <w:tcPr>
            <w:tcW w:w="3000" w:type="dxa"/>
            <w:vAlign w:val="center"/>
          </w:tcPr>
          <w:p>
            <w:pPr>
              <w:spacing w:line="360" w:lineRule="auto"/>
              <w:rPr>
                <w:rFonts w:ascii="宋体"/>
                <w:spacing w:val="6"/>
                <w:sz w:val="24"/>
                <w:szCs w:val="24"/>
              </w:rPr>
            </w:pPr>
            <w:r>
              <w:rPr>
                <w:rFonts w:hint="eastAsia" w:ascii="宋体" w:hAnsi="宋体"/>
                <w:spacing w:val="6"/>
                <w:sz w:val="24"/>
                <w:szCs w:val="24"/>
              </w:rPr>
              <w:t>其他小型企业制造的货物</w:t>
            </w:r>
          </w:p>
        </w:tc>
        <w:tc>
          <w:tcPr>
            <w:tcW w:w="1254" w:type="dxa"/>
            <w:vAlign w:val="center"/>
          </w:tcPr>
          <w:p>
            <w:pPr>
              <w:spacing w:line="360" w:lineRule="auto"/>
              <w:jc w:val="center"/>
              <w:rPr>
                <w:rFonts w:ascii="宋体"/>
                <w:spacing w:val="6"/>
                <w:sz w:val="24"/>
                <w:szCs w:val="24"/>
              </w:rPr>
            </w:pPr>
          </w:p>
        </w:tc>
        <w:tc>
          <w:tcPr>
            <w:tcW w:w="996" w:type="dxa"/>
            <w:vAlign w:val="center"/>
          </w:tcPr>
          <w:p>
            <w:pPr>
              <w:spacing w:line="360" w:lineRule="auto"/>
              <w:jc w:val="center"/>
              <w:rPr>
                <w:rFonts w:ascii="宋体"/>
                <w:spacing w:val="6"/>
                <w:sz w:val="24"/>
                <w:szCs w:val="24"/>
              </w:rPr>
            </w:pPr>
          </w:p>
        </w:tc>
        <w:tc>
          <w:tcPr>
            <w:tcW w:w="1640" w:type="dxa"/>
            <w:vAlign w:val="center"/>
          </w:tcPr>
          <w:p>
            <w:pPr>
              <w:spacing w:line="360" w:lineRule="auto"/>
              <w:jc w:val="center"/>
              <w:rPr>
                <w:rFonts w:ascii="宋体"/>
                <w:spacing w:val="6"/>
                <w:sz w:val="24"/>
                <w:szCs w:val="24"/>
              </w:rPr>
            </w:pPr>
          </w:p>
        </w:tc>
        <w:tc>
          <w:tcPr>
            <w:tcW w:w="1275" w:type="dxa"/>
            <w:vAlign w:val="center"/>
          </w:tcPr>
          <w:p>
            <w:pPr>
              <w:spacing w:line="360" w:lineRule="auto"/>
              <w:jc w:val="center"/>
              <w:rPr>
                <w:rFonts w:ascii="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615" w:type="dxa"/>
            <w:vAlign w:val="center"/>
          </w:tcPr>
          <w:p>
            <w:pPr>
              <w:spacing w:line="360" w:lineRule="auto"/>
              <w:jc w:val="center"/>
              <w:rPr>
                <w:rFonts w:ascii="宋体"/>
                <w:spacing w:val="6"/>
                <w:sz w:val="24"/>
                <w:szCs w:val="24"/>
              </w:rPr>
            </w:pPr>
            <w:r>
              <w:rPr>
                <w:rFonts w:ascii="宋体" w:hAnsi="宋体"/>
                <w:spacing w:val="6"/>
                <w:sz w:val="24"/>
                <w:szCs w:val="24"/>
              </w:rPr>
              <w:t>4</w:t>
            </w:r>
          </w:p>
        </w:tc>
        <w:tc>
          <w:tcPr>
            <w:tcW w:w="3000" w:type="dxa"/>
            <w:vAlign w:val="center"/>
          </w:tcPr>
          <w:p>
            <w:pPr>
              <w:spacing w:line="360" w:lineRule="auto"/>
              <w:rPr>
                <w:rFonts w:ascii="宋体"/>
                <w:spacing w:val="6"/>
                <w:sz w:val="24"/>
                <w:szCs w:val="24"/>
              </w:rPr>
            </w:pPr>
            <w:r>
              <w:rPr>
                <w:rFonts w:hint="eastAsia" w:ascii="宋体" w:hAnsi="宋体"/>
                <w:spacing w:val="6"/>
                <w:sz w:val="24"/>
                <w:szCs w:val="24"/>
              </w:rPr>
              <w:t>其他微型企业制造的货物</w:t>
            </w:r>
          </w:p>
        </w:tc>
        <w:tc>
          <w:tcPr>
            <w:tcW w:w="1254" w:type="dxa"/>
            <w:vAlign w:val="center"/>
          </w:tcPr>
          <w:p>
            <w:pPr>
              <w:spacing w:line="360" w:lineRule="auto"/>
              <w:jc w:val="center"/>
              <w:rPr>
                <w:rFonts w:ascii="宋体"/>
                <w:spacing w:val="6"/>
                <w:sz w:val="24"/>
                <w:szCs w:val="24"/>
              </w:rPr>
            </w:pPr>
          </w:p>
        </w:tc>
        <w:tc>
          <w:tcPr>
            <w:tcW w:w="996" w:type="dxa"/>
            <w:vAlign w:val="center"/>
          </w:tcPr>
          <w:p>
            <w:pPr>
              <w:spacing w:line="360" w:lineRule="auto"/>
              <w:jc w:val="center"/>
              <w:rPr>
                <w:rFonts w:ascii="宋体"/>
                <w:spacing w:val="6"/>
                <w:sz w:val="24"/>
                <w:szCs w:val="24"/>
              </w:rPr>
            </w:pPr>
          </w:p>
        </w:tc>
        <w:tc>
          <w:tcPr>
            <w:tcW w:w="1640" w:type="dxa"/>
            <w:vAlign w:val="center"/>
          </w:tcPr>
          <w:p>
            <w:pPr>
              <w:spacing w:line="360" w:lineRule="auto"/>
              <w:jc w:val="center"/>
              <w:rPr>
                <w:rFonts w:ascii="宋体"/>
                <w:spacing w:val="6"/>
                <w:sz w:val="24"/>
                <w:szCs w:val="24"/>
              </w:rPr>
            </w:pPr>
          </w:p>
        </w:tc>
        <w:tc>
          <w:tcPr>
            <w:tcW w:w="1275" w:type="dxa"/>
            <w:vAlign w:val="center"/>
          </w:tcPr>
          <w:p>
            <w:pPr>
              <w:spacing w:line="360" w:lineRule="auto"/>
              <w:jc w:val="center"/>
              <w:rPr>
                <w:rFonts w:ascii="宋体"/>
                <w:spacing w:val="6"/>
                <w:sz w:val="24"/>
                <w:szCs w:val="24"/>
              </w:rPr>
            </w:pPr>
          </w:p>
        </w:tc>
      </w:tr>
    </w:tbl>
    <w:p>
      <w:pPr>
        <w:tabs>
          <w:tab w:val="left" w:pos="4860"/>
        </w:tabs>
        <w:spacing w:line="360" w:lineRule="auto"/>
        <w:ind w:right="1304" w:firstLine="126" w:firstLineChars="50"/>
        <w:rPr>
          <w:rFonts w:ascii="宋体"/>
          <w:spacing w:val="6"/>
          <w:sz w:val="24"/>
          <w:szCs w:val="24"/>
        </w:rPr>
      </w:pPr>
      <w:r>
        <w:rPr>
          <w:rFonts w:hint="eastAsia" w:ascii="宋体" w:hAnsi="宋体"/>
          <w:spacing w:val="6"/>
          <w:sz w:val="24"/>
          <w:szCs w:val="24"/>
        </w:rPr>
        <w:t>注：</w:t>
      </w:r>
      <w:r>
        <w:rPr>
          <w:rFonts w:ascii="宋体" w:hAnsi="宋体"/>
          <w:spacing w:val="6"/>
          <w:sz w:val="24"/>
          <w:szCs w:val="24"/>
        </w:rPr>
        <w:t>1</w:t>
      </w:r>
      <w:r>
        <w:rPr>
          <w:rFonts w:hint="eastAsia" w:ascii="宋体" w:hAnsi="宋体"/>
          <w:spacing w:val="6"/>
          <w:sz w:val="24"/>
          <w:szCs w:val="24"/>
        </w:rPr>
        <w:t>、本声明函对中小企业参与政府采购活动时适用。</w:t>
      </w:r>
    </w:p>
    <w:p>
      <w:pPr>
        <w:tabs>
          <w:tab w:val="left" w:pos="4860"/>
        </w:tabs>
        <w:spacing w:line="360" w:lineRule="auto"/>
        <w:ind w:firstLine="756" w:firstLineChars="300"/>
        <w:rPr>
          <w:rFonts w:ascii="宋体"/>
          <w:spacing w:val="6"/>
          <w:sz w:val="24"/>
          <w:szCs w:val="24"/>
        </w:rPr>
      </w:pPr>
      <w:r>
        <w:rPr>
          <w:rFonts w:ascii="宋体" w:hAnsi="宋体"/>
          <w:spacing w:val="6"/>
          <w:sz w:val="24"/>
          <w:szCs w:val="24"/>
        </w:rPr>
        <w:t>2</w:t>
      </w:r>
      <w:r>
        <w:rPr>
          <w:rFonts w:hint="eastAsia" w:ascii="宋体" w:hAnsi="宋体"/>
          <w:spacing w:val="6"/>
          <w:sz w:val="24"/>
          <w:szCs w:val="24"/>
        </w:rPr>
        <w:t>、如提供其他中小企业的货物须按此格式附其他中小企业的《中小企业声明函》</w:t>
      </w:r>
    </w:p>
    <w:p>
      <w:pPr>
        <w:tabs>
          <w:tab w:val="left" w:pos="4860"/>
        </w:tabs>
        <w:spacing w:line="360" w:lineRule="auto"/>
        <w:ind w:right="1560" w:firstLine="504" w:firstLineChars="200"/>
        <w:jc w:val="center"/>
        <w:rPr>
          <w:rFonts w:ascii="宋体"/>
          <w:spacing w:val="6"/>
          <w:sz w:val="24"/>
          <w:szCs w:val="24"/>
        </w:rPr>
      </w:pPr>
      <w:r>
        <w:rPr>
          <w:rFonts w:hint="eastAsia" w:ascii="宋体" w:hAnsi="宋体"/>
          <w:spacing w:val="6"/>
          <w:sz w:val="24"/>
          <w:szCs w:val="24"/>
        </w:rPr>
        <w:t>企业名称（盖章）：</w:t>
      </w:r>
    </w:p>
    <w:p>
      <w:pPr>
        <w:spacing w:line="360" w:lineRule="auto"/>
        <w:rPr>
          <w:rFonts w:ascii="宋体"/>
          <w:spacing w:val="6"/>
          <w:sz w:val="24"/>
          <w:szCs w:val="24"/>
        </w:rPr>
      </w:pPr>
      <w:r>
        <w:rPr>
          <w:rFonts w:hint="eastAsia" w:ascii="宋体" w:hAnsi="宋体"/>
          <w:spacing w:val="6"/>
          <w:sz w:val="24"/>
          <w:szCs w:val="24"/>
        </w:rPr>
        <w:t>日期：</w:t>
      </w:r>
    </w:p>
    <w:p>
      <w:pPr>
        <w:spacing w:line="588" w:lineRule="exact"/>
        <w:ind w:firstLine="504" w:firstLineChars="200"/>
        <w:rPr>
          <w:rFonts w:ascii="宋体" w:cs="宋体"/>
          <w:spacing w:val="6"/>
          <w:sz w:val="24"/>
          <w:szCs w:val="24"/>
        </w:rPr>
        <w:sectPr>
          <w:footerReference r:id="rId10" w:type="default"/>
          <w:pgSz w:w="11906" w:h="16838"/>
          <w:pgMar w:top="1440" w:right="1803" w:bottom="1440" w:left="1803" w:header="851" w:footer="992" w:gutter="0"/>
          <w:cols w:space="720" w:num="1"/>
          <w:docGrid w:type="lines" w:linePitch="319" w:charSpace="0"/>
        </w:sectPr>
      </w:pPr>
    </w:p>
    <w:p>
      <w:pPr>
        <w:pStyle w:val="5"/>
      </w:pPr>
      <w:bookmarkStart w:id="113" w:name="_Toc29564"/>
      <w:r>
        <w:rPr>
          <w:rFonts w:hint="eastAsia"/>
        </w:rPr>
        <w:t>附件三残疾人福利性单位声明</w:t>
      </w:r>
      <w:bookmarkEnd w:id="113"/>
    </w:p>
    <w:p>
      <w:pPr>
        <w:spacing w:line="588" w:lineRule="exact"/>
        <w:ind w:firstLine="504" w:firstLineChars="200"/>
        <w:rPr>
          <w:rFonts w:ascii="宋体"/>
          <w:spacing w:val="6"/>
          <w:sz w:val="24"/>
        </w:rPr>
      </w:pPr>
      <w:r>
        <w:rPr>
          <w:rFonts w:hint="eastAsia" w:ascii="宋体" w:hAnsi="宋体"/>
          <w:spacing w:val="6"/>
          <w:sz w:val="24"/>
        </w:rPr>
        <w:t>根据《三部门联合发布关于促进残疾人就业政府采购政策的通知》（财库〔</w:t>
      </w:r>
      <w:r>
        <w:rPr>
          <w:rFonts w:ascii="宋体" w:hAnsi="宋体"/>
          <w:spacing w:val="6"/>
          <w:sz w:val="24"/>
        </w:rPr>
        <w:t>2017</w:t>
      </w:r>
      <w:r>
        <w:rPr>
          <w:rFonts w:hint="eastAsia" w:ascii="宋体" w:hAnsi="宋体"/>
          <w:spacing w:val="6"/>
          <w:sz w:val="24"/>
        </w:rPr>
        <w:t>〕</w:t>
      </w:r>
      <w:r>
        <w:rPr>
          <w:rFonts w:ascii="宋体" w:hAnsi="宋体"/>
          <w:spacing w:val="6"/>
          <w:sz w:val="24"/>
        </w:rPr>
        <w:t>141</w:t>
      </w:r>
      <w:r>
        <w:rPr>
          <w:rFonts w:hint="eastAsia" w:ascii="宋体" w:hAnsi="宋体"/>
          <w:spacing w:val="6"/>
          <w:sz w:val="24"/>
        </w:rPr>
        <w:t>号）的规定，由供应商自行申明，并对申明真实性负责。如有虚假，将依法承担相应责任。</w:t>
      </w:r>
    </w:p>
    <w:p/>
    <w:p>
      <w:pPr>
        <w:spacing w:line="588" w:lineRule="exact"/>
        <w:jc w:val="center"/>
        <w:rPr>
          <w:rFonts w:ascii="宋体" w:cs="宋体"/>
          <w:b/>
          <w:spacing w:val="6"/>
          <w:sz w:val="24"/>
          <w:szCs w:val="24"/>
        </w:rPr>
      </w:pPr>
      <w:bookmarkStart w:id="114" w:name="OLE_LINK14"/>
      <w:r>
        <w:rPr>
          <w:rFonts w:hint="eastAsia" w:ascii="宋体" w:hAnsi="宋体" w:cs="宋体"/>
          <w:b/>
          <w:spacing w:val="6"/>
          <w:sz w:val="24"/>
          <w:szCs w:val="24"/>
        </w:rPr>
        <w:t>残疾人福利性单位声明函</w:t>
      </w:r>
      <w:bookmarkEnd w:id="114"/>
    </w:p>
    <w:p>
      <w:pPr>
        <w:spacing w:line="588" w:lineRule="exact"/>
        <w:ind w:firstLine="504" w:firstLineChars="200"/>
        <w:rPr>
          <w:rFonts w:ascii="宋体" w:cs="宋体"/>
          <w:spacing w:val="6"/>
          <w:sz w:val="24"/>
          <w:szCs w:val="24"/>
        </w:rPr>
      </w:pPr>
      <w:r>
        <w:rPr>
          <w:rFonts w:hint="eastAsia" w:ascii="宋体" w:hAnsi="宋体" w:cs="宋体"/>
          <w:spacing w:val="6"/>
          <w:sz w:val="24"/>
          <w:szCs w:val="24"/>
        </w:rPr>
        <w:t>本单位郑重声明，根据《财政部民政部中国残疾人联合会关于促进残疾人就业政府采购政策的通知》（财库</w:t>
      </w:r>
      <w:r>
        <w:rPr>
          <w:rFonts w:hint="eastAsia" w:ascii="宋体" w:hAnsi="宋体" w:cs="宋体"/>
          <w:sz w:val="24"/>
          <w:szCs w:val="24"/>
        </w:rPr>
        <w:t>〔</w:t>
      </w:r>
      <w:r>
        <w:rPr>
          <w:rFonts w:ascii="宋体" w:hAnsi="宋体" w:cs="宋体"/>
          <w:sz w:val="24"/>
          <w:szCs w:val="24"/>
        </w:rPr>
        <w:t>2017</w:t>
      </w:r>
      <w:r>
        <w:rPr>
          <w:rFonts w:hint="eastAsia" w:ascii="宋体" w:hAnsi="宋体" w:cs="宋体"/>
          <w:sz w:val="24"/>
          <w:szCs w:val="24"/>
        </w:rPr>
        <w:t>〕</w:t>
      </w:r>
      <w:r>
        <w:rPr>
          <w:rFonts w:ascii="宋体" w:hAnsi="宋体" w:cs="宋体"/>
          <w:sz w:val="24"/>
          <w:szCs w:val="24"/>
        </w:rPr>
        <w:t xml:space="preserve"> 141</w:t>
      </w:r>
      <w:r>
        <w:rPr>
          <w:rFonts w:hint="eastAsia" w:ascii="宋体" w:hAnsi="宋体" w:cs="宋体"/>
          <w:spacing w:val="6"/>
          <w:sz w:val="24"/>
          <w:szCs w:val="24"/>
        </w:rPr>
        <w:t>号）的规定，本单位为符合条件的残疾人福利性单位，且本单位参加</w:t>
      </w:r>
      <w:r>
        <w:rPr>
          <w:rFonts w:ascii="宋体" w:hAnsi="宋体" w:cs="宋体"/>
          <w:spacing w:val="6"/>
          <w:sz w:val="24"/>
          <w:szCs w:val="24"/>
        </w:rPr>
        <w:t>______</w:t>
      </w:r>
      <w:r>
        <w:rPr>
          <w:rFonts w:hint="eastAsia" w:ascii="宋体" w:hAnsi="宋体" w:cs="宋体"/>
          <w:spacing w:val="6"/>
          <w:sz w:val="24"/>
          <w:szCs w:val="24"/>
        </w:rPr>
        <w:t>单位的</w:t>
      </w:r>
      <w:r>
        <w:rPr>
          <w:rFonts w:ascii="宋体" w:hAnsi="宋体" w:cs="宋体"/>
          <w:spacing w:val="6"/>
          <w:sz w:val="24"/>
          <w:szCs w:val="24"/>
        </w:rPr>
        <w:t>______</w:t>
      </w:r>
      <w:r>
        <w:rPr>
          <w:rFonts w:hint="eastAsia" w:ascii="宋体" w:hAnsi="宋体" w:cs="宋体"/>
          <w:spacing w:val="6"/>
          <w:sz w:val="24"/>
          <w:szCs w:val="24"/>
        </w:rPr>
        <w:t>项目采购活动提供本单位制造的货物（由本单位承担项目</w:t>
      </w:r>
      <w:r>
        <w:rPr>
          <w:rFonts w:ascii="宋体" w:hAnsi="宋体" w:cs="宋体"/>
          <w:spacing w:val="6"/>
          <w:sz w:val="24"/>
          <w:szCs w:val="24"/>
        </w:rPr>
        <w:t>/</w:t>
      </w:r>
      <w:r>
        <w:rPr>
          <w:rFonts w:hint="eastAsia" w:ascii="宋体" w:hAnsi="宋体" w:cs="宋体"/>
          <w:spacing w:val="6"/>
          <w:sz w:val="24"/>
          <w:szCs w:val="24"/>
        </w:rPr>
        <w:t>提供服务），或者提供其他残疾人福利性单位制造的货物（不包括使用非残疾人福利性单位注册商标的货物）。</w:t>
      </w:r>
    </w:p>
    <w:p>
      <w:pPr>
        <w:spacing w:line="588" w:lineRule="exact"/>
        <w:ind w:firstLine="504" w:firstLineChars="200"/>
        <w:rPr>
          <w:rFonts w:ascii="宋体" w:cs="宋体"/>
          <w:spacing w:val="6"/>
          <w:sz w:val="24"/>
          <w:szCs w:val="24"/>
        </w:rPr>
      </w:pPr>
      <w:r>
        <w:rPr>
          <w:rFonts w:hint="eastAsia" w:ascii="宋体" w:hAnsi="宋体" w:cs="宋体"/>
          <w:spacing w:val="6"/>
          <w:sz w:val="24"/>
          <w:szCs w:val="24"/>
        </w:rPr>
        <w:t>本单位对上述声明的真实性负责。如有虚假，将依法承担相应责任。</w:t>
      </w:r>
    </w:p>
    <w:p>
      <w:pPr>
        <w:spacing w:line="360" w:lineRule="auto"/>
        <w:ind w:firstLine="444" w:firstLineChars="200"/>
        <w:rPr>
          <w:rFonts w:ascii="宋体"/>
          <w:spacing w:val="6"/>
          <w:szCs w:val="21"/>
        </w:rPr>
      </w:pPr>
    </w:p>
    <w:tbl>
      <w:tblPr>
        <w:tblStyle w:val="25"/>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060"/>
        <w:gridCol w:w="1260"/>
        <w:gridCol w:w="144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828" w:type="dxa"/>
            <w:vAlign w:val="center"/>
          </w:tcPr>
          <w:p>
            <w:pPr>
              <w:spacing w:line="360" w:lineRule="auto"/>
              <w:jc w:val="center"/>
              <w:rPr>
                <w:rFonts w:ascii="宋体"/>
                <w:spacing w:val="6"/>
                <w:szCs w:val="21"/>
              </w:rPr>
            </w:pPr>
            <w:r>
              <w:rPr>
                <w:rFonts w:hint="eastAsia" w:ascii="宋体" w:hAnsi="宋体"/>
                <w:spacing w:val="6"/>
                <w:szCs w:val="21"/>
              </w:rPr>
              <w:t>序号</w:t>
            </w:r>
          </w:p>
        </w:tc>
        <w:tc>
          <w:tcPr>
            <w:tcW w:w="3060" w:type="dxa"/>
            <w:vAlign w:val="center"/>
          </w:tcPr>
          <w:p>
            <w:pPr>
              <w:spacing w:line="360" w:lineRule="auto"/>
              <w:jc w:val="center"/>
              <w:rPr>
                <w:rFonts w:ascii="宋体"/>
                <w:spacing w:val="6"/>
                <w:szCs w:val="21"/>
              </w:rPr>
            </w:pPr>
            <w:r>
              <w:rPr>
                <w:rFonts w:hint="eastAsia" w:ascii="宋体" w:hAnsi="宋体"/>
                <w:spacing w:val="6"/>
                <w:szCs w:val="21"/>
              </w:rPr>
              <w:t>产品类型</w:t>
            </w:r>
          </w:p>
        </w:tc>
        <w:tc>
          <w:tcPr>
            <w:tcW w:w="1260" w:type="dxa"/>
            <w:vAlign w:val="center"/>
          </w:tcPr>
          <w:p>
            <w:pPr>
              <w:spacing w:line="360" w:lineRule="auto"/>
              <w:jc w:val="center"/>
              <w:rPr>
                <w:rFonts w:ascii="宋体"/>
                <w:spacing w:val="6"/>
                <w:szCs w:val="21"/>
              </w:rPr>
            </w:pPr>
            <w:r>
              <w:rPr>
                <w:rFonts w:hint="eastAsia" w:ascii="宋体" w:hAnsi="宋体"/>
                <w:spacing w:val="6"/>
                <w:szCs w:val="21"/>
              </w:rPr>
              <w:t>产品名称</w:t>
            </w:r>
          </w:p>
        </w:tc>
        <w:tc>
          <w:tcPr>
            <w:tcW w:w="1440" w:type="dxa"/>
            <w:vAlign w:val="center"/>
          </w:tcPr>
          <w:p>
            <w:pPr>
              <w:spacing w:line="360" w:lineRule="auto"/>
              <w:jc w:val="center"/>
              <w:rPr>
                <w:rFonts w:ascii="宋体"/>
                <w:spacing w:val="6"/>
                <w:szCs w:val="21"/>
              </w:rPr>
            </w:pPr>
            <w:r>
              <w:rPr>
                <w:rFonts w:hint="eastAsia" w:ascii="宋体" w:hAnsi="宋体"/>
                <w:spacing w:val="6"/>
                <w:szCs w:val="21"/>
              </w:rPr>
              <w:t>制造商</w:t>
            </w:r>
          </w:p>
        </w:tc>
        <w:tc>
          <w:tcPr>
            <w:tcW w:w="1260" w:type="dxa"/>
            <w:vAlign w:val="center"/>
          </w:tcPr>
          <w:p>
            <w:pPr>
              <w:spacing w:line="360" w:lineRule="auto"/>
              <w:jc w:val="center"/>
              <w:rPr>
                <w:rFonts w:ascii="宋体"/>
                <w:spacing w:val="6"/>
                <w:szCs w:val="21"/>
              </w:rPr>
            </w:pPr>
            <w:r>
              <w:rPr>
                <w:rFonts w:hint="eastAsia" w:ascii="宋体" w:hAnsi="宋体"/>
                <w:spacing w:val="6"/>
                <w:szCs w:val="21"/>
              </w:rPr>
              <w:t>金额（万元）</w:t>
            </w:r>
          </w:p>
        </w:tc>
        <w:tc>
          <w:tcPr>
            <w:tcW w:w="1260" w:type="dxa"/>
            <w:vAlign w:val="center"/>
          </w:tcPr>
          <w:p>
            <w:pPr>
              <w:spacing w:line="360" w:lineRule="auto"/>
              <w:jc w:val="center"/>
              <w:rPr>
                <w:rFonts w:ascii="宋体"/>
                <w:spacing w:val="6"/>
                <w:szCs w:val="21"/>
              </w:rPr>
            </w:pPr>
            <w:r>
              <w:rPr>
                <w:rFonts w:hint="eastAsia" w:ascii="宋体" w:hAnsi="宋体"/>
                <w:spacing w:val="6"/>
                <w:szCs w:val="21"/>
              </w:rPr>
              <w:t>所占比例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spacing w:val="6"/>
                <w:szCs w:val="21"/>
              </w:rPr>
            </w:pPr>
            <w:r>
              <w:rPr>
                <w:rFonts w:ascii="宋体" w:hAnsi="宋体"/>
                <w:spacing w:val="6"/>
                <w:szCs w:val="21"/>
              </w:rPr>
              <w:t>1</w:t>
            </w:r>
          </w:p>
        </w:tc>
        <w:tc>
          <w:tcPr>
            <w:tcW w:w="3060" w:type="dxa"/>
            <w:vAlign w:val="center"/>
          </w:tcPr>
          <w:p>
            <w:pPr>
              <w:spacing w:line="360" w:lineRule="auto"/>
              <w:rPr>
                <w:rFonts w:ascii="宋体"/>
                <w:spacing w:val="6"/>
                <w:szCs w:val="21"/>
              </w:rPr>
            </w:pPr>
            <w:r>
              <w:rPr>
                <w:rFonts w:hint="eastAsia" w:ascii="宋体" w:hAnsi="宋体"/>
                <w:spacing w:val="6"/>
                <w:szCs w:val="21"/>
              </w:rPr>
              <w:t>本企业制造的货物</w:t>
            </w:r>
          </w:p>
        </w:tc>
        <w:tc>
          <w:tcPr>
            <w:tcW w:w="1260" w:type="dxa"/>
            <w:vAlign w:val="center"/>
          </w:tcPr>
          <w:p>
            <w:pPr>
              <w:spacing w:line="360" w:lineRule="auto"/>
              <w:jc w:val="center"/>
              <w:rPr>
                <w:rFonts w:ascii="宋体"/>
                <w:spacing w:val="6"/>
                <w:szCs w:val="21"/>
              </w:rPr>
            </w:pPr>
          </w:p>
        </w:tc>
        <w:tc>
          <w:tcPr>
            <w:tcW w:w="1440" w:type="dxa"/>
            <w:vAlign w:val="center"/>
          </w:tcPr>
          <w:p>
            <w:pPr>
              <w:spacing w:line="360" w:lineRule="auto"/>
              <w:jc w:val="center"/>
              <w:rPr>
                <w:rFonts w:ascii="宋体"/>
                <w:spacing w:val="6"/>
                <w:szCs w:val="21"/>
              </w:rPr>
            </w:pPr>
          </w:p>
        </w:tc>
        <w:tc>
          <w:tcPr>
            <w:tcW w:w="1260" w:type="dxa"/>
            <w:vAlign w:val="center"/>
          </w:tcPr>
          <w:p>
            <w:pPr>
              <w:spacing w:line="360" w:lineRule="auto"/>
              <w:jc w:val="center"/>
              <w:rPr>
                <w:rFonts w:ascii="宋体"/>
                <w:spacing w:val="6"/>
                <w:szCs w:val="21"/>
              </w:rPr>
            </w:pPr>
          </w:p>
        </w:tc>
        <w:tc>
          <w:tcPr>
            <w:tcW w:w="1260" w:type="dxa"/>
            <w:vAlign w:val="center"/>
          </w:tcPr>
          <w:p>
            <w:pPr>
              <w:spacing w:line="360" w:lineRule="auto"/>
              <w:jc w:val="center"/>
              <w:rPr>
                <w:rFonts w:ascii="宋体"/>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28" w:type="dxa"/>
            <w:vAlign w:val="center"/>
          </w:tcPr>
          <w:p>
            <w:pPr>
              <w:spacing w:line="360" w:lineRule="auto"/>
              <w:jc w:val="center"/>
              <w:rPr>
                <w:rFonts w:ascii="宋体"/>
                <w:spacing w:val="6"/>
                <w:szCs w:val="21"/>
              </w:rPr>
            </w:pPr>
            <w:r>
              <w:rPr>
                <w:rFonts w:ascii="宋体" w:hAnsi="宋体"/>
                <w:spacing w:val="6"/>
                <w:szCs w:val="21"/>
              </w:rPr>
              <w:t>2</w:t>
            </w:r>
          </w:p>
        </w:tc>
        <w:tc>
          <w:tcPr>
            <w:tcW w:w="3060" w:type="dxa"/>
            <w:vAlign w:val="center"/>
          </w:tcPr>
          <w:p>
            <w:pPr>
              <w:spacing w:line="360" w:lineRule="auto"/>
              <w:rPr>
                <w:rFonts w:ascii="宋体"/>
                <w:spacing w:val="6"/>
                <w:szCs w:val="21"/>
              </w:rPr>
            </w:pPr>
            <w:r>
              <w:rPr>
                <w:rFonts w:hint="eastAsia" w:ascii="宋体" w:hAnsi="宋体"/>
                <w:spacing w:val="6"/>
                <w:szCs w:val="21"/>
              </w:rPr>
              <w:t>其他残疾人福利性单位制造的货物</w:t>
            </w:r>
          </w:p>
        </w:tc>
        <w:tc>
          <w:tcPr>
            <w:tcW w:w="1260" w:type="dxa"/>
            <w:vAlign w:val="center"/>
          </w:tcPr>
          <w:p>
            <w:pPr>
              <w:spacing w:line="360" w:lineRule="auto"/>
              <w:jc w:val="center"/>
              <w:rPr>
                <w:rFonts w:ascii="宋体"/>
                <w:spacing w:val="6"/>
                <w:szCs w:val="21"/>
              </w:rPr>
            </w:pPr>
          </w:p>
        </w:tc>
        <w:tc>
          <w:tcPr>
            <w:tcW w:w="1440" w:type="dxa"/>
            <w:vAlign w:val="center"/>
          </w:tcPr>
          <w:p>
            <w:pPr>
              <w:spacing w:line="360" w:lineRule="auto"/>
              <w:jc w:val="center"/>
              <w:rPr>
                <w:rFonts w:ascii="宋体"/>
                <w:spacing w:val="6"/>
                <w:szCs w:val="21"/>
              </w:rPr>
            </w:pPr>
          </w:p>
        </w:tc>
        <w:tc>
          <w:tcPr>
            <w:tcW w:w="1260" w:type="dxa"/>
            <w:vAlign w:val="center"/>
          </w:tcPr>
          <w:p>
            <w:pPr>
              <w:spacing w:line="360" w:lineRule="auto"/>
              <w:jc w:val="center"/>
              <w:rPr>
                <w:rFonts w:ascii="宋体"/>
                <w:spacing w:val="6"/>
                <w:szCs w:val="21"/>
              </w:rPr>
            </w:pPr>
          </w:p>
        </w:tc>
        <w:tc>
          <w:tcPr>
            <w:tcW w:w="1260" w:type="dxa"/>
            <w:vAlign w:val="center"/>
          </w:tcPr>
          <w:p>
            <w:pPr>
              <w:spacing w:line="360" w:lineRule="auto"/>
              <w:jc w:val="center"/>
              <w:rPr>
                <w:rFonts w:ascii="宋体"/>
                <w:spacing w:val="6"/>
                <w:szCs w:val="21"/>
              </w:rPr>
            </w:pPr>
          </w:p>
        </w:tc>
      </w:tr>
    </w:tbl>
    <w:p/>
    <w:p>
      <w:pPr>
        <w:tabs>
          <w:tab w:val="left" w:pos="4860"/>
        </w:tabs>
        <w:spacing w:line="360" w:lineRule="auto"/>
        <w:ind w:right="1560" w:firstLine="444" w:firstLineChars="200"/>
        <w:rPr>
          <w:rFonts w:ascii="宋体"/>
          <w:spacing w:val="6"/>
          <w:szCs w:val="21"/>
        </w:rPr>
      </w:pPr>
      <w:r>
        <w:rPr>
          <w:rFonts w:hint="eastAsia" w:ascii="宋体" w:hAnsi="宋体"/>
          <w:spacing w:val="6"/>
          <w:szCs w:val="21"/>
        </w:rPr>
        <w:t>注：</w:t>
      </w:r>
      <w:r>
        <w:rPr>
          <w:rFonts w:ascii="宋体" w:hAnsi="宋体"/>
          <w:spacing w:val="6"/>
          <w:szCs w:val="21"/>
        </w:rPr>
        <w:t>1</w:t>
      </w:r>
      <w:r>
        <w:rPr>
          <w:rFonts w:hint="eastAsia" w:ascii="宋体" w:hAnsi="宋体"/>
          <w:spacing w:val="6"/>
          <w:szCs w:val="21"/>
        </w:rPr>
        <w:t>、本声明函对残疾人福利性单位参与政府采购活动时适用。</w:t>
      </w:r>
    </w:p>
    <w:p>
      <w:pPr>
        <w:tabs>
          <w:tab w:val="left" w:pos="4860"/>
        </w:tabs>
        <w:spacing w:line="360" w:lineRule="auto"/>
        <w:ind w:firstLine="888" w:firstLineChars="400"/>
        <w:rPr>
          <w:rFonts w:ascii="宋体" w:cs="宋体"/>
          <w:spacing w:val="6"/>
          <w:sz w:val="24"/>
          <w:szCs w:val="24"/>
        </w:rPr>
      </w:pPr>
      <w:r>
        <w:rPr>
          <w:rFonts w:ascii="宋体" w:hAnsi="宋体"/>
          <w:spacing w:val="6"/>
          <w:szCs w:val="21"/>
        </w:rPr>
        <w:t>2</w:t>
      </w:r>
      <w:r>
        <w:rPr>
          <w:rFonts w:hint="eastAsia" w:ascii="宋体" w:hAnsi="宋体"/>
          <w:spacing w:val="6"/>
          <w:szCs w:val="21"/>
        </w:rPr>
        <w:t>、如提供其他残疾人福利性单位的货物须按此格式附其他中小企业的《中小企业声明函》</w:t>
      </w:r>
    </w:p>
    <w:p>
      <w:pPr>
        <w:tabs>
          <w:tab w:val="left" w:pos="4860"/>
        </w:tabs>
        <w:spacing w:line="588" w:lineRule="exact"/>
        <w:ind w:right="1560" w:firstLine="504" w:firstLineChars="200"/>
        <w:rPr>
          <w:rFonts w:ascii="宋体" w:cs="宋体"/>
          <w:spacing w:val="6"/>
          <w:sz w:val="24"/>
          <w:szCs w:val="24"/>
        </w:rPr>
      </w:pPr>
      <w:r>
        <w:rPr>
          <w:rFonts w:hint="eastAsia" w:ascii="宋体" w:hAnsi="宋体" w:cs="宋体"/>
          <w:spacing w:val="6"/>
          <w:sz w:val="24"/>
          <w:szCs w:val="24"/>
        </w:rPr>
        <w:t>单位名称（盖章）：</w:t>
      </w:r>
    </w:p>
    <w:p>
      <w:pPr>
        <w:tabs>
          <w:tab w:val="left" w:pos="4860"/>
        </w:tabs>
        <w:spacing w:line="588" w:lineRule="exact"/>
        <w:ind w:right="1560" w:firstLine="3024" w:firstLineChars="1200"/>
        <w:rPr>
          <w:rFonts w:ascii="宋体" w:cs="宋体"/>
          <w:spacing w:val="6"/>
          <w:sz w:val="24"/>
          <w:szCs w:val="24"/>
        </w:rPr>
      </w:pPr>
      <w:r>
        <w:rPr>
          <w:rFonts w:hint="eastAsia" w:ascii="宋体" w:hAnsi="宋体" w:cs="宋体"/>
          <w:spacing w:val="6"/>
          <w:sz w:val="24"/>
          <w:szCs w:val="24"/>
        </w:rPr>
        <w:t>日期：</w:t>
      </w:r>
    </w:p>
    <w:p>
      <w:pPr>
        <w:spacing w:line="588" w:lineRule="exact"/>
        <w:ind w:firstLine="504" w:firstLineChars="200"/>
        <w:rPr>
          <w:rFonts w:ascii="宋体" w:cs="宋体"/>
          <w:spacing w:val="6"/>
          <w:sz w:val="24"/>
        </w:rPr>
      </w:pPr>
    </w:p>
    <w:p>
      <w:pPr>
        <w:pStyle w:val="5"/>
        <w:adjustRightInd w:val="0"/>
        <w:spacing w:line="416" w:lineRule="atLeast"/>
        <w:textAlignment w:val="baseline"/>
        <w:rPr>
          <w:rFonts w:ascii="宋体" w:cs="宋体"/>
        </w:rPr>
      </w:pPr>
      <w:bookmarkStart w:id="115" w:name="_Toc15467"/>
      <w:bookmarkStart w:id="116" w:name="_Toc10559"/>
      <w:bookmarkStart w:id="117" w:name="_Toc4324"/>
      <w:r>
        <w:rPr>
          <w:rFonts w:hint="eastAsia" w:ascii="宋体" w:hAnsi="宋体" w:cs="宋体"/>
        </w:rPr>
        <w:t>附件四、监狱企业证明文件</w:t>
      </w:r>
      <w:bookmarkEnd w:id="115"/>
      <w:bookmarkEnd w:id="116"/>
      <w:bookmarkEnd w:id="117"/>
    </w:p>
    <w:p>
      <w:pPr>
        <w:rPr>
          <w:rFonts w:ascii="宋体" w:cs="宋体"/>
        </w:rPr>
      </w:pPr>
    </w:p>
    <w:p>
      <w:pPr>
        <w:snapToGrid w:val="0"/>
        <w:spacing w:line="360" w:lineRule="auto"/>
        <w:ind w:firstLine="504" w:firstLineChars="200"/>
        <w:rPr>
          <w:rFonts w:ascii="宋体" w:cs="宋体"/>
          <w:sz w:val="24"/>
        </w:rPr>
      </w:pPr>
      <w:r>
        <w:rPr>
          <w:rFonts w:hint="eastAsia" w:ascii="宋体" w:hAnsi="宋体" w:cs="宋体"/>
          <w:spacing w:val="6"/>
          <w:sz w:val="24"/>
        </w:rPr>
        <w:t>说明：根据</w:t>
      </w:r>
      <w:r>
        <w:rPr>
          <w:rFonts w:hint="eastAsia" w:ascii="宋体" w:hAnsi="宋体" w:cs="宋体"/>
          <w:sz w:val="24"/>
        </w:rPr>
        <w:t>《关于政府采购支持监狱企业发展有关问题的通知》（财库〔</w:t>
      </w:r>
      <w:r>
        <w:rPr>
          <w:rFonts w:ascii="宋体" w:hAnsi="宋体" w:cs="宋体"/>
          <w:sz w:val="24"/>
        </w:rPr>
        <w:t>2014</w:t>
      </w:r>
      <w:r>
        <w:rPr>
          <w:rFonts w:hint="eastAsia" w:ascii="宋体" w:hAnsi="宋体" w:cs="宋体"/>
          <w:sz w:val="24"/>
        </w:rPr>
        <w:t>〕</w:t>
      </w:r>
      <w:r>
        <w:rPr>
          <w:rFonts w:ascii="宋体" w:hAnsi="宋体" w:cs="宋体"/>
          <w:sz w:val="24"/>
        </w:rPr>
        <w:t>68</w:t>
      </w:r>
      <w:r>
        <w:rPr>
          <w:rFonts w:hint="eastAsia" w:ascii="宋体" w:hAnsi="宋体" w:cs="宋体"/>
          <w:sz w:val="24"/>
        </w:rPr>
        <w:t>号）的规定，监狱企业参加政府采购活动时，应当提供由省级以上监狱管理局、戒毒管理局（含新疆生产建设兵团）出具的属于监狱企业的证明文件。</w:t>
      </w:r>
    </w:p>
    <w:p>
      <w:pPr>
        <w:pStyle w:val="5"/>
        <w:adjustRightInd w:val="0"/>
        <w:spacing w:line="416" w:lineRule="atLeast"/>
        <w:textAlignment w:val="baseline"/>
        <w:rPr>
          <w:rFonts w:ascii="宋体" w:cs="宋体"/>
        </w:rPr>
      </w:pPr>
      <w:bookmarkStart w:id="118" w:name="_Toc16529"/>
      <w:bookmarkStart w:id="119" w:name="_Toc13303"/>
      <w:bookmarkStart w:id="120" w:name="_Toc28261"/>
      <w:r>
        <w:rPr>
          <w:rFonts w:hint="eastAsia" w:ascii="宋体" w:hAnsi="宋体" w:cs="宋体"/>
        </w:rPr>
        <w:t>附件五、“节能产品”，“环境标志产品”证明材料</w:t>
      </w:r>
      <w:bookmarkEnd w:id="118"/>
      <w:bookmarkEnd w:id="119"/>
      <w:bookmarkEnd w:id="120"/>
    </w:p>
    <w:p>
      <w:pPr>
        <w:widowControl/>
        <w:spacing w:line="360" w:lineRule="auto"/>
        <w:ind w:firstLine="504" w:firstLineChars="200"/>
        <w:rPr>
          <w:rFonts w:ascii="宋体" w:cs="宋体"/>
          <w:spacing w:val="6"/>
          <w:sz w:val="24"/>
        </w:rPr>
      </w:pPr>
      <w:r>
        <w:rPr>
          <w:rFonts w:hint="eastAsia" w:ascii="宋体" w:hAnsi="宋体" w:cs="宋体"/>
          <w:spacing w:val="6"/>
          <w:sz w:val="24"/>
        </w:rPr>
        <w:t>说明：</w:t>
      </w:r>
    </w:p>
    <w:p>
      <w:pPr>
        <w:widowControl/>
        <w:spacing w:line="360" w:lineRule="auto"/>
        <w:ind w:firstLine="504" w:firstLineChars="200"/>
        <w:rPr>
          <w:rFonts w:ascii="宋体" w:cs="宋体"/>
          <w:spacing w:val="6"/>
          <w:sz w:val="24"/>
        </w:rPr>
      </w:pPr>
      <w:r>
        <w:rPr>
          <w:rFonts w:ascii="宋体" w:hAnsi="宋体" w:cs="宋体"/>
          <w:spacing w:val="6"/>
          <w:sz w:val="24"/>
        </w:rPr>
        <w:t>1</w:t>
      </w:r>
      <w:r>
        <w:rPr>
          <w:rFonts w:hint="eastAsia" w:ascii="宋体" w:hAnsi="宋体" w:cs="宋体"/>
          <w:spacing w:val="6"/>
          <w:sz w:val="24"/>
        </w:rPr>
        <w:t>、供应商提供的产品属于下列情形，应按照招标文件第三部分供应商须知总则第七款规定提供产品列入“节能产品”，“环境标志产品”所在页的复印件（该夜包含制造商或企业名称或申请单位名称、规格型号、有效期截止日期等内容），并加盖供应商单位章。</w:t>
      </w:r>
    </w:p>
    <w:p>
      <w:pPr>
        <w:widowControl/>
        <w:numPr>
          <w:ilvl w:val="0"/>
          <w:numId w:val="23"/>
        </w:numPr>
        <w:spacing w:line="360" w:lineRule="auto"/>
        <w:ind w:firstLine="504" w:firstLineChars="200"/>
        <w:rPr>
          <w:rFonts w:ascii="宋体" w:cs="宋体"/>
          <w:sz w:val="24"/>
          <w:szCs w:val="24"/>
        </w:rPr>
      </w:pPr>
      <w:r>
        <w:rPr>
          <w:rFonts w:hint="eastAsia" w:ascii="宋体" w:hAnsi="宋体" w:cs="宋体"/>
          <w:spacing w:val="6"/>
          <w:sz w:val="24"/>
        </w:rPr>
        <w:t>符合政府采购强制采购政策的</w:t>
      </w:r>
      <w:r>
        <w:rPr>
          <w:rFonts w:hint="eastAsia" w:ascii="宋体" w:hAnsi="宋体" w:cs="宋体"/>
          <w:sz w:val="24"/>
          <w:szCs w:val="24"/>
        </w:rPr>
        <w:t>财政部、环境保护部发布的《节能产品政府采购清单》中标记的“强制采购节能产品”。</w:t>
      </w:r>
    </w:p>
    <w:p>
      <w:pPr>
        <w:widowControl/>
        <w:numPr>
          <w:ilvl w:val="0"/>
          <w:numId w:val="23"/>
        </w:numPr>
        <w:spacing w:line="360" w:lineRule="auto"/>
        <w:ind w:firstLine="504" w:firstLineChars="200"/>
        <w:rPr>
          <w:rFonts w:ascii="宋体" w:cs="宋体"/>
          <w:sz w:val="24"/>
          <w:szCs w:val="24"/>
        </w:rPr>
      </w:pPr>
      <w:r>
        <w:rPr>
          <w:rFonts w:hint="eastAsia" w:ascii="宋体" w:hAnsi="宋体" w:cs="宋体"/>
          <w:spacing w:val="6"/>
          <w:sz w:val="24"/>
        </w:rPr>
        <w:t>符合政府采购强制采购政策的</w:t>
      </w:r>
      <w:r>
        <w:rPr>
          <w:rFonts w:hint="eastAsia" w:ascii="宋体" w:hAnsi="宋体" w:cs="宋体"/>
          <w:sz w:val="24"/>
          <w:szCs w:val="24"/>
        </w:rPr>
        <w:t>财政部、环境保护部发布的《环境标志产品政府采购清单》中标记的的“环境标志产品”。</w:t>
      </w:r>
    </w:p>
    <w:p>
      <w:pPr>
        <w:widowControl/>
        <w:spacing w:line="360" w:lineRule="auto"/>
        <w:ind w:left="420" w:leftChars="200"/>
        <w:rPr>
          <w:rFonts w:ascii="宋体" w:cs="宋体"/>
          <w:sz w:val="24"/>
          <w:szCs w:val="24"/>
        </w:rPr>
      </w:pPr>
      <w:r>
        <w:rPr>
          <w:rFonts w:ascii="宋体" w:hAnsi="宋体" w:cs="宋体"/>
          <w:sz w:val="24"/>
          <w:szCs w:val="24"/>
        </w:rPr>
        <w:t>2</w:t>
      </w:r>
      <w:r>
        <w:rPr>
          <w:rFonts w:hint="eastAsia" w:ascii="宋体" w:hAnsi="宋体" w:cs="宋体"/>
          <w:sz w:val="24"/>
          <w:szCs w:val="24"/>
        </w:rPr>
        <w:t>、未按照上述要求提供的，评审时不予以考虑。</w:t>
      </w:r>
    </w:p>
    <w:p>
      <w:pPr>
        <w:snapToGrid w:val="0"/>
        <w:spacing w:line="360" w:lineRule="auto"/>
        <w:ind w:firstLine="480" w:firstLineChars="200"/>
        <w:rPr>
          <w:rFonts w:ascii="宋体" w:cs="宋体"/>
          <w:sz w:val="24"/>
        </w:rPr>
      </w:pPr>
    </w:p>
    <w:p>
      <w:pPr>
        <w:spacing w:line="588" w:lineRule="exact"/>
        <w:ind w:firstLine="504" w:firstLineChars="200"/>
        <w:rPr>
          <w:rFonts w:ascii="宋体" w:cs="宋体"/>
          <w:spacing w:val="6"/>
          <w:sz w:val="24"/>
        </w:rPr>
      </w:pPr>
    </w:p>
    <w:p>
      <w:pPr>
        <w:pStyle w:val="5"/>
        <w:adjustRightInd w:val="0"/>
        <w:spacing w:line="416" w:lineRule="atLeast"/>
        <w:textAlignment w:val="baseline"/>
        <w:rPr>
          <w:rFonts w:ascii="宋体" w:cs="宋体"/>
        </w:rPr>
        <w:sectPr>
          <w:pgSz w:w="11906" w:h="16838"/>
          <w:pgMar w:top="1440" w:right="1803" w:bottom="1440" w:left="1803" w:header="851" w:footer="992" w:gutter="0"/>
          <w:cols w:space="720" w:num="1"/>
          <w:docGrid w:type="lines" w:linePitch="319" w:charSpace="0"/>
        </w:sectPr>
      </w:pPr>
    </w:p>
    <w:p>
      <w:pPr>
        <w:pStyle w:val="5"/>
        <w:adjustRightInd w:val="0"/>
        <w:spacing w:line="416" w:lineRule="atLeast"/>
        <w:textAlignment w:val="baseline"/>
        <w:rPr>
          <w:rFonts w:ascii="宋体" w:cs="宋体"/>
        </w:rPr>
      </w:pPr>
      <w:bookmarkStart w:id="121" w:name="_Toc6523"/>
      <w:r>
        <w:rPr>
          <w:rFonts w:hint="eastAsia" w:ascii="宋体" w:hAnsi="宋体" w:cs="宋体"/>
        </w:rPr>
        <w:t>附件六：保证金退还账户信息确认表</w:t>
      </w:r>
      <w:bookmarkEnd w:id="121"/>
      <w:bookmarkStart w:id="122" w:name="_Toc378248335"/>
    </w:p>
    <w:p/>
    <w:p>
      <w:pPr>
        <w:rPr>
          <w:sz w:val="28"/>
          <w:szCs w:val="28"/>
        </w:rPr>
      </w:pPr>
      <w:r>
        <w:rPr>
          <w:rFonts w:hint="eastAsia"/>
          <w:sz w:val="28"/>
          <w:szCs w:val="28"/>
        </w:rPr>
        <w:t>项目名称：</w:t>
      </w:r>
    </w:p>
    <w:p>
      <w:pPr>
        <w:rPr>
          <w:sz w:val="28"/>
          <w:szCs w:val="28"/>
        </w:rPr>
      </w:pPr>
      <w:r>
        <w:rPr>
          <w:rFonts w:hint="eastAsia"/>
          <w:sz w:val="28"/>
          <w:szCs w:val="28"/>
        </w:rPr>
        <w:t>项目编号：</w:t>
      </w:r>
      <w:bookmarkEnd w:id="122"/>
    </w:p>
    <w:p>
      <w:pPr>
        <w:pStyle w:val="3"/>
      </w:pPr>
      <w:r>
        <w:rPr>
          <w:rFonts w:hint="eastAsia"/>
          <w:sz w:val="28"/>
          <w:szCs w:val="28"/>
        </w:rPr>
        <w:t>包号：</w:t>
      </w:r>
    </w:p>
    <w:p/>
    <w:tbl>
      <w:tblPr>
        <w:tblStyle w:val="25"/>
        <w:tblW w:w="86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8"/>
        <w:gridCol w:w="2370"/>
        <w:gridCol w:w="40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5" w:hRule="atLeast"/>
        </w:trPr>
        <w:tc>
          <w:tcPr>
            <w:tcW w:w="2268" w:type="dxa"/>
            <w:vMerge w:val="restart"/>
            <w:vAlign w:val="center"/>
          </w:tcPr>
          <w:p>
            <w:pPr>
              <w:jc w:val="center"/>
              <w:rPr>
                <w:rFonts w:ascii="宋体"/>
                <w:sz w:val="24"/>
              </w:rPr>
            </w:pPr>
            <w:r>
              <w:rPr>
                <w:rFonts w:hint="eastAsia" w:ascii="宋体" w:hAnsi="宋体"/>
                <w:sz w:val="24"/>
              </w:rPr>
              <w:t>应退磋商保证金</w:t>
            </w:r>
          </w:p>
        </w:tc>
        <w:tc>
          <w:tcPr>
            <w:tcW w:w="6372" w:type="dxa"/>
            <w:gridSpan w:val="2"/>
          </w:tcPr>
          <w:p>
            <w:pPr>
              <w:rPr>
                <w:rFonts w:ascii="宋体"/>
                <w:sz w:val="24"/>
              </w:rPr>
            </w:pPr>
            <w:r>
              <w:rPr>
                <w:rFonts w:hint="eastAsia" w:ascii="宋体" w:hAnsi="宋体"/>
                <w:sz w:val="24"/>
              </w:rPr>
              <w:t>小写：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2" w:hRule="atLeast"/>
        </w:trPr>
        <w:tc>
          <w:tcPr>
            <w:tcW w:w="2268" w:type="dxa"/>
            <w:vMerge w:val="continue"/>
          </w:tcPr>
          <w:p>
            <w:pPr>
              <w:rPr>
                <w:rFonts w:ascii="宋体"/>
                <w:sz w:val="24"/>
              </w:rPr>
            </w:pPr>
          </w:p>
        </w:tc>
        <w:tc>
          <w:tcPr>
            <w:tcW w:w="6372" w:type="dxa"/>
            <w:gridSpan w:val="2"/>
          </w:tcPr>
          <w:p>
            <w:pPr>
              <w:rPr>
                <w:rFonts w:ascii="宋体"/>
                <w:sz w:val="24"/>
              </w:rPr>
            </w:pPr>
            <w:r>
              <w:rPr>
                <w:rFonts w:hint="eastAsia" w:ascii="宋体" w:hAnsi="宋体"/>
                <w:sz w:val="24"/>
              </w:rPr>
              <w:t>大写：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2" w:hRule="atLeast"/>
        </w:trPr>
        <w:tc>
          <w:tcPr>
            <w:tcW w:w="2268" w:type="dxa"/>
            <w:vMerge w:val="restart"/>
            <w:vAlign w:val="center"/>
          </w:tcPr>
          <w:p>
            <w:r>
              <w:rPr>
                <w:rFonts w:hint="eastAsia"/>
              </w:rPr>
              <w:t>收款单位（盖章）</w:t>
            </w:r>
          </w:p>
        </w:tc>
        <w:tc>
          <w:tcPr>
            <w:tcW w:w="2370" w:type="dxa"/>
            <w:vAlign w:val="center"/>
          </w:tcPr>
          <w:p>
            <w:pPr>
              <w:jc w:val="center"/>
              <w:rPr>
                <w:rFonts w:ascii="宋体"/>
                <w:sz w:val="24"/>
              </w:rPr>
            </w:pPr>
            <w:r>
              <w:rPr>
                <w:rFonts w:hint="eastAsia" w:ascii="宋体" w:hAnsi="宋体"/>
                <w:sz w:val="24"/>
              </w:rPr>
              <w:t>单位名称</w:t>
            </w:r>
          </w:p>
        </w:tc>
        <w:tc>
          <w:tcPr>
            <w:tcW w:w="4002" w:type="dxa"/>
          </w:tcPr>
          <w:p>
            <w:pPr>
              <w:rPr>
                <w:rFonts w:asci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0" w:hRule="atLeast"/>
        </w:trPr>
        <w:tc>
          <w:tcPr>
            <w:tcW w:w="2268" w:type="dxa"/>
            <w:vMerge w:val="continue"/>
          </w:tcPr>
          <w:p>
            <w:pPr>
              <w:rPr>
                <w:rFonts w:ascii="宋体"/>
                <w:sz w:val="24"/>
              </w:rPr>
            </w:pPr>
          </w:p>
        </w:tc>
        <w:tc>
          <w:tcPr>
            <w:tcW w:w="2370" w:type="dxa"/>
            <w:vAlign w:val="center"/>
          </w:tcPr>
          <w:p>
            <w:pPr>
              <w:jc w:val="center"/>
              <w:rPr>
                <w:rFonts w:ascii="宋体"/>
                <w:sz w:val="24"/>
              </w:rPr>
            </w:pPr>
            <w:r>
              <w:rPr>
                <w:rFonts w:hint="eastAsia" w:ascii="宋体" w:hAnsi="宋体"/>
                <w:sz w:val="24"/>
              </w:rPr>
              <w:t>开户行</w:t>
            </w:r>
          </w:p>
        </w:tc>
        <w:tc>
          <w:tcPr>
            <w:tcW w:w="4002" w:type="dxa"/>
          </w:tcPr>
          <w:p>
            <w:pPr>
              <w:rPr>
                <w:rFonts w:asci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8" w:hRule="atLeast"/>
        </w:trPr>
        <w:tc>
          <w:tcPr>
            <w:tcW w:w="2268" w:type="dxa"/>
            <w:vMerge w:val="continue"/>
          </w:tcPr>
          <w:p>
            <w:pPr>
              <w:rPr>
                <w:rFonts w:ascii="宋体"/>
                <w:sz w:val="24"/>
              </w:rPr>
            </w:pPr>
          </w:p>
        </w:tc>
        <w:tc>
          <w:tcPr>
            <w:tcW w:w="2370" w:type="dxa"/>
            <w:vAlign w:val="center"/>
          </w:tcPr>
          <w:p>
            <w:pPr>
              <w:jc w:val="center"/>
              <w:rPr>
                <w:rFonts w:ascii="宋体"/>
                <w:sz w:val="24"/>
              </w:rPr>
            </w:pPr>
            <w:r>
              <w:rPr>
                <w:rFonts w:hint="eastAsia" w:ascii="宋体" w:hAnsi="宋体"/>
                <w:sz w:val="24"/>
              </w:rPr>
              <w:t>账号</w:t>
            </w:r>
          </w:p>
        </w:tc>
        <w:tc>
          <w:tcPr>
            <w:tcW w:w="4002" w:type="dxa"/>
          </w:tcPr>
          <w:p>
            <w:pPr>
              <w:rPr>
                <w:rFonts w:asci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2" w:hRule="atLeast"/>
        </w:trPr>
        <w:tc>
          <w:tcPr>
            <w:tcW w:w="2268" w:type="dxa"/>
            <w:vMerge w:val="continue"/>
          </w:tcPr>
          <w:p>
            <w:pPr>
              <w:rPr>
                <w:rFonts w:ascii="宋体"/>
                <w:sz w:val="24"/>
              </w:rPr>
            </w:pPr>
          </w:p>
        </w:tc>
        <w:tc>
          <w:tcPr>
            <w:tcW w:w="2370" w:type="dxa"/>
            <w:vAlign w:val="center"/>
          </w:tcPr>
          <w:p>
            <w:pPr>
              <w:jc w:val="center"/>
              <w:rPr>
                <w:rFonts w:ascii="宋体"/>
                <w:sz w:val="24"/>
              </w:rPr>
            </w:pPr>
            <w:r>
              <w:rPr>
                <w:rFonts w:hint="eastAsia" w:ascii="宋体" w:hAnsi="宋体"/>
                <w:sz w:val="24"/>
              </w:rPr>
              <w:t>联系人及电话</w:t>
            </w:r>
          </w:p>
        </w:tc>
        <w:tc>
          <w:tcPr>
            <w:tcW w:w="4002" w:type="dxa"/>
          </w:tcPr>
          <w:p>
            <w:pPr>
              <w:rPr>
                <w:rFonts w:ascii="宋体"/>
                <w:sz w:val="24"/>
              </w:rPr>
            </w:pPr>
          </w:p>
        </w:tc>
      </w:tr>
    </w:tbl>
    <w:p>
      <w:pPr>
        <w:keepNext/>
        <w:keepLines/>
        <w:adjustRightInd w:val="0"/>
        <w:spacing w:line="416" w:lineRule="atLeast"/>
        <w:textAlignment w:val="baseline"/>
        <w:rPr>
          <w:rFonts w:ascii="宋体"/>
          <w:b/>
          <w:sz w:val="24"/>
        </w:rPr>
      </w:pPr>
    </w:p>
    <w:p>
      <w:pPr>
        <w:keepNext/>
        <w:keepLines/>
        <w:adjustRightInd w:val="0"/>
        <w:spacing w:line="416" w:lineRule="atLeast"/>
        <w:textAlignment w:val="baseline"/>
        <w:rPr>
          <w:rFonts w:ascii="宋体"/>
          <w:b/>
          <w:sz w:val="24"/>
        </w:rPr>
      </w:pPr>
      <w:r>
        <w:rPr>
          <w:rFonts w:hint="eastAsia" w:ascii="宋体" w:hAnsi="宋体"/>
          <w:b/>
          <w:sz w:val="24"/>
        </w:rPr>
        <w:t>注：本表在退保证金时填写，投标时需单独提供原件交给工作人员以便退还保证金。</w:t>
      </w:r>
    </w:p>
    <w:p>
      <w:pPr>
        <w:keepNext/>
        <w:keepLines/>
        <w:adjustRightInd w:val="0"/>
        <w:spacing w:line="416" w:lineRule="atLeast"/>
        <w:textAlignment w:val="baseline"/>
        <w:rPr>
          <w:rFonts w:ascii="宋体"/>
          <w:b/>
          <w:sz w:val="24"/>
        </w:rPr>
      </w:pPr>
      <w:r>
        <w:rPr>
          <w:rFonts w:hint="eastAsia" w:ascii="宋体" w:hAnsi="宋体"/>
          <w:b/>
          <w:sz w:val="24"/>
        </w:rPr>
        <w:t>单位公章需清晰完整。</w:t>
      </w:r>
    </w:p>
    <w:p>
      <w:pPr>
        <w:jc w:val="left"/>
        <w:rPr>
          <w:rFonts w:ascii="宋体" w:cs="宋体"/>
          <w:b/>
          <w:spacing w:val="48"/>
          <w:sz w:val="72"/>
          <w:szCs w:val="72"/>
        </w:rPr>
      </w:pPr>
    </w:p>
    <w:p>
      <w:pPr>
        <w:jc w:val="left"/>
        <w:rPr>
          <w:rFonts w:ascii="宋体" w:cs="宋体"/>
          <w:b/>
          <w:spacing w:val="48"/>
          <w:sz w:val="72"/>
          <w:szCs w:val="72"/>
        </w:rPr>
      </w:pPr>
    </w:p>
    <w:p>
      <w:pPr>
        <w:jc w:val="left"/>
        <w:rPr>
          <w:rFonts w:ascii="宋体" w:cs="宋体"/>
          <w:b/>
          <w:spacing w:val="48"/>
          <w:sz w:val="72"/>
          <w:szCs w:val="72"/>
        </w:rPr>
        <w:sectPr>
          <w:pgSz w:w="11906" w:h="16838"/>
          <w:pgMar w:top="1440" w:right="1803" w:bottom="1440" w:left="1803" w:header="851" w:footer="992" w:gutter="0"/>
          <w:cols w:space="720" w:num="1"/>
          <w:docGrid w:type="lines" w:linePitch="319" w:charSpace="0"/>
        </w:sectPr>
      </w:pPr>
    </w:p>
    <w:p>
      <w:pPr>
        <w:pStyle w:val="5"/>
      </w:pPr>
      <w:bookmarkStart w:id="123" w:name="_Toc6156"/>
      <w:bookmarkStart w:id="124" w:name="_Toc4687"/>
      <w:r>
        <w:rPr>
          <w:rFonts w:hint="eastAsia"/>
        </w:rPr>
        <w:t>附件七：质疑函范本</w:t>
      </w:r>
      <w:bookmarkEnd w:id="123"/>
      <w:bookmarkEnd w:id="124"/>
    </w:p>
    <w:p>
      <w:pPr>
        <w:adjustRightInd w:val="0"/>
        <w:snapToGrid w:val="0"/>
        <w:spacing w:beforeLines="100" w:line="360" w:lineRule="auto"/>
        <w:rPr>
          <w:rFonts w:ascii="黑体" w:hAnsi="黑体" w:eastAsia="黑体" w:cs="仿宋"/>
          <w:bCs/>
          <w:sz w:val="32"/>
          <w:szCs w:val="32"/>
        </w:rPr>
      </w:pPr>
      <w:r>
        <w:rPr>
          <w:rFonts w:hint="eastAsia" w:ascii="黑体" w:hAnsi="黑体" w:eastAsia="黑体" w:cs="仿宋"/>
          <w:bCs/>
          <w:sz w:val="32"/>
          <w:szCs w:val="32"/>
        </w:rPr>
        <w:t>一、质疑供应商基本信息</w:t>
      </w:r>
    </w:p>
    <w:p>
      <w:pPr>
        <w:adjustRightInd w:val="0"/>
        <w:snapToGrid w:val="0"/>
        <w:spacing w:line="360" w:lineRule="auto"/>
        <w:rPr>
          <w:rFonts w:ascii="仿宋" w:hAnsi="仿宋" w:eastAsia="仿宋" w:cs="仿宋"/>
          <w:sz w:val="32"/>
          <w:szCs w:val="32"/>
          <w:u w:val="dotted"/>
        </w:rPr>
      </w:pPr>
      <w:r>
        <w:rPr>
          <w:rFonts w:hint="eastAsia" w:ascii="仿宋" w:hAnsi="仿宋" w:eastAsia="仿宋" w:cs="仿宋"/>
          <w:sz w:val="32"/>
          <w:szCs w:val="32"/>
        </w:rPr>
        <w:t>质疑供应商：</w:t>
      </w:r>
    </w:p>
    <w:p>
      <w:pPr>
        <w:adjustRightInd w:val="0"/>
        <w:snapToGrid w:val="0"/>
        <w:spacing w:line="360" w:lineRule="auto"/>
        <w:rPr>
          <w:rFonts w:ascii="仿宋" w:hAnsi="仿宋" w:eastAsia="仿宋" w:cs="仿宋"/>
          <w:sz w:val="32"/>
          <w:szCs w:val="32"/>
        </w:rPr>
      </w:pPr>
      <w:r>
        <w:rPr>
          <w:rFonts w:hint="eastAsia" w:ascii="仿宋" w:hAnsi="仿宋" w:eastAsia="仿宋" w:cs="仿宋"/>
          <w:sz w:val="32"/>
          <w:szCs w:val="32"/>
        </w:rPr>
        <w:t>地址：邮编：</w:t>
      </w:r>
    </w:p>
    <w:p>
      <w:pPr>
        <w:adjustRightInd w:val="0"/>
        <w:snapToGrid w:val="0"/>
        <w:spacing w:line="360" w:lineRule="auto"/>
        <w:rPr>
          <w:rFonts w:ascii="仿宋" w:hAnsi="仿宋" w:eastAsia="仿宋" w:cs="仿宋"/>
          <w:sz w:val="32"/>
          <w:szCs w:val="32"/>
        </w:rPr>
      </w:pPr>
      <w:r>
        <w:rPr>
          <w:rFonts w:hint="eastAsia" w:ascii="仿宋" w:hAnsi="仿宋" w:eastAsia="仿宋" w:cs="仿宋"/>
          <w:sz w:val="32"/>
          <w:szCs w:val="32"/>
        </w:rPr>
        <w:t>联系人：联系电话：</w:t>
      </w:r>
    </w:p>
    <w:p>
      <w:pPr>
        <w:adjustRightInd w:val="0"/>
        <w:snapToGrid w:val="0"/>
        <w:spacing w:line="360" w:lineRule="auto"/>
        <w:rPr>
          <w:rFonts w:ascii="仿宋" w:hAnsi="仿宋" w:eastAsia="仿宋" w:cs="仿宋"/>
          <w:sz w:val="32"/>
          <w:szCs w:val="32"/>
          <w:u w:val="dotted"/>
        </w:rPr>
      </w:pPr>
      <w:r>
        <w:rPr>
          <w:rFonts w:hint="eastAsia" w:ascii="仿宋" w:hAnsi="仿宋" w:eastAsia="仿宋" w:cs="仿宋"/>
          <w:sz w:val="32"/>
          <w:szCs w:val="32"/>
        </w:rPr>
        <w:t>授权代表：</w:t>
      </w:r>
    </w:p>
    <w:p>
      <w:pPr>
        <w:adjustRightInd w:val="0"/>
        <w:snapToGrid w:val="0"/>
        <w:spacing w:line="360" w:lineRule="auto"/>
        <w:rPr>
          <w:rFonts w:ascii="仿宋" w:hAnsi="仿宋" w:eastAsia="仿宋" w:cs="仿宋"/>
          <w:sz w:val="32"/>
          <w:szCs w:val="32"/>
        </w:rPr>
      </w:pPr>
      <w:r>
        <w:rPr>
          <w:rFonts w:hint="eastAsia" w:ascii="仿宋" w:hAnsi="仿宋" w:eastAsia="仿宋" w:cs="仿宋"/>
          <w:sz w:val="32"/>
          <w:szCs w:val="32"/>
        </w:rPr>
        <w:t>联系电话：</w:t>
      </w:r>
    </w:p>
    <w:p>
      <w:pPr>
        <w:adjustRightInd w:val="0"/>
        <w:snapToGrid w:val="0"/>
        <w:spacing w:line="360" w:lineRule="auto"/>
        <w:rPr>
          <w:rFonts w:ascii="仿宋" w:hAnsi="仿宋" w:eastAsia="仿宋" w:cs="仿宋"/>
          <w:sz w:val="32"/>
          <w:szCs w:val="32"/>
        </w:rPr>
      </w:pPr>
      <w:r>
        <w:rPr>
          <w:rFonts w:hint="eastAsia" w:ascii="仿宋" w:hAnsi="仿宋" w:eastAsia="仿宋" w:cs="仿宋"/>
          <w:sz w:val="32"/>
          <w:szCs w:val="32"/>
        </w:rPr>
        <w:t>地址：邮编：</w:t>
      </w:r>
    </w:p>
    <w:p>
      <w:pPr>
        <w:adjustRightInd w:val="0"/>
        <w:snapToGrid w:val="0"/>
        <w:spacing w:line="360" w:lineRule="auto"/>
        <w:rPr>
          <w:rFonts w:ascii="黑体" w:hAnsi="黑体" w:eastAsia="黑体" w:cs="仿宋"/>
          <w:bCs/>
          <w:sz w:val="32"/>
          <w:szCs w:val="32"/>
        </w:rPr>
      </w:pPr>
      <w:r>
        <w:rPr>
          <w:rFonts w:hint="eastAsia" w:ascii="黑体" w:hAnsi="黑体" w:eastAsia="黑体" w:cs="仿宋"/>
          <w:bCs/>
          <w:sz w:val="32"/>
          <w:szCs w:val="32"/>
        </w:rPr>
        <w:t>二、质疑项目基本情况</w:t>
      </w:r>
    </w:p>
    <w:p>
      <w:pPr>
        <w:adjustRightInd w:val="0"/>
        <w:snapToGrid w:val="0"/>
        <w:spacing w:line="360" w:lineRule="auto"/>
        <w:rPr>
          <w:rFonts w:ascii="仿宋" w:hAnsi="仿宋" w:eastAsia="仿宋" w:cs="仿宋"/>
          <w:sz w:val="32"/>
          <w:szCs w:val="32"/>
        </w:rPr>
      </w:pPr>
      <w:r>
        <w:rPr>
          <w:rFonts w:hint="eastAsia" w:ascii="仿宋" w:hAnsi="仿宋" w:eastAsia="仿宋" w:cs="仿宋"/>
          <w:sz w:val="32"/>
          <w:szCs w:val="32"/>
        </w:rPr>
        <w:t>质疑项目的名称：</w:t>
      </w:r>
    </w:p>
    <w:p>
      <w:pPr>
        <w:adjustRightInd w:val="0"/>
        <w:snapToGrid w:val="0"/>
        <w:spacing w:line="360" w:lineRule="auto"/>
        <w:rPr>
          <w:rFonts w:ascii="仿宋" w:hAnsi="仿宋" w:eastAsia="仿宋" w:cs="仿宋"/>
          <w:sz w:val="32"/>
          <w:szCs w:val="32"/>
        </w:rPr>
      </w:pPr>
      <w:r>
        <w:rPr>
          <w:rFonts w:hint="eastAsia" w:ascii="仿宋" w:hAnsi="仿宋" w:eastAsia="仿宋" w:cs="仿宋"/>
          <w:sz w:val="32"/>
          <w:szCs w:val="32"/>
        </w:rPr>
        <w:t>质疑项目的编号：包号：</w:t>
      </w:r>
    </w:p>
    <w:p>
      <w:pPr>
        <w:adjustRightInd w:val="0"/>
        <w:snapToGrid w:val="0"/>
        <w:spacing w:line="360" w:lineRule="auto"/>
        <w:rPr>
          <w:rFonts w:ascii="仿宋" w:hAnsi="仿宋" w:eastAsia="仿宋" w:cs="仿宋"/>
          <w:sz w:val="32"/>
          <w:szCs w:val="32"/>
          <w:u w:val="dotted"/>
        </w:rPr>
      </w:pPr>
      <w:r>
        <w:rPr>
          <w:rFonts w:hint="eastAsia" w:ascii="仿宋" w:hAnsi="仿宋" w:eastAsia="仿宋" w:cs="仿宋"/>
          <w:sz w:val="32"/>
          <w:szCs w:val="32"/>
        </w:rPr>
        <w:t>采购人名称：</w:t>
      </w:r>
    </w:p>
    <w:p>
      <w:pPr>
        <w:adjustRightInd w:val="0"/>
        <w:snapToGrid w:val="0"/>
        <w:spacing w:line="360" w:lineRule="auto"/>
        <w:rPr>
          <w:rFonts w:ascii="仿宋" w:hAnsi="仿宋" w:eastAsia="仿宋" w:cs="仿宋"/>
          <w:sz w:val="32"/>
          <w:szCs w:val="32"/>
        </w:rPr>
      </w:pPr>
      <w:r>
        <w:rPr>
          <w:rFonts w:hint="eastAsia" w:ascii="仿宋" w:hAnsi="仿宋" w:eastAsia="仿宋" w:cs="仿宋"/>
          <w:sz w:val="32"/>
          <w:szCs w:val="32"/>
        </w:rPr>
        <w:t>采购文件获取日期：</w:t>
      </w:r>
    </w:p>
    <w:p>
      <w:pPr>
        <w:adjustRightInd w:val="0"/>
        <w:snapToGrid w:val="0"/>
        <w:spacing w:line="360" w:lineRule="auto"/>
        <w:rPr>
          <w:rFonts w:ascii="黑体" w:hAnsi="黑体" w:eastAsia="黑体" w:cs="仿宋"/>
          <w:bCs/>
          <w:sz w:val="32"/>
          <w:szCs w:val="32"/>
        </w:rPr>
      </w:pPr>
      <w:r>
        <w:rPr>
          <w:rFonts w:hint="eastAsia" w:ascii="黑体" w:hAnsi="黑体" w:eastAsia="黑体" w:cs="仿宋"/>
          <w:bCs/>
          <w:sz w:val="32"/>
          <w:szCs w:val="32"/>
        </w:rPr>
        <w:t>三、质疑事项具体内容</w:t>
      </w:r>
    </w:p>
    <w:p>
      <w:pPr>
        <w:adjustRightInd w:val="0"/>
        <w:snapToGrid w:val="0"/>
        <w:spacing w:line="360" w:lineRule="auto"/>
        <w:rPr>
          <w:rFonts w:ascii="仿宋" w:hAnsi="仿宋" w:eastAsia="仿宋" w:cs="仿宋"/>
          <w:sz w:val="32"/>
          <w:szCs w:val="32"/>
          <w:u w:val="dotted"/>
        </w:rPr>
      </w:pPr>
      <w:r>
        <w:rPr>
          <w:rFonts w:hint="eastAsia" w:ascii="仿宋" w:hAnsi="仿宋" w:eastAsia="仿宋" w:cs="仿宋"/>
          <w:sz w:val="32"/>
          <w:szCs w:val="32"/>
        </w:rPr>
        <w:t>质疑事项</w:t>
      </w:r>
      <w:r>
        <w:rPr>
          <w:rFonts w:ascii="仿宋" w:hAnsi="仿宋" w:eastAsia="仿宋" w:cs="仿宋"/>
          <w:sz w:val="32"/>
          <w:szCs w:val="32"/>
        </w:rPr>
        <w:t>1</w:t>
      </w:r>
      <w:r>
        <w:rPr>
          <w:rFonts w:hint="eastAsia" w:ascii="仿宋" w:hAnsi="仿宋" w:eastAsia="仿宋" w:cs="仿宋"/>
          <w:sz w:val="32"/>
          <w:szCs w:val="32"/>
        </w:rPr>
        <w:t>：</w:t>
      </w:r>
    </w:p>
    <w:p>
      <w:pPr>
        <w:adjustRightInd w:val="0"/>
        <w:snapToGrid w:val="0"/>
        <w:spacing w:line="360" w:lineRule="auto"/>
        <w:rPr>
          <w:rFonts w:ascii="仿宋" w:hAnsi="仿宋" w:eastAsia="仿宋" w:cs="仿宋"/>
          <w:sz w:val="32"/>
          <w:szCs w:val="32"/>
          <w:u w:val="dotted"/>
        </w:rPr>
      </w:pPr>
      <w:r>
        <w:rPr>
          <w:rFonts w:hint="eastAsia" w:ascii="仿宋" w:hAnsi="仿宋" w:eastAsia="仿宋" w:cs="仿宋"/>
          <w:sz w:val="32"/>
          <w:szCs w:val="32"/>
        </w:rPr>
        <w:t>事实依据：</w:t>
      </w:r>
    </w:p>
    <w:p>
      <w:pPr>
        <w:adjustRightInd w:val="0"/>
        <w:snapToGrid w:val="0"/>
        <w:spacing w:line="360" w:lineRule="auto"/>
        <w:rPr>
          <w:rFonts w:ascii="仿宋" w:hAnsi="仿宋" w:eastAsia="仿宋" w:cs="仿宋"/>
          <w:sz w:val="32"/>
          <w:szCs w:val="32"/>
        </w:rPr>
      </w:pPr>
    </w:p>
    <w:p>
      <w:pPr>
        <w:adjustRightInd w:val="0"/>
        <w:snapToGrid w:val="0"/>
        <w:spacing w:line="360" w:lineRule="auto"/>
        <w:rPr>
          <w:rFonts w:ascii="仿宋" w:hAnsi="仿宋" w:eastAsia="仿宋" w:cs="仿宋"/>
          <w:sz w:val="32"/>
          <w:szCs w:val="32"/>
          <w:u w:val="dotted"/>
        </w:rPr>
      </w:pPr>
      <w:r>
        <w:rPr>
          <w:rFonts w:hint="eastAsia" w:ascii="仿宋" w:hAnsi="仿宋" w:eastAsia="仿宋" w:cs="仿宋"/>
          <w:sz w:val="32"/>
          <w:szCs w:val="32"/>
        </w:rPr>
        <w:t>法律依据：</w:t>
      </w:r>
    </w:p>
    <w:p>
      <w:pPr>
        <w:adjustRightInd w:val="0"/>
        <w:snapToGrid w:val="0"/>
        <w:spacing w:line="360" w:lineRule="auto"/>
        <w:rPr>
          <w:rFonts w:ascii="仿宋" w:hAnsi="仿宋" w:eastAsia="仿宋" w:cs="仿宋"/>
          <w:sz w:val="32"/>
          <w:szCs w:val="32"/>
          <w:u w:val="dotted"/>
        </w:rPr>
      </w:pPr>
    </w:p>
    <w:p>
      <w:pPr>
        <w:adjustRightInd w:val="0"/>
        <w:snapToGrid w:val="0"/>
        <w:spacing w:line="360" w:lineRule="auto"/>
        <w:rPr>
          <w:rFonts w:ascii="仿宋" w:hAnsi="仿宋" w:eastAsia="仿宋" w:cs="仿宋"/>
          <w:sz w:val="32"/>
          <w:szCs w:val="32"/>
          <w:u w:val="dotted"/>
        </w:rPr>
      </w:pPr>
      <w:r>
        <w:rPr>
          <w:rFonts w:hint="eastAsia" w:ascii="仿宋" w:hAnsi="仿宋" w:eastAsia="仿宋" w:cs="仿宋"/>
          <w:sz w:val="32"/>
          <w:szCs w:val="32"/>
        </w:rPr>
        <w:t>质疑事项</w:t>
      </w:r>
      <w:r>
        <w:rPr>
          <w:rFonts w:ascii="仿宋" w:hAnsi="仿宋" w:eastAsia="仿宋" w:cs="仿宋"/>
          <w:sz w:val="32"/>
          <w:szCs w:val="32"/>
        </w:rPr>
        <w:t>2</w:t>
      </w:r>
    </w:p>
    <w:p>
      <w:pPr>
        <w:adjustRightInd w:val="0"/>
        <w:snapToGrid w:val="0"/>
        <w:spacing w:line="360" w:lineRule="auto"/>
        <w:rPr>
          <w:rFonts w:ascii="仿宋" w:hAnsi="仿宋" w:eastAsia="仿宋" w:cs="仿宋"/>
          <w:sz w:val="32"/>
          <w:szCs w:val="32"/>
        </w:rPr>
      </w:pPr>
      <w:r>
        <w:rPr>
          <w:rFonts w:hint="eastAsia" w:ascii="仿宋" w:hAnsi="仿宋" w:eastAsia="仿宋" w:cs="仿宋"/>
          <w:sz w:val="32"/>
          <w:szCs w:val="32"/>
        </w:rPr>
        <w:t>……</w:t>
      </w:r>
    </w:p>
    <w:p>
      <w:pPr>
        <w:adjustRightInd w:val="0"/>
        <w:snapToGrid w:val="0"/>
        <w:spacing w:line="360" w:lineRule="auto"/>
        <w:rPr>
          <w:rFonts w:ascii="黑体" w:hAnsi="黑体" w:eastAsia="黑体" w:cs="仿宋"/>
          <w:bCs/>
          <w:sz w:val="32"/>
          <w:szCs w:val="32"/>
        </w:rPr>
      </w:pPr>
      <w:r>
        <w:rPr>
          <w:rFonts w:hint="eastAsia" w:ascii="黑体" w:hAnsi="黑体" w:eastAsia="黑体" w:cs="仿宋"/>
          <w:bCs/>
          <w:sz w:val="32"/>
          <w:szCs w:val="32"/>
        </w:rPr>
        <w:t>四、与质疑事项相关的质疑请求</w:t>
      </w:r>
    </w:p>
    <w:p>
      <w:pPr>
        <w:adjustRightInd w:val="0"/>
        <w:snapToGrid w:val="0"/>
        <w:spacing w:line="360" w:lineRule="auto"/>
        <w:rPr>
          <w:rFonts w:ascii="仿宋" w:hAnsi="仿宋" w:eastAsia="仿宋" w:cs="仿宋"/>
          <w:sz w:val="32"/>
          <w:szCs w:val="32"/>
          <w:u w:val="dotted"/>
        </w:rPr>
      </w:pPr>
      <w:r>
        <w:rPr>
          <w:rFonts w:hint="eastAsia" w:ascii="仿宋" w:hAnsi="仿宋" w:eastAsia="仿宋" w:cs="仿宋"/>
          <w:sz w:val="32"/>
          <w:szCs w:val="32"/>
        </w:rPr>
        <w:t>请求：</w:t>
      </w:r>
    </w:p>
    <w:p>
      <w:pPr>
        <w:rPr>
          <w:rFonts w:ascii="仿宋_GB2312" w:eastAsia="仿宋_GB2312"/>
          <w:sz w:val="30"/>
          <w:szCs w:val="30"/>
        </w:rPr>
      </w:pPr>
      <w:r>
        <w:rPr>
          <w:rFonts w:hint="eastAsia" w:ascii="仿宋_GB2312" w:eastAsia="仿宋_GB2312"/>
          <w:sz w:val="30"/>
          <w:szCs w:val="30"/>
        </w:rPr>
        <w:t>签字</w:t>
      </w:r>
      <w:r>
        <w:rPr>
          <w:rFonts w:ascii="仿宋_GB2312" w:eastAsia="仿宋_GB2312"/>
          <w:sz w:val="30"/>
          <w:szCs w:val="30"/>
        </w:rPr>
        <w:t>(</w:t>
      </w:r>
      <w:r>
        <w:rPr>
          <w:rFonts w:hint="eastAsia" w:ascii="仿宋_GB2312" w:eastAsia="仿宋_GB2312"/>
          <w:sz w:val="30"/>
          <w:szCs w:val="30"/>
        </w:rPr>
        <w:t>签章</w:t>
      </w:r>
      <w:r>
        <w:rPr>
          <w:rFonts w:ascii="仿宋_GB2312" w:eastAsia="仿宋_GB2312"/>
          <w:sz w:val="30"/>
          <w:szCs w:val="30"/>
        </w:rPr>
        <w:t>)</w:t>
      </w:r>
      <w:r>
        <w:rPr>
          <w:rFonts w:hint="eastAsia" w:ascii="仿宋_GB2312" w:eastAsia="仿宋_GB2312"/>
          <w:sz w:val="30"/>
          <w:szCs w:val="30"/>
        </w:rPr>
        <w:t>：公章：</w:t>
      </w:r>
    </w:p>
    <w:p>
      <w:pPr>
        <w:rPr>
          <w:rFonts w:ascii="仿宋_GB2312" w:eastAsia="仿宋_GB2312"/>
          <w:sz w:val="30"/>
          <w:szCs w:val="30"/>
        </w:rPr>
      </w:pPr>
      <w:r>
        <w:rPr>
          <w:rFonts w:hint="eastAsia" w:ascii="仿宋_GB2312" w:eastAsia="仿宋_GB2312"/>
          <w:sz w:val="30"/>
          <w:szCs w:val="30"/>
        </w:rPr>
        <w:t>日期：</w:t>
      </w:r>
    </w:p>
    <w:p>
      <w:pPr>
        <w:rPr>
          <w:rFonts w:ascii="黑体" w:hAnsi="黑体" w:eastAsia="黑体"/>
          <w:b/>
          <w:sz w:val="32"/>
          <w:szCs w:val="32"/>
        </w:rPr>
      </w:pPr>
    </w:p>
    <w:p>
      <w:pPr>
        <w:rPr>
          <w:rFonts w:ascii="黑体" w:hAnsi="黑体" w:eastAsia="黑体"/>
          <w:b/>
          <w:sz w:val="32"/>
          <w:szCs w:val="32"/>
        </w:rPr>
      </w:pPr>
      <w:r>
        <w:rPr>
          <w:rFonts w:hint="eastAsia" w:ascii="黑体" w:hAnsi="黑体" w:eastAsia="黑体"/>
          <w:b/>
          <w:sz w:val="32"/>
          <w:szCs w:val="32"/>
        </w:rPr>
        <w:t>质疑函制作说明：</w:t>
      </w:r>
    </w:p>
    <w:p>
      <w:pPr>
        <w:widowControl/>
        <w:ind w:firstLine="640" w:firstLineChars="200"/>
        <w:jc w:val="left"/>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供应商提出质疑时，应提交质疑函和必要的证明材料。</w:t>
      </w:r>
    </w:p>
    <w:p>
      <w:pPr>
        <w:widowControl/>
        <w:ind w:firstLine="640" w:firstLineChars="200"/>
        <w:jc w:val="left"/>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质疑供应商若委托代理人进行质疑的，质疑函应按要求列明“授权代表”的有关内容，并在附件中提交由质疑</w:t>
      </w:r>
      <w:r>
        <w:rPr>
          <w:rFonts w:hint="eastAsia" w:ascii="仿宋_GB2312" w:hAnsi="宋体" w:eastAsia="仿宋_GB2312" w:cs="宋体"/>
          <w:kern w:val="0"/>
          <w:sz w:val="32"/>
          <w:szCs w:val="32"/>
        </w:rPr>
        <w:t>供应商签署的授权委托书。授权委托书应载明代理人的姓名或者名称、代理事项、具体权限、期限和相关事项。</w:t>
      </w:r>
    </w:p>
    <w:p>
      <w:pPr>
        <w:widowControl/>
        <w:ind w:firstLine="640" w:firstLineChars="200"/>
        <w:jc w:val="left"/>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质疑供应商若对项目的某一分包进行质疑，质疑函中应列明具体分包号。</w:t>
      </w:r>
    </w:p>
    <w:p>
      <w:pPr>
        <w:widowControl/>
        <w:ind w:firstLine="640" w:firstLineChars="200"/>
        <w:jc w:val="left"/>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质疑函的质疑事项应具体、明确，并有必要的事实依据和法律依据。</w:t>
      </w:r>
    </w:p>
    <w:p>
      <w:pPr>
        <w:widowControl/>
        <w:ind w:firstLine="640" w:firstLineChars="200"/>
        <w:jc w:val="left"/>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质疑函的质疑请求应与质疑事项相关。</w:t>
      </w:r>
    </w:p>
    <w:p>
      <w:pPr>
        <w:widowControl/>
        <w:ind w:firstLine="640" w:firstLineChars="200"/>
        <w:jc w:val="left"/>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质疑供应商为自然人的，质疑函应由本人签字；质疑供应商为法人或者其他组织的，质疑函应由法定代表人、主要负责人，或者其授权代表签字或者盖章，并加盖公章。</w:t>
      </w:r>
    </w:p>
    <w:p>
      <w:pPr>
        <w:pStyle w:val="8"/>
        <w:sectPr>
          <w:pgSz w:w="11906" w:h="16838"/>
          <w:pgMar w:top="1440" w:right="1803" w:bottom="1440" w:left="1803" w:header="851" w:footer="992" w:gutter="0"/>
          <w:cols w:space="720" w:num="1"/>
          <w:docGrid w:type="lines" w:linePitch="319" w:charSpace="0"/>
        </w:sectPr>
      </w:pPr>
    </w:p>
    <w:bookmarkEnd w:id="0"/>
    <w:p>
      <w:pPr>
        <w:ind w:firstLine="819" w:firstLineChars="100"/>
        <w:jc w:val="left"/>
        <w:rPr>
          <w:rFonts w:ascii="宋体" w:cs="宋体"/>
          <w:b/>
          <w:spacing w:val="48"/>
          <w:sz w:val="72"/>
          <w:szCs w:val="72"/>
        </w:rPr>
      </w:pPr>
      <w:r>
        <w:rPr>
          <w:rFonts w:hint="eastAsia" w:ascii="宋体" w:hAnsi="宋体" w:cs="宋体"/>
          <w:b/>
          <w:spacing w:val="48"/>
          <w:sz w:val="72"/>
          <w:szCs w:val="72"/>
        </w:rPr>
        <w:t>公平       公正</w:t>
      </w:r>
    </w:p>
    <w:p>
      <w:pPr>
        <w:jc w:val="left"/>
        <w:rPr>
          <w:rFonts w:ascii="宋体" w:cs="宋体"/>
          <w:b/>
          <w:spacing w:val="48"/>
          <w:sz w:val="72"/>
          <w:szCs w:val="72"/>
        </w:rPr>
      </w:pPr>
    </w:p>
    <w:p>
      <w:pPr>
        <w:rPr>
          <w:rFonts w:ascii="宋体" w:cs="宋体"/>
          <w:spacing w:val="48"/>
          <w:sz w:val="72"/>
          <w:szCs w:val="72"/>
        </w:rPr>
      </w:pPr>
    </w:p>
    <w:p/>
    <w:p>
      <w:pPr>
        <w:ind w:firstLine="819" w:firstLineChars="100"/>
        <w:rPr>
          <w:rFonts w:ascii="宋体" w:hAnsi="宋体" w:cs="宋体"/>
          <w:b/>
          <w:spacing w:val="48"/>
          <w:sz w:val="72"/>
          <w:szCs w:val="72"/>
        </w:rPr>
      </w:pPr>
      <w:r>
        <w:rPr>
          <w:rFonts w:hint="eastAsia" w:ascii="宋体" w:hAnsi="宋体" w:cs="宋体"/>
          <w:b/>
          <w:spacing w:val="48"/>
          <w:sz w:val="72"/>
          <w:szCs w:val="72"/>
        </w:rPr>
        <w:t>专业       高效</w:t>
      </w:r>
    </w:p>
    <w:p>
      <w:pPr>
        <w:rPr>
          <w:rFonts w:ascii="宋体" w:hAnsi="宋体" w:cs="宋体"/>
          <w:spacing w:val="48"/>
          <w:sz w:val="72"/>
          <w:szCs w:val="72"/>
        </w:rPr>
      </w:pPr>
    </w:p>
    <w:p>
      <w:pPr>
        <w:rPr>
          <w:rFonts w:ascii="宋体" w:hAnsi="宋体" w:cs="宋体"/>
          <w:b/>
          <w:spacing w:val="48"/>
          <w:sz w:val="72"/>
          <w:szCs w:val="72"/>
        </w:rPr>
      </w:pPr>
    </w:p>
    <w:p>
      <w:pPr>
        <w:rPr>
          <w:rFonts w:ascii="宋体" w:hAnsi="宋体" w:cs="宋体"/>
          <w:spacing w:val="48"/>
          <w:sz w:val="72"/>
          <w:szCs w:val="72"/>
        </w:rPr>
      </w:pPr>
    </w:p>
    <w:p>
      <w:pPr>
        <w:rPr>
          <w:rFonts w:ascii="宋体" w:hAnsi="宋体" w:cs="宋体"/>
          <w:b/>
          <w:spacing w:val="48"/>
          <w:sz w:val="72"/>
          <w:szCs w:val="72"/>
        </w:rPr>
      </w:pPr>
    </w:p>
    <w:p>
      <w:pPr>
        <w:rPr>
          <w:rFonts w:ascii="宋体" w:hAnsi="宋体" w:cs="宋体"/>
          <w:spacing w:val="48"/>
          <w:sz w:val="72"/>
          <w:szCs w:val="72"/>
        </w:rPr>
      </w:pPr>
    </w:p>
    <w:p/>
    <w:p>
      <w:pPr>
        <w:rPr>
          <w:rFonts w:ascii="宋体" w:cs="宋体"/>
          <w:b/>
          <w:sz w:val="30"/>
          <w:szCs w:val="30"/>
        </w:rPr>
      </w:pPr>
      <w:r>
        <w:rPr>
          <w:rFonts w:hint="eastAsia" w:ascii="宋体" w:hAnsi="宋体" w:cs="宋体"/>
          <w:b/>
          <w:sz w:val="30"/>
          <w:szCs w:val="30"/>
        </w:rPr>
        <w:t>企业名称：陕西卓佲招标有限公司</w:t>
      </w:r>
    </w:p>
    <w:p>
      <w:pPr>
        <w:rPr>
          <w:rFonts w:ascii="宋体" w:cs="宋体"/>
          <w:b/>
          <w:sz w:val="30"/>
          <w:szCs w:val="30"/>
        </w:rPr>
      </w:pPr>
      <w:r>
        <w:rPr>
          <w:rFonts w:hint="eastAsia" w:ascii="宋体" w:hAnsi="宋体" w:cs="宋体"/>
          <w:b/>
          <w:sz w:val="30"/>
          <w:szCs w:val="30"/>
        </w:rPr>
        <w:t>地址：西安市雁塔区科技路十号华奥大厦A座2002室</w:t>
      </w:r>
    </w:p>
    <w:p>
      <w:pPr>
        <w:rPr>
          <w:rFonts w:ascii="宋体" w:cs="宋体"/>
          <w:b/>
          <w:sz w:val="30"/>
          <w:szCs w:val="30"/>
        </w:rPr>
      </w:pPr>
      <w:r>
        <w:rPr>
          <w:rFonts w:hint="eastAsia" w:ascii="宋体" w:hAnsi="宋体" w:cs="宋体"/>
          <w:b/>
          <w:sz w:val="30"/>
          <w:szCs w:val="30"/>
        </w:rPr>
        <w:t>邮政编码：</w:t>
      </w:r>
      <w:r>
        <w:rPr>
          <w:rFonts w:ascii="宋体" w:hAnsi="宋体" w:cs="宋体"/>
          <w:b/>
          <w:sz w:val="30"/>
          <w:szCs w:val="30"/>
        </w:rPr>
        <w:t>7100</w:t>
      </w:r>
      <w:r>
        <w:rPr>
          <w:rFonts w:hint="eastAsia" w:ascii="宋体" w:hAnsi="宋体" w:cs="宋体"/>
          <w:b/>
          <w:sz w:val="30"/>
          <w:szCs w:val="30"/>
        </w:rPr>
        <w:t>65</w:t>
      </w:r>
    </w:p>
    <w:p>
      <w:pPr>
        <w:rPr>
          <w:rFonts w:ascii="宋体" w:cs="宋体"/>
          <w:b/>
          <w:sz w:val="30"/>
          <w:szCs w:val="30"/>
        </w:rPr>
      </w:pPr>
      <w:r>
        <w:rPr>
          <w:rFonts w:hint="eastAsia" w:ascii="宋体" w:hAnsi="宋体" w:cs="宋体"/>
          <w:b/>
          <w:sz w:val="30"/>
          <w:szCs w:val="30"/>
        </w:rPr>
        <w:t>电话：029-88440695</w:t>
      </w:r>
    </w:p>
    <w:p>
      <w:pPr>
        <w:rPr>
          <w:rFonts w:ascii="宋体" w:cs="宋体"/>
        </w:rPr>
      </w:pPr>
      <w:r>
        <w:rPr>
          <w:rFonts w:hint="eastAsia" w:ascii="宋体" w:hAnsi="宋体" w:cs="宋体"/>
          <w:b/>
          <w:sz w:val="30"/>
          <w:szCs w:val="30"/>
        </w:rPr>
        <w:t>传真：029-88440695</w:t>
      </w:r>
    </w:p>
    <w:p>
      <w:pPr>
        <w:rPr>
          <w:rFonts w:asciiTheme="minorEastAsia" w:hAnsiTheme="minorEastAsia" w:cstheme="minorEastAsia"/>
        </w:rPr>
      </w:pPr>
    </w:p>
    <w:p>
      <w:pPr>
        <w:rPr>
          <w:rFonts w:asciiTheme="minorEastAsia" w:hAnsiTheme="minorEastAsia" w:cstheme="minorEastAsia"/>
        </w:rPr>
      </w:pPr>
    </w:p>
    <w:p/>
    <w:sectPr>
      <w:footerReference r:id="rId11"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Helvetica Neue">
    <w:altName w:val="Times New Roman"/>
    <w:panose1 w:val="00000000000000000000"/>
    <w:charset w:val="00"/>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rFonts w:ascii="宋体" w:cs="宋体"/>
      </w:rPr>
    </w:pPr>
    <w:r>
      <w:rPr>
        <w:rFonts w:hint="eastAsia" w:ascii="宋体" w:hAnsi="宋体" w:cs="宋体"/>
      </w:rPr>
      <w:t>陕西卓佲招标有限公司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right" w:pos="8426"/>
      </w:tabs>
      <w:rPr>
        <w:rFonts w:ascii="宋体" w:cs="宋体"/>
      </w:rPr>
    </w:pPr>
    <w:r>
      <w:rPr>
        <w:rFonts w:ascii="宋体" w:cs="宋体"/>
      </w:rPr>
      <w:tab/>
    </w:r>
    <w:r>
      <w:rPr>
        <w:rFonts w:ascii="宋体" w:cs="宋体"/>
      </w:rPr>
      <w:tab/>
    </w:r>
    <w:r>
      <w:rPr>
        <w:rFonts w:hint="eastAsia" w:ascii="宋体" w:hAnsi="宋体" w:cs="宋体"/>
      </w:rPr>
      <w:t>陕西卓佲招标有限公司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文本框 1" o:spid="_x0000_s2051" o:spt="202" type="#_x0000_t202" style="position:absolute;left:0pt;margin-top:0pt;height:11.65pt;width:27.1pt;mso-position-horizontal:center;mso-position-horizontal-relative:margin;mso-wrap-style:none;z-index:251657216;mso-width-relative:page;mso-height-relative:page;" filled="f" stroked="f" coordsize="21600,21600" o:gfxdata="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DzyLc0gAAAAMBAAAPAAAAAAAAAAEAIAAAACIAAABkcnMvZG93bnJldi54bWxQSwEC&#10;FAAUAAAACACHTuJAAp9fJMEBAABgAwAADgAAAAAAAAABACAAAAAhAQAAZHJzL2Uyb0RvYy54bWxQ&#10;SwUGAAAAAAYABgBZAQAAVAUAAAAA&#10;">
          <v:path/>
          <v:fill on="f" focussize="0,0"/>
          <v:stroke on="f" weight="0.5pt" joinstyle="miter"/>
          <v:imagedata o:title=""/>
          <o:lock v:ext="edit"/>
          <v:textbox inset="0mm,0mm,0mm,0mm" style="mso-fit-shape-to-text:t;">
            <w:txbxContent>
              <w:p>
                <w:pPr>
                  <w:pStyle w:val="18"/>
                </w:pPr>
                <w:r>
                  <w:rPr>
                    <w:rFonts w:hint="eastAsia"/>
                  </w:rPr>
                  <w:t>第</w:t>
                </w:r>
                <w:r>
                  <w:fldChar w:fldCharType="begin"/>
                </w:r>
                <w:r>
                  <w:instrText xml:space="preserve"> PAGE  \* MERGEFORMAT </w:instrText>
                </w:r>
                <w:r>
                  <w:fldChar w:fldCharType="separate"/>
                </w:r>
                <w:r>
                  <w:t>3</w:t>
                </w:r>
                <w:r>
                  <w:fldChar w:fldCharType="end"/>
                </w:r>
                <w:r>
                  <w:rPr>
                    <w:rFonts w:hint="eastAsia"/>
                  </w:rPr>
                  <w:t>页</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_x0000_s2050" o:spid="_x0000_s2050" o:spt="202" type="#_x0000_t202" style="position:absolute;left:0pt;margin-left:173.65pt;margin-top:0.55pt;height:11.65pt;width:31.65pt;mso-position-horizontal-relative:margin;mso-wrap-style:none;z-index:251658240;mso-width-relative:page;mso-height-relative:page;" filled="f" stroked="f" coordsize="21600,21600" o:gfxdata="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L9go1QAAAAgBAAAPAAAAAAAAAAEAIAAAACIAAABkcnMvZG93bnJldi54bWxQ&#10;SwECFAAUAAAACACHTuJAFGmS9sEBAABgAwAADgAAAAAAAAABACAAAAAkAQAAZHJzL2Uyb0RvYy54&#10;bWxQSwUGAAAAAAYABgBZAQAAVwUAAAAA&#10;">
          <v:path/>
          <v:fill on="f" focussize="0,0"/>
          <v:stroke on="f" weight="0.5pt" joinstyle="miter"/>
          <v:imagedata o:title=""/>
          <o:lock v:ext="edit"/>
          <v:textbox inset="0mm,0mm,0mm,0mm" style="mso-fit-shape-to-text:t;">
            <w:txbxContent>
              <w:p>
                <w:pPr>
                  <w:pStyle w:val="18"/>
                </w:pPr>
                <w:r>
                  <w:rPr>
                    <w:rFonts w:hint="eastAsia"/>
                  </w:rPr>
                  <w:t>第</w:t>
                </w:r>
                <w:r>
                  <w:fldChar w:fldCharType="begin"/>
                </w:r>
                <w:r>
                  <w:instrText xml:space="preserve"> PAGE  \* MERGEFORMAT </w:instrText>
                </w:r>
                <w:r>
                  <w:fldChar w:fldCharType="separate"/>
                </w:r>
                <w:r>
                  <w:t>24</w:t>
                </w:r>
                <w:r>
                  <w:fldChar w:fldCharType="end"/>
                </w:r>
                <w:r>
                  <w:rPr>
                    <w:rFonts w:hint="eastAsia"/>
                  </w:rPr>
                  <w:t>页</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center" w:pos="4150"/>
        <w:tab w:val="right" w:pos="8420"/>
        <w:tab w:val="clear" w:pos="4153"/>
      </w:tabs>
      <w:rPr>
        <w:rFonts w:ascii="宋体" w:cs="宋体"/>
      </w:rPr>
    </w:pPr>
    <w:r>
      <w:pict>
        <v:shape id="文本框 3" o:spid="_x0000_s2049" o:spt="202" type="#_x0000_t202" style="position:absolute;left:0pt;margin-top:0pt;height:11.65pt;width:31.65pt;mso-position-horizontal:center;mso-position-horizontal-relative:margin;mso-wrap-style:none;z-index:251658240;mso-width-relative:page;mso-height-relative:page;" filled="f" stroked="f" coordsize="21600,21600" o:gfxdata="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MrxPRAAAAAwEAAA8AAAAAAAAAAQAgAAAAIgAAAGRycy9kb3ducmV2LnhtbFBLAQIU&#10;ABQAAAAIAIdO4kB2lD1lwQEAAGADAAAOAAAAAAAAAAEAIAAAACABAABkcnMvZTJvRG9jLnhtbFBL&#10;BQYAAAAABgAGAFkBAABTBQAAAAA=&#10;">
          <v:path/>
          <v:fill on="f" focussize="0,0"/>
          <v:stroke on="f" weight="0.5pt" joinstyle="miter"/>
          <v:imagedata o:title=""/>
          <o:lock v:ext="edit"/>
          <v:textbox inset="0mm,0mm,0mm,0mm" style="mso-fit-shape-to-text:t;">
            <w:txbxContent>
              <w:p>
                <w:pPr>
                  <w:pStyle w:val="18"/>
                </w:pPr>
                <w:r>
                  <w:rPr>
                    <w:rFonts w:hint="eastAsia"/>
                  </w:rPr>
                  <w:t>第</w:t>
                </w:r>
                <w:r>
                  <w:fldChar w:fldCharType="begin"/>
                </w:r>
                <w:r>
                  <w:instrText xml:space="preserve"> PAGE  \* MERGEFORMAT </w:instrText>
                </w:r>
                <w:r>
                  <w:fldChar w:fldCharType="separate"/>
                </w:r>
                <w:r>
                  <w:t>55</w:t>
                </w:r>
                <w:r>
                  <w:fldChar w:fldCharType="end"/>
                </w:r>
                <w:r>
                  <w:rPr>
                    <w:rFonts w:hint="eastAsia"/>
                  </w:rPr>
                  <w:t>页</w:t>
                </w:r>
              </w:p>
            </w:txbxContent>
          </v:textbox>
        </v:shape>
      </w:pict>
    </w:r>
    <w:r>
      <w:rPr>
        <w:rFonts w:ascii="宋体" w:cs="宋体"/>
      </w:rPr>
      <w:tab/>
    </w:r>
    <w:r>
      <w:rPr>
        <w:rFonts w:ascii="宋体" w:cs="宋体"/>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center" w:pos="4150"/>
        <w:tab w:val="right" w:pos="8420"/>
        <w:tab w:val="clear" w:pos="4153"/>
      </w:tabs>
      <w:rPr>
        <w:rFonts w:ascii="宋体"/>
      </w:rPr>
    </w:pPr>
    <w:r>
      <w:rPr>
        <w:rFonts w:ascii="宋体"/>
      </w:rPr>
      <w:tab/>
    </w:r>
    <w:r>
      <w:rPr>
        <w:rFonts w:ascii="宋体"/>
      </w:rPr>
      <w:tab/>
    </w:r>
    <w:r>
      <w:rPr>
        <w:rFonts w:hint="eastAsia" w:ascii="宋体" w:hAnsi="宋体" w:cs="宋体"/>
      </w:rPr>
      <w:t>陕西卓佲招标有限公司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rPr>
        <w:rFonts w:hint="eastAsia" w:ascii="宋体" w:eastAsia="宋体" w:cs="宋体"/>
        <w:sz w:val="15"/>
        <w:szCs w:val="15"/>
        <w:u w:val="single"/>
        <w:lang w:eastAsia="zh-CN"/>
      </w:rPr>
    </w:pPr>
    <w:r>
      <w:rPr>
        <w:rFonts w:hint="eastAsia" w:ascii="宋体" w:hAnsi="宋体" w:cs="宋体"/>
        <w:sz w:val="15"/>
        <w:szCs w:val="15"/>
        <w:u w:val="single"/>
        <w:lang w:eastAsia="zh-CN"/>
      </w:rPr>
      <w:t>西北大学人力资源管理信息系统采购项目</w:t>
    </w:r>
    <w:r>
      <w:rPr>
        <w:rFonts w:hint="eastAsia" w:ascii="宋体" w:hAnsi="宋体" w:cs="宋体"/>
        <w:sz w:val="15"/>
        <w:szCs w:val="15"/>
        <w:u w:val="single"/>
      </w:rPr>
      <w:t xml:space="preserve">                               </w:t>
    </w:r>
    <w:r>
      <w:rPr>
        <w:rFonts w:hint="eastAsia" w:ascii="宋体" w:hAnsi="宋体" w:cs="宋体"/>
        <w:sz w:val="15"/>
        <w:szCs w:val="15"/>
        <w:u w:val="single"/>
        <w:lang w:val="en-US" w:eastAsia="zh-CN"/>
      </w:rPr>
      <w:t xml:space="preserve"> </w:t>
    </w:r>
    <w:r>
      <w:rPr>
        <w:rFonts w:hint="eastAsia" w:ascii="宋体" w:hAnsi="宋体" w:cs="宋体"/>
        <w:sz w:val="15"/>
        <w:szCs w:val="15"/>
        <w:u w:val="single"/>
      </w:rPr>
      <w:t xml:space="preserve">                           </w:t>
    </w:r>
    <w:r>
      <w:rPr>
        <w:rFonts w:hint="eastAsia" w:ascii="宋体" w:hAnsi="宋体" w:cs="宋体"/>
        <w:sz w:val="15"/>
        <w:szCs w:val="15"/>
        <w:u w:val="single"/>
        <w:lang w:eastAsia="zh-CN"/>
      </w:rPr>
      <w:t>ZMZB2019XBDX-21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pPr>
    <w:r>
      <w:rPr>
        <w:rFonts w:hint="eastAsia" w:ascii="宋体" w:hAnsi="宋体" w:cs="宋体"/>
        <w:sz w:val="15"/>
        <w:szCs w:val="15"/>
        <w:u w:val="single"/>
      </w:rPr>
      <w:t>西安理工大学土木项目信息化研究平台建设采购项目</w:t>
    </w:r>
    <w:r>
      <w:rPr>
        <w:rFonts w:ascii="宋体" w:hAnsi="宋体" w:cs="宋体"/>
        <w:sz w:val="15"/>
        <w:szCs w:val="15"/>
        <w:u w:val="single"/>
      </w:rPr>
      <w:t>SXWZ2017ZB-XALG-12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jc w:val="left"/>
      <w:rPr>
        <w:rFonts w:hint="eastAsia" w:eastAsia="宋体"/>
        <w:lang w:eastAsia="zh-CN"/>
      </w:rPr>
    </w:pPr>
    <w:r>
      <w:rPr>
        <w:rFonts w:hint="eastAsia" w:ascii="宋体" w:hAnsi="宋体" w:cs="宋体"/>
        <w:sz w:val="15"/>
        <w:szCs w:val="15"/>
        <w:u w:val="single"/>
        <w:lang w:eastAsia="zh-CN"/>
      </w:rPr>
      <w:t>西北大学人力资源管理信息系统采购项目</w:t>
    </w:r>
    <w:r>
      <w:rPr>
        <w:rFonts w:hint="eastAsia" w:ascii="宋体" w:hAnsi="宋体" w:cs="宋体"/>
        <w:sz w:val="15"/>
        <w:szCs w:val="15"/>
        <w:u w:val="single"/>
      </w:rPr>
      <w:t xml:space="preserve">                               </w:t>
    </w:r>
    <w:r>
      <w:rPr>
        <w:rFonts w:hint="eastAsia" w:ascii="宋体" w:hAnsi="宋体" w:cs="宋体"/>
        <w:sz w:val="15"/>
        <w:szCs w:val="15"/>
        <w:u w:val="single"/>
        <w:lang w:val="en-US" w:eastAsia="zh-CN"/>
      </w:rPr>
      <w:t xml:space="preserve">    </w:t>
    </w:r>
    <w:r>
      <w:rPr>
        <w:rFonts w:hint="eastAsia" w:ascii="宋体" w:hAnsi="宋体" w:cs="宋体"/>
        <w:sz w:val="15"/>
        <w:szCs w:val="15"/>
        <w:u w:val="single"/>
      </w:rPr>
      <w:t xml:space="preserve">                       </w:t>
    </w:r>
    <w:r>
      <w:rPr>
        <w:rFonts w:hint="eastAsia" w:ascii="宋体" w:hAnsi="宋体" w:cs="宋体"/>
        <w:sz w:val="15"/>
        <w:szCs w:val="15"/>
        <w:u w:val="single"/>
        <w:lang w:eastAsia="zh-CN"/>
      </w:rPr>
      <w:t>ZMZB2019XBDX-21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B558E8"/>
    <w:multiLevelType w:val="singleLevel"/>
    <w:tmpl w:val="CDB558E8"/>
    <w:lvl w:ilvl="0" w:tentative="0">
      <w:start w:val="3"/>
      <w:numFmt w:val="decimal"/>
      <w:suff w:val="nothing"/>
      <w:lvlText w:val="（%1）"/>
      <w:lvlJc w:val="left"/>
    </w:lvl>
  </w:abstractNum>
  <w:abstractNum w:abstractNumId="1">
    <w:nsid w:val="E0A6408C"/>
    <w:multiLevelType w:val="singleLevel"/>
    <w:tmpl w:val="E0A6408C"/>
    <w:lvl w:ilvl="0" w:tentative="0">
      <w:start w:val="2"/>
      <w:numFmt w:val="decimal"/>
      <w:suff w:val="space"/>
      <w:lvlText w:val="%1."/>
      <w:lvlJc w:val="left"/>
    </w:lvl>
  </w:abstractNum>
  <w:abstractNum w:abstractNumId="2">
    <w:nsid w:val="0D3B55C7"/>
    <w:multiLevelType w:val="multilevel"/>
    <w:tmpl w:val="0D3B55C7"/>
    <w:lvl w:ilvl="0" w:tentative="0">
      <w:start w:val="1"/>
      <w:numFmt w:val="upp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40BC294B"/>
    <w:multiLevelType w:val="singleLevel"/>
    <w:tmpl w:val="40BC294B"/>
    <w:lvl w:ilvl="0" w:tentative="0">
      <w:start w:val="11"/>
      <w:numFmt w:val="decimal"/>
      <w:suff w:val="space"/>
      <w:lvlText w:val="%1."/>
      <w:lvlJc w:val="left"/>
    </w:lvl>
  </w:abstractNum>
  <w:abstractNum w:abstractNumId="4">
    <w:nsid w:val="5530B97F"/>
    <w:multiLevelType w:val="singleLevel"/>
    <w:tmpl w:val="5530B97F"/>
    <w:lvl w:ilvl="0" w:tentative="0">
      <w:start w:val="1"/>
      <w:numFmt w:val="chineseCounting"/>
      <w:suff w:val="nothing"/>
      <w:lvlText w:val="%1、"/>
      <w:lvlJc w:val="left"/>
      <w:rPr>
        <w:rFonts w:cs="Times New Roman"/>
      </w:rPr>
    </w:lvl>
  </w:abstractNum>
  <w:abstractNum w:abstractNumId="5">
    <w:nsid w:val="58BE4A74"/>
    <w:multiLevelType w:val="singleLevel"/>
    <w:tmpl w:val="58BE4A74"/>
    <w:lvl w:ilvl="0" w:tentative="0">
      <w:start w:val="1"/>
      <w:numFmt w:val="chineseCounting"/>
      <w:suff w:val="nothing"/>
      <w:lvlText w:val="%1、"/>
      <w:lvlJc w:val="left"/>
      <w:pPr>
        <w:ind w:firstLine="420"/>
      </w:pPr>
      <w:rPr>
        <w:rFonts w:hint="eastAsia" w:cs="Times New Roman"/>
      </w:rPr>
    </w:lvl>
  </w:abstractNum>
  <w:abstractNum w:abstractNumId="6">
    <w:nsid w:val="58BE4ABA"/>
    <w:multiLevelType w:val="singleLevel"/>
    <w:tmpl w:val="58BE4ABA"/>
    <w:lvl w:ilvl="0" w:tentative="0">
      <w:start w:val="1"/>
      <w:numFmt w:val="decimal"/>
      <w:suff w:val="nothing"/>
      <w:lvlText w:val="%1、"/>
      <w:lvlJc w:val="left"/>
      <w:pPr>
        <w:ind w:firstLine="420"/>
      </w:pPr>
      <w:rPr>
        <w:rFonts w:hint="default" w:cs="Times New Roman"/>
      </w:rPr>
    </w:lvl>
  </w:abstractNum>
  <w:abstractNum w:abstractNumId="7">
    <w:nsid w:val="58BE4BC8"/>
    <w:multiLevelType w:val="singleLevel"/>
    <w:tmpl w:val="58BE4BC8"/>
    <w:lvl w:ilvl="0" w:tentative="0">
      <w:start w:val="1"/>
      <w:numFmt w:val="decimal"/>
      <w:suff w:val="nothing"/>
      <w:lvlText w:val="%1、"/>
      <w:lvlJc w:val="left"/>
      <w:pPr>
        <w:ind w:firstLine="420"/>
      </w:pPr>
      <w:rPr>
        <w:rFonts w:hint="default" w:cs="Times New Roman"/>
      </w:rPr>
    </w:lvl>
  </w:abstractNum>
  <w:abstractNum w:abstractNumId="8">
    <w:nsid w:val="58BE6519"/>
    <w:multiLevelType w:val="singleLevel"/>
    <w:tmpl w:val="58BE6519"/>
    <w:lvl w:ilvl="0" w:tentative="0">
      <w:start w:val="1"/>
      <w:numFmt w:val="decimal"/>
      <w:suff w:val="nothing"/>
      <w:lvlText w:val="%1、"/>
      <w:lvlJc w:val="left"/>
      <w:pPr>
        <w:ind w:firstLine="420"/>
      </w:pPr>
      <w:rPr>
        <w:rFonts w:hint="default" w:cs="Times New Roman"/>
      </w:rPr>
    </w:lvl>
  </w:abstractNum>
  <w:abstractNum w:abstractNumId="9">
    <w:nsid w:val="58BE6CCA"/>
    <w:multiLevelType w:val="singleLevel"/>
    <w:tmpl w:val="58BE6CCA"/>
    <w:lvl w:ilvl="0" w:tentative="0">
      <w:start w:val="1"/>
      <w:numFmt w:val="decimal"/>
      <w:suff w:val="nothing"/>
      <w:lvlText w:val="%1、"/>
      <w:lvlJc w:val="left"/>
      <w:pPr>
        <w:ind w:firstLine="420"/>
      </w:pPr>
      <w:rPr>
        <w:rFonts w:hint="default" w:cs="Times New Roman"/>
      </w:rPr>
    </w:lvl>
  </w:abstractNum>
  <w:abstractNum w:abstractNumId="10">
    <w:nsid w:val="58BE8C55"/>
    <w:multiLevelType w:val="singleLevel"/>
    <w:tmpl w:val="58BE8C55"/>
    <w:lvl w:ilvl="0" w:tentative="0">
      <w:start w:val="1"/>
      <w:numFmt w:val="lowerLetter"/>
      <w:lvlText w:val="%1."/>
      <w:lvlJc w:val="left"/>
      <w:pPr>
        <w:ind w:left="425" w:hanging="425"/>
      </w:pPr>
      <w:rPr>
        <w:rFonts w:hint="default" w:cs="Times New Roman"/>
      </w:rPr>
    </w:lvl>
  </w:abstractNum>
  <w:abstractNum w:abstractNumId="11">
    <w:nsid w:val="58BE9BEE"/>
    <w:multiLevelType w:val="singleLevel"/>
    <w:tmpl w:val="58BE9BEE"/>
    <w:lvl w:ilvl="0" w:tentative="0">
      <w:start w:val="1"/>
      <w:numFmt w:val="lowerLetter"/>
      <w:lvlText w:val="%1."/>
      <w:lvlJc w:val="left"/>
      <w:pPr>
        <w:ind w:left="425" w:hanging="425"/>
      </w:pPr>
      <w:rPr>
        <w:rFonts w:hint="default" w:cs="Times New Roman"/>
      </w:rPr>
    </w:lvl>
  </w:abstractNum>
  <w:abstractNum w:abstractNumId="12">
    <w:nsid w:val="58BE9C04"/>
    <w:multiLevelType w:val="singleLevel"/>
    <w:tmpl w:val="58BE9C04"/>
    <w:lvl w:ilvl="0" w:tentative="0">
      <w:start w:val="1"/>
      <w:numFmt w:val="lowerLetter"/>
      <w:lvlText w:val="%1."/>
      <w:lvlJc w:val="left"/>
      <w:pPr>
        <w:ind w:left="425" w:hanging="425"/>
      </w:pPr>
      <w:rPr>
        <w:rFonts w:hint="default" w:cs="Times New Roman"/>
      </w:rPr>
    </w:lvl>
  </w:abstractNum>
  <w:abstractNum w:abstractNumId="13">
    <w:nsid w:val="58BE9C35"/>
    <w:multiLevelType w:val="singleLevel"/>
    <w:tmpl w:val="58BE9C35"/>
    <w:lvl w:ilvl="0" w:tentative="0">
      <w:start w:val="1"/>
      <w:numFmt w:val="decimal"/>
      <w:suff w:val="nothing"/>
      <w:lvlText w:val="（%1）"/>
      <w:lvlJc w:val="left"/>
      <w:pPr>
        <w:ind w:firstLine="420"/>
      </w:pPr>
      <w:rPr>
        <w:rFonts w:hint="default" w:cs="Times New Roman"/>
      </w:rPr>
    </w:lvl>
  </w:abstractNum>
  <w:abstractNum w:abstractNumId="14">
    <w:nsid w:val="58BFC3B3"/>
    <w:multiLevelType w:val="singleLevel"/>
    <w:tmpl w:val="58BFC3B3"/>
    <w:lvl w:ilvl="0" w:tentative="0">
      <w:start w:val="1"/>
      <w:numFmt w:val="decimal"/>
      <w:suff w:val="nothing"/>
      <w:lvlText w:val="（%1）"/>
      <w:lvlJc w:val="left"/>
      <w:pPr>
        <w:ind w:firstLine="420"/>
      </w:pPr>
      <w:rPr>
        <w:rFonts w:hint="default" w:cs="Times New Roman"/>
      </w:rPr>
    </w:lvl>
  </w:abstractNum>
  <w:abstractNum w:abstractNumId="15">
    <w:nsid w:val="58C0AD6D"/>
    <w:multiLevelType w:val="singleLevel"/>
    <w:tmpl w:val="58C0AD6D"/>
    <w:lvl w:ilvl="0" w:tentative="0">
      <w:start w:val="1"/>
      <w:numFmt w:val="decimal"/>
      <w:suff w:val="nothing"/>
      <w:lvlText w:val="（%1）"/>
      <w:lvlJc w:val="left"/>
      <w:pPr>
        <w:ind w:firstLine="420"/>
      </w:pPr>
      <w:rPr>
        <w:rFonts w:hint="default" w:cs="Times New Roman"/>
      </w:rPr>
    </w:lvl>
  </w:abstractNum>
  <w:abstractNum w:abstractNumId="16">
    <w:nsid w:val="58D47C54"/>
    <w:multiLevelType w:val="singleLevel"/>
    <w:tmpl w:val="58D47C54"/>
    <w:lvl w:ilvl="0" w:tentative="0">
      <w:start w:val="1"/>
      <w:numFmt w:val="decimal"/>
      <w:suff w:val="nothing"/>
      <w:lvlText w:val="（%1）"/>
      <w:lvlJc w:val="left"/>
      <w:rPr>
        <w:rFonts w:cs="Times New Roman"/>
      </w:rPr>
    </w:lvl>
  </w:abstractNum>
  <w:abstractNum w:abstractNumId="17">
    <w:nsid w:val="58E5EC48"/>
    <w:multiLevelType w:val="singleLevel"/>
    <w:tmpl w:val="58E5EC48"/>
    <w:lvl w:ilvl="0" w:tentative="0">
      <w:start w:val="1"/>
      <w:numFmt w:val="decimal"/>
      <w:suff w:val="nothing"/>
      <w:lvlText w:val="（%1）"/>
      <w:lvlJc w:val="left"/>
      <w:rPr>
        <w:rFonts w:cs="Times New Roman"/>
      </w:rPr>
    </w:lvl>
  </w:abstractNum>
  <w:abstractNum w:abstractNumId="18">
    <w:nsid w:val="59EEA2A1"/>
    <w:multiLevelType w:val="singleLevel"/>
    <w:tmpl w:val="59EEA2A1"/>
    <w:lvl w:ilvl="0" w:tentative="0">
      <w:start w:val="1"/>
      <w:numFmt w:val="bullet"/>
      <w:lvlText w:val=""/>
      <w:lvlJc w:val="left"/>
      <w:pPr>
        <w:ind w:left="420" w:hanging="420"/>
      </w:pPr>
      <w:rPr>
        <w:rFonts w:hint="default" w:ascii="Wingdings" w:hAnsi="Wingdings"/>
      </w:rPr>
    </w:lvl>
  </w:abstractNum>
  <w:abstractNum w:abstractNumId="19">
    <w:nsid w:val="59F82D37"/>
    <w:multiLevelType w:val="singleLevel"/>
    <w:tmpl w:val="59F82D37"/>
    <w:lvl w:ilvl="0" w:tentative="0">
      <w:start w:val="6"/>
      <w:numFmt w:val="chineseCounting"/>
      <w:suff w:val="nothing"/>
      <w:lvlText w:val="第%1部"/>
      <w:lvlJc w:val="left"/>
    </w:lvl>
  </w:abstractNum>
  <w:abstractNum w:abstractNumId="20">
    <w:nsid w:val="5A044338"/>
    <w:multiLevelType w:val="singleLevel"/>
    <w:tmpl w:val="5A044338"/>
    <w:lvl w:ilvl="0" w:tentative="0">
      <w:start w:val="4"/>
      <w:numFmt w:val="chineseCounting"/>
      <w:suff w:val="nothing"/>
      <w:lvlText w:val="第%1部"/>
      <w:lvlJc w:val="left"/>
      <w:rPr>
        <w:rFonts w:cs="Times New Roman"/>
      </w:rPr>
    </w:lvl>
  </w:abstractNum>
  <w:abstractNum w:abstractNumId="21">
    <w:nsid w:val="6AA644EE"/>
    <w:multiLevelType w:val="singleLevel"/>
    <w:tmpl w:val="6AA644EE"/>
    <w:lvl w:ilvl="0" w:tentative="0">
      <w:start w:val="5"/>
      <w:numFmt w:val="decimal"/>
      <w:suff w:val="space"/>
      <w:lvlText w:val="%1."/>
      <w:lvlJc w:val="left"/>
    </w:lvl>
  </w:abstractNum>
  <w:abstractNum w:abstractNumId="22">
    <w:nsid w:val="78340D8B"/>
    <w:multiLevelType w:val="singleLevel"/>
    <w:tmpl w:val="78340D8B"/>
    <w:lvl w:ilvl="0" w:tentative="0">
      <w:start w:val="2"/>
      <w:numFmt w:val="decimal"/>
      <w:suff w:val="nothing"/>
      <w:lvlText w:val="%1、"/>
      <w:lvlJc w:val="left"/>
    </w:lvl>
  </w:abstractNum>
  <w:num w:numId="1">
    <w:abstractNumId w:val="4"/>
  </w:num>
  <w:num w:numId="2">
    <w:abstractNumId w:val="22"/>
  </w:num>
  <w:num w:numId="3">
    <w:abstractNumId w:val="5"/>
  </w:num>
  <w:num w:numId="4">
    <w:abstractNumId w:val="6"/>
  </w:num>
  <w:num w:numId="5">
    <w:abstractNumId w:val="16"/>
  </w:num>
  <w:num w:numId="6">
    <w:abstractNumId w:val="9"/>
  </w:num>
  <w:num w:numId="7">
    <w:abstractNumId w:val="15"/>
  </w:num>
  <w:num w:numId="8">
    <w:abstractNumId w:val="7"/>
  </w:num>
  <w:num w:numId="9">
    <w:abstractNumId w:val="14"/>
  </w:num>
  <w:num w:numId="10">
    <w:abstractNumId w:val="13"/>
  </w:num>
  <w:num w:numId="11">
    <w:abstractNumId w:val="11"/>
  </w:num>
  <w:num w:numId="12">
    <w:abstractNumId w:val="12"/>
  </w:num>
  <w:num w:numId="13">
    <w:abstractNumId w:val="18"/>
  </w:num>
  <w:num w:numId="14">
    <w:abstractNumId w:val="8"/>
  </w:num>
  <w:num w:numId="15">
    <w:abstractNumId w:val="10"/>
  </w:num>
  <w:num w:numId="16">
    <w:abstractNumId w:val="2"/>
  </w:num>
  <w:num w:numId="17">
    <w:abstractNumId w:val="20"/>
  </w:num>
  <w:num w:numId="18">
    <w:abstractNumId w:val="0"/>
  </w:num>
  <w:num w:numId="19">
    <w:abstractNumId w:val="1"/>
  </w:num>
  <w:num w:numId="20">
    <w:abstractNumId w:val="21"/>
  </w:num>
  <w:num w:numId="21">
    <w:abstractNumId w:val="3"/>
  </w:num>
  <w:num w:numId="22">
    <w:abstractNumId w:val="19"/>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HorizontalSpacing w:val="105"/>
  <w:drawingGridVerticalSpacing w:val="319"/>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627224F"/>
    <w:rsid w:val="00044124"/>
    <w:rsid w:val="00064702"/>
    <w:rsid w:val="000743AC"/>
    <w:rsid w:val="00076998"/>
    <w:rsid w:val="00086F08"/>
    <w:rsid w:val="000A1957"/>
    <w:rsid w:val="000C0895"/>
    <w:rsid w:val="000F600C"/>
    <w:rsid w:val="000F60C9"/>
    <w:rsid w:val="000F7B9A"/>
    <w:rsid w:val="0011607E"/>
    <w:rsid w:val="001609E7"/>
    <w:rsid w:val="00162917"/>
    <w:rsid w:val="00167A28"/>
    <w:rsid w:val="0018118F"/>
    <w:rsid w:val="00183DD3"/>
    <w:rsid w:val="001B6E45"/>
    <w:rsid w:val="001C399E"/>
    <w:rsid w:val="001D4D0A"/>
    <w:rsid w:val="001F25C2"/>
    <w:rsid w:val="001F7A8A"/>
    <w:rsid w:val="002006B6"/>
    <w:rsid w:val="0021589C"/>
    <w:rsid w:val="0021696A"/>
    <w:rsid w:val="00223C49"/>
    <w:rsid w:val="00247CD4"/>
    <w:rsid w:val="00265E13"/>
    <w:rsid w:val="00281EC9"/>
    <w:rsid w:val="002A23B6"/>
    <w:rsid w:val="002D7A6D"/>
    <w:rsid w:val="002E07BF"/>
    <w:rsid w:val="002F0876"/>
    <w:rsid w:val="002F6FCA"/>
    <w:rsid w:val="00326BE8"/>
    <w:rsid w:val="00337601"/>
    <w:rsid w:val="00360C09"/>
    <w:rsid w:val="003B49EC"/>
    <w:rsid w:val="003D37C1"/>
    <w:rsid w:val="003E65D8"/>
    <w:rsid w:val="003E7B81"/>
    <w:rsid w:val="003F3D18"/>
    <w:rsid w:val="003F64A7"/>
    <w:rsid w:val="003F7F8E"/>
    <w:rsid w:val="00414D41"/>
    <w:rsid w:val="004334E4"/>
    <w:rsid w:val="004456E2"/>
    <w:rsid w:val="00480307"/>
    <w:rsid w:val="00482B14"/>
    <w:rsid w:val="00483015"/>
    <w:rsid w:val="004C335B"/>
    <w:rsid w:val="004D3E14"/>
    <w:rsid w:val="004D3E8E"/>
    <w:rsid w:val="004D70C5"/>
    <w:rsid w:val="00520C66"/>
    <w:rsid w:val="00522064"/>
    <w:rsid w:val="005361EF"/>
    <w:rsid w:val="00550A99"/>
    <w:rsid w:val="0056610F"/>
    <w:rsid w:val="00591B0C"/>
    <w:rsid w:val="005B2CF7"/>
    <w:rsid w:val="005B3624"/>
    <w:rsid w:val="005B3960"/>
    <w:rsid w:val="005B653F"/>
    <w:rsid w:val="005D7A12"/>
    <w:rsid w:val="006019E0"/>
    <w:rsid w:val="00617D2A"/>
    <w:rsid w:val="006244CA"/>
    <w:rsid w:val="006362E8"/>
    <w:rsid w:val="0065142D"/>
    <w:rsid w:val="00651610"/>
    <w:rsid w:val="00664A49"/>
    <w:rsid w:val="006657C9"/>
    <w:rsid w:val="00696FBA"/>
    <w:rsid w:val="006B5E89"/>
    <w:rsid w:val="006B7856"/>
    <w:rsid w:val="006C63BD"/>
    <w:rsid w:val="006E46DF"/>
    <w:rsid w:val="006F1FD6"/>
    <w:rsid w:val="00715189"/>
    <w:rsid w:val="00766BA2"/>
    <w:rsid w:val="0077575C"/>
    <w:rsid w:val="00792491"/>
    <w:rsid w:val="007B0814"/>
    <w:rsid w:val="007B1DD1"/>
    <w:rsid w:val="007C13DD"/>
    <w:rsid w:val="007E171D"/>
    <w:rsid w:val="00802BF3"/>
    <w:rsid w:val="0082715E"/>
    <w:rsid w:val="008401A9"/>
    <w:rsid w:val="00845F89"/>
    <w:rsid w:val="00851DBD"/>
    <w:rsid w:val="008866C0"/>
    <w:rsid w:val="008962A7"/>
    <w:rsid w:val="008A367A"/>
    <w:rsid w:val="008C429E"/>
    <w:rsid w:val="008E50D6"/>
    <w:rsid w:val="008F3DC1"/>
    <w:rsid w:val="008F6EFE"/>
    <w:rsid w:val="00933342"/>
    <w:rsid w:val="00935E5B"/>
    <w:rsid w:val="00941E7D"/>
    <w:rsid w:val="009508E6"/>
    <w:rsid w:val="00954CF1"/>
    <w:rsid w:val="00994AF1"/>
    <w:rsid w:val="009B07C7"/>
    <w:rsid w:val="009C7DDA"/>
    <w:rsid w:val="009D7091"/>
    <w:rsid w:val="009E0874"/>
    <w:rsid w:val="00A248F4"/>
    <w:rsid w:val="00A318B6"/>
    <w:rsid w:val="00A32D91"/>
    <w:rsid w:val="00A41827"/>
    <w:rsid w:val="00A4652A"/>
    <w:rsid w:val="00A46767"/>
    <w:rsid w:val="00A63494"/>
    <w:rsid w:val="00A762B6"/>
    <w:rsid w:val="00A8343C"/>
    <w:rsid w:val="00A921BA"/>
    <w:rsid w:val="00AB0730"/>
    <w:rsid w:val="00AC7625"/>
    <w:rsid w:val="00AE2A90"/>
    <w:rsid w:val="00AF5919"/>
    <w:rsid w:val="00B01807"/>
    <w:rsid w:val="00B03CB7"/>
    <w:rsid w:val="00B1355F"/>
    <w:rsid w:val="00B32079"/>
    <w:rsid w:val="00B47EF3"/>
    <w:rsid w:val="00B5788A"/>
    <w:rsid w:val="00B60A45"/>
    <w:rsid w:val="00B71649"/>
    <w:rsid w:val="00B72671"/>
    <w:rsid w:val="00B76DB3"/>
    <w:rsid w:val="00B81CE0"/>
    <w:rsid w:val="00B83BAD"/>
    <w:rsid w:val="00BC1AB3"/>
    <w:rsid w:val="00BC37A7"/>
    <w:rsid w:val="00BC58BA"/>
    <w:rsid w:val="00BC5DCC"/>
    <w:rsid w:val="00BD2877"/>
    <w:rsid w:val="00C16496"/>
    <w:rsid w:val="00C216B7"/>
    <w:rsid w:val="00C25052"/>
    <w:rsid w:val="00C3095C"/>
    <w:rsid w:val="00C407B9"/>
    <w:rsid w:val="00C47022"/>
    <w:rsid w:val="00C50FE9"/>
    <w:rsid w:val="00C537C4"/>
    <w:rsid w:val="00C841BC"/>
    <w:rsid w:val="00C85499"/>
    <w:rsid w:val="00CA5180"/>
    <w:rsid w:val="00D01247"/>
    <w:rsid w:val="00D06F7C"/>
    <w:rsid w:val="00D07901"/>
    <w:rsid w:val="00D12679"/>
    <w:rsid w:val="00D574E4"/>
    <w:rsid w:val="00D576EF"/>
    <w:rsid w:val="00D94498"/>
    <w:rsid w:val="00DA4229"/>
    <w:rsid w:val="00DC0155"/>
    <w:rsid w:val="00DC1986"/>
    <w:rsid w:val="00DC7FB0"/>
    <w:rsid w:val="00DE27F2"/>
    <w:rsid w:val="00DE502C"/>
    <w:rsid w:val="00DF3EAA"/>
    <w:rsid w:val="00DF7605"/>
    <w:rsid w:val="00E04145"/>
    <w:rsid w:val="00E05772"/>
    <w:rsid w:val="00E05E3D"/>
    <w:rsid w:val="00E24A1C"/>
    <w:rsid w:val="00E24AFE"/>
    <w:rsid w:val="00E44B11"/>
    <w:rsid w:val="00E954D9"/>
    <w:rsid w:val="00E9724B"/>
    <w:rsid w:val="00EA1ECE"/>
    <w:rsid w:val="00EA7C3F"/>
    <w:rsid w:val="00EB3DFD"/>
    <w:rsid w:val="00EB5494"/>
    <w:rsid w:val="00ED2160"/>
    <w:rsid w:val="00EF3D94"/>
    <w:rsid w:val="00F00E47"/>
    <w:rsid w:val="00F234ED"/>
    <w:rsid w:val="00F508AB"/>
    <w:rsid w:val="00F649CA"/>
    <w:rsid w:val="00F75245"/>
    <w:rsid w:val="00F90D22"/>
    <w:rsid w:val="00F93A00"/>
    <w:rsid w:val="00FA5693"/>
    <w:rsid w:val="00FB0B2E"/>
    <w:rsid w:val="00FD46BF"/>
    <w:rsid w:val="00FE4179"/>
    <w:rsid w:val="0116462F"/>
    <w:rsid w:val="012B5248"/>
    <w:rsid w:val="013A223F"/>
    <w:rsid w:val="01920D21"/>
    <w:rsid w:val="019C5C98"/>
    <w:rsid w:val="01C22F35"/>
    <w:rsid w:val="01D660D4"/>
    <w:rsid w:val="01D879BF"/>
    <w:rsid w:val="01F90F7C"/>
    <w:rsid w:val="01FD3C9D"/>
    <w:rsid w:val="02064B47"/>
    <w:rsid w:val="026F0FB1"/>
    <w:rsid w:val="02854F8C"/>
    <w:rsid w:val="02FA17E2"/>
    <w:rsid w:val="030A0C9E"/>
    <w:rsid w:val="032F0146"/>
    <w:rsid w:val="03A636CD"/>
    <w:rsid w:val="03BD36C0"/>
    <w:rsid w:val="03D21601"/>
    <w:rsid w:val="03EC3EED"/>
    <w:rsid w:val="03ED7FC0"/>
    <w:rsid w:val="03FB0036"/>
    <w:rsid w:val="04027432"/>
    <w:rsid w:val="04923F16"/>
    <w:rsid w:val="04B368AA"/>
    <w:rsid w:val="04CD0688"/>
    <w:rsid w:val="04D502BA"/>
    <w:rsid w:val="0506638E"/>
    <w:rsid w:val="051E7A02"/>
    <w:rsid w:val="05223F5F"/>
    <w:rsid w:val="05257EA0"/>
    <w:rsid w:val="05402991"/>
    <w:rsid w:val="054E1CE0"/>
    <w:rsid w:val="05635018"/>
    <w:rsid w:val="057A7F6E"/>
    <w:rsid w:val="057C0A35"/>
    <w:rsid w:val="05851E12"/>
    <w:rsid w:val="058D1C16"/>
    <w:rsid w:val="058D6509"/>
    <w:rsid w:val="05925628"/>
    <w:rsid w:val="05B70D70"/>
    <w:rsid w:val="05D9579C"/>
    <w:rsid w:val="05FF6768"/>
    <w:rsid w:val="060454DB"/>
    <w:rsid w:val="06304096"/>
    <w:rsid w:val="06656E5D"/>
    <w:rsid w:val="066D1D57"/>
    <w:rsid w:val="067D5F98"/>
    <w:rsid w:val="0688363D"/>
    <w:rsid w:val="068D1678"/>
    <w:rsid w:val="068F4BD2"/>
    <w:rsid w:val="06922FC0"/>
    <w:rsid w:val="06A823B3"/>
    <w:rsid w:val="06BE30D0"/>
    <w:rsid w:val="06FF7B5B"/>
    <w:rsid w:val="070D7492"/>
    <w:rsid w:val="0758492D"/>
    <w:rsid w:val="077D4B02"/>
    <w:rsid w:val="07CF5020"/>
    <w:rsid w:val="07D176AB"/>
    <w:rsid w:val="08121C2D"/>
    <w:rsid w:val="08123FDC"/>
    <w:rsid w:val="081E730F"/>
    <w:rsid w:val="088709E4"/>
    <w:rsid w:val="089C5C59"/>
    <w:rsid w:val="08B95914"/>
    <w:rsid w:val="08E11BE4"/>
    <w:rsid w:val="08FA4683"/>
    <w:rsid w:val="090A42F6"/>
    <w:rsid w:val="091D6E7D"/>
    <w:rsid w:val="093A229D"/>
    <w:rsid w:val="093C6FE3"/>
    <w:rsid w:val="0949327F"/>
    <w:rsid w:val="09522B2A"/>
    <w:rsid w:val="09913C41"/>
    <w:rsid w:val="09A82F9B"/>
    <w:rsid w:val="09B356F1"/>
    <w:rsid w:val="09EA213D"/>
    <w:rsid w:val="0A0976BB"/>
    <w:rsid w:val="0A3955A8"/>
    <w:rsid w:val="0A3E3F88"/>
    <w:rsid w:val="0A500E82"/>
    <w:rsid w:val="0A672A35"/>
    <w:rsid w:val="0B32682B"/>
    <w:rsid w:val="0B5D1A85"/>
    <w:rsid w:val="0B6516CD"/>
    <w:rsid w:val="0B7769A0"/>
    <w:rsid w:val="0BD71E87"/>
    <w:rsid w:val="0BE603E4"/>
    <w:rsid w:val="0C836B55"/>
    <w:rsid w:val="0C8A23DC"/>
    <w:rsid w:val="0CAC05EE"/>
    <w:rsid w:val="0CAE7877"/>
    <w:rsid w:val="0CB6728F"/>
    <w:rsid w:val="0CBB35ED"/>
    <w:rsid w:val="0CC2087A"/>
    <w:rsid w:val="0CDD3B65"/>
    <w:rsid w:val="0CFD25BD"/>
    <w:rsid w:val="0D452987"/>
    <w:rsid w:val="0D8A07FB"/>
    <w:rsid w:val="0D933F5C"/>
    <w:rsid w:val="0DA32705"/>
    <w:rsid w:val="0DC169F8"/>
    <w:rsid w:val="0DC637E4"/>
    <w:rsid w:val="0DC763DB"/>
    <w:rsid w:val="0DDA34B7"/>
    <w:rsid w:val="0DED48F1"/>
    <w:rsid w:val="0E0C42FA"/>
    <w:rsid w:val="0E1247F3"/>
    <w:rsid w:val="0E3A7B4E"/>
    <w:rsid w:val="0E544046"/>
    <w:rsid w:val="0E62299A"/>
    <w:rsid w:val="0E65783C"/>
    <w:rsid w:val="0E6D46B5"/>
    <w:rsid w:val="0E752A42"/>
    <w:rsid w:val="0ED9043D"/>
    <w:rsid w:val="0F09400F"/>
    <w:rsid w:val="0F1E222B"/>
    <w:rsid w:val="0F4C09D3"/>
    <w:rsid w:val="0FB071D6"/>
    <w:rsid w:val="10450AC9"/>
    <w:rsid w:val="107168FD"/>
    <w:rsid w:val="10827DA0"/>
    <w:rsid w:val="108E6DDE"/>
    <w:rsid w:val="10C7100B"/>
    <w:rsid w:val="10DC6E5F"/>
    <w:rsid w:val="110F163E"/>
    <w:rsid w:val="11324327"/>
    <w:rsid w:val="11414753"/>
    <w:rsid w:val="11763F77"/>
    <w:rsid w:val="11873AA3"/>
    <w:rsid w:val="11AA5611"/>
    <w:rsid w:val="11B361D3"/>
    <w:rsid w:val="11D571FA"/>
    <w:rsid w:val="11E857EE"/>
    <w:rsid w:val="12165353"/>
    <w:rsid w:val="12241992"/>
    <w:rsid w:val="12491092"/>
    <w:rsid w:val="124E61A9"/>
    <w:rsid w:val="128C33F4"/>
    <w:rsid w:val="128D4594"/>
    <w:rsid w:val="12AA2596"/>
    <w:rsid w:val="12D477B6"/>
    <w:rsid w:val="12E623A0"/>
    <w:rsid w:val="131C06AC"/>
    <w:rsid w:val="133F5357"/>
    <w:rsid w:val="13487675"/>
    <w:rsid w:val="1363376C"/>
    <w:rsid w:val="136B6EC8"/>
    <w:rsid w:val="138D11BC"/>
    <w:rsid w:val="139D2FCC"/>
    <w:rsid w:val="13D84C83"/>
    <w:rsid w:val="140C3893"/>
    <w:rsid w:val="143261DA"/>
    <w:rsid w:val="14407ED7"/>
    <w:rsid w:val="1458271D"/>
    <w:rsid w:val="145E39E8"/>
    <w:rsid w:val="146A2058"/>
    <w:rsid w:val="14C863AE"/>
    <w:rsid w:val="14E570CC"/>
    <w:rsid w:val="15273101"/>
    <w:rsid w:val="15550B09"/>
    <w:rsid w:val="155550C1"/>
    <w:rsid w:val="15574EC6"/>
    <w:rsid w:val="15B7257F"/>
    <w:rsid w:val="166B3507"/>
    <w:rsid w:val="16807ECC"/>
    <w:rsid w:val="16C62A51"/>
    <w:rsid w:val="170645E3"/>
    <w:rsid w:val="172F57C8"/>
    <w:rsid w:val="17907B2D"/>
    <w:rsid w:val="17AD3522"/>
    <w:rsid w:val="17C413CC"/>
    <w:rsid w:val="17C5049D"/>
    <w:rsid w:val="18011AAC"/>
    <w:rsid w:val="183A5A12"/>
    <w:rsid w:val="186F3E63"/>
    <w:rsid w:val="187706E6"/>
    <w:rsid w:val="187B19AA"/>
    <w:rsid w:val="188A6C09"/>
    <w:rsid w:val="18921717"/>
    <w:rsid w:val="18E2012B"/>
    <w:rsid w:val="18EC1C99"/>
    <w:rsid w:val="18F03FF2"/>
    <w:rsid w:val="18FB209A"/>
    <w:rsid w:val="191D200E"/>
    <w:rsid w:val="192F739D"/>
    <w:rsid w:val="19391A65"/>
    <w:rsid w:val="195723A6"/>
    <w:rsid w:val="19653941"/>
    <w:rsid w:val="198F6E5A"/>
    <w:rsid w:val="1A324F2D"/>
    <w:rsid w:val="1A462475"/>
    <w:rsid w:val="1A5302DC"/>
    <w:rsid w:val="1A5B63D7"/>
    <w:rsid w:val="1A812FB9"/>
    <w:rsid w:val="1A85264F"/>
    <w:rsid w:val="1AA17E36"/>
    <w:rsid w:val="1AAF4F77"/>
    <w:rsid w:val="1AD53C8E"/>
    <w:rsid w:val="1B034557"/>
    <w:rsid w:val="1B115D3C"/>
    <w:rsid w:val="1B1E0896"/>
    <w:rsid w:val="1B3D6C6E"/>
    <w:rsid w:val="1B595345"/>
    <w:rsid w:val="1B634B19"/>
    <w:rsid w:val="1B807337"/>
    <w:rsid w:val="1B8C6A86"/>
    <w:rsid w:val="1BA47C58"/>
    <w:rsid w:val="1BB7784C"/>
    <w:rsid w:val="1BB80F43"/>
    <w:rsid w:val="1BB8564B"/>
    <w:rsid w:val="1BC170B5"/>
    <w:rsid w:val="1BC85289"/>
    <w:rsid w:val="1BF0529D"/>
    <w:rsid w:val="1C07705D"/>
    <w:rsid w:val="1C1A7504"/>
    <w:rsid w:val="1C1D0B3B"/>
    <w:rsid w:val="1C69249E"/>
    <w:rsid w:val="1C807487"/>
    <w:rsid w:val="1C9C002D"/>
    <w:rsid w:val="1CD4364F"/>
    <w:rsid w:val="1CE6090F"/>
    <w:rsid w:val="1D167A5C"/>
    <w:rsid w:val="1D195188"/>
    <w:rsid w:val="1D377922"/>
    <w:rsid w:val="1D385997"/>
    <w:rsid w:val="1D6B0D1C"/>
    <w:rsid w:val="1D6D6619"/>
    <w:rsid w:val="1DAA3CAE"/>
    <w:rsid w:val="1DF97E9A"/>
    <w:rsid w:val="1E423E61"/>
    <w:rsid w:val="1E670DE8"/>
    <w:rsid w:val="1E8D63A2"/>
    <w:rsid w:val="1EA41635"/>
    <w:rsid w:val="1EB04EEF"/>
    <w:rsid w:val="1ED2730B"/>
    <w:rsid w:val="1EE84C44"/>
    <w:rsid w:val="1EF86E4F"/>
    <w:rsid w:val="1F0563E3"/>
    <w:rsid w:val="1F3A25E2"/>
    <w:rsid w:val="1F411BC6"/>
    <w:rsid w:val="1F424BD1"/>
    <w:rsid w:val="1F7521E4"/>
    <w:rsid w:val="1FD13278"/>
    <w:rsid w:val="1FE03272"/>
    <w:rsid w:val="1FEE68CA"/>
    <w:rsid w:val="200B3F93"/>
    <w:rsid w:val="20652659"/>
    <w:rsid w:val="20B34D1C"/>
    <w:rsid w:val="21332D3E"/>
    <w:rsid w:val="218C144D"/>
    <w:rsid w:val="21B53414"/>
    <w:rsid w:val="21CD3A65"/>
    <w:rsid w:val="21EF5D7D"/>
    <w:rsid w:val="22226B9C"/>
    <w:rsid w:val="223E17F5"/>
    <w:rsid w:val="228B05B9"/>
    <w:rsid w:val="228F5107"/>
    <w:rsid w:val="22914B15"/>
    <w:rsid w:val="22A52271"/>
    <w:rsid w:val="22B21098"/>
    <w:rsid w:val="22C677C0"/>
    <w:rsid w:val="22D1490C"/>
    <w:rsid w:val="22E90E39"/>
    <w:rsid w:val="232B467D"/>
    <w:rsid w:val="233B062E"/>
    <w:rsid w:val="238A5FB4"/>
    <w:rsid w:val="23DC1B6E"/>
    <w:rsid w:val="23E303FA"/>
    <w:rsid w:val="24183CF0"/>
    <w:rsid w:val="2450498D"/>
    <w:rsid w:val="24575A93"/>
    <w:rsid w:val="245A5832"/>
    <w:rsid w:val="24D27D58"/>
    <w:rsid w:val="24DB0688"/>
    <w:rsid w:val="252E1698"/>
    <w:rsid w:val="25316B9F"/>
    <w:rsid w:val="255F7AD2"/>
    <w:rsid w:val="256D4FBD"/>
    <w:rsid w:val="25744408"/>
    <w:rsid w:val="25B10ED0"/>
    <w:rsid w:val="25E777FB"/>
    <w:rsid w:val="2614576F"/>
    <w:rsid w:val="2627224F"/>
    <w:rsid w:val="265E4B49"/>
    <w:rsid w:val="266126B9"/>
    <w:rsid w:val="26A701F3"/>
    <w:rsid w:val="27180E6A"/>
    <w:rsid w:val="271E393C"/>
    <w:rsid w:val="275F713E"/>
    <w:rsid w:val="276647CD"/>
    <w:rsid w:val="2787200C"/>
    <w:rsid w:val="27967DE6"/>
    <w:rsid w:val="27B22C80"/>
    <w:rsid w:val="27C17B8A"/>
    <w:rsid w:val="282460AC"/>
    <w:rsid w:val="28412C43"/>
    <w:rsid w:val="285B62D3"/>
    <w:rsid w:val="289262EF"/>
    <w:rsid w:val="28E1683E"/>
    <w:rsid w:val="28FA4614"/>
    <w:rsid w:val="29605A45"/>
    <w:rsid w:val="2A1931BE"/>
    <w:rsid w:val="2A490582"/>
    <w:rsid w:val="2A4A0382"/>
    <w:rsid w:val="2AA01055"/>
    <w:rsid w:val="2AA02867"/>
    <w:rsid w:val="2AB00776"/>
    <w:rsid w:val="2AB357E7"/>
    <w:rsid w:val="2AC1397F"/>
    <w:rsid w:val="2AC9578D"/>
    <w:rsid w:val="2AD02B77"/>
    <w:rsid w:val="2B2B2E6B"/>
    <w:rsid w:val="2B2D1FF9"/>
    <w:rsid w:val="2B9F7A9B"/>
    <w:rsid w:val="2BB23B01"/>
    <w:rsid w:val="2C0F4156"/>
    <w:rsid w:val="2C653121"/>
    <w:rsid w:val="2C9B6253"/>
    <w:rsid w:val="2CBB6609"/>
    <w:rsid w:val="2CF617E0"/>
    <w:rsid w:val="2D0F4923"/>
    <w:rsid w:val="2D3163BA"/>
    <w:rsid w:val="2D3A0CFF"/>
    <w:rsid w:val="2D5672A9"/>
    <w:rsid w:val="2D692B77"/>
    <w:rsid w:val="2D806D0D"/>
    <w:rsid w:val="2DA54837"/>
    <w:rsid w:val="2DAC6189"/>
    <w:rsid w:val="2DAE2BC2"/>
    <w:rsid w:val="2DBB723B"/>
    <w:rsid w:val="2DC37DF1"/>
    <w:rsid w:val="2DC551D7"/>
    <w:rsid w:val="2DC72349"/>
    <w:rsid w:val="2DF40DDD"/>
    <w:rsid w:val="2E027746"/>
    <w:rsid w:val="2E0D173F"/>
    <w:rsid w:val="2E0E61FB"/>
    <w:rsid w:val="2E541AC1"/>
    <w:rsid w:val="2F0937DA"/>
    <w:rsid w:val="2F247EE0"/>
    <w:rsid w:val="2F26671A"/>
    <w:rsid w:val="2F321380"/>
    <w:rsid w:val="2F594E22"/>
    <w:rsid w:val="2F625260"/>
    <w:rsid w:val="2F984ABB"/>
    <w:rsid w:val="2FAC13E7"/>
    <w:rsid w:val="2FF83344"/>
    <w:rsid w:val="2FFC377C"/>
    <w:rsid w:val="302C4451"/>
    <w:rsid w:val="304E56C2"/>
    <w:rsid w:val="304F04BD"/>
    <w:rsid w:val="30561692"/>
    <w:rsid w:val="305F72A1"/>
    <w:rsid w:val="30981887"/>
    <w:rsid w:val="309C5033"/>
    <w:rsid w:val="30AA13BF"/>
    <w:rsid w:val="31195802"/>
    <w:rsid w:val="311B3191"/>
    <w:rsid w:val="312B04A3"/>
    <w:rsid w:val="313D3F12"/>
    <w:rsid w:val="314226C1"/>
    <w:rsid w:val="31445A79"/>
    <w:rsid w:val="315F6CBA"/>
    <w:rsid w:val="317C2312"/>
    <w:rsid w:val="31926D16"/>
    <w:rsid w:val="31F04C47"/>
    <w:rsid w:val="31FD5DFC"/>
    <w:rsid w:val="32067732"/>
    <w:rsid w:val="320C229D"/>
    <w:rsid w:val="32180D23"/>
    <w:rsid w:val="321823F1"/>
    <w:rsid w:val="32345CE7"/>
    <w:rsid w:val="324E226E"/>
    <w:rsid w:val="326866F3"/>
    <w:rsid w:val="32AE2E13"/>
    <w:rsid w:val="32B5074C"/>
    <w:rsid w:val="32C50EEA"/>
    <w:rsid w:val="32CD48C3"/>
    <w:rsid w:val="32D4454C"/>
    <w:rsid w:val="32E37D82"/>
    <w:rsid w:val="32EF401F"/>
    <w:rsid w:val="32F159B3"/>
    <w:rsid w:val="32F17455"/>
    <w:rsid w:val="32F341BB"/>
    <w:rsid w:val="33434A04"/>
    <w:rsid w:val="334713E7"/>
    <w:rsid w:val="335C0F0C"/>
    <w:rsid w:val="33756B09"/>
    <w:rsid w:val="33A54E0A"/>
    <w:rsid w:val="33B736AC"/>
    <w:rsid w:val="33BE1E88"/>
    <w:rsid w:val="33CF62A1"/>
    <w:rsid w:val="33EC4C1E"/>
    <w:rsid w:val="33F915D7"/>
    <w:rsid w:val="34182A31"/>
    <w:rsid w:val="344A5CAF"/>
    <w:rsid w:val="34627E84"/>
    <w:rsid w:val="34761B3D"/>
    <w:rsid w:val="34841C68"/>
    <w:rsid w:val="34BC1386"/>
    <w:rsid w:val="34ED2EF3"/>
    <w:rsid w:val="34FB6280"/>
    <w:rsid w:val="34FD1109"/>
    <w:rsid w:val="34FE079E"/>
    <w:rsid w:val="350B23CB"/>
    <w:rsid w:val="357E53E8"/>
    <w:rsid w:val="358D30D4"/>
    <w:rsid w:val="35D229DC"/>
    <w:rsid w:val="35ED1B36"/>
    <w:rsid w:val="360A0C7C"/>
    <w:rsid w:val="360E3D96"/>
    <w:rsid w:val="362054F2"/>
    <w:rsid w:val="36451F87"/>
    <w:rsid w:val="365B749F"/>
    <w:rsid w:val="366B66AC"/>
    <w:rsid w:val="36722BC2"/>
    <w:rsid w:val="368B2550"/>
    <w:rsid w:val="369F5F8F"/>
    <w:rsid w:val="36A1205A"/>
    <w:rsid w:val="36A46172"/>
    <w:rsid w:val="370666E5"/>
    <w:rsid w:val="370C0A0E"/>
    <w:rsid w:val="37340190"/>
    <w:rsid w:val="37AA276E"/>
    <w:rsid w:val="37AB754F"/>
    <w:rsid w:val="37D9443C"/>
    <w:rsid w:val="37EA4E86"/>
    <w:rsid w:val="37F87C2E"/>
    <w:rsid w:val="37FD57E2"/>
    <w:rsid w:val="38066828"/>
    <w:rsid w:val="38296B23"/>
    <w:rsid w:val="384B2F4A"/>
    <w:rsid w:val="384D094D"/>
    <w:rsid w:val="385F1A9D"/>
    <w:rsid w:val="387A597F"/>
    <w:rsid w:val="389712F2"/>
    <w:rsid w:val="38AA67E2"/>
    <w:rsid w:val="38F765B9"/>
    <w:rsid w:val="39246DF6"/>
    <w:rsid w:val="39407ACE"/>
    <w:rsid w:val="39534A91"/>
    <w:rsid w:val="39554C54"/>
    <w:rsid w:val="397D7010"/>
    <w:rsid w:val="398630C2"/>
    <w:rsid w:val="398F362B"/>
    <w:rsid w:val="39A03524"/>
    <w:rsid w:val="39A67C5D"/>
    <w:rsid w:val="39B13AE1"/>
    <w:rsid w:val="39D234C6"/>
    <w:rsid w:val="39E712C8"/>
    <w:rsid w:val="39E901AB"/>
    <w:rsid w:val="3A7433E8"/>
    <w:rsid w:val="3A8D3267"/>
    <w:rsid w:val="3A9F7665"/>
    <w:rsid w:val="3AA70656"/>
    <w:rsid w:val="3ACF2415"/>
    <w:rsid w:val="3AD30754"/>
    <w:rsid w:val="3AD31A4B"/>
    <w:rsid w:val="3B0C6073"/>
    <w:rsid w:val="3B3E6939"/>
    <w:rsid w:val="3B4F12B2"/>
    <w:rsid w:val="3B730A2C"/>
    <w:rsid w:val="3B7837AF"/>
    <w:rsid w:val="3C0A04BB"/>
    <w:rsid w:val="3C2446F4"/>
    <w:rsid w:val="3C454849"/>
    <w:rsid w:val="3C7057AE"/>
    <w:rsid w:val="3CA97F92"/>
    <w:rsid w:val="3CBA599F"/>
    <w:rsid w:val="3CC048B2"/>
    <w:rsid w:val="3CC1723B"/>
    <w:rsid w:val="3CD1342D"/>
    <w:rsid w:val="3CEA1C78"/>
    <w:rsid w:val="3D1D5328"/>
    <w:rsid w:val="3D23088E"/>
    <w:rsid w:val="3D4B442E"/>
    <w:rsid w:val="3D7907BE"/>
    <w:rsid w:val="3DA24497"/>
    <w:rsid w:val="3DC5641D"/>
    <w:rsid w:val="3DC70F93"/>
    <w:rsid w:val="3DD17A7C"/>
    <w:rsid w:val="3E0E1F9C"/>
    <w:rsid w:val="3E142E2E"/>
    <w:rsid w:val="3E3726C1"/>
    <w:rsid w:val="3E8C5169"/>
    <w:rsid w:val="3EAE22E1"/>
    <w:rsid w:val="3EC7628C"/>
    <w:rsid w:val="3EED0117"/>
    <w:rsid w:val="3F0D073D"/>
    <w:rsid w:val="3F2F1F63"/>
    <w:rsid w:val="3F7A7626"/>
    <w:rsid w:val="3F991378"/>
    <w:rsid w:val="3FA06B80"/>
    <w:rsid w:val="3FA46EF8"/>
    <w:rsid w:val="3FD85AF1"/>
    <w:rsid w:val="3FF2737B"/>
    <w:rsid w:val="400B1083"/>
    <w:rsid w:val="4056577C"/>
    <w:rsid w:val="407D2731"/>
    <w:rsid w:val="409B2948"/>
    <w:rsid w:val="40AE46EC"/>
    <w:rsid w:val="40BE6772"/>
    <w:rsid w:val="40C07A50"/>
    <w:rsid w:val="40CD2F82"/>
    <w:rsid w:val="40DD71E1"/>
    <w:rsid w:val="41175DC8"/>
    <w:rsid w:val="41303C39"/>
    <w:rsid w:val="414A1C7F"/>
    <w:rsid w:val="414F74CB"/>
    <w:rsid w:val="415743F1"/>
    <w:rsid w:val="415B6654"/>
    <w:rsid w:val="417C2EE6"/>
    <w:rsid w:val="419851FE"/>
    <w:rsid w:val="41D301C3"/>
    <w:rsid w:val="41D623AF"/>
    <w:rsid w:val="41EA621C"/>
    <w:rsid w:val="422F49B3"/>
    <w:rsid w:val="42543ED4"/>
    <w:rsid w:val="42802614"/>
    <w:rsid w:val="42B01704"/>
    <w:rsid w:val="42CC4106"/>
    <w:rsid w:val="42E52F57"/>
    <w:rsid w:val="42FF266D"/>
    <w:rsid w:val="4304258B"/>
    <w:rsid w:val="431F1AE3"/>
    <w:rsid w:val="433858A5"/>
    <w:rsid w:val="436A278D"/>
    <w:rsid w:val="43807F34"/>
    <w:rsid w:val="438753A5"/>
    <w:rsid w:val="438F7473"/>
    <w:rsid w:val="43920E07"/>
    <w:rsid w:val="43951B04"/>
    <w:rsid w:val="440F4E75"/>
    <w:rsid w:val="441A471B"/>
    <w:rsid w:val="442224E9"/>
    <w:rsid w:val="443E1277"/>
    <w:rsid w:val="44462D25"/>
    <w:rsid w:val="445A3C5A"/>
    <w:rsid w:val="445F4958"/>
    <w:rsid w:val="44984355"/>
    <w:rsid w:val="44A8226D"/>
    <w:rsid w:val="44BE7D6E"/>
    <w:rsid w:val="44C95FE0"/>
    <w:rsid w:val="44CE4584"/>
    <w:rsid w:val="4536232B"/>
    <w:rsid w:val="453E7EB9"/>
    <w:rsid w:val="456A0321"/>
    <w:rsid w:val="45A76377"/>
    <w:rsid w:val="45F462D2"/>
    <w:rsid w:val="4601483F"/>
    <w:rsid w:val="46284763"/>
    <w:rsid w:val="463A3840"/>
    <w:rsid w:val="46635BAE"/>
    <w:rsid w:val="46760020"/>
    <w:rsid w:val="46A7659A"/>
    <w:rsid w:val="46AC6B34"/>
    <w:rsid w:val="46BF36A7"/>
    <w:rsid w:val="46D3764A"/>
    <w:rsid w:val="46EB71B0"/>
    <w:rsid w:val="4703701B"/>
    <w:rsid w:val="472C5F7B"/>
    <w:rsid w:val="47365708"/>
    <w:rsid w:val="475C1E27"/>
    <w:rsid w:val="47630D4C"/>
    <w:rsid w:val="476A5FE9"/>
    <w:rsid w:val="477C4555"/>
    <w:rsid w:val="47E13D5A"/>
    <w:rsid w:val="47E5625F"/>
    <w:rsid w:val="4806619D"/>
    <w:rsid w:val="481D0D2F"/>
    <w:rsid w:val="48B01E09"/>
    <w:rsid w:val="48BC727C"/>
    <w:rsid w:val="48BD526E"/>
    <w:rsid w:val="48E31374"/>
    <w:rsid w:val="48E6598A"/>
    <w:rsid w:val="49001E86"/>
    <w:rsid w:val="490425B6"/>
    <w:rsid w:val="49331085"/>
    <w:rsid w:val="49582B0C"/>
    <w:rsid w:val="496D50BB"/>
    <w:rsid w:val="49792AAE"/>
    <w:rsid w:val="499A6A20"/>
    <w:rsid w:val="49D14C7B"/>
    <w:rsid w:val="49F15A8C"/>
    <w:rsid w:val="49F64E88"/>
    <w:rsid w:val="49FE3026"/>
    <w:rsid w:val="4AAA4FFD"/>
    <w:rsid w:val="4AB30EDE"/>
    <w:rsid w:val="4AFD665D"/>
    <w:rsid w:val="4B341F77"/>
    <w:rsid w:val="4B3B02A6"/>
    <w:rsid w:val="4B7D207A"/>
    <w:rsid w:val="4B862A9B"/>
    <w:rsid w:val="4B875EB6"/>
    <w:rsid w:val="4BAD3A55"/>
    <w:rsid w:val="4C0A3F59"/>
    <w:rsid w:val="4C1B4594"/>
    <w:rsid w:val="4C445B68"/>
    <w:rsid w:val="4C514451"/>
    <w:rsid w:val="4C744641"/>
    <w:rsid w:val="4C7516C4"/>
    <w:rsid w:val="4C7D1FFD"/>
    <w:rsid w:val="4CBA488D"/>
    <w:rsid w:val="4CCC6922"/>
    <w:rsid w:val="4CF5763E"/>
    <w:rsid w:val="4D092606"/>
    <w:rsid w:val="4D195345"/>
    <w:rsid w:val="4D1E7969"/>
    <w:rsid w:val="4D3C6BCF"/>
    <w:rsid w:val="4D3F7CBF"/>
    <w:rsid w:val="4DB24970"/>
    <w:rsid w:val="4DBC4597"/>
    <w:rsid w:val="4DC46301"/>
    <w:rsid w:val="4DDB3891"/>
    <w:rsid w:val="4DFE3CC8"/>
    <w:rsid w:val="4E103778"/>
    <w:rsid w:val="4E4B6B58"/>
    <w:rsid w:val="4E4E418E"/>
    <w:rsid w:val="4E5B5334"/>
    <w:rsid w:val="4E7E7B16"/>
    <w:rsid w:val="4ECC0982"/>
    <w:rsid w:val="4F005933"/>
    <w:rsid w:val="4F0112CB"/>
    <w:rsid w:val="4F0A7123"/>
    <w:rsid w:val="4F2A3762"/>
    <w:rsid w:val="4F2E0DB1"/>
    <w:rsid w:val="4F2F47B8"/>
    <w:rsid w:val="4FA72089"/>
    <w:rsid w:val="4FB414A6"/>
    <w:rsid w:val="4FD41C1D"/>
    <w:rsid w:val="4FED2322"/>
    <w:rsid w:val="4FFB3379"/>
    <w:rsid w:val="4FFD53C6"/>
    <w:rsid w:val="500469CD"/>
    <w:rsid w:val="501E559B"/>
    <w:rsid w:val="503D1B16"/>
    <w:rsid w:val="508E47DC"/>
    <w:rsid w:val="509C4887"/>
    <w:rsid w:val="50AE3F83"/>
    <w:rsid w:val="50BD3CA9"/>
    <w:rsid w:val="50CF7A4B"/>
    <w:rsid w:val="50DE203C"/>
    <w:rsid w:val="51191F78"/>
    <w:rsid w:val="5137564E"/>
    <w:rsid w:val="517A3598"/>
    <w:rsid w:val="519F488C"/>
    <w:rsid w:val="51A22632"/>
    <w:rsid w:val="51A344DD"/>
    <w:rsid w:val="51C039B5"/>
    <w:rsid w:val="51D034FB"/>
    <w:rsid w:val="51DF65E0"/>
    <w:rsid w:val="520923F4"/>
    <w:rsid w:val="520E53F4"/>
    <w:rsid w:val="52152B5B"/>
    <w:rsid w:val="52877296"/>
    <w:rsid w:val="529E7DC9"/>
    <w:rsid w:val="52A1157D"/>
    <w:rsid w:val="532452B2"/>
    <w:rsid w:val="535B4CF0"/>
    <w:rsid w:val="535C37B0"/>
    <w:rsid w:val="537F33A6"/>
    <w:rsid w:val="53B901E3"/>
    <w:rsid w:val="53C2377C"/>
    <w:rsid w:val="53C302D3"/>
    <w:rsid w:val="53DB2DA3"/>
    <w:rsid w:val="53E565D0"/>
    <w:rsid w:val="5400093A"/>
    <w:rsid w:val="543B09A3"/>
    <w:rsid w:val="543E150A"/>
    <w:rsid w:val="546070C5"/>
    <w:rsid w:val="546C3639"/>
    <w:rsid w:val="547747B8"/>
    <w:rsid w:val="547F24EC"/>
    <w:rsid w:val="54917748"/>
    <w:rsid w:val="54BC0B6E"/>
    <w:rsid w:val="54BE0441"/>
    <w:rsid w:val="54CC4D3B"/>
    <w:rsid w:val="54D74BB1"/>
    <w:rsid w:val="54E83AE5"/>
    <w:rsid w:val="55281303"/>
    <w:rsid w:val="55411377"/>
    <w:rsid w:val="55992746"/>
    <w:rsid w:val="55BD2FB9"/>
    <w:rsid w:val="55C36646"/>
    <w:rsid w:val="56000D86"/>
    <w:rsid w:val="56032FCC"/>
    <w:rsid w:val="560C1370"/>
    <w:rsid w:val="561B6CD2"/>
    <w:rsid w:val="56381210"/>
    <w:rsid w:val="56517CFF"/>
    <w:rsid w:val="56586CC3"/>
    <w:rsid w:val="569741D9"/>
    <w:rsid w:val="569B59A6"/>
    <w:rsid w:val="57132F95"/>
    <w:rsid w:val="571B7125"/>
    <w:rsid w:val="572D56F6"/>
    <w:rsid w:val="574C0CB2"/>
    <w:rsid w:val="57613E01"/>
    <w:rsid w:val="5766142B"/>
    <w:rsid w:val="576C2390"/>
    <w:rsid w:val="577B022E"/>
    <w:rsid w:val="57871E36"/>
    <w:rsid w:val="57A871E0"/>
    <w:rsid w:val="57FC5B65"/>
    <w:rsid w:val="581642B0"/>
    <w:rsid w:val="58295F57"/>
    <w:rsid w:val="58417EE3"/>
    <w:rsid w:val="58430210"/>
    <w:rsid w:val="58576E98"/>
    <w:rsid w:val="5863214C"/>
    <w:rsid w:val="58633163"/>
    <w:rsid w:val="58717162"/>
    <w:rsid w:val="58820460"/>
    <w:rsid w:val="58AB2E19"/>
    <w:rsid w:val="58CF7E85"/>
    <w:rsid w:val="58D61558"/>
    <w:rsid w:val="58E4048C"/>
    <w:rsid w:val="594346F9"/>
    <w:rsid w:val="5969657D"/>
    <w:rsid w:val="598C7796"/>
    <w:rsid w:val="59E521F1"/>
    <w:rsid w:val="5A097EEF"/>
    <w:rsid w:val="5A245110"/>
    <w:rsid w:val="5A3C442D"/>
    <w:rsid w:val="5A400973"/>
    <w:rsid w:val="5AA549B2"/>
    <w:rsid w:val="5B1757C5"/>
    <w:rsid w:val="5B1A683E"/>
    <w:rsid w:val="5B3F75F2"/>
    <w:rsid w:val="5B5104F9"/>
    <w:rsid w:val="5B586E09"/>
    <w:rsid w:val="5B7C520A"/>
    <w:rsid w:val="5BA1467C"/>
    <w:rsid w:val="5BA876C4"/>
    <w:rsid w:val="5BAC4E3A"/>
    <w:rsid w:val="5C362AF4"/>
    <w:rsid w:val="5C3E4720"/>
    <w:rsid w:val="5C526BB4"/>
    <w:rsid w:val="5C6315A2"/>
    <w:rsid w:val="5C76520C"/>
    <w:rsid w:val="5C8B210A"/>
    <w:rsid w:val="5C8F58E3"/>
    <w:rsid w:val="5CC85BD5"/>
    <w:rsid w:val="5D0B3440"/>
    <w:rsid w:val="5D0D3577"/>
    <w:rsid w:val="5D116C36"/>
    <w:rsid w:val="5D1D34C5"/>
    <w:rsid w:val="5D2D2328"/>
    <w:rsid w:val="5D744F00"/>
    <w:rsid w:val="5DB51910"/>
    <w:rsid w:val="5DF05153"/>
    <w:rsid w:val="5E024ABC"/>
    <w:rsid w:val="5E074110"/>
    <w:rsid w:val="5E273115"/>
    <w:rsid w:val="5E4E345F"/>
    <w:rsid w:val="5E995B18"/>
    <w:rsid w:val="5EC52109"/>
    <w:rsid w:val="5EDC6635"/>
    <w:rsid w:val="5EDF242A"/>
    <w:rsid w:val="5EEC4CC9"/>
    <w:rsid w:val="5EF900C4"/>
    <w:rsid w:val="5F1C5CE5"/>
    <w:rsid w:val="5F387DD8"/>
    <w:rsid w:val="5F397432"/>
    <w:rsid w:val="5F610F9A"/>
    <w:rsid w:val="5F726F28"/>
    <w:rsid w:val="5F85606A"/>
    <w:rsid w:val="5F8959CB"/>
    <w:rsid w:val="5F8E793A"/>
    <w:rsid w:val="5FA013F2"/>
    <w:rsid w:val="5FA61478"/>
    <w:rsid w:val="601F6472"/>
    <w:rsid w:val="60442474"/>
    <w:rsid w:val="609675DE"/>
    <w:rsid w:val="60B6517A"/>
    <w:rsid w:val="60CE3A3D"/>
    <w:rsid w:val="61285BF6"/>
    <w:rsid w:val="613333DF"/>
    <w:rsid w:val="61B42655"/>
    <w:rsid w:val="61E06A70"/>
    <w:rsid w:val="61EB04E9"/>
    <w:rsid w:val="61F20419"/>
    <w:rsid w:val="61F979E1"/>
    <w:rsid w:val="621921AE"/>
    <w:rsid w:val="622F4266"/>
    <w:rsid w:val="62391CA8"/>
    <w:rsid w:val="624307A2"/>
    <w:rsid w:val="62462A72"/>
    <w:rsid w:val="627149DF"/>
    <w:rsid w:val="62943DF9"/>
    <w:rsid w:val="62A80ABF"/>
    <w:rsid w:val="62AD7B87"/>
    <w:rsid w:val="63030F14"/>
    <w:rsid w:val="63AF737D"/>
    <w:rsid w:val="63B47717"/>
    <w:rsid w:val="63C97936"/>
    <w:rsid w:val="6453132F"/>
    <w:rsid w:val="646809AF"/>
    <w:rsid w:val="648C7C81"/>
    <w:rsid w:val="649267F8"/>
    <w:rsid w:val="64A036C7"/>
    <w:rsid w:val="64A54E2C"/>
    <w:rsid w:val="64B325C1"/>
    <w:rsid w:val="64D91523"/>
    <w:rsid w:val="64EC5F80"/>
    <w:rsid w:val="651D1636"/>
    <w:rsid w:val="653579A7"/>
    <w:rsid w:val="65570E63"/>
    <w:rsid w:val="655F0A16"/>
    <w:rsid w:val="65A12770"/>
    <w:rsid w:val="65B66D4A"/>
    <w:rsid w:val="65BC7A95"/>
    <w:rsid w:val="65C61470"/>
    <w:rsid w:val="65F2379D"/>
    <w:rsid w:val="66035B03"/>
    <w:rsid w:val="661462F7"/>
    <w:rsid w:val="66945D72"/>
    <w:rsid w:val="669D7161"/>
    <w:rsid w:val="66E30E48"/>
    <w:rsid w:val="67010AE3"/>
    <w:rsid w:val="67322B5A"/>
    <w:rsid w:val="6743579E"/>
    <w:rsid w:val="67736DBD"/>
    <w:rsid w:val="67845750"/>
    <w:rsid w:val="679A0D4B"/>
    <w:rsid w:val="67C373D8"/>
    <w:rsid w:val="67E547C2"/>
    <w:rsid w:val="67FA09D2"/>
    <w:rsid w:val="68002120"/>
    <w:rsid w:val="6805412E"/>
    <w:rsid w:val="684E1C87"/>
    <w:rsid w:val="6889740D"/>
    <w:rsid w:val="68991D16"/>
    <w:rsid w:val="68A9758A"/>
    <w:rsid w:val="68AC1B8E"/>
    <w:rsid w:val="68C228C4"/>
    <w:rsid w:val="68DE3EA4"/>
    <w:rsid w:val="68E814B4"/>
    <w:rsid w:val="68F41C89"/>
    <w:rsid w:val="68F91EAB"/>
    <w:rsid w:val="690472D7"/>
    <w:rsid w:val="69154D60"/>
    <w:rsid w:val="6925183E"/>
    <w:rsid w:val="694A6DBA"/>
    <w:rsid w:val="69681098"/>
    <w:rsid w:val="69A77C7A"/>
    <w:rsid w:val="69B2736C"/>
    <w:rsid w:val="69B779BF"/>
    <w:rsid w:val="69CD7FDE"/>
    <w:rsid w:val="6A283E9E"/>
    <w:rsid w:val="6A445E94"/>
    <w:rsid w:val="6A8A5C57"/>
    <w:rsid w:val="6A946EB4"/>
    <w:rsid w:val="6AC413F1"/>
    <w:rsid w:val="6AC4770F"/>
    <w:rsid w:val="6AD54FAA"/>
    <w:rsid w:val="6AE2354A"/>
    <w:rsid w:val="6AF8649D"/>
    <w:rsid w:val="6B087B03"/>
    <w:rsid w:val="6B22477C"/>
    <w:rsid w:val="6B320A31"/>
    <w:rsid w:val="6B4213C6"/>
    <w:rsid w:val="6B491DA4"/>
    <w:rsid w:val="6B5238CF"/>
    <w:rsid w:val="6B5D28FD"/>
    <w:rsid w:val="6B5E4D2E"/>
    <w:rsid w:val="6B644F5B"/>
    <w:rsid w:val="6BA00C00"/>
    <w:rsid w:val="6BBB3A7A"/>
    <w:rsid w:val="6BE107A0"/>
    <w:rsid w:val="6BE116D3"/>
    <w:rsid w:val="6C060222"/>
    <w:rsid w:val="6C2A7865"/>
    <w:rsid w:val="6C546AAD"/>
    <w:rsid w:val="6C650E62"/>
    <w:rsid w:val="6C6A54FD"/>
    <w:rsid w:val="6C876E11"/>
    <w:rsid w:val="6C9A51E4"/>
    <w:rsid w:val="6CA32FAD"/>
    <w:rsid w:val="6CCE1191"/>
    <w:rsid w:val="6CDC3E80"/>
    <w:rsid w:val="6CF6746A"/>
    <w:rsid w:val="6CFF236F"/>
    <w:rsid w:val="6D06020D"/>
    <w:rsid w:val="6D197447"/>
    <w:rsid w:val="6D1A63B8"/>
    <w:rsid w:val="6D2025AE"/>
    <w:rsid w:val="6D2D03F9"/>
    <w:rsid w:val="6DB70CB4"/>
    <w:rsid w:val="6DCE6BB8"/>
    <w:rsid w:val="6DCF0C6A"/>
    <w:rsid w:val="6E094352"/>
    <w:rsid w:val="6E193A6B"/>
    <w:rsid w:val="6E2308FC"/>
    <w:rsid w:val="6E4C3F88"/>
    <w:rsid w:val="6E5A0B48"/>
    <w:rsid w:val="6E6465C0"/>
    <w:rsid w:val="6E887771"/>
    <w:rsid w:val="6E902048"/>
    <w:rsid w:val="6EB94662"/>
    <w:rsid w:val="6F090F32"/>
    <w:rsid w:val="6F1112A2"/>
    <w:rsid w:val="6F1F2C31"/>
    <w:rsid w:val="6F2E2E8C"/>
    <w:rsid w:val="6F5C1F93"/>
    <w:rsid w:val="6F6E6F11"/>
    <w:rsid w:val="6F815117"/>
    <w:rsid w:val="6FDA4198"/>
    <w:rsid w:val="6FE47FA9"/>
    <w:rsid w:val="701A417C"/>
    <w:rsid w:val="702A2DF0"/>
    <w:rsid w:val="702E15FB"/>
    <w:rsid w:val="704A5F33"/>
    <w:rsid w:val="708F3F4F"/>
    <w:rsid w:val="70BF3B57"/>
    <w:rsid w:val="70C0607F"/>
    <w:rsid w:val="70C20045"/>
    <w:rsid w:val="70DB2F4E"/>
    <w:rsid w:val="70EA22AC"/>
    <w:rsid w:val="71533BA1"/>
    <w:rsid w:val="719E503F"/>
    <w:rsid w:val="71AC3D91"/>
    <w:rsid w:val="71E131E3"/>
    <w:rsid w:val="71E65261"/>
    <w:rsid w:val="71FF0740"/>
    <w:rsid w:val="71FF0BB1"/>
    <w:rsid w:val="72243A1F"/>
    <w:rsid w:val="72251769"/>
    <w:rsid w:val="72565D4C"/>
    <w:rsid w:val="7269085E"/>
    <w:rsid w:val="72E65576"/>
    <w:rsid w:val="72EA2D45"/>
    <w:rsid w:val="73013FCC"/>
    <w:rsid w:val="731D6915"/>
    <w:rsid w:val="73245D0B"/>
    <w:rsid w:val="73547991"/>
    <w:rsid w:val="73567527"/>
    <w:rsid w:val="736938A6"/>
    <w:rsid w:val="73885FE5"/>
    <w:rsid w:val="739169F9"/>
    <w:rsid w:val="73C27185"/>
    <w:rsid w:val="73C92F2B"/>
    <w:rsid w:val="73DC6827"/>
    <w:rsid w:val="73F9016C"/>
    <w:rsid w:val="74354563"/>
    <w:rsid w:val="743F4CBA"/>
    <w:rsid w:val="74714A52"/>
    <w:rsid w:val="747D5171"/>
    <w:rsid w:val="74804B76"/>
    <w:rsid w:val="749E119A"/>
    <w:rsid w:val="74D33EF6"/>
    <w:rsid w:val="74D81279"/>
    <w:rsid w:val="74E54A72"/>
    <w:rsid w:val="74E65661"/>
    <w:rsid w:val="74FA2596"/>
    <w:rsid w:val="759202CF"/>
    <w:rsid w:val="75AF542C"/>
    <w:rsid w:val="75AF6932"/>
    <w:rsid w:val="75C27030"/>
    <w:rsid w:val="75D94171"/>
    <w:rsid w:val="760A4115"/>
    <w:rsid w:val="760A78A6"/>
    <w:rsid w:val="76261A59"/>
    <w:rsid w:val="76583E2C"/>
    <w:rsid w:val="765D6E84"/>
    <w:rsid w:val="765F19CB"/>
    <w:rsid w:val="76680556"/>
    <w:rsid w:val="766A5C57"/>
    <w:rsid w:val="767F334C"/>
    <w:rsid w:val="76826D6C"/>
    <w:rsid w:val="769D4442"/>
    <w:rsid w:val="76AF515A"/>
    <w:rsid w:val="76B61F68"/>
    <w:rsid w:val="76B76133"/>
    <w:rsid w:val="76F34015"/>
    <w:rsid w:val="770E6D41"/>
    <w:rsid w:val="773D64AD"/>
    <w:rsid w:val="77703766"/>
    <w:rsid w:val="777703EE"/>
    <w:rsid w:val="77782520"/>
    <w:rsid w:val="77DE2372"/>
    <w:rsid w:val="77F40F58"/>
    <w:rsid w:val="78203AD8"/>
    <w:rsid w:val="783572C6"/>
    <w:rsid w:val="783952E3"/>
    <w:rsid w:val="7866536A"/>
    <w:rsid w:val="78AE1171"/>
    <w:rsid w:val="78C83AD2"/>
    <w:rsid w:val="78E02B59"/>
    <w:rsid w:val="78F54E11"/>
    <w:rsid w:val="78FB5D56"/>
    <w:rsid w:val="790A1248"/>
    <w:rsid w:val="79124EFB"/>
    <w:rsid w:val="79731B47"/>
    <w:rsid w:val="798A5C60"/>
    <w:rsid w:val="79A07515"/>
    <w:rsid w:val="79A73163"/>
    <w:rsid w:val="79AB36F9"/>
    <w:rsid w:val="79EF06E6"/>
    <w:rsid w:val="79F67A78"/>
    <w:rsid w:val="7A00729F"/>
    <w:rsid w:val="7A402138"/>
    <w:rsid w:val="7A6A3912"/>
    <w:rsid w:val="7A80140C"/>
    <w:rsid w:val="7A9B143E"/>
    <w:rsid w:val="7AC92D25"/>
    <w:rsid w:val="7ACA0769"/>
    <w:rsid w:val="7ACA5466"/>
    <w:rsid w:val="7ACC00E9"/>
    <w:rsid w:val="7AD45C10"/>
    <w:rsid w:val="7AD77D5C"/>
    <w:rsid w:val="7B0A6A9B"/>
    <w:rsid w:val="7B0D2818"/>
    <w:rsid w:val="7B3A4297"/>
    <w:rsid w:val="7B4B4A02"/>
    <w:rsid w:val="7B5B740E"/>
    <w:rsid w:val="7B6F3183"/>
    <w:rsid w:val="7B994E29"/>
    <w:rsid w:val="7BA46D42"/>
    <w:rsid w:val="7BAE47D2"/>
    <w:rsid w:val="7BBB4466"/>
    <w:rsid w:val="7BE9684C"/>
    <w:rsid w:val="7C60651C"/>
    <w:rsid w:val="7C6A3A8E"/>
    <w:rsid w:val="7CB82DCD"/>
    <w:rsid w:val="7CB91FF2"/>
    <w:rsid w:val="7CE57657"/>
    <w:rsid w:val="7CE73119"/>
    <w:rsid w:val="7D5F7AAB"/>
    <w:rsid w:val="7D7A0B1F"/>
    <w:rsid w:val="7DA9460F"/>
    <w:rsid w:val="7DC439E7"/>
    <w:rsid w:val="7DDB73E2"/>
    <w:rsid w:val="7DE03DE0"/>
    <w:rsid w:val="7DE65FBE"/>
    <w:rsid w:val="7DFF6F70"/>
    <w:rsid w:val="7E055DC5"/>
    <w:rsid w:val="7E2461C2"/>
    <w:rsid w:val="7E3B2283"/>
    <w:rsid w:val="7E3C4437"/>
    <w:rsid w:val="7E5200CD"/>
    <w:rsid w:val="7E732B54"/>
    <w:rsid w:val="7E826950"/>
    <w:rsid w:val="7E841B61"/>
    <w:rsid w:val="7E9064E4"/>
    <w:rsid w:val="7E931A72"/>
    <w:rsid w:val="7EAC13D6"/>
    <w:rsid w:val="7EDF55E8"/>
    <w:rsid w:val="7EF769A9"/>
    <w:rsid w:val="7EFD0667"/>
    <w:rsid w:val="7F190ADC"/>
    <w:rsid w:val="7F564B23"/>
    <w:rsid w:val="7F7405C7"/>
    <w:rsid w:val="7F8960D1"/>
    <w:rsid w:val="7F9B1FC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qFormat="1" w:uiPriority="99" w:semiHidden="0" w:name="Body Text First Indent" w:locked="1"/>
    <w:lsdException w:uiPriority="99" w:name="Body Text First Indent 2" w:locked="1"/>
    <w:lsdException w:uiPriority="99" w:name="Note Heading" w:locked="1"/>
    <w:lsdException w:qFormat="1" w:unhideWhenUsed="0" w:uiPriority="99" w:semiHidden="0" w:name="Body Text 2"/>
    <w:lsdException w:uiPriority="99" w:name="Body Text 3" w:locked="1"/>
    <w:lsdException w:qFormat="1" w:unhideWhenUsed="0" w:uiPriority="99" w:semiHidden="0" w:name="Body Text Indent 2"/>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99"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qFormat="1" w:unhideWhenUsed="0" w:uiPriority="99" w:semiHidden="0" w:name="HTML Cite"/>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34"/>
    <w:qFormat/>
    <w:uiPriority w:val="99"/>
    <w:pPr>
      <w:keepNext/>
      <w:keepLines/>
      <w:spacing w:line="576" w:lineRule="auto"/>
      <w:jc w:val="center"/>
      <w:outlineLvl w:val="0"/>
    </w:pPr>
    <w:rPr>
      <w:b/>
      <w:bCs/>
      <w:kern w:val="44"/>
      <w:sz w:val="44"/>
      <w:szCs w:val="44"/>
    </w:rPr>
  </w:style>
  <w:style w:type="paragraph" w:styleId="5">
    <w:name w:val="heading 2"/>
    <w:basedOn w:val="1"/>
    <w:next w:val="6"/>
    <w:link w:val="35"/>
    <w:qFormat/>
    <w:uiPriority w:val="99"/>
    <w:pPr>
      <w:keepNext/>
      <w:keepLines/>
      <w:spacing w:line="413" w:lineRule="auto"/>
      <w:jc w:val="center"/>
      <w:outlineLvl w:val="1"/>
    </w:pPr>
    <w:rPr>
      <w:rFonts w:ascii="Cambria" w:hAnsi="Cambria"/>
      <w:b/>
      <w:bCs/>
      <w:kern w:val="0"/>
      <w:sz w:val="32"/>
      <w:szCs w:val="32"/>
    </w:rPr>
  </w:style>
  <w:style w:type="paragraph" w:styleId="7">
    <w:name w:val="heading 3"/>
    <w:basedOn w:val="1"/>
    <w:next w:val="1"/>
    <w:link w:val="36"/>
    <w:qFormat/>
    <w:uiPriority w:val="99"/>
    <w:pPr>
      <w:keepNext/>
      <w:keepLines/>
      <w:spacing w:line="413" w:lineRule="auto"/>
      <w:outlineLvl w:val="2"/>
    </w:pPr>
    <w:rPr>
      <w:b/>
      <w:bCs/>
      <w:kern w:val="0"/>
      <w:sz w:val="32"/>
      <w:szCs w:val="32"/>
    </w:rPr>
  </w:style>
  <w:style w:type="paragraph" w:styleId="8">
    <w:name w:val="heading 4"/>
    <w:basedOn w:val="1"/>
    <w:next w:val="6"/>
    <w:link w:val="37"/>
    <w:qFormat/>
    <w:locked/>
    <w:uiPriority w:val="99"/>
    <w:pPr>
      <w:keepNext/>
      <w:keepLines/>
      <w:jc w:val="left"/>
      <w:outlineLvl w:val="3"/>
    </w:pPr>
    <w:rPr>
      <w:rFonts w:ascii="Arial" w:hAnsi="Arial"/>
      <w:b/>
      <w:sz w:val="32"/>
    </w:rPr>
  </w:style>
  <w:style w:type="paragraph" w:styleId="9">
    <w:name w:val="heading 5"/>
    <w:basedOn w:val="1"/>
    <w:next w:val="1"/>
    <w:semiHidden/>
    <w:unhideWhenUsed/>
    <w:qFormat/>
    <w:locked/>
    <w:uiPriority w:val="9"/>
    <w:pPr>
      <w:keepNext/>
      <w:keepLines/>
      <w:spacing w:line="372" w:lineRule="auto"/>
      <w:outlineLvl w:val="4"/>
    </w:pPr>
    <w:rPr>
      <w:b/>
      <w:sz w:val="28"/>
    </w:rPr>
  </w:style>
  <w:style w:type="paragraph" w:styleId="10">
    <w:name w:val="heading 6"/>
    <w:basedOn w:val="1"/>
    <w:next w:val="1"/>
    <w:semiHidden/>
    <w:unhideWhenUsed/>
    <w:qFormat/>
    <w:locked/>
    <w:uiPriority w:val="9"/>
    <w:pPr>
      <w:keepNext/>
      <w:keepLines/>
      <w:spacing w:line="317" w:lineRule="auto"/>
      <w:outlineLvl w:val="5"/>
    </w:pPr>
    <w:rPr>
      <w:rFonts w:ascii="Arial" w:hAnsi="Arial" w:eastAsia="黑体"/>
      <w:b/>
      <w:sz w:val="24"/>
    </w:rPr>
  </w:style>
  <w:style w:type="paragraph" w:styleId="11">
    <w:name w:val="heading 7"/>
    <w:basedOn w:val="1"/>
    <w:next w:val="1"/>
    <w:semiHidden/>
    <w:unhideWhenUsed/>
    <w:qFormat/>
    <w:locked/>
    <w:uiPriority w:val="9"/>
    <w:pPr>
      <w:keepNext/>
      <w:keepLines/>
      <w:spacing w:line="317" w:lineRule="auto"/>
      <w:outlineLvl w:val="6"/>
    </w:pPr>
    <w:rPr>
      <w:b/>
      <w:sz w:val="24"/>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w:basedOn w:val="3"/>
    <w:unhideWhenUsed/>
    <w:qFormat/>
    <w:locked/>
    <w:uiPriority w:val="99"/>
    <w:pPr>
      <w:spacing w:after="0"/>
      <w:ind w:firstLine="420" w:firstLineChars="100"/>
    </w:pPr>
  </w:style>
  <w:style w:type="paragraph" w:styleId="3">
    <w:name w:val="Body Text"/>
    <w:basedOn w:val="1"/>
    <w:next w:val="1"/>
    <w:link w:val="38"/>
    <w:qFormat/>
    <w:uiPriority w:val="99"/>
    <w:rPr>
      <w:kern w:val="0"/>
      <w:sz w:val="20"/>
      <w:szCs w:val="20"/>
    </w:rPr>
  </w:style>
  <w:style w:type="paragraph" w:styleId="6">
    <w:name w:val="Normal Indent"/>
    <w:basedOn w:val="1"/>
    <w:qFormat/>
    <w:uiPriority w:val="99"/>
    <w:pPr>
      <w:ind w:firstLine="420"/>
    </w:pPr>
    <w:rPr>
      <w:szCs w:val="20"/>
    </w:rPr>
  </w:style>
  <w:style w:type="paragraph" w:styleId="12">
    <w:name w:val="annotation text"/>
    <w:basedOn w:val="1"/>
    <w:link w:val="39"/>
    <w:qFormat/>
    <w:uiPriority w:val="99"/>
    <w:pPr>
      <w:jc w:val="left"/>
    </w:pPr>
    <w:rPr>
      <w:rFonts w:ascii="宋体"/>
      <w:kern w:val="0"/>
      <w:sz w:val="22"/>
    </w:rPr>
  </w:style>
  <w:style w:type="paragraph" w:styleId="13">
    <w:name w:val="Body Text Indent"/>
    <w:basedOn w:val="1"/>
    <w:link w:val="40"/>
    <w:qFormat/>
    <w:uiPriority w:val="99"/>
    <w:pPr>
      <w:ind w:left="420" w:leftChars="200"/>
    </w:pPr>
    <w:rPr>
      <w:kern w:val="0"/>
      <w:sz w:val="20"/>
      <w:szCs w:val="20"/>
    </w:rPr>
  </w:style>
  <w:style w:type="paragraph" w:styleId="14">
    <w:name w:val="toc 3"/>
    <w:basedOn w:val="1"/>
    <w:next w:val="1"/>
    <w:qFormat/>
    <w:uiPriority w:val="99"/>
    <w:pPr>
      <w:ind w:left="840" w:leftChars="400"/>
    </w:pPr>
  </w:style>
  <w:style w:type="paragraph" w:styleId="15">
    <w:name w:val="Plain Text"/>
    <w:basedOn w:val="1"/>
    <w:link w:val="41"/>
    <w:qFormat/>
    <w:uiPriority w:val="99"/>
    <w:pPr>
      <w:spacing w:line="324" w:lineRule="auto"/>
    </w:pPr>
    <w:rPr>
      <w:rFonts w:ascii="宋体" w:hAnsi="Courier New"/>
      <w:kern w:val="0"/>
      <w:sz w:val="20"/>
      <w:szCs w:val="21"/>
    </w:rPr>
  </w:style>
  <w:style w:type="paragraph" w:styleId="16">
    <w:name w:val="Body Text Indent 2"/>
    <w:basedOn w:val="1"/>
    <w:link w:val="42"/>
    <w:qFormat/>
    <w:uiPriority w:val="99"/>
    <w:pPr>
      <w:spacing w:after="120" w:line="480" w:lineRule="auto"/>
      <w:ind w:left="420" w:leftChars="200"/>
    </w:pPr>
    <w:rPr>
      <w:kern w:val="0"/>
      <w:sz w:val="20"/>
      <w:szCs w:val="20"/>
    </w:rPr>
  </w:style>
  <w:style w:type="paragraph" w:styleId="17">
    <w:name w:val="Balloon Text"/>
    <w:basedOn w:val="1"/>
    <w:link w:val="43"/>
    <w:qFormat/>
    <w:uiPriority w:val="99"/>
    <w:rPr>
      <w:sz w:val="18"/>
      <w:szCs w:val="18"/>
    </w:rPr>
  </w:style>
  <w:style w:type="paragraph" w:styleId="18">
    <w:name w:val="footer"/>
    <w:basedOn w:val="1"/>
    <w:link w:val="44"/>
    <w:qFormat/>
    <w:uiPriority w:val="99"/>
    <w:pPr>
      <w:tabs>
        <w:tab w:val="center" w:pos="4153"/>
        <w:tab w:val="right" w:pos="8306"/>
      </w:tabs>
      <w:snapToGrid w:val="0"/>
      <w:jc w:val="left"/>
    </w:pPr>
    <w:rPr>
      <w:kern w:val="0"/>
      <w:sz w:val="18"/>
      <w:szCs w:val="18"/>
    </w:rPr>
  </w:style>
  <w:style w:type="paragraph" w:styleId="19">
    <w:name w:val="header"/>
    <w:basedOn w:val="1"/>
    <w:link w:val="45"/>
    <w:qFormat/>
    <w:uiPriority w:val="99"/>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qFormat/>
    <w:uiPriority w:val="99"/>
  </w:style>
  <w:style w:type="paragraph" w:styleId="21">
    <w:name w:val="toc 2"/>
    <w:basedOn w:val="1"/>
    <w:next w:val="1"/>
    <w:qFormat/>
    <w:uiPriority w:val="99"/>
    <w:pPr>
      <w:ind w:left="420" w:leftChars="200"/>
    </w:pPr>
  </w:style>
  <w:style w:type="paragraph" w:styleId="22">
    <w:name w:val="Body Text 2"/>
    <w:basedOn w:val="1"/>
    <w:link w:val="46"/>
    <w:qFormat/>
    <w:uiPriority w:val="99"/>
    <w:pPr>
      <w:jc w:val="center"/>
    </w:pPr>
    <w:rPr>
      <w:kern w:val="0"/>
      <w:sz w:val="20"/>
      <w:szCs w:val="20"/>
    </w:rPr>
  </w:style>
  <w:style w:type="paragraph" w:styleId="2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24">
    <w:name w:val="Title"/>
    <w:basedOn w:val="1"/>
    <w:qFormat/>
    <w:locked/>
    <w:uiPriority w:val="0"/>
    <w:pPr>
      <w:spacing w:before="240" w:after="60"/>
      <w:jc w:val="center"/>
      <w:outlineLvl w:val="0"/>
    </w:pPr>
    <w:rPr>
      <w:rFonts w:ascii="Arial" w:hAnsi="Arial" w:cs="Arial"/>
      <w:b/>
      <w:bCs/>
      <w:sz w:val="32"/>
      <w:szCs w:val="32"/>
    </w:rPr>
  </w:style>
  <w:style w:type="table" w:styleId="26">
    <w:name w:val="Table Grid"/>
    <w:basedOn w:val="2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8">
    <w:name w:val="Strong"/>
    <w:basedOn w:val="27"/>
    <w:qFormat/>
    <w:uiPriority w:val="99"/>
    <w:rPr>
      <w:rFonts w:cs="Times New Roman"/>
      <w:b/>
      <w:sz w:val="24"/>
    </w:rPr>
  </w:style>
  <w:style w:type="character" w:styleId="29">
    <w:name w:val="page number"/>
    <w:basedOn w:val="27"/>
    <w:qFormat/>
    <w:uiPriority w:val="99"/>
    <w:rPr>
      <w:rFonts w:cs="Times New Roman"/>
    </w:rPr>
  </w:style>
  <w:style w:type="character" w:styleId="30">
    <w:name w:val="Emphasis"/>
    <w:qFormat/>
    <w:uiPriority w:val="99"/>
    <w:rPr>
      <w:rFonts w:cs="Times New Roman"/>
      <w:i/>
    </w:rPr>
  </w:style>
  <w:style w:type="character" w:styleId="31">
    <w:name w:val="Hyperlink"/>
    <w:qFormat/>
    <w:uiPriority w:val="99"/>
    <w:rPr>
      <w:rFonts w:cs="Times New Roman"/>
      <w:color w:val="0000FF"/>
      <w:u w:val="single"/>
    </w:rPr>
  </w:style>
  <w:style w:type="character" w:styleId="32">
    <w:name w:val="annotation reference"/>
    <w:qFormat/>
    <w:uiPriority w:val="99"/>
    <w:rPr>
      <w:rFonts w:cs="Times New Roman"/>
      <w:sz w:val="21"/>
    </w:rPr>
  </w:style>
  <w:style w:type="character" w:styleId="33">
    <w:name w:val="HTML Cite"/>
    <w:qFormat/>
    <w:uiPriority w:val="99"/>
    <w:rPr>
      <w:rFonts w:cs="Times New Roman"/>
      <w:sz w:val="24"/>
    </w:rPr>
  </w:style>
  <w:style w:type="character" w:customStyle="1" w:styleId="34">
    <w:name w:val="标题 1 Char"/>
    <w:link w:val="4"/>
    <w:qFormat/>
    <w:locked/>
    <w:uiPriority w:val="99"/>
    <w:rPr>
      <w:rFonts w:ascii="Calibri" w:hAnsi="Calibri"/>
      <w:b/>
      <w:kern w:val="44"/>
      <w:sz w:val="44"/>
    </w:rPr>
  </w:style>
  <w:style w:type="character" w:customStyle="1" w:styleId="35">
    <w:name w:val="标题 2 Char"/>
    <w:link w:val="5"/>
    <w:semiHidden/>
    <w:qFormat/>
    <w:locked/>
    <w:uiPriority w:val="99"/>
    <w:rPr>
      <w:rFonts w:ascii="Cambria" w:hAnsi="Cambria" w:eastAsia="宋体"/>
      <w:b/>
      <w:sz w:val="32"/>
    </w:rPr>
  </w:style>
  <w:style w:type="character" w:customStyle="1" w:styleId="36">
    <w:name w:val="标题 3 Char"/>
    <w:link w:val="7"/>
    <w:semiHidden/>
    <w:qFormat/>
    <w:locked/>
    <w:uiPriority w:val="99"/>
    <w:rPr>
      <w:rFonts w:ascii="Calibri" w:hAnsi="Calibri"/>
      <w:b/>
      <w:sz w:val="32"/>
    </w:rPr>
  </w:style>
  <w:style w:type="character" w:customStyle="1" w:styleId="37">
    <w:name w:val="标题 4 Char"/>
    <w:link w:val="8"/>
    <w:semiHidden/>
    <w:qFormat/>
    <w:uiPriority w:val="9"/>
    <w:rPr>
      <w:rFonts w:ascii="Cambria" w:hAnsi="Cambria" w:eastAsia="宋体" w:cs="Times New Roman"/>
      <w:b/>
      <w:bCs/>
      <w:sz w:val="28"/>
      <w:szCs w:val="28"/>
    </w:rPr>
  </w:style>
  <w:style w:type="character" w:customStyle="1" w:styleId="38">
    <w:name w:val="正文文本 Char"/>
    <w:link w:val="3"/>
    <w:semiHidden/>
    <w:qFormat/>
    <w:locked/>
    <w:uiPriority w:val="99"/>
    <w:rPr>
      <w:rFonts w:ascii="Calibri" w:hAnsi="Calibri"/>
    </w:rPr>
  </w:style>
  <w:style w:type="character" w:customStyle="1" w:styleId="39">
    <w:name w:val="批注文字 Char"/>
    <w:link w:val="12"/>
    <w:qFormat/>
    <w:locked/>
    <w:uiPriority w:val="99"/>
    <w:rPr>
      <w:rFonts w:ascii="宋体" w:hAnsi="Calibri" w:eastAsia="宋体"/>
      <w:sz w:val="22"/>
    </w:rPr>
  </w:style>
  <w:style w:type="character" w:customStyle="1" w:styleId="40">
    <w:name w:val="正文文本缩进 Char"/>
    <w:link w:val="13"/>
    <w:semiHidden/>
    <w:qFormat/>
    <w:locked/>
    <w:uiPriority w:val="99"/>
    <w:rPr>
      <w:rFonts w:ascii="Calibri" w:hAnsi="Calibri"/>
    </w:rPr>
  </w:style>
  <w:style w:type="character" w:customStyle="1" w:styleId="41">
    <w:name w:val="纯文本 Char"/>
    <w:link w:val="15"/>
    <w:semiHidden/>
    <w:qFormat/>
    <w:locked/>
    <w:uiPriority w:val="99"/>
    <w:rPr>
      <w:rFonts w:ascii="宋体" w:hAnsi="Courier New"/>
      <w:sz w:val="21"/>
    </w:rPr>
  </w:style>
  <w:style w:type="character" w:customStyle="1" w:styleId="42">
    <w:name w:val="正文文本缩进 2 Char"/>
    <w:link w:val="16"/>
    <w:semiHidden/>
    <w:qFormat/>
    <w:locked/>
    <w:uiPriority w:val="99"/>
    <w:rPr>
      <w:rFonts w:ascii="Calibri" w:hAnsi="Calibri"/>
    </w:rPr>
  </w:style>
  <w:style w:type="character" w:customStyle="1" w:styleId="43">
    <w:name w:val="批注框文本 Char"/>
    <w:link w:val="17"/>
    <w:qFormat/>
    <w:locked/>
    <w:uiPriority w:val="99"/>
    <w:rPr>
      <w:rFonts w:ascii="Calibri" w:hAnsi="Calibri" w:eastAsia="宋体"/>
      <w:kern w:val="2"/>
      <w:sz w:val="18"/>
    </w:rPr>
  </w:style>
  <w:style w:type="character" w:customStyle="1" w:styleId="44">
    <w:name w:val="页脚 Char"/>
    <w:link w:val="18"/>
    <w:semiHidden/>
    <w:qFormat/>
    <w:locked/>
    <w:uiPriority w:val="99"/>
    <w:rPr>
      <w:rFonts w:ascii="Calibri" w:hAnsi="Calibri"/>
      <w:sz w:val="18"/>
    </w:rPr>
  </w:style>
  <w:style w:type="character" w:customStyle="1" w:styleId="45">
    <w:name w:val="页眉 Char"/>
    <w:link w:val="19"/>
    <w:semiHidden/>
    <w:qFormat/>
    <w:locked/>
    <w:uiPriority w:val="99"/>
    <w:rPr>
      <w:rFonts w:ascii="Calibri" w:hAnsi="Calibri"/>
      <w:sz w:val="18"/>
    </w:rPr>
  </w:style>
  <w:style w:type="character" w:customStyle="1" w:styleId="46">
    <w:name w:val="正文文本 2 Char"/>
    <w:link w:val="22"/>
    <w:semiHidden/>
    <w:qFormat/>
    <w:locked/>
    <w:uiPriority w:val="99"/>
    <w:rPr>
      <w:rFonts w:ascii="Calibri" w:hAnsi="Calibri"/>
    </w:rPr>
  </w:style>
  <w:style w:type="paragraph" w:customStyle="1" w:styleId="47">
    <w:name w:val="商发正文"/>
    <w:qFormat/>
    <w:uiPriority w:val="99"/>
    <w:pPr>
      <w:widowControl w:val="0"/>
      <w:adjustRightInd w:val="0"/>
      <w:snapToGrid w:val="0"/>
      <w:spacing w:line="300" w:lineRule="auto"/>
      <w:ind w:firstLine="200" w:firstLineChars="200"/>
      <w:jc w:val="both"/>
    </w:pPr>
    <w:rPr>
      <w:rFonts w:ascii="Times New Roman" w:hAnsi="Times New Roman" w:eastAsia="宋体" w:cs="Times New Roman"/>
      <w:kern w:val="2"/>
      <w:sz w:val="24"/>
      <w:szCs w:val="21"/>
      <w:lang w:val="en-US" w:eastAsia="zh-CN" w:bidi="ar-SA"/>
    </w:rPr>
  </w:style>
  <w:style w:type="paragraph" w:customStyle="1" w:styleId="48">
    <w:name w:val="Char2 Char Char Char"/>
    <w:basedOn w:val="1"/>
    <w:qFormat/>
    <w:uiPriority w:val="99"/>
    <w:rPr>
      <w:rFonts w:ascii="Tahoma" w:hAnsi="Tahoma"/>
      <w:sz w:val="24"/>
      <w:szCs w:val="20"/>
    </w:rPr>
  </w:style>
  <w:style w:type="paragraph" w:customStyle="1" w:styleId="49">
    <w:name w:val="列出段落1"/>
    <w:basedOn w:val="1"/>
    <w:qFormat/>
    <w:uiPriority w:val="99"/>
    <w:pPr>
      <w:ind w:firstLine="420" w:firstLineChars="200"/>
    </w:pPr>
  </w:style>
  <w:style w:type="character" w:customStyle="1" w:styleId="50">
    <w:name w:val="10"/>
    <w:qFormat/>
    <w:uiPriority w:val="99"/>
    <w:rPr>
      <w:rFonts w:ascii="Calibri" w:hAnsi="Calibri"/>
    </w:rPr>
  </w:style>
  <w:style w:type="character" w:customStyle="1" w:styleId="51">
    <w:name w:val="15"/>
    <w:qFormat/>
    <w:uiPriority w:val="99"/>
    <w:rPr>
      <w:rFonts w:ascii="Calibri" w:hAnsi="Calibri"/>
      <w:i/>
    </w:rPr>
  </w:style>
  <w:style w:type="paragraph" w:customStyle="1" w:styleId="52">
    <w:name w:val="_Style 2"/>
    <w:basedOn w:val="1"/>
    <w:qFormat/>
    <w:uiPriority w:val="99"/>
    <w:pPr>
      <w:ind w:firstLine="420" w:firstLineChars="200"/>
    </w:pPr>
  </w:style>
  <w:style w:type="character" w:customStyle="1" w:styleId="53">
    <w:name w:val="apple-style-span"/>
    <w:qFormat/>
    <w:uiPriority w:val="99"/>
  </w:style>
  <w:style w:type="character" w:customStyle="1" w:styleId="54">
    <w:name w:val="del"/>
    <w:qFormat/>
    <w:uiPriority w:val="99"/>
  </w:style>
  <w:style w:type="character" w:customStyle="1" w:styleId="55">
    <w:name w:val="del1"/>
    <w:qFormat/>
    <w:uiPriority w:val="99"/>
    <w:rPr>
      <w:vanish/>
      <w:color w:val="666666"/>
      <w:sz w:val="18"/>
      <w:u w:val="single"/>
    </w:rPr>
  </w:style>
  <w:style w:type="character" w:customStyle="1" w:styleId="56">
    <w:name w:val="del2"/>
    <w:qFormat/>
    <w:uiPriority w:val="99"/>
    <w:rPr>
      <w:vanish/>
    </w:rPr>
  </w:style>
  <w:style w:type="character" w:customStyle="1" w:styleId="57">
    <w:name w:val="del3"/>
    <w:qFormat/>
    <w:uiPriority w:val="99"/>
    <w:rPr>
      <w:vanish/>
    </w:rPr>
  </w:style>
  <w:style w:type="paragraph" w:customStyle="1" w:styleId="58">
    <w:name w:val="_Style 4"/>
    <w:basedOn w:val="1"/>
    <w:qFormat/>
    <w:uiPriority w:val="99"/>
    <w:pPr>
      <w:ind w:firstLine="420" w:firstLineChars="200"/>
    </w:pPr>
  </w:style>
  <w:style w:type="paragraph" w:customStyle="1" w:styleId="59">
    <w:name w:val="List Paragraph1"/>
    <w:basedOn w:val="1"/>
    <w:qFormat/>
    <w:uiPriority w:val="99"/>
    <w:pPr>
      <w:ind w:firstLine="420" w:firstLineChars="200"/>
    </w:pPr>
  </w:style>
  <w:style w:type="paragraph" w:customStyle="1" w:styleId="60">
    <w:name w:val="列出段落2"/>
    <w:basedOn w:val="1"/>
    <w:qFormat/>
    <w:uiPriority w:val="99"/>
    <w:pPr>
      <w:ind w:firstLine="420" w:firstLineChars="200"/>
    </w:pPr>
    <w:rPr>
      <w:sz w:val="18"/>
      <w:szCs w:val="18"/>
    </w:rPr>
  </w:style>
  <w:style w:type="paragraph" w:customStyle="1" w:styleId="61">
    <w:name w:val="列出段落21"/>
    <w:basedOn w:val="1"/>
    <w:qFormat/>
    <w:uiPriority w:val="99"/>
    <w:pPr>
      <w:ind w:firstLine="420" w:firstLineChars="200"/>
    </w:pPr>
    <w:rPr>
      <w:sz w:val="18"/>
      <w:szCs w:val="18"/>
    </w:rPr>
  </w:style>
  <w:style w:type="paragraph" w:customStyle="1" w:styleId="62">
    <w:name w:val="列出段落3"/>
    <w:basedOn w:val="1"/>
    <w:qFormat/>
    <w:uiPriority w:val="99"/>
    <w:pPr>
      <w:ind w:firstLine="420" w:firstLineChars="200"/>
    </w:pPr>
  </w:style>
  <w:style w:type="paragraph" w:customStyle="1" w:styleId="63">
    <w:name w:val="List Paragraph2"/>
    <w:basedOn w:val="1"/>
    <w:qFormat/>
    <w:uiPriority w:val="99"/>
    <w:pPr>
      <w:ind w:firstLine="420" w:firstLineChars="200"/>
    </w:pPr>
  </w:style>
  <w:style w:type="paragraph" w:customStyle="1" w:styleId="64">
    <w:name w:val="_Style 3"/>
    <w:basedOn w:val="1"/>
    <w:qFormat/>
    <w:uiPriority w:val="99"/>
    <w:pPr>
      <w:ind w:firstLine="420" w:firstLineChars="200"/>
    </w:pPr>
  </w:style>
  <w:style w:type="paragraph" w:customStyle="1" w:styleId="65">
    <w:name w:val="正文框"/>
    <w:basedOn w:val="1"/>
    <w:qFormat/>
    <w:uiPriority w:val="99"/>
    <w:pPr>
      <w:widowControl/>
      <w:adjustRightInd w:val="0"/>
      <w:spacing w:line="312" w:lineRule="atLeast"/>
      <w:jc w:val="left"/>
      <w:textAlignment w:val="baseline"/>
    </w:pPr>
    <w:rPr>
      <w:sz w:val="24"/>
    </w:rPr>
  </w:style>
  <w:style w:type="paragraph" w:customStyle="1" w:styleId="66">
    <w:name w:val="Char"/>
    <w:basedOn w:val="1"/>
    <w:qFormat/>
    <w:uiPriority w:val="99"/>
    <w:pPr>
      <w:jc w:val="left"/>
    </w:pPr>
    <w:rPr>
      <w:rFonts w:ascii="Tahoma" w:hAnsi="Tahoma"/>
      <w:sz w:val="24"/>
      <w:szCs w:val="20"/>
    </w:rPr>
  </w:style>
  <w:style w:type="paragraph" w:customStyle="1" w:styleId="67">
    <w:name w:val="列出段落4"/>
    <w:basedOn w:val="1"/>
    <w:qFormat/>
    <w:uiPriority w:val="99"/>
    <w:pPr>
      <w:ind w:firstLine="420" w:firstLineChars="200"/>
    </w:pPr>
  </w:style>
  <w:style w:type="paragraph" w:styleId="68">
    <w:name w:val="List Paragraph"/>
    <w:basedOn w:val="1"/>
    <w:qFormat/>
    <w:uiPriority w:val="34"/>
    <w:pPr>
      <w:ind w:firstLine="420" w:firstLineChars="200"/>
    </w:pPr>
  </w:style>
  <w:style w:type="paragraph" w:customStyle="1" w:styleId="69">
    <w:name w:val="Table Paragraph"/>
    <w:basedOn w:val="1"/>
    <w:qFormat/>
    <w:uiPriority w:val="1"/>
    <w:pPr>
      <w:ind w:left="108"/>
    </w:pPr>
    <w:rPr>
      <w:rFonts w:ascii="Times New Roman" w:hAnsi="Times New Roman" w:eastAsia="Times New Roman"/>
      <w:lang w:eastAsia="en-US" w:bidi="en-US"/>
    </w:rPr>
  </w:style>
  <w:style w:type="paragraph" w:customStyle="1" w:styleId="70">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71">
    <w:name w:val="默认"/>
    <w:qFormat/>
    <w:uiPriority w:val="0"/>
    <w:rPr>
      <w:rFonts w:hint="eastAsia" w:ascii="Arial Unicode MS" w:hAnsi="Arial Unicode MS" w:eastAsia="Helvetica Neue" w:cs="Arial Unicode MS"/>
      <w:color w:val="000000"/>
      <w:sz w:val="22"/>
      <w:szCs w:val="22"/>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1"/>
    <customShpInfo spid="_x0000_s2050"/>
    <customShpInfo spid="_x0000_s2049"/>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631C9F-F177-4448-97EC-5662058D620C}">
  <ds:schemaRefs/>
</ds:datastoreItem>
</file>

<file path=docProps/app.xml><?xml version="1.0" encoding="utf-8"?>
<Properties xmlns="http://schemas.openxmlformats.org/officeDocument/2006/extended-properties" xmlns:vt="http://schemas.openxmlformats.org/officeDocument/2006/docPropsVTypes">
  <Template>Normal.dotm</Template>
  <Company>http://www.windows89.com</Company>
  <Pages>60</Pages>
  <Words>4282</Words>
  <Characters>24412</Characters>
  <Lines>203</Lines>
  <Paragraphs>57</Paragraphs>
  <TotalTime>4</TotalTime>
  <ScaleCrop>false</ScaleCrop>
  <LinksUpToDate>false</LinksUpToDate>
  <CharactersWithSpaces>28637</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2018-12-25T09:26:00Z</dcterms:created>
  <dc:creator>Administrator</dc:creator>
  <cp:lastModifiedBy>董菊莉</cp:lastModifiedBy>
  <cp:lastPrinted>2019-01-10T03:26:00Z</cp:lastPrinted>
  <dcterms:modified xsi:type="dcterms:W3CDTF">2019-04-28T08:48:02Z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