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hint="eastAsia" w:ascii="宋体" w:hAnsi="宋体" w:eastAsia="宋体"/>
          <w:b/>
          <w:bCs/>
          <w:color w:val="000000"/>
          <w:sz w:val="30"/>
          <w:szCs w:val="30"/>
          <w:lang w:eastAsia="zh-CN"/>
        </w:rPr>
      </w:pPr>
      <w:r>
        <w:rPr>
          <w:rFonts w:hint="eastAsia" w:ascii="宋体" w:hAnsi="宋体" w:eastAsia="宋体"/>
          <w:b/>
          <w:bCs/>
          <w:color w:val="000000"/>
          <w:sz w:val="30"/>
          <w:szCs w:val="30"/>
          <w:lang w:eastAsia="zh-CN"/>
        </w:rPr>
        <w:drawing>
          <wp:inline distT="0" distB="0" distL="114300" distR="114300">
            <wp:extent cx="5273040" cy="7315200"/>
            <wp:effectExtent l="0" t="0" r="3810" b="0"/>
            <wp:docPr id="4" name="图片 4" descr="1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 001"/>
                    <pic:cNvPicPr>
                      <a:picLocks noChangeAspect="1"/>
                    </pic:cNvPicPr>
                  </pic:nvPicPr>
                  <pic:blipFill>
                    <a:blip r:embed="rId6"/>
                    <a:stretch>
                      <a:fillRect/>
                    </a:stretch>
                  </pic:blipFill>
                  <pic:spPr>
                    <a:xfrm>
                      <a:off x="0" y="0"/>
                      <a:ext cx="5273040" cy="7315200"/>
                    </a:xfrm>
                    <a:prstGeom prst="rect">
                      <a:avLst/>
                    </a:prstGeom>
                  </pic:spPr>
                </pic:pic>
              </a:graphicData>
            </a:graphic>
          </wp:inline>
        </w:drawing>
      </w:r>
      <w:r>
        <w:rPr>
          <w:rFonts w:hint="eastAsia" w:ascii="宋体" w:hAnsi="宋体" w:eastAsia="宋体"/>
          <w:b/>
          <w:bCs/>
          <w:color w:val="000000"/>
          <w:sz w:val="30"/>
          <w:szCs w:val="30"/>
          <w:lang w:eastAsia="zh-CN"/>
        </w:rPr>
        <w:drawing>
          <wp:inline distT="0" distB="0" distL="114300" distR="114300">
            <wp:extent cx="5273040" cy="7315200"/>
            <wp:effectExtent l="0" t="0" r="3810" b="0"/>
            <wp:docPr id="3" name="图片 3" descr="1 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 002"/>
                    <pic:cNvPicPr>
                      <a:picLocks noChangeAspect="1"/>
                    </pic:cNvPicPr>
                  </pic:nvPicPr>
                  <pic:blipFill>
                    <a:blip r:embed="rId7"/>
                    <a:stretch>
                      <a:fillRect/>
                    </a:stretch>
                  </pic:blipFill>
                  <pic:spPr>
                    <a:xfrm>
                      <a:off x="0" y="0"/>
                      <a:ext cx="5273040" cy="7315200"/>
                    </a:xfrm>
                    <a:prstGeom prst="rect">
                      <a:avLst/>
                    </a:prstGeom>
                  </pic:spPr>
                </pic:pic>
              </a:graphicData>
            </a:graphic>
          </wp:inline>
        </w:drawing>
      </w:r>
      <w:r>
        <w:rPr>
          <w:rFonts w:hint="eastAsia" w:ascii="宋体" w:hAnsi="宋体" w:eastAsia="宋体"/>
          <w:b/>
          <w:bCs/>
          <w:color w:val="000000"/>
          <w:sz w:val="30"/>
          <w:szCs w:val="30"/>
          <w:lang w:eastAsia="zh-CN"/>
        </w:rPr>
        <w:drawing>
          <wp:inline distT="0" distB="0" distL="114300" distR="114300">
            <wp:extent cx="5273040" cy="8553450"/>
            <wp:effectExtent l="0" t="0" r="3810" b="0"/>
            <wp:docPr id="2" name="图片 2" descr="1 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003"/>
                    <pic:cNvPicPr>
                      <a:picLocks noChangeAspect="1"/>
                    </pic:cNvPicPr>
                  </pic:nvPicPr>
                  <pic:blipFill>
                    <a:blip r:embed="rId8"/>
                    <a:stretch>
                      <a:fillRect/>
                    </a:stretch>
                  </pic:blipFill>
                  <pic:spPr>
                    <a:xfrm>
                      <a:off x="0" y="0"/>
                      <a:ext cx="5273040" cy="8553450"/>
                    </a:xfrm>
                    <a:prstGeom prst="rect">
                      <a:avLst/>
                    </a:prstGeom>
                  </pic:spPr>
                </pic:pic>
              </a:graphicData>
            </a:graphic>
          </wp:inline>
        </w:drawing>
      </w:r>
      <w:bookmarkStart w:id="1" w:name="_GoBack"/>
      <w:bookmarkEnd w:id="1"/>
    </w:p>
    <w:p>
      <w:pPr>
        <w:spacing w:line="440" w:lineRule="exact"/>
        <w:jc w:val="center"/>
        <w:outlineLvl w:val="0"/>
        <w:rPr>
          <w:rFonts w:hint="eastAsia" w:ascii="宋体" w:hAnsi="宋体"/>
          <w:b/>
          <w:bCs/>
          <w:color w:val="000000"/>
          <w:sz w:val="30"/>
          <w:szCs w:val="30"/>
        </w:rPr>
      </w:pPr>
      <w:bookmarkStart w:id="0" w:name="_Toc5792738"/>
      <w:r>
        <w:rPr>
          <w:rFonts w:hint="eastAsia" w:ascii="华文中宋" w:hAnsi="华文中宋" w:eastAsia="华文中宋"/>
          <w:color w:val="000000"/>
          <w:sz w:val="36"/>
          <w:szCs w:val="36"/>
        </w:rPr>
        <w:t>合同条款</w:t>
      </w:r>
      <w:bookmarkEnd w:id="0"/>
    </w:p>
    <w:p>
      <w:pPr>
        <w:autoSpaceDE w:val="0"/>
        <w:autoSpaceDN w:val="0"/>
        <w:adjustRightInd w:val="0"/>
        <w:spacing w:line="440" w:lineRule="exact"/>
        <w:ind w:firstLine="482" w:firstLineChars="200"/>
        <w:rPr>
          <w:rFonts w:hint="eastAsia" w:ascii="宋体" w:hAnsi="宋体" w:cs="宋体"/>
          <w:b/>
          <w:color w:val="000000"/>
          <w:kern w:val="0"/>
          <w:sz w:val="24"/>
        </w:rPr>
      </w:pPr>
    </w:p>
    <w:p>
      <w:pPr>
        <w:autoSpaceDE w:val="0"/>
        <w:autoSpaceDN w:val="0"/>
        <w:adjustRightInd w:val="0"/>
        <w:spacing w:before="156" w:beforeLines="50" w:line="440" w:lineRule="exact"/>
        <w:ind w:firstLine="482" w:firstLineChars="200"/>
        <w:rPr>
          <w:rFonts w:hint="eastAsia" w:ascii="宋体" w:hAnsi="宋体"/>
          <w:b/>
          <w:color w:val="000000"/>
          <w:kern w:val="0"/>
          <w:sz w:val="24"/>
        </w:rPr>
      </w:pPr>
      <w:r>
        <w:rPr>
          <w:rFonts w:hint="eastAsia" w:ascii="宋体" w:hAnsi="宋体"/>
          <w:b/>
          <w:color w:val="000000"/>
          <w:kern w:val="0"/>
          <w:sz w:val="24"/>
        </w:rPr>
        <w:t>1.</w:t>
      </w:r>
      <w:r>
        <w:rPr>
          <w:rFonts w:ascii="宋体" w:hAnsi="宋体"/>
          <w:b/>
          <w:color w:val="000000"/>
          <w:kern w:val="0"/>
          <w:sz w:val="24"/>
        </w:rPr>
        <w:t>定义</w:t>
      </w:r>
    </w:p>
    <w:p>
      <w:pPr>
        <w:autoSpaceDE w:val="0"/>
        <w:autoSpaceDN w:val="0"/>
        <w:adjustRightInd w:val="0"/>
        <w:spacing w:line="440" w:lineRule="exact"/>
        <w:ind w:firstLine="480" w:firstLineChars="200"/>
        <w:rPr>
          <w:rFonts w:hint="eastAsia" w:ascii="宋体" w:hAnsi="宋体"/>
          <w:color w:val="000000"/>
          <w:kern w:val="0"/>
          <w:sz w:val="24"/>
        </w:rPr>
      </w:pPr>
      <w:r>
        <w:rPr>
          <w:rFonts w:ascii="宋体" w:hAnsi="宋体"/>
          <w:color w:val="000000"/>
          <w:kern w:val="0"/>
          <w:sz w:val="24"/>
        </w:rPr>
        <w:t>本合同下列术语应解释为：</w:t>
      </w:r>
    </w:p>
    <w:p>
      <w:pPr>
        <w:autoSpaceDE w:val="0"/>
        <w:autoSpaceDN w:val="0"/>
        <w:adjustRightInd w:val="0"/>
        <w:spacing w:line="440" w:lineRule="exact"/>
        <w:ind w:firstLine="480" w:firstLineChars="200"/>
        <w:rPr>
          <w:rFonts w:hint="eastAsia" w:ascii="宋体" w:hAnsi="宋体"/>
          <w:color w:val="000000"/>
          <w:kern w:val="0"/>
          <w:sz w:val="24"/>
        </w:rPr>
      </w:pPr>
      <w:r>
        <w:rPr>
          <w:rFonts w:ascii="宋体" w:hAnsi="宋体"/>
          <w:color w:val="000000"/>
          <w:kern w:val="0"/>
          <w:sz w:val="24"/>
        </w:rPr>
        <w:t>1)“合同”系指买卖双方签署的、合同格式中载明的买卖双方所达成的协议，包括所有的附件、附录和上述文件所提到的构成合同的所有文件。</w:t>
      </w:r>
    </w:p>
    <w:p>
      <w:pPr>
        <w:autoSpaceDE w:val="0"/>
        <w:autoSpaceDN w:val="0"/>
        <w:adjustRightInd w:val="0"/>
        <w:spacing w:line="440" w:lineRule="exact"/>
        <w:ind w:firstLine="480" w:firstLineChars="200"/>
        <w:rPr>
          <w:rFonts w:hint="eastAsia" w:ascii="宋体" w:hAnsi="宋体"/>
          <w:color w:val="000000"/>
          <w:kern w:val="0"/>
          <w:sz w:val="24"/>
        </w:rPr>
      </w:pPr>
      <w:r>
        <w:rPr>
          <w:rFonts w:ascii="宋体" w:hAnsi="宋体"/>
          <w:color w:val="000000"/>
          <w:kern w:val="0"/>
          <w:sz w:val="24"/>
        </w:rPr>
        <w:t>2)“合同价”系指根据合同规定卖方在正确地完全履行合同义务后买方应支付给卖方的价格。</w:t>
      </w:r>
    </w:p>
    <w:p>
      <w:pPr>
        <w:autoSpaceDE w:val="0"/>
        <w:autoSpaceDN w:val="0"/>
        <w:adjustRightInd w:val="0"/>
        <w:spacing w:line="440" w:lineRule="exact"/>
        <w:ind w:firstLine="480" w:firstLineChars="200"/>
        <w:rPr>
          <w:rFonts w:hint="eastAsia" w:ascii="宋体" w:hAnsi="宋体"/>
          <w:color w:val="000000"/>
          <w:kern w:val="0"/>
          <w:sz w:val="24"/>
        </w:rPr>
      </w:pPr>
      <w:r>
        <w:rPr>
          <w:rFonts w:ascii="宋体" w:hAnsi="宋体"/>
          <w:color w:val="000000"/>
          <w:kern w:val="0"/>
          <w:sz w:val="24"/>
        </w:rPr>
        <w:t>3)“货物”系指卖方根据合同规定须向买方提供的</w:t>
      </w:r>
      <w:r>
        <w:rPr>
          <w:rFonts w:hint="eastAsia" w:ascii="宋体" w:hAnsi="宋体"/>
          <w:color w:val="000000"/>
          <w:kern w:val="0"/>
          <w:sz w:val="24"/>
        </w:rPr>
        <w:t>一</w:t>
      </w:r>
      <w:r>
        <w:rPr>
          <w:rFonts w:ascii="宋体" w:hAnsi="宋体"/>
          <w:color w:val="000000"/>
          <w:kern w:val="0"/>
          <w:sz w:val="24"/>
        </w:rPr>
        <w:t>切材料、设备、机械、仪表、备件、工具和／或其它材料。</w:t>
      </w:r>
    </w:p>
    <w:p>
      <w:pPr>
        <w:autoSpaceDE w:val="0"/>
        <w:autoSpaceDN w:val="0"/>
        <w:adjustRightInd w:val="0"/>
        <w:spacing w:line="440" w:lineRule="exact"/>
        <w:ind w:firstLine="480" w:firstLineChars="200"/>
        <w:rPr>
          <w:rFonts w:hint="eastAsia" w:ascii="宋体" w:hAnsi="宋体"/>
          <w:color w:val="000000"/>
          <w:kern w:val="0"/>
          <w:sz w:val="24"/>
        </w:rPr>
      </w:pPr>
      <w:r>
        <w:rPr>
          <w:rFonts w:ascii="宋体" w:hAnsi="宋体"/>
          <w:color w:val="000000"/>
          <w:kern w:val="0"/>
          <w:sz w:val="24"/>
        </w:rPr>
        <w:t>4)“服务”系指根据合同规定卖方承担与</w:t>
      </w:r>
      <w:r>
        <w:rPr>
          <w:rFonts w:hint="eastAsia" w:ascii="宋体" w:hAnsi="宋体"/>
          <w:color w:val="000000"/>
          <w:kern w:val="0"/>
          <w:sz w:val="24"/>
        </w:rPr>
        <w:t>供货有关的辅助服务，比如包装、运输、保险以</w:t>
      </w:r>
      <w:r>
        <w:rPr>
          <w:rFonts w:ascii="宋体" w:hAnsi="宋体"/>
          <w:color w:val="000000"/>
          <w:kern w:val="0"/>
          <w:sz w:val="24"/>
        </w:rPr>
        <w:t>及其它的伴随服务，比如安装、调试、提供技术援助、培训和合同</w:t>
      </w:r>
      <w:r>
        <w:rPr>
          <w:rFonts w:hint="eastAsia" w:ascii="宋体" w:hAnsi="宋体"/>
          <w:color w:val="000000"/>
          <w:kern w:val="0"/>
          <w:sz w:val="24"/>
        </w:rPr>
        <w:t>中</w:t>
      </w:r>
      <w:r>
        <w:rPr>
          <w:rFonts w:ascii="宋体" w:hAnsi="宋体"/>
          <w:color w:val="000000"/>
          <w:kern w:val="0"/>
          <w:sz w:val="24"/>
        </w:rPr>
        <w:t>规定卖方</w:t>
      </w:r>
      <w:r>
        <w:rPr>
          <w:rFonts w:hint="eastAsia" w:ascii="宋体" w:hAnsi="宋体"/>
          <w:color w:val="000000"/>
          <w:kern w:val="0"/>
          <w:sz w:val="24"/>
        </w:rPr>
        <w:t>应</w:t>
      </w:r>
      <w:r>
        <w:rPr>
          <w:rFonts w:ascii="宋体" w:hAnsi="宋体"/>
          <w:color w:val="000000"/>
          <w:kern w:val="0"/>
          <w:sz w:val="24"/>
        </w:rPr>
        <w:t>承担的其它义务。</w:t>
      </w:r>
    </w:p>
    <w:p>
      <w:pPr>
        <w:autoSpaceDE w:val="0"/>
        <w:autoSpaceDN w:val="0"/>
        <w:adjustRightInd w:val="0"/>
        <w:spacing w:line="440" w:lineRule="exact"/>
        <w:ind w:firstLine="480" w:firstLineChars="200"/>
        <w:rPr>
          <w:rFonts w:hint="eastAsia" w:ascii="宋体" w:hAnsi="宋体"/>
          <w:color w:val="000000"/>
          <w:kern w:val="0"/>
          <w:sz w:val="24"/>
        </w:rPr>
      </w:pPr>
      <w:r>
        <w:rPr>
          <w:rFonts w:ascii="宋体" w:hAnsi="宋体"/>
          <w:color w:val="000000"/>
          <w:kern w:val="0"/>
          <w:sz w:val="24"/>
        </w:rPr>
        <w:t>5)“买方”系指</w:t>
      </w:r>
      <w:r>
        <w:rPr>
          <w:rFonts w:hint="eastAsia" w:ascii="宋体" w:hAnsi="宋体"/>
          <w:color w:val="000000"/>
          <w:kern w:val="0"/>
          <w:sz w:val="24"/>
        </w:rPr>
        <w:t>合同</w:t>
      </w:r>
      <w:r>
        <w:rPr>
          <w:rFonts w:ascii="宋体" w:hAnsi="宋体"/>
          <w:color w:val="000000"/>
          <w:kern w:val="0"/>
          <w:sz w:val="24"/>
        </w:rPr>
        <w:t>中所述购买货物和服务的单位。</w:t>
      </w:r>
    </w:p>
    <w:p>
      <w:pPr>
        <w:autoSpaceDE w:val="0"/>
        <w:autoSpaceDN w:val="0"/>
        <w:adjustRightInd w:val="0"/>
        <w:spacing w:line="440" w:lineRule="exact"/>
        <w:ind w:firstLine="480" w:firstLineChars="200"/>
        <w:rPr>
          <w:rFonts w:hint="eastAsia" w:ascii="宋体" w:hAnsi="宋体"/>
          <w:color w:val="000000"/>
          <w:kern w:val="0"/>
          <w:sz w:val="24"/>
        </w:rPr>
      </w:pPr>
      <w:r>
        <w:rPr>
          <w:rFonts w:ascii="宋体" w:hAnsi="宋体"/>
          <w:color w:val="000000"/>
          <w:kern w:val="0"/>
          <w:sz w:val="24"/>
        </w:rPr>
        <w:t>6)“卖方”系指</w:t>
      </w:r>
      <w:r>
        <w:rPr>
          <w:rFonts w:hint="eastAsia" w:ascii="宋体" w:hAnsi="宋体"/>
          <w:color w:val="000000"/>
          <w:kern w:val="0"/>
          <w:sz w:val="24"/>
        </w:rPr>
        <w:t>合同</w:t>
      </w:r>
      <w:r>
        <w:rPr>
          <w:rFonts w:ascii="宋体" w:hAnsi="宋体"/>
          <w:color w:val="000000"/>
          <w:kern w:val="0"/>
          <w:sz w:val="24"/>
        </w:rPr>
        <w:t>中所述提供货物和服务的公司或</w:t>
      </w:r>
      <w:r>
        <w:rPr>
          <w:rFonts w:hint="eastAsia" w:ascii="宋体" w:hAnsi="宋体"/>
          <w:color w:val="000000"/>
          <w:kern w:val="0"/>
          <w:sz w:val="24"/>
        </w:rPr>
        <w:t>其它</w:t>
      </w:r>
      <w:r>
        <w:rPr>
          <w:rFonts w:ascii="宋体" w:hAnsi="宋体"/>
          <w:color w:val="000000"/>
          <w:kern w:val="0"/>
          <w:sz w:val="24"/>
        </w:rPr>
        <w:t>实体。</w:t>
      </w:r>
    </w:p>
    <w:p>
      <w:pPr>
        <w:autoSpaceDE w:val="0"/>
        <w:autoSpaceDN w:val="0"/>
        <w:adjustRightInd w:val="0"/>
        <w:spacing w:line="440" w:lineRule="exact"/>
        <w:ind w:firstLine="480" w:firstLineChars="200"/>
        <w:rPr>
          <w:rFonts w:hint="eastAsia" w:ascii="宋体" w:hAnsi="宋体"/>
          <w:color w:val="000000"/>
          <w:kern w:val="0"/>
          <w:sz w:val="24"/>
        </w:rPr>
      </w:pPr>
      <w:r>
        <w:rPr>
          <w:rFonts w:ascii="宋体" w:hAnsi="宋体"/>
          <w:color w:val="000000"/>
          <w:kern w:val="0"/>
          <w:sz w:val="24"/>
        </w:rPr>
        <w:t>7)“项目现场”系指</w:t>
      </w:r>
      <w:r>
        <w:rPr>
          <w:rFonts w:hint="eastAsia" w:ascii="宋体" w:hAnsi="宋体"/>
          <w:color w:val="000000"/>
          <w:kern w:val="0"/>
          <w:sz w:val="24"/>
        </w:rPr>
        <w:t>本</w:t>
      </w:r>
      <w:r>
        <w:rPr>
          <w:rFonts w:ascii="宋体" w:hAnsi="宋体"/>
          <w:color w:val="000000"/>
          <w:kern w:val="0"/>
          <w:sz w:val="24"/>
        </w:rPr>
        <w:t>合同</w:t>
      </w:r>
      <w:r>
        <w:rPr>
          <w:rFonts w:hint="eastAsia" w:ascii="宋体" w:hAnsi="宋体"/>
          <w:color w:val="000000"/>
          <w:kern w:val="0"/>
          <w:sz w:val="24"/>
        </w:rPr>
        <w:t>项下货物安装、运行的场地，其名称在合同</w:t>
      </w:r>
      <w:r>
        <w:rPr>
          <w:rFonts w:ascii="宋体" w:hAnsi="宋体"/>
          <w:color w:val="000000"/>
          <w:kern w:val="0"/>
          <w:sz w:val="24"/>
        </w:rPr>
        <w:t>中指明。</w:t>
      </w:r>
    </w:p>
    <w:p>
      <w:pPr>
        <w:autoSpaceDE w:val="0"/>
        <w:autoSpaceDN w:val="0"/>
        <w:adjustRightInd w:val="0"/>
        <w:spacing w:line="440" w:lineRule="exact"/>
        <w:ind w:firstLine="480" w:firstLineChars="200"/>
        <w:rPr>
          <w:rFonts w:hint="eastAsia" w:ascii="宋体" w:hAnsi="宋体"/>
          <w:color w:val="000000"/>
          <w:kern w:val="0"/>
          <w:sz w:val="24"/>
        </w:rPr>
      </w:pPr>
      <w:r>
        <w:rPr>
          <w:rFonts w:ascii="宋体" w:hAnsi="宋体"/>
          <w:color w:val="000000"/>
          <w:kern w:val="0"/>
          <w:sz w:val="24"/>
        </w:rPr>
        <w:t>8)“天”指日历天数。</w:t>
      </w:r>
    </w:p>
    <w:p>
      <w:pPr>
        <w:spacing w:before="156" w:beforeLines="50" w:line="440" w:lineRule="exact"/>
        <w:ind w:firstLine="482" w:firstLineChars="200"/>
        <w:rPr>
          <w:rFonts w:hint="eastAsia" w:ascii="宋体" w:hAnsi="宋体"/>
          <w:b/>
          <w:color w:val="000000"/>
          <w:sz w:val="24"/>
        </w:rPr>
      </w:pPr>
      <w:r>
        <w:rPr>
          <w:rFonts w:hint="eastAsia" w:ascii="宋体" w:hAnsi="宋体"/>
          <w:b/>
          <w:color w:val="000000"/>
          <w:sz w:val="24"/>
        </w:rPr>
        <w:t>2.适用性</w:t>
      </w:r>
    </w:p>
    <w:p>
      <w:pPr>
        <w:spacing w:line="440" w:lineRule="exact"/>
        <w:ind w:firstLine="480" w:firstLineChars="200"/>
        <w:rPr>
          <w:rFonts w:hint="eastAsia" w:ascii="宋体" w:hAnsi="宋体"/>
          <w:color w:val="000000"/>
          <w:sz w:val="24"/>
        </w:rPr>
      </w:pPr>
      <w:r>
        <w:rPr>
          <w:rFonts w:hint="eastAsia" w:ascii="宋体" w:hAnsi="宋体"/>
          <w:color w:val="000000"/>
          <w:sz w:val="24"/>
        </w:rPr>
        <w:t>2.1 本合同条款适用于没有被本合同其他部分的条款所取代的范围。</w:t>
      </w:r>
    </w:p>
    <w:p>
      <w:pPr>
        <w:spacing w:before="156" w:beforeLines="50" w:line="440" w:lineRule="exact"/>
        <w:ind w:firstLine="482" w:firstLineChars="200"/>
        <w:rPr>
          <w:rFonts w:hint="eastAsia" w:ascii="宋体" w:hAnsi="宋体"/>
          <w:b/>
          <w:color w:val="000000"/>
          <w:kern w:val="0"/>
          <w:sz w:val="24"/>
        </w:rPr>
      </w:pPr>
      <w:r>
        <w:rPr>
          <w:rFonts w:hint="eastAsia" w:ascii="宋体" w:hAnsi="宋体"/>
          <w:b/>
          <w:color w:val="000000"/>
          <w:kern w:val="0"/>
          <w:sz w:val="24"/>
        </w:rPr>
        <w:t>3.技术规格</w:t>
      </w:r>
    </w:p>
    <w:p>
      <w:pPr>
        <w:spacing w:line="440" w:lineRule="exact"/>
        <w:ind w:firstLine="470" w:firstLineChars="196"/>
        <w:rPr>
          <w:rFonts w:hint="eastAsia" w:ascii="宋体" w:hAnsi="宋体"/>
          <w:b/>
          <w:color w:val="000000"/>
          <w:kern w:val="0"/>
          <w:sz w:val="24"/>
        </w:rPr>
      </w:pPr>
      <w:r>
        <w:rPr>
          <w:rFonts w:hint="eastAsia" w:ascii="宋体" w:hAnsi="宋体"/>
          <w:color w:val="000000"/>
          <w:kern w:val="0"/>
          <w:sz w:val="24"/>
        </w:rPr>
        <w:t>3.1 本合同下交付的货物应符合技术规格参数与要求所述的标准。如果没有提及适用标准的，则应符合中华人民共和国有关机构发布的最新版本的标准或经过质量管理行政部门备案的企业标准。</w:t>
      </w:r>
    </w:p>
    <w:p>
      <w:pPr>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3.2 除非技术规格中另有规定，计量单位均采用中华人民共和国法定计量单位。</w:t>
      </w:r>
    </w:p>
    <w:p>
      <w:pPr>
        <w:spacing w:before="156" w:beforeLines="50" w:line="440" w:lineRule="exact"/>
        <w:ind w:firstLine="482" w:firstLineChars="200"/>
        <w:rPr>
          <w:rFonts w:hint="eastAsia" w:ascii="宋体" w:hAnsi="宋体"/>
          <w:b/>
          <w:color w:val="000000"/>
          <w:kern w:val="0"/>
          <w:sz w:val="24"/>
        </w:rPr>
      </w:pPr>
      <w:r>
        <w:rPr>
          <w:rFonts w:hint="eastAsia" w:ascii="宋体" w:hAnsi="宋体"/>
          <w:b/>
          <w:color w:val="000000"/>
          <w:kern w:val="0"/>
          <w:sz w:val="24"/>
        </w:rPr>
        <w:t>4.知识产权约定</w:t>
      </w:r>
    </w:p>
    <w:p>
      <w:pPr>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4.1 卖方应保证，买方使用该货物或货物的任何一部分时，免受第三方提出的侵犯其专利权、商标权、著作权或其它知识产权的起诉。</w:t>
      </w:r>
    </w:p>
    <w:p>
      <w:pPr>
        <w:spacing w:before="156" w:beforeLines="50" w:line="440" w:lineRule="exact"/>
        <w:ind w:firstLine="480" w:firstLineChars="200"/>
        <w:rPr>
          <w:rFonts w:hint="default" w:ascii="宋体" w:hAnsi="宋体" w:eastAsia="宋体"/>
          <w:b/>
          <w:color w:val="000000"/>
          <w:kern w:val="0"/>
          <w:sz w:val="24"/>
          <w:lang w:val="en-US" w:eastAsia="zh-CN"/>
        </w:rPr>
      </w:pPr>
      <w:r>
        <w:rPr>
          <w:rFonts w:hint="eastAsia" w:ascii="宋体" w:hAnsi="宋体"/>
          <w:b w:val="0"/>
          <w:bCs/>
          <w:color w:val="000000"/>
          <w:kern w:val="0"/>
          <w:sz w:val="24"/>
          <w:lang w:val="en-US" w:eastAsia="zh-CN"/>
        </w:rPr>
        <w:t>4.2 买方因使用卖方提供的货物，受到第三方知识产权追诉的，为卖方违约。卖方应向买方支付违约金，数额为本合同价款的10%；给买方造成损失的，卖方还应赔偿损失。</w:t>
      </w:r>
    </w:p>
    <w:p>
      <w:pPr>
        <w:spacing w:before="156" w:beforeLines="50" w:line="440" w:lineRule="exact"/>
        <w:ind w:firstLine="482" w:firstLineChars="200"/>
        <w:rPr>
          <w:rFonts w:hint="eastAsia" w:ascii="宋体" w:hAnsi="宋体" w:eastAsia="宋体"/>
          <w:b/>
          <w:color w:val="000000"/>
          <w:kern w:val="0"/>
          <w:sz w:val="24"/>
          <w:lang w:eastAsia="zh-CN"/>
        </w:rPr>
      </w:pPr>
      <w:r>
        <w:rPr>
          <w:rFonts w:hint="eastAsia" w:ascii="宋体" w:hAnsi="宋体"/>
          <w:b/>
          <w:color w:val="000000"/>
          <w:kern w:val="0"/>
          <w:sz w:val="24"/>
        </w:rPr>
        <w:t>5.</w:t>
      </w:r>
      <w:r>
        <w:rPr>
          <w:rFonts w:hint="eastAsia" w:ascii="宋体" w:hAnsi="宋体"/>
          <w:color w:val="000000"/>
          <w:sz w:val="24"/>
        </w:rPr>
        <w:t xml:space="preserve"> </w:t>
      </w:r>
      <w:r>
        <w:rPr>
          <w:rFonts w:hint="eastAsia" w:ascii="宋体" w:hAnsi="宋体"/>
          <w:b/>
          <w:color w:val="000000"/>
          <w:kern w:val="0"/>
          <w:sz w:val="24"/>
        </w:rPr>
        <w:t>质保期</w:t>
      </w:r>
      <w:r>
        <w:rPr>
          <w:rFonts w:hint="eastAsia" w:ascii="宋体" w:hAnsi="宋体"/>
          <w:b/>
          <w:color w:val="000000"/>
          <w:kern w:val="0"/>
          <w:sz w:val="24"/>
          <w:lang w:eastAsia="zh-CN"/>
        </w:rPr>
        <w:t>和交货期</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color w:val="000000"/>
          <w:sz w:val="24"/>
        </w:rPr>
      </w:pPr>
      <w:r>
        <w:rPr>
          <w:rFonts w:hint="eastAsia" w:ascii="宋体" w:hAnsi="宋体"/>
          <w:color w:val="000000"/>
          <w:kern w:val="0"/>
          <w:sz w:val="24"/>
        </w:rPr>
        <w:t>5.1</w:t>
      </w:r>
      <w:r>
        <w:rPr>
          <w:rFonts w:hint="eastAsia" w:ascii="宋体" w:hAnsi="宋体"/>
          <w:color w:val="000000"/>
          <w:sz w:val="24"/>
        </w:rPr>
        <w:t>货物的质保期自终验合格之日起不少于</w:t>
      </w:r>
      <w:r>
        <w:rPr>
          <w:rFonts w:hint="eastAsia" w:ascii="宋体" w:hAnsi="宋体"/>
          <w:color w:val="000000"/>
          <w:sz w:val="24"/>
          <w:u w:val="single"/>
        </w:rPr>
        <w:t xml:space="preserve"> </w:t>
      </w:r>
      <w:r>
        <w:rPr>
          <w:rFonts w:hint="eastAsia" w:ascii="宋体" w:hAnsi="宋体"/>
          <w:color w:val="000000"/>
          <w:sz w:val="24"/>
          <w:u w:val="single"/>
          <w:lang w:val="en-US" w:eastAsia="zh-CN"/>
        </w:rPr>
        <w:t>36</w:t>
      </w:r>
      <w:r>
        <w:rPr>
          <w:rFonts w:hint="eastAsia" w:ascii="宋体" w:hAnsi="宋体"/>
          <w:color w:val="000000"/>
          <w:sz w:val="24"/>
        </w:rPr>
        <w:t>个月。</w:t>
      </w:r>
    </w:p>
    <w:p>
      <w:pPr>
        <w:pStyle w:val="9"/>
        <w:keepNext w:val="0"/>
        <w:keepLines w:val="0"/>
        <w:pageBreakBefore w:val="0"/>
        <w:widowControl w:val="0"/>
        <w:kinsoku/>
        <w:wordWrap/>
        <w:overflowPunct/>
        <w:topLinePunct w:val="0"/>
        <w:autoSpaceDE/>
        <w:autoSpaceDN/>
        <w:bidi w:val="0"/>
        <w:spacing w:after="0" w:afterLines="0" w:line="440" w:lineRule="exact"/>
        <w:ind w:firstLine="480" w:firstLineChars="200"/>
        <w:textAlignment w:val="auto"/>
        <w:rPr>
          <w:rFonts w:hint="eastAsia" w:eastAsia="宋体"/>
          <w:lang w:val="en-US" w:eastAsia="zh-CN"/>
        </w:rPr>
      </w:pPr>
      <w:r>
        <w:rPr>
          <w:rFonts w:hint="eastAsia" w:ascii="宋体" w:hAnsi="宋体"/>
          <w:color w:val="000000"/>
          <w:sz w:val="24"/>
          <w:lang w:val="en-US" w:eastAsia="zh-CN"/>
        </w:rPr>
        <w:t>5.2</w:t>
      </w:r>
      <w:r>
        <w:rPr>
          <w:rFonts w:hint="eastAsia" w:ascii="宋体" w:hAnsi="宋体" w:cs="宋体"/>
          <w:sz w:val="24"/>
          <w:szCs w:val="24"/>
          <w:lang w:eastAsia="zh-CN"/>
        </w:rPr>
        <w:t>交货</w:t>
      </w:r>
      <w:r>
        <w:rPr>
          <w:rFonts w:hint="eastAsia" w:ascii="宋体" w:hAnsi="宋体" w:cs="宋体"/>
          <w:sz w:val="24"/>
          <w:szCs w:val="24"/>
        </w:rPr>
        <w:t>期：</w:t>
      </w:r>
      <w:r>
        <w:rPr>
          <w:rFonts w:hint="eastAsia" w:asciiTheme="minorEastAsia" w:hAnsiTheme="minorEastAsia"/>
          <w:color w:val="000000"/>
          <w:sz w:val="24"/>
          <w:szCs w:val="24"/>
        </w:rPr>
        <w:t>2020年2月29日前</w:t>
      </w:r>
      <w:r>
        <w:rPr>
          <w:rFonts w:hint="eastAsia" w:ascii="宋体" w:hAnsi="宋体"/>
          <w:color w:val="000000"/>
          <w:sz w:val="24"/>
        </w:rPr>
        <w:t>完成供货及安装</w:t>
      </w:r>
      <w:r>
        <w:rPr>
          <w:rFonts w:hint="eastAsia" w:ascii="宋体" w:hAnsi="宋体" w:cs="宋体"/>
          <w:sz w:val="24"/>
          <w:szCs w:val="24"/>
          <w:lang w:eastAsia="zh-CN"/>
        </w:rPr>
        <w:t>。</w:t>
      </w:r>
    </w:p>
    <w:p>
      <w:pPr>
        <w:spacing w:before="156" w:beforeLines="50" w:line="440" w:lineRule="exact"/>
        <w:ind w:firstLine="482" w:firstLineChars="200"/>
        <w:rPr>
          <w:rFonts w:hint="eastAsia" w:ascii="宋体" w:hAnsi="宋体"/>
          <w:b/>
          <w:color w:val="000000"/>
          <w:kern w:val="0"/>
          <w:sz w:val="24"/>
        </w:rPr>
      </w:pPr>
      <w:r>
        <w:rPr>
          <w:rFonts w:hint="eastAsia" w:ascii="宋体" w:hAnsi="宋体"/>
          <w:b/>
          <w:color w:val="000000"/>
          <w:kern w:val="0"/>
          <w:sz w:val="24"/>
        </w:rPr>
        <w:t>6.</w:t>
      </w:r>
      <w:r>
        <w:rPr>
          <w:rFonts w:hint="eastAsia" w:ascii="宋体" w:hAnsi="宋体"/>
          <w:color w:val="000000"/>
          <w:sz w:val="24"/>
        </w:rPr>
        <w:t xml:space="preserve"> </w:t>
      </w:r>
      <w:r>
        <w:rPr>
          <w:rFonts w:hint="eastAsia" w:ascii="宋体" w:hAnsi="宋体"/>
          <w:b/>
          <w:color w:val="000000"/>
          <w:kern w:val="0"/>
          <w:sz w:val="24"/>
        </w:rPr>
        <w:t>运输及安装调试</w:t>
      </w:r>
    </w:p>
    <w:p>
      <w:pPr>
        <w:adjustRightInd w:val="0"/>
        <w:snapToGrid w:val="0"/>
        <w:spacing w:line="440" w:lineRule="exact"/>
        <w:ind w:firstLine="480" w:firstLineChars="200"/>
        <w:rPr>
          <w:rFonts w:hint="eastAsia" w:ascii="宋体" w:hAnsi="宋体"/>
          <w:color w:val="000000"/>
          <w:sz w:val="24"/>
        </w:rPr>
      </w:pPr>
      <w:r>
        <w:rPr>
          <w:rFonts w:hint="eastAsia" w:ascii="宋体" w:hAnsi="宋体"/>
          <w:color w:val="000000"/>
          <w:kern w:val="0"/>
          <w:sz w:val="24"/>
        </w:rPr>
        <w:t>6.1</w:t>
      </w:r>
      <w:r>
        <w:rPr>
          <w:rFonts w:hint="eastAsia" w:ascii="宋体" w:hAnsi="宋体"/>
          <w:color w:val="000000"/>
          <w:sz w:val="24"/>
        </w:rPr>
        <w:t>所有货物必须运输至项目地点，卖方负责所有设备的运输、保险、安装、调试。</w:t>
      </w:r>
    </w:p>
    <w:p>
      <w:pPr>
        <w:spacing w:before="156" w:beforeLines="50" w:line="440" w:lineRule="exact"/>
        <w:ind w:firstLine="482" w:firstLineChars="200"/>
        <w:rPr>
          <w:rFonts w:hint="eastAsia" w:ascii="宋体" w:hAnsi="宋体"/>
          <w:b/>
          <w:color w:val="000000"/>
          <w:kern w:val="0"/>
          <w:sz w:val="24"/>
        </w:rPr>
      </w:pPr>
      <w:r>
        <w:rPr>
          <w:rFonts w:hint="eastAsia" w:ascii="宋体" w:hAnsi="宋体"/>
          <w:b/>
          <w:color w:val="000000"/>
          <w:kern w:val="0"/>
          <w:sz w:val="24"/>
        </w:rPr>
        <w:t>7.</w:t>
      </w:r>
      <w:r>
        <w:rPr>
          <w:rFonts w:hint="eastAsia" w:ascii="宋体" w:hAnsi="宋体"/>
          <w:color w:val="000000"/>
          <w:sz w:val="24"/>
        </w:rPr>
        <w:t xml:space="preserve"> </w:t>
      </w:r>
      <w:r>
        <w:rPr>
          <w:rFonts w:hint="eastAsia" w:ascii="宋体" w:hAnsi="宋体"/>
          <w:b/>
          <w:color w:val="000000"/>
          <w:kern w:val="0"/>
          <w:sz w:val="24"/>
        </w:rPr>
        <w:t>货物的验收</w:t>
      </w:r>
    </w:p>
    <w:p>
      <w:pPr>
        <w:adjustRightInd w:val="0"/>
        <w:snapToGrid w:val="0"/>
        <w:spacing w:line="440" w:lineRule="exact"/>
        <w:ind w:firstLine="480" w:firstLineChars="200"/>
        <w:rPr>
          <w:rFonts w:ascii="宋体" w:hAnsi="宋体"/>
          <w:color w:val="000000"/>
          <w:kern w:val="0"/>
          <w:sz w:val="24"/>
        </w:rPr>
      </w:pPr>
      <w:r>
        <w:rPr>
          <w:rFonts w:hint="eastAsia" w:ascii="宋体" w:hAnsi="宋体"/>
          <w:color w:val="000000"/>
          <w:kern w:val="0"/>
          <w:sz w:val="24"/>
        </w:rPr>
        <w:t>7.</w:t>
      </w:r>
      <w:r>
        <w:rPr>
          <w:rFonts w:hint="eastAsia" w:ascii="宋体" w:hAnsi="宋体"/>
          <w:color w:val="000000"/>
          <w:kern w:val="0"/>
          <w:sz w:val="24"/>
          <w:lang w:val="en-US" w:eastAsia="zh-CN"/>
        </w:rPr>
        <w:t>1</w:t>
      </w:r>
      <w:r>
        <w:rPr>
          <w:rFonts w:hint="eastAsia" w:ascii="宋体" w:hAnsi="宋体"/>
          <w:color w:val="000000"/>
          <w:kern w:val="0"/>
          <w:sz w:val="24"/>
          <w:lang w:eastAsia="zh-CN"/>
        </w:rPr>
        <w:t>（</w:t>
      </w:r>
      <w:r>
        <w:rPr>
          <w:rFonts w:hint="eastAsia" w:ascii="宋体" w:hAnsi="宋体"/>
          <w:color w:val="000000"/>
          <w:kern w:val="0"/>
          <w:sz w:val="24"/>
          <w:lang w:val="en-US" w:eastAsia="zh-CN"/>
        </w:rPr>
        <w:t>1</w:t>
      </w:r>
      <w:r>
        <w:rPr>
          <w:rFonts w:hint="eastAsia" w:ascii="宋体" w:hAnsi="宋体"/>
          <w:color w:val="000000"/>
          <w:kern w:val="0"/>
          <w:sz w:val="24"/>
          <w:lang w:eastAsia="zh-CN"/>
        </w:rPr>
        <w:t>）</w:t>
      </w:r>
      <w:r>
        <w:rPr>
          <w:rFonts w:ascii="宋体" w:hAnsi="宋体"/>
          <w:color w:val="000000"/>
          <w:kern w:val="0"/>
          <w:sz w:val="24"/>
        </w:rPr>
        <w:t>交收检验：到货后，由采购人、成交单位对设备进行开箱检查，检查内容包括：</w:t>
      </w:r>
      <w:r>
        <w:rPr>
          <w:rFonts w:hint="eastAsia" w:ascii="宋体" w:hAnsi="宋体"/>
          <w:color w:val="000000"/>
          <w:kern w:val="0"/>
          <w:sz w:val="24"/>
        </w:rPr>
        <w:t>货物</w:t>
      </w:r>
      <w:r>
        <w:rPr>
          <w:rFonts w:ascii="宋体" w:hAnsi="宋体"/>
          <w:color w:val="000000"/>
          <w:kern w:val="0"/>
          <w:sz w:val="24"/>
        </w:rPr>
        <w:t>名称、规格型号、配置要求、制造商、原产地等。若</w:t>
      </w:r>
      <w:r>
        <w:rPr>
          <w:rFonts w:hint="eastAsia" w:ascii="宋体" w:hAnsi="宋体"/>
          <w:color w:val="000000"/>
          <w:kern w:val="0"/>
          <w:sz w:val="24"/>
        </w:rPr>
        <w:t>货物</w:t>
      </w:r>
      <w:r>
        <w:rPr>
          <w:rFonts w:ascii="宋体" w:hAnsi="宋体"/>
          <w:color w:val="000000"/>
          <w:kern w:val="0"/>
          <w:sz w:val="24"/>
        </w:rPr>
        <w:t>与合同要求不符，采购人将拒绝接收。</w:t>
      </w:r>
    </w:p>
    <w:p>
      <w:pPr>
        <w:autoSpaceDN w:val="0"/>
        <w:spacing w:line="440" w:lineRule="exact"/>
        <w:ind w:firstLine="480" w:firstLineChars="200"/>
        <w:rPr>
          <w:rFonts w:ascii="宋体" w:hAnsi="宋体"/>
          <w:color w:val="000000"/>
          <w:kern w:val="0"/>
          <w:sz w:val="24"/>
        </w:rPr>
      </w:pPr>
      <w:r>
        <w:rPr>
          <w:rFonts w:ascii="宋体" w:hAnsi="宋体"/>
          <w:color w:val="000000"/>
          <w:kern w:val="0"/>
          <w:sz w:val="24"/>
        </w:rPr>
        <w:t>（2）技术验收：交收检验合格后，</w:t>
      </w:r>
      <w:r>
        <w:rPr>
          <w:rFonts w:hint="eastAsia" w:ascii="宋体" w:hAnsi="宋体"/>
          <w:color w:val="000000"/>
          <w:kern w:val="0"/>
          <w:sz w:val="24"/>
        </w:rPr>
        <w:t>货物</w:t>
      </w:r>
      <w:r>
        <w:rPr>
          <w:rFonts w:ascii="宋体" w:hAnsi="宋体"/>
          <w:color w:val="000000"/>
          <w:kern w:val="0"/>
          <w:sz w:val="24"/>
        </w:rPr>
        <w:t>由成交单位负责安装调试。安装调试完毕后，成交单位提交验收文件，采购方的使用单位对</w:t>
      </w:r>
      <w:r>
        <w:rPr>
          <w:rFonts w:hint="eastAsia" w:ascii="宋体" w:hAnsi="宋体"/>
          <w:color w:val="000000"/>
          <w:kern w:val="0"/>
          <w:sz w:val="24"/>
        </w:rPr>
        <w:t>货物</w:t>
      </w:r>
      <w:r>
        <w:rPr>
          <w:rFonts w:ascii="宋体" w:hAnsi="宋体"/>
          <w:color w:val="000000"/>
          <w:kern w:val="0"/>
          <w:sz w:val="24"/>
        </w:rPr>
        <w:t>进行技术验收（成交人协助），验收以国际标准或以合同文本中描述的有关技术要求为准。</w:t>
      </w:r>
    </w:p>
    <w:p>
      <w:pPr>
        <w:autoSpaceDN w:val="0"/>
        <w:spacing w:line="440" w:lineRule="exact"/>
        <w:ind w:firstLine="480" w:firstLineChars="200"/>
        <w:rPr>
          <w:rFonts w:ascii="宋体" w:hAnsi="宋体"/>
          <w:color w:val="000000"/>
          <w:kern w:val="0"/>
          <w:sz w:val="24"/>
        </w:rPr>
      </w:pPr>
      <w:r>
        <w:rPr>
          <w:rFonts w:ascii="宋体" w:hAnsi="宋体"/>
          <w:color w:val="000000"/>
          <w:kern w:val="0"/>
          <w:sz w:val="24"/>
        </w:rPr>
        <w:t>（3）最终验收：技术验收合格后的，采购人根据使用单位技术验收报告，组织相关部门对设备进行最终验收。</w:t>
      </w:r>
    </w:p>
    <w:p>
      <w:pPr>
        <w:spacing w:line="440" w:lineRule="exact"/>
        <w:ind w:firstLine="480" w:firstLineChars="200"/>
        <w:rPr>
          <w:rFonts w:hint="eastAsia" w:ascii="宋体" w:hAnsi="宋体"/>
          <w:color w:val="000000"/>
          <w:sz w:val="24"/>
        </w:rPr>
      </w:pPr>
      <w:r>
        <w:rPr>
          <w:rFonts w:hint="eastAsia" w:ascii="宋体" w:hAnsi="宋体"/>
          <w:color w:val="000000"/>
          <w:sz w:val="24"/>
        </w:rPr>
        <w:t>(4)验收依据</w:t>
      </w:r>
    </w:p>
    <w:p>
      <w:pPr>
        <w:spacing w:line="440" w:lineRule="exact"/>
        <w:ind w:firstLine="480" w:firstLineChars="200"/>
        <w:rPr>
          <w:rFonts w:hint="eastAsia" w:ascii="宋体" w:hAnsi="宋体"/>
          <w:color w:val="000000"/>
          <w:sz w:val="24"/>
        </w:rPr>
      </w:pPr>
      <w:r>
        <w:rPr>
          <w:rFonts w:hint="eastAsia" w:ascii="宋体" w:hAnsi="宋体"/>
          <w:color w:val="000000"/>
          <w:sz w:val="24"/>
        </w:rPr>
        <w:t xml:space="preserve">合同文本； </w:t>
      </w:r>
    </w:p>
    <w:p>
      <w:pPr>
        <w:spacing w:line="440" w:lineRule="exact"/>
        <w:ind w:firstLine="480" w:firstLineChars="200"/>
        <w:rPr>
          <w:rFonts w:hint="eastAsia" w:ascii="宋体" w:hAnsi="宋体"/>
          <w:color w:val="000000"/>
          <w:sz w:val="24"/>
        </w:rPr>
      </w:pPr>
      <w:r>
        <w:rPr>
          <w:rFonts w:hint="eastAsia" w:ascii="宋体" w:hAnsi="宋体"/>
          <w:color w:val="000000"/>
          <w:sz w:val="24"/>
        </w:rPr>
        <w:t>国家有关的验收标准及规范；</w:t>
      </w:r>
    </w:p>
    <w:p>
      <w:pPr>
        <w:spacing w:line="440" w:lineRule="exact"/>
        <w:ind w:firstLine="360" w:firstLineChars="150"/>
        <w:rPr>
          <w:rFonts w:hint="eastAsia" w:ascii="宋体" w:hAnsi="宋体"/>
          <w:color w:val="000000"/>
          <w:sz w:val="24"/>
        </w:rPr>
      </w:pPr>
      <w:r>
        <w:rPr>
          <w:rFonts w:hint="eastAsia" w:ascii="宋体" w:hAnsi="宋体"/>
          <w:color w:val="000000"/>
          <w:sz w:val="24"/>
        </w:rPr>
        <w:t xml:space="preserve"> 磋商文件；</w:t>
      </w:r>
    </w:p>
    <w:p>
      <w:pPr>
        <w:spacing w:line="440" w:lineRule="exact"/>
        <w:ind w:firstLine="470" w:firstLineChars="196"/>
        <w:rPr>
          <w:rFonts w:hint="eastAsia" w:ascii="宋体" w:hAnsi="宋体"/>
          <w:color w:val="000000"/>
          <w:kern w:val="0"/>
          <w:sz w:val="24"/>
        </w:rPr>
      </w:pPr>
      <w:r>
        <w:rPr>
          <w:rFonts w:hint="eastAsia" w:ascii="宋体" w:hAnsi="宋体"/>
          <w:color w:val="000000"/>
          <w:sz w:val="24"/>
        </w:rPr>
        <w:t>磋商响应文件。</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7.2 合同条款第7.1条的规定不能免除卖方在本合同项下的保证义务或其他义务。</w:t>
      </w:r>
    </w:p>
    <w:p>
      <w:pPr>
        <w:autoSpaceDN w:val="0"/>
        <w:spacing w:before="156" w:beforeLines="50" w:line="440" w:lineRule="exact"/>
        <w:ind w:firstLine="482" w:firstLineChars="200"/>
        <w:rPr>
          <w:rFonts w:hint="eastAsia" w:ascii="宋体" w:hAnsi="宋体"/>
          <w:b/>
          <w:color w:val="000000"/>
          <w:kern w:val="0"/>
          <w:sz w:val="24"/>
        </w:rPr>
      </w:pPr>
      <w:r>
        <w:rPr>
          <w:rFonts w:hint="eastAsia" w:ascii="宋体" w:hAnsi="宋体"/>
          <w:b/>
          <w:color w:val="000000"/>
          <w:kern w:val="0"/>
          <w:sz w:val="24"/>
        </w:rPr>
        <w:t>8.伴随服务</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 xml:space="preserve">8.1 </w:t>
      </w:r>
      <w:r>
        <w:rPr>
          <w:rFonts w:ascii="宋体" w:hAnsi="宋体"/>
          <w:color w:val="000000"/>
          <w:kern w:val="0"/>
          <w:sz w:val="24"/>
        </w:rPr>
        <w:t>除合同条款</w:t>
      </w:r>
      <w:r>
        <w:rPr>
          <w:rFonts w:hint="eastAsia" w:ascii="宋体" w:hAnsi="宋体"/>
          <w:color w:val="000000"/>
          <w:kern w:val="0"/>
          <w:sz w:val="24"/>
        </w:rPr>
        <w:t>中</w:t>
      </w:r>
      <w:r>
        <w:rPr>
          <w:rFonts w:ascii="宋体" w:hAnsi="宋体"/>
          <w:color w:val="000000"/>
          <w:kern w:val="0"/>
          <w:sz w:val="24"/>
        </w:rPr>
        <w:t>另有规定外，</w:t>
      </w:r>
      <w:r>
        <w:rPr>
          <w:rFonts w:hint="eastAsia" w:ascii="宋体" w:hAnsi="宋体"/>
          <w:color w:val="000000"/>
          <w:kern w:val="0"/>
          <w:sz w:val="24"/>
        </w:rPr>
        <w:t>买方</w:t>
      </w:r>
      <w:r>
        <w:rPr>
          <w:rFonts w:ascii="宋体" w:hAnsi="宋体"/>
          <w:color w:val="000000"/>
          <w:kern w:val="0"/>
          <w:sz w:val="24"/>
        </w:rPr>
        <w:t>只应要求卖方提交所供货物的技术文件。包括相应的每</w:t>
      </w:r>
      <w:r>
        <w:rPr>
          <w:rFonts w:hint="eastAsia" w:ascii="宋体" w:hAnsi="宋体"/>
          <w:color w:val="000000"/>
          <w:kern w:val="0"/>
          <w:sz w:val="24"/>
        </w:rPr>
        <w:t>一</w:t>
      </w:r>
      <w:r>
        <w:rPr>
          <w:rFonts w:ascii="宋体" w:hAnsi="宋体"/>
          <w:color w:val="000000"/>
          <w:kern w:val="0"/>
          <w:sz w:val="24"/>
        </w:rPr>
        <w:t>套</w:t>
      </w:r>
      <w:r>
        <w:rPr>
          <w:rFonts w:hint="eastAsia" w:ascii="宋体" w:hAnsi="宋体"/>
          <w:color w:val="000000"/>
          <w:kern w:val="0"/>
          <w:sz w:val="24"/>
        </w:rPr>
        <w:t>设</w:t>
      </w:r>
      <w:r>
        <w:rPr>
          <w:rFonts w:ascii="宋体" w:hAnsi="宋体"/>
          <w:color w:val="000000"/>
          <w:kern w:val="0"/>
          <w:sz w:val="24"/>
        </w:rPr>
        <w:t>备和仪器的中文的技术文件，例如</w:t>
      </w:r>
      <w:r>
        <w:rPr>
          <w:rFonts w:hint="eastAsia" w:ascii="宋体" w:hAnsi="宋体"/>
          <w:color w:val="000000"/>
          <w:kern w:val="0"/>
          <w:sz w:val="24"/>
        </w:rPr>
        <w:t>：</w:t>
      </w:r>
      <w:r>
        <w:rPr>
          <w:rFonts w:ascii="宋体" w:hAnsi="宋体"/>
          <w:color w:val="000000"/>
          <w:kern w:val="0"/>
          <w:sz w:val="24"/>
        </w:rPr>
        <w:t>产品目录、图纸、操作</w:t>
      </w:r>
      <w:r>
        <w:rPr>
          <w:rFonts w:hint="eastAsia" w:ascii="宋体" w:hAnsi="宋体"/>
          <w:color w:val="000000"/>
          <w:kern w:val="0"/>
          <w:sz w:val="24"/>
        </w:rPr>
        <w:t>手</w:t>
      </w:r>
      <w:r>
        <w:rPr>
          <w:rFonts w:ascii="宋体" w:hAnsi="宋体"/>
          <w:color w:val="000000"/>
          <w:kern w:val="0"/>
          <w:sz w:val="24"/>
        </w:rPr>
        <w:t>册、使用说明、维护</w:t>
      </w:r>
      <w:r>
        <w:rPr>
          <w:rFonts w:hint="eastAsia" w:ascii="宋体" w:hAnsi="宋体"/>
          <w:color w:val="000000"/>
          <w:kern w:val="0"/>
          <w:sz w:val="24"/>
        </w:rPr>
        <w:t>手</w:t>
      </w:r>
      <w:r>
        <w:rPr>
          <w:rFonts w:ascii="宋体" w:hAnsi="宋体"/>
          <w:color w:val="000000"/>
          <w:kern w:val="0"/>
          <w:sz w:val="24"/>
        </w:rPr>
        <w:t>册和／或服务指南。这些文件应包装好随同每批货物一起发运</w:t>
      </w:r>
      <w:r>
        <w:rPr>
          <w:rFonts w:hint="eastAsia" w:ascii="宋体" w:hAnsi="宋体"/>
          <w:color w:val="000000"/>
          <w:kern w:val="0"/>
          <w:sz w:val="24"/>
        </w:rPr>
        <w:t>。</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8.2 卖方可能被要求提供下列服务中的任一或所有服务，包括“</w:t>
      </w:r>
      <w:r>
        <w:rPr>
          <w:rFonts w:ascii="宋体" w:hAnsi="宋体"/>
          <w:color w:val="000000"/>
          <w:kern w:val="0"/>
          <w:sz w:val="24"/>
        </w:rPr>
        <w:t>合同条款</w:t>
      </w:r>
      <w:r>
        <w:rPr>
          <w:rFonts w:hint="eastAsia" w:ascii="宋体" w:hAnsi="宋体"/>
          <w:color w:val="000000"/>
          <w:kern w:val="0"/>
          <w:sz w:val="24"/>
        </w:rPr>
        <w:t>”与“技术规格与要求”中规定的附加服务（如果有的话）：</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1）实施或监督所供货物的现场组装和/或试运行；</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2）提供货物组装和/或维修所需的工具；</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3）为所供货物的每一适当的单台设备提供详细的操作和维护手册；</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4）在双方商定的一定期限内对所供货物实施运行或监督或维护或修理，但前提条件是该服务并不能免除卖方在合同保证期内所承担的义务；</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8.3 如果卖方或制造商提供的伴随服务的费用未含在货物的合同价中，双方应事先就其达成协议，但其费用单价不应超过卖方向其他人提供类似服务所收取的现行单价。</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8.4 卖方应提供“</w:t>
      </w:r>
      <w:r>
        <w:rPr>
          <w:rFonts w:ascii="宋体" w:hAnsi="宋体"/>
          <w:color w:val="000000"/>
          <w:kern w:val="0"/>
          <w:sz w:val="24"/>
        </w:rPr>
        <w:t>合同条款</w:t>
      </w:r>
      <w:r>
        <w:rPr>
          <w:rFonts w:hint="eastAsia" w:ascii="宋体" w:hAnsi="宋体"/>
          <w:color w:val="000000"/>
          <w:kern w:val="0"/>
          <w:sz w:val="24"/>
        </w:rPr>
        <w:t>”与“技术规格与要求”中规定的所有服务。为履行要求的伴随服务的报价或双方商定的费用应包括在合同价中。</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8.5 对于售后服务工作不到位，故意推诿、拖延，造成不良影响，将报请</w:t>
      </w:r>
      <w:r>
        <w:rPr>
          <w:rFonts w:ascii="宋体" w:hAnsi="宋体"/>
          <w:color w:val="000000"/>
          <w:sz w:val="24"/>
        </w:rPr>
        <w:t>陕西省财政厅政府采购与行政事业单位资产管理处</w:t>
      </w:r>
      <w:r>
        <w:rPr>
          <w:rFonts w:hint="eastAsia" w:ascii="宋体" w:hAnsi="宋体"/>
          <w:color w:val="000000"/>
          <w:kern w:val="0"/>
          <w:sz w:val="24"/>
        </w:rPr>
        <w:t>按有关规定进行处理。</w:t>
      </w:r>
    </w:p>
    <w:p>
      <w:pPr>
        <w:autoSpaceDN w:val="0"/>
        <w:spacing w:before="156" w:beforeLines="50" w:line="440" w:lineRule="exact"/>
        <w:ind w:firstLine="482" w:firstLineChars="200"/>
        <w:rPr>
          <w:rFonts w:hint="eastAsia" w:ascii="宋体" w:hAnsi="宋体"/>
          <w:b/>
          <w:color w:val="000000"/>
          <w:kern w:val="0"/>
          <w:sz w:val="24"/>
        </w:rPr>
      </w:pPr>
      <w:r>
        <w:rPr>
          <w:rFonts w:hint="eastAsia" w:ascii="宋体" w:hAnsi="宋体"/>
          <w:b/>
          <w:color w:val="000000"/>
          <w:kern w:val="0"/>
          <w:sz w:val="24"/>
        </w:rPr>
        <w:t>9.备品备件</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9.1 卖方可能被要求提供下列与备品备件有关的材料、通知和资料：</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1）买方从卖方选购备品备件，但前提条件是该选择并不能免除卖方在合同保证期内所承担的义务；</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2）在备品备件停止生产的情况下，卖方应事先将要停止生产的计划通知买方使买方有足够的时间采购所需的备品备件；</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3）在备品备件停止生产后，如果买方要求，卖方应免费向买方提供备品备件的蓝图、图纸和规格。</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9.2 卖方应按“</w:t>
      </w:r>
      <w:r>
        <w:rPr>
          <w:rFonts w:ascii="宋体" w:hAnsi="宋体"/>
          <w:color w:val="000000"/>
          <w:kern w:val="0"/>
          <w:sz w:val="24"/>
        </w:rPr>
        <w:t>合同条款</w:t>
      </w:r>
      <w:r>
        <w:rPr>
          <w:rFonts w:hint="eastAsia" w:ascii="宋体" w:hAnsi="宋体"/>
          <w:color w:val="000000"/>
          <w:kern w:val="0"/>
          <w:sz w:val="24"/>
        </w:rPr>
        <w:t>”与“技术规格与要求”中的规定提供所需的备品备件。</w:t>
      </w:r>
    </w:p>
    <w:p>
      <w:pPr>
        <w:autoSpaceDN w:val="0"/>
        <w:spacing w:before="156" w:beforeLines="50" w:line="440" w:lineRule="exact"/>
        <w:ind w:firstLine="482" w:firstLineChars="200"/>
        <w:rPr>
          <w:rFonts w:hint="eastAsia" w:ascii="宋体" w:hAnsi="宋体"/>
          <w:b/>
          <w:color w:val="000000"/>
          <w:kern w:val="0"/>
          <w:sz w:val="24"/>
        </w:rPr>
      </w:pPr>
      <w:r>
        <w:rPr>
          <w:rFonts w:hint="eastAsia" w:ascii="宋体" w:hAnsi="宋体"/>
          <w:b/>
          <w:color w:val="000000"/>
          <w:kern w:val="0"/>
          <w:sz w:val="24"/>
        </w:rPr>
        <w:t>10.质量保证</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10.1卖方应保证合同项下所供货物是全新的、未使用过的，是最新或目前最流行的型号和用一流的工艺生产的，</w:t>
      </w:r>
      <w:r>
        <w:rPr>
          <w:rFonts w:ascii="宋体" w:hAnsi="宋体"/>
          <w:color w:val="000000"/>
          <w:kern w:val="0"/>
          <w:sz w:val="24"/>
        </w:rPr>
        <w:t>并完全符合合同规定的质量、规格和性能的要求</w:t>
      </w:r>
      <w:r>
        <w:rPr>
          <w:rFonts w:hint="eastAsia" w:ascii="宋体" w:hAnsi="宋体"/>
          <w:color w:val="000000"/>
          <w:kern w:val="0"/>
          <w:sz w:val="24"/>
        </w:rPr>
        <w:t>,否则其履约保证金将不予退还。所有货物渠道正当，配置合理</w:t>
      </w:r>
      <w:r>
        <w:rPr>
          <w:rFonts w:ascii="宋体" w:hAnsi="宋体"/>
          <w:color w:val="000000"/>
          <w:kern w:val="0"/>
          <w:sz w:val="24"/>
        </w:rPr>
        <w:t>。</w:t>
      </w:r>
      <w:r>
        <w:rPr>
          <w:rFonts w:hint="eastAsia" w:ascii="宋体" w:hAnsi="宋体"/>
          <w:color w:val="000000"/>
          <w:kern w:val="0"/>
          <w:sz w:val="24"/>
        </w:rPr>
        <w:t>卖方进一步保证，合同项下提供的全部货物没有设计、材料或工艺上的缺陷，或者没有因卖方的行为或疏忽而产生的缺陷。</w:t>
      </w:r>
      <w:r>
        <w:rPr>
          <w:rFonts w:ascii="宋体" w:hAnsi="宋体"/>
          <w:color w:val="000000"/>
          <w:kern w:val="0"/>
          <w:sz w:val="24"/>
        </w:rPr>
        <w:t>卖方应保证其货物在正确安装、正常使用和保养条件下，在其</w:t>
      </w:r>
      <w:r>
        <w:rPr>
          <w:rFonts w:hint="eastAsia" w:ascii="宋体" w:hAnsi="宋体"/>
          <w:color w:val="000000"/>
          <w:kern w:val="0"/>
          <w:sz w:val="24"/>
        </w:rPr>
        <w:t>使用寿命期内应具有满意的性能。在货物的质量保证期</w:t>
      </w:r>
      <w:r>
        <w:rPr>
          <w:rFonts w:ascii="宋体" w:hAnsi="宋体"/>
          <w:color w:val="000000"/>
          <w:kern w:val="0"/>
          <w:sz w:val="24"/>
        </w:rPr>
        <w:t>内，卖方对由于设计、工艺或材料的缺陷而产生的故障负责。</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 xml:space="preserve">10.2 </w:t>
      </w:r>
      <w:r>
        <w:rPr>
          <w:rFonts w:ascii="宋体" w:hAnsi="宋体"/>
          <w:color w:val="000000"/>
          <w:kern w:val="0"/>
          <w:sz w:val="24"/>
        </w:rPr>
        <w:t>根据</w:t>
      </w:r>
      <w:r>
        <w:rPr>
          <w:rFonts w:hint="eastAsia" w:ascii="宋体" w:hAnsi="宋体"/>
          <w:color w:val="000000"/>
          <w:kern w:val="0"/>
          <w:sz w:val="24"/>
        </w:rPr>
        <w:t>质量检测</w:t>
      </w:r>
      <w:r>
        <w:rPr>
          <w:rFonts w:ascii="宋体" w:hAnsi="宋体"/>
          <w:color w:val="000000"/>
          <w:kern w:val="0"/>
          <w:sz w:val="24"/>
        </w:rPr>
        <w:t>部门检</w:t>
      </w:r>
      <w:r>
        <w:rPr>
          <w:rFonts w:hint="eastAsia" w:ascii="宋体" w:hAnsi="宋体"/>
          <w:color w:val="000000"/>
          <w:kern w:val="0"/>
          <w:sz w:val="24"/>
        </w:rPr>
        <w:t>测</w:t>
      </w:r>
      <w:r>
        <w:rPr>
          <w:rFonts w:ascii="宋体" w:hAnsi="宋体"/>
          <w:color w:val="000000"/>
          <w:kern w:val="0"/>
          <w:sz w:val="24"/>
        </w:rPr>
        <w:t>结果或者在质量保证期内，如果货物的数</w:t>
      </w:r>
      <w:r>
        <w:rPr>
          <w:rFonts w:hint="eastAsia" w:ascii="宋体" w:hAnsi="宋体"/>
          <w:color w:val="000000"/>
          <w:kern w:val="0"/>
          <w:sz w:val="24"/>
        </w:rPr>
        <w:t>量</w:t>
      </w:r>
      <w:r>
        <w:rPr>
          <w:rFonts w:ascii="宋体" w:hAnsi="宋体"/>
          <w:color w:val="000000"/>
          <w:kern w:val="0"/>
          <w:sz w:val="24"/>
        </w:rPr>
        <w:t>、质</w:t>
      </w:r>
      <w:r>
        <w:rPr>
          <w:rFonts w:hint="eastAsia" w:ascii="宋体" w:hAnsi="宋体"/>
          <w:color w:val="000000"/>
          <w:kern w:val="0"/>
          <w:sz w:val="24"/>
        </w:rPr>
        <w:t>量</w:t>
      </w:r>
      <w:r>
        <w:rPr>
          <w:rFonts w:ascii="宋体" w:hAnsi="宋体"/>
          <w:color w:val="000000"/>
          <w:kern w:val="0"/>
          <w:sz w:val="24"/>
        </w:rPr>
        <w:t>或规格与合同不符，或证实货物是有缺陷的，包括潜在的缺陷，买方应尽快以书面形式向卖方提出</w:t>
      </w:r>
      <w:r>
        <w:rPr>
          <w:rFonts w:hint="eastAsia" w:ascii="宋体" w:hAnsi="宋体"/>
          <w:color w:val="000000"/>
          <w:kern w:val="0"/>
          <w:sz w:val="24"/>
        </w:rPr>
        <w:t>所发现的缺陷</w:t>
      </w:r>
      <w:r>
        <w:rPr>
          <w:rFonts w:ascii="宋体" w:hAnsi="宋体"/>
          <w:color w:val="000000"/>
          <w:kern w:val="0"/>
          <w:sz w:val="24"/>
        </w:rPr>
        <w:t>。</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10.3 卖方收到通知后应在七（7）天时间内以合理的速度免费维修或更换有缺陷的货物或部件。</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10.4 如果卖方收到通知后在七（7）天时间内没有以合理的速度弥补缺陷，买方可提出索赔，并可采取必要的补救措施，但其风险和费用将由卖方承担，买方根据合同规定对卖方行使的其他权利不受影响。</w:t>
      </w:r>
      <w:r>
        <w:rPr>
          <w:rFonts w:hint="eastAsia" w:ascii="宋体" w:hAnsi="宋体" w:cs="宋体"/>
          <w:kern w:val="0"/>
          <w:sz w:val="24"/>
        </w:rPr>
        <w:t>卖方还应向买方支付违约金，数额为1000元/次。</w:t>
      </w:r>
    </w:p>
    <w:p>
      <w:pPr>
        <w:autoSpaceDN w:val="0"/>
        <w:spacing w:before="156" w:beforeLines="50" w:line="440" w:lineRule="exact"/>
        <w:ind w:firstLine="482" w:firstLineChars="200"/>
        <w:rPr>
          <w:rFonts w:hint="eastAsia" w:ascii="宋体" w:hAnsi="宋体"/>
          <w:b/>
          <w:color w:val="000000"/>
          <w:kern w:val="0"/>
          <w:sz w:val="24"/>
        </w:rPr>
      </w:pPr>
      <w:r>
        <w:rPr>
          <w:rFonts w:hint="eastAsia" w:ascii="宋体" w:hAnsi="宋体"/>
          <w:b/>
          <w:color w:val="000000"/>
          <w:kern w:val="0"/>
          <w:sz w:val="24"/>
        </w:rPr>
        <w:t>11.索赔</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11.1 卖方供应的货物质量不符合合同约定或国家标准、行业标准的，而买方在合同条款第10条或合同的其他条款规定的检验、安装、调试、验收和质量保证期内提出了索赔，卖方应按照买方同意的下列一种或几种方式结合起来解决索赔事宜：</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1）卖方同意退货并用合同规定的货币将货款退还给买方，并承担由此发生的一切损失和费用，包括利息、银行手续费、运费、保险费、检验费、仓储费、装卸费以及为看管和保护退回货物所需的其它必要费用。</w:t>
      </w:r>
      <w:r>
        <w:rPr>
          <w:rFonts w:hint="eastAsia" w:ascii="宋体" w:hAnsi="宋体"/>
          <w:kern w:val="0"/>
          <w:sz w:val="24"/>
          <w:lang w:eastAsia="zh-CN"/>
        </w:rPr>
        <w:t>卖方</w:t>
      </w:r>
      <w:r>
        <w:rPr>
          <w:rFonts w:hint="eastAsia" w:ascii="宋体" w:hAnsi="宋体"/>
          <w:kern w:val="0"/>
          <w:sz w:val="24"/>
        </w:rPr>
        <w:t>还应向</w:t>
      </w:r>
      <w:r>
        <w:rPr>
          <w:rFonts w:hint="eastAsia" w:ascii="宋体" w:hAnsi="宋体"/>
          <w:kern w:val="0"/>
          <w:sz w:val="24"/>
          <w:lang w:eastAsia="zh-CN"/>
        </w:rPr>
        <w:t>买方</w:t>
      </w:r>
      <w:r>
        <w:rPr>
          <w:rFonts w:hint="eastAsia" w:ascii="宋体" w:hAnsi="宋体"/>
          <w:kern w:val="0"/>
          <w:sz w:val="24"/>
        </w:rPr>
        <w:t>支付违约金，数额为合同价的10%。</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2）根据货物的偏差情况、损坏程度、以及买方所遭受损失的金额，经买卖双方商定降低货物的价格。</w:t>
      </w:r>
      <w:r>
        <w:rPr>
          <w:rFonts w:hint="eastAsia" w:ascii="宋体" w:hAnsi="宋体"/>
          <w:kern w:val="0"/>
          <w:sz w:val="24"/>
          <w:lang w:eastAsia="zh-CN"/>
        </w:rPr>
        <w:t>卖方</w:t>
      </w:r>
      <w:r>
        <w:rPr>
          <w:rFonts w:hint="eastAsia" w:ascii="宋体" w:hAnsi="宋体"/>
          <w:kern w:val="0"/>
          <w:sz w:val="24"/>
        </w:rPr>
        <w:t>还应向</w:t>
      </w:r>
      <w:r>
        <w:rPr>
          <w:rFonts w:hint="eastAsia" w:ascii="宋体" w:hAnsi="宋体"/>
          <w:kern w:val="0"/>
          <w:sz w:val="24"/>
          <w:lang w:eastAsia="zh-CN"/>
        </w:rPr>
        <w:t>买方</w:t>
      </w:r>
      <w:r>
        <w:rPr>
          <w:rFonts w:hint="eastAsia" w:ascii="宋体" w:hAnsi="宋体"/>
          <w:kern w:val="0"/>
          <w:sz w:val="24"/>
        </w:rPr>
        <w:t>支付违约金，数额为合同价的10%。</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3）用符合合同规定的规格、质量和性能要求的新零件、部件和/或设备来更换有缺陷的部分和/或修补缺陷部分，卖方应承担一切费用和风险并负担买方蒙受的全部直接损失费用。同时，卖方应按合同条款第10条规定，相应延长所更换货物的质量保证期。</w:t>
      </w:r>
      <w:r>
        <w:rPr>
          <w:rFonts w:hint="eastAsia" w:ascii="宋体" w:hAnsi="宋体"/>
          <w:kern w:val="0"/>
          <w:sz w:val="24"/>
          <w:lang w:eastAsia="zh-CN"/>
        </w:rPr>
        <w:t>卖方</w:t>
      </w:r>
      <w:r>
        <w:rPr>
          <w:rFonts w:hint="eastAsia" w:ascii="宋体" w:hAnsi="宋体"/>
          <w:kern w:val="0"/>
          <w:sz w:val="24"/>
        </w:rPr>
        <w:t>还应向</w:t>
      </w:r>
      <w:r>
        <w:rPr>
          <w:rFonts w:hint="eastAsia" w:ascii="宋体" w:hAnsi="宋体"/>
          <w:kern w:val="0"/>
          <w:sz w:val="24"/>
          <w:lang w:eastAsia="zh-CN"/>
        </w:rPr>
        <w:t>买方</w:t>
      </w:r>
      <w:r>
        <w:rPr>
          <w:rFonts w:hint="eastAsia" w:ascii="宋体" w:hAnsi="宋体"/>
          <w:kern w:val="0"/>
          <w:sz w:val="24"/>
        </w:rPr>
        <w:t>支付违约金，数额为合同价的10%。</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11.2 如果在买方发出索赔通知后三十（30）天内，卖方未作答复，上述索赔应视为已被卖方接受。如卖方未能在买方发出索赔通知后三十（30）天内或买方同意的延长期限内，按照买方同意的上述规定的任何一种方法解决索赔事宜，买方将从未付货款/或卖方的履约保证金中扣回索赔金额。</w:t>
      </w:r>
    </w:p>
    <w:p>
      <w:pPr>
        <w:autoSpaceDN w:val="0"/>
        <w:spacing w:before="156" w:beforeLines="50" w:line="440" w:lineRule="exact"/>
        <w:ind w:firstLine="482" w:firstLineChars="200"/>
        <w:rPr>
          <w:rFonts w:hint="eastAsia" w:ascii="宋体" w:hAnsi="宋体"/>
          <w:b/>
          <w:color w:val="000000"/>
          <w:kern w:val="0"/>
          <w:sz w:val="24"/>
        </w:rPr>
      </w:pPr>
      <w:r>
        <w:rPr>
          <w:rFonts w:hint="eastAsia" w:ascii="宋体" w:hAnsi="宋体"/>
          <w:b/>
          <w:color w:val="000000"/>
          <w:kern w:val="0"/>
          <w:sz w:val="24"/>
        </w:rPr>
        <w:t>12.付款</w:t>
      </w:r>
    </w:p>
    <w:p>
      <w:pPr>
        <w:tabs>
          <w:tab w:val="left" w:pos="896"/>
        </w:tabs>
        <w:adjustRightInd w:val="0"/>
        <w:snapToGrid w:val="0"/>
        <w:spacing w:line="440" w:lineRule="exact"/>
        <w:ind w:firstLine="470" w:firstLineChars="196"/>
        <w:rPr>
          <w:rFonts w:hint="eastAsia" w:ascii="宋体" w:hAnsi="宋体"/>
          <w:color w:val="000000"/>
          <w:sz w:val="24"/>
        </w:rPr>
      </w:pPr>
      <w:r>
        <w:rPr>
          <w:rFonts w:hint="eastAsia" w:ascii="宋体" w:hAnsi="宋体"/>
          <w:color w:val="000000"/>
          <w:sz w:val="24"/>
          <w:lang w:val="en-US" w:eastAsia="zh-CN"/>
        </w:rPr>
        <w:t>12</w:t>
      </w:r>
      <w:r>
        <w:rPr>
          <w:rFonts w:hint="eastAsia" w:ascii="宋体" w:hAnsi="宋体"/>
          <w:color w:val="000000"/>
          <w:sz w:val="24"/>
        </w:rPr>
        <w:t>.1付款：验收合格后，成交人持《验收合格单》办理合同总金额的95%的货款，剩余5%作为质保金，在质保满一年且无索赔争议时支付。</w:t>
      </w:r>
    </w:p>
    <w:p>
      <w:pPr>
        <w:tabs>
          <w:tab w:val="left" w:pos="896"/>
        </w:tabs>
        <w:adjustRightInd w:val="0"/>
        <w:snapToGrid w:val="0"/>
        <w:spacing w:line="440" w:lineRule="exact"/>
        <w:ind w:firstLine="470" w:firstLineChars="196"/>
        <w:rPr>
          <w:rFonts w:hint="eastAsia" w:ascii="宋体" w:hAnsi="宋体"/>
          <w:color w:val="000000"/>
          <w:sz w:val="24"/>
        </w:rPr>
      </w:pPr>
      <w:r>
        <w:rPr>
          <w:rFonts w:hint="eastAsia" w:ascii="宋体" w:hAnsi="宋体"/>
          <w:color w:val="000000"/>
          <w:sz w:val="24"/>
          <w:lang w:val="en-US" w:eastAsia="zh-CN"/>
        </w:rPr>
        <w:t>12</w:t>
      </w:r>
      <w:r>
        <w:rPr>
          <w:rFonts w:hint="eastAsia" w:ascii="宋体" w:hAnsi="宋体"/>
          <w:color w:val="000000"/>
          <w:sz w:val="24"/>
        </w:rPr>
        <w:t>.2 结算方式：银行转账</w:t>
      </w:r>
    </w:p>
    <w:p>
      <w:pPr>
        <w:tabs>
          <w:tab w:val="left" w:pos="896"/>
        </w:tabs>
        <w:adjustRightInd w:val="0"/>
        <w:snapToGrid w:val="0"/>
        <w:spacing w:line="440" w:lineRule="exact"/>
        <w:ind w:firstLine="470" w:firstLineChars="196"/>
        <w:rPr>
          <w:rFonts w:hint="eastAsia" w:ascii="宋体" w:hAnsi="宋体" w:eastAsia="宋体"/>
          <w:color w:val="000000"/>
          <w:sz w:val="24"/>
          <w:lang w:eastAsia="zh-CN"/>
        </w:rPr>
      </w:pPr>
      <w:r>
        <w:rPr>
          <w:rFonts w:hint="eastAsia" w:ascii="宋体" w:hAnsi="宋体"/>
          <w:color w:val="000000"/>
          <w:sz w:val="24"/>
          <w:lang w:val="en-US" w:eastAsia="zh-CN"/>
        </w:rPr>
        <w:t>12</w:t>
      </w:r>
      <w:r>
        <w:rPr>
          <w:rFonts w:hint="eastAsia" w:ascii="宋体" w:hAnsi="宋体"/>
          <w:color w:val="000000"/>
          <w:sz w:val="24"/>
        </w:rPr>
        <w:t>.3 货款支付单位为：</w:t>
      </w:r>
      <w:r>
        <w:rPr>
          <w:rFonts w:hint="eastAsia" w:ascii="宋体" w:hAnsi="宋体"/>
          <w:color w:val="000000"/>
          <w:sz w:val="24"/>
          <w:lang w:eastAsia="zh-CN"/>
        </w:rPr>
        <w:t>渭南师范学院</w:t>
      </w:r>
    </w:p>
    <w:p>
      <w:pPr>
        <w:spacing w:line="440" w:lineRule="exact"/>
        <w:ind w:firstLine="480" w:firstLineChars="200"/>
        <w:rPr>
          <w:rFonts w:hint="eastAsia" w:ascii="宋体" w:hAnsi="宋体"/>
          <w:color w:val="000000"/>
          <w:kern w:val="0"/>
          <w:sz w:val="24"/>
        </w:rPr>
      </w:pPr>
      <w:r>
        <w:rPr>
          <w:rFonts w:hint="eastAsia" w:hAnsi="宋体"/>
          <w:color w:val="000000"/>
          <w:sz w:val="24"/>
        </w:rPr>
        <w:t>发票开具的“购货单位（人）名称”为：</w:t>
      </w:r>
      <w:r>
        <w:rPr>
          <w:rFonts w:hint="eastAsia" w:hAnsi="宋体"/>
          <w:color w:val="000000"/>
          <w:sz w:val="24"/>
          <w:lang w:eastAsia="zh-CN"/>
        </w:rPr>
        <w:t>渭南师范学院</w:t>
      </w:r>
    </w:p>
    <w:p>
      <w:pPr>
        <w:autoSpaceDN w:val="0"/>
        <w:spacing w:before="156" w:beforeLines="50" w:line="440" w:lineRule="exact"/>
        <w:ind w:firstLine="482" w:firstLineChars="200"/>
        <w:rPr>
          <w:rFonts w:hint="eastAsia" w:ascii="宋体" w:hAnsi="宋体"/>
          <w:b/>
          <w:color w:val="000000"/>
          <w:kern w:val="0"/>
          <w:sz w:val="24"/>
        </w:rPr>
      </w:pPr>
      <w:r>
        <w:rPr>
          <w:rFonts w:hint="eastAsia" w:ascii="宋体" w:hAnsi="宋体"/>
          <w:b/>
          <w:color w:val="000000"/>
          <w:kern w:val="0"/>
          <w:sz w:val="24"/>
        </w:rPr>
        <w:t>13.价格</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13.1 卖方在本合同项下提交货物和履行服务的价格按成交通知书的所列值在合同中给出。</w:t>
      </w:r>
    </w:p>
    <w:p>
      <w:pPr>
        <w:autoSpaceDN w:val="0"/>
        <w:spacing w:before="156" w:beforeLines="50" w:line="440" w:lineRule="exact"/>
        <w:ind w:firstLine="482" w:firstLineChars="200"/>
        <w:rPr>
          <w:rFonts w:hint="eastAsia" w:ascii="宋体" w:hAnsi="宋体"/>
          <w:b/>
          <w:color w:val="000000"/>
          <w:kern w:val="0"/>
          <w:sz w:val="24"/>
        </w:rPr>
      </w:pPr>
      <w:r>
        <w:rPr>
          <w:rFonts w:hint="eastAsia" w:ascii="宋体" w:hAnsi="宋体"/>
          <w:b/>
          <w:color w:val="000000"/>
          <w:kern w:val="0"/>
          <w:sz w:val="24"/>
        </w:rPr>
        <w:t>14.变更指令</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14.1 买方可以在任何时候书面向卖方发出指令，在本合同的一般范围内变更下述一项或几项：</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1）本合同项下提供的货物是专为买方制造时，变更图纸、设计或规格；</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2）运输或包装的方法；</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3）交货地点；</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4）卖方提供的服务。</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14.2 如果上述变更使卖方履行合同义务的费用或时间增加或减少，将对合同价或交货时间或两者进行公平的调整，同时相应修改合同。卖方根据本条进行调整的要求必须在收到买方的变更指令后三十（30）天内提出。</w:t>
      </w:r>
    </w:p>
    <w:p>
      <w:pPr>
        <w:autoSpaceDN w:val="0"/>
        <w:spacing w:before="156" w:beforeLines="50" w:line="440" w:lineRule="exact"/>
        <w:ind w:firstLine="482" w:firstLineChars="200"/>
        <w:rPr>
          <w:rFonts w:hint="eastAsia" w:ascii="宋体" w:hAnsi="宋体"/>
          <w:b/>
          <w:color w:val="000000"/>
          <w:kern w:val="0"/>
          <w:sz w:val="24"/>
        </w:rPr>
      </w:pPr>
      <w:r>
        <w:rPr>
          <w:rFonts w:hint="eastAsia" w:ascii="宋体" w:hAnsi="宋体"/>
          <w:b/>
          <w:color w:val="000000"/>
          <w:kern w:val="0"/>
          <w:sz w:val="24"/>
        </w:rPr>
        <w:t>15.合同修改</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15.1 除了合同条款第14条的情况，不应对合同条款进行任何变更或修改，除非双方同意并签订书面的合同修改书。</w:t>
      </w:r>
    </w:p>
    <w:p>
      <w:pPr>
        <w:autoSpaceDN w:val="0"/>
        <w:spacing w:before="156" w:beforeLines="50" w:line="440" w:lineRule="exact"/>
        <w:ind w:firstLine="482" w:firstLineChars="200"/>
        <w:rPr>
          <w:rFonts w:hint="eastAsia" w:ascii="宋体" w:hAnsi="宋体"/>
          <w:b/>
          <w:color w:val="000000"/>
          <w:kern w:val="0"/>
          <w:sz w:val="24"/>
        </w:rPr>
      </w:pPr>
      <w:r>
        <w:rPr>
          <w:rFonts w:hint="eastAsia" w:ascii="宋体" w:hAnsi="宋体"/>
          <w:b/>
          <w:color w:val="000000"/>
          <w:kern w:val="0"/>
          <w:sz w:val="24"/>
        </w:rPr>
        <w:t>16.转让</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16.1 未经买方事先书面同意，卖方不得部分转让或全部转让其应履行的合同义务。</w:t>
      </w:r>
    </w:p>
    <w:p>
      <w:pPr>
        <w:autoSpaceDN w:val="0"/>
        <w:spacing w:before="156" w:beforeLines="50" w:line="440" w:lineRule="exact"/>
        <w:ind w:firstLine="482" w:firstLineChars="200"/>
        <w:rPr>
          <w:rFonts w:hint="eastAsia" w:ascii="宋体" w:hAnsi="宋体"/>
          <w:b/>
          <w:color w:val="000000"/>
          <w:kern w:val="0"/>
          <w:sz w:val="24"/>
        </w:rPr>
      </w:pPr>
      <w:r>
        <w:rPr>
          <w:rFonts w:hint="eastAsia" w:ascii="宋体" w:hAnsi="宋体"/>
          <w:b/>
          <w:color w:val="000000"/>
          <w:kern w:val="0"/>
          <w:sz w:val="24"/>
        </w:rPr>
        <w:t>17.分包</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17.1 对磋商文件中没有明确分包的合同，卖方应书面通知买方其在本合同中将分包的全部分包合同，并需经买方同意，但此分包通知并不能解除卖方履行本合同的责任和义务。</w:t>
      </w:r>
    </w:p>
    <w:p>
      <w:pPr>
        <w:autoSpaceDN w:val="0"/>
        <w:spacing w:before="156" w:beforeLines="50" w:line="440" w:lineRule="exact"/>
        <w:ind w:firstLine="482" w:firstLineChars="200"/>
        <w:rPr>
          <w:rFonts w:hint="eastAsia" w:ascii="宋体" w:hAnsi="宋体"/>
          <w:b/>
          <w:color w:val="000000"/>
          <w:kern w:val="0"/>
          <w:sz w:val="24"/>
        </w:rPr>
      </w:pPr>
      <w:r>
        <w:rPr>
          <w:rFonts w:hint="eastAsia" w:ascii="宋体" w:hAnsi="宋体"/>
          <w:b/>
          <w:color w:val="000000"/>
          <w:kern w:val="0"/>
          <w:sz w:val="24"/>
        </w:rPr>
        <w:t>18.卖方履约延误</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18.1 卖方应按照合同中规定的交货时间和服务要求按时交货和提供服务。</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18.2 在履行合同过程中，如果卖方及其分包人遇到妨碍按时交货和提供服务的情况时，应及时以书面形式将拖延的事实、可能拖延的时间和原因通知买方。买方在收到卖方通知后，应尽快对情况进行评价，并确定是否同意延长交货时间以及是否收取误期赔偿费。延期应通过修改合同的方式由双方认可。</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18.3 除合同条款第21条规定的情况外,除非拖延是根据合同条款第18.2条的规定取得同意而不收取误期赔偿费之外，卖方延误交货，将按合同条款第19条的规定被收取误期赔偿费。</w:t>
      </w:r>
    </w:p>
    <w:p>
      <w:pPr>
        <w:autoSpaceDN w:val="0"/>
        <w:spacing w:before="156" w:beforeLines="50" w:line="440" w:lineRule="exact"/>
        <w:ind w:firstLine="482" w:firstLineChars="200"/>
        <w:rPr>
          <w:rFonts w:hint="eastAsia" w:ascii="宋体" w:hAnsi="宋体"/>
          <w:b/>
          <w:color w:val="000000"/>
          <w:kern w:val="0"/>
          <w:sz w:val="24"/>
        </w:rPr>
      </w:pPr>
      <w:r>
        <w:rPr>
          <w:rFonts w:hint="eastAsia" w:ascii="宋体" w:hAnsi="宋体"/>
          <w:b/>
          <w:color w:val="000000"/>
          <w:kern w:val="0"/>
          <w:sz w:val="24"/>
        </w:rPr>
        <w:t>19.误期赔偿费</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19.1  除合同条款第21条规定的情况外，如果卖方没有按照合同规定的时间交货和提供服务，买方应在不影响合同项下的其他补救措施的情况下，从合同价中扣除误期赔偿费。</w:t>
      </w:r>
      <w:r>
        <w:rPr>
          <w:rFonts w:hint="eastAsia" w:ascii="宋体" w:hAnsi="宋体" w:cs="宋体"/>
          <w:kern w:val="0"/>
          <w:sz w:val="24"/>
        </w:rPr>
        <w:t>每延</w:t>
      </w:r>
      <w:r>
        <w:rPr>
          <w:rFonts w:hint="eastAsia" w:ascii="宋体" w:hAnsi="宋体" w:cs="宋体"/>
          <w:color w:val="auto"/>
          <w:kern w:val="0"/>
          <w:sz w:val="24"/>
        </w:rPr>
        <w:t>误一日，卖方应向买方支付违约金5000元计收</w:t>
      </w:r>
      <w:r>
        <w:rPr>
          <w:rFonts w:hint="eastAsia" w:ascii="宋体" w:hAnsi="宋体"/>
          <w:color w:val="auto"/>
          <w:kern w:val="0"/>
          <w:sz w:val="24"/>
        </w:rPr>
        <w:t>，直至交货或提供服务为止。误期赔偿费的最高限额为合同价格的百分之五（5%）。一旦达到误期赔偿费的最高限额，买方可考虑根据合同条款第20条的规定终止合同。</w:t>
      </w:r>
    </w:p>
    <w:p>
      <w:pPr>
        <w:autoSpaceDN w:val="0"/>
        <w:spacing w:before="156" w:beforeLines="50" w:line="440" w:lineRule="exact"/>
        <w:ind w:firstLine="482" w:firstLineChars="200"/>
        <w:rPr>
          <w:rFonts w:hint="eastAsia" w:ascii="宋体" w:hAnsi="宋体"/>
          <w:b/>
          <w:color w:val="000000"/>
          <w:kern w:val="0"/>
          <w:sz w:val="24"/>
        </w:rPr>
      </w:pPr>
      <w:r>
        <w:rPr>
          <w:rFonts w:hint="eastAsia" w:ascii="宋体" w:hAnsi="宋体"/>
          <w:b/>
          <w:color w:val="000000"/>
          <w:kern w:val="0"/>
          <w:sz w:val="24"/>
        </w:rPr>
        <w:t>20.违约终止合同</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20.1 在买方对卖方违约而采取的任何补救措施不受影响的情况下，买方可向卖方发出书面违约通知书，提出终止部分或全部合同：</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1）如果卖方未能在合同规定的期限内或买方根据合同条款第18.2条的规定同意延长的期限内提供部分或全部货物；</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2）如果卖方未能履行合同规定的其它任何义务。</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3）如果买方认为卖方在本合同的竞争和实施过程中有腐败和欺诈行为。为此目的，定义下述条件：</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“腐败行为”是指提供、给予、接受或索取任何有价值的物品来影响买方在采购过程或合同实施过程中的行为。</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“欺诈行为”是指为了影响采购过程或合同实施过程而谎报或隐瞒事实，损害买方利益的行为。</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20.2 如果买方根据上述第20.1条的规定，终止了全部或部分合同，买方可以依其认为适当的条件和方法购买与未交货物类似的货物或服务，卖方应承担买方因购买类似货物或服务而产生的额外支出</w:t>
      </w:r>
      <w:r>
        <w:rPr>
          <w:rFonts w:hint="eastAsia" w:ascii="宋体" w:hAnsi="宋体"/>
          <w:color w:val="000000"/>
          <w:kern w:val="0"/>
          <w:sz w:val="24"/>
          <w:lang w:eastAsia="zh-CN"/>
        </w:rPr>
        <w:t>，</w:t>
      </w:r>
      <w:r>
        <w:rPr>
          <w:rFonts w:hint="eastAsia" w:ascii="宋体" w:hAnsi="宋体" w:cs="宋体"/>
          <w:kern w:val="0"/>
          <w:sz w:val="24"/>
        </w:rPr>
        <w:t>数额为合同总价款的10%</w:t>
      </w:r>
      <w:r>
        <w:rPr>
          <w:rFonts w:hint="eastAsia" w:ascii="宋体" w:hAnsi="宋体"/>
          <w:color w:val="000000"/>
          <w:kern w:val="0"/>
          <w:sz w:val="24"/>
        </w:rPr>
        <w:t>。但是，卖方应继续执行合同中未终止的部分。</w:t>
      </w:r>
    </w:p>
    <w:p>
      <w:pPr>
        <w:autoSpaceDN w:val="0"/>
        <w:spacing w:before="156" w:beforeLines="50" w:line="440" w:lineRule="exact"/>
        <w:ind w:firstLine="482" w:firstLineChars="200"/>
        <w:rPr>
          <w:rFonts w:hint="eastAsia" w:ascii="宋体" w:hAnsi="宋体"/>
          <w:b/>
          <w:color w:val="000000"/>
          <w:kern w:val="0"/>
          <w:sz w:val="24"/>
        </w:rPr>
      </w:pPr>
      <w:r>
        <w:rPr>
          <w:rFonts w:hint="eastAsia" w:ascii="宋体" w:hAnsi="宋体"/>
          <w:b/>
          <w:color w:val="000000"/>
          <w:kern w:val="0"/>
          <w:sz w:val="24"/>
        </w:rPr>
        <w:t>21.不可抗力</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21.1 签约双方中任何一方由于不可抗力事件的影响而不能执行合同时，履行合同的期限应予延长，其延长的期限应相当于事件所影响的时间。不可抗力事件系指买卖双方在缔结合同时所不能预见的，并且它的发生及其后果是无法避免和无法克服的事件，诸如严重火灾、洪水、台风、地震等。</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21.2 受影响一方应在不可抗力事件发生后尽快用书面形式通知对方，并于不可抗力事件发生后十四（14）天内将有关当局出具的证明文件用特快专递或挂号信寄给对方审阅确认。一旦不可抗力事件的影响持续一百二十天（120）天以上，双方应通过友好协商在合理的时间内达成进一步履行合同的协议。</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21.3 因合同一方迟延履行合同后发生不可抗力的，不能免除迟延履行方的相应责任。</w:t>
      </w:r>
    </w:p>
    <w:p>
      <w:pPr>
        <w:autoSpaceDN w:val="0"/>
        <w:spacing w:before="156" w:beforeLines="50" w:line="440" w:lineRule="exact"/>
        <w:ind w:firstLine="482" w:firstLineChars="200"/>
        <w:rPr>
          <w:rFonts w:hint="eastAsia" w:ascii="宋体" w:hAnsi="宋体"/>
          <w:b/>
          <w:color w:val="000000"/>
          <w:kern w:val="0"/>
          <w:sz w:val="24"/>
        </w:rPr>
      </w:pPr>
      <w:r>
        <w:rPr>
          <w:rFonts w:hint="eastAsia" w:ascii="宋体" w:hAnsi="宋体"/>
          <w:b/>
          <w:color w:val="000000"/>
          <w:kern w:val="0"/>
          <w:sz w:val="24"/>
        </w:rPr>
        <w:t>22.因破产而终止合同</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22.1 如果卖方破产或无清偿能力，买方可在任何时候以书面形式通知卖方，提出终止合同而不给卖方补偿。该合同的终止将不损害或影响买方已经采取或将要采取的任何行动或补救措施的权利。</w:t>
      </w:r>
    </w:p>
    <w:p>
      <w:pPr>
        <w:autoSpaceDN w:val="0"/>
        <w:spacing w:before="156" w:beforeLines="50" w:line="440" w:lineRule="exact"/>
        <w:ind w:firstLine="482" w:firstLineChars="200"/>
        <w:rPr>
          <w:rFonts w:hint="eastAsia" w:ascii="宋体" w:hAnsi="宋体"/>
          <w:b/>
          <w:color w:val="000000"/>
          <w:kern w:val="0"/>
          <w:sz w:val="24"/>
        </w:rPr>
      </w:pPr>
      <w:r>
        <w:rPr>
          <w:rFonts w:hint="eastAsia" w:ascii="宋体" w:hAnsi="宋体"/>
          <w:b/>
          <w:color w:val="000000"/>
          <w:kern w:val="0"/>
          <w:sz w:val="24"/>
        </w:rPr>
        <w:t>23.因买方的便利而终止合同</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23.1 买方可在任何时候出于自身的便利向卖方发出书面通知全部或部分终止合同，终止通知应明确该终止合同是出于买方的便利，并明确合同终止的程度，以及终止的生效日期。</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23.2 对卖方收到终止通知后三十（30）天内已完成并准备装运的货物，买方应按原合同价格和条款予以接收，对于剩下的货物，买方可：</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1）仅对部分货物按照原来的合同价格和条款予以接受；</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2）取消对所剩货物的采购，并按双方商定的金额向卖方支付部分完成的货物和服务以及卖方以前已采购的材料和部件的费用。</w:t>
      </w:r>
    </w:p>
    <w:p>
      <w:pPr>
        <w:autoSpaceDN w:val="0"/>
        <w:spacing w:before="156" w:beforeLines="50" w:line="440" w:lineRule="exact"/>
        <w:ind w:firstLine="482" w:firstLineChars="200"/>
        <w:rPr>
          <w:rFonts w:hint="eastAsia" w:ascii="宋体" w:hAnsi="宋体"/>
          <w:b/>
          <w:color w:val="000000"/>
          <w:kern w:val="0"/>
          <w:sz w:val="24"/>
        </w:rPr>
      </w:pPr>
      <w:r>
        <w:rPr>
          <w:rFonts w:hint="eastAsia" w:ascii="宋体" w:hAnsi="宋体"/>
          <w:b/>
          <w:color w:val="000000"/>
          <w:kern w:val="0"/>
          <w:sz w:val="24"/>
        </w:rPr>
        <w:t>24.争议的解决</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24.1 因执行本合同所发生的与本合同有关的一切争议,双方应通过友好协商解决。如果协商开始后还不能解决，任何一方均可按中华人民共和国有关法律的规定提交</w:t>
      </w:r>
      <w:r>
        <w:rPr>
          <w:rFonts w:hint="eastAsia" w:ascii="宋体" w:hAnsi="宋体"/>
          <w:color w:val="000000"/>
          <w:kern w:val="0"/>
          <w:sz w:val="24"/>
          <w:lang w:eastAsia="zh-CN"/>
        </w:rPr>
        <w:t>渭南仲裁委员会裁决</w:t>
      </w:r>
      <w:r>
        <w:rPr>
          <w:rFonts w:hint="eastAsia" w:ascii="宋体" w:hAnsi="宋体"/>
          <w:color w:val="000000"/>
          <w:kern w:val="0"/>
          <w:sz w:val="24"/>
        </w:rPr>
        <w:t>。</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24.2 仲裁裁决应为最终裁决，对双方均具有约束力。</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24.3 仲裁费除仲裁机关另有裁决外均应由败诉方负担。</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24.4 在仲裁期间，除正在进行仲裁的部分外，本合同其它部分应继续执行。</w:t>
      </w:r>
    </w:p>
    <w:p>
      <w:pPr>
        <w:autoSpaceDN w:val="0"/>
        <w:spacing w:before="156" w:beforeLines="50" w:line="440" w:lineRule="exact"/>
        <w:ind w:firstLine="482" w:firstLineChars="200"/>
        <w:rPr>
          <w:rFonts w:hint="eastAsia" w:ascii="宋体" w:hAnsi="宋体"/>
          <w:b/>
          <w:color w:val="000000"/>
          <w:kern w:val="0"/>
          <w:sz w:val="24"/>
        </w:rPr>
      </w:pPr>
      <w:r>
        <w:rPr>
          <w:rFonts w:hint="eastAsia" w:ascii="宋体" w:hAnsi="宋体"/>
          <w:b/>
          <w:color w:val="000000"/>
          <w:kern w:val="0"/>
          <w:sz w:val="24"/>
        </w:rPr>
        <w:t>25.适用法律</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25.1 本合同应按照中华人民共和国的现行法律进行解释。</w:t>
      </w:r>
    </w:p>
    <w:p>
      <w:pPr>
        <w:autoSpaceDN w:val="0"/>
        <w:spacing w:before="156" w:beforeLines="50" w:line="440" w:lineRule="exact"/>
        <w:ind w:firstLine="482" w:firstLineChars="200"/>
        <w:rPr>
          <w:rFonts w:hint="eastAsia" w:ascii="宋体" w:hAnsi="宋体"/>
          <w:b/>
          <w:color w:val="000000"/>
          <w:kern w:val="0"/>
          <w:sz w:val="24"/>
        </w:rPr>
      </w:pPr>
      <w:r>
        <w:rPr>
          <w:rFonts w:hint="eastAsia" w:ascii="宋体" w:hAnsi="宋体"/>
          <w:b/>
          <w:color w:val="000000"/>
          <w:kern w:val="0"/>
          <w:sz w:val="24"/>
        </w:rPr>
        <w:t>26.通知</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26.1 本合同一方给对方的通知应用书面形式送到合同条款中规定的对方的地址。传真要经书面确认。</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26.2 通知以送到日期或通知书的生效日期为生效日期，两者中以晚的一个日期为准。</w:t>
      </w:r>
    </w:p>
    <w:p>
      <w:pPr>
        <w:autoSpaceDN w:val="0"/>
        <w:spacing w:before="156" w:beforeLines="50" w:line="440" w:lineRule="exact"/>
        <w:ind w:firstLine="482" w:firstLineChars="200"/>
        <w:rPr>
          <w:rFonts w:hint="eastAsia" w:ascii="宋体" w:hAnsi="宋体"/>
          <w:b/>
          <w:color w:val="000000"/>
          <w:kern w:val="0"/>
          <w:sz w:val="24"/>
        </w:rPr>
      </w:pPr>
      <w:r>
        <w:rPr>
          <w:rFonts w:hint="eastAsia" w:ascii="宋体" w:hAnsi="宋体"/>
          <w:b/>
          <w:color w:val="000000"/>
          <w:kern w:val="0"/>
          <w:sz w:val="24"/>
        </w:rPr>
        <w:t>27.税款</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27.1 按照中华人民共和国税法和有关部门的规定，买方需交纳的与本合同有关的一切税费均应由买方负担。</w:t>
      </w:r>
    </w:p>
    <w:p>
      <w:pPr>
        <w:autoSpaceDN w:val="0"/>
        <w:spacing w:line="440" w:lineRule="exact"/>
        <w:ind w:firstLine="480" w:firstLineChars="200"/>
        <w:rPr>
          <w:rFonts w:hint="eastAsia" w:ascii="宋体" w:hAnsi="宋体"/>
          <w:color w:val="000000"/>
          <w:kern w:val="0"/>
          <w:sz w:val="24"/>
        </w:rPr>
      </w:pPr>
      <w:r>
        <w:rPr>
          <w:rFonts w:hint="eastAsia" w:ascii="宋体" w:hAnsi="宋体"/>
          <w:color w:val="000000"/>
          <w:kern w:val="0"/>
          <w:sz w:val="24"/>
        </w:rPr>
        <w:t>27.2 按照中华人民共和国税法和有关部门的规定，卖方需交纳的与本合同有关的一切税费均应由卖方负担。</w:t>
      </w:r>
    </w:p>
    <w:p>
      <w:pPr>
        <w:autoSpaceDN w:val="0"/>
        <w:adjustRightInd w:val="0"/>
        <w:snapToGrid w:val="0"/>
        <w:spacing w:before="156" w:beforeLines="50" w:line="440" w:lineRule="exact"/>
        <w:ind w:firstLine="482" w:firstLineChars="200"/>
        <w:rPr>
          <w:rFonts w:hint="eastAsia" w:ascii="宋体" w:hAnsi="宋体"/>
          <w:b/>
          <w:color w:val="000000"/>
          <w:kern w:val="0"/>
          <w:sz w:val="24"/>
        </w:rPr>
      </w:pPr>
      <w:r>
        <w:rPr>
          <w:rFonts w:hint="eastAsia" w:ascii="宋体" w:hAnsi="宋体"/>
          <w:b/>
          <w:color w:val="000000"/>
          <w:kern w:val="0"/>
          <w:sz w:val="24"/>
        </w:rPr>
        <w:t>28.合同生效</w:t>
      </w:r>
    </w:p>
    <w:p>
      <w:pPr>
        <w:pStyle w:val="9"/>
        <w:ind w:firstLine="480" w:firstLineChars="200"/>
        <w:rPr>
          <w:rFonts w:hint="eastAsia" w:ascii="宋体" w:hAnsi="宋体"/>
          <w:color w:val="000000"/>
          <w:kern w:val="0"/>
          <w:sz w:val="24"/>
        </w:rPr>
        <w:sectPr>
          <w:headerReference r:id="rId3" w:type="default"/>
          <w:footerReference r:id="rId4" w:type="default"/>
          <w:pgSz w:w="11906" w:h="16838"/>
          <w:pgMar w:top="1440" w:right="1800" w:bottom="1440" w:left="1800" w:header="851" w:footer="992" w:gutter="0"/>
          <w:pgNumType w:fmt="decimal" w:start="1"/>
          <w:cols w:space="425" w:num="1"/>
          <w:docGrid w:type="lines" w:linePitch="312" w:charSpace="0"/>
        </w:sectPr>
      </w:pPr>
      <w:r>
        <w:rPr>
          <w:rFonts w:hint="eastAsia" w:ascii="宋体" w:hAnsi="宋体"/>
          <w:color w:val="000000"/>
          <w:kern w:val="0"/>
          <w:sz w:val="24"/>
        </w:rPr>
        <w:t>28.1 本合同应在买卖双方共同签字并盖章后生效。</w:t>
      </w:r>
    </w:p>
    <w:p>
      <w:pPr>
        <w:pStyle w:val="9"/>
        <w:ind w:firstLine="560" w:firstLineChars="200"/>
        <w:rPr>
          <w:rFonts w:hint="eastAsia" w:ascii="宋体" w:hAnsi="宋体" w:cs="宋体"/>
          <w:bCs/>
          <w:kern w:val="0"/>
          <w:sz w:val="32"/>
          <w:szCs w:val="32"/>
        </w:rPr>
      </w:pPr>
      <w:r>
        <w:rPr>
          <w:rFonts w:hint="eastAsia" w:ascii="宋体" w:hAnsi="宋体"/>
          <w:sz w:val="28"/>
          <w:szCs w:val="28"/>
        </w:rPr>
        <w:t>附件1：</w:t>
      </w:r>
      <w:r>
        <w:rPr>
          <w:rFonts w:hint="eastAsia" w:ascii="宋体" w:hAnsi="宋体" w:cs="宋体"/>
          <w:bCs/>
          <w:kern w:val="0"/>
          <w:sz w:val="32"/>
          <w:szCs w:val="32"/>
        </w:rPr>
        <w:t>供货范围、交货期、项目地点及项目联系人</w:t>
      </w:r>
    </w:p>
    <w:tbl>
      <w:tblPr>
        <w:tblStyle w:val="10"/>
        <w:tblpPr w:leftFromText="180" w:rightFromText="180" w:vertAnchor="text" w:horzAnchor="margin" w:tblpY="26"/>
        <w:tblW w:w="8504" w:type="dxa"/>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474"/>
        <w:gridCol w:w="1944"/>
        <w:gridCol w:w="1256"/>
        <w:gridCol w:w="1085"/>
        <w:gridCol w:w="769"/>
        <w:gridCol w:w="661"/>
        <w:gridCol w:w="952"/>
        <w:gridCol w:w="1363"/>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74" w:type="dxa"/>
            <w:noWrap w:val="0"/>
            <w:vAlign w:val="center"/>
          </w:tcPr>
          <w:p>
            <w:pPr>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序号</w:t>
            </w:r>
          </w:p>
        </w:tc>
        <w:tc>
          <w:tcPr>
            <w:tcW w:w="1944" w:type="dxa"/>
            <w:noWrap w:val="0"/>
            <w:vAlign w:val="center"/>
          </w:tcPr>
          <w:p>
            <w:pPr>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货物名称</w:t>
            </w:r>
          </w:p>
        </w:tc>
        <w:tc>
          <w:tcPr>
            <w:tcW w:w="1256" w:type="dxa"/>
            <w:tcBorders>
              <w:right w:val="single" w:color="auto" w:sz="4" w:space="0"/>
            </w:tcBorders>
            <w:noWrap w:val="0"/>
            <w:vAlign w:val="center"/>
          </w:tcPr>
          <w:p>
            <w:pPr>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品牌</w:t>
            </w:r>
          </w:p>
        </w:tc>
        <w:tc>
          <w:tcPr>
            <w:tcW w:w="1085" w:type="dxa"/>
            <w:tcBorders>
              <w:left w:val="single" w:color="auto" w:sz="4" w:space="0"/>
            </w:tcBorders>
            <w:noWrap w:val="0"/>
            <w:vAlign w:val="center"/>
          </w:tcPr>
          <w:p>
            <w:pPr>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型号（规格）</w:t>
            </w:r>
          </w:p>
        </w:tc>
        <w:tc>
          <w:tcPr>
            <w:tcW w:w="769" w:type="dxa"/>
            <w:tcBorders>
              <w:right w:val="single" w:color="auto" w:sz="4" w:space="0"/>
            </w:tcBorders>
            <w:noWrap w:val="0"/>
            <w:vAlign w:val="center"/>
          </w:tcPr>
          <w:p>
            <w:pPr>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单位</w:t>
            </w:r>
          </w:p>
        </w:tc>
        <w:tc>
          <w:tcPr>
            <w:tcW w:w="661" w:type="dxa"/>
            <w:tcBorders>
              <w:left w:val="single" w:color="auto" w:sz="4" w:space="0"/>
            </w:tcBorders>
            <w:noWrap w:val="0"/>
            <w:vAlign w:val="center"/>
          </w:tcPr>
          <w:p>
            <w:pPr>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数量</w:t>
            </w:r>
          </w:p>
        </w:tc>
        <w:tc>
          <w:tcPr>
            <w:tcW w:w="952" w:type="dxa"/>
            <w:noWrap w:val="0"/>
            <w:tcMar>
              <w:top w:w="28" w:type="dxa"/>
              <w:left w:w="28" w:type="dxa"/>
              <w:bottom w:w="28" w:type="dxa"/>
              <w:right w:w="28" w:type="dxa"/>
            </w:tcMar>
            <w:vAlign w:val="center"/>
          </w:tcPr>
          <w:p>
            <w:pPr>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单价</w:t>
            </w:r>
          </w:p>
        </w:tc>
        <w:tc>
          <w:tcPr>
            <w:tcW w:w="1363" w:type="dxa"/>
            <w:noWrap w:val="0"/>
            <w:tcMar>
              <w:top w:w="28" w:type="dxa"/>
              <w:left w:w="28" w:type="dxa"/>
              <w:bottom w:w="28" w:type="dxa"/>
              <w:right w:w="28" w:type="dxa"/>
            </w:tcMar>
            <w:vAlign w:val="center"/>
          </w:tcPr>
          <w:p>
            <w:pPr>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合计（人民币元）</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74" w:type="dxa"/>
            <w:noWrap w:val="0"/>
            <w:vAlign w:val="center"/>
          </w:tcPr>
          <w:p>
            <w:pPr>
              <w:jc w:val="center"/>
              <w:rPr>
                <w:rFonts w:hint="eastAsia" w:ascii="宋体" w:hAnsi="宋体" w:eastAsia="宋体" w:cs="宋体"/>
                <w:color w:val="000000"/>
                <w:sz w:val="21"/>
                <w:szCs w:val="21"/>
              </w:rPr>
            </w:pPr>
            <w:r>
              <w:rPr>
                <w:rFonts w:hint="eastAsia" w:ascii="宋体" w:hAnsi="宋体" w:eastAsia="宋体" w:cs="宋体"/>
                <w:sz w:val="21"/>
                <w:szCs w:val="21"/>
              </w:rPr>
              <w:t>1</w:t>
            </w:r>
          </w:p>
        </w:tc>
        <w:tc>
          <w:tcPr>
            <w:tcW w:w="1944" w:type="dxa"/>
            <w:noWrap w:val="0"/>
            <w:vAlign w:val="center"/>
          </w:tcPr>
          <w:p>
            <w:pPr>
              <w:jc w:val="center"/>
              <w:rPr>
                <w:rFonts w:hint="eastAsia" w:ascii="宋体" w:hAnsi="宋体" w:eastAsia="宋体" w:cs="宋体"/>
                <w:color w:val="000000"/>
                <w:sz w:val="21"/>
                <w:szCs w:val="21"/>
              </w:rPr>
            </w:pPr>
            <w:r>
              <w:rPr>
                <w:rFonts w:hint="eastAsia" w:ascii="宋体" w:hAnsi="宋体" w:eastAsia="宋体" w:cs="宋体"/>
                <w:sz w:val="21"/>
                <w:szCs w:val="21"/>
              </w:rPr>
              <w:t>高精度功率分析仪</w:t>
            </w:r>
          </w:p>
        </w:tc>
        <w:tc>
          <w:tcPr>
            <w:tcW w:w="1256" w:type="dxa"/>
            <w:tcBorders>
              <w:right w:val="single" w:color="auto" w:sz="4" w:space="0"/>
            </w:tcBorders>
            <w:noWrap w:val="0"/>
            <w:vAlign w:val="center"/>
          </w:tcPr>
          <w:p>
            <w:pPr>
              <w:jc w:val="center"/>
              <w:rPr>
                <w:rFonts w:hint="eastAsia" w:ascii="宋体" w:hAnsi="宋体" w:eastAsia="宋体" w:cs="宋体"/>
                <w:color w:val="000000"/>
                <w:sz w:val="21"/>
                <w:szCs w:val="21"/>
              </w:rPr>
            </w:pPr>
            <w:r>
              <w:rPr>
                <w:rFonts w:hint="eastAsia" w:ascii="宋体" w:hAnsi="宋体" w:eastAsia="宋体" w:cs="宋体"/>
                <w:sz w:val="21"/>
                <w:szCs w:val="21"/>
              </w:rPr>
              <w:t>YOKOGAWA</w:t>
            </w:r>
          </w:p>
        </w:tc>
        <w:tc>
          <w:tcPr>
            <w:tcW w:w="1085" w:type="dxa"/>
            <w:tcBorders>
              <w:left w:val="single" w:color="auto" w:sz="4" w:space="0"/>
            </w:tcBorders>
            <w:noWrap w:val="0"/>
            <w:vAlign w:val="center"/>
          </w:tcPr>
          <w:p>
            <w:pPr>
              <w:jc w:val="center"/>
              <w:rPr>
                <w:rFonts w:hint="eastAsia" w:ascii="宋体" w:hAnsi="宋体" w:eastAsia="宋体" w:cs="宋体"/>
                <w:color w:val="000000"/>
                <w:sz w:val="21"/>
                <w:szCs w:val="21"/>
              </w:rPr>
            </w:pPr>
            <w:r>
              <w:rPr>
                <w:rFonts w:hint="eastAsia" w:ascii="宋体" w:hAnsi="宋体" w:eastAsia="宋体" w:cs="宋体"/>
                <w:sz w:val="21"/>
                <w:szCs w:val="21"/>
              </w:rPr>
              <w:t>WT5000-HE-H</w:t>
            </w:r>
          </w:p>
        </w:tc>
        <w:tc>
          <w:tcPr>
            <w:tcW w:w="769" w:type="dxa"/>
            <w:tcBorders>
              <w:right w:val="single" w:color="auto" w:sz="4" w:space="0"/>
            </w:tcBorders>
            <w:noWrap w:val="0"/>
            <w:vAlign w:val="center"/>
          </w:tcPr>
          <w:p>
            <w:pPr>
              <w:jc w:val="center"/>
              <w:rPr>
                <w:rFonts w:hint="eastAsia" w:ascii="宋体" w:hAnsi="宋体" w:eastAsia="宋体" w:cs="宋体"/>
                <w:color w:val="000000"/>
                <w:sz w:val="21"/>
                <w:szCs w:val="21"/>
              </w:rPr>
            </w:pPr>
            <w:r>
              <w:rPr>
                <w:rFonts w:hint="eastAsia" w:ascii="宋体" w:hAnsi="宋体" w:eastAsia="宋体" w:cs="宋体"/>
                <w:sz w:val="21"/>
                <w:szCs w:val="21"/>
              </w:rPr>
              <w:t>台</w:t>
            </w:r>
          </w:p>
        </w:tc>
        <w:tc>
          <w:tcPr>
            <w:tcW w:w="661" w:type="dxa"/>
            <w:tcBorders>
              <w:left w:val="single" w:color="auto" w:sz="4" w:space="0"/>
            </w:tcBorders>
            <w:noWrap w:val="0"/>
            <w:vAlign w:val="center"/>
          </w:tcPr>
          <w:p>
            <w:pPr>
              <w:jc w:val="center"/>
              <w:rPr>
                <w:rFonts w:hint="eastAsia" w:ascii="宋体" w:hAnsi="宋体" w:eastAsia="宋体" w:cs="宋体"/>
                <w:color w:val="000000"/>
                <w:sz w:val="21"/>
                <w:szCs w:val="21"/>
              </w:rPr>
            </w:pPr>
            <w:r>
              <w:rPr>
                <w:rFonts w:hint="eastAsia" w:ascii="宋体" w:hAnsi="宋体" w:eastAsia="宋体" w:cs="宋体"/>
                <w:sz w:val="21"/>
                <w:szCs w:val="21"/>
              </w:rPr>
              <w:t>1</w:t>
            </w:r>
          </w:p>
        </w:tc>
        <w:tc>
          <w:tcPr>
            <w:tcW w:w="952" w:type="dxa"/>
            <w:noWrap w:val="0"/>
            <w:tcMar>
              <w:top w:w="28" w:type="dxa"/>
              <w:left w:w="28" w:type="dxa"/>
              <w:bottom w:w="28" w:type="dxa"/>
              <w:right w:w="28" w:type="dxa"/>
            </w:tcMar>
            <w:vAlign w:val="center"/>
          </w:tcPr>
          <w:p>
            <w:pPr>
              <w:jc w:val="center"/>
              <w:rPr>
                <w:rFonts w:hint="eastAsia" w:ascii="宋体" w:hAnsi="宋体" w:eastAsia="宋体" w:cs="宋体"/>
                <w:color w:val="000000"/>
                <w:sz w:val="21"/>
                <w:szCs w:val="21"/>
              </w:rPr>
            </w:pPr>
            <w:r>
              <w:rPr>
                <w:rFonts w:hint="eastAsia" w:ascii="宋体" w:hAnsi="宋体" w:cs="宋体"/>
                <w:sz w:val="21"/>
                <w:szCs w:val="21"/>
                <w:lang w:val="en-US" w:eastAsia="zh-CN"/>
              </w:rPr>
              <w:t>5</w:t>
            </w:r>
            <w:r>
              <w:rPr>
                <w:rFonts w:hint="eastAsia" w:ascii="宋体" w:hAnsi="宋体" w:eastAsia="宋体" w:cs="宋体"/>
                <w:sz w:val="21"/>
                <w:szCs w:val="21"/>
              </w:rPr>
              <w:t>5990.00</w:t>
            </w:r>
          </w:p>
        </w:tc>
        <w:tc>
          <w:tcPr>
            <w:tcW w:w="1363" w:type="dxa"/>
            <w:noWrap w:val="0"/>
            <w:tcMar>
              <w:top w:w="28" w:type="dxa"/>
              <w:left w:w="28" w:type="dxa"/>
              <w:bottom w:w="28" w:type="dxa"/>
              <w:right w:w="28" w:type="dxa"/>
            </w:tcMar>
            <w:vAlign w:val="center"/>
          </w:tcPr>
          <w:p>
            <w:pPr>
              <w:jc w:val="center"/>
              <w:rPr>
                <w:rFonts w:hint="eastAsia" w:ascii="宋体" w:hAnsi="宋体" w:eastAsia="宋体" w:cs="宋体"/>
                <w:color w:val="000000"/>
                <w:sz w:val="21"/>
                <w:szCs w:val="21"/>
              </w:rPr>
            </w:pPr>
            <w:r>
              <w:rPr>
                <w:rFonts w:hint="eastAsia" w:ascii="宋体" w:hAnsi="宋体" w:cs="宋体"/>
                <w:sz w:val="21"/>
                <w:szCs w:val="21"/>
                <w:lang w:val="en-US" w:eastAsia="zh-CN"/>
              </w:rPr>
              <w:t>5</w:t>
            </w:r>
            <w:r>
              <w:rPr>
                <w:rFonts w:hint="eastAsia" w:ascii="宋体" w:hAnsi="宋体" w:eastAsia="宋体" w:cs="宋体"/>
                <w:sz w:val="21"/>
                <w:szCs w:val="21"/>
              </w:rPr>
              <w:t>5990.00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74" w:type="dxa"/>
            <w:noWrap w:val="0"/>
            <w:vAlign w:val="center"/>
          </w:tcPr>
          <w:p>
            <w:pPr>
              <w:jc w:val="center"/>
              <w:rPr>
                <w:rFonts w:hint="eastAsia" w:ascii="宋体" w:hAnsi="宋体" w:eastAsia="宋体" w:cs="宋体"/>
                <w:color w:val="000000"/>
                <w:sz w:val="21"/>
                <w:szCs w:val="21"/>
              </w:rPr>
            </w:pPr>
            <w:r>
              <w:rPr>
                <w:rFonts w:hint="eastAsia" w:ascii="宋体" w:hAnsi="宋体" w:eastAsia="宋体" w:cs="宋体"/>
                <w:sz w:val="21"/>
                <w:szCs w:val="21"/>
              </w:rPr>
              <w:t>2</w:t>
            </w:r>
          </w:p>
        </w:tc>
        <w:tc>
          <w:tcPr>
            <w:tcW w:w="1944" w:type="dxa"/>
            <w:noWrap w:val="0"/>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测试模块</w:t>
            </w:r>
          </w:p>
        </w:tc>
        <w:tc>
          <w:tcPr>
            <w:tcW w:w="1256" w:type="dxa"/>
            <w:tcBorders>
              <w:right w:val="single" w:color="auto" w:sz="4" w:space="0"/>
            </w:tcBorders>
            <w:noWrap w:val="0"/>
            <w:vAlign w:val="center"/>
          </w:tcPr>
          <w:p>
            <w:pPr>
              <w:jc w:val="center"/>
              <w:rPr>
                <w:rFonts w:hint="eastAsia" w:ascii="宋体" w:hAnsi="宋体" w:eastAsia="宋体" w:cs="宋体"/>
                <w:color w:val="000000"/>
                <w:sz w:val="21"/>
                <w:szCs w:val="21"/>
              </w:rPr>
            </w:pPr>
            <w:r>
              <w:rPr>
                <w:rFonts w:hint="eastAsia" w:ascii="宋体" w:hAnsi="宋体" w:eastAsia="宋体" w:cs="宋体"/>
                <w:sz w:val="21"/>
                <w:szCs w:val="21"/>
              </w:rPr>
              <w:t>YOKOGAWA</w:t>
            </w:r>
          </w:p>
        </w:tc>
        <w:tc>
          <w:tcPr>
            <w:tcW w:w="1085" w:type="dxa"/>
            <w:tcBorders>
              <w:left w:val="single" w:color="auto" w:sz="4" w:space="0"/>
            </w:tcBorders>
            <w:noWrap w:val="0"/>
            <w:vAlign w:val="center"/>
          </w:tcPr>
          <w:p>
            <w:pPr>
              <w:jc w:val="center"/>
              <w:rPr>
                <w:rFonts w:hint="eastAsia" w:ascii="宋体" w:hAnsi="宋体" w:eastAsia="宋体" w:cs="宋体"/>
                <w:color w:val="000000"/>
                <w:sz w:val="21"/>
                <w:szCs w:val="21"/>
              </w:rPr>
            </w:pPr>
            <w:r>
              <w:rPr>
                <w:rFonts w:hint="eastAsia" w:ascii="宋体" w:hAnsi="宋体" w:eastAsia="宋体" w:cs="宋体"/>
                <w:sz w:val="21"/>
                <w:szCs w:val="21"/>
              </w:rPr>
              <w:t>760902</w:t>
            </w:r>
          </w:p>
        </w:tc>
        <w:tc>
          <w:tcPr>
            <w:tcW w:w="769" w:type="dxa"/>
            <w:tcBorders>
              <w:right w:val="single" w:color="auto" w:sz="4" w:space="0"/>
            </w:tcBorders>
            <w:noWrap w:val="0"/>
            <w:vAlign w:val="center"/>
          </w:tcPr>
          <w:p>
            <w:pPr>
              <w:jc w:val="center"/>
              <w:rPr>
                <w:rFonts w:hint="eastAsia" w:ascii="宋体" w:hAnsi="宋体" w:eastAsia="宋体" w:cs="宋体"/>
                <w:color w:val="000000"/>
                <w:sz w:val="21"/>
                <w:szCs w:val="21"/>
              </w:rPr>
            </w:pPr>
            <w:r>
              <w:rPr>
                <w:rFonts w:hint="eastAsia" w:ascii="宋体" w:hAnsi="宋体" w:eastAsia="宋体" w:cs="宋体"/>
                <w:sz w:val="21"/>
                <w:szCs w:val="21"/>
              </w:rPr>
              <w:t>块</w:t>
            </w:r>
          </w:p>
        </w:tc>
        <w:tc>
          <w:tcPr>
            <w:tcW w:w="661" w:type="dxa"/>
            <w:tcBorders>
              <w:left w:val="single" w:color="auto" w:sz="4" w:space="0"/>
            </w:tcBorders>
            <w:noWrap w:val="0"/>
            <w:vAlign w:val="center"/>
          </w:tcPr>
          <w:p>
            <w:pPr>
              <w:jc w:val="center"/>
              <w:rPr>
                <w:rFonts w:hint="eastAsia" w:ascii="宋体" w:hAnsi="宋体" w:eastAsia="宋体" w:cs="宋体"/>
                <w:color w:val="000000"/>
                <w:sz w:val="21"/>
                <w:szCs w:val="21"/>
              </w:rPr>
            </w:pPr>
            <w:r>
              <w:rPr>
                <w:rFonts w:hint="eastAsia" w:ascii="宋体" w:hAnsi="宋体" w:eastAsia="宋体" w:cs="宋体"/>
                <w:sz w:val="21"/>
                <w:szCs w:val="21"/>
              </w:rPr>
              <w:t>7</w:t>
            </w:r>
          </w:p>
        </w:tc>
        <w:tc>
          <w:tcPr>
            <w:tcW w:w="952" w:type="dxa"/>
            <w:noWrap w:val="0"/>
            <w:tcMar>
              <w:top w:w="28" w:type="dxa"/>
              <w:left w:w="28" w:type="dxa"/>
              <w:bottom w:w="28" w:type="dxa"/>
              <w:right w:w="28" w:type="dxa"/>
            </w:tcMar>
            <w:vAlign w:val="center"/>
          </w:tcPr>
          <w:p>
            <w:pPr>
              <w:jc w:val="center"/>
              <w:rPr>
                <w:rFonts w:hint="eastAsia" w:ascii="宋体" w:hAnsi="宋体" w:eastAsia="宋体" w:cs="宋体"/>
                <w:color w:val="000000"/>
                <w:sz w:val="21"/>
                <w:szCs w:val="21"/>
              </w:rPr>
            </w:pPr>
            <w:r>
              <w:rPr>
                <w:rFonts w:hint="eastAsia" w:ascii="宋体" w:hAnsi="宋体" w:eastAsia="宋体" w:cs="宋体"/>
                <w:sz w:val="21"/>
                <w:szCs w:val="21"/>
              </w:rPr>
              <w:t>29130.00</w:t>
            </w:r>
          </w:p>
        </w:tc>
        <w:tc>
          <w:tcPr>
            <w:tcW w:w="1363" w:type="dxa"/>
            <w:noWrap w:val="0"/>
            <w:tcMar>
              <w:top w:w="28" w:type="dxa"/>
              <w:left w:w="28" w:type="dxa"/>
              <w:bottom w:w="28" w:type="dxa"/>
              <w:right w:w="28" w:type="dxa"/>
            </w:tcMar>
            <w:vAlign w:val="center"/>
          </w:tcPr>
          <w:p>
            <w:pPr>
              <w:jc w:val="center"/>
              <w:rPr>
                <w:rFonts w:hint="eastAsia" w:ascii="宋体" w:hAnsi="宋体" w:eastAsia="宋体" w:cs="宋体"/>
                <w:color w:val="000000"/>
                <w:sz w:val="21"/>
                <w:szCs w:val="21"/>
              </w:rPr>
            </w:pPr>
            <w:r>
              <w:rPr>
                <w:rFonts w:hint="eastAsia" w:ascii="宋体" w:hAnsi="宋体" w:eastAsia="宋体" w:cs="宋体"/>
                <w:sz w:val="21"/>
                <w:szCs w:val="21"/>
              </w:rPr>
              <w:t>203910.00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759" w:type="dxa"/>
            <w:gridSpan w:val="4"/>
            <w:noWrap w:val="0"/>
            <w:tcMar>
              <w:top w:w="28" w:type="dxa"/>
              <w:left w:w="28" w:type="dxa"/>
              <w:bottom w:w="28" w:type="dxa"/>
              <w:right w:w="28" w:type="dxa"/>
            </w:tcMar>
            <w:vAlign w:val="center"/>
          </w:tcPr>
          <w:p>
            <w:pPr>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总计（人民币元）</w:t>
            </w:r>
          </w:p>
        </w:tc>
        <w:tc>
          <w:tcPr>
            <w:tcW w:w="3745" w:type="dxa"/>
            <w:gridSpan w:val="4"/>
            <w:noWrap w:val="0"/>
            <w:tcMar>
              <w:top w:w="28" w:type="dxa"/>
              <w:left w:w="28" w:type="dxa"/>
              <w:bottom w:w="28" w:type="dxa"/>
              <w:right w:w="28" w:type="dxa"/>
            </w:tcMar>
            <w:vAlign w:val="center"/>
          </w:tcPr>
          <w:p>
            <w:pPr>
              <w:rPr>
                <w:rFonts w:hint="eastAsia" w:ascii="宋体" w:hAnsi="宋体" w:eastAsia="宋体" w:cs="宋体"/>
                <w:b/>
                <w:color w:val="000000"/>
                <w:sz w:val="21"/>
                <w:szCs w:val="21"/>
              </w:rPr>
            </w:pPr>
            <w:r>
              <w:rPr>
                <w:rFonts w:hint="eastAsia" w:ascii="宋体" w:hAnsi="宋体" w:eastAsia="宋体" w:cs="宋体"/>
                <w:b/>
                <w:color w:val="000000"/>
                <w:sz w:val="21"/>
                <w:szCs w:val="21"/>
              </w:rPr>
              <w:t>￥：</w:t>
            </w:r>
            <w:r>
              <w:rPr>
                <w:rFonts w:hint="eastAsia" w:ascii="宋体" w:hAnsi="宋体" w:eastAsia="宋体" w:cs="宋体"/>
                <w:b/>
                <w:color w:val="000000"/>
                <w:sz w:val="21"/>
                <w:szCs w:val="21"/>
                <w:lang w:val="en-US" w:eastAsia="zh-CN"/>
              </w:rPr>
              <w:t>259900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504" w:type="dxa"/>
            <w:gridSpan w:val="8"/>
            <w:noWrap w:val="0"/>
            <w:tcMar>
              <w:top w:w="28" w:type="dxa"/>
              <w:left w:w="28" w:type="dxa"/>
              <w:bottom w:w="28" w:type="dxa"/>
              <w:right w:w="28" w:type="dxa"/>
            </w:tcMar>
            <w:vAlign w:val="center"/>
          </w:tcPr>
          <w:p>
            <w:pPr>
              <w:jc w:val="left"/>
              <w:rPr>
                <w:rFonts w:hint="eastAsia" w:ascii="宋体" w:hAnsi="宋体" w:eastAsia="宋体" w:cs="宋体"/>
                <w:b w:val="0"/>
                <w:bCs/>
                <w:color w:val="000000"/>
                <w:kern w:val="2"/>
                <w:sz w:val="21"/>
                <w:szCs w:val="21"/>
                <w:lang w:val="en-US" w:eastAsia="zh-CN" w:bidi="ar-SA"/>
              </w:rPr>
            </w:pPr>
            <w:r>
              <w:rPr>
                <w:rFonts w:hint="eastAsia" w:ascii="宋体" w:hAnsi="宋体" w:eastAsia="宋体" w:cs="宋体"/>
                <w:b w:val="0"/>
                <w:bCs/>
                <w:color w:val="000000"/>
                <w:sz w:val="21"/>
                <w:szCs w:val="21"/>
                <w:lang w:eastAsia="zh-CN"/>
              </w:rPr>
              <w:t>交货期：</w:t>
            </w:r>
            <w:r>
              <w:rPr>
                <w:rFonts w:hint="eastAsia" w:asciiTheme="minorEastAsia" w:hAnsiTheme="minorEastAsia"/>
                <w:color w:val="000000"/>
                <w:sz w:val="24"/>
                <w:szCs w:val="24"/>
              </w:rPr>
              <w:t>2020年2月29日前</w:t>
            </w:r>
            <w:r>
              <w:rPr>
                <w:rFonts w:hint="eastAsia" w:ascii="宋体" w:hAnsi="宋体" w:eastAsia="宋体" w:cs="宋体"/>
                <w:b w:val="0"/>
                <w:bCs/>
                <w:color w:val="000000"/>
                <w:sz w:val="21"/>
                <w:szCs w:val="21"/>
                <w:lang w:eastAsia="zh-CN"/>
              </w:rPr>
              <w:t>完成供货及安装。</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504" w:type="dxa"/>
            <w:gridSpan w:val="8"/>
            <w:noWrap w:val="0"/>
            <w:tcMar>
              <w:top w:w="28" w:type="dxa"/>
              <w:left w:w="28" w:type="dxa"/>
              <w:bottom w:w="28" w:type="dxa"/>
              <w:right w:w="28" w:type="dxa"/>
            </w:tcMar>
            <w:vAlign w:val="center"/>
          </w:tcPr>
          <w:p>
            <w:pPr>
              <w:jc w:val="left"/>
              <w:rPr>
                <w:rFonts w:hint="eastAsia" w:ascii="宋体" w:hAnsi="宋体" w:eastAsia="宋体" w:cs="宋体"/>
                <w:b w:val="0"/>
                <w:bCs/>
                <w:color w:val="000000"/>
                <w:kern w:val="2"/>
                <w:sz w:val="21"/>
                <w:szCs w:val="21"/>
                <w:lang w:val="en-US" w:eastAsia="zh-CN" w:bidi="ar-SA"/>
              </w:rPr>
            </w:pPr>
            <w:r>
              <w:rPr>
                <w:rFonts w:hint="eastAsia" w:ascii="宋体" w:hAnsi="宋体" w:eastAsia="宋体" w:cs="宋体"/>
                <w:b w:val="0"/>
                <w:bCs/>
                <w:color w:val="000000"/>
                <w:sz w:val="21"/>
                <w:szCs w:val="21"/>
                <w:lang w:eastAsia="zh-CN"/>
              </w:rPr>
              <w:t>质保期：36 个月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504" w:type="dxa"/>
            <w:gridSpan w:val="8"/>
            <w:noWrap w:val="0"/>
            <w:tcMar>
              <w:top w:w="28" w:type="dxa"/>
              <w:left w:w="28" w:type="dxa"/>
              <w:bottom w:w="28" w:type="dxa"/>
              <w:right w:w="28" w:type="dxa"/>
            </w:tcMar>
            <w:vAlign w:val="center"/>
          </w:tcPr>
          <w:p>
            <w:pPr>
              <w:jc w:val="left"/>
              <w:rPr>
                <w:rFonts w:hint="eastAsia" w:ascii="宋体" w:hAnsi="宋体" w:eastAsia="宋体" w:cs="宋体"/>
                <w:b w:val="0"/>
                <w:bCs/>
                <w:color w:val="000000"/>
                <w:kern w:val="2"/>
                <w:sz w:val="21"/>
                <w:szCs w:val="21"/>
                <w:lang w:val="en-US" w:eastAsia="zh-CN" w:bidi="ar-SA"/>
              </w:rPr>
            </w:pPr>
            <w:r>
              <w:rPr>
                <w:rFonts w:hint="eastAsia" w:ascii="宋体" w:hAnsi="宋体" w:eastAsia="宋体" w:cs="宋体"/>
                <w:b w:val="0"/>
                <w:bCs/>
                <w:color w:val="000000"/>
                <w:sz w:val="21"/>
                <w:szCs w:val="21"/>
                <w:lang w:eastAsia="zh-CN"/>
              </w:rPr>
              <w:t>交货地点：渭南师范学院指定地点</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504" w:type="dxa"/>
            <w:gridSpan w:val="8"/>
            <w:noWrap w:val="0"/>
            <w:tcMar>
              <w:top w:w="28" w:type="dxa"/>
              <w:left w:w="28" w:type="dxa"/>
              <w:bottom w:w="28" w:type="dxa"/>
              <w:right w:w="28" w:type="dxa"/>
            </w:tcMar>
            <w:vAlign w:val="center"/>
          </w:tcPr>
          <w:p>
            <w:pPr>
              <w:jc w:val="left"/>
              <w:rPr>
                <w:rFonts w:hint="eastAsia" w:ascii="宋体" w:hAnsi="宋体" w:eastAsia="宋体" w:cs="宋体"/>
                <w:b w:val="0"/>
                <w:bCs/>
                <w:color w:val="000000"/>
                <w:kern w:val="2"/>
                <w:sz w:val="21"/>
                <w:szCs w:val="21"/>
                <w:lang w:val="en-US" w:eastAsia="zh-CN" w:bidi="ar-SA"/>
              </w:rPr>
            </w:pPr>
            <w:r>
              <w:rPr>
                <w:rFonts w:hint="eastAsia" w:ascii="宋体" w:hAnsi="宋体" w:eastAsia="宋体" w:cs="宋体"/>
                <w:b w:val="0"/>
                <w:bCs/>
                <w:color w:val="000000"/>
                <w:sz w:val="21"/>
                <w:szCs w:val="21"/>
                <w:lang w:eastAsia="zh-CN"/>
              </w:rPr>
              <w:t>联系人：郭老师</w:t>
            </w:r>
            <w:r>
              <w:rPr>
                <w:rFonts w:hint="eastAsia" w:ascii="宋体" w:hAnsi="宋体" w:eastAsia="宋体" w:cs="宋体"/>
                <w:b w:val="0"/>
                <w:bCs/>
                <w:color w:val="000000"/>
                <w:sz w:val="21"/>
                <w:szCs w:val="21"/>
                <w:lang w:val="en-US" w:eastAsia="zh-CN"/>
              </w:rPr>
              <w:t xml:space="preserve">  联系方式：0913-2133024</w:t>
            </w:r>
          </w:p>
        </w:tc>
      </w:tr>
    </w:tbl>
    <w:p>
      <w:pPr>
        <w:pStyle w:val="9"/>
        <w:rPr>
          <w:rFonts w:hint="eastAsia" w:ascii="宋体" w:hAnsi="宋体" w:cs="宋体"/>
          <w:bCs/>
          <w:kern w:val="0"/>
          <w:sz w:val="32"/>
          <w:szCs w:val="32"/>
        </w:rPr>
      </w:pPr>
    </w:p>
    <w:p>
      <w:pPr>
        <w:pStyle w:val="9"/>
        <w:ind w:firstLine="640" w:firstLineChars="200"/>
        <w:rPr>
          <w:rFonts w:hint="eastAsia" w:ascii="宋体" w:hAnsi="宋体" w:cs="宋体"/>
          <w:bCs/>
          <w:kern w:val="0"/>
          <w:sz w:val="32"/>
          <w:szCs w:val="32"/>
        </w:rPr>
        <w:sectPr>
          <w:pgSz w:w="11906" w:h="16838"/>
          <w:pgMar w:top="1440" w:right="1800" w:bottom="1440" w:left="1800" w:header="851" w:footer="992" w:gutter="0"/>
          <w:pgNumType w:fmt="decimal"/>
          <w:cols w:space="0" w:num="1"/>
          <w:rtlGutter w:val="0"/>
          <w:docGrid w:type="lines" w:linePitch="312" w:charSpace="0"/>
        </w:sectPr>
      </w:pPr>
    </w:p>
    <w:p>
      <w:pPr>
        <w:pStyle w:val="9"/>
        <w:keepNext w:val="0"/>
        <w:keepLines w:val="0"/>
        <w:pageBreakBefore w:val="0"/>
        <w:widowControl w:val="0"/>
        <w:kinsoku/>
        <w:wordWrap/>
        <w:overflowPunct/>
        <w:topLinePunct w:val="0"/>
        <w:autoSpaceDE/>
        <w:autoSpaceDN/>
        <w:bidi w:val="0"/>
        <w:adjustRightInd/>
        <w:snapToGrid/>
        <w:spacing w:after="0" w:line="440" w:lineRule="exact"/>
        <w:ind w:firstLine="640" w:firstLineChars="200"/>
        <w:textAlignment w:val="auto"/>
        <w:rPr>
          <w:rFonts w:hint="eastAsia" w:ascii="宋体" w:hAnsi="宋体" w:cs="宋体"/>
          <w:bCs/>
          <w:kern w:val="0"/>
          <w:sz w:val="32"/>
          <w:szCs w:val="32"/>
          <w:lang w:val="en-US" w:eastAsia="zh-CN"/>
        </w:rPr>
      </w:pPr>
      <w:r>
        <w:rPr>
          <w:rFonts w:hint="eastAsia" w:ascii="宋体" w:hAnsi="宋体" w:cs="宋体"/>
          <w:bCs/>
          <w:kern w:val="0"/>
          <w:sz w:val="32"/>
          <w:szCs w:val="32"/>
          <w:lang w:eastAsia="zh-CN"/>
        </w:rPr>
        <w:t>附件</w:t>
      </w:r>
      <w:r>
        <w:rPr>
          <w:rFonts w:hint="eastAsia" w:ascii="宋体" w:hAnsi="宋体" w:cs="宋体"/>
          <w:bCs/>
          <w:kern w:val="0"/>
          <w:sz w:val="32"/>
          <w:szCs w:val="32"/>
          <w:lang w:val="en-US" w:eastAsia="zh-CN"/>
        </w:rPr>
        <w:t>2.货物说明一览表</w:t>
      </w:r>
    </w:p>
    <w:tbl>
      <w:tblPr>
        <w:tblStyle w:val="10"/>
        <w:tblW w:w="1406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28" w:type="dxa"/>
          <w:left w:w="57" w:type="dxa"/>
          <w:bottom w:w="28" w:type="dxa"/>
          <w:right w:w="57" w:type="dxa"/>
        </w:tblCellMar>
      </w:tblPr>
      <w:tblGrid>
        <w:gridCol w:w="818"/>
        <w:gridCol w:w="2868"/>
        <w:gridCol w:w="1287"/>
        <w:gridCol w:w="1690"/>
        <w:gridCol w:w="4524"/>
        <w:gridCol w:w="1272"/>
        <w:gridCol w:w="1601"/>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left w:w="57" w:type="dxa"/>
            <w:bottom w:w="28" w:type="dxa"/>
            <w:right w:w="57" w:type="dxa"/>
          </w:tblCellMar>
        </w:tblPrEx>
        <w:trPr>
          <w:trHeight w:val="851" w:hRule="exact"/>
          <w:jc w:val="center"/>
        </w:trPr>
        <w:tc>
          <w:tcPr>
            <w:tcW w:w="818" w:type="dxa"/>
            <w:tcBorders>
              <w:top w:val="double" w:color="auto" w:sz="4" w:space="0"/>
              <w:left w:val="double" w:color="auto" w:sz="4" w:space="0"/>
              <w:bottom w:val="single" w:color="auto" w:sz="4" w:space="0"/>
              <w:right w:val="single" w:color="auto" w:sz="4" w:space="0"/>
            </w:tcBorders>
            <w:vAlign w:val="center"/>
          </w:tcPr>
          <w:p>
            <w:pPr>
              <w:spacing w:line="280" w:lineRule="exact"/>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序号</w:t>
            </w:r>
          </w:p>
        </w:tc>
        <w:tc>
          <w:tcPr>
            <w:tcW w:w="2868" w:type="dxa"/>
            <w:tcBorders>
              <w:top w:val="double" w:color="auto" w:sz="4" w:space="0"/>
              <w:left w:val="single" w:color="auto" w:sz="4" w:space="0"/>
              <w:bottom w:val="single" w:color="auto" w:sz="4" w:space="0"/>
              <w:right w:val="single" w:color="auto" w:sz="4" w:space="0"/>
            </w:tcBorders>
            <w:vAlign w:val="center"/>
          </w:tcPr>
          <w:p>
            <w:pPr>
              <w:spacing w:line="280" w:lineRule="exact"/>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货物名称（含主要部件）</w:t>
            </w:r>
          </w:p>
        </w:tc>
        <w:tc>
          <w:tcPr>
            <w:tcW w:w="1287" w:type="dxa"/>
            <w:tcBorders>
              <w:top w:val="double" w:color="auto" w:sz="4" w:space="0"/>
              <w:left w:val="single" w:color="auto" w:sz="4" w:space="0"/>
              <w:bottom w:val="single" w:color="auto" w:sz="4" w:space="0"/>
              <w:right w:val="single" w:color="auto" w:sz="4" w:space="0"/>
            </w:tcBorders>
            <w:vAlign w:val="center"/>
          </w:tcPr>
          <w:p>
            <w:pPr>
              <w:spacing w:line="280" w:lineRule="exact"/>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品牌</w:t>
            </w:r>
          </w:p>
        </w:tc>
        <w:tc>
          <w:tcPr>
            <w:tcW w:w="1690" w:type="dxa"/>
            <w:tcBorders>
              <w:top w:val="double" w:color="auto" w:sz="4" w:space="0"/>
              <w:left w:val="single" w:color="auto" w:sz="4" w:space="0"/>
              <w:bottom w:val="single" w:color="auto" w:sz="4" w:space="0"/>
              <w:right w:val="single" w:color="auto" w:sz="4" w:space="0"/>
            </w:tcBorders>
            <w:vAlign w:val="center"/>
          </w:tcPr>
          <w:p>
            <w:pPr>
              <w:spacing w:line="280" w:lineRule="exact"/>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规格型号</w:t>
            </w:r>
          </w:p>
        </w:tc>
        <w:tc>
          <w:tcPr>
            <w:tcW w:w="4524" w:type="dxa"/>
            <w:tcBorders>
              <w:top w:val="double" w:color="auto" w:sz="4" w:space="0"/>
              <w:left w:val="single" w:color="auto" w:sz="4" w:space="0"/>
              <w:bottom w:val="single" w:color="auto" w:sz="4" w:space="0"/>
              <w:right w:val="single" w:color="auto" w:sz="4" w:space="0"/>
            </w:tcBorders>
            <w:vAlign w:val="center"/>
          </w:tcPr>
          <w:p>
            <w:pPr>
              <w:spacing w:line="280" w:lineRule="exact"/>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主要技术参数</w:t>
            </w:r>
          </w:p>
        </w:tc>
        <w:tc>
          <w:tcPr>
            <w:tcW w:w="1272" w:type="dxa"/>
            <w:tcBorders>
              <w:top w:val="double" w:color="auto" w:sz="4" w:space="0"/>
              <w:left w:val="single" w:color="auto" w:sz="4" w:space="0"/>
              <w:bottom w:val="single" w:color="auto" w:sz="4" w:space="0"/>
              <w:right w:val="single" w:color="auto" w:sz="4" w:space="0"/>
            </w:tcBorders>
            <w:vAlign w:val="center"/>
          </w:tcPr>
          <w:p>
            <w:pPr>
              <w:spacing w:line="280" w:lineRule="exact"/>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制造厂家</w:t>
            </w:r>
          </w:p>
        </w:tc>
        <w:tc>
          <w:tcPr>
            <w:tcW w:w="1601" w:type="dxa"/>
            <w:tcBorders>
              <w:top w:val="double" w:color="auto" w:sz="4" w:space="0"/>
              <w:left w:val="single" w:color="auto" w:sz="4" w:space="0"/>
              <w:bottom w:val="single" w:color="auto" w:sz="4" w:space="0"/>
              <w:right w:val="double" w:color="auto" w:sz="4" w:space="0"/>
            </w:tcBorders>
            <w:vAlign w:val="center"/>
          </w:tcPr>
          <w:p>
            <w:pPr>
              <w:spacing w:line="280" w:lineRule="exact"/>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产地</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left w:w="57" w:type="dxa"/>
            <w:bottom w:w="28" w:type="dxa"/>
            <w:right w:w="57" w:type="dxa"/>
          </w:tblCellMar>
        </w:tblPrEx>
        <w:trPr>
          <w:trHeight w:val="1196" w:hRule="exact"/>
          <w:jc w:val="center"/>
        </w:trPr>
        <w:tc>
          <w:tcPr>
            <w:tcW w:w="818"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2868" w:type="dxa"/>
            <w:tcBorders>
              <w:top w:val="single" w:color="auto" w:sz="4" w:space="0"/>
              <w:left w:val="single" w:color="auto" w:sz="4" w:space="0"/>
              <w:bottom w:val="single" w:color="auto" w:sz="4" w:space="0"/>
              <w:right w:val="single" w:color="auto" w:sz="4" w:space="0"/>
            </w:tcBorders>
            <w:vAlign w:val="center"/>
          </w:tcPr>
          <w:p>
            <w:pPr>
              <w:spacing w:line="280" w:lineRule="exact"/>
              <w:rPr>
                <w:rFonts w:hint="eastAsia" w:ascii="宋体" w:hAnsi="宋体" w:eastAsia="宋体" w:cs="宋体"/>
                <w:color w:val="000000"/>
                <w:sz w:val="21"/>
                <w:szCs w:val="21"/>
              </w:rPr>
            </w:pPr>
            <w:r>
              <w:rPr>
                <w:rFonts w:hint="eastAsia" w:ascii="宋体" w:hAnsi="宋体" w:eastAsia="宋体" w:cs="宋体"/>
                <w:sz w:val="21"/>
                <w:szCs w:val="21"/>
              </w:rPr>
              <w:t>高精度功率分析仪主机</w:t>
            </w:r>
          </w:p>
        </w:tc>
        <w:tc>
          <w:tcPr>
            <w:tcW w:w="1287" w:type="dxa"/>
            <w:tcBorders>
              <w:top w:val="single" w:color="auto" w:sz="4" w:space="0"/>
              <w:left w:val="single" w:color="auto" w:sz="4" w:space="0"/>
              <w:bottom w:val="single" w:color="auto" w:sz="4" w:space="0"/>
              <w:right w:val="single" w:color="auto" w:sz="4" w:space="0"/>
            </w:tcBorders>
            <w:vAlign w:val="center"/>
          </w:tcPr>
          <w:p>
            <w:pPr>
              <w:spacing w:line="280" w:lineRule="exact"/>
              <w:rPr>
                <w:rFonts w:hint="eastAsia" w:ascii="宋体" w:hAnsi="宋体" w:eastAsia="宋体" w:cs="宋体"/>
                <w:color w:val="000000"/>
                <w:sz w:val="21"/>
                <w:szCs w:val="21"/>
              </w:rPr>
            </w:pPr>
            <w:r>
              <w:rPr>
                <w:rFonts w:hint="eastAsia" w:ascii="宋体" w:hAnsi="宋体" w:eastAsia="宋体" w:cs="宋体"/>
                <w:color w:val="000000"/>
                <w:sz w:val="21"/>
                <w:szCs w:val="21"/>
              </w:rPr>
              <w:t>YOKOGAWA</w:t>
            </w:r>
          </w:p>
        </w:tc>
        <w:tc>
          <w:tcPr>
            <w:tcW w:w="1690"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宋体" w:hAnsi="宋体" w:eastAsia="宋体" w:cs="宋体"/>
                <w:color w:val="000000"/>
                <w:sz w:val="21"/>
                <w:szCs w:val="21"/>
              </w:rPr>
            </w:pPr>
            <w:r>
              <w:rPr>
                <w:rFonts w:hint="eastAsia" w:ascii="宋体" w:hAnsi="宋体" w:eastAsia="宋体" w:cs="宋体"/>
                <w:sz w:val="21"/>
                <w:szCs w:val="21"/>
              </w:rPr>
              <w:t>WT5000-HE-H</w:t>
            </w:r>
          </w:p>
        </w:tc>
        <w:tc>
          <w:tcPr>
            <w:tcW w:w="4524" w:type="dxa"/>
            <w:tcBorders>
              <w:top w:val="single" w:color="auto" w:sz="4" w:space="0"/>
              <w:left w:val="single" w:color="auto" w:sz="4" w:space="0"/>
              <w:bottom w:val="single" w:color="auto" w:sz="4" w:space="0"/>
              <w:right w:val="single" w:color="auto" w:sz="4" w:space="0"/>
            </w:tcBorders>
            <w:vAlign w:val="center"/>
          </w:tcPr>
          <w:p>
            <w:pPr>
              <w:spacing w:line="276" w:lineRule="auto"/>
              <w:rPr>
                <w:rFonts w:hint="eastAsia" w:ascii="宋体" w:hAnsi="宋体" w:eastAsia="宋体" w:cs="宋体"/>
                <w:color w:val="000000"/>
                <w:sz w:val="21"/>
                <w:szCs w:val="21"/>
              </w:rPr>
            </w:pPr>
            <w:r>
              <w:rPr>
                <w:rFonts w:hint="eastAsia" w:ascii="宋体" w:hAnsi="宋体" w:eastAsia="宋体" w:cs="宋体"/>
                <w:color w:val="000000"/>
                <w:sz w:val="21"/>
                <w:szCs w:val="21"/>
              </w:rPr>
              <w:t>交流功率精度：读数的0.01%+量程的0.02%</w:t>
            </w:r>
          </w:p>
          <w:p>
            <w:pPr>
              <w:spacing w:line="276" w:lineRule="auto"/>
              <w:rPr>
                <w:rFonts w:hint="eastAsia" w:ascii="宋体" w:hAnsi="宋体" w:eastAsia="宋体" w:cs="宋体"/>
                <w:color w:val="000000"/>
                <w:sz w:val="21"/>
                <w:szCs w:val="21"/>
              </w:rPr>
            </w:pPr>
            <w:r>
              <w:rPr>
                <w:rFonts w:hint="eastAsia" w:ascii="宋体" w:hAnsi="宋体" w:eastAsia="宋体" w:cs="宋体"/>
                <w:color w:val="000000"/>
                <w:sz w:val="21"/>
                <w:szCs w:val="21"/>
              </w:rPr>
              <w:t>直流功率精度：读数的0.02%+量程的0.05%</w:t>
            </w:r>
          </w:p>
          <w:p>
            <w:pPr>
              <w:spacing w:line="276" w:lineRule="auto"/>
              <w:rPr>
                <w:rFonts w:hint="eastAsia" w:ascii="宋体" w:hAnsi="宋体" w:eastAsia="宋体" w:cs="宋体"/>
                <w:color w:val="000000"/>
                <w:sz w:val="21"/>
                <w:szCs w:val="21"/>
              </w:rPr>
            </w:pPr>
            <w:r>
              <w:rPr>
                <w:rFonts w:hint="eastAsia" w:ascii="宋体" w:hAnsi="宋体" w:eastAsia="宋体" w:cs="宋体"/>
                <w:color w:val="000000"/>
                <w:sz w:val="21"/>
                <w:szCs w:val="21"/>
              </w:rPr>
              <w:t>采样率10Ms/s 18位A/D转换器</w:t>
            </w:r>
          </w:p>
        </w:tc>
        <w:tc>
          <w:tcPr>
            <w:tcW w:w="1272" w:type="dxa"/>
            <w:tcBorders>
              <w:top w:val="single" w:color="auto" w:sz="4" w:space="0"/>
              <w:left w:val="single" w:color="auto" w:sz="4" w:space="0"/>
              <w:bottom w:val="single" w:color="auto" w:sz="4" w:space="0"/>
              <w:right w:val="single" w:color="auto" w:sz="4" w:space="0"/>
            </w:tcBorders>
            <w:vAlign w:val="center"/>
          </w:tcPr>
          <w:p>
            <w:pPr>
              <w:spacing w:line="280" w:lineRule="exact"/>
              <w:rPr>
                <w:rFonts w:hint="eastAsia" w:ascii="宋体" w:hAnsi="宋体" w:eastAsia="宋体" w:cs="宋体"/>
                <w:color w:val="000000"/>
                <w:sz w:val="21"/>
                <w:szCs w:val="21"/>
              </w:rPr>
            </w:pPr>
            <w:r>
              <w:rPr>
                <w:rFonts w:hint="eastAsia" w:ascii="宋体" w:hAnsi="宋体" w:eastAsia="宋体" w:cs="宋体"/>
                <w:color w:val="000000"/>
                <w:sz w:val="21"/>
                <w:szCs w:val="21"/>
              </w:rPr>
              <w:t>YOKOGAWA</w:t>
            </w:r>
          </w:p>
        </w:tc>
        <w:tc>
          <w:tcPr>
            <w:tcW w:w="1601" w:type="dxa"/>
            <w:tcBorders>
              <w:top w:val="single" w:color="auto" w:sz="4" w:space="0"/>
              <w:left w:val="single" w:color="auto" w:sz="4" w:space="0"/>
              <w:bottom w:val="single" w:color="auto" w:sz="4" w:space="0"/>
              <w:right w:val="double" w:color="auto" w:sz="4" w:space="0"/>
            </w:tcBorders>
            <w:vAlign w:val="center"/>
          </w:tcPr>
          <w:p>
            <w:pPr>
              <w:spacing w:line="28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Singapore</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28" w:type="dxa"/>
            <w:left w:w="57" w:type="dxa"/>
            <w:bottom w:w="28" w:type="dxa"/>
            <w:right w:w="57" w:type="dxa"/>
          </w:tblCellMar>
        </w:tblPrEx>
        <w:trPr>
          <w:trHeight w:val="739" w:hRule="exact"/>
          <w:jc w:val="center"/>
        </w:trPr>
        <w:tc>
          <w:tcPr>
            <w:tcW w:w="818" w:type="dxa"/>
            <w:tcBorders>
              <w:top w:val="single" w:color="auto" w:sz="4" w:space="0"/>
              <w:left w:val="double" w:color="auto" w:sz="4" w:space="0"/>
              <w:bottom w:val="single" w:color="auto" w:sz="4" w:space="0"/>
              <w:right w:val="single" w:color="auto" w:sz="4" w:space="0"/>
            </w:tcBorders>
            <w:vAlign w:val="center"/>
          </w:tcPr>
          <w:p>
            <w:pPr>
              <w:spacing w:line="28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2868" w:type="dxa"/>
            <w:tcBorders>
              <w:top w:val="single" w:color="auto" w:sz="4" w:space="0"/>
              <w:left w:val="single" w:color="auto" w:sz="4" w:space="0"/>
              <w:bottom w:val="single" w:color="auto" w:sz="4" w:space="0"/>
              <w:right w:val="single" w:color="auto" w:sz="4" w:space="0"/>
            </w:tcBorders>
            <w:vAlign w:val="center"/>
          </w:tcPr>
          <w:p>
            <w:pPr>
              <w:spacing w:line="280" w:lineRule="exact"/>
              <w:rPr>
                <w:rFonts w:hint="eastAsia" w:ascii="宋体" w:hAnsi="宋体" w:eastAsia="宋体" w:cs="宋体"/>
                <w:color w:val="000000"/>
                <w:sz w:val="21"/>
                <w:szCs w:val="21"/>
              </w:rPr>
            </w:pPr>
            <w:r>
              <w:rPr>
                <w:rFonts w:hint="eastAsia" w:ascii="宋体" w:hAnsi="宋体" w:eastAsia="宋体" w:cs="宋体"/>
                <w:color w:val="000000"/>
                <w:sz w:val="21"/>
                <w:szCs w:val="21"/>
              </w:rPr>
              <w:t>测试模块</w:t>
            </w:r>
          </w:p>
        </w:tc>
        <w:tc>
          <w:tcPr>
            <w:tcW w:w="1287" w:type="dxa"/>
            <w:tcBorders>
              <w:top w:val="single" w:color="auto" w:sz="4" w:space="0"/>
              <w:left w:val="single" w:color="auto" w:sz="4" w:space="0"/>
              <w:bottom w:val="single" w:color="auto" w:sz="4" w:space="0"/>
              <w:right w:val="single" w:color="auto" w:sz="4" w:space="0"/>
            </w:tcBorders>
            <w:vAlign w:val="center"/>
          </w:tcPr>
          <w:p>
            <w:pPr>
              <w:spacing w:line="280" w:lineRule="exact"/>
              <w:rPr>
                <w:rFonts w:hint="eastAsia" w:ascii="宋体" w:hAnsi="宋体" w:eastAsia="宋体" w:cs="宋体"/>
                <w:color w:val="000000"/>
                <w:sz w:val="21"/>
                <w:szCs w:val="21"/>
              </w:rPr>
            </w:pPr>
            <w:r>
              <w:rPr>
                <w:rFonts w:hint="eastAsia" w:ascii="宋体" w:hAnsi="宋体" w:eastAsia="宋体" w:cs="宋体"/>
                <w:color w:val="000000"/>
                <w:sz w:val="21"/>
                <w:szCs w:val="21"/>
              </w:rPr>
              <w:t>YOKOGAWA</w:t>
            </w:r>
          </w:p>
        </w:tc>
        <w:tc>
          <w:tcPr>
            <w:tcW w:w="1690"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760902</w:t>
            </w:r>
          </w:p>
        </w:tc>
        <w:tc>
          <w:tcPr>
            <w:tcW w:w="4524" w:type="dxa"/>
            <w:tcBorders>
              <w:top w:val="single" w:color="auto" w:sz="4" w:space="0"/>
              <w:left w:val="single" w:color="auto" w:sz="4" w:space="0"/>
              <w:bottom w:val="single" w:color="auto" w:sz="4" w:space="0"/>
              <w:right w:val="single" w:color="auto" w:sz="4" w:space="0"/>
            </w:tcBorders>
            <w:vAlign w:val="center"/>
          </w:tcPr>
          <w:p>
            <w:pPr>
              <w:spacing w:line="280" w:lineRule="exact"/>
              <w:rPr>
                <w:rFonts w:hint="eastAsia" w:ascii="宋体" w:hAnsi="宋体" w:eastAsia="宋体" w:cs="宋体"/>
                <w:color w:val="000000"/>
                <w:sz w:val="21"/>
                <w:szCs w:val="21"/>
              </w:rPr>
            </w:pPr>
            <w:r>
              <w:rPr>
                <w:rFonts w:hint="eastAsia" w:ascii="宋体" w:hAnsi="宋体" w:eastAsia="宋体" w:cs="宋体"/>
                <w:color w:val="000000"/>
                <w:sz w:val="21"/>
                <w:szCs w:val="21"/>
              </w:rPr>
              <w:t>5A电流高精度测试单元</w:t>
            </w:r>
          </w:p>
        </w:tc>
        <w:tc>
          <w:tcPr>
            <w:tcW w:w="1272" w:type="dxa"/>
            <w:tcBorders>
              <w:top w:val="single" w:color="auto" w:sz="4" w:space="0"/>
              <w:left w:val="single" w:color="auto" w:sz="4" w:space="0"/>
              <w:bottom w:val="single" w:color="auto" w:sz="4" w:space="0"/>
              <w:right w:val="single" w:color="auto" w:sz="4" w:space="0"/>
            </w:tcBorders>
            <w:vAlign w:val="center"/>
          </w:tcPr>
          <w:p>
            <w:pPr>
              <w:spacing w:line="280" w:lineRule="exact"/>
              <w:rPr>
                <w:rFonts w:hint="eastAsia" w:ascii="宋体" w:hAnsi="宋体" w:eastAsia="宋体" w:cs="宋体"/>
                <w:color w:val="000000"/>
                <w:sz w:val="21"/>
                <w:szCs w:val="21"/>
              </w:rPr>
            </w:pPr>
            <w:r>
              <w:rPr>
                <w:rFonts w:hint="eastAsia" w:ascii="宋体" w:hAnsi="宋体" w:eastAsia="宋体" w:cs="宋体"/>
                <w:color w:val="000000"/>
                <w:sz w:val="21"/>
                <w:szCs w:val="21"/>
              </w:rPr>
              <w:t>YOKOGAWA</w:t>
            </w:r>
          </w:p>
        </w:tc>
        <w:tc>
          <w:tcPr>
            <w:tcW w:w="1601" w:type="dxa"/>
            <w:tcBorders>
              <w:top w:val="single" w:color="auto" w:sz="4" w:space="0"/>
              <w:left w:val="single" w:color="auto" w:sz="4" w:space="0"/>
              <w:bottom w:val="single" w:color="auto" w:sz="4" w:space="0"/>
              <w:right w:val="double" w:color="auto" w:sz="4" w:space="0"/>
            </w:tcBorders>
            <w:vAlign w:val="center"/>
          </w:tcPr>
          <w:p>
            <w:pPr>
              <w:spacing w:line="28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Singapore</w:t>
            </w:r>
          </w:p>
        </w:tc>
      </w:tr>
    </w:tbl>
    <w:p>
      <w:pPr>
        <w:pStyle w:val="9"/>
        <w:keepNext w:val="0"/>
        <w:keepLines w:val="0"/>
        <w:pageBreakBefore w:val="0"/>
        <w:widowControl w:val="0"/>
        <w:kinsoku/>
        <w:wordWrap/>
        <w:overflowPunct/>
        <w:topLinePunct w:val="0"/>
        <w:autoSpaceDE/>
        <w:autoSpaceDN/>
        <w:bidi w:val="0"/>
        <w:adjustRightInd/>
        <w:snapToGrid/>
        <w:spacing w:after="0" w:line="440" w:lineRule="exact"/>
        <w:ind w:firstLine="640" w:firstLineChars="200"/>
        <w:textAlignment w:val="auto"/>
        <w:rPr>
          <w:rFonts w:hint="eastAsia" w:ascii="宋体" w:hAnsi="宋体" w:cs="宋体"/>
          <w:bCs/>
          <w:kern w:val="0"/>
          <w:sz w:val="32"/>
          <w:szCs w:val="32"/>
          <w:lang w:val="en-US" w:eastAsia="zh-CN"/>
        </w:rPr>
      </w:pPr>
    </w:p>
    <w:p>
      <w:pPr>
        <w:pStyle w:val="9"/>
        <w:ind w:firstLine="640" w:firstLineChars="200"/>
        <w:rPr>
          <w:rFonts w:hint="default" w:ascii="宋体" w:hAnsi="宋体" w:cs="宋体"/>
          <w:bCs/>
          <w:kern w:val="0"/>
          <w:sz w:val="32"/>
          <w:szCs w:val="32"/>
          <w:lang w:val="en-US" w:eastAsia="zh-CN"/>
        </w:rPr>
      </w:pPr>
    </w:p>
    <w:sectPr>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1E7384"/>
    <w:rsid w:val="00FF1AFA"/>
    <w:rsid w:val="01587AB8"/>
    <w:rsid w:val="025D7705"/>
    <w:rsid w:val="03713C8D"/>
    <w:rsid w:val="03F02BDE"/>
    <w:rsid w:val="07186B5B"/>
    <w:rsid w:val="07442618"/>
    <w:rsid w:val="07CE06C5"/>
    <w:rsid w:val="07CF694C"/>
    <w:rsid w:val="0DE84663"/>
    <w:rsid w:val="0E0035B5"/>
    <w:rsid w:val="117705F6"/>
    <w:rsid w:val="12BE25CA"/>
    <w:rsid w:val="14651856"/>
    <w:rsid w:val="153B734C"/>
    <w:rsid w:val="166028E8"/>
    <w:rsid w:val="16C53AFF"/>
    <w:rsid w:val="190E44BF"/>
    <w:rsid w:val="1919063B"/>
    <w:rsid w:val="1A5A157A"/>
    <w:rsid w:val="20011CB3"/>
    <w:rsid w:val="201A64D9"/>
    <w:rsid w:val="20D11BFC"/>
    <w:rsid w:val="212C0102"/>
    <w:rsid w:val="24A14530"/>
    <w:rsid w:val="28ED1704"/>
    <w:rsid w:val="2BC901AF"/>
    <w:rsid w:val="2D4079E4"/>
    <w:rsid w:val="2E580B7A"/>
    <w:rsid w:val="2F1E3803"/>
    <w:rsid w:val="31883292"/>
    <w:rsid w:val="333B50FD"/>
    <w:rsid w:val="33F435CC"/>
    <w:rsid w:val="35601F98"/>
    <w:rsid w:val="36070930"/>
    <w:rsid w:val="369E79F9"/>
    <w:rsid w:val="390A7185"/>
    <w:rsid w:val="3B9C7437"/>
    <w:rsid w:val="3EE678CB"/>
    <w:rsid w:val="3F7E5102"/>
    <w:rsid w:val="400B4A2C"/>
    <w:rsid w:val="41DA5CC9"/>
    <w:rsid w:val="4500175D"/>
    <w:rsid w:val="47075D30"/>
    <w:rsid w:val="498834B6"/>
    <w:rsid w:val="4B2A42FC"/>
    <w:rsid w:val="4B946E34"/>
    <w:rsid w:val="4C4E1D6B"/>
    <w:rsid w:val="4E19084F"/>
    <w:rsid w:val="4E1E7384"/>
    <w:rsid w:val="58037BA7"/>
    <w:rsid w:val="584C1A61"/>
    <w:rsid w:val="59236FF8"/>
    <w:rsid w:val="5A535278"/>
    <w:rsid w:val="60FB7342"/>
    <w:rsid w:val="60FE6B62"/>
    <w:rsid w:val="612103B4"/>
    <w:rsid w:val="642F6C8C"/>
    <w:rsid w:val="65F51FC5"/>
    <w:rsid w:val="69D832BC"/>
    <w:rsid w:val="69EB69FD"/>
    <w:rsid w:val="6C2A3A5B"/>
    <w:rsid w:val="6F18283F"/>
    <w:rsid w:val="6F2C5074"/>
    <w:rsid w:val="703B56EE"/>
    <w:rsid w:val="74DA42B9"/>
    <w:rsid w:val="75383185"/>
    <w:rsid w:val="7560296D"/>
    <w:rsid w:val="7AE97BC9"/>
    <w:rsid w:val="7D8226DF"/>
    <w:rsid w:val="7F880D8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正文 "/>
    <w:basedOn w:val="1"/>
    <w:qFormat/>
    <w:uiPriority w:val="0"/>
    <w:pPr>
      <w:widowControl w:val="0"/>
      <w:adjustRightInd w:val="0"/>
      <w:spacing w:line="318" w:lineRule="atLeast"/>
      <w:ind w:left="369" w:firstLine="369"/>
      <w:jc w:val="both"/>
      <w:textAlignment w:val="baseline"/>
    </w:pPr>
    <w:rPr>
      <w:rFonts w:ascii="宋体"/>
      <w:sz w:val="21"/>
      <w:szCs w:val="20"/>
    </w:rPr>
  </w:style>
  <w:style w:type="paragraph" w:styleId="3">
    <w:name w:val="Body Text"/>
    <w:basedOn w:val="1"/>
    <w:next w:val="4"/>
    <w:qFormat/>
    <w:uiPriority w:val="0"/>
    <w:pPr>
      <w:spacing w:after="156" w:afterLines="50" w:line="360" w:lineRule="auto"/>
    </w:pPr>
    <w:rPr>
      <w:rFonts w:ascii="宋体" w:hAnsi="宋体"/>
      <w:color w:val="000000"/>
      <w:sz w:val="24"/>
    </w:rPr>
  </w:style>
  <w:style w:type="paragraph" w:styleId="4">
    <w:name w:val="toc 9"/>
    <w:basedOn w:val="1"/>
    <w:next w:val="1"/>
    <w:qFormat/>
    <w:uiPriority w:val="0"/>
    <w:pPr>
      <w:ind w:left="3360" w:leftChars="1600"/>
    </w:pPr>
  </w:style>
  <w:style w:type="paragraph" w:styleId="5">
    <w:name w:val="Plain Text"/>
    <w:basedOn w:val="1"/>
    <w:qFormat/>
    <w:uiPriority w:val="0"/>
    <w:rPr>
      <w:rFonts w:ascii="宋体" w:hAnsi="Courier New" w:eastAsia="宋体" w:cs="Times New Roman"/>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100" w:beforeAutospacing="1" w:after="100" w:afterAutospacing="1"/>
      <w:ind w:left="0" w:right="0"/>
      <w:jc w:val="left"/>
    </w:pPr>
    <w:rPr>
      <w:rFonts w:ascii="Times New Roman" w:hAnsi="Times New Roman" w:eastAsia="宋体" w:cs="Times New Roman"/>
      <w:kern w:val="0"/>
      <w:sz w:val="24"/>
      <w:lang w:val="en-US" w:eastAsia="zh-CN" w:bidi="ar-SA"/>
    </w:rPr>
  </w:style>
  <w:style w:type="paragraph" w:styleId="9">
    <w:name w:val="Body Text First Indent"/>
    <w:basedOn w:val="3"/>
    <w:next w:val="1"/>
    <w:qFormat/>
    <w:uiPriority w:val="0"/>
    <w:pPr>
      <w:spacing w:after="120" w:afterLines="0" w:line="240" w:lineRule="auto"/>
      <w:ind w:firstLine="420" w:firstLineChars="100"/>
    </w:pPr>
    <w:rPr>
      <w:rFonts w:ascii="Times New Roman" w:hAnsi="Times New Roman"/>
      <w:color w:val="auto"/>
      <w:sz w:val="18"/>
      <w:szCs w:val="18"/>
    </w:rPr>
  </w:style>
  <w:style w:type="paragraph" w:customStyle="1" w:styleId="12">
    <w:name w:val="_Style 4"/>
    <w:basedOn w:val="1"/>
    <w:qFormat/>
    <w:uiPriority w:val="34"/>
    <w:pPr>
      <w:ind w:firstLine="420" w:firstLineChars="200"/>
    </w:pPr>
    <w:rPr>
      <w:rFonts w:ascii="Calibri" w:hAnsi="Calibri"/>
      <w:szCs w:val="22"/>
    </w:rPr>
  </w:style>
  <w:style w:type="paragraph" w:customStyle="1" w:styleId="13">
    <w:name w:val="_Style 2"/>
    <w:basedOn w:val="1"/>
    <w:qFormat/>
    <w:uiPriority w:val="34"/>
    <w:pPr>
      <w:ind w:firstLine="420" w:firstLineChars="200"/>
    </w:pPr>
    <w:rPr>
      <w:rFonts w:ascii="Calibri" w:hAnsi="Calibri"/>
      <w:szCs w:val="22"/>
    </w:rPr>
  </w:style>
  <w:style w:type="paragraph" w:customStyle="1" w:styleId="14">
    <w:name w:val="List Paragraph"/>
    <w:basedOn w:val="1"/>
    <w:qFormat/>
    <w:uiPriority w:val="0"/>
    <w:pPr>
      <w:keepNext w:val="0"/>
      <w:keepLines w:val="0"/>
      <w:widowControl w:val="0"/>
      <w:suppressLineNumbers w:val="0"/>
      <w:spacing w:before="0" w:beforeAutospacing="0" w:after="0" w:afterAutospacing="0" w:line="360" w:lineRule="auto"/>
      <w:ind w:left="0" w:right="0" w:firstLine="420" w:firstLineChars="200"/>
      <w:jc w:val="both"/>
    </w:pPr>
    <w:rPr>
      <w:rFonts w:hint="eastAsia" w:ascii="宋体" w:hAnsi="Times New Roman" w:eastAsia="宋体" w:cs="Times New Roman"/>
      <w:kern w:val="2"/>
      <w:sz w:val="24"/>
      <w:szCs w:val="24"/>
      <w:lang w:val="en-US" w:eastAsia="zh-CN" w:bidi="ar"/>
    </w:rPr>
  </w:style>
  <w:style w:type="paragraph" w:customStyle="1" w:styleId="15">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spacing w:line="360" w:lineRule="auto"/>
      <w:ind w:firstLine="720" w:firstLineChars="200"/>
      <w:jc w:val="both"/>
    </w:pPr>
    <w:rPr>
      <w:rFonts w:ascii="Times New Roman" w:hAnsi="Times New Roman" w:eastAsia="宋体" w:cs="Times New Roman"/>
      <w:kern w:val="2"/>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2019-06-28T01:17:00Z</dcterms:created>
  <dc:creator>liuying</dc:creator>
  <cp:lastModifiedBy>甜心</cp:lastModifiedBy>
  <dcterms:modified xsi:type="dcterms:W3CDTF">2019-12-04T09:44:09Z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