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outlineLvl w:val="9"/>
        <w:rPr>
          <w:rFonts w:hint="eastAsia" w:ascii="宋体" w:hAnsi="宋体" w:eastAsia="宋体" w:cs="宋体"/>
        </w:rPr>
      </w:pPr>
    </w:p>
    <w:p>
      <w:pPr>
        <w:pageBreakBefore w:val="0"/>
        <w:kinsoku/>
        <w:overflowPunct/>
        <w:topLinePunct w:val="0"/>
        <w:bidi w:val="0"/>
        <w:spacing w:line="360" w:lineRule="auto"/>
        <w:jc w:val="both"/>
        <w:outlineLvl w:val="9"/>
        <w:rPr>
          <w:rFonts w:hint="default"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cs="宋体"/>
          <w:sz w:val="24"/>
          <w:szCs w:val="24"/>
          <w:lang w:eastAsia="zh-CN"/>
        </w:rPr>
        <w:t>TYRZ-2024-ZZ059</w:t>
      </w:r>
    </w:p>
    <w:p>
      <w:pPr>
        <w:pageBreakBefore w:val="0"/>
        <w:kinsoku/>
        <w:overflowPunct/>
        <w:topLinePunct w:val="0"/>
        <w:bidi w:val="0"/>
        <w:spacing w:line="360" w:lineRule="auto"/>
        <w:jc w:val="center"/>
        <w:outlineLvl w:val="9"/>
        <w:rPr>
          <w:rFonts w:hint="eastAsia" w:ascii="宋体" w:hAnsi="宋体" w:eastAsia="宋体" w:cs="宋体"/>
          <w:b/>
          <w:sz w:val="40"/>
          <w:szCs w:val="32"/>
          <w:lang w:eastAsia="zh-CN"/>
        </w:rPr>
      </w:pPr>
    </w:p>
    <w:p>
      <w:pPr>
        <w:pStyle w:val="17"/>
        <w:jc w:val="center"/>
        <w:outlineLvl w:val="9"/>
        <w:rPr>
          <w:rFonts w:hint="default" w:ascii="宋体" w:hAnsi="宋体" w:eastAsia="宋体" w:cs="宋体"/>
          <w:b/>
          <w:color w:val="000000"/>
          <w:sz w:val="48"/>
          <w:szCs w:val="48"/>
          <w:lang w:eastAsia="zh-CN"/>
        </w:rPr>
      </w:pPr>
      <w:r>
        <w:rPr>
          <w:rFonts w:hint="eastAsia" w:ascii="宋体" w:hAnsi="宋体" w:cs="宋体"/>
          <w:b/>
          <w:bCs/>
          <w:sz w:val="48"/>
          <w:szCs w:val="48"/>
          <w:lang w:eastAsia="zh-CN"/>
        </w:rPr>
        <w:t>2024年周至县道路清扫保洁、垃圾清运、绿化养护、公厕管理市场化运作项目</w:t>
      </w:r>
    </w:p>
    <w:p>
      <w:pPr>
        <w:pStyle w:val="32"/>
        <w:jc w:val="center"/>
        <w:rPr>
          <w:rFonts w:hint="eastAsia" w:ascii="宋体" w:hAnsi="宋体" w:eastAsia="宋体" w:cs="宋体"/>
          <w:b/>
          <w:sz w:val="48"/>
          <w:szCs w:val="48"/>
          <w:lang w:eastAsia="zh-CN"/>
        </w:rPr>
      </w:pPr>
      <w:r>
        <w:rPr>
          <w:rFonts w:hint="eastAsia" w:hAnsi="宋体" w:cs="宋体"/>
          <w:b/>
          <w:sz w:val="48"/>
          <w:szCs w:val="48"/>
          <w:lang w:eastAsia="zh-CN"/>
        </w:rPr>
        <w:t>（合同包 3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72"/>
          <w:szCs w:val="72"/>
        </w:rPr>
      </w:pPr>
      <w:r>
        <w:rPr>
          <w:rFonts w:hint="eastAsia" w:ascii="宋体" w:hAnsi="宋体" w:eastAsia="宋体" w:cs="宋体"/>
          <w:b/>
          <w:sz w:val="72"/>
          <w:szCs w:val="72"/>
          <w:lang w:eastAsia="zh-CN"/>
        </w:rPr>
        <w:t>招标</w:t>
      </w:r>
      <w:r>
        <w:rPr>
          <w:rFonts w:hint="eastAsia" w:ascii="宋体" w:hAnsi="宋体" w:eastAsia="宋体" w:cs="宋体"/>
          <w:b/>
          <w:sz w:val="72"/>
          <w:szCs w:val="72"/>
        </w:rPr>
        <w:t>文件</w:t>
      </w:r>
    </w:p>
    <w:p>
      <w:pPr>
        <w:pStyle w:val="32"/>
        <w:rPr>
          <w:rFonts w:hint="eastAsia" w:ascii="宋体" w:hAnsi="宋体" w:eastAsia="宋体" w:cs="宋体"/>
          <w:b/>
          <w:sz w:val="72"/>
          <w:szCs w:val="72"/>
        </w:rPr>
      </w:pPr>
    </w:p>
    <w:p>
      <w:pPr>
        <w:pStyle w:val="32"/>
        <w:rPr>
          <w:rFonts w:hint="eastAsia"/>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61312" behindDoc="1" locked="0" layoutInCell="1" allowOverlap="1">
            <wp:simplePos x="0" y="0"/>
            <wp:positionH relativeFrom="column">
              <wp:posOffset>1659890</wp:posOffset>
            </wp:positionH>
            <wp:positionV relativeFrom="paragraph">
              <wp:posOffset>372110</wp:posOffset>
            </wp:positionV>
            <wp:extent cx="2481580" cy="2160270"/>
            <wp:effectExtent l="0" t="0" r="13970" b="11430"/>
            <wp:wrapTight wrapText="bothSides">
              <wp:wrapPolygon>
                <wp:start x="0" y="0"/>
                <wp:lineTo x="0" y="21333"/>
                <wp:lineTo x="21390" y="21333"/>
                <wp:lineTo x="21390"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3"/>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 xml:space="preserve"> </w:t>
      </w: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jc w:val="center"/>
        <w:outlineLvl w:val="9"/>
        <w:rPr>
          <w:rFonts w:hint="eastAsia" w:ascii="宋体" w:hAnsi="宋体" w:eastAsia="宋体" w:cs="宋体"/>
          <w:b/>
          <w:sz w:val="32"/>
          <w:szCs w:val="32"/>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pageBreakBefore w:val="0"/>
        <w:kinsoku/>
        <w:overflowPunct/>
        <w:topLinePunct w:val="0"/>
        <w:bidi w:val="0"/>
        <w:spacing w:line="360" w:lineRule="auto"/>
        <w:ind w:firstLine="1405" w:firstLineChars="500"/>
        <w:jc w:val="left"/>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default" w:ascii="宋体" w:hAnsi="宋体" w:eastAsia="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 xml:space="preserve">      采   购   人：</w:t>
      </w:r>
      <w:r>
        <w:rPr>
          <w:rFonts w:hint="eastAsia" w:ascii="宋体" w:hAnsi="宋体" w:cs="宋体"/>
          <w:b/>
          <w:color w:val="auto"/>
          <w:spacing w:val="4"/>
          <w:sz w:val="32"/>
          <w:szCs w:val="32"/>
          <w:lang w:eastAsia="zh-CN"/>
        </w:rPr>
        <w:t>周至县城市管理和综合执法局</w:t>
      </w:r>
    </w:p>
    <w:p>
      <w:pPr>
        <w:pageBreakBefore w:val="0"/>
        <w:kinsoku/>
        <w:overflowPunct/>
        <w:topLinePunct w:val="0"/>
        <w:bidi w:val="0"/>
        <w:spacing w:line="360" w:lineRule="auto"/>
        <w:jc w:val="center"/>
        <w:outlineLvl w:val="9"/>
        <w:rPr>
          <w:rFonts w:hint="eastAsia" w:ascii="宋体" w:hAnsi="宋体" w:eastAsia="宋体" w:cs="宋体"/>
          <w:b/>
          <w:sz w:val="32"/>
          <w:szCs w:val="32"/>
        </w:rPr>
      </w:pPr>
      <w:r>
        <w:rPr>
          <w:rFonts w:hint="eastAsia" w:ascii="宋体" w:hAnsi="宋体" w:cs="宋体"/>
          <w:b/>
          <w:bCs/>
          <w:sz w:val="32"/>
          <w:szCs w:val="32"/>
          <w:shd w:val="clear" w:color="auto" w:fill="FFFFFF"/>
          <w:lang w:eastAsia="zh-CN"/>
        </w:rPr>
        <w:t>招标代理公司：</w:t>
      </w:r>
      <w:r>
        <w:rPr>
          <w:rFonts w:hint="eastAsia" w:ascii="宋体" w:hAnsi="宋体" w:eastAsia="宋体" w:cs="宋体"/>
          <w:b/>
          <w:bCs/>
          <w:sz w:val="32"/>
          <w:szCs w:val="32"/>
          <w:shd w:val="clear" w:color="auto" w:fill="FFFFFF"/>
        </w:rPr>
        <w:t>天煜荣泽工程咨询有限公司</w:t>
      </w:r>
    </w:p>
    <w:p>
      <w:pPr>
        <w:spacing w:line="480" w:lineRule="auto"/>
        <w:jc w:val="center"/>
        <w:rPr>
          <w:rFonts w:hint="eastAsia" w:ascii="宋体" w:hAnsi="宋体" w:eastAsia="宋体" w:cs="宋体"/>
          <w:b/>
          <w:color w:val="auto"/>
          <w:spacing w:val="4"/>
          <w:sz w:val="32"/>
          <w:szCs w:val="32"/>
          <w:lang w:eastAsia="zh-CN"/>
        </w:rPr>
      </w:pPr>
      <w:r>
        <w:rPr>
          <w:rFonts w:hint="eastAsia" w:ascii="宋体" w:hAnsi="宋体" w:cs="宋体"/>
          <w:b/>
          <w:color w:val="auto"/>
          <w:spacing w:val="4"/>
          <w:sz w:val="32"/>
          <w:szCs w:val="32"/>
          <w:lang w:eastAsia="zh-CN"/>
        </w:rPr>
        <w:t>二〇二四年一月</w:t>
      </w:r>
    </w:p>
    <w:p>
      <w:pPr>
        <w:spacing w:line="480" w:lineRule="auto"/>
        <w:jc w:val="center"/>
        <w:rPr>
          <w:rFonts w:ascii="宋体" w:hAnsi="宋体"/>
          <w:sz w:val="28"/>
          <w:szCs w:val="32"/>
        </w:rPr>
        <w:sectPr>
          <w:headerReference r:id="rId4" w:type="first"/>
          <w:headerReference r:id="rId3" w:type="default"/>
          <w:footerReference r:id="rId5" w:type="default"/>
          <w:pgSz w:w="11906" w:h="16838"/>
          <w:pgMar w:top="1247" w:right="1247" w:bottom="1247" w:left="1247" w:header="851" w:footer="964" w:gutter="0"/>
          <w:pgNumType w:fmt="numberInDash" w:start="1"/>
          <w:cols w:space="720" w:num="1"/>
          <w:docGrid w:linePitch="312" w:charSpace="0"/>
        </w:sectPr>
      </w:pPr>
    </w:p>
    <w:sdt>
      <w:sdtPr>
        <w:rPr>
          <w:rFonts w:ascii="宋体" w:hAnsi="宋体"/>
          <w:sz w:val="28"/>
          <w:szCs w:val="32"/>
        </w:rPr>
        <w:id w:val="147461704"/>
        <w15:color w:val="DBDBDB"/>
        <w:docPartObj>
          <w:docPartGallery w:val="Table of Contents"/>
          <w:docPartUnique/>
        </w:docPartObj>
      </w:sdtPr>
      <w:sdtEndPr>
        <w:rPr>
          <w:rFonts w:ascii="宋体" w:hAnsi="宋体"/>
          <w:sz w:val="24"/>
          <w:szCs w:val="24"/>
        </w:rPr>
      </w:sdtEndPr>
      <w:sdtContent>
        <w:p>
          <w:pPr>
            <w:spacing w:line="480" w:lineRule="auto"/>
            <w:jc w:val="center"/>
            <w:rPr>
              <w:rFonts w:ascii="宋体" w:hAnsi="宋体"/>
              <w:sz w:val="28"/>
              <w:szCs w:val="32"/>
            </w:rPr>
          </w:pPr>
        </w:p>
        <w:p>
          <w:pPr>
            <w:spacing w:line="480" w:lineRule="auto"/>
            <w:jc w:val="center"/>
            <w:rPr>
              <w:rFonts w:ascii="宋体" w:hAnsi="宋体"/>
              <w:sz w:val="28"/>
              <w:szCs w:val="32"/>
            </w:rPr>
          </w:pPr>
        </w:p>
        <w:p>
          <w:pPr>
            <w:spacing w:line="480" w:lineRule="auto"/>
            <w:jc w:val="center"/>
            <w:rPr>
              <w:sz w:val="28"/>
              <w:szCs w:val="32"/>
            </w:rPr>
          </w:pPr>
          <w:r>
            <w:rPr>
              <w:rFonts w:ascii="宋体" w:hAnsi="宋体"/>
              <w:sz w:val="28"/>
              <w:szCs w:val="32"/>
            </w:rPr>
            <w:t>目录</w:t>
          </w:r>
        </w:p>
        <w:p>
          <w:pPr>
            <w:pStyle w:val="19"/>
            <w:tabs>
              <w:tab w:val="right" w:leader="dot" w:pos="9412"/>
            </w:tabs>
            <w:spacing w:line="360" w:lineRule="auto"/>
            <w:rPr>
              <w:rFonts w:hint="eastAsia" w:ascii="宋体" w:hAnsi="宋体" w:eastAsia="宋体" w:cs="宋体"/>
              <w:sz w:val="32"/>
              <w:szCs w:val="36"/>
            </w:rPr>
          </w:pPr>
          <w:r>
            <w:rPr>
              <w:sz w:val="44"/>
              <w:szCs w:val="48"/>
            </w:rPr>
            <w:fldChar w:fldCharType="begin"/>
          </w:r>
          <w:r>
            <w:rPr>
              <w:sz w:val="44"/>
              <w:szCs w:val="48"/>
            </w:rPr>
            <w:instrText xml:space="preserve">TOC \o "1-1" \h \u </w:instrText>
          </w:r>
          <w:r>
            <w:rPr>
              <w:sz w:val="44"/>
              <w:szCs w:val="4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"_Toc2779" </w:instrText>
          </w:r>
          <w:r>
            <w:rPr>
              <w:rFonts w:hint="eastAsia" w:ascii="宋体" w:hAnsi="宋体" w:eastAsia="宋体" w:cs="宋体"/>
            </w:rPr>
            <w:fldChar w:fldCharType="separate"/>
          </w:r>
          <w:r>
            <w:rPr>
              <w:rFonts w:hint="eastAsia" w:ascii="宋体" w:hAnsi="宋体" w:eastAsia="宋体" w:cs="宋体"/>
              <w:bCs/>
              <w:sz w:val="32"/>
              <w:szCs w:val="44"/>
            </w:rPr>
            <w:t>第一章 招标公告</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_Toc2779 \h </w:instrText>
          </w:r>
          <w:r>
            <w:rPr>
              <w:rFonts w:hint="eastAsia" w:ascii="宋体" w:hAnsi="宋体" w:eastAsia="宋体" w:cs="宋体"/>
              <w:sz w:val="32"/>
              <w:szCs w:val="36"/>
            </w:rPr>
            <w:fldChar w:fldCharType="separate"/>
          </w:r>
          <w:r>
            <w:rPr>
              <w:rFonts w:hint="eastAsia" w:ascii="宋体" w:hAnsi="宋体" w:eastAsia="宋体" w:cs="宋体"/>
              <w:sz w:val="32"/>
              <w:szCs w:val="36"/>
            </w:rPr>
            <w:t>1</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"_Toc14249" </w:instrText>
          </w:r>
          <w:r>
            <w:rPr>
              <w:rFonts w:hint="eastAsia" w:ascii="宋体" w:hAnsi="宋体" w:eastAsia="宋体" w:cs="宋体"/>
            </w:rPr>
            <w:fldChar w:fldCharType="separate"/>
          </w:r>
          <w:r>
            <w:rPr>
              <w:rFonts w:hint="eastAsia" w:ascii="宋体" w:hAnsi="宋体" w:eastAsia="宋体" w:cs="宋体"/>
              <w:bCs/>
              <w:sz w:val="32"/>
              <w:szCs w:val="48"/>
            </w:rPr>
            <w:t>第二章 投标人须知</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_Toc14249 \h </w:instrText>
          </w:r>
          <w:r>
            <w:rPr>
              <w:rFonts w:hint="eastAsia" w:ascii="宋体" w:hAnsi="宋体" w:eastAsia="宋体" w:cs="宋体"/>
              <w:sz w:val="32"/>
              <w:szCs w:val="36"/>
            </w:rPr>
            <w:fldChar w:fldCharType="separate"/>
          </w:r>
          <w:r>
            <w:rPr>
              <w:rFonts w:hint="eastAsia" w:ascii="宋体" w:hAnsi="宋体" w:eastAsia="宋体" w:cs="宋体"/>
              <w:sz w:val="32"/>
              <w:szCs w:val="36"/>
            </w:rPr>
            <w:t>7</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"_Toc11955" </w:instrText>
          </w:r>
          <w:r>
            <w:rPr>
              <w:rFonts w:hint="eastAsia" w:ascii="宋体" w:hAnsi="宋体" w:eastAsia="宋体" w:cs="宋体"/>
            </w:rPr>
            <w:fldChar w:fldCharType="separate"/>
          </w:r>
          <w:r>
            <w:rPr>
              <w:rFonts w:hint="eastAsia" w:ascii="宋体" w:hAnsi="宋体" w:eastAsia="宋体" w:cs="宋体"/>
              <w:bCs/>
              <w:sz w:val="32"/>
              <w:szCs w:val="48"/>
            </w:rPr>
            <w:t>第三章 评标办法</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_Toc11955 \h </w:instrText>
          </w:r>
          <w:r>
            <w:rPr>
              <w:rFonts w:hint="eastAsia" w:ascii="宋体" w:hAnsi="宋体" w:eastAsia="宋体" w:cs="宋体"/>
              <w:sz w:val="32"/>
              <w:szCs w:val="36"/>
            </w:rPr>
            <w:fldChar w:fldCharType="separate"/>
          </w:r>
          <w:r>
            <w:rPr>
              <w:rFonts w:hint="eastAsia" w:ascii="宋体" w:hAnsi="宋体" w:eastAsia="宋体" w:cs="宋体"/>
              <w:sz w:val="32"/>
              <w:szCs w:val="36"/>
            </w:rPr>
            <w:t>23</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"_Toc1430" </w:instrText>
          </w:r>
          <w:r>
            <w:rPr>
              <w:rFonts w:hint="eastAsia" w:ascii="宋体" w:hAnsi="宋体" w:eastAsia="宋体" w:cs="宋体"/>
            </w:rPr>
            <w:fldChar w:fldCharType="separate"/>
          </w:r>
          <w:r>
            <w:rPr>
              <w:rFonts w:hint="eastAsia" w:ascii="宋体" w:hAnsi="宋体" w:eastAsia="宋体" w:cs="宋体"/>
              <w:sz w:val="32"/>
              <w:szCs w:val="52"/>
            </w:rPr>
            <w:t>第四章 合同主要条款</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_Toc1430 \h </w:instrText>
          </w:r>
          <w:r>
            <w:rPr>
              <w:rFonts w:hint="eastAsia" w:ascii="宋体" w:hAnsi="宋体" w:eastAsia="宋体" w:cs="宋体"/>
              <w:sz w:val="32"/>
              <w:szCs w:val="36"/>
            </w:rPr>
            <w:fldChar w:fldCharType="separate"/>
          </w:r>
          <w:r>
            <w:rPr>
              <w:rFonts w:hint="eastAsia" w:ascii="宋体" w:hAnsi="宋体" w:eastAsia="宋体" w:cs="宋体"/>
              <w:sz w:val="32"/>
              <w:szCs w:val="36"/>
            </w:rPr>
            <w:t>29</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rFonts w:hint="eastAsia" w:ascii="宋体" w:hAnsi="宋体" w:eastAsia="宋体" w:cs="宋体"/>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"_Toc30575" </w:instrText>
          </w:r>
          <w:r>
            <w:rPr>
              <w:rFonts w:hint="eastAsia" w:ascii="宋体" w:hAnsi="宋体" w:eastAsia="宋体" w:cs="宋体"/>
            </w:rPr>
            <w:fldChar w:fldCharType="separate"/>
          </w:r>
          <w:r>
            <w:rPr>
              <w:rFonts w:hint="eastAsia" w:ascii="宋体" w:hAnsi="宋体" w:eastAsia="宋体" w:cs="宋体"/>
              <w:sz w:val="32"/>
              <w:szCs w:val="44"/>
            </w:rPr>
            <w:t xml:space="preserve">第五章 </w:t>
          </w:r>
          <w:r>
            <w:rPr>
              <w:rFonts w:hint="eastAsia" w:ascii="宋体" w:hAnsi="宋体" w:eastAsia="宋体" w:cs="宋体"/>
              <w:bCs/>
              <w:sz w:val="32"/>
              <w:szCs w:val="44"/>
            </w:rPr>
            <w:t>采购内容</w:t>
          </w:r>
          <w:r>
            <w:rPr>
              <w:rFonts w:hint="eastAsia" w:ascii="宋体" w:hAnsi="宋体" w:eastAsia="宋体" w:cs="宋体"/>
              <w:sz w:val="32"/>
              <w:szCs w:val="44"/>
            </w:rPr>
            <w:t>和要求</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_Toc30575 \h </w:instrText>
          </w:r>
          <w:r>
            <w:rPr>
              <w:rFonts w:hint="eastAsia" w:ascii="宋体" w:hAnsi="宋体" w:eastAsia="宋体" w:cs="宋体"/>
              <w:sz w:val="32"/>
              <w:szCs w:val="36"/>
            </w:rPr>
            <w:fldChar w:fldCharType="separate"/>
          </w:r>
          <w:r>
            <w:rPr>
              <w:rFonts w:hint="eastAsia" w:ascii="宋体" w:hAnsi="宋体" w:eastAsia="宋体" w:cs="宋体"/>
              <w:sz w:val="32"/>
              <w:szCs w:val="36"/>
            </w:rPr>
            <w:t>63</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pStyle w:val="19"/>
            <w:tabs>
              <w:tab w:val="right" w:leader="dot" w:pos="9412"/>
            </w:tabs>
            <w:spacing w:line="360" w:lineRule="auto"/>
            <w:rPr>
              <w:sz w:val="32"/>
              <w:szCs w:val="36"/>
            </w:rPr>
          </w:pPr>
          <w:r>
            <w:rPr>
              <w:rFonts w:hint="eastAsia" w:ascii="宋体" w:hAnsi="宋体" w:eastAsia="宋体" w:cs="宋体"/>
            </w:rPr>
            <w:fldChar w:fldCharType="begin"/>
          </w:r>
          <w:r>
            <w:rPr>
              <w:rFonts w:hint="eastAsia" w:ascii="宋体" w:hAnsi="宋体" w:eastAsia="宋体" w:cs="宋体"/>
            </w:rPr>
            <w:instrText xml:space="preserve"> HYPERLINK \l "_Toc6910" </w:instrText>
          </w:r>
          <w:r>
            <w:rPr>
              <w:rFonts w:hint="eastAsia" w:ascii="宋体" w:hAnsi="宋体" w:eastAsia="宋体" w:cs="宋体"/>
            </w:rPr>
            <w:fldChar w:fldCharType="separate"/>
          </w:r>
          <w:r>
            <w:rPr>
              <w:rFonts w:hint="eastAsia" w:ascii="宋体" w:hAnsi="宋体" w:eastAsia="宋体" w:cs="宋体"/>
              <w:sz w:val="32"/>
              <w:szCs w:val="52"/>
            </w:rPr>
            <w:t>第六章 投标文件格式</w:t>
          </w:r>
          <w:r>
            <w:rPr>
              <w:rFonts w:hint="eastAsia" w:ascii="宋体" w:hAnsi="宋体" w:eastAsia="宋体" w:cs="宋体"/>
              <w:sz w:val="32"/>
              <w:szCs w:val="36"/>
            </w:rPr>
            <w:tab/>
          </w:r>
          <w:r>
            <w:rPr>
              <w:rFonts w:hint="eastAsia" w:ascii="宋体" w:hAnsi="宋体" w:eastAsia="宋体" w:cs="宋体"/>
              <w:sz w:val="32"/>
              <w:szCs w:val="36"/>
            </w:rPr>
            <w:fldChar w:fldCharType="begin"/>
          </w:r>
          <w:r>
            <w:rPr>
              <w:rFonts w:hint="eastAsia" w:ascii="宋体" w:hAnsi="宋体" w:eastAsia="宋体" w:cs="宋体"/>
              <w:sz w:val="32"/>
              <w:szCs w:val="36"/>
            </w:rPr>
            <w:instrText xml:space="preserve"> PAGEREF _Toc6910 \h </w:instrText>
          </w:r>
          <w:r>
            <w:rPr>
              <w:rFonts w:hint="eastAsia" w:ascii="宋体" w:hAnsi="宋体" w:eastAsia="宋体" w:cs="宋体"/>
              <w:sz w:val="32"/>
              <w:szCs w:val="36"/>
            </w:rPr>
            <w:fldChar w:fldCharType="separate"/>
          </w:r>
          <w:r>
            <w:rPr>
              <w:rFonts w:hint="eastAsia" w:ascii="宋体" w:hAnsi="宋体" w:eastAsia="宋体" w:cs="宋体"/>
              <w:sz w:val="32"/>
              <w:szCs w:val="36"/>
            </w:rPr>
            <w:t>65</w:t>
          </w:r>
          <w:r>
            <w:rPr>
              <w:rFonts w:hint="eastAsia" w:ascii="宋体" w:hAnsi="宋体" w:eastAsia="宋体" w:cs="宋体"/>
              <w:sz w:val="32"/>
              <w:szCs w:val="36"/>
            </w:rPr>
            <w:fldChar w:fldCharType="end"/>
          </w:r>
          <w:r>
            <w:rPr>
              <w:rFonts w:hint="eastAsia" w:ascii="宋体" w:hAnsi="宋体" w:eastAsia="宋体" w:cs="宋体"/>
              <w:sz w:val="32"/>
              <w:szCs w:val="36"/>
            </w:rPr>
            <w:fldChar w:fldCharType="end"/>
          </w:r>
        </w:p>
        <w:p>
          <w:pPr>
            <w:spacing w:line="360" w:lineRule="auto"/>
            <w:rPr>
              <w:sz w:val="24"/>
              <w:szCs w:val="24"/>
            </w:rPr>
          </w:pPr>
          <w:r>
            <w:rPr>
              <w:sz w:val="32"/>
              <w:szCs w:val="40"/>
            </w:rPr>
            <w:fldChar w:fldCharType="end"/>
          </w:r>
        </w:p>
      </w:sdtContent>
    </w:sdt>
    <w:p>
      <w:pPr>
        <w:autoSpaceDE w:val="0"/>
        <w:autoSpaceDN w:val="0"/>
        <w:spacing w:line="480" w:lineRule="auto"/>
        <w:jc w:val="left"/>
        <w:rPr>
          <w:rFonts w:ascii="宋体" w:hAnsi="宋体" w:cs="宋体"/>
          <w:b/>
          <w:bCs/>
          <w:kern w:val="0"/>
          <w:sz w:val="44"/>
          <w:szCs w:val="44"/>
        </w:rPr>
      </w:pPr>
    </w:p>
    <w:p>
      <w:pPr>
        <w:pStyle w:val="24"/>
      </w:pPr>
    </w:p>
    <w:p>
      <w:pPr>
        <w:pStyle w:val="24"/>
      </w:pPr>
    </w:p>
    <w:p>
      <w:pPr>
        <w:pStyle w:val="24"/>
      </w:pPr>
    </w:p>
    <w:p>
      <w:pPr>
        <w:pStyle w:val="24"/>
      </w:pPr>
    </w:p>
    <w:p>
      <w:pPr>
        <w:pStyle w:val="24"/>
      </w:pPr>
    </w:p>
    <w:p>
      <w:pPr>
        <w:pStyle w:val="24"/>
      </w:pPr>
    </w:p>
    <w:p>
      <w:pPr>
        <w:pStyle w:val="24"/>
        <w:sectPr>
          <w:footerReference r:id="rId6" w:type="default"/>
          <w:pgSz w:w="11906" w:h="16838"/>
          <w:pgMar w:top="1247" w:right="1247" w:bottom="1247" w:left="1247" w:header="851" w:footer="964" w:gutter="0"/>
          <w:pgNumType w:fmt="decimal" w:start="1"/>
          <w:cols w:space="720" w:num="1"/>
          <w:docGrid w:linePitch="312" w:charSpace="0"/>
        </w:sectPr>
      </w:pPr>
    </w:p>
    <w:p>
      <w:pPr>
        <w:spacing w:line="360" w:lineRule="auto"/>
        <w:jc w:val="center"/>
        <w:outlineLvl w:val="0"/>
        <w:rPr>
          <w:b/>
          <w:bCs/>
          <w:sz w:val="30"/>
          <w:szCs w:val="30"/>
        </w:rPr>
      </w:pPr>
      <w:bookmarkStart w:id="0" w:name="_Toc2779"/>
      <w:bookmarkStart w:id="1" w:name="_Toc10850_WPSOffice_Level1"/>
      <w:bookmarkStart w:id="2" w:name="_Toc9483"/>
      <w:bookmarkStart w:id="3" w:name="_Toc20538"/>
      <w:bookmarkStart w:id="4" w:name="_Toc356228413"/>
      <w:bookmarkStart w:id="5" w:name="_Toc2409"/>
      <w:bookmarkStart w:id="6" w:name="_Toc13828_WPSOffice_Level2"/>
      <w:bookmarkStart w:id="7" w:name="_Toc92598699"/>
      <w:bookmarkStart w:id="8" w:name="_Toc388426294"/>
      <w:bookmarkStart w:id="9" w:name="_Toc22537_WPSOffice_Level1"/>
      <w:r>
        <w:rPr>
          <w:rFonts w:hint="eastAsia"/>
          <w:b/>
          <w:bCs/>
          <w:sz w:val="30"/>
          <w:szCs w:val="30"/>
        </w:rPr>
        <w:t>第一章 招标公告</w:t>
      </w:r>
      <w:bookmarkEnd w:id="0"/>
      <w:bookmarkEnd w:id="1"/>
    </w:p>
    <w:p>
      <w:pPr>
        <w:widowControl/>
        <w:shd w:val="clear" w:color="auto" w:fill="FFFFFF"/>
        <w:spacing w:after="240" w:line="480" w:lineRule="atLeast"/>
        <w:jc w:val="center"/>
        <w:textAlignment w:val="baseline"/>
        <w:rPr>
          <w:rFonts w:ascii="宋体" w:hAnsi="宋体" w:cs="宋体"/>
          <w:b/>
          <w:bCs/>
          <w:color w:val="333333"/>
          <w:sz w:val="24"/>
          <w:szCs w:val="24"/>
        </w:rPr>
      </w:pPr>
      <w:bookmarkStart w:id="10" w:name="_Toc23946"/>
      <w:r>
        <w:rPr>
          <w:rFonts w:hint="eastAsia" w:ascii="宋体" w:hAnsi="宋体" w:cs="宋体"/>
          <w:b/>
          <w:bCs/>
          <w:color w:val="333333"/>
          <w:sz w:val="24"/>
          <w:szCs w:val="24"/>
          <w:shd w:val="clear" w:color="auto" w:fill="FFFFFF"/>
          <w:lang w:eastAsia="zh-CN"/>
        </w:rPr>
        <w:t>2024年周至县道路清扫保洁、垃圾清运、绿化养护、公厕管理市场化运作项目</w:t>
      </w:r>
      <w:r>
        <w:rPr>
          <w:rFonts w:hint="eastAsia" w:ascii="宋体" w:hAnsi="宋体" w:cs="宋体"/>
          <w:b/>
          <w:bCs/>
          <w:color w:val="333333"/>
          <w:sz w:val="24"/>
          <w:szCs w:val="24"/>
          <w:shd w:val="clear" w:color="auto" w:fill="FFFFFF"/>
        </w:rPr>
        <w:t>招标公告</w:t>
      </w:r>
      <w:bookmarkEnd w:id="10"/>
    </w:p>
    <w:p>
      <w:pPr>
        <w:pStyle w:val="6"/>
        <w:keepNext w:val="0"/>
        <w:keepLines w:val="0"/>
        <w:widowControl/>
        <w:wordWrap w:val="0"/>
        <w:spacing w:before="0" w:after="0" w:line="360" w:lineRule="auto"/>
        <w:ind w:firstLine="482" w:firstLineChars="200"/>
        <w:jc w:val="left"/>
        <w:textAlignment w:val="baseline"/>
        <w:rPr>
          <w:rFonts w:ascii="宋体" w:hAnsi="宋体" w:cs="宋体"/>
          <w:szCs w:val="24"/>
        </w:rPr>
      </w:pP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招标项目的潜在投标人应在</w:t>
      </w:r>
      <w:r>
        <w:rPr>
          <w:rFonts w:hint="eastAsia" w:ascii="宋体" w:hAnsi="宋体" w:eastAsia="宋体" w:cs="宋体"/>
          <w:color w:val="333333"/>
          <w:szCs w:val="24"/>
          <w:shd w:val="clear" w:color="auto" w:fill="FFFFFF"/>
          <w:lang w:eastAsia="zh-CN"/>
        </w:rPr>
        <w:t>全国公共资源交易平台（陕西省•西安市）网站〖首页〉电子交易平台〉陕西政府采购交易系统〉企业端〗</w:t>
      </w:r>
      <w:r>
        <w:rPr>
          <w:rFonts w:hint="eastAsia" w:ascii="宋体" w:hAnsi="宋体" w:cs="宋体"/>
          <w:color w:val="333333"/>
          <w:szCs w:val="24"/>
          <w:shd w:val="clear" w:color="auto" w:fill="FFFFFF"/>
        </w:rPr>
        <w:t>获取招标文件，并于202</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年</w:t>
      </w:r>
      <w:r>
        <w:rPr>
          <w:rFonts w:hint="eastAsia" w:ascii="宋体" w:hAnsi="宋体" w:cs="宋体"/>
          <w:color w:val="333333"/>
          <w:szCs w:val="24"/>
          <w:shd w:val="clear" w:color="auto" w:fill="FFFFFF"/>
          <w:lang w:val="en-US" w:eastAsia="zh-CN"/>
        </w:rPr>
        <w:t>01月30日09</w:t>
      </w:r>
      <w:r>
        <w:rPr>
          <w:rFonts w:hint="eastAsia" w:ascii="宋体" w:hAnsi="宋体" w:cs="宋体"/>
          <w:color w:val="333333"/>
          <w:szCs w:val="24"/>
          <w:shd w:val="clear" w:color="auto" w:fill="FFFFFF"/>
        </w:rPr>
        <w:t>时</w:t>
      </w:r>
      <w:r>
        <w:rPr>
          <w:rFonts w:hint="eastAsia" w:ascii="宋体" w:hAnsi="宋体" w:cs="宋体"/>
          <w:color w:val="333333"/>
          <w:szCs w:val="24"/>
          <w:shd w:val="clear" w:color="auto" w:fill="FFFFFF"/>
          <w:lang w:val="en-US" w:eastAsia="zh-CN"/>
        </w:rPr>
        <w:t>30</w:t>
      </w:r>
      <w:r>
        <w:rPr>
          <w:rFonts w:hint="eastAsia" w:ascii="宋体" w:hAnsi="宋体" w:cs="宋体"/>
          <w:color w:val="333333"/>
          <w:szCs w:val="24"/>
          <w:shd w:val="clear" w:color="auto" w:fill="FFFFFF"/>
        </w:rPr>
        <w:t>分 （北京时间）前递交投标文件。</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一、项目基本情况</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项目编号：</w:t>
      </w:r>
      <w:r>
        <w:rPr>
          <w:rFonts w:hint="eastAsia" w:ascii="宋体" w:hAnsi="宋体" w:cs="宋体"/>
          <w:color w:val="333333"/>
          <w:szCs w:val="24"/>
          <w:shd w:val="clear" w:color="auto" w:fill="FFFFFF"/>
          <w:lang w:eastAsia="zh-CN"/>
        </w:rPr>
        <w:t>TYRZ-2024-ZZ059</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Cs w:val="24"/>
          <w:lang w:eastAsia="zh-CN"/>
        </w:rPr>
      </w:pPr>
      <w:r>
        <w:rPr>
          <w:rFonts w:hint="eastAsia" w:ascii="宋体" w:hAnsi="宋体" w:cs="宋体"/>
          <w:color w:val="333333"/>
          <w:szCs w:val="24"/>
          <w:shd w:val="clear" w:color="auto" w:fill="FFFFFF"/>
        </w:rPr>
        <w:t>项目名称：</w:t>
      </w:r>
      <w:r>
        <w:rPr>
          <w:rFonts w:hint="eastAsia" w:ascii="宋体" w:hAnsi="宋体" w:cs="宋体"/>
          <w:color w:val="333333"/>
          <w:szCs w:val="24"/>
          <w:shd w:val="clear" w:color="auto" w:fill="FFFFFF"/>
          <w:lang w:eastAsia="zh-CN"/>
        </w:rPr>
        <w:t>2024年周至县道路清扫保洁、垃圾清运、绿化养护、公厕管理市场化运作项目</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采购方式：公开招标</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333333"/>
          <w:szCs w:val="24"/>
          <w:shd w:val="clear" w:color="auto" w:fill="FFFFFF"/>
        </w:rPr>
        <w:t>预算金额：</w:t>
      </w:r>
      <w:r>
        <w:rPr>
          <w:rFonts w:hint="eastAsia" w:ascii="宋体" w:hAnsi="宋体" w:cs="宋体"/>
          <w:color w:val="auto"/>
          <w:szCs w:val="24"/>
          <w:shd w:val="clear" w:color="auto" w:fill="FFFFFF"/>
          <w:lang w:val="en-US" w:eastAsia="zh-CN"/>
        </w:rPr>
        <w:t>24394616.80</w:t>
      </w:r>
      <w:r>
        <w:rPr>
          <w:rFonts w:hint="eastAsia" w:ascii="宋体" w:hAnsi="宋体" w:cs="宋体"/>
          <w:color w:val="auto"/>
          <w:szCs w:val="24"/>
          <w:shd w:val="clear" w:color="auto" w:fill="FFFFFF"/>
        </w:rPr>
        <w:t>元</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采购需求：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lang w:eastAsia="zh-CN"/>
        </w:rPr>
        <w:t>合同包1</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 xml:space="preserve">7941554.69 </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496"/>
        <w:gridCol w:w="1500"/>
        <w:gridCol w:w="158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1-1</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清扫保洁、垃圾清运、公厕管护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4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eastAsia="zh-CN" w:bidi="ar"/>
              </w:rPr>
              <w:t>详见采购文件</w:t>
            </w:r>
          </w:p>
        </w:tc>
        <w:tc>
          <w:tcPr>
            <w:tcW w:w="15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 xml:space="preserve">7941554.69  </w:t>
            </w:r>
          </w:p>
        </w:tc>
        <w:tc>
          <w:tcPr>
            <w:tcW w:w="15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ascii="宋体" w:hAnsi="宋体" w:cs="宋体"/>
                <w:color w:val="auto"/>
                <w:sz w:val="24"/>
                <w:szCs w:val="24"/>
              </w:rPr>
            </w:pPr>
            <w:r>
              <w:rPr>
                <w:rFonts w:hint="eastAsia" w:ascii="宋体" w:hAnsi="宋体" w:cs="宋体"/>
                <w:i w:val="0"/>
                <w:iCs w:val="0"/>
                <w:color w:val="auto"/>
                <w:kern w:val="0"/>
                <w:sz w:val="24"/>
                <w:szCs w:val="24"/>
                <w:u w:val="none"/>
                <w:lang w:val="en-US" w:eastAsia="zh-CN" w:bidi="ar"/>
              </w:rPr>
              <w:t>7941545.47</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4801792.92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24"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2</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4801792.92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4801792.92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4527237.65</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9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3</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4527237.65</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4527237.65</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4448888.82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55"/>
        <w:gridCol w:w="1611"/>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609"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4</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清扫保洁、公厕管护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4448888.82</w:t>
            </w:r>
          </w:p>
        </w:tc>
        <w:tc>
          <w:tcPr>
            <w:tcW w:w="16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4448888.82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ind w:firstLine="480" w:firstLineChars="200"/>
        <w:rPr>
          <w:rFonts w:hint="eastAsia" w:ascii="仿宋_GB2312" w:eastAsia="仿宋_GB2312"/>
          <w:sz w:val="30"/>
          <w:szCs w:val="32"/>
        </w:rPr>
      </w:pPr>
      <w:r>
        <w:rPr>
          <w:rFonts w:hint="eastAsia" w:ascii="宋体" w:hAnsi="宋体" w:eastAsia="宋体" w:cs="宋体"/>
          <w:color w:val="333333"/>
          <w:kern w:val="0"/>
          <w:sz w:val="24"/>
          <w:szCs w:val="24"/>
          <w:shd w:val="clear" w:color="auto" w:fill="FFFFFF"/>
          <w:lang w:val="en-US" w:eastAsia="zh-CN" w:bidi="ar-SA"/>
        </w:rPr>
        <w:t>合同履行期限：</w:t>
      </w:r>
      <w:r>
        <w:rPr>
          <w:rFonts w:hint="eastAsia" w:ascii="宋体" w:hAnsi="宋体" w:cs="宋体"/>
          <w:color w:val="333333"/>
          <w:kern w:val="0"/>
          <w:sz w:val="24"/>
          <w:szCs w:val="24"/>
          <w:shd w:val="clear" w:color="auto" w:fill="FFFFFF"/>
          <w:lang w:val="en-US" w:eastAsia="zh-CN" w:bidi="ar-SA"/>
        </w:rPr>
        <w:t>1年</w:t>
      </w:r>
      <w:r>
        <w:rPr>
          <w:rFonts w:hint="eastAsia" w:ascii="宋体" w:hAnsi="宋体" w:eastAsia="宋体" w:cs="宋体"/>
          <w:color w:val="333333"/>
          <w:kern w:val="0"/>
          <w:sz w:val="24"/>
          <w:szCs w:val="24"/>
          <w:shd w:val="clear" w:color="auto" w:fill="FFFFFF"/>
          <w:lang w:val="en-US" w:eastAsia="zh-CN" w:bidi="ar-SA"/>
        </w:rPr>
        <w:t>。</w:t>
      </w:r>
      <w:r>
        <w:rPr>
          <w:rFonts w:hint="eastAsia" w:ascii="仿宋_GB2312" w:eastAsia="仿宋_GB2312"/>
          <w:sz w:val="30"/>
          <w:szCs w:val="32"/>
        </w:rPr>
        <w:t xml:space="preserve"> </w:t>
      </w:r>
    </w:p>
    <w:p>
      <w:pPr>
        <w:pStyle w:val="24"/>
        <w:rPr>
          <w:rFonts w:hint="eastAsia"/>
        </w:rPr>
      </w:pP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eastAsia="zh-CN"/>
        </w:rPr>
        <w:t>2024年周至县道路清扫保洁、垃圾清运、绿化养护、公厕管理市场化运作项目</w:t>
      </w:r>
      <w:r>
        <w:rPr>
          <w:rFonts w:hint="eastAsia" w:ascii="宋体" w:hAnsi="宋体" w:cs="宋体"/>
          <w:color w:val="auto"/>
          <w:szCs w:val="24"/>
          <w:shd w:val="clear" w:color="auto" w:fill="FFFFFF"/>
        </w:rPr>
        <w:t>):</w:t>
      </w:r>
    </w:p>
    <w:p>
      <w:pPr>
        <w:pStyle w:val="21"/>
        <w:widowControl/>
        <w:wordWrap w:val="0"/>
        <w:spacing w:before="0" w:beforeAutospacing="0" w:after="0" w:afterAutospacing="0" w:line="360" w:lineRule="auto"/>
        <w:ind w:firstLine="480" w:firstLineChars="200"/>
        <w:jc w:val="both"/>
        <w:textAlignment w:val="baseline"/>
        <w:rPr>
          <w:rFonts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i w:val="0"/>
          <w:iCs w:val="0"/>
          <w:color w:val="auto"/>
          <w:kern w:val="0"/>
          <w:sz w:val="24"/>
          <w:szCs w:val="24"/>
          <w:u w:val="none"/>
          <w:lang w:val="en-US" w:eastAsia="zh-CN" w:bidi="ar"/>
        </w:rPr>
        <w:t>2675142.72</w:t>
      </w:r>
      <w:r>
        <w:rPr>
          <w:rFonts w:hint="eastAsia" w:ascii="宋体" w:hAnsi="宋体" w:cs="宋体"/>
          <w:color w:val="auto"/>
          <w:szCs w:val="24"/>
          <w:shd w:val="clear" w:color="auto" w:fill="FFFFFF"/>
        </w:rPr>
        <w:t>元</w:t>
      </w:r>
    </w:p>
    <w:tbl>
      <w:tblPr>
        <w:tblStyle w:val="25"/>
        <w:tblW w:w="9840" w:type="dxa"/>
        <w:tblInd w:w="-237" w:type="dxa"/>
        <w:tblLayout w:type="fixed"/>
        <w:tblCellMar>
          <w:top w:w="0" w:type="dxa"/>
          <w:left w:w="0" w:type="dxa"/>
          <w:bottom w:w="0" w:type="dxa"/>
          <w:right w:w="0" w:type="dxa"/>
        </w:tblCellMar>
      </w:tblPr>
      <w:tblGrid>
        <w:gridCol w:w="855"/>
        <w:gridCol w:w="1579"/>
        <w:gridCol w:w="1783"/>
        <w:gridCol w:w="1046"/>
        <w:gridCol w:w="1511"/>
        <w:gridCol w:w="1470"/>
        <w:gridCol w:w="1596"/>
      </w:tblGrid>
      <w:tr>
        <w:tblPrEx>
          <w:tblCellMar>
            <w:top w:w="0" w:type="dxa"/>
            <w:left w:w="0" w:type="dxa"/>
            <w:bottom w:w="0" w:type="dxa"/>
            <w:right w:w="0" w:type="dxa"/>
          </w:tblCellMar>
        </w:tblPrEx>
        <w:trPr>
          <w:trHeight w:val="1386" w:hRule="atLeast"/>
          <w:tblHeader/>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品目号</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品目名称</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数量（单位）</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技术规格、参数及要求</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品目预算(元)</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widowControl/>
              <w:wordWrap w:val="0"/>
              <w:spacing w:line="360" w:lineRule="auto"/>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最高限价(元)</w:t>
            </w:r>
          </w:p>
        </w:tc>
      </w:tr>
      <w:tr>
        <w:tblPrEx>
          <w:tblCellMar>
            <w:top w:w="0" w:type="dxa"/>
            <w:left w:w="0" w:type="dxa"/>
            <w:bottom w:w="0" w:type="dxa"/>
            <w:right w:w="0" w:type="dxa"/>
          </w:tblCellMar>
        </w:tblPrEx>
        <w:trPr>
          <w:trHeight w:val="810" w:hRule="atLeast"/>
        </w:trPr>
        <w:tc>
          <w:tcPr>
            <w:tcW w:w="8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1</w:t>
            </w:r>
            <w:r>
              <w:rPr>
                <w:rFonts w:hint="eastAsia" w:ascii="宋体" w:hAnsi="宋体" w:cs="宋体"/>
                <w:color w:val="auto"/>
                <w:kern w:val="0"/>
                <w:sz w:val="24"/>
                <w:szCs w:val="24"/>
                <w:lang w:val="en-US" w:eastAsia="zh-CN" w:bidi="ar"/>
              </w:rPr>
              <w:t>-5</w:t>
            </w:r>
          </w:p>
        </w:tc>
        <w:tc>
          <w:tcPr>
            <w:tcW w:w="157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ascii="微软雅黑" w:hAnsi="微软雅黑" w:eastAsia="微软雅黑" w:cs="微软雅黑"/>
                <w:i w:val="0"/>
                <w:iCs w:val="0"/>
                <w:caps w:val="0"/>
                <w:color w:val="auto"/>
                <w:spacing w:val="0"/>
                <w:sz w:val="21"/>
                <w:szCs w:val="21"/>
                <w:shd w:val="clear" w:fill="FFFFFF"/>
              </w:rPr>
              <w:t>城市市容管理服务</w:t>
            </w:r>
          </w:p>
        </w:tc>
        <w:tc>
          <w:tcPr>
            <w:tcW w:w="178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微软雅黑" w:hAnsi="微软雅黑" w:eastAsia="微软雅黑" w:cs="微软雅黑"/>
                <w:i w:val="0"/>
                <w:iCs w:val="0"/>
                <w:caps w:val="0"/>
                <w:color w:val="auto"/>
                <w:spacing w:val="0"/>
                <w:sz w:val="21"/>
                <w:szCs w:val="21"/>
                <w:shd w:val="clear" w:fill="FFFFFF"/>
              </w:rPr>
              <w:t>城区公园广场绿地养护及城区行道树养护</w:t>
            </w:r>
          </w:p>
        </w:tc>
        <w:tc>
          <w:tcPr>
            <w:tcW w:w="104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1(项)</w:t>
            </w:r>
          </w:p>
        </w:tc>
        <w:tc>
          <w:tcPr>
            <w:tcW w:w="151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center"/>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详见采购文件</w:t>
            </w:r>
          </w:p>
        </w:tc>
        <w:tc>
          <w:tcPr>
            <w:tcW w:w="14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jc w:val="center"/>
              <w:textAlignment w:val="center"/>
              <w:rPr>
                <w:rFonts w:hint="eastAsia" w:ascii="宋体" w:hAnsi="宋体" w:cs="宋体"/>
                <w:color w:val="auto"/>
                <w:kern w:val="0"/>
                <w:sz w:val="24"/>
                <w:szCs w:val="24"/>
                <w:lang w:val="en-US" w:eastAsia="zh-CN" w:bidi="ar"/>
              </w:rPr>
            </w:pPr>
            <w:r>
              <w:rPr>
                <w:rFonts w:hint="eastAsia" w:ascii="宋体" w:hAnsi="宋体" w:cs="宋体"/>
                <w:i w:val="0"/>
                <w:iCs w:val="0"/>
                <w:color w:val="auto"/>
                <w:kern w:val="0"/>
                <w:sz w:val="24"/>
                <w:szCs w:val="24"/>
                <w:u w:val="none"/>
                <w:lang w:val="en-US" w:eastAsia="zh-CN" w:bidi="ar"/>
              </w:rPr>
              <w:t>2675142.72</w:t>
            </w:r>
          </w:p>
        </w:tc>
        <w:tc>
          <w:tcPr>
            <w:tcW w:w="15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center"/>
              <w:rPr>
                <w:rFonts w:hint="eastAsia" w:ascii="宋体" w:hAnsi="宋体" w:cs="宋体"/>
                <w:color w:val="auto"/>
                <w:kern w:val="0"/>
                <w:sz w:val="24"/>
                <w:szCs w:val="24"/>
                <w:lang w:bidi="ar"/>
              </w:rPr>
            </w:pPr>
            <w:r>
              <w:rPr>
                <w:rFonts w:hint="eastAsia" w:ascii="宋体" w:hAnsi="宋体" w:cs="宋体"/>
                <w:i w:val="0"/>
                <w:iCs w:val="0"/>
                <w:color w:val="auto"/>
                <w:kern w:val="0"/>
                <w:sz w:val="24"/>
                <w:szCs w:val="24"/>
                <w:u w:val="none"/>
                <w:lang w:val="en-US" w:eastAsia="zh-CN" w:bidi="ar"/>
              </w:rPr>
              <w:t>2675142.72</w:t>
            </w:r>
          </w:p>
        </w:tc>
      </w:tr>
    </w:tbl>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本合同包不接受联合体投标</w:t>
      </w:r>
    </w:p>
    <w:p>
      <w:pPr>
        <w:pStyle w:val="5"/>
        <w:keepNext w:val="0"/>
        <w:keepLines w:val="0"/>
        <w:widowControl/>
        <w:wordWrap w:val="0"/>
        <w:adjustRightInd/>
        <w:spacing w:before="0" w:after="0" w:line="360" w:lineRule="auto"/>
        <w:ind w:firstLine="480" w:firstLineChars="200"/>
        <w:jc w:val="left"/>
        <w:textAlignment w:val="baseline"/>
        <w:rPr>
          <w:rFonts w:hint="eastAsia" w:ascii="宋体" w:hAnsi="宋体" w:eastAsia="宋体" w:cs="宋体"/>
          <w:b w:val="0"/>
          <w:color w:val="333333"/>
          <w:kern w:val="0"/>
          <w:sz w:val="24"/>
          <w:szCs w:val="24"/>
          <w:shd w:val="clear" w:color="auto" w:fill="FFFFFF"/>
          <w:lang w:val="en-US" w:eastAsia="zh-CN" w:bidi="ar-SA"/>
        </w:rPr>
      </w:pPr>
      <w:r>
        <w:rPr>
          <w:rFonts w:hint="eastAsia" w:ascii="宋体" w:hAnsi="宋体" w:eastAsia="宋体" w:cs="宋体"/>
          <w:b w:val="0"/>
          <w:color w:val="333333"/>
          <w:kern w:val="0"/>
          <w:sz w:val="24"/>
          <w:szCs w:val="24"/>
          <w:shd w:val="clear" w:color="auto" w:fill="FFFFFF"/>
          <w:lang w:val="en-US" w:eastAsia="zh-CN" w:bidi="ar-SA"/>
        </w:rPr>
        <w:t>合同履行期限：1年。</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二、申请人的资格要求：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1.满足《中华人民共和国政府釆购法》第二十二条规定;</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2.落实政府采购政策需满足的资格要求：</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rPr>
        <w:t>落实政府采购政策需满足的资格要求：</w:t>
      </w:r>
      <w:r>
        <w:rPr>
          <w:rFonts w:hint="eastAsia" w:ascii="宋体" w:hAnsi="宋体" w:cs="宋体"/>
          <w:color w:val="333333"/>
          <w:szCs w:val="24"/>
          <w:shd w:val="clear" w:color="auto" w:fill="FFFFFF"/>
          <w:lang w:val="en-US" w:eastAsia="zh-CN"/>
        </w:rPr>
        <w:t>本项目为（非专门）面向中小企业的项目。</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default" w:ascii="宋体" w:hAnsi="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5</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)落实政府采购政策需满足的资格要求如下</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3.本项目的特定资格要求：</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合同包1</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2</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3</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lang w:eastAsia="zh-CN"/>
        </w:rPr>
      </w:pPr>
      <w:r>
        <w:rPr>
          <w:rFonts w:hint="eastAsia" w:ascii="宋体" w:hAnsi="宋体" w:cs="宋体"/>
          <w:color w:val="333333"/>
          <w:szCs w:val="24"/>
          <w:shd w:val="clear" w:color="auto" w:fill="FFFFFF"/>
        </w:rPr>
        <w:t>合同包</w:t>
      </w:r>
      <w:r>
        <w:rPr>
          <w:rFonts w:hint="eastAsia" w:ascii="宋体" w:hAnsi="宋体" w:cs="宋体"/>
          <w:color w:val="333333"/>
          <w:szCs w:val="24"/>
          <w:shd w:val="clear" w:color="auto" w:fill="FFFFFF"/>
          <w:lang w:val="en-US" w:eastAsia="zh-CN"/>
        </w:rPr>
        <w:t>4</w:t>
      </w:r>
      <w:r>
        <w:rPr>
          <w:rFonts w:hint="eastAsia" w:ascii="宋体" w:hAnsi="宋体" w:cs="宋体"/>
          <w:color w:val="333333"/>
          <w:szCs w:val="24"/>
          <w:shd w:val="clear" w:color="auto" w:fill="FFFFFF"/>
        </w:rPr>
        <w:t>(</w:t>
      </w:r>
      <w:r>
        <w:rPr>
          <w:rFonts w:hint="eastAsia" w:ascii="宋体" w:hAnsi="宋体" w:cs="宋体"/>
          <w:color w:val="333333"/>
          <w:szCs w:val="24"/>
          <w:shd w:val="clear" w:color="auto" w:fill="FFFFFF"/>
          <w:lang w:eastAsia="zh-CN"/>
        </w:rPr>
        <w:t>2024年周至县道路清扫保洁、垃圾清运、绿化养护、公厕管理市场化运作项目</w:t>
      </w:r>
      <w:r>
        <w:rPr>
          <w:rFonts w:hint="eastAsia" w:ascii="宋体" w:hAnsi="宋体" w:cs="宋体"/>
          <w:color w:val="333333"/>
          <w:szCs w:val="24"/>
          <w:shd w:val="clear" w:color="auto" w:fill="FFFFFF"/>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333333"/>
          <w:szCs w:val="24"/>
          <w:shd w:val="clear" w:color="auto" w:fill="FFFFFF"/>
        </w:rPr>
      </w:pPr>
      <w:r>
        <w:rPr>
          <w:rFonts w:hint="eastAsia" w:ascii="宋体" w:hAnsi="宋体" w:cs="宋体"/>
          <w:color w:val="333333"/>
          <w:szCs w:val="24"/>
          <w:shd w:val="clear" w:color="auto" w:fill="FFFFFF"/>
          <w:lang w:eastAsia="zh-CN"/>
        </w:rPr>
        <w:t>同合同包1</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cs="宋体"/>
          <w:color w:val="000000" w:themeColor="text1"/>
          <w:szCs w:val="24"/>
          <w:shd w:val="clear" w:color="auto" w:fill="FFFFFF"/>
          <w:lang w:eastAsia="zh-CN"/>
          <w14:textFill>
            <w14:solidFill>
              <w14:schemeClr w14:val="tx1"/>
            </w14:solidFill>
          </w14:textFill>
        </w:rPr>
      </w:pPr>
      <w:bookmarkStart w:id="54" w:name="_GoBack"/>
      <w:r>
        <w:rPr>
          <w:rFonts w:hint="eastAsia" w:ascii="宋体" w:hAnsi="宋体" w:cs="宋体"/>
          <w:color w:val="000000" w:themeColor="text1"/>
          <w:szCs w:val="24"/>
          <w:shd w:val="clear" w:color="auto" w:fill="FFFFFF"/>
          <w14:textFill>
            <w14:solidFill>
              <w14:schemeClr w14:val="tx1"/>
            </w14:solidFill>
          </w14:textFill>
        </w:rPr>
        <w:t>合同包</w:t>
      </w:r>
      <w:r>
        <w:rPr>
          <w:rFonts w:hint="eastAsia" w:ascii="宋体" w:hAnsi="宋体" w:cs="宋体"/>
          <w:color w:val="000000" w:themeColor="text1"/>
          <w:szCs w:val="24"/>
          <w:shd w:val="clear" w:color="auto" w:fill="FFFFFF"/>
          <w:lang w:val="en-US" w:eastAsia="zh-CN"/>
          <w14:textFill>
            <w14:solidFill>
              <w14:schemeClr w14:val="tx1"/>
            </w14:solidFill>
          </w14:textFill>
        </w:rPr>
        <w:t>5</w:t>
      </w:r>
      <w:r>
        <w:rPr>
          <w:rFonts w:hint="eastAsia" w:ascii="宋体" w:hAnsi="宋体" w:cs="宋体"/>
          <w:color w:val="000000" w:themeColor="text1"/>
          <w:szCs w:val="24"/>
          <w:shd w:val="clear" w:color="auto" w:fill="FFFFFF"/>
          <w14:textFill>
            <w14:solidFill>
              <w14:schemeClr w14:val="tx1"/>
            </w14:solidFill>
          </w14:textFill>
        </w:rPr>
        <w:t>(</w:t>
      </w:r>
      <w:r>
        <w:rPr>
          <w:rFonts w:hint="eastAsia" w:ascii="宋体" w:hAnsi="宋体" w:cs="宋体"/>
          <w:color w:val="000000" w:themeColor="text1"/>
          <w:szCs w:val="24"/>
          <w:shd w:val="clear" w:color="auto" w:fill="FFFFFF"/>
          <w:lang w:eastAsia="zh-CN"/>
          <w14:textFill>
            <w14:solidFill>
              <w14:schemeClr w14:val="tx1"/>
            </w14:solidFill>
          </w14:textFill>
        </w:rPr>
        <w:t>2024年周至县道路清扫保洁、垃圾清运、绿化养护、公厕管理市场化运作项目</w:t>
      </w:r>
      <w:r>
        <w:rPr>
          <w:rFonts w:hint="eastAsia" w:ascii="宋体" w:hAnsi="宋体" w:cs="宋体"/>
          <w:color w:val="000000" w:themeColor="text1"/>
          <w:szCs w:val="24"/>
          <w:shd w:val="clear" w:color="auto" w:fill="FFFFFF"/>
          <w14:textFill>
            <w14:solidFill>
              <w14:schemeClr w14:val="tx1"/>
            </w14:solidFill>
          </w14:textFill>
        </w:rPr>
        <w:t>)特定资格要求如下:</w:t>
      </w:r>
    </w:p>
    <w:p>
      <w:pPr>
        <w:pStyle w:val="21"/>
        <w:widowControl/>
        <w:wordWrap w:val="0"/>
        <w:spacing w:before="0" w:beforeAutospacing="0" w:after="0" w:afterAutospacing="0" w:line="360" w:lineRule="auto"/>
        <w:ind w:firstLine="480" w:firstLineChars="200"/>
        <w:jc w:val="both"/>
        <w:textAlignment w:val="baseline"/>
        <w:rPr>
          <w:rFonts w:hint="eastAsia" w:ascii="宋体" w:hAnsi="宋体" w:eastAsia="宋体" w:cs="宋体"/>
          <w:color w:val="000000" w:themeColor="text1"/>
          <w:szCs w:val="24"/>
          <w:shd w:val="clear" w:color="auto" w:fill="FFFFFF"/>
          <w14:textFill>
            <w14:solidFill>
              <w14:schemeClr w14:val="tx1"/>
            </w14:solidFill>
          </w14:textFill>
        </w:rPr>
      </w:pPr>
      <w:r>
        <w:rPr>
          <w:rFonts w:hint="eastAsia" w:ascii="宋体" w:hAnsi="宋体" w:cs="宋体"/>
          <w:color w:val="000000" w:themeColor="text1"/>
          <w:szCs w:val="24"/>
          <w:shd w:val="clear" w:color="auto" w:fill="FFFFFF"/>
          <w:lang w:eastAsia="zh-CN"/>
          <w14:textFill>
            <w14:solidFill>
              <w14:schemeClr w14:val="tx1"/>
            </w14:solidFill>
          </w14:textFill>
        </w:rPr>
        <w:t>同合同包1</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000000" w:themeColor="text1"/>
          <w:sz w:val="24"/>
          <w:szCs w:val="24"/>
          <w14:textFill>
            <w14:solidFill>
              <w14:schemeClr w14:val="tx1"/>
            </w14:solidFill>
          </w14:textFill>
        </w:rPr>
      </w:pPr>
      <w:r>
        <w:rPr>
          <w:rStyle w:val="28"/>
          <w:rFonts w:hint="eastAsia" w:ascii="宋体" w:hAnsi="宋体" w:eastAsia="宋体" w:cs="宋体"/>
          <w:b/>
          <w:bCs/>
          <w:color w:val="000000" w:themeColor="text1"/>
          <w:sz w:val="24"/>
          <w:szCs w:val="24"/>
          <w:shd w:val="clear" w:color="auto" w:fill="FFFFFF"/>
          <w14:textFill>
            <w14:solidFill>
              <w14:schemeClr w14:val="tx1"/>
            </w14:solidFill>
          </w14:textFill>
        </w:rPr>
        <w:t>三、获取招标文件</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时间：</w:t>
      </w:r>
      <w:r>
        <w:rPr>
          <w:rFonts w:hint="eastAsia" w:ascii="宋体" w:hAnsi="宋体" w:cs="宋体"/>
          <w:color w:val="000000" w:themeColor="text1"/>
          <w:szCs w:val="24"/>
          <w:shd w:val="clear" w:color="auto" w:fill="FFFFFF"/>
          <w:lang w:eastAsia="zh-CN"/>
          <w14:textFill>
            <w14:solidFill>
              <w14:schemeClr w14:val="tx1"/>
            </w14:solidFill>
          </w14:textFill>
        </w:rPr>
        <w:t>即日起至2024年01月15日</w:t>
      </w:r>
      <w:r>
        <w:rPr>
          <w:rFonts w:hint="eastAsia" w:ascii="宋体" w:hAnsi="宋体" w:eastAsia="宋体" w:cs="宋体"/>
          <w:color w:val="000000" w:themeColor="text1"/>
          <w:szCs w:val="24"/>
          <w:shd w:val="clear" w:color="auto" w:fill="FFFFFF"/>
          <w:lang w:eastAsia="zh-CN"/>
          <w14:textFill>
            <w14:solidFill>
              <w14:schemeClr w14:val="tx1"/>
            </w14:solidFill>
          </w14:textFill>
        </w:rPr>
        <w:t>，每天上午</w:t>
      </w:r>
      <w:r>
        <w:rPr>
          <w:rFonts w:hint="eastAsia" w:ascii="宋体" w:hAnsi="宋体" w:cs="宋体"/>
          <w:color w:val="000000" w:themeColor="text1"/>
          <w:szCs w:val="24"/>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4"/>
          <w:shd w:val="clear" w:color="auto" w:fill="FFFFFF"/>
          <w:lang w:eastAsia="zh-CN"/>
          <w14:textFill>
            <w14:solidFill>
              <w14:schemeClr w14:val="tx1"/>
            </w14:solidFill>
          </w14:textFill>
        </w:rPr>
        <w:t>:00:00至12:00:00，下午</w:t>
      </w:r>
      <w:r>
        <w:rPr>
          <w:rFonts w:hint="eastAsia" w:ascii="宋体" w:hAnsi="宋体" w:cs="宋体"/>
          <w:color w:val="000000" w:themeColor="text1"/>
          <w:szCs w:val="24"/>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4"/>
          <w:shd w:val="clear" w:color="auto" w:fill="FFFFFF"/>
          <w:lang w:eastAsia="zh-CN"/>
          <w14:textFill>
            <w14:solidFill>
              <w14:schemeClr w14:val="tx1"/>
            </w14:solidFill>
          </w14:textFill>
        </w:rPr>
        <w:t>:00:00至23:59:59（北京时间）</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途径：全国公共资源交易平台（陕西省•西安市）网站〖首页〉电子交易平台〉陕西政府采购交易系统〉企业端〗</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方式：在线获取</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cs="宋体"/>
          <w:color w:val="000000" w:themeColor="text1"/>
          <w:szCs w:val="24"/>
          <w:shd w:val="clear" w:color="auto" w:fill="FFFFFF"/>
          <w:lang w:eastAsia="zh-CN"/>
          <w14:textFill>
            <w14:solidFill>
              <w14:schemeClr w14:val="tx1"/>
            </w14:solidFill>
          </w14:textFill>
        </w:rPr>
        <w:t>售价：免费获取</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color w:val="000000" w:themeColor="text1"/>
          <w:sz w:val="24"/>
          <w:szCs w:val="24"/>
          <w14:textFill>
            <w14:solidFill>
              <w14:schemeClr w14:val="tx1"/>
            </w14:solidFill>
          </w14:textFill>
        </w:rPr>
      </w:pPr>
      <w:r>
        <w:rPr>
          <w:rStyle w:val="28"/>
          <w:rFonts w:hint="eastAsia" w:ascii="宋体" w:hAnsi="宋体" w:eastAsia="宋体" w:cs="宋体"/>
          <w:b/>
          <w:bCs/>
          <w:color w:val="000000" w:themeColor="text1"/>
          <w:sz w:val="24"/>
          <w:szCs w:val="24"/>
          <w:shd w:val="clear" w:color="auto" w:fill="FFFFFF"/>
          <w14:textFill>
            <w14:solidFill>
              <w14:schemeClr w14:val="tx1"/>
            </w14:solidFill>
          </w14:textFill>
        </w:rPr>
        <w:t>四、提交投标文件截止时间、开标时间和地点</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000000" w:themeColor="text1"/>
          <w:szCs w:val="24"/>
          <w:shd w:val="clear" w:color="auto" w:fill="FFFFFF"/>
          <w:lang w:eastAsia="zh-CN"/>
          <w14:textFill>
            <w14:solidFill>
              <w14:schemeClr w14:val="tx1"/>
            </w14:solidFill>
          </w14:textFill>
        </w:rPr>
      </w:pPr>
      <w:r>
        <w:rPr>
          <w:rFonts w:hint="eastAsia" w:ascii="宋体" w:hAnsi="宋体" w:eastAsia="宋体" w:cs="宋体"/>
          <w:color w:val="000000" w:themeColor="text1"/>
          <w:szCs w:val="24"/>
          <w:shd w:val="clear" w:color="auto" w:fill="FFFFFF"/>
          <w:lang w:eastAsia="zh-CN"/>
          <w14:textFill>
            <w14:solidFill>
              <w14:schemeClr w14:val="tx1"/>
            </w14:solidFill>
          </w14:textFill>
        </w:rPr>
        <w:t>时间：</w:t>
      </w: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2024年01月30日09时30分00秒</w:t>
      </w:r>
      <w:r>
        <w:rPr>
          <w:rFonts w:hint="eastAsia" w:ascii="宋体" w:hAnsi="宋体" w:eastAsia="宋体" w:cs="宋体"/>
          <w:color w:val="000000" w:themeColor="text1"/>
          <w:szCs w:val="24"/>
          <w:shd w:val="clear" w:color="auto" w:fill="FFFFFF"/>
          <w:lang w:eastAsia="zh-CN"/>
          <w14:textFill>
            <w14:solidFill>
              <w14:schemeClr w14:val="tx1"/>
            </w14:solidFill>
          </w14:textFill>
        </w:rPr>
        <w:t>（北京时间）</w:t>
      </w:r>
    </w:p>
    <w:bookmarkEnd w:id="54"/>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提交投标文件地点：全国公共资源交易平台（陕西省·西安市）网站〖首页〉电子交易平台〉陕西政府采购交易系统〉企业端〗，在线提交</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eastAsia="宋体" w:cs="宋体"/>
          <w:color w:val="333333"/>
          <w:szCs w:val="24"/>
          <w:shd w:val="clear" w:color="auto" w:fill="FFFFFF"/>
          <w:lang w:eastAsia="zh-CN"/>
        </w:rPr>
        <w:t>开标地点：全国公共资源交易平台（陕西省·西安市）不见面开标大厅</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五、公告期限</w:t>
      </w:r>
    </w:p>
    <w:p>
      <w:pPr>
        <w:pStyle w:val="21"/>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自本公告发布之日起5个工作日。</w:t>
      </w:r>
    </w:p>
    <w:p>
      <w:pPr>
        <w:pStyle w:val="5"/>
        <w:keepNext w:val="0"/>
        <w:keepLines w:val="0"/>
        <w:widowControl/>
        <w:wordWrap w:val="0"/>
        <w:adjustRightInd/>
        <w:spacing w:before="0" w:after="0" w:line="360" w:lineRule="auto"/>
        <w:ind w:firstLine="482" w:firstLineChars="200"/>
        <w:jc w:val="left"/>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六、其他补充事宜</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1、</w:t>
      </w:r>
      <w:r>
        <w:rPr>
          <w:rFonts w:hint="eastAsia" w:ascii="宋体" w:hAnsi="宋体" w:eastAsia="宋体" w:cs="宋体"/>
          <w:color w:val="333333"/>
          <w:szCs w:val="24"/>
          <w:shd w:val="clear" w:color="auto" w:fill="FFFFFF"/>
          <w:lang w:eastAsia="zh-CN"/>
        </w:rPr>
        <w:t>获取方式：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投标人须在获取招标文件时限内，下载获取电子采购文件并做好备份，逾期下载通道将关闭，未及时下载招标文件将会影响后续开评标活动。</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2、</w:t>
      </w:r>
      <w:r>
        <w:rPr>
          <w:rFonts w:hint="eastAsia" w:ascii="宋体" w:hAnsi="宋体" w:eastAsia="宋体" w:cs="宋体"/>
          <w:color w:val="333333"/>
          <w:szCs w:val="24"/>
          <w:shd w:val="clear" w:color="auto" w:fill="FFFFFF"/>
          <w:lang w:eastAsia="zh-CN"/>
        </w:rPr>
        <w:t>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21"/>
        <w:widowControl/>
        <w:wordWrap w:val="0"/>
        <w:spacing w:before="0" w:beforeAutospacing="0" w:after="0" w:afterAutospacing="0" w:line="360" w:lineRule="auto"/>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3、</w:t>
      </w:r>
      <w:r>
        <w:rPr>
          <w:rFonts w:hint="eastAsia" w:ascii="宋体" w:hAnsi="宋体" w:eastAsia="宋体" w:cs="宋体"/>
          <w:color w:val="333333"/>
          <w:szCs w:val="24"/>
          <w:shd w:val="clear" w:color="auto" w:fill="FFFFFF"/>
          <w:lang w:eastAsia="zh-CN"/>
        </w:rPr>
        <w:t>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4、</w:t>
      </w:r>
      <w:r>
        <w:rPr>
          <w:rFonts w:hint="eastAsia" w:ascii="宋体" w:hAnsi="宋体" w:eastAsia="宋体" w:cs="宋体"/>
          <w:color w:val="333333"/>
          <w:szCs w:val="24"/>
          <w:shd w:val="clear" w:color="auto" w:fill="FFFFFF"/>
          <w:lang w:eastAsia="zh-CN"/>
        </w:rPr>
        <w:t>制作电子投标文件（*.SXSTF）需要使用专用制作工具。软件下载及操作说明详见西安市公共资源交易平台〖首页·〉服务指南·〉下载专区〗中的《政府采购项目投标文件制作软件及操作手册》。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5、</w:t>
      </w:r>
      <w:r>
        <w:rPr>
          <w:rFonts w:hint="eastAsia" w:ascii="宋体" w:hAnsi="宋体" w:eastAsia="宋体" w:cs="宋体"/>
          <w:color w:val="333333"/>
          <w:szCs w:val="24"/>
          <w:shd w:val="clear" w:color="auto" w:fill="FFFFFF"/>
          <w:lang w:eastAsia="zh-CN"/>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cs="宋体"/>
          <w:color w:val="333333"/>
          <w:szCs w:val="24"/>
          <w:shd w:val="clear" w:color="auto" w:fill="FFFFFF"/>
          <w:lang w:eastAsia="zh-CN"/>
        </w:rPr>
      </w:pPr>
      <w:r>
        <w:rPr>
          <w:rFonts w:hint="eastAsia" w:ascii="宋体" w:hAnsi="宋体" w:cs="宋体"/>
          <w:color w:val="333333"/>
          <w:szCs w:val="24"/>
          <w:shd w:val="clear" w:color="auto" w:fill="FFFFFF"/>
          <w:lang w:val="en-US" w:eastAsia="zh-CN"/>
        </w:rPr>
        <w:t>6、</w:t>
      </w:r>
      <w:r>
        <w:rPr>
          <w:rFonts w:hint="eastAsia" w:ascii="宋体" w:hAnsi="宋体" w:eastAsia="宋体" w:cs="宋体"/>
          <w:color w:val="333333"/>
          <w:szCs w:val="24"/>
          <w:shd w:val="clear" w:color="auto" w:fill="FFFFFF"/>
          <w:lang w:eastAsia="zh-CN"/>
        </w:rPr>
        <w:t>因投标人自身设施故障或自身原因导致无法完成签到、解密或投标的，由投标人自行承担后果。</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default"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7、</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firstLineChars="200"/>
        <w:jc w:val="both"/>
        <w:textAlignment w:val="baseline"/>
        <w:rPr>
          <w:rFonts w:ascii="宋体" w:hAnsi="宋体" w:eastAsia="宋体" w:cs="宋体"/>
          <w:b w:val="0"/>
          <w:sz w:val="24"/>
          <w:szCs w:val="24"/>
        </w:rPr>
      </w:pPr>
      <w:r>
        <w:rPr>
          <w:rStyle w:val="28"/>
          <w:rFonts w:hint="eastAsia" w:ascii="宋体" w:hAnsi="宋体" w:eastAsia="宋体" w:cs="宋体"/>
          <w:b/>
          <w:bCs/>
          <w:color w:val="333333"/>
          <w:sz w:val="24"/>
          <w:szCs w:val="24"/>
          <w:shd w:val="clear" w:color="auto" w:fill="FFFFFF"/>
        </w:rPr>
        <w:t>七、对本次招标提出询问，请按以下方式联系。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1.采购人信息：西安市周至县城市管理局（本级）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b w:val="0"/>
          <w:bCs w:val="0"/>
          <w:color w:val="333333"/>
          <w:szCs w:val="24"/>
          <w:shd w:val="clear" w:color="auto" w:fill="FFFFFF"/>
        </w:rPr>
        <w:t>联系电话：02987156636</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2.釆购代理机构信息</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名称：天煜荣泽工程咨询有限公司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color w:val="auto"/>
          <w:szCs w:val="24"/>
          <w:highlight w:val="none"/>
        </w:rPr>
      </w:pPr>
      <w:r>
        <w:rPr>
          <w:rFonts w:hint="eastAsia" w:ascii="宋体" w:hAnsi="宋体" w:cs="宋体"/>
          <w:color w:val="auto"/>
          <w:szCs w:val="24"/>
          <w:highlight w:val="none"/>
          <w:shd w:val="clear" w:color="auto" w:fill="FFFFFF"/>
        </w:rPr>
        <w:t>地址：周至县北大街周至教区总堂斜对面向北10米天煜荣泽2层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highlight w:val="green"/>
        </w:rPr>
      </w:pPr>
      <w:r>
        <w:rPr>
          <w:rFonts w:hint="eastAsia" w:ascii="宋体" w:hAnsi="宋体" w:cs="宋体"/>
          <w:color w:val="auto"/>
          <w:szCs w:val="24"/>
          <w:highlight w:val="none"/>
          <w:shd w:val="clear" w:color="auto" w:fill="FFFFFF"/>
        </w:rPr>
        <w:t>联系方式：17719</w:t>
      </w:r>
      <w:r>
        <w:rPr>
          <w:rFonts w:hint="eastAsia" w:ascii="宋体" w:hAnsi="宋体" w:cs="宋体"/>
          <w:color w:val="333333"/>
          <w:szCs w:val="24"/>
          <w:shd w:val="clear" w:color="auto" w:fill="FFFFFF"/>
        </w:rPr>
        <w:t>501789</w:t>
      </w:r>
    </w:p>
    <w:p>
      <w:pPr>
        <w:pStyle w:val="6"/>
        <w:keepNext w:val="0"/>
        <w:keepLines w:val="0"/>
        <w:pageBreakBefore w:val="0"/>
        <w:widowControl/>
        <w:kinsoku/>
        <w:wordWrap w:val="0"/>
        <w:overflowPunct/>
        <w:topLinePunct w:val="0"/>
        <w:autoSpaceDE/>
        <w:autoSpaceDN/>
        <w:bidi w:val="0"/>
        <w:adjustRightInd/>
        <w:snapToGrid/>
        <w:spacing w:before="0" w:after="0" w:line="400" w:lineRule="exact"/>
        <w:ind w:firstLine="480" w:firstLineChars="200"/>
        <w:jc w:val="left"/>
        <w:textAlignment w:val="baseline"/>
        <w:rPr>
          <w:rFonts w:ascii="宋体" w:hAnsi="宋体" w:cs="宋体"/>
          <w:b w:val="0"/>
          <w:bCs w:val="0"/>
          <w:szCs w:val="24"/>
        </w:rPr>
      </w:pPr>
      <w:r>
        <w:rPr>
          <w:rFonts w:hint="eastAsia" w:ascii="宋体" w:hAnsi="宋体" w:cs="宋体"/>
          <w:b w:val="0"/>
          <w:bCs w:val="0"/>
          <w:color w:val="333333"/>
          <w:szCs w:val="24"/>
          <w:shd w:val="clear" w:color="auto" w:fill="FFFFFF"/>
        </w:rPr>
        <w:t>3.项目联系方式</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项目联系人：张工</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电话：17719501789</w:t>
      </w: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pStyle w:val="21"/>
        <w:widowControl/>
        <w:wordWrap/>
        <w:spacing w:before="0" w:beforeAutospacing="0" w:after="0" w:afterAutospacing="0" w:line="360" w:lineRule="auto"/>
        <w:ind w:firstLine="480" w:firstLineChars="200"/>
        <w:jc w:val="right"/>
        <w:textAlignment w:val="baseline"/>
        <w:rPr>
          <w:rFonts w:hint="eastAsia" w:ascii="宋体" w:hAnsi="宋体" w:cs="宋体"/>
          <w:color w:val="333333"/>
          <w:szCs w:val="24"/>
          <w:shd w:val="clear" w:color="auto" w:fill="FFFFFF"/>
        </w:rPr>
      </w:pPr>
    </w:p>
    <w:p>
      <w:pPr>
        <w:numPr>
          <w:ilvl w:val="0"/>
          <w:numId w:val="2"/>
        </w:numPr>
        <w:jc w:val="center"/>
        <w:outlineLvl w:val="0"/>
        <w:rPr>
          <w:rFonts w:ascii="宋体" w:hAnsi="宋体" w:cs="宋体"/>
          <w:b/>
          <w:bCs/>
          <w:sz w:val="32"/>
          <w:szCs w:val="32"/>
        </w:rPr>
      </w:pPr>
      <w:bookmarkStart w:id="11" w:name="_Toc14249"/>
      <w:r>
        <w:rPr>
          <w:rFonts w:hint="eastAsia" w:ascii="宋体" w:hAnsi="宋体" w:cs="宋体"/>
          <w:b/>
          <w:bCs/>
          <w:sz w:val="32"/>
          <w:szCs w:val="32"/>
        </w:rPr>
        <w:t>投标人须知</w:t>
      </w:r>
      <w:bookmarkEnd w:id="11"/>
    </w:p>
    <w:p>
      <w:pPr>
        <w:rPr>
          <w:rFonts w:ascii="宋体" w:hAnsi="宋体" w:cs="宋体"/>
          <w:b/>
          <w:sz w:val="24"/>
          <w:szCs w:val="24"/>
        </w:rPr>
      </w:pPr>
      <w:r>
        <w:rPr>
          <w:rFonts w:hint="eastAsia" w:ascii="宋体" w:hAnsi="宋体" w:cs="宋体"/>
          <w:b/>
          <w:sz w:val="24"/>
          <w:szCs w:val="24"/>
        </w:rPr>
        <w:t>投标人须知前附表</w:t>
      </w:r>
      <w:bookmarkEnd w:id="2"/>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773"/>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内容</w:t>
            </w:r>
          </w:p>
        </w:tc>
        <w:tc>
          <w:tcPr>
            <w:tcW w:w="5984"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项目名称</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sz w:val="24"/>
                <w:szCs w:val="24"/>
                <w:shd w:val="clear" w:color="auto" w:fill="FFFFFF"/>
                <w:lang w:eastAsia="zh-CN"/>
              </w:rPr>
              <w:t>2024年周至县道路清扫保洁、垃圾清运、绿化养护、公厕管理市场化运作项目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项目编号</w:t>
            </w:r>
          </w:p>
        </w:tc>
        <w:tc>
          <w:tcPr>
            <w:tcW w:w="5984" w:type="dxa"/>
          </w:tcPr>
          <w:p>
            <w:pPr>
              <w:keepNext w:val="0"/>
              <w:keepLines w:val="0"/>
              <w:pageBreakBefore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TYRZ-2024-ZZ059-3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预算执行书编号</w:t>
            </w:r>
          </w:p>
        </w:tc>
        <w:tc>
          <w:tcPr>
            <w:tcW w:w="5984" w:type="dxa"/>
          </w:tcPr>
          <w:p>
            <w:pPr>
              <w:keepNext w:val="0"/>
              <w:keepLines w:val="0"/>
              <w:pageBreakBefore w:val="0"/>
              <w:kinsoku/>
              <w:overflowPunct/>
              <w:topLinePunct w:val="0"/>
              <w:autoSpaceDE/>
              <w:autoSpaceDN/>
              <w:bidi w:val="0"/>
              <w:adjustRightInd/>
              <w:snapToGrid/>
              <w:spacing w:line="400" w:lineRule="exact"/>
              <w:rPr>
                <w:rFonts w:hint="default" w:eastAsiaTheme="minorEastAsia"/>
                <w:color w:val="FF0000"/>
                <w:sz w:val="24"/>
                <w:szCs w:val="24"/>
                <w:vertAlign w:val="baseline"/>
                <w:lang w:val="en-US" w:eastAsia="zh-CN"/>
              </w:rPr>
            </w:pPr>
            <w:r>
              <w:rPr>
                <w:rFonts w:hint="eastAsia" w:ascii="宋体" w:hAnsi="宋体" w:eastAsia="宋体" w:cs="宋体"/>
                <w:color w:val="auto"/>
                <w:sz w:val="24"/>
                <w:szCs w:val="24"/>
                <w:vertAlign w:val="baseline"/>
                <w:lang w:val="en-US" w:eastAsia="zh-CN"/>
              </w:rPr>
              <w:t>YS-周至县-2024-00004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765" w:type="dxa"/>
            <w:vMerge w:val="restart"/>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预算金额</w:t>
            </w:r>
          </w:p>
        </w:tc>
        <w:tc>
          <w:tcPr>
            <w:tcW w:w="5984" w:type="dxa"/>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总预算：24394616.80</w:t>
            </w:r>
            <w:r>
              <w:rPr>
                <w:rFonts w:hint="eastAsia" w:asciiTheme="majorEastAsia" w:hAnsiTheme="majorEastAsia" w:eastAsiaTheme="majorEastAsia" w:cstheme="majorEastAsia"/>
                <w:color w:val="auto"/>
                <w:sz w:val="24"/>
                <w:szCs w:val="24"/>
              </w:rPr>
              <w:t xml:space="preserve"> 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 xml:space="preserve">合同包1：7941554.69 </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color w:val="auto"/>
                <w:lang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65" w:type="dxa"/>
            <w:vMerge w:val="continue"/>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最高限价</w:t>
            </w:r>
          </w:p>
        </w:tc>
        <w:tc>
          <w:tcPr>
            <w:tcW w:w="5984" w:type="dxa"/>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合同包1：7941545.47</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合同包2：4801792.92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合同包3：4527237.65</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合同包4：4448888.82</w:t>
            </w:r>
            <w:r>
              <w:rPr>
                <w:rFonts w:hint="eastAsia" w:asciiTheme="majorEastAsia" w:hAnsiTheme="majorEastAsia" w:eastAsiaTheme="majorEastAsia" w:cstheme="majorEastAsia"/>
                <w:color w:val="auto"/>
                <w:sz w:val="24"/>
                <w:szCs w:val="24"/>
                <w:lang w:val="en-US" w:eastAsia="zh-CN"/>
              </w:rPr>
              <w:t>元</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合同包5：2675142.72</w:t>
            </w:r>
            <w:r>
              <w:rPr>
                <w:rFonts w:hint="eastAsia" w:asciiTheme="majorEastAsia" w:hAnsiTheme="majorEastAsia" w:eastAsiaTheme="majorEastAsia" w:cstheme="majorEastAsia"/>
                <w:color w:val="auto"/>
                <w:sz w:val="24"/>
                <w:szCs w:val="24"/>
                <w:lang w:val="en-US"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分项限价</w:t>
            </w:r>
          </w:p>
          <w:p>
            <w:pPr>
              <w:pStyle w:val="23"/>
              <w:spacing w:line="240" w:lineRule="auto"/>
              <w:ind w:left="0" w:leftChars="0" w:firstLine="0" w:firstLineChars="0"/>
              <w:rPr>
                <w:rFonts w:hint="eastAsia"/>
                <w:color w:val="auto"/>
                <w:lang w:eastAsia="zh-CN"/>
              </w:rPr>
            </w:pPr>
            <w:r>
              <w:rPr>
                <w:rFonts w:hint="eastAsia"/>
                <w:color w:val="auto"/>
                <w:lang w:eastAsia="zh-CN"/>
              </w:rPr>
              <w:t>一类道路最高限价：</w:t>
            </w:r>
            <w:r>
              <w:rPr>
                <w:rFonts w:hint="eastAsia"/>
                <w:color w:val="auto"/>
                <w:lang w:val="en-US" w:eastAsia="zh-CN"/>
              </w:rPr>
              <w:t>12.50</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二类道路最高限价：12</w:t>
            </w:r>
            <w:r>
              <w:rPr>
                <w:rFonts w:hint="eastAsia"/>
                <w:color w:val="auto"/>
                <w:lang w:val="en-US" w:eastAsia="zh-CN"/>
              </w:rPr>
              <w:t>.17</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三类道路最高限价：11.0</w:t>
            </w:r>
            <w:r>
              <w:rPr>
                <w:rFonts w:hint="eastAsia"/>
                <w:color w:val="auto"/>
                <w:lang w:val="en-US" w:eastAsia="zh-CN"/>
              </w:rPr>
              <w:t>3</w:t>
            </w:r>
            <w:r>
              <w:rPr>
                <w:rFonts w:hint="eastAsia"/>
                <w:color w:val="auto"/>
                <w:lang w:eastAsia="zh-CN"/>
              </w:rPr>
              <w:t>元/㎡</w:t>
            </w:r>
          </w:p>
          <w:p>
            <w:pPr>
              <w:pStyle w:val="23"/>
              <w:spacing w:line="240" w:lineRule="auto"/>
              <w:ind w:left="0" w:leftChars="0" w:firstLine="0" w:firstLineChars="0"/>
              <w:rPr>
                <w:rFonts w:hint="eastAsia"/>
                <w:color w:val="auto"/>
                <w:lang w:eastAsia="zh-CN"/>
              </w:rPr>
            </w:pPr>
            <w:r>
              <w:rPr>
                <w:rFonts w:hint="eastAsia"/>
                <w:color w:val="auto"/>
                <w:lang w:eastAsia="zh-CN"/>
              </w:rPr>
              <w:t>公厕管护最高限价：</w:t>
            </w:r>
            <w:r>
              <w:rPr>
                <w:rFonts w:hint="eastAsia"/>
                <w:color w:val="auto"/>
                <w:lang w:val="en-US" w:eastAsia="zh-CN"/>
              </w:rPr>
              <w:t>63600</w:t>
            </w:r>
            <w:r>
              <w:rPr>
                <w:rFonts w:hint="eastAsia"/>
                <w:color w:val="auto"/>
                <w:lang w:eastAsia="zh-CN"/>
              </w:rPr>
              <w:t>元/座</w:t>
            </w:r>
          </w:p>
          <w:p>
            <w:pPr>
              <w:pStyle w:val="24"/>
              <w:spacing w:line="240" w:lineRule="auto"/>
              <w:ind w:left="0" w:leftChars="0" w:firstLine="0" w:firstLineChars="0"/>
              <w:rPr>
                <w:rFonts w:hint="default"/>
                <w:lang w:val="en-US" w:eastAsia="zh-CN"/>
              </w:rPr>
            </w:pPr>
            <w:r>
              <w:rPr>
                <w:rFonts w:hint="eastAsia" w:ascii="宋体" w:hAnsi="宋体" w:eastAsia="宋体" w:cs="Times New Roman"/>
                <w:color w:val="auto"/>
                <w:kern w:val="2"/>
                <w:sz w:val="24"/>
                <w:szCs w:val="22"/>
                <w:lang w:val="en-US" w:eastAsia="zh-CN" w:bidi="ar-SA"/>
              </w:rPr>
              <w:t>垃圾清运最高限价：3161689.99元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是否接受联合体</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投标保证金</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sz w:val="24"/>
                <w:szCs w:val="24"/>
                <w:vertAlign w:val="baseline"/>
              </w:rPr>
              <w:t>为响应《西安市财政局关于促进政府采购公平竞争优化营商环境的通知》市财函【2020】617 号文件精神，本项目无需缴纳投标保证金。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采购人</w:t>
            </w:r>
          </w:p>
        </w:tc>
        <w:tc>
          <w:tcPr>
            <w:tcW w:w="5984" w:type="dxa"/>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采购人信息：西安市周至县城市管理局（本级）</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联系人：刘主任</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联系地址：西安市周至县太白南路居民一区</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sz w:val="24"/>
                <w:szCs w:val="24"/>
                <w:vertAlign w:val="baseline"/>
              </w:rPr>
            </w:pPr>
            <w:r>
              <w:rPr>
                <w:rFonts w:hint="eastAsia" w:asciiTheme="minorEastAsia" w:hAnsiTheme="minorEastAsia" w:eastAsiaTheme="minorEastAsia" w:cstheme="minorEastAsia"/>
                <w:szCs w:val="24"/>
                <w:shd w:val="clear" w:color="auto" w:fill="FFFFFF"/>
              </w:rPr>
              <w:t>联系电话：02987156636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采购代理机构</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名  称：天煜荣泽工程咨询有限公司</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ascii="宋体" w:hAnsi="宋体" w:cs="宋体"/>
                <w:color w:val="auto"/>
                <w:szCs w:val="24"/>
                <w:highlight w:val="none"/>
              </w:rPr>
            </w:pPr>
            <w:r>
              <w:rPr>
                <w:rFonts w:hint="eastAsia" w:ascii="宋体" w:hAnsi="宋体"/>
                <w:szCs w:val="24"/>
              </w:rPr>
              <w:t>地  址：</w:t>
            </w:r>
            <w:r>
              <w:rPr>
                <w:rFonts w:hint="eastAsia" w:ascii="宋体" w:hAnsi="宋体" w:cs="宋体"/>
                <w:color w:val="auto"/>
                <w:szCs w:val="24"/>
                <w:highlight w:val="none"/>
                <w:shd w:val="clear" w:color="auto" w:fill="FFFFFF"/>
              </w:rPr>
              <w:t>周至县北大街周至教区总堂斜对面向北10米天煜荣泽2层</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ascii="宋体" w:hAnsi="宋体" w:cs="宋体"/>
                <w:szCs w:val="24"/>
                <w:shd w:val="clear" w:color="auto" w:fill="FFFFFF"/>
              </w:rPr>
            </w:pPr>
            <w:r>
              <w:rPr>
                <w:rFonts w:hint="eastAsia" w:ascii="宋体" w:hAnsi="宋体" w:cs="宋体"/>
                <w:szCs w:val="24"/>
                <w:shd w:val="clear" w:color="auto" w:fill="FFFFFF"/>
              </w:rPr>
              <w:t>联系人：张工</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shd w:val="clear" w:color="auto" w:fill="FFFFFF"/>
              </w:rPr>
              <w:t>联系方式：17719501789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项目实施地点</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周至县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资金来源</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出资比例</w:t>
            </w:r>
          </w:p>
        </w:tc>
        <w:tc>
          <w:tcPr>
            <w:tcW w:w="5984" w:type="dxa"/>
          </w:tcPr>
          <w:p>
            <w:pPr>
              <w:keepNext w:val="0"/>
              <w:keepLines w:val="0"/>
              <w:pageBreakBefore w:val="0"/>
              <w:kinsoku/>
              <w:overflowPunct/>
              <w:topLinePunct w:val="0"/>
              <w:autoSpaceDE/>
              <w:autoSpaceDN/>
              <w:bidi w:val="0"/>
              <w:adjustRightInd/>
              <w:snapToGrid/>
              <w:spacing w:line="400" w:lineRule="exact"/>
              <w:rPr>
                <w:rFonts w:hint="default" w:eastAsiaTheme="minorEastAsia"/>
                <w:sz w:val="24"/>
                <w:szCs w:val="24"/>
                <w:vertAlign w:val="baseline"/>
                <w:lang w:val="en-US" w:eastAsia="zh-CN"/>
              </w:rPr>
            </w:pPr>
            <w:r>
              <w:rPr>
                <w:rFonts w:hint="eastAsia"/>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资金落实情况</w:t>
            </w:r>
          </w:p>
        </w:tc>
        <w:tc>
          <w:tcPr>
            <w:tcW w:w="5984" w:type="dxa"/>
          </w:tcPr>
          <w:p>
            <w:pPr>
              <w:keepNext w:val="0"/>
              <w:keepLines w:val="0"/>
              <w:pageBreakBefore w:val="0"/>
              <w:kinsoku/>
              <w:overflowPunct/>
              <w:topLinePunct w:val="0"/>
              <w:autoSpaceDE/>
              <w:autoSpaceDN/>
              <w:bidi w:val="0"/>
              <w:adjustRightInd/>
              <w:snapToGrid/>
              <w:spacing w:line="400" w:lineRule="exact"/>
              <w:rPr>
                <w:rFonts w:hint="eastAsia" w:eastAsiaTheme="minorEastAsia"/>
                <w:sz w:val="24"/>
                <w:szCs w:val="24"/>
                <w:vertAlign w:val="baseline"/>
                <w:lang w:eastAsia="zh-CN"/>
              </w:rPr>
            </w:pPr>
            <w:r>
              <w:rPr>
                <w:rFonts w:hint="eastAsia"/>
                <w:sz w:val="24"/>
                <w:szCs w:val="24"/>
                <w:vertAlign w:val="baseline"/>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采购内容及采购范围</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sz w:val="24"/>
                <w:szCs w:val="24"/>
              </w:rPr>
              <w:t>详见技术标准和要求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服务期</w:t>
            </w:r>
          </w:p>
        </w:tc>
        <w:tc>
          <w:tcPr>
            <w:tcW w:w="5984" w:type="dxa"/>
          </w:tcPr>
          <w:p>
            <w:pPr>
              <w:keepNext w:val="0"/>
              <w:keepLines w:val="0"/>
              <w:pageBreakBefore w:val="0"/>
              <w:kinsoku/>
              <w:overflowPunct/>
              <w:topLinePunct w:val="0"/>
              <w:autoSpaceDE/>
              <w:autoSpaceDN/>
              <w:bidi w:val="0"/>
              <w:adjustRightInd/>
              <w:snapToGrid/>
              <w:spacing w:line="400" w:lineRule="exact"/>
              <w:rPr>
                <w:color w:val="auto"/>
                <w:sz w:val="24"/>
                <w:szCs w:val="24"/>
                <w:vertAlign w:val="baseline"/>
              </w:rPr>
            </w:pPr>
            <w:r>
              <w:rPr>
                <w:rFonts w:hint="eastAsia" w:ascii="宋体" w:hAnsi="宋体" w:cs="宋体"/>
                <w:color w:val="auto"/>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24"/>
                <w:szCs w:val="24"/>
                <w:lang w:val="en-US" w:eastAsia="zh-CN" w:bidi="ar"/>
              </w:rPr>
              <w:t>服务标准</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符合国家标准、行业标准以及有关技术规范要求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投标人资格条件、能力和信誉等要求</w:t>
            </w:r>
          </w:p>
        </w:tc>
        <w:tc>
          <w:tcPr>
            <w:tcW w:w="5984" w:type="dxa"/>
          </w:tcPr>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w:t>
            </w:r>
            <w:r>
              <w:rPr>
                <w:rFonts w:hint="eastAsia" w:ascii="宋体" w:hAnsi="宋体" w:eastAsia="宋体" w:cs="宋体"/>
                <w:color w:val="333333"/>
                <w:szCs w:val="24"/>
                <w:shd w:val="clear" w:color="auto" w:fill="FFFFFF"/>
                <w:lang w:val="en-US" w:eastAsia="zh-CN"/>
              </w:rPr>
              <w:t>（1）《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21"/>
              <w:keepNext w:val="0"/>
              <w:keepLines w:val="0"/>
              <w:pageBreakBefore w:val="0"/>
              <w:widowControl/>
              <w:kinsoku/>
              <w:overflowPunct/>
              <w:topLinePunct w:val="0"/>
              <w:autoSpaceDE/>
              <w:autoSpaceDN/>
              <w:bidi w:val="0"/>
              <w:adjustRightInd/>
              <w:snapToGrid/>
              <w:spacing w:before="0" w:beforeAutospacing="0" w:after="0" w:afterAutospacing="0" w:line="400" w:lineRule="exact"/>
              <w:rPr>
                <w:rFonts w:hint="eastAsia"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3、本项目的特定资格要求：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sz w:val="24"/>
                <w:szCs w:val="24"/>
                <w:vertAlign w:val="baseline"/>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ascii="宋体" w:hAnsi="宋体" w:cs="宋体"/>
                <w:color w:val="333333"/>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踏勘现场</w:t>
            </w:r>
          </w:p>
        </w:tc>
        <w:tc>
          <w:tcPr>
            <w:tcW w:w="5984" w:type="dxa"/>
          </w:tcPr>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Theme="minorEastAsia" w:hAnsiTheme="minorEastAsia" w:eastAsiaTheme="minorEastAsia" w:cstheme="minorEastAsia"/>
                <w:kern w:val="0"/>
                <w:sz w:val="24"/>
                <w:szCs w:val="24"/>
                <w:shd w:val="clear" w:color="auto" w:fill="FFFFFF"/>
                <w:lang w:val="en-US" w:eastAsia="zh-CN" w:bidi="ar-SA"/>
              </w:rPr>
              <w:t>不组织，投标单位自行勘察。（一切费用自理）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投标预备会</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不召开。相关事宜以招标答疑方式进行。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分包</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偏离</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投标文件不允许负偏离招标文件的实质性要求和条件。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询问和质疑</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见公告中的“联系方式”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招标文件的澄清和修改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采购人或者采购代理机构可以对已发出的招标文件进行必要的澄清或者修改。澄清或者修改的内容可能影响投标文件编制的，采购人或者采购代理机构应当在投标截止时间至少 15 日前，以书面形式通知所有获取招标文件的潜在投标人；不足 15 日的，采购人或者采购代 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投标人确认收到招标文件澄清和修改的时间</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采购人发出澄清和修改文件后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投标有效期</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自递交投标文件截止之日起 90 日历天，中标投标人的投标文件有效期自动延长至项目质保期结束。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投标文件份数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正本一套，副本贰套，电子文件（U 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投标文件的编制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编制投标文件时，应使用最新发布的电子招标文件及专用制作工具进行编制。并使用 CA（数字认证证书）对电子投标文件进行签署、加密、及开标时解密等相关操作。</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电子招标文件获取方式：投标人登录〖西安市公共资源交易平台·〉 首页·〉电子交易平台·〉企业端〗后，在〖招标公告/出让公告〗模块中选 择有意向的项目点击“我要投标”，成功后点击“我的项目·〉项目流程·〉 交易文件下载”免费下载电子招标文件（*.SXSZF）。</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注意：①正常下载电子招标文件后，“交易文件下载”按钮前的图标将变为“</w:t>
            </w: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”，未正常下载或从其他途径获取招标文件的，将无法上传电子投标文件；②投标人应随时留意可能发布的变更公告，变更公告是招标文件的组 成部分。变更内容影响投标文件编制时，集采机构将同时发布答疑文件， 此时投标人应从“项目流程〉答疑文件下载”下载更新后的电子招标文件（*. SXSCF），使 用 旧 版 电 子 招 标 文 件 制 作 的 电 子 投 标 文 件（*.SXSTF），系统将拒绝接收。</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电子招标文件需要使用专用软件打开、浏览。软件下载地址及操作 手册详见〖西安市公共资源交易平台·〉首页·〉服务指南·〉下载专区〗中的《政府采购项目投标文件制作软件及操作手册》。</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电子投标文件中需要法定代表人签字或盖章的地方，请使用“法人 CA”进行签章；需要加盖投标人公章的地方，请使用“企业 CA”进行盖章。 加密和解密应当使用同一 CA，否则将会导致解密失败。</w:t>
            </w:r>
          </w:p>
          <w:p>
            <w:pPr>
              <w:keepNext w:val="0"/>
              <w:keepLines w:val="0"/>
              <w:pageBreakBefore w:val="0"/>
              <w:widowControl/>
              <w:numPr>
                <w:ilvl w:val="0"/>
                <w:numId w:val="3"/>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电子投标文件同样需要使用上述专用软件进行编制。若电子投标文件签章后，导出的 PDF 文件里看不到签章，请尝试使用查看投标文件工具打开未加密的电子投标文件重新导出。在编制过程中，如有其他技术性问题，请先翻阅操作手册，或致电软件开发商：</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技术支持热线：400-998-0000 </w:t>
            </w:r>
          </w:p>
          <w:p>
            <w:pPr>
              <w:keepNext w:val="0"/>
              <w:keepLines w:val="0"/>
              <w:pageBreakBefore w:val="0"/>
              <w:widowControl/>
              <w:numPr>
                <w:ilvl w:val="0"/>
                <w:numId w:val="4"/>
              </w:numPr>
              <w:suppressLineNumbers w:val="0"/>
              <w:kinsoku/>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驻场技术人员：029-86510166/86510167 人工转80310</w:t>
            </w:r>
          </w:p>
          <w:p>
            <w:pPr>
              <w:keepNext w:val="0"/>
              <w:keepLines w:val="0"/>
              <w:pageBreakBefore w:val="0"/>
              <w:widowControl/>
              <w:numPr>
                <w:ilvl w:val="0"/>
                <w:numId w:val="5"/>
              </w:numPr>
              <w:suppressLineNumbers w:val="0"/>
              <w:kinsoku/>
              <w:overflowPunct/>
              <w:topLinePunct w:val="0"/>
              <w:autoSpaceDE/>
              <w:autoSpaceDN/>
              <w:bidi w:val="0"/>
              <w:adjustRightInd/>
              <w:snapToGrid/>
              <w:spacing w:line="400" w:lineRule="exact"/>
              <w:ind w:lef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纸质投标文件开标时投标投标人无需提交纸质投标文件，项目中标后由中标投标人在领取中标通知书时提供一正两副纸质投标文件及电子版投标文件一份用于备案。</w:t>
            </w:r>
          </w:p>
          <w:p>
            <w:pPr>
              <w:keepNext w:val="0"/>
              <w:keepLines w:val="0"/>
              <w:pageBreakBefore w:val="0"/>
              <w:widowControl/>
              <w:numPr>
                <w:ilvl w:val="0"/>
                <w:numId w:val="0"/>
              </w:numPr>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采用电子化评审系统的采购项目，其纸质投标文件应从政府采购项目投标文件制作软件中导出。并按规定的纸质投标文件份数要求进行印刷， 其正本及各副本分别装订成册。项目分标段的，应按所投标段分别准备投标文件。电子版投标文件应包括最终生成加密上传的投标格式文件及对应的 PDF 格式文件等全部资料。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签字或盖章要求</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投标文件应在需要盖公章处应加盖投标人单位公章，需要法定代表人或其授权代表签字或盖章处应由投标人的法定代表人或其授权代表签字或盖章。由授权代表签字或盖章的，应在投标文件中须附有效的法定代表人授权委托书。投标人为自然人的，应在投标文件的需要签字处由本人签字并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投标截止时间</w:t>
            </w:r>
          </w:p>
        </w:tc>
        <w:tc>
          <w:tcPr>
            <w:tcW w:w="5984" w:type="dxa"/>
          </w:tcPr>
          <w:p>
            <w:pPr>
              <w:keepNext w:val="0"/>
              <w:keepLines w:val="0"/>
              <w:pageBreakBefore w:val="0"/>
              <w:kinsoku/>
              <w:overflowPunct/>
              <w:topLinePunct w:val="0"/>
              <w:autoSpaceDE/>
              <w:autoSpaceDN/>
              <w:bidi w:val="0"/>
              <w:adjustRightInd/>
              <w:snapToGrid/>
              <w:spacing w:line="400" w:lineRule="exact"/>
              <w:rPr>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color="auto" w:fill="FFFFFF"/>
                <w:lang w:val="en-US" w:eastAsia="zh-CN" w:bidi="ar-SA"/>
                <w14:textFill>
                  <w14:solidFill>
                    <w14:schemeClr w14:val="tx1"/>
                  </w14:solidFill>
                </w14:textFill>
              </w:rPr>
              <w:t>2024年01月30日09时30分00秒（北京时间）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递交投标文件地点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地点：全国公共资源交易平台（陕西省·西安市）网站〖首页〉电子交易平台〉陕西政府采购交易系统〉企业端〗，在线提交；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是否退还</w:t>
            </w:r>
          </w:p>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投标文件</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开标形式</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不见面开标</w:t>
            </w:r>
            <w:r>
              <w:rPr>
                <w:rFonts w:hint="eastAsia"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见面开标</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开标时间和地点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开标时间：同投标截止时间</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开标地点：</w:t>
            </w:r>
            <w:r>
              <w:rPr>
                <w:rFonts w:hint="eastAsia" w:asciiTheme="minorEastAsia" w:hAnsiTheme="minorEastAsia" w:eastAsiaTheme="minorEastAsia" w:cstheme="minorEastAsia"/>
                <w:kern w:val="0"/>
                <w:sz w:val="24"/>
                <w:szCs w:val="24"/>
                <w:shd w:val="clear" w:color="auto" w:fill="FFFFFF"/>
                <w:lang w:val="en-US" w:eastAsia="zh-CN" w:bidi="ar-SA"/>
              </w:rPr>
              <w:t>全国公共资源交易平台（陕西省·西安市）网站〖首页〉电子交易平台</w:t>
            </w:r>
            <w:r>
              <w:rPr>
                <w:rFonts w:hint="eastAsia" w:ascii="宋体" w:hAnsi="宋体" w:eastAsia="宋体" w:cs="宋体"/>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投标文件的递交</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本项目采用“不见面开标”方式，各投标人登录全国公共资源交易平台（陕西省·西安市）下载操作手册,并在投标文件递交截止时间前通过全国公共资源交易平台（陕西省·西安市）递交加密版电子投标文件。</w:t>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投标人按包递交加密版电子投标文件。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投标签到</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投标人在开标前 60 分钟内用制作投标文件的CA锁登录不见面开标大厅，并及时签到（开标前60分钟开始签到），及时关注右侧公告及互动栏目信息，并做出响应。为顺利实现本项目开评标的远程交互，建议投标人配置的硬件设施有：高配置电脑、高速稳定的网络、电源（不间断）、CA 锁、音视频设备（话筒、耳麦、高清摄像头、音响），浏览器建议使用 IE11 浏览器，且电脑已经正确安装了陕西省公共资源交易平台多 CA 互认系统。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评标委员会的组建</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default"/>
                <w:sz w:val="24"/>
                <w:szCs w:val="24"/>
                <w:vertAlign w:val="baseline"/>
                <w:lang w:val="en-US"/>
              </w:rPr>
            </w:pPr>
            <w:r>
              <w:rPr>
                <w:rFonts w:hint="eastAsia" w:ascii="宋体" w:hAnsi="宋体" w:eastAsia="宋体" w:cs="宋体"/>
                <w:color w:val="000000"/>
                <w:kern w:val="0"/>
                <w:sz w:val="24"/>
                <w:szCs w:val="24"/>
                <w:lang w:val="en-US" w:eastAsia="zh-CN" w:bidi="ar"/>
              </w:rPr>
              <w:t>评标委员会构成：</w:t>
            </w:r>
            <w:r>
              <w:rPr>
                <w:rFonts w:hint="eastAsia" w:ascii="宋体" w:hAnsi="宋体" w:cs="宋体"/>
                <w:color w:val="000000"/>
                <w:kern w:val="0"/>
                <w:sz w:val="24"/>
                <w:szCs w:val="24"/>
                <w:u w:val="single"/>
                <w:lang w:val="en-US" w:eastAsia="zh-CN" w:bidi="ar"/>
              </w:rPr>
              <w:t xml:space="preserve"> 7</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w:t>
            </w:r>
            <w:r>
              <w:rPr>
                <w:rFonts w:hint="eastAsia" w:ascii="宋体" w:hAnsi="宋体" w:cs="宋体"/>
                <w:color w:val="000000"/>
                <w:kern w:val="0"/>
                <w:sz w:val="24"/>
                <w:szCs w:val="24"/>
                <w:lang w:val="en-US" w:eastAsia="zh-CN" w:bidi="ar"/>
              </w:rPr>
              <w:t>其中采购人代表</w:t>
            </w:r>
            <w:r>
              <w:rPr>
                <w:rFonts w:hint="eastAsia" w:ascii="宋体" w:hAnsi="宋体" w:cs="宋体"/>
                <w:color w:val="000000"/>
                <w:kern w:val="0"/>
                <w:sz w:val="24"/>
                <w:szCs w:val="24"/>
                <w:u w:val="single"/>
                <w:lang w:val="en-US" w:eastAsia="zh-CN" w:bidi="ar"/>
              </w:rPr>
              <w:t xml:space="preserve"> 2 </w:t>
            </w:r>
            <w:r>
              <w:rPr>
                <w:rFonts w:hint="eastAsia" w:ascii="宋体" w:hAnsi="宋体" w:cs="宋体"/>
                <w:color w:val="000000"/>
                <w:kern w:val="0"/>
                <w:sz w:val="24"/>
                <w:szCs w:val="24"/>
                <w:lang w:val="en-US" w:eastAsia="zh-CN" w:bidi="ar"/>
              </w:rPr>
              <w:t>人，专家</w:t>
            </w:r>
            <w:r>
              <w:rPr>
                <w:rFonts w:hint="eastAsia" w:ascii="宋体" w:hAnsi="宋体" w:cs="宋体"/>
                <w:color w:val="000000"/>
                <w:kern w:val="0"/>
                <w:sz w:val="24"/>
                <w:szCs w:val="24"/>
                <w:u w:val="single"/>
                <w:lang w:val="en-US" w:eastAsia="zh-CN" w:bidi="ar"/>
              </w:rPr>
              <w:t xml:space="preserve"> 5  </w:t>
            </w:r>
            <w:r>
              <w:rPr>
                <w:rFonts w:hint="eastAsia" w:ascii="宋体" w:hAnsi="宋体" w:cs="宋体"/>
                <w:color w:val="000000"/>
                <w:kern w:val="0"/>
                <w:sz w:val="24"/>
                <w:szCs w:val="24"/>
                <w:lang w:val="en-US" w:eastAsia="zh-CN" w:bidi="ar"/>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履约担保</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本项目不要求提供履约担保。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招标代理服务费</w:t>
            </w:r>
          </w:p>
        </w:tc>
        <w:tc>
          <w:tcPr>
            <w:tcW w:w="5984" w:type="dxa"/>
          </w:tcPr>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1.招标代理服务费用：按国家计委计价格[2002]1980号《招标代理服务收费管理暂行办法》所规定的收费标准收取；</w:t>
            </w:r>
          </w:p>
          <w:p>
            <w:pPr>
              <w:keepNext w:val="0"/>
              <w:keepLines w:val="0"/>
              <w:pageBreakBefore w:val="0"/>
              <w:kinsoku/>
              <w:overflowPunct/>
              <w:topLinePunct w:val="0"/>
              <w:autoSpaceDE/>
              <w:autoSpaceDN/>
              <w:bidi w:val="0"/>
              <w:adjustRightInd/>
              <w:snapToGrid/>
              <w:spacing w:line="400" w:lineRule="exact"/>
              <w:rPr>
                <w:rFonts w:ascii="宋体" w:hAnsi="宋体" w:cs="宋体"/>
                <w:b w:val="0"/>
                <w:bCs w:val="0"/>
                <w:sz w:val="24"/>
                <w:szCs w:val="24"/>
              </w:rPr>
            </w:pPr>
            <w:r>
              <w:rPr>
                <w:rFonts w:hint="eastAsia" w:ascii="宋体" w:hAnsi="宋体" w:cs="宋体"/>
                <w:b w:val="0"/>
                <w:bCs w:val="0"/>
                <w:sz w:val="24"/>
                <w:szCs w:val="24"/>
              </w:rPr>
              <w:t>2.上述费用由</w:t>
            </w:r>
            <w:r>
              <w:rPr>
                <w:rFonts w:hint="eastAsia" w:ascii="宋体" w:hAnsi="宋体" w:cs="宋体"/>
                <w:b w:val="0"/>
                <w:bCs w:val="0"/>
                <w:sz w:val="24"/>
                <w:szCs w:val="24"/>
                <w:u w:val="single"/>
              </w:rPr>
              <w:t xml:space="preserve">  中标人  </w:t>
            </w:r>
            <w:r>
              <w:rPr>
                <w:rFonts w:hint="eastAsia" w:ascii="宋体" w:hAnsi="宋体" w:cs="宋体"/>
                <w:b w:val="0"/>
                <w:bCs w:val="0"/>
                <w:sz w:val="24"/>
                <w:szCs w:val="24"/>
              </w:rPr>
              <w:t>在领取中标通知书前向招标代理机构一次性付清。</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3、代理服务费缴纳账户信息：</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开户行名称:中国建设银行股份有限公司西安云顶园小区支行</w:t>
            </w:r>
          </w:p>
          <w:p>
            <w:pPr>
              <w:keepNext w:val="0"/>
              <w:keepLines w:val="0"/>
              <w:pageBreakBefore w:val="0"/>
              <w:kinsoku/>
              <w:overflowPunct/>
              <w:topLinePunct w:val="0"/>
              <w:autoSpaceDE/>
              <w:autoSpaceDN/>
              <w:bidi w:val="0"/>
              <w:adjustRightInd/>
              <w:snapToGrid/>
              <w:spacing w:line="400" w:lineRule="exact"/>
              <w:rPr>
                <w:rFonts w:hint="eastAsia" w:ascii="宋体" w:hAnsi="宋体" w:cs="宋体"/>
                <w:b w:val="0"/>
                <w:bCs w:val="0"/>
                <w:sz w:val="24"/>
                <w:szCs w:val="24"/>
              </w:rPr>
            </w:pPr>
            <w:r>
              <w:rPr>
                <w:rFonts w:hint="eastAsia" w:ascii="宋体" w:hAnsi="宋体" w:cs="宋体"/>
                <w:b w:val="0"/>
                <w:bCs w:val="0"/>
                <w:sz w:val="24"/>
                <w:szCs w:val="24"/>
              </w:rPr>
              <w:t>开户名称：天煜荣泽工程咨询有限公司西安高新分公司</w:t>
            </w:r>
          </w:p>
          <w:p>
            <w:pPr>
              <w:keepNext w:val="0"/>
              <w:keepLines w:val="0"/>
              <w:pageBreakBefore w:val="0"/>
              <w:kinsoku/>
              <w:overflowPunct/>
              <w:topLinePunct w:val="0"/>
              <w:autoSpaceDE/>
              <w:autoSpaceDN/>
              <w:bidi w:val="0"/>
              <w:adjustRightInd/>
              <w:snapToGrid/>
              <w:spacing w:line="400" w:lineRule="exact"/>
              <w:rPr>
                <w:sz w:val="24"/>
                <w:szCs w:val="24"/>
                <w:vertAlign w:val="baseline"/>
              </w:rPr>
            </w:pPr>
            <w:r>
              <w:rPr>
                <w:rFonts w:hint="eastAsia" w:ascii="宋体" w:hAnsi="宋体" w:cs="宋体"/>
                <w:b w:val="0"/>
                <w:bCs w:val="0"/>
                <w:sz w:val="24"/>
                <w:szCs w:val="24"/>
              </w:rPr>
              <w:t>账    号：61050172004200000952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注意事项</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sz w:val="24"/>
                <w:szCs w:val="28"/>
                <w:lang w:val="en-US" w:eastAsia="zh-CN"/>
              </w:rPr>
            </w:pPr>
            <w:r>
              <w:rPr>
                <w:rFonts w:hint="eastAsia"/>
                <w:sz w:val="24"/>
                <w:szCs w:val="28"/>
                <w:lang w:val="en-US" w:eastAsia="zh-CN"/>
              </w:rPr>
              <w:t>请各投标人获取招标文件后，按照陕西省财政厅《关于政府采投标人注册登记有关事项的通知》要求，通过陕西省政府采购网注册登记加入陕西省政府采购投标人库。</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兼投不兼中规则：</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供应商可以同时参加本项目所有标包招标。每个供应商最多只能成交一个标包。但所投每个标包必须分开制作响应文件，并分别递交</w:t>
            </w:r>
            <w:r>
              <w:rPr>
                <w:rFonts w:hint="eastAsia" w:cs="Times New Roman"/>
                <w:kern w:val="2"/>
                <w:sz w:val="24"/>
                <w:szCs w:val="28"/>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0" w:firstLineChars="200"/>
              <w:jc w:val="both"/>
              <w:textAlignment w:val="baseline"/>
            </w:pPr>
            <w:r>
              <w:rPr>
                <w:rFonts w:hint="eastAsia" w:ascii="Times New Roman" w:hAnsi="Times New Roman" w:eastAsia="宋体" w:cs="Times New Roman"/>
                <w:kern w:val="2"/>
                <w:sz w:val="24"/>
                <w:szCs w:val="28"/>
                <w:lang w:val="en-US" w:eastAsia="zh-CN" w:bidi="ar-SA"/>
              </w:rPr>
              <w:t>招标分为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w:t>
            </w:r>
            <w:r>
              <w:rPr>
                <w:rFonts w:hint="eastAsia" w:ascii="Times New Roman" w:hAnsi="Times New Roman" w:eastAsia="宋体" w:cs="Times New Roman"/>
                <w:kern w:val="2"/>
                <w:sz w:val="24"/>
                <w:szCs w:val="28"/>
                <w:lang w:val="en-US" w:eastAsia="zh-CN" w:bidi="ar-SA"/>
              </w:rPr>
              <w:t>、五个</w:t>
            </w:r>
            <w:r>
              <w:rPr>
                <w:rFonts w:hint="eastAsia" w:cs="Times New Roman"/>
                <w:kern w:val="2"/>
                <w:sz w:val="24"/>
                <w:szCs w:val="28"/>
                <w:lang w:val="en-US" w:eastAsia="zh-CN" w:bidi="ar-SA"/>
              </w:rPr>
              <w:t>合同包</w:t>
            </w:r>
            <w:r>
              <w:rPr>
                <w:rFonts w:hint="eastAsia" w:ascii="Times New Roman" w:hAnsi="Times New Roman" w:eastAsia="宋体" w:cs="Times New Roman"/>
                <w:kern w:val="2"/>
                <w:sz w:val="24"/>
                <w:szCs w:val="28"/>
                <w:lang w:val="en-US" w:eastAsia="zh-CN" w:bidi="ar-SA"/>
              </w:rPr>
              <w:t>，采取兼投不兼中原则，评标顺序为</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合同包2</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合同包3</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合同包4</w:t>
            </w:r>
            <w:r>
              <w:rPr>
                <w:rFonts w:hint="eastAsia" w:ascii="Times New Roman" w:hAnsi="Times New Roman" w:eastAsia="宋体" w:cs="Times New Roman"/>
                <w:kern w:val="2"/>
                <w:sz w:val="24"/>
                <w:szCs w:val="28"/>
                <w:lang w:val="en-US" w:eastAsia="zh-CN" w:bidi="ar-SA"/>
              </w:rPr>
              <w:t>，</w:t>
            </w:r>
            <w:r>
              <w:rPr>
                <w:rFonts w:hint="eastAsia" w:cs="Times New Roman"/>
                <w:kern w:val="2"/>
                <w:sz w:val="24"/>
                <w:szCs w:val="28"/>
                <w:lang w:val="en-US" w:eastAsia="zh-CN" w:bidi="ar-SA"/>
              </w:rPr>
              <w:t>合同包5，如</w:t>
            </w:r>
            <w:r>
              <w:rPr>
                <w:rFonts w:hint="eastAsia" w:ascii="Times New Roman" w:hAnsi="Times New Roman" w:eastAsia="宋体" w:cs="Times New Roman"/>
                <w:kern w:val="2"/>
                <w:sz w:val="24"/>
                <w:szCs w:val="28"/>
                <w:lang w:val="en-US" w:eastAsia="zh-CN" w:bidi="ar-SA"/>
              </w:rPr>
              <w:t>在</w:t>
            </w:r>
            <w:r>
              <w:rPr>
                <w:rFonts w:hint="eastAsia" w:cs="Times New Roman"/>
                <w:kern w:val="2"/>
                <w:sz w:val="24"/>
                <w:szCs w:val="28"/>
                <w:lang w:val="en-US" w:eastAsia="zh-CN" w:bidi="ar-SA"/>
              </w:rPr>
              <w:t>合同包1</w:t>
            </w:r>
            <w:r>
              <w:rPr>
                <w:rFonts w:hint="eastAsia" w:ascii="Times New Roman" w:hAnsi="Times New Roman" w:eastAsia="宋体" w:cs="Times New Roman"/>
                <w:kern w:val="2"/>
                <w:sz w:val="24"/>
                <w:szCs w:val="28"/>
                <w:lang w:val="en-US" w:eastAsia="zh-CN" w:bidi="ar-SA"/>
              </w:rPr>
              <w:t>中被推荐为第一中标候选人的单位不参与</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评标，不得成为</w:t>
            </w:r>
            <w:r>
              <w:rPr>
                <w:rFonts w:hint="eastAsia" w:cs="Times New Roman"/>
                <w:kern w:val="2"/>
                <w:sz w:val="24"/>
                <w:szCs w:val="28"/>
                <w:lang w:val="en-US" w:eastAsia="zh-CN" w:bidi="ar-SA"/>
              </w:rPr>
              <w:t>后续合同包</w:t>
            </w:r>
            <w:r>
              <w:rPr>
                <w:rFonts w:hint="eastAsia" w:ascii="Times New Roman" w:hAnsi="Times New Roman" w:eastAsia="宋体" w:cs="Times New Roman"/>
                <w:kern w:val="2"/>
                <w:sz w:val="24"/>
                <w:szCs w:val="28"/>
                <w:lang w:val="en-US" w:eastAsia="zh-CN" w:bidi="ar-SA"/>
              </w:rPr>
              <w:t>推荐中标候选人。以此类推。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w:t>
            </w:r>
          </w:p>
        </w:tc>
        <w:tc>
          <w:tcPr>
            <w:tcW w:w="1773" w:type="dxa"/>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政府采购信息发布媒体（采购公告、采购结果公告、变更公告）</w:t>
            </w:r>
          </w:p>
        </w:tc>
        <w:tc>
          <w:tcPr>
            <w:tcW w:w="5984" w:type="dxa"/>
          </w:tcPr>
          <w:p>
            <w:pPr>
              <w:keepNext w:val="0"/>
              <w:keepLines w:val="0"/>
              <w:pageBreakBefore w:val="0"/>
              <w:widowControl/>
              <w:suppressLineNumbers w:val="0"/>
              <w:kinsoku/>
              <w:overflowPunct/>
              <w:topLinePunct w:val="0"/>
              <w:autoSpaceDE/>
              <w:autoSpaceDN/>
              <w:bidi w:val="0"/>
              <w:adjustRightInd/>
              <w:snapToGrid/>
              <w:spacing w:line="400" w:lineRule="exact"/>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陕西省政府采购网：仅提供项目公告，官网地址：</w:t>
            </w: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HYPERLINK "http://ccgp-shaanxi.gov.cn/。" </w:instrText>
            </w:r>
            <w:r>
              <w:rPr>
                <w:rFonts w:hint="eastAsia" w:ascii="宋体" w:hAnsi="宋体" w:eastAsia="宋体" w:cs="宋体"/>
                <w:color w:val="000000"/>
                <w:kern w:val="0"/>
                <w:sz w:val="24"/>
                <w:szCs w:val="24"/>
                <w:lang w:val="en-US" w:eastAsia="zh-CN" w:bidi="ar"/>
              </w:rPr>
              <w:fldChar w:fldCharType="separate"/>
            </w:r>
            <w:r>
              <w:rPr>
                <w:rStyle w:val="30"/>
                <w:rFonts w:hint="eastAsia" w:ascii="宋体" w:hAnsi="宋体" w:eastAsia="宋体" w:cs="宋体"/>
                <w:kern w:val="0"/>
                <w:sz w:val="24"/>
                <w:szCs w:val="24"/>
                <w:lang w:val="en-US" w:eastAsia="zh-CN" w:bidi="ar"/>
              </w:rPr>
              <w:t>http://ccgp-shaanxi.gov.cn/。</w:t>
            </w:r>
            <w:r>
              <w:rPr>
                <w:rFonts w:hint="eastAsia" w:ascii="宋体" w:hAnsi="宋体" w:eastAsia="宋体" w:cs="宋体"/>
                <w:color w:val="000000"/>
                <w:kern w:val="0"/>
                <w:sz w:val="24"/>
                <w:szCs w:val="24"/>
                <w:lang w:val="en-US" w:eastAsia="zh-CN" w:bidi="ar"/>
              </w:rPr>
              <w:fldChar w:fldCharType="end"/>
            </w:r>
          </w:p>
          <w:p>
            <w:pPr>
              <w:keepNext w:val="0"/>
              <w:keepLines w:val="0"/>
              <w:pageBreakBefore w:val="0"/>
              <w:widowControl/>
              <w:suppressLineNumbers w:val="0"/>
              <w:kinsoku/>
              <w:overflowPunct/>
              <w:topLinePunct w:val="0"/>
              <w:autoSpaceDE/>
              <w:autoSpaceDN/>
              <w:bidi w:val="0"/>
              <w:adjustRightInd/>
              <w:snapToGrid/>
              <w:spacing w:line="400" w:lineRule="exact"/>
              <w:jc w:val="left"/>
              <w:rPr>
                <w:sz w:val="24"/>
                <w:szCs w:val="24"/>
                <w:vertAlign w:val="baseline"/>
              </w:rPr>
            </w:pPr>
            <w:r>
              <w:rPr>
                <w:rFonts w:hint="eastAsia" w:ascii="宋体" w:hAnsi="宋体" w:eastAsia="宋体" w:cs="宋体"/>
                <w:color w:val="000000"/>
                <w:kern w:val="0"/>
                <w:sz w:val="24"/>
                <w:szCs w:val="24"/>
                <w:lang w:val="en-US" w:eastAsia="zh-CN" w:bidi="ar"/>
              </w:rPr>
              <w:t>全国公共资源交易平台（陕西省·西安市）：即西安市 公共资源交易平台，提供项目公告和采购文件下载。官网地址：http://sxggzyjy.xa.gov.cn/</w:t>
            </w:r>
          </w:p>
        </w:tc>
      </w:tr>
    </w:tbl>
    <w:p>
      <w:r>
        <w:rPr>
          <w:rFonts w:hint="eastAsia" w:ascii="宋体" w:hAnsi="宋体" w:cs="宋体"/>
          <w:kern w:val="0"/>
          <w:sz w:val="24"/>
          <w:szCs w:val="24"/>
        </w:rPr>
        <w:t>注：本表内容与投标单位须知内容不一致的，以本表内容为准。</w:t>
      </w:r>
    </w:p>
    <w:p>
      <w:pPr>
        <w:spacing w:line="360" w:lineRule="auto"/>
        <w:jc w:val="center"/>
        <w:rPr>
          <w:rFonts w:ascii="宋体" w:hAnsi="宋体" w:cs="宋体"/>
          <w:b/>
          <w:sz w:val="24"/>
          <w:szCs w:val="24"/>
        </w:rPr>
      </w:pPr>
    </w:p>
    <w:bookmarkEnd w:id="4"/>
    <w:bookmarkEnd w:id="5"/>
    <w:bookmarkEnd w:id="6"/>
    <w:bookmarkEnd w:id="7"/>
    <w:bookmarkEnd w:id="8"/>
    <w:bookmarkEnd w:id="9"/>
    <w:p>
      <w:pPr>
        <w:tabs>
          <w:tab w:val="center" w:pos="4706"/>
        </w:tabs>
        <w:spacing w:line="360" w:lineRule="auto"/>
        <w:outlineLvl w:val="9"/>
        <w:rPr>
          <w:rFonts w:hint="eastAsia" w:ascii="宋体" w:hAnsi="宋体" w:cs="宋体"/>
          <w:sz w:val="28"/>
          <w:szCs w:val="28"/>
        </w:rPr>
      </w:pPr>
      <w:bookmarkStart w:id="12" w:name="_Toc524712813"/>
      <w:bookmarkStart w:id="13" w:name="_Toc29158_WPSOffice_Level2"/>
      <w:bookmarkStart w:id="14" w:name="_Toc524712818"/>
      <w:r>
        <w:rPr>
          <w:rFonts w:hint="eastAsia" w:ascii="宋体" w:hAnsi="宋体" w:cs="宋体"/>
          <w:sz w:val="28"/>
          <w:szCs w:val="28"/>
          <w:lang w:eastAsia="zh-CN"/>
        </w:rPr>
        <w:t>第一节、</w:t>
      </w:r>
      <w:r>
        <w:rPr>
          <w:rFonts w:hint="eastAsia" w:ascii="宋体" w:hAnsi="宋体" w:cs="宋体"/>
          <w:sz w:val="28"/>
          <w:szCs w:val="28"/>
        </w:rPr>
        <w:t>总则</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1.1 项目概况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1.1.1 根据《中华人民共和国</w:t>
      </w:r>
      <w:r>
        <w:rPr>
          <w:rFonts w:hint="eastAsia" w:ascii="宋体" w:hAnsi="宋体" w:cs="宋体"/>
          <w:sz w:val="24"/>
          <w:szCs w:val="24"/>
          <w:lang w:eastAsia="zh-CN"/>
        </w:rPr>
        <w:t>政府采购法</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《中华人民共和国</w:t>
      </w:r>
      <w:r>
        <w:rPr>
          <w:rFonts w:hint="eastAsia" w:ascii="宋体" w:hAnsi="宋体" w:cs="宋体"/>
          <w:sz w:val="24"/>
          <w:szCs w:val="24"/>
          <w:lang w:eastAsia="zh-CN"/>
        </w:rPr>
        <w:t>政府采购法</w:t>
      </w:r>
      <w:r>
        <w:rPr>
          <w:rFonts w:hint="eastAsia" w:ascii="宋体" w:hAnsi="宋体" w:cs="宋体"/>
          <w:sz w:val="24"/>
          <w:szCs w:val="24"/>
        </w:rPr>
        <w:t>实施条例》 等有关法律、法规和规章的规定，本招标项目己具备招标条件，现对本招标项目进行</w:t>
      </w:r>
      <w:r>
        <w:rPr>
          <w:rFonts w:hint="eastAsia" w:ascii="宋体" w:hAnsi="宋体" w:cs="宋体"/>
          <w:sz w:val="24"/>
          <w:szCs w:val="24"/>
          <w:lang w:eastAsia="zh-CN"/>
        </w:rPr>
        <w:t>公开</w:t>
      </w:r>
      <w:r>
        <w:rPr>
          <w:rFonts w:hint="eastAsia" w:ascii="宋体" w:hAnsi="宋体" w:cs="宋体"/>
          <w:sz w:val="24"/>
          <w:szCs w:val="24"/>
        </w:rPr>
        <w:t>招标。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1.1.2 本招标项目</w:t>
      </w:r>
      <w:r>
        <w:rPr>
          <w:rFonts w:hint="eastAsia" w:ascii="宋体" w:hAnsi="宋体" w:cs="宋体"/>
          <w:sz w:val="24"/>
          <w:szCs w:val="24"/>
          <w:lang w:eastAsia="zh-CN"/>
        </w:rPr>
        <w:t>招标</w:t>
      </w:r>
      <w:r>
        <w:rPr>
          <w:rFonts w:hint="eastAsia" w:ascii="宋体" w:hAnsi="宋体" w:cs="宋体"/>
          <w:sz w:val="24"/>
          <w:szCs w:val="24"/>
        </w:rPr>
        <w:t>人：见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1.1.3 本招标项目</w:t>
      </w:r>
      <w:r>
        <w:rPr>
          <w:rFonts w:hint="eastAsia" w:ascii="宋体" w:hAnsi="宋体" w:cs="宋体"/>
          <w:sz w:val="24"/>
          <w:szCs w:val="24"/>
          <w:lang w:eastAsia="zh-CN"/>
        </w:rPr>
        <w:t>招标</w:t>
      </w:r>
      <w:r>
        <w:rPr>
          <w:rFonts w:hint="eastAsia" w:ascii="宋体" w:hAnsi="宋体" w:cs="宋体"/>
          <w:sz w:val="24"/>
          <w:szCs w:val="24"/>
        </w:rPr>
        <w:t>代理机构：见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1.1.4 本招标项目名称：见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1.2 资金来源和落实情况</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1.2.1 本招标项目的资金来源：见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1.2.2 本招标项目的资金落实情况：见</w:t>
      </w:r>
      <w:r>
        <w:rPr>
          <w:rFonts w:hint="eastAsia" w:ascii="宋体" w:hAnsi="宋体" w:cs="宋体"/>
          <w:sz w:val="24"/>
          <w:szCs w:val="24"/>
          <w:lang w:eastAsia="zh-CN"/>
        </w:rPr>
        <w:t>投标人</w:t>
      </w:r>
      <w:r>
        <w:rPr>
          <w:rFonts w:hint="eastAsia" w:ascii="宋体" w:hAnsi="宋体" w:cs="宋体"/>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 xml:space="preserve">1.3 </w:t>
      </w:r>
      <w:r>
        <w:rPr>
          <w:rFonts w:hint="eastAsia" w:ascii="宋体" w:hAnsi="宋体" w:cs="宋体"/>
          <w:b/>
          <w:bCs/>
          <w:sz w:val="24"/>
          <w:szCs w:val="24"/>
          <w:lang w:eastAsia="zh-CN"/>
        </w:rPr>
        <w:t>投标人</w:t>
      </w:r>
      <w:r>
        <w:rPr>
          <w:rFonts w:hint="eastAsia" w:ascii="宋体" w:hAnsi="宋体" w:cs="宋体"/>
          <w:b/>
          <w:bCs/>
          <w:sz w:val="24"/>
          <w:szCs w:val="24"/>
        </w:rPr>
        <w:t>资格要求：见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1.4 费用承担</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准备和参加投标活动发生的一切费用自理。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1.5 保密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1.6 语言文字</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1.7 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8</w:t>
      </w:r>
      <w:r>
        <w:rPr>
          <w:rFonts w:hint="eastAsia" w:ascii="宋体" w:hAnsi="宋体" w:cs="宋体"/>
          <w:b/>
          <w:bCs/>
          <w:sz w:val="24"/>
          <w:szCs w:val="24"/>
        </w:rPr>
        <w:t xml:space="preserve"> 分包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本项目不允许分包。</w:t>
      </w:r>
    </w:p>
    <w:p>
      <w:pPr>
        <w:pStyle w:val="7"/>
        <w:spacing w:line="360" w:lineRule="auto"/>
        <w:ind w:firstLine="482"/>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偏离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本项目不允许偏离。</w:t>
      </w:r>
    </w:p>
    <w:p>
      <w:pPr>
        <w:pStyle w:val="7"/>
        <w:spacing w:line="360" w:lineRule="auto"/>
        <w:ind w:firstLine="482"/>
        <w:outlineLvl w:val="9"/>
        <w:rPr>
          <w:rFonts w:hAnsi="宋体"/>
          <w:b/>
          <w:sz w:val="24"/>
        </w:r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outlineLvl w:val="9"/>
        <w:rPr>
          <w:rFonts w:hint="eastAsia" w:ascii="宋体" w:hAnsi="宋体" w:cs="宋体"/>
          <w:b/>
          <w:sz w:val="28"/>
          <w:szCs w:val="28"/>
        </w:rPr>
      </w:pPr>
      <w:bookmarkStart w:id="15" w:name="_Toc22897_WPSOffice_Level2"/>
      <w:bookmarkStart w:id="16" w:name="_Toc9630_WPSOffice_Level1"/>
      <w:r>
        <w:rPr>
          <w:rFonts w:hint="eastAsia" w:ascii="宋体" w:hAnsi="宋体" w:cs="宋体"/>
          <w:b/>
          <w:sz w:val="28"/>
          <w:szCs w:val="28"/>
          <w:lang w:eastAsia="zh-CN"/>
        </w:rPr>
        <w:t>第二节、</w:t>
      </w:r>
      <w:r>
        <w:rPr>
          <w:rFonts w:hint="eastAsia" w:ascii="宋体" w:hAnsi="宋体" w:cs="宋体"/>
          <w:b/>
          <w:sz w:val="28"/>
          <w:szCs w:val="28"/>
        </w:rPr>
        <w:t>招标文件</w:t>
      </w:r>
      <w:bookmarkEnd w:id="15"/>
      <w:bookmarkEnd w:id="16"/>
    </w:p>
    <w:p>
      <w:pPr>
        <w:spacing w:line="360" w:lineRule="auto"/>
        <w:ind w:firstLine="472" w:firstLineChars="196"/>
        <w:outlineLvl w:val="9"/>
        <w:rPr>
          <w:rFonts w:hint="eastAsia" w:ascii="宋体" w:hAnsi="宋体" w:cs="宋体"/>
          <w:b/>
          <w:bCs/>
          <w:sz w:val="24"/>
          <w:szCs w:val="24"/>
        </w:rPr>
      </w:pPr>
      <w:bookmarkStart w:id="17" w:name="_Toc92598701"/>
      <w:r>
        <w:rPr>
          <w:rFonts w:hint="eastAsia" w:ascii="宋体" w:hAnsi="宋体" w:cs="宋体"/>
          <w:b/>
          <w:bCs/>
          <w:sz w:val="24"/>
          <w:szCs w:val="24"/>
        </w:rPr>
        <w:t>2.1 招标文件的组成</w:t>
      </w:r>
    </w:p>
    <w:p>
      <w:pPr>
        <w:tabs>
          <w:tab w:val="left" w:pos="6246"/>
        </w:tabs>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本招标文件包括：</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(1) 招标公告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(2) </w:t>
      </w:r>
      <w:r>
        <w:rPr>
          <w:rFonts w:hint="eastAsia" w:ascii="宋体" w:hAnsi="宋体" w:cs="宋体"/>
          <w:color w:val="auto"/>
          <w:sz w:val="24"/>
          <w:szCs w:val="24"/>
          <w:lang w:eastAsia="zh-CN"/>
        </w:rPr>
        <w:t>投标人</w:t>
      </w:r>
      <w:r>
        <w:rPr>
          <w:rFonts w:hint="eastAsia" w:ascii="宋体" w:hAnsi="宋体" w:cs="宋体"/>
          <w:color w:val="auto"/>
          <w:sz w:val="24"/>
          <w:szCs w:val="24"/>
        </w:rPr>
        <w:t xml:space="preserve">须知 </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 xml:space="preserve">(3) 评标办法 </w:t>
      </w:r>
    </w:p>
    <w:p>
      <w:pPr>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(4) </w:t>
      </w:r>
      <w:r>
        <w:rPr>
          <w:rFonts w:hint="eastAsia" w:ascii="宋体" w:hAnsi="宋体" w:cs="宋体"/>
          <w:color w:val="auto"/>
          <w:sz w:val="24"/>
          <w:szCs w:val="24"/>
          <w:lang w:eastAsia="zh-CN"/>
        </w:rPr>
        <w:t>合同主要条款</w:t>
      </w:r>
    </w:p>
    <w:p>
      <w:pPr>
        <w:spacing w:line="360" w:lineRule="auto"/>
        <w:ind w:left="479" w:leftChars="228"/>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 xml:space="preserve">(5) </w:t>
      </w:r>
      <w:r>
        <w:rPr>
          <w:rFonts w:hint="eastAsia" w:ascii="宋体" w:hAnsi="宋体" w:cs="宋体"/>
          <w:color w:val="auto"/>
          <w:sz w:val="24"/>
          <w:szCs w:val="24"/>
          <w:lang w:eastAsia="zh-CN"/>
        </w:rPr>
        <w:t>采购内容和要求</w:t>
      </w:r>
    </w:p>
    <w:p>
      <w:pPr>
        <w:spacing w:line="360" w:lineRule="auto"/>
        <w:ind w:firstLine="360" w:firstLineChars="150"/>
        <w:outlineLvl w:val="9"/>
        <w:rPr>
          <w:rFonts w:hint="eastAsia" w:ascii="宋体" w:hAnsi="宋体" w:cs="宋体"/>
          <w:color w:val="auto"/>
          <w:sz w:val="24"/>
          <w:szCs w:val="24"/>
        </w:rPr>
      </w:pPr>
      <w:r>
        <w:rPr>
          <w:rFonts w:hint="eastAsia" w:ascii="宋体" w:hAnsi="宋体" w:cs="宋体"/>
          <w:color w:val="auto"/>
          <w:sz w:val="24"/>
          <w:szCs w:val="24"/>
        </w:rPr>
        <w:t xml:space="preserve"> (6) 投标文件格式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根据本章第2.2 款对招标文件所作的澄清、修改，构成招标文件的组成部分。</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2.2 招标文件的澄清及修改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2.2.1</w:t>
      </w:r>
      <w:r>
        <w:rPr>
          <w:rFonts w:hint="eastAsia" w:ascii="宋体" w:hAnsi="宋体" w:cs="宋体"/>
          <w:sz w:val="24"/>
          <w:szCs w:val="24"/>
          <w:lang w:eastAsia="zh-CN"/>
        </w:rPr>
        <w:t>招标</w:t>
      </w:r>
      <w:r>
        <w:rPr>
          <w:rFonts w:hint="eastAsia" w:ascii="宋体" w:hAnsi="宋体" w:cs="宋体"/>
          <w:sz w:val="24"/>
          <w:szCs w:val="24"/>
        </w:rPr>
        <w:t>代理机构可对已发出的招标文件进行必要的澄清或者修改，澄清或者修改的内容作为招标文件的组成部分。澄清和修改的内容可能影响投标文件编制的，</w:t>
      </w:r>
      <w:r>
        <w:rPr>
          <w:rFonts w:hint="eastAsia" w:ascii="宋体" w:hAnsi="宋体" w:cs="宋体"/>
          <w:sz w:val="24"/>
          <w:szCs w:val="24"/>
          <w:lang w:eastAsia="zh-CN"/>
        </w:rPr>
        <w:t>招标</w:t>
      </w:r>
      <w:r>
        <w:rPr>
          <w:rFonts w:hint="eastAsia" w:ascii="宋体" w:hAnsi="宋体" w:cs="宋体"/>
          <w:sz w:val="24"/>
          <w:szCs w:val="24"/>
        </w:rPr>
        <w:t>代理机构应当在投标文件截止时间至少十五日前，以书面形式通知所有获取招标文件的潜在</w:t>
      </w:r>
      <w:r>
        <w:rPr>
          <w:rFonts w:hint="eastAsia" w:ascii="宋体" w:hAnsi="宋体" w:cs="宋体"/>
          <w:sz w:val="24"/>
          <w:szCs w:val="24"/>
          <w:lang w:eastAsia="zh-CN"/>
        </w:rPr>
        <w:t>投标人</w:t>
      </w:r>
      <w:r>
        <w:rPr>
          <w:rFonts w:hint="eastAsia" w:ascii="宋体" w:hAnsi="宋体" w:cs="宋体"/>
          <w:sz w:val="24"/>
          <w:szCs w:val="24"/>
          <w:lang w:val="zh-CN"/>
        </w:rPr>
        <w:t>，并对投标人具有约束力。投标人在收到上述通知后，</w:t>
      </w:r>
      <w:r>
        <w:rPr>
          <w:rFonts w:hint="eastAsia" w:ascii="宋体" w:hAnsi="宋体" w:cs="宋体"/>
          <w:sz w:val="24"/>
          <w:szCs w:val="24"/>
        </w:rPr>
        <w:t>应当立即以书面形式向</w:t>
      </w:r>
      <w:r>
        <w:rPr>
          <w:rFonts w:hint="eastAsia" w:ascii="宋体" w:hAnsi="宋体" w:cs="宋体"/>
          <w:sz w:val="24"/>
          <w:szCs w:val="24"/>
          <w:lang w:eastAsia="zh-CN"/>
        </w:rPr>
        <w:t>招标</w:t>
      </w:r>
      <w:r>
        <w:rPr>
          <w:rFonts w:hint="eastAsia" w:ascii="宋体" w:hAnsi="宋体" w:cs="宋体"/>
          <w:sz w:val="24"/>
          <w:szCs w:val="24"/>
        </w:rPr>
        <w:t>代理机构确认；不足十五日的，</w:t>
      </w:r>
      <w:r>
        <w:rPr>
          <w:rFonts w:hint="eastAsia" w:ascii="宋体" w:hAnsi="宋体" w:cs="宋体"/>
          <w:sz w:val="24"/>
          <w:szCs w:val="24"/>
          <w:lang w:eastAsia="zh-CN"/>
        </w:rPr>
        <w:t>招标</w:t>
      </w:r>
      <w:r>
        <w:rPr>
          <w:rFonts w:hint="eastAsia" w:ascii="宋体" w:hAnsi="宋体" w:cs="宋体"/>
          <w:sz w:val="24"/>
          <w:szCs w:val="24"/>
        </w:rPr>
        <w:t>代理机构应当顺延提交投标文件的截止时间。</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2.2.2 </w:t>
      </w:r>
      <w:r>
        <w:rPr>
          <w:rFonts w:hint="eastAsia" w:ascii="宋体" w:hAnsi="宋体" w:cs="宋体"/>
          <w:sz w:val="24"/>
          <w:szCs w:val="24"/>
          <w:lang w:eastAsia="zh-CN"/>
        </w:rPr>
        <w:t>投标人</w:t>
      </w:r>
      <w:r>
        <w:rPr>
          <w:rFonts w:hint="eastAsia" w:ascii="宋体" w:hAnsi="宋体" w:cs="宋体"/>
          <w:sz w:val="24"/>
          <w:szCs w:val="24"/>
        </w:rPr>
        <w:t>在收到澄清或修改后，应在24小时内以书面形式通知</w:t>
      </w:r>
      <w:r>
        <w:rPr>
          <w:rFonts w:hint="eastAsia" w:ascii="宋体" w:hAnsi="宋体" w:cs="宋体"/>
          <w:sz w:val="24"/>
          <w:szCs w:val="24"/>
          <w:lang w:eastAsia="zh-CN"/>
        </w:rPr>
        <w:t>招标</w:t>
      </w:r>
      <w:r>
        <w:rPr>
          <w:rFonts w:hint="eastAsia" w:ascii="宋体" w:hAnsi="宋体" w:cs="宋体"/>
          <w:sz w:val="24"/>
          <w:szCs w:val="24"/>
        </w:rPr>
        <w:t>代理机构，确认己收到该澄清。</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2.3招标文件的</w:t>
      </w:r>
      <w:r>
        <w:rPr>
          <w:rFonts w:hint="eastAsia" w:ascii="宋体" w:hAnsi="宋体" w:cs="宋体"/>
          <w:b/>
          <w:bCs/>
          <w:sz w:val="24"/>
          <w:szCs w:val="24"/>
          <w:lang w:eastAsia="zh-CN"/>
        </w:rPr>
        <w:t>获取</w:t>
      </w:r>
      <w:r>
        <w:rPr>
          <w:rFonts w:hint="eastAsia" w:ascii="宋体" w:hAnsi="宋体" w:cs="宋体"/>
          <w:b/>
          <w:bCs/>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招标公告发布后，</w:t>
      </w:r>
      <w:r>
        <w:rPr>
          <w:rFonts w:hint="eastAsia" w:ascii="宋体" w:hAnsi="宋体" w:cs="宋体"/>
          <w:sz w:val="24"/>
          <w:szCs w:val="24"/>
          <w:lang w:eastAsia="zh-CN"/>
        </w:rPr>
        <w:t>投标人</w:t>
      </w:r>
      <w:r>
        <w:rPr>
          <w:rFonts w:hint="eastAsia" w:ascii="宋体" w:hAnsi="宋体" w:cs="宋体"/>
          <w:sz w:val="24"/>
          <w:szCs w:val="24"/>
        </w:rPr>
        <w:t>应从</w:t>
      </w:r>
      <w:r>
        <w:rPr>
          <w:rFonts w:hint="eastAsia" w:ascii="宋体" w:hAnsi="宋体" w:cs="宋体"/>
          <w:sz w:val="24"/>
          <w:szCs w:val="24"/>
          <w:lang w:eastAsia="zh-CN"/>
        </w:rPr>
        <w:t>招标</w:t>
      </w:r>
      <w:r>
        <w:rPr>
          <w:rFonts w:hint="eastAsia" w:ascii="宋体" w:hAnsi="宋体" w:cs="宋体"/>
          <w:sz w:val="24"/>
          <w:szCs w:val="24"/>
        </w:rPr>
        <w:t>代理机构</w:t>
      </w:r>
      <w:r>
        <w:rPr>
          <w:rFonts w:hint="eastAsia" w:ascii="宋体" w:hAnsi="宋体" w:cs="宋体"/>
          <w:sz w:val="24"/>
          <w:szCs w:val="24"/>
          <w:lang w:eastAsia="zh-CN"/>
        </w:rPr>
        <w:t>获取</w:t>
      </w:r>
      <w:r>
        <w:rPr>
          <w:rFonts w:hint="eastAsia" w:ascii="宋体" w:hAnsi="宋体" w:cs="宋体"/>
          <w:sz w:val="24"/>
          <w:szCs w:val="24"/>
        </w:rPr>
        <w:t>招标文件，</w:t>
      </w:r>
      <w:r>
        <w:rPr>
          <w:rFonts w:hint="eastAsia" w:ascii="宋体" w:hAnsi="宋体" w:cs="宋体"/>
          <w:sz w:val="24"/>
          <w:szCs w:val="24"/>
          <w:lang w:eastAsia="zh-CN"/>
        </w:rPr>
        <w:t>投标人</w:t>
      </w:r>
      <w:r>
        <w:rPr>
          <w:rFonts w:hint="eastAsia" w:ascii="宋体" w:hAnsi="宋体" w:cs="宋体"/>
          <w:sz w:val="24"/>
          <w:szCs w:val="24"/>
        </w:rPr>
        <w:t>自行转让或复制的招标文件视为无效招标文件；招标文件仅作为本次招标使用。</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2.4评标的处理依据</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评标委员会有权对在开标、评标过程中出现的一切问题，根据《中华人民共和国政府采购法》和《中华人民共和国政府采购法实施条例》等相关法律、法规的条款，本着公开、公平、公正的原则进行处理。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2.5解释权归属</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本招标文件的解释权归</w:t>
      </w:r>
      <w:r>
        <w:rPr>
          <w:rFonts w:hint="eastAsia" w:ascii="宋体" w:hAnsi="宋体" w:cs="宋体"/>
          <w:sz w:val="24"/>
          <w:szCs w:val="24"/>
          <w:lang w:eastAsia="zh-CN"/>
        </w:rPr>
        <w:t>招标</w:t>
      </w:r>
      <w:r>
        <w:rPr>
          <w:rFonts w:hint="eastAsia" w:ascii="宋体" w:hAnsi="宋体" w:cs="宋体"/>
          <w:sz w:val="24"/>
          <w:szCs w:val="24"/>
        </w:rPr>
        <w:t>代理机构。</w:t>
      </w:r>
    </w:p>
    <w:bookmarkEnd w:id="17"/>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2.6投标文件的编制：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2.6.1投标文件应包括下列内容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投标文件必须根据招标文件提供的内容及格式编制，并对招标文件做出实质性响应。</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2.6.1投标文件应包括下列内容</w:t>
      </w:r>
    </w:p>
    <w:p>
      <w:pPr>
        <w:keepNext w:val="0"/>
        <w:keepLines w:val="0"/>
        <w:pageBreakBefore w:val="0"/>
        <w:numPr>
          <w:ilvl w:val="0"/>
          <w:numId w:val="0"/>
        </w:numPr>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投标函</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二</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开标一览表</w:t>
      </w:r>
    </w:p>
    <w:p>
      <w:pPr>
        <w:keepNext w:val="0"/>
        <w:keepLines w:val="0"/>
        <w:pageBreakBefore w:val="0"/>
        <w:tabs>
          <w:tab w:val="left" w:pos="3500"/>
          <w:tab w:val="left" w:pos="370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lang w:eastAsia="zh-CN"/>
        </w:rPr>
        <w:t>三、</w:t>
      </w:r>
      <w:r>
        <w:rPr>
          <w:rFonts w:hint="eastAsia" w:ascii="宋体" w:hAnsi="宋体" w:eastAsia="宋体" w:cs="宋体"/>
          <w:b w:val="0"/>
          <w:bCs/>
          <w:sz w:val="24"/>
          <w:szCs w:val="24"/>
        </w:rPr>
        <w:t>分项报价表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四、商务及合同条款偏离表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五、服务要求偏离表</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六、资格证明文件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七、</w:t>
      </w:r>
      <w:r>
        <w:rPr>
          <w:rFonts w:hint="eastAsia" w:ascii="宋体" w:hAnsi="宋体" w:eastAsia="宋体" w:cs="宋体"/>
          <w:b w:val="0"/>
          <w:bCs/>
          <w:kern w:val="2"/>
          <w:sz w:val="24"/>
          <w:szCs w:val="24"/>
          <w:lang w:val="en-US" w:eastAsia="zh-CN" w:bidi="ar-SA"/>
        </w:rPr>
        <w:t>供应商参加政府采购活动承诺书</w:t>
      </w:r>
    </w:p>
    <w:p>
      <w:pPr>
        <w:pStyle w:val="3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八、投标方案</w:t>
      </w:r>
    </w:p>
    <w:p>
      <w:pPr>
        <w:pStyle w:val="33"/>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九、中小企业、监狱企业、残疾人福利性单位声明函</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2.6.2投标报价：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（1）各投标人应在投标文件中的投标报价一览表上标明投标总价等项，任何有选择的报价，将不予接受。</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（2）凡因投标人对招标文件阅读不深、理解不透、误解、疏漏、漏项或因市场行情了解不清造成的后果和风险均由投标人自负。</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2.6.3投标报价一览表为在开标会上唱标的内容，按要求格式填写不允许在投标文件中出现两个报价。</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2.7投标文件的计量单位</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投标文件中所使用的计量单位，除有特殊要求外，均采用国家法定计量单位。</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2.8投标报价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2.8.1投标货币：人民币    单位：元。</w:t>
      </w:r>
    </w:p>
    <w:p>
      <w:pPr>
        <w:spacing w:line="360" w:lineRule="auto"/>
        <w:ind w:firstLine="480" w:firstLineChars="200"/>
        <w:outlineLvl w:val="9"/>
        <w:rPr>
          <w:rFonts w:hint="eastAsia" w:ascii="宋体" w:hAnsi="宋体" w:cs="宋体"/>
          <w:bCs/>
          <w:sz w:val="24"/>
          <w:szCs w:val="24"/>
        </w:rPr>
      </w:pPr>
      <w:r>
        <w:rPr>
          <w:rFonts w:hint="eastAsia" w:ascii="宋体" w:hAnsi="宋体" w:cs="宋体"/>
          <w:bCs/>
          <w:sz w:val="24"/>
          <w:szCs w:val="24"/>
        </w:rPr>
        <w:t>2.8.2报价</w:t>
      </w:r>
    </w:p>
    <w:p>
      <w:pPr>
        <w:spacing w:line="360" w:lineRule="auto"/>
        <w:ind w:firstLine="480" w:firstLineChars="200"/>
        <w:outlineLvl w:val="9"/>
        <w:rPr>
          <w:rFonts w:hint="eastAsia" w:ascii="宋体" w:hAnsi="宋体"/>
          <w:sz w:val="24"/>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投标报价应包括完成招标文件规定的招标范围全部内容所需的全部费用及招标代理服务费。</w:t>
      </w:r>
      <w:r>
        <w:rPr>
          <w:rFonts w:hint="eastAsia" w:ascii="宋体" w:hAnsi="宋体" w:cs="宋体"/>
          <w:sz w:val="24"/>
        </w:rPr>
        <w:t>凡本招标文件要求（或允许）及</w:t>
      </w:r>
      <w:r>
        <w:rPr>
          <w:rFonts w:hint="eastAsia" w:ascii="宋体" w:hAnsi="宋体" w:cs="宋体"/>
          <w:sz w:val="24"/>
          <w:lang w:eastAsia="zh-CN"/>
        </w:rPr>
        <w:t>投标人</w:t>
      </w:r>
      <w:r>
        <w:rPr>
          <w:rFonts w:hint="eastAsia" w:ascii="宋体" w:hAnsi="宋体" w:cs="宋体"/>
          <w:sz w:val="24"/>
        </w:rPr>
        <w:t>认为需要进行投标报价的各项费用项目，若报价时未报或未在招标文件中予以说明，</w:t>
      </w:r>
      <w:r>
        <w:rPr>
          <w:rFonts w:hint="eastAsia" w:ascii="宋体" w:hAnsi="宋体" w:cs="宋体"/>
          <w:sz w:val="24"/>
          <w:lang w:eastAsia="zh-CN"/>
        </w:rPr>
        <w:t>招标人</w:t>
      </w:r>
      <w:r>
        <w:rPr>
          <w:rFonts w:hint="eastAsia" w:ascii="宋体" w:hAnsi="宋体" w:cs="宋体"/>
          <w:sz w:val="24"/>
        </w:rPr>
        <w:t>将认为这些费用</w:t>
      </w:r>
      <w:r>
        <w:rPr>
          <w:rFonts w:hint="eastAsia" w:ascii="宋体" w:hAnsi="宋体" w:cs="宋体"/>
          <w:sz w:val="24"/>
          <w:lang w:eastAsia="zh-CN"/>
        </w:rPr>
        <w:t>投标人</w:t>
      </w:r>
      <w:r>
        <w:rPr>
          <w:rFonts w:hint="eastAsia" w:ascii="宋体" w:hAnsi="宋体" w:cs="宋体"/>
          <w:sz w:val="24"/>
        </w:rPr>
        <w:t>已计取，并包含在总报价中</w:t>
      </w:r>
      <w:r>
        <w:rPr>
          <w:rFonts w:hint="eastAsia" w:ascii="宋体" w:hAnsi="宋体"/>
          <w:sz w:val="24"/>
        </w:rPr>
        <w:t>。</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）投标报价一览表（唱标报告）</w:t>
      </w:r>
      <w:r>
        <w:rPr>
          <w:rFonts w:hint="eastAsia" w:ascii="宋体" w:hAnsi="宋体"/>
          <w:sz w:val="24"/>
        </w:rPr>
        <w:t>中标明的价格在合同执行过程中是固定不变的，不得以任何理由予以变更。</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）招标人</w:t>
      </w:r>
      <w:r>
        <w:rPr>
          <w:rFonts w:hint="eastAsia" w:ascii="宋体" w:hAnsi="宋体"/>
          <w:sz w:val="24"/>
        </w:rPr>
        <w:t>不接受任何有选择性的报价。</w:t>
      </w:r>
    </w:p>
    <w:p>
      <w:pPr>
        <w:spacing w:line="360" w:lineRule="auto"/>
        <w:ind w:firstLine="480" w:firstLineChars="200"/>
        <w:outlineLvl w:val="9"/>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凡因投标单位对招标文件阅读不深、理解不透、误解、疏漏、或因市场行情了解不清造成的后果和风险均由投标单位自负。</w:t>
      </w:r>
    </w:p>
    <w:p>
      <w:pPr>
        <w:spacing w:line="360" w:lineRule="auto"/>
        <w:ind w:firstLine="480"/>
        <w:outlineLvl w:val="9"/>
        <w:rPr>
          <w:rFonts w:hint="eastAsia" w:ascii="宋体" w:hAnsi="宋体" w:cs="宋体"/>
          <w:sz w:val="24"/>
          <w:szCs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最低报价不是中标的唯一依据。</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2.9投标期间一切费用自理。</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2.10投标文件的制作</w:t>
      </w:r>
    </w:p>
    <w:p>
      <w:pPr>
        <w:spacing w:line="360" w:lineRule="auto"/>
        <w:ind w:firstLine="480" w:firstLineChars="200"/>
        <w:rPr>
          <w:rFonts w:hint="eastAsia" w:ascii="宋体" w:hAnsi="宋体" w:cs="宋体"/>
          <w:bCs/>
          <w:sz w:val="24"/>
          <w:szCs w:val="24"/>
          <w:lang w:eastAsia="zh-CN"/>
        </w:rPr>
      </w:pPr>
      <w:r>
        <w:rPr>
          <w:rFonts w:hint="eastAsia" w:ascii="宋体" w:hAnsi="宋体" w:cs="宋体"/>
          <w:bCs/>
          <w:sz w:val="24"/>
          <w:szCs w:val="24"/>
          <w:lang w:eastAsia="zh-CN"/>
        </w:rPr>
        <w:t>见前附表</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2.11质疑提出与答复</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供应商</w:t>
      </w:r>
      <w:r>
        <w:rPr>
          <w:color w:val="auto"/>
          <w:highlight w:val="none"/>
        </w:rPr>
        <w:t>认为采购文件、采购过程</w:t>
      </w:r>
      <w:r>
        <w:rPr>
          <w:rFonts w:hint="eastAsia"/>
          <w:color w:val="auto"/>
          <w:highlight w:val="none"/>
          <w:lang w:eastAsia="zh-CN"/>
        </w:rPr>
        <w:t>和</w:t>
      </w:r>
      <w:r>
        <w:rPr>
          <w:color w:val="auto"/>
          <w:highlight w:val="none"/>
        </w:rPr>
        <w:t>中标</w:t>
      </w:r>
      <w:r>
        <w:rPr>
          <w:rFonts w:hint="eastAsia"/>
          <w:color w:val="auto"/>
          <w:highlight w:val="none"/>
          <w:lang w:eastAsia="zh-CN"/>
        </w:rPr>
        <w:t>、成交</w:t>
      </w:r>
      <w:r>
        <w:rPr>
          <w:color w:val="auto"/>
          <w:highlight w:val="none"/>
        </w:rPr>
        <w:t>结果使自己的权益受到损害的，</w:t>
      </w:r>
      <w:r>
        <w:rPr>
          <w:rFonts w:hint="eastAsia"/>
          <w:color w:val="auto"/>
          <w:highlight w:val="none"/>
        </w:rPr>
        <w:t>可以</w:t>
      </w:r>
      <w:r>
        <w:rPr>
          <w:color w:val="auto"/>
          <w:highlight w:val="none"/>
        </w:rPr>
        <w:t>在知道或者应知其权益受到损害之日起七个工作日内，</w:t>
      </w:r>
      <w:r>
        <w:rPr>
          <w:rFonts w:hint="eastAsia"/>
          <w:color w:val="auto"/>
          <w:kern w:val="2"/>
          <w:highlight w:val="none"/>
        </w:rPr>
        <w:t xml:space="preserve">以书面形式向采购代理机构提出。 </w:t>
      </w:r>
    </w:p>
    <w:p>
      <w:pPr>
        <w:pStyle w:val="21"/>
        <w:spacing w:before="0" w:beforeAutospacing="0" w:after="0" w:afterAutospacing="0" w:line="360" w:lineRule="auto"/>
        <w:ind w:firstLine="360" w:firstLineChars="150"/>
        <w:rPr>
          <w:rFonts w:hint="eastAsia"/>
          <w:color w:val="auto"/>
          <w:kern w:val="2"/>
          <w:highlight w:val="none"/>
        </w:rPr>
      </w:pPr>
      <w:r>
        <w:rPr>
          <w:rFonts w:hint="eastAsia"/>
          <w:color w:val="auto"/>
          <w:highlight w:val="none"/>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投标人</w:t>
      </w:r>
      <w:r>
        <w:rPr>
          <w:rFonts w:hint="eastAsia" w:ascii="宋体" w:hAnsi="宋体" w:eastAsia="宋体" w:cs="宋体"/>
          <w:sz w:val="24"/>
          <w:szCs w:val="24"/>
        </w:rPr>
        <w:t>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6、提出质疑的日期。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val="zh-CN"/>
        </w:rPr>
        <w:t>投标人</w:t>
      </w:r>
      <w:r>
        <w:rPr>
          <w:rFonts w:hint="eastAsia" w:ascii="宋体" w:hAnsi="宋体" w:eastAsia="宋体" w:cs="宋体"/>
          <w:sz w:val="24"/>
          <w:szCs w:val="24"/>
        </w:rPr>
        <w:t>须在法定质疑期内一次性提出针对同一采购程序环节的质疑。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（3）质疑有以下情形之一的，采购代理机构不予受理：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1、未按规定程序和渠道提出质疑的；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2、超过法定质疑期限的；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3、书面质疑的形式和内容不符合上述要求的；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书面质疑</w:t>
      </w:r>
      <w:r>
        <w:rPr>
          <w:rFonts w:hint="eastAsia" w:ascii="宋体" w:hAnsi="宋体" w:eastAsia="宋体" w:cs="宋体"/>
          <w:sz w:val="24"/>
          <w:szCs w:val="24"/>
          <w:lang w:eastAsia="zh-CN"/>
        </w:rPr>
        <w:t>缺乏事实依据或没有</w:t>
      </w:r>
      <w:r>
        <w:rPr>
          <w:rFonts w:hint="eastAsia" w:ascii="宋体" w:hAnsi="宋体" w:eastAsia="宋体" w:cs="宋体"/>
          <w:sz w:val="24"/>
          <w:szCs w:val="24"/>
        </w:rPr>
        <w:t>必要的法律依据</w:t>
      </w:r>
      <w:r>
        <w:rPr>
          <w:rFonts w:hint="eastAsia" w:ascii="宋体" w:hAnsi="宋体" w:eastAsia="宋体" w:cs="宋体"/>
          <w:sz w:val="24"/>
          <w:szCs w:val="24"/>
          <w:lang w:eastAsia="zh-CN"/>
        </w:rPr>
        <w:t>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、提出的质疑事项已经明确答复的；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、法律法规规定的其他不予受理的条件。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（4）采购代理机构应当在收到质疑函后七个工作日内做出书面答复。答复内容同时通知与处理结果有关的投标人，但答复内容不得涉及投标人的商业秘密。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质疑函接收联系人</w:t>
      </w:r>
      <w:r>
        <w:rPr>
          <w:rFonts w:hint="eastAsia" w:ascii="宋体" w:hAnsi="宋体" w:eastAsia="宋体" w:cs="宋体"/>
          <w:sz w:val="24"/>
          <w:szCs w:val="24"/>
          <w:lang w:eastAsia="zh-CN"/>
        </w:rPr>
        <w:t>：张工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17719501789</w:t>
      </w:r>
    </w:p>
    <w:p>
      <w:pPr>
        <w:pStyle w:val="21"/>
        <w:spacing w:before="0" w:beforeAutospacing="0" w:after="0" w:afterAutospacing="0" w:line="360" w:lineRule="auto"/>
        <w:ind w:firstLine="360" w:firstLineChars="150"/>
        <w:rPr>
          <w:rFonts w:hint="eastAsia"/>
        </w:rPr>
      </w:pPr>
      <w:r>
        <w:rPr>
          <w:rFonts w:hint="eastAsia"/>
          <w:color w:val="auto"/>
          <w:kern w:val="2"/>
          <w:highlight w:val="none"/>
        </w:rPr>
        <w:t>通讯地址</w:t>
      </w:r>
      <w:r>
        <w:rPr>
          <w:rFonts w:hint="eastAsia"/>
          <w:color w:val="auto"/>
          <w:kern w:val="2"/>
          <w:highlight w:val="none"/>
          <w:lang w:eastAsia="zh-CN"/>
        </w:rPr>
        <w:t>：</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spacing w:line="360" w:lineRule="auto"/>
        <w:jc w:val="both"/>
        <w:outlineLvl w:val="9"/>
        <w:rPr>
          <w:rFonts w:hint="eastAsia" w:ascii="宋体" w:hAnsi="宋体" w:cs="宋体"/>
          <w:b/>
          <w:sz w:val="28"/>
          <w:szCs w:val="28"/>
        </w:rPr>
      </w:pPr>
      <w:bookmarkStart w:id="18" w:name="_Toc8458_WPSOffice_Level1"/>
      <w:bookmarkStart w:id="19" w:name="_Toc25679_WPSOffice_Level2"/>
      <w:r>
        <w:rPr>
          <w:rFonts w:hint="eastAsia" w:ascii="宋体" w:hAnsi="宋体" w:cs="宋体"/>
          <w:b/>
          <w:sz w:val="28"/>
          <w:szCs w:val="28"/>
        </w:rPr>
        <w:t>第三节 投标</w:t>
      </w:r>
      <w:bookmarkEnd w:id="18"/>
      <w:bookmarkEnd w:id="19"/>
    </w:p>
    <w:p>
      <w:pPr>
        <w:spacing w:line="360" w:lineRule="auto"/>
        <w:ind w:firstLine="472"/>
        <w:outlineLvl w:val="9"/>
        <w:rPr>
          <w:rFonts w:hint="eastAsia" w:eastAsia="宋体"/>
          <w:lang w:eastAsia="zh-CN"/>
        </w:rPr>
      </w:pPr>
      <w:r>
        <w:rPr>
          <w:rFonts w:hint="eastAsia" w:ascii="宋体" w:hAnsi="宋体" w:cs="宋体"/>
          <w:b/>
          <w:sz w:val="24"/>
          <w:szCs w:val="24"/>
          <w:lang w:val="en-US" w:eastAsia="zh-CN"/>
        </w:rPr>
        <w:t>1</w:t>
      </w:r>
      <w:r>
        <w:rPr>
          <w:rFonts w:hint="eastAsia" w:ascii="宋体" w:hAnsi="宋体" w:cs="宋体"/>
          <w:b/>
          <w:sz w:val="24"/>
          <w:szCs w:val="24"/>
        </w:rPr>
        <w:t>.</w:t>
      </w:r>
      <w:r>
        <w:rPr>
          <w:rFonts w:hint="eastAsia" w:ascii="宋体" w:hAnsi="宋体" w:cs="宋体"/>
          <w:b/>
          <w:sz w:val="24"/>
          <w:szCs w:val="24"/>
          <w:lang w:eastAsia="zh-CN"/>
        </w:rPr>
        <w:t>一般要求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 投标人应仔细阅读招标文件的所有内容，按招标文件的要求的内容编制投标文件，并保证所提供的全部资料的真实性，以使其投标文件对招标文件做出实质性的响应。</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 投标人提交的投标文件及投标人与招标人或招标代理机构、评标委员会就有关投标的所有来往函电必须使用中文。投标人可以提交其他语言的资料，但应附有中文注释，有差异时以中文为准。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1.3 除技术要求另有规定外，本文件所要求使用的计量单位均采用国家法定的度、量、衡标准单位计量。未列明时亦默认为我国法定计量单位。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1.4 投标人应当按招标文件中提供的投标文件内容进行填写。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 投标文件应采用书面形式，招标文件中要求提供电子版的，必须按要求提供。</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2</w:t>
      </w:r>
      <w:r>
        <w:rPr>
          <w:rFonts w:hint="eastAsia" w:ascii="宋体" w:hAnsi="宋体" w:cs="宋体"/>
          <w:b/>
          <w:sz w:val="24"/>
          <w:szCs w:val="24"/>
        </w:rPr>
        <w:t>.投标截止时间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.1招标方推迟投标截止时间时，应以书面或传真的形式通知所有</w:t>
      </w:r>
      <w:r>
        <w:rPr>
          <w:rFonts w:hint="eastAsia" w:ascii="宋体" w:hAnsi="宋体" w:cs="宋体"/>
          <w:sz w:val="24"/>
          <w:szCs w:val="24"/>
          <w:lang w:eastAsia="zh-CN"/>
        </w:rPr>
        <w:t>投标人</w:t>
      </w:r>
      <w:r>
        <w:rPr>
          <w:rFonts w:hint="eastAsia" w:ascii="宋体" w:hAnsi="宋体" w:cs="宋体"/>
          <w:sz w:val="24"/>
          <w:szCs w:val="24"/>
        </w:rPr>
        <w:t>，招标方和</w:t>
      </w:r>
      <w:r>
        <w:rPr>
          <w:rFonts w:hint="eastAsia" w:ascii="宋体" w:hAnsi="宋体" w:cs="宋体"/>
          <w:sz w:val="24"/>
          <w:szCs w:val="24"/>
          <w:lang w:eastAsia="zh-CN"/>
        </w:rPr>
        <w:t>投标人</w:t>
      </w:r>
      <w:r>
        <w:rPr>
          <w:rFonts w:hint="eastAsia" w:ascii="宋体" w:hAnsi="宋体" w:cs="宋体"/>
          <w:sz w:val="24"/>
          <w:szCs w:val="24"/>
        </w:rPr>
        <w:t>的权利和义务将受到新的截止期的约束；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2</w:t>
      </w:r>
      <w:r>
        <w:rPr>
          <w:rFonts w:hint="eastAsia" w:ascii="宋体" w:hAnsi="宋体" w:cs="宋体"/>
          <w:sz w:val="24"/>
          <w:szCs w:val="24"/>
        </w:rPr>
        <w:t>.2投标截止时间以后送达的投标文件，招标方拒绝接收。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pPr>
      <w:r>
        <w:rPr>
          <w:rFonts w:hint="eastAsia" w:ascii="宋体" w:hAnsi="宋体" w:cs="宋体"/>
          <w:b/>
          <w:sz w:val="24"/>
          <w:szCs w:val="24"/>
          <w:lang w:val="en-US" w:eastAsia="zh-CN"/>
        </w:rPr>
        <w:t>3</w:t>
      </w:r>
      <w:r>
        <w:rPr>
          <w:rFonts w:hint="eastAsia" w:ascii="宋体" w:hAnsi="宋体" w:cs="宋体"/>
          <w:b/>
          <w:sz w:val="24"/>
          <w:szCs w:val="24"/>
        </w:rPr>
        <w:t>.投标文件的修改和撤回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.1</w:t>
      </w:r>
      <w:r>
        <w:rPr>
          <w:rFonts w:hint="eastAsia" w:ascii="宋体" w:hAnsi="宋体" w:eastAsia="宋体" w:cs="宋体"/>
          <w:color w:val="000000"/>
          <w:kern w:val="0"/>
          <w:sz w:val="24"/>
          <w:szCs w:val="24"/>
          <w:lang w:val="en-US" w:eastAsia="zh-CN" w:bidi="ar"/>
        </w:rPr>
        <w:t xml:space="preserve"> 在投标人须知前附表规定的投标截止时间前，投标人可以修改或撤回已递交的投标文件。投标人对已提交的电子投标文件进行补充、修改的，应先从电子交易平台上撤回旧文件，再重新提交新文件。投标人对已提交的电子投标文件进行撤回的，直接从电子交易平台撤回投标文件即可。在投标截止时间之后，投标人将无法对其提交的投标文件做任何修改或者撤回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sz w:val="24"/>
          <w:szCs w:val="24"/>
          <w:lang w:val="en-US" w:eastAsia="zh-CN"/>
        </w:rPr>
        <w:t>3</w:t>
      </w:r>
      <w:r>
        <w:rPr>
          <w:rFonts w:hint="eastAsia" w:ascii="宋体" w:hAnsi="宋体" w:cs="宋体"/>
          <w:sz w:val="24"/>
          <w:szCs w:val="24"/>
        </w:rPr>
        <w:t>.2撤回投标应以书面或传真的形式通知</w:t>
      </w:r>
      <w:r>
        <w:rPr>
          <w:rFonts w:hint="eastAsia" w:ascii="宋体" w:hAnsi="宋体" w:cs="宋体"/>
          <w:sz w:val="24"/>
          <w:szCs w:val="24"/>
          <w:lang w:eastAsia="zh-CN"/>
        </w:rPr>
        <w:t>天煜荣泽工程咨询有限公司</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.3如采取传真形式撤回投标，随后必须补充有法人代表或授权代表签署的要求撤回投标的正式文件。撤回投标的时间以送达</w:t>
      </w:r>
      <w:r>
        <w:rPr>
          <w:rFonts w:hint="eastAsia" w:ascii="宋体" w:hAnsi="宋体" w:cs="宋体"/>
          <w:sz w:val="24"/>
          <w:szCs w:val="24"/>
          <w:lang w:eastAsia="zh-CN"/>
        </w:rPr>
        <w:t>天煜荣泽工程咨询有限公司</w:t>
      </w:r>
      <w:r>
        <w:rPr>
          <w:rFonts w:hint="eastAsia" w:ascii="宋体" w:hAnsi="宋体" w:cs="宋体"/>
          <w:sz w:val="24"/>
          <w:szCs w:val="24"/>
        </w:rPr>
        <w:t>为准。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4.投标文件的递交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 投标人根据投标人须知前附表规定提交投标文件。本项目采用不见面开标模式，采用电子化投标文件，投标人不需要提供纸质投标文件。投标人应在投标截止时间前登录投标文件载明的“不见面开标大厅”网址，按系统提示完成投标流程。因投标人自身设施故障或自身原因导致无法完成投标的，由投标人自行承担后果。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投标人须在全国公共资源交易平台（陕西省·西安市）登记企业信息，然后使用数字认证 CA 锁获取公开招标文件及其他文件。投标人应使用电子投标书制作工具制作、加密投标文件，并在规定时间上传经过数字证书加密的电子投标文件（投标文件为.SXSTF 格式）。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4.3 因投标人自身原因造成电子投标文件在规定的时间内无法解密或无法现场报价的，按无效响应文件对待。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 其他需要说明的事项：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4.4.1 本项目招标所使用的交易平台为全国公共资源交易平台（陕西省·西安市）(http://sxggzyjy.xa.gov.cn/）不见面开标系统，如有疑问，请及时与招标代理机构联系。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4.4.2 在线参与公开招标的方式：打开全国公共资源交易平台（陕西省·西安市）（http://sxggzyjy.xa.gov.cn/），点击【不见面开标系统】进入不见面开标大厅登陆首页。在我的项目里面找到等待开标的项目，点击进入不见面开标会议室。投标人阅读开标流程，并完成在线签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不见面开标注意事项：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为顺利实现本项目公开招标的远程交互，建议投标人提前调试好硬件设备。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（2）建议投标人在投标文件递交截止时间前 60 分钟内登录不见面开标大厅，并及时签到（投标文件递交截止时间前 60 分钟开始签到），否则将无法参与不见面投标。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（3）投标人需注意 CA 锁一定要提前准备好，并确保 CA 锁为制作投标文件的 CA 锁。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（4）及时关注右侧公告及互动栏目信息，并尽快做出响应。</w:t>
      </w:r>
    </w:p>
    <w:p>
      <w:pPr>
        <w:spacing w:line="360" w:lineRule="auto"/>
        <w:jc w:val="both"/>
        <w:outlineLvl w:val="9"/>
        <w:rPr>
          <w:rFonts w:hint="eastAsia" w:ascii="宋体" w:hAnsi="宋体" w:cs="宋体"/>
          <w:b/>
          <w:bCs/>
          <w:sz w:val="28"/>
          <w:szCs w:val="28"/>
        </w:rPr>
      </w:pPr>
      <w:r>
        <w:rPr>
          <w:rFonts w:hint="eastAsia" w:ascii="宋体" w:hAnsi="宋体" w:cs="宋体"/>
          <w:b/>
          <w:bCs/>
          <w:sz w:val="28"/>
          <w:szCs w:val="28"/>
        </w:rPr>
        <w:t>第四节 开标、评标、定标</w:t>
      </w:r>
    </w:p>
    <w:p>
      <w:pPr>
        <w:spacing w:line="360" w:lineRule="auto"/>
        <w:ind w:firstLine="482" w:firstLineChars="200"/>
        <w:outlineLvl w:val="9"/>
        <w:rPr>
          <w:rFonts w:hint="eastAsia" w:ascii="宋体" w:hAnsi="宋体" w:cs="宋体"/>
          <w:b/>
          <w:bCs/>
          <w:sz w:val="24"/>
          <w:szCs w:val="24"/>
        </w:rPr>
      </w:pPr>
      <w:r>
        <w:rPr>
          <w:rFonts w:hint="eastAsia" w:ascii="宋体" w:hAnsi="宋体" w:cs="宋体"/>
          <w:b/>
          <w:bCs/>
          <w:sz w:val="24"/>
          <w:szCs w:val="24"/>
        </w:rPr>
        <w:t>1、开标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（1）招标代理机构按招标文件规定的时间、地点组织公开开标；开标大会由招标代理机构主持，招标人参会人员、投标人代表及有关工作人员参加，参加开标的代表应签名报到，以证明其出席；</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rPr>
        <w:t>（2）为确保评标工作公开、公平、公正，依法成立评标委员会。评标委员会由</w:t>
      </w:r>
      <w:r>
        <w:rPr>
          <w:rFonts w:hint="eastAsia" w:ascii="宋体" w:hAnsi="宋体" w:cs="宋体"/>
          <w:sz w:val="24"/>
          <w:szCs w:val="24"/>
          <w:lang w:eastAsia="zh-CN"/>
        </w:rPr>
        <w:t>采购</w:t>
      </w:r>
      <w:r>
        <w:rPr>
          <w:rFonts w:hint="eastAsia" w:ascii="宋体" w:hAnsi="宋体" w:cs="宋体"/>
          <w:sz w:val="24"/>
          <w:szCs w:val="24"/>
        </w:rPr>
        <w:t>人代表及评审专家组成，成员人数</w:t>
      </w:r>
      <w:r>
        <w:rPr>
          <w:rFonts w:hint="eastAsia" w:ascii="宋体" w:hAnsi="宋体" w:cs="宋体"/>
          <w:sz w:val="24"/>
          <w:szCs w:val="24"/>
          <w:lang w:eastAsia="zh-CN"/>
        </w:rPr>
        <w:t>由七人组成</w:t>
      </w:r>
      <w:r>
        <w:rPr>
          <w:rFonts w:hint="eastAsia" w:ascii="宋体" w:hAnsi="宋体" w:cs="宋体"/>
          <w:sz w:val="24"/>
          <w:szCs w:val="24"/>
        </w:rPr>
        <w:t>，其中评审专家</w:t>
      </w:r>
      <w:r>
        <w:rPr>
          <w:rFonts w:hint="eastAsia" w:ascii="宋体" w:hAnsi="宋体" w:cs="宋体"/>
          <w:sz w:val="24"/>
          <w:szCs w:val="24"/>
          <w:lang w:eastAsia="zh-CN"/>
        </w:rPr>
        <w:t>五人，采购人代表二人</w:t>
      </w:r>
      <w:r>
        <w:rPr>
          <w:rFonts w:hint="eastAsia" w:ascii="宋体" w:hAnsi="宋体" w:cs="宋体"/>
          <w:sz w:val="24"/>
          <w:szCs w:val="24"/>
        </w:rPr>
        <w:t>，专家名单由有关人员</w:t>
      </w:r>
      <w:r>
        <w:rPr>
          <w:rFonts w:hint="eastAsia" w:ascii="宋体" w:hAnsi="宋体" w:eastAsia="宋体" w:cs="宋体"/>
          <w:sz w:val="24"/>
        </w:rPr>
        <w:t>依法从相应评标专家库中抽取</w:t>
      </w:r>
      <w:r>
        <w:rPr>
          <w:rFonts w:hint="eastAsia" w:ascii="宋体" w:hAnsi="宋体" w:cs="宋体"/>
          <w:sz w:val="24"/>
          <w:szCs w:val="24"/>
        </w:rPr>
        <w:t>，评标委员会成员应当遵守并履行下列责任和义务</w:t>
      </w:r>
      <w:r>
        <w:rPr>
          <w:rFonts w:hint="eastAsia" w:ascii="宋体" w:hAnsi="宋体" w:cs="宋体"/>
          <w:sz w:val="24"/>
          <w:szCs w:val="24"/>
          <w:lang w:eastAsia="zh-CN"/>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A、要严格遵守政府采购相关法律制度，依法履行各自职责，公正、客观地组织和参与评审工作；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B、审查、评价投标文件是否符合招标文件的商务、技术等实质性要求；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C、要求投标人对投标文件有关事项作出澄清或说明；</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D、按招标文件规定的评审方法和标准，对投标文件进行比较和评价；</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E、要依法独立评审，按照招标文件的要求和评标标准进行评标，推荐中标候选人名单；</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 xml:space="preserve">F、存在争议的，按照少数服从多数的原则做出结论。持不同意见的评审委员会成员应当在评审报告上签署不同意见并说明理由，否则视为同意； </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G、对评审情况以及在评审过程中获悉的国家秘密、商业秘密负有保密责任；</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H、向招标人、招标代理机构或者有关部门报告评标中发现的违法行为；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I、配合招标人、招标代理机构答复投标人提出的质疑；</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J、配合财政部门处理投诉工作。</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3）开标时，由投标人或者其推选的代表检查投标文件的密封情况，经确认无误后，由招标代理机构工作人员当众拆封，以公开唱价的形式将开标报价一览表（报价表）的内容公布，宣布投标人名称、投标价格和招标文件中规定的需要宣布的其他内容，招标代理机构指定专人负责记录，由参加开标的各投标人代表和相关工作人员签字确认后并存档备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（4）开标时，投标文件中出现下列情况，修正原则为：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A、投标文件中开标报价一览表（报价表）内容与投标文件中相应内容不一致的，以开标报价一览表（报价表）为准；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B、大写金额和小写金额不一致的，以大写金额为准；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C、总价金额与按单价汇总金额不一致的，以单价金额计算结果为准；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E、投标文件正本与副本不一致的，以正本为准；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F、多处内容交叉不符的，以评标委员会评审结果为准；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G、文字与图表不符的，以文字为准。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同时出现两种以上不一致的，按照前款规定的顺序修正。按上述修正错误的原则及方法调整或修正投标文件的报价和内容，投标人同意后签字确认，调整后的报价和内容对</w:t>
      </w:r>
      <w:r>
        <w:rPr>
          <w:rFonts w:hint="eastAsia" w:ascii="宋体" w:hAnsi="宋体" w:cs="宋体"/>
          <w:sz w:val="24"/>
          <w:szCs w:val="24"/>
          <w:lang w:eastAsia="zh-CN"/>
        </w:rPr>
        <w:t>投标人</w:t>
      </w:r>
      <w:r>
        <w:rPr>
          <w:rFonts w:hint="eastAsia" w:ascii="宋体" w:hAnsi="宋体" w:cs="宋体"/>
          <w:sz w:val="24"/>
          <w:szCs w:val="24"/>
        </w:rPr>
        <w:t>起约束作用。如果投标人不接受修正后的报价和内容，则其投标无效。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（5）公开开标后，直到向中标的投标人授予合同为止，凡审查、澄清、评价和比较投标的有关资料和内容，评标委员会成员均不得向投标人及与评标无关的其他人透露。</w:t>
      </w:r>
    </w:p>
    <w:p>
      <w:pPr>
        <w:spacing w:line="360" w:lineRule="auto"/>
        <w:outlineLvl w:val="9"/>
        <w:rPr>
          <w:rFonts w:hint="eastAsia" w:ascii="宋体" w:hAnsi="宋体" w:cs="宋体"/>
          <w:b/>
          <w:sz w:val="24"/>
          <w:szCs w:val="24"/>
        </w:rPr>
      </w:pPr>
      <w:r>
        <w:rPr>
          <w:rFonts w:hint="eastAsia" w:ascii="宋体" w:hAnsi="宋体" w:cs="宋体"/>
          <w:b/>
          <w:sz w:val="24"/>
          <w:szCs w:val="24"/>
        </w:rPr>
        <w:t>2、投标文件的初审</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（1）初审内容为投标文件是否符合招标文件的要求，对各投标人投标文件中的资质证明文件等进行审查，以确定投标人是否具备投标资格；</w:t>
      </w:r>
    </w:p>
    <w:p>
      <w:pPr>
        <w:spacing w:line="360" w:lineRule="auto"/>
        <w:ind w:firstLine="360" w:firstLineChars="150"/>
        <w:outlineLvl w:val="9"/>
        <w:rPr>
          <w:rFonts w:hint="eastAsia" w:ascii="宋体" w:hAnsi="宋体" w:cs="宋体"/>
          <w:sz w:val="24"/>
          <w:szCs w:val="24"/>
        </w:rPr>
      </w:pPr>
      <w:r>
        <w:rPr>
          <w:rFonts w:hint="eastAsia" w:ascii="宋体" w:hAnsi="宋体" w:cs="宋体"/>
          <w:sz w:val="24"/>
          <w:szCs w:val="24"/>
        </w:rPr>
        <w:t>（2）对投标人及投标文件有效性审查，出现下列情况之一者（但不限于），按无效文件处理：</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A、投标人的投标报价超过采购</w:t>
      </w:r>
      <w:r>
        <w:rPr>
          <w:rFonts w:hint="eastAsia" w:ascii="宋体" w:hAnsi="宋体" w:cs="宋体"/>
          <w:sz w:val="24"/>
          <w:szCs w:val="24"/>
          <w:lang w:eastAsia="zh-CN"/>
        </w:rPr>
        <w:t>预算</w:t>
      </w:r>
      <w:r>
        <w:rPr>
          <w:rFonts w:hint="eastAsia" w:ascii="宋体" w:hAnsi="宋体" w:cs="宋体"/>
          <w:sz w:val="24"/>
          <w:szCs w:val="24"/>
        </w:rPr>
        <w:t>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B、投标人未经过正常渠道</w:t>
      </w:r>
      <w:r>
        <w:rPr>
          <w:rFonts w:hint="eastAsia" w:ascii="宋体" w:hAnsi="宋体" w:cs="宋体"/>
          <w:sz w:val="24"/>
          <w:szCs w:val="24"/>
          <w:lang w:eastAsia="zh-CN"/>
        </w:rPr>
        <w:t>领取</w:t>
      </w:r>
      <w:r>
        <w:rPr>
          <w:rFonts w:hint="eastAsia" w:ascii="宋体" w:hAnsi="宋体" w:cs="宋体"/>
          <w:sz w:val="24"/>
          <w:szCs w:val="24"/>
        </w:rPr>
        <w:t>招标文件，或投标人名称与</w:t>
      </w:r>
      <w:r>
        <w:rPr>
          <w:rFonts w:hint="eastAsia" w:ascii="宋体" w:hAnsi="宋体" w:cs="宋体"/>
          <w:sz w:val="24"/>
          <w:szCs w:val="24"/>
          <w:lang w:eastAsia="zh-CN"/>
        </w:rPr>
        <w:t>领取</w:t>
      </w:r>
      <w:r>
        <w:rPr>
          <w:rFonts w:hint="eastAsia" w:ascii="宋体" w:hAnsi="宋体" w:cs="宋体"/>
          <w:sz w:val="24"/>
          <w:szCs w:val="24"/>
        </w:rPr>
        <w:t>招标文件时登记的投标人名称不符的；</w:t>
      </w:r>
    </w:p>
    <w:p>
      <w:pPr>
        <w:pStyle w:val="21"/>
        <w:widowControl/>
        <w:spacing w:before="0" w:beforeAutospacing="0" w:after="0" w:afterAutospacing="0" w:line="360" w:lineRule="auto"/>
        <w:ind w:firstLine="480" w:firstLineChars="200"/>
        <w:outlineLvl w:val="9"/>
        <w:rPr>
          <w:rFonts w:hint="eastAsia" w:ascii="宋体" w:hAnsi="宋体" w:cs="宋体"/>
          <w:sz w:val="24"/>
          <w:szCs w:val="40"/>
        </w:rPr>
      </w:pPr>
      <w:r>
        <w:rPr>
          <w:rFonts w:hint="eastAsia" w:ascii="宋体" w:hAnsi="宋体" w:cs="宋体"/>
          <w:sz w:val="24"/>
          <w:szCs w:val="40"/>
        </w:rPr>
        <w:t>C、</w:t>
      </w:r>
      <w:r>
        <w:rPr>
          <w:rFonts w:hint="eastAsia" w:ascii="宋体" w:hAnsi="宋体" w:cs="宋体"/>
          <w:sz w:val="24"/>
          <w:szCs w:val="40"/>
          <w:shd w:val="clear" w:color="auto" w:fill="FFFFFF"/>
        </w:rPr>
        <w:t>与招标人存在利害关系可能影响招标公正性的、</w:t>
      </w:r>
      <w:r>
        <w:rPr>
          <w:rFonts w:hint="eastAsia" w:ascii="宋体" w:hAnsi="宋体" w:cs="宋体"/>
          <w:sz w:val="24"/>
          <w:szCs w:val="40"/>
        </w:rPr>
        <w:t xml:space="preserve">不同投标人单位负责人为同一人或者存在控股、管理关系的； </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D、必备资质的有效性和符合性不符合要求的；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E、投标文件未按招标文件要求</w:t>
      </w:r>
      <w:r>
        <w:rPr>
          <w:rFonts w:hint="eastAsia" w:ascii="宋体" w:hAnsi="宋体" w:cs="宋体"/>
          <w:spacing w:val="-6"/>
          <w:sz w:val="24"/>
          <w:szCs w:val="24"/>
        </w:rPr>
        <w:t>签字或加盖公章，</w:t>
      </w:r>
      <w:r>
        <w:rPr>
          <w:rFonts w:hint="eastAsia" w:ascii="宋体" w:hAnsi="宋体" w:cs="宋体"/>
          <w:sz w:val="24"/>
          <w:szCs w:val="24"/>
        </w:rPr>
        <w:t>无投标有效期或有效期</w:t>
      </w:r>
      <w:r>
        <w:rPr>
          <w:rFonts w:hint="eastAsia" w:ascii="宋体" w:hAnsi="宋体" w:cs="宋体"/>
          <w:sz w:val="24"/>
          <w:szCs w:val="24"/>
          <w:lang w:eastAsia="zh-CN"/>
        </w:rPr>
        <w:t>不满足</w:t>
      </w:r>
      <w:r>
        <w:rPr>
          <w:rFonts w:hint="eastAsia" w:ascii="宋体" w:hAnsi="宋体" w:cs="宋体"/>
          <w:sz w:val="24"/>
          <w:szCs w:val="24"/>
        </w:rPr>
        <w:t>招标文件要求的；</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F、投标人针对同一项目递交两份或多份内容不同的投标文件；</w:t>
      </w:r>
    </w:p>
    <w:p>
      <w:pPr>
        <w:kinsoku w:val="0"/>
        <w:spacing w:line="360" w:lineRule="auto"/>
        <w:ind w:firstLine="600" w:firstLineChars="250"/>
        <w:outlineLvl w:val="9"/>
        <w:rPr>
          <w:rFonts w:hint="eastAsia" w:ascii="宋体" w:hAnsi="宋体" w:cs="宋体"/>
          <w:sz w:val="24"/>
          <w:szCs w:val="24"/>
        </w:rPr>
      </w:pPr>
      <w:r>
        <w:rPr>
          <w:rFonts w:hint="eastAsia" w:ascii="宋体" w:hAnsi="宋体" w:cs="宋体"/>
          <w:sz w:val="24"/>
          <w:szCs w:val="24"/>
        </w:rPr>
        <w:t>G、投标人有串通投标、弄虚作假（包括但不限于虚假资质、虚假证明、虚假应答等）、行贿等违法行为的；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H、投标文件附加了招标人难以接受的条件或条款的；</w:t>
      </w:r>
    </w:p>
    <w:p>
      <w:pPr>
        <w:kinsoku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I、在政府采购或其它重大项目履约过程中有不良记录，未能按期履约的；</w:t>
      </w:r>
    </w:p>
    <w:p>
      <w:pPr>
        <w:spacing w:line="360" w:lineRule="auto"/>
        <w:ind w:firstLine="480" w:firstLineChars="200"/>
        <w:outlineLvl w:val="9"/>
        <w:rPr>
          <w:rFonts w:hint="eastAsia" w:ascii="宋体" w:hAnsi="宋体" w:eastAsia="宋体" w:cs="宋体"/>
          <w:sz w:val="24"/>
          <w:szCs w:val="24"/>
          <w:lang w:eastAsia="zh-CN"/>
        </w:rPr>
      </w:pPr>
      <w:r>
        <w:rPr>
          <w:rFonts w:hint="eastAsia" w:ascii="宋体" w:hAnsi="宋体" w:cs="宋体"/>
          <w:sz w:val="24"/>
          <w:szCs w:val="24"/>
          <w:lang w:val="en-US" w:eastAsia="zh-CN"/>
        </w:rPr>
        <w:t>J</w:t>
      </w:r>
      <w:r>
        <w:rPr>
          <w:rFonts w:hint="eastAsia" w:ascii="宋体" w:hAnsi="宋体" w:cs="宋体"/>
          <w:sz w:val="24"/>
          <w:szCs w:val="24"/>
        </w:rPr>
        <w:t>、投标文件未实质性响应招标文件要求的,未按本招标文件2.10条要求制作的；</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（3）有下列情形之一的，视为投标人串通投标，评标委员会应当认定其投标无效：</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A、不同投标人的投标文件由同一单位或者个人编制；</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B、不同投标人委托同一单位或者个人办理投标事宜；</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C、不同投标人的投标文件载明的项目管理成员或者联系人员为同一人；</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D、不同投标人的投标文件异常一致或者投标报价呈规律性差异；</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E、不同投标人的投标文件相互混装；</w:t>
      </w:r>
    </w:p>
    <w:p>
      <w:pPr>
        <w:spacing w:line="360" w:lineRule="auto"/>
        <w:ind w:firstLine="482" w:firstLineChars="200"/>
        <w:outlineLvl w:val="9"/>
        <w:rPr>
          <w:rFonts w:hint="eastAsia" w:ascii="宋体" w:hAnsi="宋体" w:cs="宋体"/>
          <w:b/>
          <w:sz w:val="24"/>
          <w:szCs w:val="24"/>
        </w:rPr>
      </w:pPr>
      <w:r>
        <w:rPr>
          <w:rFonts w:hint="eastAsia" w:ascii="宋体" w:hAnsi="宋体" w:cs="宋体"/>
          <w:b/>
          <w:sz w:val="24"/>
          <w:szCs w:val="24"/>
        </w:rPr>
        <w:t>3．询标</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（1）评标委员会有权就投标文件中</w:t>
      </w:r>
      <w:r>
        <w:rPr>
          <w:rFonts w:hint="eastAsia" w:ascii="宋体" w:hAnsi="宋体" w:cs="宋体"/>
          <w:sz w:val="24"/>
          <w:szCs w:val="24"/>
          <w:lang w:eastAsia="zh-CN"/>
        </w:rPr>
        <w:t>模糊不清、前后不一致</w:t>
      </w:r>
      <w:r>
        <w:rPr>
          <w:rFonts w:hint="eastAsia" w:ascii="宋体" w:hAnsi="宋体" w:cs="宋体"/>
          <w:sz w:val="24"/>
          <w:szCs w:val="24"/>
        </w:rPr>
        <w:t>；要求投标人将有关询标澄清、补正、说明的内容应以书面形式提交；</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）投标人对投标文件的澄清不得改变投标价格及实质内容。</w:t>
      </w:r>
    </w:p>
    <w:p>
      <w:pPr>
        <w:spacing w:line="360" w:lineRule="auto"/>
        <w:ind w:firstLine="472" w:firstLineChars="196"/>
        <w:outlineLvl w:val="9"/>
        <w:rPr>
          <w:rFonts w:hint="eastAsia" w:ascii="宋体" w:hAnsi="宋体" w:cs="宋体"/>
          <w:sz w:val="24"/>
          <w:szCs w:val="24"/>
        </w:rPr>
      </w:pPr>
      <w:r>
        <w:rPr>
          <w:rFonts w:hint="eastAsia" w:ascii="宋体" w:hAnsi="宋体" w:cs="宋体"/>
          <w:b/>
          <w:sz w:val="24"/>
          <w:szCs w:val="24"/>
        </w:rPr>
        <w:t>4、评标办法（详见本招标文件第三章）</w:t>
      </w:r>
    </w:p>
    <w:p>
      <w:pPr>
        <w:spacing w:line="360" w:lineRule="auto"/>
        <w:ind w:firstLine="472" w:firstLineChars="196"/>
        <w:outlineLvl w:val="9"/>
        <w:rPr>
          <w:rFonts w:hint="eastAsia"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、签订合同</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1、定标后，中标人在收到</w:t>
      </w:r>
      <w:r>
        <w:rPr>
          <w:rFonts w:hint="eastAsia" w:ascii="宋体" w:hAnsi="宋体" w:cs="宋体"/>
          <w:sz w:val="24"/>
          <w:szCs w:val="24"/>
          <w:lang w:eastAsia="zh-CN"/>
        </w:rPr>
        <w:t>入选通知书</w:t>
      </w:r>
      <w:r>
        <w:rPr>
          <w:rFonts w:hint="eastAsia" w:ascii="宋体" w:hAnsi="宋体" w:cs="宋体"/>
          <w:sz w:val="24"/>
          <w:szCs w:val="24"/>
        </w:rPr>
        <w:t>后三十（30）个日历日内，应按招标文件的要求与招标人洽谈合同条款，并签订合同，同时送监督机构备案，招标文件及招标投标人投标文件均作为合同的组成部分；</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2、合同履行中，招标人需追加与合同标的相同的货物、工程或者服务的，在不改变合同其他条款的前提下，可以与中标</w:t>
      </w:r>
      <w:r>
        <w:rPr>
          <w:rFonts w:hint="eastAsia" w:ascii="宋体" w:hAnsi="宋体" w:cs="宋体"/>
          <w:sz w:val="24"/>
          <w:szCs w:val="24"/>
          <w:lang w:eastAsia="zh-CN"/>
        </w:rPr>
        <w:t>候选</w:t>
      </w:r>
      <w:r>
        <w:rPr>
          <w:rFonts w:hint="eastAsia" w:ascii="宋体" w:hAnsi="宋体" w:cs="宋体"/>
          <w:sz w:val="24"/>
          <w:szCs w:val="24"/>
        </w:rPr>
        <w:t>人协商签订补充合同，但所有补充合同的采购金额不得超过原合同采购金额的百分之十；</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3、根据需要，招标代理机构可同</w:t>
      </w:r>
      <w:r>
        <w:rPr>
          <w:rFonts w:hint="eastAsia" w:ascii="宋体" w:hAnsi="宋体" w:cs="宋体"/>
          <w:sz w:val="24"/>
          <w:szCs w:val="24"/>
          <w:lang w:eastAsia="zh-CN"/>
        </w:rPr>
        <w:t>招标人</w:t>
      </w:r>
      <w:r>
        <w:rPr>
          <w:rFonts w:hint="eastAsia" w:ascii="宋体" w:hAnsi="宋体" w:cs="宋体"/>
          <w:sz w:val="24"/>
          <w:szCs w:val="24"/>
        </w:rPr>
        <w:t>负责监督、协调和处理履约过程中出现的问题；</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4、政府采购管理部门在合同履行期间以及履行期后，可以随时检查项目的执行情况，对采购标准、采购内容进行调查核实，并对发现的问题进行处理。</w:t>
      </w:r>
    </w:p>
    <w:p>
      <w:pPr>
        <w:spacing w:line="360" w:lineRule="auto"/>
        <w:ind w:firstLine="472" w:firstLineChars="196"/>
        <w:outlineLvl w:val="9"/>
        <w:rPr>
          <w:rFonts w:hint="eastAsia" w:ascii="宋体" w:hAnsi="宋体" w:eastAsia="宋体" w:cs="宋体"/>
          <w:b/>
          <w:sz w:val="24"/>
          <w:szCs w:val="24"/>
          <w:lang w:eastAsia="zh-CN"/>
        </w:rPr>
      </w:pPr>
      <w:r>
        <w:rPr>
          <w:rFonts w:hint="eastAsia" w:ascii="宋体" w:hAnsi="宋体" w:cs="宋体"/>
          <w:b/>
          <w:sz w:val="24"/>
          <w:szCs w:val="24"/>
          <w:lang w:val="en-US" w:eastAsia="zh-CN"/>
        </w:rPr>
        <w:t>6</w:t>
      </w:r>
      <w:r>
        <w:rPr>
          <w:rFonts w:hint="eastAsia" w:ascii="宋体" w:hAnsi="宋体" w:cs="宋体"/>
          <w:b/>
          <w:sz w:val="24"/>
          <w:szCs w:val="24"/>
        </w:rPr>
        <w:t>、</w:t>
      </w:r>
      <w:r>
        <w:rPr>
          <w:rFonts w:hint="eastAsia" w:ascii="宋体" w:hAnsi="宋体" w:cs="宋体"/>
          <w:b/>
          <w:sz w:val="24"/>
          <w:szCs w:val="24"/>
          <w:lang w:eastAsia="zh-CN"/>
        </w:rPr>
        <w:t>代理服务费</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1、领取</w:t>
      </w:r>
      <w:r>
        <w:rPr>
          <w:rFonts w:hint="eastAsia" w:ascii="宋体" w:hAnsi="宋体" w:cs="宋体"/>
          <w:sz w:val="24"/>
          <w:szCs w:val="24"/>
          <w:lang w:eastAsia="zh-CN"/>
        </w:rPr>
        <w:t>中标通知书</w:t>
      </w:r>
      <w:r>
        <w:rPr>
          <w:rFonts w:hint="eastAsia" w:ascii="宋体" w:hAnsi="宋体" w:cs="宋体"/>
          <w:sz w:val="24"/>
          <w:szCs w:val="24"/>
          <w:lang w:val="en-US" w:eastAsia="zh-CN"/>
        </w:rPr>
        <w:t>之前</w:t>
      </w:r>
      <w:r>
        <w:rPr>
          <w:rFonts w:hint="eastAsia" w:ascii="宋体" w:hAnsi="宋体" w:cs="宋体"/>
          <w:sz w:val="24"/>
          <w:szCs w:val="24"/>
        </w:rPr>
        <w:t>，</w:t>
      </w:r>
      <w:r>
        <w:rPr>
          <w:rFonts w:hint="eastAsia" w:ascii="宋体" w:hAnsi="宋体" w:cs="宋体"/>
          <w:sz w:val="24"/>
          <w:szCs w:val="24"/>
          <w:lang w:val="en-US" w:eastAsia="zh-CN"/>
        </w:rPr>
        <w:t>中标人</w:t>
      </w:r>
      <w:r>
        <w:rPr>
          <w:rFonts w:hint="eastAsia" w:ascii="宋体" w:hAnsi="宋体" w:cs="宋体"/>
          <w:sz w:val="24"/>
          <w:szCs w:val="24"/>
        </w:rPr>
        <w:t>须向招标代理机构一次性支付全额</w:t>
      </w:r>
      <w:r>
        <w:rPr>
          <w:rFonts w:hint="eastAsia" w:ascii="宋体" w:hAnsi="宋体" w:cs="宋体"/>
          <w:sz w:val="24"/>
          <w:szCs w:val="24"/>
          <w:lang w:eastAsia="zh-CN"/>
        </w:rPr>
        <w:t>代理服务费</w:t>
      </w:r>
      <w:r>
        <w:rPr>
          <w:rFonts w:hint="eastAsia" w:ascii="宋体" w:hAnsi="宋体" w:cs="宋体"/>
          <w:sz w:val="24"/>
          <w:szCs w:val="24"/>
        </w:rPr>
        <w:t>。</w:t>
      </w:r>
    </w:p>
    <w:p>
      <w:pPr>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代理服务费</w:t>
      </w:r>
      <w:r>
        <w:rPr>
          <w:rFonts w:hint="eastAsia" w:ascii="宋体" w:hAnsi="宋体" w:cs="宋体"/>
          <w:sz w:val="24"/>
          <w:szCs w:val="24"/>
        </w:rPr>
        <w:t>依据《招标代理服务收费管理暂行办法》计价格[2002]1980号文及《国家发展改革委关于降低部分建设项目收费标准规范收费行为等有关问题的通知》发改价格[2011]534号文，按标准取代理服务费。</w:t>
      </w:r>
    </w:p>
    <w:p/>
    <w:p>
      <w:pPr>
        <w:rPr>
          <w:rFonts w:hint="eastAsia"/>
        </w:rPr>
      </w:pPr>
      <w:r>
        <w:rPr>
          <w:rFonts w:hint="eastAsia" w:ascii="宋体" w:hAnsi="宋体" w:eastAsia="宋体" w:cs="宋体"/>
          <w:color w:val="000000" w:themeColor="text1"/>
          <w:sz w:val="24"/>
          <w14:textFill>
            <w14:solidFill>
              <w14:schemeClr w14:val="tx1"/>
            </w14:solidFill>
          </w14:textFill>
        </w:rPr>
        <w:br w:type="page"/>
      </w:r>
    </w:p>
    <w:bookmarkEnd w:id="12"/>
    <w:p>
      <w:pPr>
        <w:ind w:firstLine="3213" w:firstLineChars="1000"/>
        <w:outlineLvl w:val="0"/>
        <w:rPr>
          <w:rFonts w:ascii="宋体" w:hAnsi="宋体" w:cs="宋体"/>
          <w:b/>
          <w:bCs/>
          <w:color w:val="000000" w:themeColor="text1"/>
          <w:sz w:val="32"/>
          <w:szCs w:val="32"/>
          <w14:textFill>
            <w14:solidFill>
              <w14:schemeClr w14:val="tx1"/>
            </w14:solidFill>
          </w14:textFill>
        </w:rPr>
      </w:pPr>
      <w:bookmarkStart w:id="20" w:name="_Toc11955"/>
      <w:r>
        <w:rPr>
          <w:rFonts w:hint="eastAsia" w:ascii="宋体" w:hAnsi="宋体" w:cs="宋体"/>
          <w:b/>
          <w:bCs/>
          <w:color w:val="000000" w:themeColor="text1"/>
          <w:sz w:val="32"/>
          <w:szCs w:val="32"/>
          <w14:textFill>
            <w14:solidFill>
              <w14:schemeClr w14:val="tx1"/>
            </w14:solidFill>
          </w14:textFill>
        </w:rPr>
        <w:t>第三章 评标办法</w:t>
      </w:r>
      <w:bookmarkEnd w:id="20"/>
    </w:p>
    <w:p>
      <w:pPr>
        <w:pStyle w:val="12"/>
        <w:jc w:val="center"/>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r>
        <w:rPr>
          <w:rFonts w:hint="eastAsia" w:ascii="宋体" w:hAnsi="宋体" w:cs="宋体"/>
          <w:b/>
          <w:bCs/>
          <w:color w:val="000000" w:themeColor="text1"/>
          <w:kern w:val="2"/>
          <w:sz w:val="32"/>
          <w:szCs w:val="32"/>
          <w:lang w:val="en-US" w:eastAsia="zh-CN" w:bidi="ar-SA"/>
          <w14:textFill>
            <w14:solidFill>
              <w14:schemeClr w14:val="tx1"/>
            </w14:solidFill>
          </w14:textFill>
        </w:rPr>
        <w:t xml:space="preserve">合同包 3 </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w:t>
      </w:r>
    </w:p>
    <w:p>
      <w:pPr>
        <w:keepNext w:val="0"/>
        <w:keepLines w:val="0"/>
        <w:pageBreakBefore w:val="0"/>
        <w:kinsoku/>
        <w:overflowPunct/>
        <w:topLinePunct w:val="0"/>
        <w:autoSpaceDE/>
        <w:autoSpaceDN/>
        <w:bidi w:val="0"/>
        <w:adjustRightInd/>
        <w:snapToGrid/>
        <w:spacing w:line="360" w:lineRule="auto"/>
        <w:rPr>
          <w:rFonts w:ascii="宋体" w:hAnsi="宋体" w:cs="宋体"/>
          <w:b/>
          <w:sz w:val="24"/>
          <w:szCs w:val="24"/>
        </w:rPr>
      </w:pPr>
      <w:bookmarkStart w:id="21" w:name="_Toc30806_WPSOffice_Level2"/>
      <w:r>
        <w:rPr>
          <w:rFonts w:hint="eastAsia" w:ascii="宋体" w:hAnsi="宋体" w:cs="宋体"/>
          <w:b/>
          <w:sz w:val="24"/>
          <w:szCs w:val="24"/>
        </w:rPr>
        <w:t>一、评审方法：</w:t>
      </w:r>
      <w:bookmarkEnd w:id="21"/>
    </w:p>
    <w:p>
      <w:pPr>
        <w:keepNext w:val="0"/>
        <w:keepLines w:val="0"/>
        <w:pageBreakBefore w:val="0"/>
        <w:kinsoku/>
        <w:overflowPunct/>
        <w:topLinePunct w:val="0"/>
        <w:autoSpaceDE/>
        <w:autoSpaceDN/>
        <w:bidi w:val="0"/>
        <w:adjustRightInd/>
        <w:snapToGrid/>
        <w:spacing w:line="360" w:lineRule="auto"/>
        <w:ind w:firstLine="538" w:firstLineChars="217"/>
        <w:rPr>
          <w:rFonts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的规定，依法组建评标委员会。本次评标采用综合评分法，即在最大限度地满足招标文件实质性要求前提下，按照招标文件中规定的各项因素和相应的权重分值进行综合评审后，以总得分最高的招标人作为中标候选投标人并依次排序。</w:t>
      </w:r>
    </w:p>
    <w:p>
      <w:pPr>
        <w:keepNext w:val="0"/>
        <w:keepLines w:val="0"/>
        <w:pageBreakBefore w:val="0"/>
        <w:kinsoku/>
        <w:overflowPunct/>
        <w:topLinePunct w:val="0"/>
        <w:autoSpaceDE/>
        <w:autoSpaceDN/>
        <w:bidi w:val="0"/>
        <w:adjustRightInd/>
        <w:snapToGrid/>
        <w:spacing w:line="360" w:lineRule="auto"/>
        <w:jc w:val="left"/>
        <w:rPr>
          <w:rFonts w:ascii="宋体" w:hAnsi="宋体" w:cs="宋体"/>
          <w:b/>
          <w:sz w:val="24"/>
          <w:szCs w:val="24"/>
        </w:rPr>
      </w:pPr>
      <w:bookmarkStart w:id="22" w:name="_Toc29770_WPSOffice_Level2"/>
      <w:r>
        <w:rPr>
          <w:rFonts w:hint="eastAsia" w:ascii="宋体" w:hAnsi="宋体" w:cs="宋体"/>
          <w:b/>
          <w:sz w:val="24"/>
          <w:szCs w:val="24"/>
        </w:rPr>
        <w:t>二、评审程序：</w:t>
      </w:r>
      <w:bookmarkEnd w:id="22"/>
    </w:p>
    <w:p>
      <w:pPr>
        <w:pStyle w:val="20"/>
        <w:keepNext w:val="0"/>
        <w:keepLines w:val="0"/>
        <w:pageBreakBefore w:val="0"/>
        <w:kinsoku/>
        <w:overflowPunct/>
        <w:topLinePunct w:val="0"/>
        <w:autoSpaceDE/>
        <w:autoSpaceDN/>
        <w:bidi w:val="0"/>
        <w:adjustRightInd/>
        <w:snapToGrid/>
        <w:spacing w:line="360" w:lineRule="auto"/>
        <w:ind w:left="0" w:leftChars="0" w:firstLine="496" w:firstLineChars="200"/>
        <w:rPr>
          <w:rFonts w:cs="宋体"/>
          <w:sz w:val="24"/>
          <w:szCs w:val="24"/>
        </w:rPr>
      </w:pPr>
      <w:r>
        <w:rPr>
          <w:rFonts w:hint="eastAsia" w:cs="宋体"/>
          <w:sz w:val="24"/>
          <w:szCs w:val="24"/>
        </w:rPr>
        <w:t>按照投标人资格性审查、投标文件响应性审查、澄清有关问题、比较与详细评审、推荐中标候选投标人名单的工作程序进行评审。在上一步评审中被认定为无效投标者，不进入下一步的评审。</w:t>
      </w:r>
    </w:p>
    <w:p>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spacing w:val="4"/>
          <w:kern w:val="0"/>
          <w:sz w:val="24"/>
          <w:szCs w:val="24"/>
          <w:lang w:val="en-US" w:eastAsia="zh-CN" w:bidi="ar-SA"/>
        </w:rPr>
      </w:pPr>
      <w:r>
        <w:rPr>
          <w:rFonts w:hint="eastAsia" w:ascii="宋体" w:hAnsi="宋体" w:cs="宋体"/>
          <w:spacing w:val="4"/>
          <w:kern w:val="0"/>
          <w:sz w:val="24"/>
          <w:szCs w:val="24"/>
          <w:lang w:val="en-US" w:eastAsia="zh-CN" w:bidi="ar-SA"/>
        </w:rPr>
        <w:t>（一）</w:t>
      </w:r>
      <w:r>
        <w:rPr>
          <w:rFonts w:hint="eastAsia" w:ascii="宋体" w:hAnsi="宋体" w:cs="宋体"/>
          <w:sz w:val="24"/>
          <w:szCs w:val="24"/>
        </w:rPr>
        <w:t>资格性审查：依据招标文件的规定，</w:t>
      </w:r>
      <w:r>
        <w:rPr>
          <w:rFonts w:hint="eastAsia" w:ascii="宋体" w:hAnsi="宋体" w:cs="宋体"/>
          <w:color w:val="auto"/>
          <w:sz w:val="24"/>
          <w:szCs w:val="24"/>
          <w:lang w:eastAsia="zh-CN"/>
        </w:rPr>
        <w:t>由采购人</w:t>
      </w:r>
      <w:r>
        <w:rPr>
          <w:rFonts w:hint="eastAsia" w:ascii="宋体" w:hAnsi="宋体" w:cs="宋体"/>
          <w:sz w:val="24"/>
          <w:szCs w:val="24"/>
        </w:rPr>
        <w:t>对投标人的资格证明文件进行审查，以确定投标人是否具备投标资格。</w:t>
      </w:r>
    </w:p>
    <w:p>
      <w:pPr>
        <w:pStyle w:val="24"/>
        <w:keepNext w:val="0"/>
        <w:keepLines w:val="0"/>
        <w:pageBreakBefore w:val="0"/>
        <w:kinsoku/>
        <w:overflowPunct/>
        <w:topLinePunct w:val="0"/>
        <w:autoSpaceDE/>
        <w:autoSpaceDN/>
        <w:bidi w:val="0"/>
        <w:adjustRightInd/>
        <w:snapToGrid/>
        <w:spacing w:after="0"/>
        <w:ind w:left="0" w:leftChars="0" w:firstLine="0" w:firstLineChars="0"/>
        <w:rPr>
          <w:rFonts w:hint="eastAsia" w:ascii="宋体" w:hAnsi="宋体" w:eastAsia="宋体" w:cs="宋体"/>
          <w:color w:val="333333"/>
          <w:kern w:val="2"/>
          <w:sz w:val="24"/>
          <w:szCs w:val="24"/>
          <w:shd w:val="clear" w:color="auto" w:fill="FFFFFF"/>
          <w:lang w:val="en-US" w:eastAsia="zh-CN" w:bidi="ar-SA"/>
        </w:rPr>
      </w:pPr>
      <w:r>
        <w:rPr>
          <w:rFonts w:hint="eastAsia" w:ascii="宋体" w:hAnsi="宋体" w:eastAsia="宋体" w:cs="宋体"/>
          <w:color w:val="333333"/>
          <w:kern w:val="2"/>
          <w:sz w:val="24"/>
          <w:szCs w:val="24"/>
          <w:shd w:val="clear" w:color="auto" w:fill="FFFFFF"/>
          <w:lang w:val="en-US" w:eastAsia="zh-CN" w:bidi="ar-SA"/>
        </w:rPr>
        <w:t>1、满足《中华人民共和国政府釆购法》第二十二条规定</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p>
    <w:p>
      <w:pPr>
        <w:keepNext w:val="0"/>
        <w:keepLines w:val="0"/>
        <w:pageBreakBefore w:val="0"/>
        <w:kinsoku/>
        <w:overflowPunct/>
        <w:topLinePunct w:val="0"/>
        <w:autoSpaceDE/>
        <w:autoSpaceDN/>
        <w:bidi w:val="0"/>
        <w:adjustRightInd/>
        <w:snapToGrid/>
        <w:spacing w:line="360" w:lineRule="auto"/>
        <w:rPr>
          <w:rFonts w:hint="eastAsia" w:ascii="宋体" w:hAnsi="宋体"/>
          <w:sz w:val="24"/>
        </w:rPr>
      </w:pPr>
      <w:r>
        <w:rPr>
          <w:rFonts w:hint="eastAsia" w:ascii="宋体" w:hAnsi="宋体"/>
          <w:sz w:val="24"/>
          <w:lang w:eastAsia="zh-CN"/>
        </w:rPr>
        <w:t>（二）</w:t>
      </w:r>
      <w:r>
        <w:rPr>
          <w:rFonts w:hint="eastAsia" w:ascii="宋体" w:hAnsi="宋体"/>
          <w:sz w:val="24"/>
        </w:rPr>
        <w:t>符合性审查：依据招标文件规定，从投标文件的有效性、完整性和对招标文件的响应程度进行审查。下列情况有一项不满足者（但不限于），不进入下一轮评审：</w:t>
      </w:r>
    </w:p>
    <w:tbl>
      <w:tblPr>
        <w:tblStyle w:val="25"/>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318"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评审因素</w:t>
            </w:r>
          </w:p>
        </w:tc>
        <w:tc>
          <w:tcPr>
            <w:tcW w:w="5621" w:type="dxa"/>
            <w:vAlign w:val="center"/>
          </w:tcPr>
          <w:p>
            <w:pPr>
              <w:spacing w:line="360" w:lineRule="auto"/>
              <w:jc w:val="center"/>
              <w:outlineLvl w:val="9"/>
              <w:rPr>
                <w:rFonts w:hint="eastAsia" w:ascii="宋体" w:hAnsi="宋体" w:eastAsia="宋体" w:cs="宋体"/>
                <w:b/>
                <w:bCs/>
                <w:sz w:val="24"/>
                <w:highlight w:val="none"/>
              </w:rPr>
            </w:pPr>
            <w:r>
              <w:rPr>
                <w:rFonts w:hint="eastAsia" w:ascii="宋体" w:hAnsi="宋体" w:eastAsia="宋体"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投标文件项目名称、项目编号、包号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投标文件以下三处的项目名称、项目编号、</w:t>
            </w:r>
            <w:r>
              <w:rPr>
                <w:rFonts w:hint="eastAsia" w:ascii="宋体" w:hAnsi="宋体" w:cs="宋体"/>
                <w:sz w:val="24"/>
                <w:highlight w:val="none"/>
                <w:lang w:eastAsia="zh-CN"/>
              </w:rPr>
              <w:t>包号</w:t>
            </w:r>
            <w:r>
              <w:rPr>
                <w:rFonts w:hint="eastAsia" w:ascii="宋体" w:hAnsi="宋体" w:eastAsia="宋体" w:cs="宋体"/>
                <w:sz w:val="24"/>
                <w:highlight w:val="none"/>
              </w:rPr>
              <w:t>与本项目完全一致，且无遗漏：</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（1）封面；</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（2）投标函；</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投标文件组成</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w:t>
            </w:r>
            <w:r>
              <w:rPr>
                <w:rFonts w:hint="eastAsia" w:ascii="宋体" w:hAnsi="宋体" w:cs="宋体"/>
                <w:sz w:val="24"/>
                <w:highlight w:val="none"/>
                <w:lang w:eastAsia="zh-CN"/>
              </w:rPr>
              <w:t>招标投标文件</w:t>
            </w:r>
            <w:r>
              <w:rPr>
                <w:rFonts w:hint="eastAsia" w:ascii="宋体" w:hAnsi="宋体" w:eastAsia="宋体" w:cs="宋体"/>
                <w:sz w:val="24"/>
                <w:highlight w:val="none"/>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投标文件的签署、盖章</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投标文件的语言及计量单位</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cs="宋体"/>
                <w:sz w:val="24"/>
                <w:highlight w:val="none"/>
                <w:lang w:eastAsia="zh-CN"/>
              </w:rPr>
              <w:t>投标有效期</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eastAsia="zh-CN"/>
              </w:rPr>
            </w:pPr>
            <w:r>
              <w:rPr>
                <w:rFonts w:hint="eastAsia" w:ascii="宋体" w:hAnsi="宋体" w:cs="宋体"/>
                <w:sz w:val="24"/>
                <w:highlight w:val="none"/>
                <w:lang w:val="en-US" w:eastAsia="zh-CN"/>
              </w:rPr>
              <w:t>投标报价</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同时满足以下条款：</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（1）投标报价符合唯一性要求；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（2）开标一览表填写符合要求；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（3）报价货币符合招标文件要求；</w:t>
            </w:r>
          </w:p>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实质性条款响应</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完全响应招标文件要求的各项技术/服务/商务实质性条款。（实质性条款以★标识，未设置实质性条款时可忽略此项）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合同文本</w:t>
            </w:r>
          </w:p>
        </w:tc>
        <w:tc>
          <w:tcPr>
            <w:tcW w:w="5621" w:type="dxa"/>
            <w:vAlign w:val="center"/>
          </w:tcPr>
          <w:p>
            <w:pPr>
              <w:spacing w:line="360"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完全理解并接受招标文件合同基本条款的要求。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318" w:type="dxa"/>
            <w:vAlign w:val="center"/>
          </w:tcPr>
          <w:p>
            <w:pPr>
              <w:spacing w:line="360" w:lineRule="auto"/>
              <w:jc w:val="center"/>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兼投不兼中规则</w:t>
            </w:r>
          </w:p>
        </w:tc>
        <w:tc>
          <w:tcPr>
            <w:tcW w:w="5621" w:type="dxa"/>
            <w:vAlign w:val="center"/>
          </w:tcPr>
          <w:p>
            <w:pPr>
              <w:spacing w:line="360" w:lineRule="auto"/>
              <w:jc w:val="left"/>
              <w:outlineLvl w:val="9"/>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投标人不能为第一包、第二包的第一中标候选人</w:t>
            </w:r>
          </w:p>
        </w:tc>
      </w:tr>
    </w:tbl>
    <w:p>
      <w:pPr>
        <w:pStyle w:val="17"/>
        <w:ind w:firstLine="360" w:firstLineChars="200"/>
      </w:pPr>
    </w:p>
    <w:p>
      <w:pPr>
        <w:pStyle w:val="20"/>
        <w:spacing w:line="360" w:lineRule="auto"/>
        <w:ind w:left="0" w:leftChars="0" w:firstLine="0" w:firstLineChars="0"/>
        <w:rPr>
          <w:rFonts w:hint="eastAsia" w:ascii="宋体" w:hAnsi="宋体" w:cs="宋体"/>
          <w:b/>
          <w:sz w:val="24"/>
          <w:szCs w:val="24"/>
        </w:rPr>
      </w:pPr>
      <w:r>
        <w:rPr>
          <w:rFonts w:hint="eastAsia" w:cs="宋体"/>
          <w:sz w:val="24"/>
          <w:szCs w:val="24"/>
          <w:lang w:eastAsia="zh-CN"/>
        </w:rPr>
        <w:t>（三）</w:t>
      </w:r>
      <w:r>
        <w:rPr>
          <w:rFonts w:hint="eastAsia" w:cs="宋体"/>
          <w:sz w:val="24"/>
          <w:szCs w:val="24"/>
        </w:rPr>
        <w:t>详细评审</w:t>
      </w:r>
      <w:r>
        <w:rPr>
          <w:rFonts w:hint="eastAsia" w:cs="宋体"/>
          <w:b/>
          <w:sz w:val="24"/>
          <w:szCs w:val="24"/>
        </w:rPr>
        <w:t>（总分100分）</w:t>
      </w:r>
      <w:r>
        <w:rPr>
          <w:rFonts w:hint="eastAsia" w:cs="宋体"/>
          <w:sz w:val="24"/>
          <w:szCs w:val="24"/>
        </w:rPr>
        <w:t>：对投标文件响应性评审通过的所有投标人，由评标</w:t>
      </w:r>
      <w:r>
        <w:rPr>
          <w:rFonts w:hint="eastAsia" w:cs="宋体"/>
          <w:spacing w:val="-4"/>
          <w:sz w:val="24"/>
          <w:szCs w:val="24"/>
        </w:rPr>
        <w:t>委员会</w:t>
      </w:r>
      <w:r>
        <w:rPr>
          <w:rFonts w:hint="eastAsia" w:cs="宋体"/>
          <w:sz w:val="24"/>
          <w:szCs w:val="24"/>
        </w:rPr>
        <w:t>各成员依据招标文件，按照下列《评标要素和分值分解表》规定的内容对投标文件独立进行综合评价、比较打分，然后汇总每个投标人的得分，从高到低依次排序，推荐前三名为中标候选人。</w:t>
      </w:r>
    </w:p>
    <w:tbl>
      <w:tblPr>
        <w:tblStyle w:val="25"/>
        <w:tblpPr w:leftFromText="180" w:rightFromText="180" w:vertAnchor="text" w:horzAnchor="page" w:tblpX="1845" w:tblpY="473"/>
        <w:tblOverlap w:val="never"/>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36"/>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9" w:type="dxa"/>
            <w:gridSpan w:val="3"/>
            <w:noWrap w:val="0"/>
            <w:vAlign w:val="center"/>
          </w:tcPr>
          <w:p>
            <w:pPr>
              <w:pStyle w:val="13"/>
              <w:tabs>
                <w:tab w:val="left" w:pos="600"/>
              </w:tabs>
              <w:spacing w:line="240" w:lineRule="auto"/>
              <w:ind w:firstLine="0"/>
              <w:jc w:val="center"/>
              <w:rPr>
                <w:rFonts w:hint="eastAsia" w:ascii="宋体" w:hAnsi="宋体" w:eastAsia="宋体" w:cs="宋体"/>
                <w:b/>
                <w:sz w:val="24"/>
                <w:szCs w:val="24"/>
                <w:highlight w:val="none"/>
              </w:rPr>
            </w:pPr>
            <w:r>
              <w:rPr>
                <w:rFonts w:hint="eastAsia" w:ascii="宋体" w:hAnsi="宋体" w:cs="宋体"/>
                <w:b/>
                <w:sz w:val="24"/>
                <w:szCs w:val="24"/>
              </w:rPr>
              <w:t>评标要素和分值分解表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noWrap w:val="0"/>
            <w:vAlign w:val="center"/>
          </w:tcPr>
          <w:p>
            <w:pPr>
              <w:pStyle w:val="13"/>
              <w:keepNext w:val="0"/>
              <w:keepLines w:val="0"/>
              <w:pageBreakBefore w:val="0"/>
              <w:widowControl w:val="0"/>
              <w:tabs>
                <w:tab w:val="left" w:pos="600"/>
              </w:tabs>
              <w:kinsoku/>
              <w:wordWrap/>
              <w:overflowPunct/>
              <w:topLinePunct w:val="0"/>
              <w:autoSpaceDE/>
              <w:autoSpaceDN/>
              <w:bidi w:val="0"/>
              <w:adjustRightInd/>
              <w:snapToGrid/>
              <w:spacing w:after="0" w:line="240" w:lineRule="auto"/>
              <w:ind w:left="0" w:leftChars="0"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7568" w:type="dxa"/>
            <w:gridSpan w:val="2"/>
            <w:noWrap w:val="0"/>
            <w:vAlign w:val="center"/>
          </w:tcPr>
          <w:p>
            <w:pPr>
              <w:pStyle w:val="13"/>
              <w:tabs>
                <w:tab w:val="left" w:pos="600"/>
              </w:tabs>
              <w:spacing w:line="240" w:lineRule="auto"/>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1"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7568"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1.经初审合格的投标文件，其投标报价为有效投标报价，并对有效投标报价进行政策性扣减，并依据扣减后的价格（评审价格）进行价格评审。</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2.满足招标文件实质性要求且最终报价最低的投标人的价格为投标基准价，其价格分为满分</w:t>
            </w:r>
            <w:r>
              <w:rPr>
                <w:rFonts w:hint="eastAsia"/>
                <w:sz w:val="24"/>
                <w:szCs w:val="24"/>
                <w:lang w:val="en-US" w:eastAsia="zh-CN"/>
              </w:rPr>
              <w:t>10</w:t>
            </w:r>
            <w:r>
              <w:rPr>
                <w:rFonts w:hint="eastAsia"/>
                <w:sz w:val="24"/>
                <w:szCs w:val="24"/>
              </w:rPr>
              <w:t>分。</w:t>
            </w:r>
          </w:p>
          <w:p>
            <w:pPr>
              <w:keepNext w:val="0"/>
              <w:keepLines w:val="0"/>
              <w:pageBreakBefore w:val="0"/>
              <w:widowControl w:val="0"/>
              <w:kinsoku/>
              <w:wordWrap/>
              <w:overflowPunct w:val="0"/>
              <w:topLinePunct w:val="0"/>
              <w:autoSpaceDE/>
              <w:autoSpaceDN/>
              <w:bidi w:val="0"/>
              <w:adjustRightInd w:val="0"/>
              <w:snapToGrid w:val="0"/>
              <w:spacing w:line="240" w:lineRule="auto"/>
              <w:ind w:left="0"/>
              <w:textAlignment w:val="auto"/>
              <w:rPr>
                <w:rFonts w:hint="eastAsia"/>
                <w:sz w:val="24"/>
                <w:szCs w:val="24"/>
              </w:rPr>
            </w:pPr>
            <w:r>
              <w:rPr>
                <w:rFonts w:hint="eastAsia"/>
                <w:sz w:val="24"/>
                <w:szCs w:val="24"/>
              </w:rPr>
              <w:t>3.投标报价得分=（投标基准价/投标报价）×</w:t>
            </w:r>
            <w:r>
              <w:rPr>
                <w:rFonts w:hint="eastAsia"/>
                <w:sz w:val="24"/>
                <w:szCs w:val="24"/>
                <w:lang w:val="en-US" w:eastAsia="zh-CN"/>
              </w:rPr>
              <w:t>10</w:t>
            </w:r>
            <w:r>
              <w:rPr>
                <w:rFonts w:hint="eastAsia"/>
                <w:sz w:val="24"/>
                <w:szCs w:val="24"/>
              </w:rPr>
              <w:t>的公式计算得分。</w:t>
            </w:r>
          </w:p>
          <w:p>
            <w:pPr>
              <w:pStyle w:val="32"/>
              <w:ind w:left="0" w:leftChars="0" w:firstLine="0" w:firstLineChars="0"/>
              <w:rPr>
                <w:rFonts w:hint="eastAsia" w:eastAsia="宋体"/>
                <w:lang w:eastAsia="zh-CN"/>
              </w:rPr>
            </w:pPr>
            <w:r>
              <w:rPr>
                <w:rFonts w:hint="eastAsia"/>
                <w:sz w:val="24"/>
                <w:szCs w:val="24"/>
              </w:rPr>
              <w:t>对小型、微型企业</w:t>
            </w:r>
            <w:r>
              <w:rPr>
                <w:rFonts w:hint="eastAsia"/>
                <w:sz w:val="24"/>
                <w:szCs w:val="24"/>
                <w:lang w:eastAsia="zh-CN"/>
              </w:rPr>
              <w:t>、</w:t>
            </w:r>
            <w:r>
              <w:rPr>
                <w:rFonts w:hint="eastAsia"/>
                <w:sz w:val="24"/>
                <w:szCs w:val="24"/>
              </w:rPr>
              <w:t>监狱企业</w:t>
            </w:r>
            <w:r>
              <w:rPr>
                <w:rFonts w:hint="eastAsia"/>
                <w:sz w:val="24"/>
                <w:szCs w:val="24"/>
                <w:lang w:eastAsia="zh-CN"/>
              </w:rPr>
              <w:t>、</w:t>
            </w:r>
            <w:r>
              <w:rPr>
                <w:rFonts w:hint="eastAsia"/>
                <w:sz w:val="24"/>
                <w:szCs w:val="24"/>
              </w:rPr>
              <w:t xml:space="preserve">残疾人福利性单位提供服务的投标价格给予 </w:t>
            </w:r>
            <w:r>
              <w:rPr>
                <w:rFonts w:hint="eastAsia"/>
                <w:sz w:val="24"/>
                <w:szCs w:val="24"/>
                <w:lang w:val="en-US" w:eastAsia="zh-CN"/>
              </w:rPr>
              <w:t>10</w:t>
            </w:r>
            <w:r>
              <w:rPr>
                <w:rFonts w:hint="eastAsia"/>
                <w:sz w:val="24"/>
                <w:szCs w:val="24"/>
              </w:rPr>
              <w:t xml:space="preserve"> %的折扣。</w:t>
            </w:r>
            <w:r>
              <w:rPr>
                <w:rFonts w:hint="eastAsia"/>
                <w:sz w:val="24"/>
                <w:szCs w:val="24"/>
                <w:lang w:eastAsia="zh-CN"/>
              </w:rPr>
              <w:t>（</w:t>
            </w:r>
            <w:r>
              <w:rPr>
                <w:rFonts w:hint="eastAsia"/>
                <w:sz w:val="24"/>
                <w:szCs w:val="24"/>
                <w:lang w:val="en-US" w:eastAsia="zh-CN"/>
              </w:rPr>
              <w:t>同时满足多个条件不重复扣减</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21" w:type="dxa"/>
            <w:vMerge w:val="restart"/>
            <w:noWrap w:val="0"/>
            <w:vAlign w:val="center"/>
          </w:tcPr>
          <w:p>
            <w:pPr>
              <w:pStyle w:val="13"/>
              <w:tabs>
                <w:tab w:val="left" w:pos="600"/>
              </w:tabs>
              <w:spacing w:line="240" w:lineRule="auto"/>
              <w:ind w:left="0" w:lef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技术方案</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60分</w:t>
            </w:r>
            <w:r>
              <w:rPr>
                <w:rFonts w:hint="eastAsia" w:ascii="宋体" w:hAnsi="宋体" w:cs="宋体"/>
                <w:sz w:val="24"/>
                <w:szCs w:val="24"/>
                <w:highlight w:val="none"/>
                <w:lang w:eastAsia="zh-CN"/>
              </w:rPr>
              <w:t>）</w:t>
            </w: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环卫作业工作方案</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（10分）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1、环卫作业工作方案（10分）。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针对本项目的环卫作业工作方案</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环卫服务质量自检及整改措施</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2、环卫服务质量自检及整改措施（</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针对本项目的环卫服务质量自检及整改措施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服务人员作业安全措施（</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3、服务人员作业安全措施（</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针对本项目的服务人员作业安全措施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-10]分；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③方案简陋，操作性差计（0-3）；</w:t>
            </w:r>
          </w:p>
          <w:p>
            <w:pPr>
              <w:pStyle w:val="13"/>
              <w:numPr>
                <w:ilvl w:val="0"/>
                <w:numId w:val="0"/>
              </w:numPr>
              <w:tabs>
                <w:tab w:val="left" w:pos="600"/>
              </w:tabs>
              <w:spacing w:line="24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管理制度和培训方案（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4、管理制度和培训方案（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针对本项目的管理制度和培训方案根据供应商内部管理架构、管理理念、作业人员考核制度及人员培训方案是否科学合理。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autoSpaceDE/>
              <w:autoSpaceDN/>
              <w:bidi w:val="0"/>
              <w:adjustRightInd/>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贯彻落实国家相应政策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贯彻落实国家相应政策</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贯彻落实“厕所革命”、“效能革命”、“以克论净深度保洁”、“治污减霾”等工作的相关要求的措施</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pStyle w:val="13"/>
              <w:keepNext w:val="0"/>
              <w:keepLines w:val="0"/>
              <w:pageBreakBefore w:val="0"/>
              <w:numPr>
                <w:ilvl w:val="0"/>
                <w:numId w:val="0"/>
              </w:numPr>
              <w:tabs>
                <w:tab w:val="left" w:pos="600"/>
              </w:tabs>
              <w:kinsoku/>
              <w:wordWrap/>
              <w:overflowPunct/>
              <w:topLinePunct w:val="0"/>
              <w:bidi w:val="0"/>
              <w:snapToGrid/>
              <w:spacing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管理方案（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6、管理方案（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根据本项目使用特点提出合理日常清扫保洁服务、垃圾清运、厕所管护等管理方案，投标供应商的管理模式能够切合实际，具体可行。</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21" w:type="dxa"/>
            <w:vMerge w:val="continue"/>
            <w:noWrap w:val="0"/>
            <w:vAlign w:val="center"/>
          </w:tcPr>
          <w:p>
            <w:pPr>
              <w:pStyle w:val="13"/>
              <w:tabs>
                <w:tab w:val="left" w:pos="600"/>
              </w:tabs>
              <w:spacing w:line="240" w:lineRule="auto"/>
              <w:ind w:firstLine="0"/>
              <w:jc w:val="center"/>
              <w:rPr>
                <w:rFonts w:hint="eastAsia" w:ascii="宋体" w:hAnsi="宋体" w:eastAsia="宋体" w:cs="宋体"/>
                <w:color w:val="000000"/>
                <w:sz w:val="24"/>
                <w:szCs w:val="24"/>
                <w:highlight w:val="none"/>
              </w:rPr>
            </w:pPr>
          </w:p>
        </w:tc>
        <w:tc>
          <w:tcPr>
            <w:tcW w:w="1336" w:type="dxa"/>
            <w:noWrap w:val="0"/>
            <w:vAlign w:val="center"/>
          </w:tcPr>
          <w:p>
            <w:pPr>
              <w:pStyle w:val="13"/>
              <w:tabs>
                <w:tab w:val="left" w:pos="600"/>
              </w:tabs>
              <w:spacing w:line="240" w:lineRule="auto"/>
              <w:ind w:left="0" w:lef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合同交接过渡期配合方案（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tc>
        <w:tc>
          <w:tcPr>
            <w:tcW w:w="623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7、合同交接过渡期配合方案（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lang w:val="en-US" w:eastAsia="zh-CN"/>
              </w:rPr>
            </w:pPr>
            <w:r>
              <w:rPr>
                <w:rFonts w:hint="eastAsia" w:ascii="宋体" w:hAnsi="宋体" w:eastAsia="宋体" w:cs="宋体"/>
                <w:sz w:val="24"/>
                <w:szCs w:val="24"/>
                <w:lang w:val="en-US" w:eastAsia="zh-CN"/>
              </w:rPr>
              <w:t>合同交接过渡期(含合同始、止两个交接期)配合方案，内容包含但不限于本项目原有人员的接收及安置、设备的采购及工作交接。</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①方案详细具体、切实可行计[</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]分；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②方案简要，基本可行计[2-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③方案简陋，操作性差 计（0-2）；</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未进行说明计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21" w:type="dxa"/>
            <w:vMerge w:val="restart"/>
            <w:noWrap w:val="0"/>
            <w:vAlign w:val="center"/>
          </w:tcPr>
          <w:p>
            <w:pPr>
              <w:spacing w:line="240" w:lineRule="auto"/>
              <w:ind w:firstLine="28"/>
              <w:jc w:val="center"/>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履约能力</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针对本项目人员的配备方案</w:t>
            </w: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1、针对本项目人员的配备方案</w:t>
            </w:r>
            <w:r>
              <w:rPr>
                <w:rFonts w:hint="eastAsia" w:ascii="宋体" w:hAnsi="宋体" w:cs="宋体"/>
                <w:color w:val="auto"/>
                <w:kern w:val="2"/>
                <w:sz w:val="24"/>
                <w:szCs w:val="24"/>
                <w:highlight w:val="none"/>
                <w:lang w:val="en-US" w:eastAsia="zh-CN" w:bidi="ar-SA"/>
              </w:rPr>
              <w:t>（5分）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对本项目拟派管理人员与作业人员配置数量和素质、自有人员和待聘续调人员的配置方案是否合理全面供应商投入人员数量及专业程度。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eastAsia="宋体" w:cs="宋体"/>
                <w:color w:val="auto"/>
                <w:kern w:val="2"/>
                <w:sz w:val="24"/>
                <w:szCs w:val="24"/>
                <w:highlight w:val="none"/>
                <w:lang w:val="en-US" w:eastAsia="zh-CN" w:bidi="ar-SA"/>
              </w:rPr>
              <w:t>方案完善，切实可行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eastAsia="宋体" w:cs="宋体"/>
                <w:color w:val="auto"/>
                <w:kern w:val="2"/>
                <w:sz w:val="24"/>
                <w:szCs w:val="24"/>
                <w:highlight w:val="none"/>
                <w:lang w:val="en-US" w:eastAsia="zh-CN" w:bidi="ar-SA"/>
              </w:rPr>
              <w:t>方案一般，基本可行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21" w:type="dxa"/>
            <w:vMerge w:val="continue"/>
            <w:noWrap w:val="0"/>
            <w:vAlign w:val="center"/>
          </w:tcPr>
          <w:p>
            <w:pPr>
              <w:spacing w:line="240" w:lineRule="auto"/>
              <w:ind w:firstLine="28"/>
              <w:jc w:val="center"/>
              <w:rPr>
                <w:rFonts w:hint="eastAsia" w:ascii="宋体" w:hAnsi="宋体" w:eastAsia="宋体" w:cs="宋体"/>
                <w:color w:val="000000"/>
                <w:kern w:val="2"/>
                <w:sz w:val="24"/>
                <w:szCs w:val="24"/>
                <w:highlight w:val="none"/>
                <w:lang w:val="en-US" w:eastAsia="zh-CN" w:bidi="ar-SA"/>
              </w:rPr>
            </w:pP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作业配套设备工具、车辆投入情况</w:t>
            </w:r>
          </w:p>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2、作业配套设备工具、车辆投入情况</w:t>
            </w:r>
            <w:r>
              <w:rPr>
                <w:rFonts w:hint="eastAsia" w:ascii="宋体" w:hAnsi="宋体" w:cs="宋体"/>
                <w:color w:val="auto"/>
                <w:kern w:val="2"/>
                <w:sz w:val="24"/>
                <w:szCs w:val="24"/>
                <w:highlight w:val="none"/>
                <w:lang w:val="en-US" w:eastAsia="zh-CN" w:bidi="ar-SA"/>
              </w:rPr>
              <w:t>（5分）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制定作业配套设备工具、车辆配备方案、存放车辆能力情况(根据本项目工作内容的需求，投入的设备、车辆)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eastAsia="宋体" w:cs="宋体"/>
                <w:color w:val="auto"/>
                <w:kern w:val="2"/>
                <w:sz w:val="24"/>
                <w:szCs w:val="24"/>
                <w:highlight w:val="none"/>
                <w:lang w:val="en-US" w:eastAsia="zh-CN" w:bidi="ar-SA"/>
              </w:rPr>
              <w:t>方案完善，切实可行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eastAsia="宋体" w:cs="宋体"/>
                <w:color w:val="auto"/>
                <w:kern w:val="2"/>
                <w:sz w:val="24"/>
                <w:szCs w:val="24"/>
                <w:highlight w:val="none"/>
                <w:lang w:val="en-US" w:eastAsia="zh-CN" w:bidi="ar-SA"/>
              </w:rPr>
              <w:t>方案一般，基本可行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pStyle w:val="24"/>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21" w:type="dxa"/>
            <w:vMerge w:val="restart"/>
            <w:noWrap w:val="0"/>
            <w:vAlign w:val="center"/>
          </w:tcPr>
          <w:p>
            <w:pPr>
              <w:spacing w:line="240" w:lineRule="auto"/>
              <w:ind w:firstLine="28"/>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承诺、应急预案及迎检方案</w:t>
            </w:r>
          </w:p>
          <w:p>
            <w:pPr>
              <w:spacing w:line="240" w:lineRule="auto"/>
              <w:ind w:firstLine="28"/>
              <w:jc w:val="center"/>
              <w:rPr>
                <w:rFonts w:hint="eastAsia" w:ascii="宋体" w:hAnsi="宋体" w:eastAsia="宋体" w:cs="宋体"/>
                <w:color w:val="00000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10分</w:t>
            </w:r>
            <w:r>
              <w:rPr>
                <w:rFonts w:hint="eastAsia" w:ascii="宋体" w:hAnsi="宋体" w:cs="宋体"/>
                <w:sz w:val="24"/>
                <w:szCs w:val="24"/>
                <w:highlight w:val="none"/>
                <w:lang w:eastAsia="zh-CN"/>
              </w:rPr>
              <w:t>）</w:t>
            </w:r>
          </w:p>
        </w:tc>
        <w:tc>
          <w:tcPr>
            <w:tcW w:w="1336" w:type="dxa"/>
            <w:noWrap w:val="0"/>
            <w:vAlign w:val="center"/>
          </w:tcPr>
          <w:p>
            <w:pPr>
              <w:spacing w:line="240" w:lineRule="auto"/>
              <w:ind w:firstLine="2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供应商承诺</w:t>
            </w:r>
          </w:p>
          <w:p>
            <w:pPr>
              <w:spacing w:line="240" w:lineRule="auto"/>
              <w:ind w:firstLine="28"/>
              <w:jc w:val="center"/>
              <w:rPr>
                <w:rFonts w:hint="eastAsia" w:ascii="宋体" w:hAnsi="宋体" w:cs="宋体"/>
                <w:color w:val="auto"/>
                <w:sz w:val="24"/>
                <w:szCs w:val="24"/>
                <w:highlight w:val="none"/>
                <w:lang w:eastAsia="zh-CN"/>
              </w:rPr>
            </w:pPr>
            <w:r>
              <w:rPr>
                <w:rFonts w:hint="eastAsia" w:ascii="宋体" w:hAnsi="宋体" w:cs="宋体"/>
                <w:color w:val="auto"/>
                <w:kern w:val="2"/>
                <w:sz w:val="24"/>
                <w:szCs w:val="24"/>
                <w:highlight w:val="none"/>
                <w:lang w:val="en-US" w:eastAsia="zh-CN" w:bidi="ar-SA"/>
              </w:rPr>
              <w:t>（5分）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olor w:val="auto"/>
                <w:lang w:val="en-US" w:eastAsia="zh-CN"/>
              </w:rPr>
            </w:pPr>
            <w:r>
              <w:rPr>
                <w:rFonts w:hint="eastAsia" w:ascii="宋体" w:hAnsi="宋体" w:eastAsia="宋体" w:cs="宋体"/>
                <w:color w:val="auto"/>
                <w:kern w:val="2"/>
                <w:sz w:val="24"/>
                <w:szCs w:val="24"/>
                <w:highlight w:val="none"/>
                <w:lang w:val="en-US" w:eastAsia="zh-CN" w:bidi="ar-SA"/>
              </w:rPr>
              <w:t>1、供应商根据招标文件要求和采购需求，对本项目做出的承诺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①</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完善，切实可行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②</w:t>
            </w:r>
            <w:r>
              <w:rPr>
                <w:rFonts w:hint="eastAsia" w:ascii="宋体" w:hAnsi="宋体" w:cs="宋体"/>
                <w:color w:val="auto"/>
                <w:kern w:val="2"/>
                <w:sz w:val="24"/>
                <w:szCs w:val="24"/>
                <w:highlight w:val="none"/>
                <w:lang w:val="en-US" w:eastAsia="zh-CN" w:bidi="ar-SA"/>
              </w:rPr>
              <w:t>承诺</w:t>
            </w:r>
            <w:r>
              <w:rPr>
                <w:rFonts w:hint="eastAsia" w:ascii="宋体" w:hAnsi="宋体" w:eastAsia="宋体" w:cs="宋体"/>
                <w:color w:val="auto"/>
                <w:kern w:val="2"/>
                <w:sz w:val="24"/>
                <w:szCs w:val="24"/>
                <w:highlight w:val="none"/>
                <w:lang w:val="en-US" w:eastAsia="zh-CN" w:bidi="ar-SA"/>
              </w:rPr>
              <w:t>一般，基本可行</w:t>
            </w:r>
            <w:r>
              <w:rPr>
                <w:rFonts w:hint="eastAsia" w:ascii="宋体" w:hAnsi="宋体" w:eastAsia="宋体" w:cs="宋体"/>
                <w:color w:val="auto"/>
                <w:sz w:val="24"/>
                <w:szCs w:val="24"/>
                <w:lang w:val="en-US" w:eastAsia="zh-CN"/>
              </w:rPr>
              <w:t>计[</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无方案内容</w:t>
            </w:r>
            <w:r>
              <w:rPr>
                <w:rFonts w:hint="eastAsia" w:ascii="宋体" w:hAnsi="宋体" w:eastAsia="宋体" w:cs="宋体"/>
                <w:color w:val="auto"/>
                <w:sz w:val="24"/>
                <w:szCs w:val="24"/>
                <w:lang w:val="en-US" w:eastAsia="zh-CN"/>
              </w:rPr>
              <w:t>计</w:t>
            </w:r>
            <w:r>
              <w:rPr>
                <w:rFonts w:hint="eastAsia" w:ascii="宋体" w:hAnsi="宋体" w:eastAsia="宋体" w:cs="宋体"/>
                <w:color w:val="auto"/>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21" w:type="dxa"/>
            <w:vMerge w:val="continue"/>
            <w:noWrap w:val="0"/>
            <w:vAlign w:val="center"/>
          </w:tcPr>
          <w:p>
            <w:pPr>
              <w:spacing w:line="240" w:lineRule="auto"/>
              <w:ind w:firstLine="28"/>
              <w:jc w:val="center"/>
              <w:rPr>
                <w:rFonts w:hint="eastAsia" w:ascii="宋体" w:hAnsi="宋体" w:cs="宋体"/>
                <w:sz w:val="24"/>
                <w:szCs w:val="24"/>
                <w:highlight w:val="none"/>
                <w:lang w:eastAsia="zh-CN"/>
              </w:rPr>
            </w:pPr>
          </w:p>
        </w:tc>
        <w:tc>
          <w:tcPr>
            <w:tcW w:w="1336"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突发事件应急保障措施及迎检方案（5分）</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2、供应商针对突发事件应急保障措施及迎检方案(包含恶劣天气影响、自然灾害、重大节假日等特殊情况制定应急处置方案等)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①方案完善，切实可行计[3-5]分；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②方案一般，基本可行计[0-3）分；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无方案内容计0分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457" w:type="dxa"/>
            <w:gridSpan w:val="2"/>
            <w:noWrap w:val="0"/>
            <w:vAlign w:val="center"/>
          </w:tcPr>
          <w:p>
            <w:pPr>
              <w:autoSpaceDE w:val="0"/>
              <w:autoSpaceDN w:val="0"/>
              <w:adjustRightInd w:val="0"/>
              <w:spacing w:line="24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合理化建议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232"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针对本项目提出有利于采购人的合理化建议。</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eastAsia="宋体" w:cs="宋体"/>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①</w:t>
            </w:r>
            <w:r>
              <w:rPr>
                <w:rFonts w:hint="eastAsia" w:ascii="宋体" w:hAnsi="宋体" w:eastAsia="宋体" w:cs="宋体"/>
                <w:kern w:val="2"/>
                <w:sz w:val="24"/>
                <w:szCs w:val="24"/>
                <w:highlight w:val="none"/>
                <w:lang w:val="en-US" w:eastAsia="zh-CN" w:bidi="ar-SA"/>
              </w:rPr>
              <w:t>方案完善，切实可行</w:t>
            </w:r>
            <w:r>
              <w:rPr>
                <w:rFonts w:hint="eastAsia" w:ascii="宋体" w:hAnsi="宋体" w:eastAsia="宋体" w:cs="宋体"/>
                <w:sz w:val="24"/>
                <w:szCs w:val="24"/>
                <w:lang w:val="en-US" w:eastAsia="zh-CN"/>
              </w:rPr>
              <w:t>计[</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②</w:t>
            </w:r>
            <w:r>
              <w:rPr>
                <w:rFonts w:hint="eastAsia" w:ascii="宋体" w:hAnsi="宋体" w:eastAsia="宋体" w:cs="宋体"/>
                <w:kern w:val="2"/>
                <w:sz w:val="24"/>
                <w:szCs w:val="24"/>
                <w:highlight w:val="none"/>
                <w:lang w:val="en-US" w:eastAsia="zh-CN" w:bidi="ar-SA"/>
              </w:rPr>
              <w:t>方案一般，基本可行</w:t>
            </w:r>
            <w:r>
              <w:rPr>
                <w:rFonts w:hint="eastAsia" w:ascii="宋体" w:hAnsi="宋体" w:eastAsia="宋体" w:cs="宋体"/>
                <w:sz w:val="24"/>
                <w:szCs w:val="24"/>
                <w:lang w:val="en-US" w:eastAsia="zh-CN"/>
              </w:rPr>
              <w:t>计[</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kern w:val="2"/>
                <w:sz w:val="24"/>
                <w:szCs w:val="24"/>
                <w:highlight w:val="none"/>
                <w:lang w:val="en-US" w:eastAsia="zh-CN" w:bidi="ar-SA"/>
              </w:rPr>
              <w:t>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kern w:val="2"/>
                <w:sz w:val="24"/>
                <w:szCs w:val="24"/>
                <w:highlight w:val="none"/>
                <w:lang w:val="en-US" w:eastAsia="zh-CN" w:bidi="ar-SA"/>
              </w:rPr>
              <w:t>无方案内容</w:t>
            </w:r>
            <w:r>
              <w:rPr>
                <w:rFonts w:hint="eastAsia" w:ascii="宋体" w:hAnsi="宋体" w:eastAsia="宋体" w:cs="宋体"/>
                <w:sz w:val="24"/>
                <w:szCs w:val="24"/>
                <w:lang w:val="en-US" w:eastAsia="zh-CN"/>
              </w:rPr>
              <w:t>计</w:t>
            </w:r>
            <w:r>
              <w:rPr>
                <w:rFonts w:hint="eastAsia" w:ascii="宋体" w:hAnsi="宋体" w:eastAsia="宋体" w:cs="宋体"/>
                <w:kern w:val="2"/>
                <w:sz w:val="24"/>
                <w:szCs w:val="24"/>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7" w:type="dxa"/>
            <w:gridSpan w:val="2"/>
            <w:noWrap w:val="0"/>
            <w:vAlign w:val="center"/>
          </w:tcPr>
          <w:p>
            <w:pPr>
              <w:autoSpaceDE w:val="0"/>
              <w:autoSpaceDN w:val="0"/>
              <w:adjustRightInd w:val="0"/>
              <w:spacing w:line="24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业绩</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6232" w:type="dxa"/>
            <w:noWrap w:val="0"/>
            <w:vAlign w:val="center"/>
          </w:tcPr>
          <w:p>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供应商近年类似项目业绩（以合同或中标通知书形式提供,合同签订时间或中标(成交)通知书发放时间在20</w:t>
            </w:r>
            <w:r>
              <w:rPr>
                <w:rFonts w:hint="eastAsia" w:ascii="宋体" w:hAnsi="宋体" w:cs="宋体"/>
                <w:color w:val="000000"/>
                <w:kern w:val="2"/>
                <w:sz w:val="24"/>
                <w:szCs w:val="24"/>
                <w:highlight w:val="none"/>
                <w:lang w:val="en-US" w:eastAsia="zh-CN" w:bidi="ar-SA"/>
              </w:rPr>
              <w:t>21</w:t>
            </w:r>
            <w:r>
              <w:rPr>
                <w:rFonts w:hint="eastAsia" w:ascii="宋体" w:hAnsi="宋体" w:eastAsia="宋体" w:cs="宋体"/>
                <w:color w:val="000000"/>
                <w:kern w:val="2"/>
                <w:sz w:val="24"/>
                <w:szCs w:val="24"/>
                <w:highlight w:val="none"/>
                <w:lang w:val="en-US" w:eastAsia="zh-CN" w:bidi="ar-SA"/>
              </w:rPr>
              <w:t>年</w:t>
            </w:r>
            <w:r>
              <w:rPr>
                <w:rFonts w:hint="eastAsia" w:ascii="宋体" w:hAnsi="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en-US" w:eastAsia="zh-CN" w:bidi="ar-SA"/>
              </w:rPr>
              <w:t>月1日以后），每具有一个类似项目业绩得1分，最高得5分。（提供合同或中标通知书加盖单位公章的复印件）</w:t>
            </w:r>
          </w:p>
        </w:tc>
      </w:tr>
    </w:tbl>
    <w:p>
      <w:pPr>
        <w:pStyle w:val="17"/>
        <w:rPr>
          <w:rFonts w:hint="eastAsia"/>
        </w:rPr>
      </w:pPr>
    </w:p>
    <w:p>
      <w:pPr>
        <w:pageBreakBefore w:val="0"/>
        <w:kinsoku/>
        <w:overflowPunct/>
        <w:topLinePunct w:val="0"/>
        <w:bidi w:val="0"/>
        <w:spacing w:line="360" w:lineRule="auto"/>
        <w:rPr>
          <w:rFonts w:hint="eastAsia" w:ascii="宋体" w:hAnsi="宋体" w:cs="宋体"/>
          <w:sz w:val="24"/>
          <w:szCs w:val="24"/>
        </w:rPr>
      </w:pPr>
      <w:r>
        <w:rPr>
          <w:rFonts w:hint="eastAsia" w:ascii="宋体" w:hAnsi="宋体" w:cs="宋体"/>
          <w:sz w:val="24"/>
          <w:szCs w:val="24"/>
        </w:rPr>
        <w:t>注：1）评委打分超过得分界限或未按本方法赋分时，该评委的打分视为无效分。</w:t>
      </w:r>
    </w:p>
    <w:p>
      <w:pPr>
        <w:pageBreakBefore w:val="0"/>
        <w:numPr>
          <w:ilvl w:val="0"/>
          <w:numId w:val="6"/>
        </w:numPr>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 xml:space="preserve">各种计算数字均保留两位小数，第三位“四舍五入”。 </w:t>
      </w:r>
    </w:p>
    <w:p>
      <w:pPr>
        <w:pageBreakBefore w:val="0"/>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3）特殊情况处理</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a、若出现综合得分并列时，投标报价得分高者为第一中标候选人，若投标报价的得分相同，技术</w:t>
      </w:r>
      <w:r>
        <w:rPr>
          <w:rFonts w:hint="eastAsia" w:ascii="宋体" w:hAnsi="宋体" w:cs="宋体"/>
          <w:sz w:val="24"/>
          <w:szCs w:val="24"/>
          <w:lang w:eastAsia="zh-CN"/>
        </w:rPr>
        <w:t>部分评审</w:t>
      </w:r>
      <w:r>
        <w:rPr>
          <w:rFonts w:hint="eastAsia" w:ascii="宋体" w:hAnsi="宋体" w:cs="宋体"/>
          <w:sz w:val="24"/>
          <w:szCs w:val="24"/>
        </w:rPr>
        <w:t>得分高者为第一中标候选人，若上述两项得分相同，则由全体评标委员会成员无记名投票，得票高者为第一中标候选人。</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b、当</w:t>
      </w:r>
      <w:r>
        <w:rPr>
          <w:rFonts w:hint="eastAsia" w:ascii="宋体" w:hAnsi="宋体" w:cs="宋体"/>
          <w:sz w:val="24"/>
          <w:szCs w:val="24"/>
          <w:lang w:eastAsia="zh-CN"/>
        </w:rPr>
        <w:t>供应商</w:t>
      </w:r>
      <w:r>
        <w:rPr>
          <w:rFonts w:hint="eastAsia" w:ascii="宋体" w:hAnsi="宋体" w:cs="宋体"/>
          <w:sz w:val="24"/>
          <w:szCs w:val="24"/>
        </w:rPr>
        <w:t>某评分项出现未报、漏报或零报价时，该分项得零分。</w:t>
      </w:r>
    </w:p>
    <w:p>
      <w:pPr>
        <w:pageBreakBefore w:val="0"/>
        <w:kinsoku/>
        <w:overflowPunct/>
        <w:topLinePunct w:val="0"/>
        <w:bidi w:val="0"/>
        <w:spacing w:line="360" w:lineRule="auto"/>
        <w:ind w:firstLine="480" w:firstLineChars="200"/>
        <w:rPr>
          <w:rFonts w:hint="eastAsia"/>
        </w:rPr>
      </w:pPr>
      <w:r>
        <w:rPr>
          <w:rFonts w:hint="eastAsia" w:ascii="宋体" w:hAnsi="宋体" w:cs="宋体"/>
          <w:sz w:val="24"/>
          <w:szCs w:val="24"/>
        </w:rPr>
        <w:t>c、评标过程中，若出现本评标方法以外的特殊情况时，将暂停评标，待评委商榷后再进行复会。</w:t>
      </w:r>
    </w:p>
    <w:p>
      <w:pPr>
        <w:spacing w:line="360" w:lineRule="auto"/>
        <w:rPr>
          <w:rFonts w:ascii="宋体" w:hAnsi="宋体" w:cs="宋体"/>
          <w:b/>
          <w:sz w:val="24"/>
          <w:szCs w:val="24"/>
        </w:rPr>
      </w:pPr>
      <w:bookmarkStart w:id="23" w:name="_Toc10642_WPSOffice_Level2"/>
      <w:bookmarkStart w:id="24" w:name="_Toc524712817"/>
      <w:r>
        <w:rPr>
          <w:rFonts w:hint="eastAsia" w:ascii="宋体" w:hAnsi="宋体" w:cs="宋体"/>
          <w:b/>
          <w:sz w:val="24"/>
          <w:szCs w:val="24"/>
        </w:rPr>
        <w:t>五、定标</w:t>
      </w:r>
      <w:bookmarkEnd w:id="23"/>
    </w:p>
    <w:p>
      <w:pPr>
        <w:spacing w:line="360" w:lineRule="auto"/>
        <w:ind w:firstLine="480" w:firstLineChars="200"/>
        <w:rPr>
          <w:rFonts w:ascii="宋体" w:hAnsi="宋体" w:cs="宋体"/>
          <w:sz w:val="24"/>
          <w:szCs w:val="24"/>
        </w:rPr>
      </w:pPr>
      <w:r>
        <w:rPr>
          <w:rFonts w:hint="eastAsia" w:ascii="宋体" w:hAnsi="宋体" w:cs="宋体"/>
          <w:sz w:val="24"/>
          <w:szCs w:val="24"/>
        </w:rPr>
        <w:t>（1）招标人在收到评标结果报告后5个工作日内，按照评标结果报告中推荐的中标候选人顺序确定中标投标人，同时书面复函招标代理机构；</w:t>
      </w:r>
    </w:p>
    <w:p>
      <w:pPr>
        <w:spacing w:line="360" w:lineRule="auto"/>
        <w:ind w:firstLine="480" w:firstLineChars="200"/>
        <w:jc w:val="left"/>
        <w:rPr>
          <w:rFonts w:ascii="宋体" w:hAnsi="宋体" w:cs="宋体"/>
          <w:b/>
          <w:sz w:val="36"/>
          <w:szCs w:val="36"/>
        </w:rPr>
      </w:pPr>
      <w:r>
        <w:rPr>
          <w:rFonts w:hint="eastAsia" w:ascii="宋体" w:hAnsi="宋体" w:cs="宋体"/>
          <w:sz w:val="24"/>
          <w:szCs w:val="24"/>
        </w:rPr>
        <w:t>（2）招标代理机构收到招标人“</w:t>
      </w:r>
      <w:r>
        <w:rPr>
          <w:rFonts w:hint="eastAsia" w:ascii="宋体" w:hAnsi="宋体" w:cs="宋体"/>
          <w:sz w:val="24"/>
          <w:szCs w:val="24"/>
          <w:lang w:eastAsia="zh-CN"/>
        </w:rPr>
        <w:t>中标</w:t>
      </w:r>
      <w:r>
        <w:rPr>
          <w:rFonts w:hint="eastAsia" w:ascii="宋体" w:hAnsi="宋体" w:cs="宋体"/>
          <w:sz w:val="24"/>
          <w:szCs w:val="24"/>
        </w:rPr>
        <w:t>复函”后2个工作日内，在财政部门指定的政府采购信息媒体上发布公告，同时向中标人发出《中标通知书》。</w:t>
      </w:r>
      <w:bookmarkEnd w:id="24"/>
      <w:bookmarkStart w:id="25" w:name="_Toc4289_WPSOffice_Level1"/>
      <w:bookmarkStart w:id="26" w:name="_Toc25731_WPSOffice_Level1"/>
      <w:bookmarkStart w:id="27" w:name="_Toc25992_WPSOffice_Level1"/>
      <w:bookmarkStart w:id="28" w:name="_Toc3647_WPSOffice_Level1"/>
      <w:bookmarkStart w:id="29" w:name="_Toc351203494"/>
      <w:bookmarkStart w:id="30" w:name="_Toc310_WPSOffice_Level1"/>
    </w:p>
    <w:p>
      <w:pPr>
        <w:rPr>
          <w:rFonts w:hint="eastAsia" w:ascii="宋体" w:hAnsi="宋体" w:cs="宋体"/>
          <w:b/>
          <w:sz w:val="36"/>
          <w:szCs w:val="36"/>
        </w:rPr>
      </w:pPr>
      <w:bookmarkStart w:id="31" w:name="_Toc1430"/>
      <w:r>
        <w:rPr>
          <w:rFonts w:hint="eastAsia" w:ascii="宋体" w:hAnsi="宋体" w:cs="宋体"/>
          <w:b/>
          <w:sz w:val="36"/>
          <w:szCs w:val="36"/>
        </w:rPr>
        <w:br w:type="page"/>
      </w:r>
    </w:p>
    <w:p>
      <w:pPr>
        <w:jc w:val="center"/>
        <w:outlineLvl w:val="0"/>
        <w:rPr>
          <w:rFonts w:ascii="宋体" w:hAnsi="宋体" w:cs="宋体"/>
          <w:b/>
          <w:sz w:val="44"/>
          <w:szCs w:val="44"/>
        </w:rPr>
      </w:pPr>
      <w:r>
        <w:rPr>
          <w:rFonts w:hint="eastAsia" w:ascii="宋体" w:hAnsi="宋体" w:cs="宋体"/>
          <w:b/>
          <w:sz w:val="36"/>
          <w:szCs w:val="36"/>
        </w:rPr>
        <w:t xml:space="preserve">第四章 </w:t>
      </w:r>
      <w:bookmarkEnd w:id="25"/>
      <w:r>
        <w:rPr>
          <w:rFonts w:hint="eastAsia" w:ascii="宋体" w:hAnsi="宋体" w:cs="宋体"/>
          <w:b/>
          <w:sz w:val="36"/>
          <w:szCs w:val="36"/>
        </w:rPr>
        <w:t>合同主要条款</w:t>
      </w:r>
      <w:bookmarkEnd w:id="31"/>
    </w:p>
    <w:bookmarkEnd w:id="13"/>
    <w:bookmarkEnd w:id="26"/>
    <w:bookmarkEnd w:id="27"/>
    <w:bookmarkEnd w:id="28"/>
    <w:bookmarkEnd w:id="29"/>
    <w:bookmarkEnd w:id="30"/>
    <w:p>
      <w:pPr>
        <w:jc w:val="center"/>
        <w:outlineLvl w:val="0"/>
        <w:rPr>
          <w:rFonts w:eastAsia="华文中宋"/>
          <w:b/>
          <w:sz w:val="72"/>
          <w:szCs w:val="52"/>
        </w:rPr>
      </w:pPr>
      <w:bookmarkStart w:id="32" w:name="_Toc29085_WPSOffice_Level1"/>
    </w:p>
    <w:p>
      <w:pPr>
        <w:jc w:val="center"/>
        <w:outlineLvl w:val="0"/>
        <w:rPr>
          <w:rFonts w:eastAsia="华文中宋"/>
          <w:b/>
          <w:sz w:val="72"/>
          <w:szCs w:val="52"/>
        </w:rPr>
      </w:pPr>
    </w:p>
    <w:p>
      <w:pPr>
        <w:jc w:val="center"/>
        <w:outlineLvl w:val="0"/>
        <w:rPr>
          <w:rFonts w:eastAsia="华文中宋"/>
          <w:b/>
          <w:sz w:val="52"/>
          <w:szCs w:val="52"/>
        </w:rPr>
      </w:pPr>
      <w:bookmarkStart w:id="33" w:name="_Toc10330"/>
      <w:r>
        <w:rPr>
          <w:rFonts w:eastAsia="华文中宋"/>
          <w:b/>
          <w:sz w:val="52"/>
          <w:szCs w:val="52"/>
        </w:rPr>
        <w:t>（示范文本）</w:t>
      </w:r>
      <w:bookmarkEnd w:id="32"/>
      <w:bookmarkEnd w:id="33"/>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r>
        <w:rPr>
          <w:b/>
          <w:sz w:val="28"/>
          <w:szCs w:val="28"/>
        </w:rPr>
        <w:br w:type="page"/>
      </w:r>
    </w:p>
    <w:p>
      <w:pPr>
        <w:spacing w:line="240" w:lineRule="auto"/>
        <w:jc w:val="center"/>
        <w:rPr>
          <w:rFonts w:hint="eastAsia"/>
          <w:sz w:val="18"/>
          <w:szCs w:val="21"/>
        </w:rPr>
      </w:pPr>
      <w:r>
        <w:rPr>
          <w:rFonts w:hint="eastAsia" w:ascii="方正大标宋简体" w:hAnsi="方正大标宋简体" w:eastAsia="方正大标宋简体" w:cs="方正大标宋简体"/>
          <w:color w:val="000000"/>
          <w:sz w:val="36"/>
          <w:szCs w:val="36"/>
        </w:rPr>
        <w:t>周至县道路清扫保洁垃圾清运公厕管理市场化运作服务合同</w:t>
      </w:r>
    </w:p>
    <w:p>
      <w:pPr>
        <w:spacing w:line="24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合同包3</w:t>
      </w:r>
      <w:r>
        <w:rPr>
          <w:rFonts w:hint="eastAsia" w:ascii="仿宋_GB2312" w:hAnsi="仿宋_GB2312" w:eastAsia="仿宋_GB2312" w:cs="仿宋_GB2312"/>
          <w:color w:val="000000"/>
          <w:sz w:val="24"/>
          <w:szCs w:val="24"/>
          <w:lang w:eastAsia="zh-CN"/>
        </w:rPr>
        <w:t>）</w:t>
      </w:r>
    </w:p>
    <w:p>
      <w:pPr>
        <w:pStyle w:val="24"/>
        <w:spacing w:line="240" w:lineRule="auto"/>
        <w:rPr>
          <w:rFonts w:hint="eastAsia"/>
          <w:sz w:val="18"/>
          <w:szCs w:val="21"/>
        </w:rPr>
      </w:pP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outlineLvl w:val="9"/>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甲方（招标人）：</w:t>
      </w:r>
      <w:r>
        <w:rPr>
          <w:rFonts w:hint="eastAsia" w:ascii="仿宋_GB2312" w:hAnsi="仿宋_GB2312" w:eastAsia="仿宋_GB2312" w:cs="仿宋_GB2312"/>
          <w:b/>
          <w:bCs/>
          <w:color w:val="000000"/>
          <w:sz w:val="24"/>
          <w:szCs w:val="24"/>
          <w:lang w:val="en-US" w:eastAsia="zh-CN"/>
        </w:rPr>
        <w:t xml:space="preserve">周至县城市管理和综合执法局 </w:t>
      </w:r>
    </w:p>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outlineLvl w:val="9"/>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乙方（中标人）</w:t>
      </w:r>
      <w:r>
        <w:rPr>
          <w:rFonts w:hint="eastAsia" w:ascii="仿宋_GB2312" w:hAnsi="仿宋_GB2312" w:eastAsia="仿宋_GB2312" w:cs="仿宋_GB2312"/>
          <w:b/>
          <w:bCs/>
          <w:color w:val="000000"/>
          <w:sz w:val="24"/>
          <w:szCs w:val="24"/>
          <w:lang w:eastAsia="zh-CN"/>
        </w:rPr>
        <w:t>：</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签定地点</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val="en-US" w:eastAsia="zh-CN"/>
        </w:rPr>
        <w:t>周至县城市管理和综合执法局</w:t>
      </w:r>
      <w:r>
        <w:rPr>
          <w:rFonts w:hint="eastAsia" w:ascii="仿宋_GB2312" w:hAnsi="仿宋_GB2312" w:eastAsia="仿宋_GB2312" w:cs="仿宋_GB2312"/>
          <w:b/>
          <w:bCs/>
          <w:color w:val="000000"/>
          <w:sz w:val="24"/>
          <w:szCs w:val="24"/>
        </w:rPr>
        <w:t xml:space="preserve"> </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outlineLvl w:val="9"/>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签定日期：</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lang w:val="en-US" w:eastAsia="zh-CN"/>
        </w:rPr>
        <w:t>年</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lang w:val="en-US" w:eastAsia="zh-CN"/>
        </w:rPr>
        <w:t>月</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lang w:val="en-US" w:eastAsia="zh-CN"/>
        </w:rPr>
        <w:t xml:space="preserve">日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根据招标采购的招标结果，乙方为本项目中标人，现依据《中华人民共和国合同法》及依照招标文件、投标文件，结合项目实际，经双方协商，达成如下协议：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outlineLvl w:val="9"/>
        <w:rPr>
          <w:rFonts w:hint="eastAsia" w:ascii="黑体" w:hAnsi="黑体" w:eastAsia="黑体" w:cs="黑体"/>
          <w:bCs/>
          <w:kern w:val="0"/>
          <w:sz w:val="24"/>
          <w:szCs w:val="24"/>
        </w:rPr>
      </w:pPr>
      <w:r>
        <w:rPr>
          <w:rFonts w:hint="eastAsia" w:ascii="黑体" w:hAnsi="黑体" w:eastAsia="黑体" w:cs="黑体"/>
          <w:bCs/>
          <w:kern w:val="0"/>
          <w:sz w:val="24"/>
          <w:szCs w:val="24"/>
        </w:rPr>
        <w:t>一、承包范围及内容</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共</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条道路，总面积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平方米的道路清扫保洁（有建筑物的道路以两侧建筑物外立面之间为保洁范围，无建筑的道路，以两侧以人行道各延伸10米做为保洁责任范围，背街小巷向内延伸</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米为保洁范围，延伸部分不计入清扫面积）；</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座</w:t>
      </w:r>
      <w:r>
        <w:rPr>
          <w:rFonts w:hint="eastAsia" w:ascii="仿宋_GB2312" w:hAnsi="仿宋_GB2312" w:eastAsia="仿宋_GB2312" w:cs="仿宋_GB2312"/>
          <w:color w:val="000000"/>
          <w:sz w:val="24"/>
          <w:szCs w:val="24"/>
        </w:rPr>
        <w:t>公厕的管理；</w:t>
      </w:r>
      <w:r>
        <w:rPr>
          <w:rFonts w:hint="eastAsia" w:ascii="仿宋_GB2312" w:hAnsi="仿宋_GB2312" w:eastAsia="仿宋_GB2312" w:cs="仿宋_GB2312"/>
          <w:color w:val="000000"/>
          <w:sz w:val="24"/>
          <w:szCs w:val="24"/>
          <w:lang w:val="en-US" w:eastAsia="zh-CN"/>
        </w:rPr>
        <w:t>甲方指定的绿化带、公园广场的清扫保洁工作</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黑体"/>
          <w:color w:val="000000"/>
          <w:sz w:val="24"/>
          <w:szCs w:val="24"/>
        </w:rPr>
      </w:pPr>
      <w:bookmarkStart w:id="34" w:name="_Toc289499920"/>
      <w:r>
        <w:rPr>
          <w:rFonts w:hint="eastAsia" w:ascii="黑体" w:hAnsi="黑体" w:eastAsia="黑体" w:cs="黑体"/>
          <w:color w:val="000000"/>
          <w:sz w:val="24"/>
          <w:szCs w:val="24"/>
        </w:rPr>
        <w:t>二、</w:t>
      </w:r>
      <w:bookmarkEnd w:id="34"/>
      <w:r>
        <w:rPr>
          <w:rFonts w:hint="eastAsia" w:ascii="黑体" w:hAnsi="黑体" w:eastAsia="黑体" w:cs="黑体"/>
          <w:color w:val="000000"/>
          <w:sz w:val="24"/>
          <w:szCs w:val="24"/>
        </w:rPr>
        <w:t>作业质量要求</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按照相关规范及招标文件规定（详见附件）。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黑体" w:hAnsi="黑体" w:eastAsia="黑体" w:cs="黑体"/>
          <w:color w:val="000000"/>
          <w:sz w:val="24"/>
          <w:szCs w:val="24"/>
        </w:rPr>
      </w:pPr>
      <w:bookmarkStart w:id="35" w:name="_Toc289499921"/>
      <w:r>
        <w:rPr>
          <w:rFonts w:hint="eastAsia" w:ascii="黑体" w:hAnsi="黑体" w:eastAsia="黑体" w:cs="黑体"/>
          <w:color w:val="000000"/>
          <w:sz w:val="24"/>
          <w:szCs w:val="24"/>
        </w:rPr>
        <w:t>三、管理要求</w:t>
      </w:r>
      <w:bookmarkEnd w:id="35"/>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1.乙方按照国家有关劳动定额配备作业人员及行政管理、质量检查人员，进场人员必须服从甲方的日常检查、监督和指导。</w:t>
      </w:r>
    </w:p>
    <w:p>
      <w:pPr>
        <w:spacing w:line="240" w:lineRule="auto"/>
        <w:ind w:firstLine="480" w:firstLineChars="200"/>
        <w:rPr>
          <w:rFonts w:hint="eastAsia" w:ascii="黑体" w:hAnsi="黑体" w:eastAsia="黑体" w:cs="黑体"/>
          <w:color w:val="000000"/>
          <w:sz w:val="24"/>
          <w:szCs w:val="24"/>
        </w:rPr>
      </w:pPr>
      <w:bookmarkStart w:id="36" w:name="_Toc289499922"/>
      <w:r>
        <w:rPr>
          <w:rFonts w:hint="eastAsia" w:ascii="黑体" w:hAnsi="黑体" w:eastAsia="黑体" w:cs="黑体"/>
          <w:color w:val="000000"/>
          <w:sz w:val="24"/>
          <w:szCs w:val="24"/>
        </w:rPr>
        <w:t>四、承包期限</w:t>
      </w:r>
      <w:bookmarkEnd w:id="36"/>
    </w:p>
    <w:p>
      <w:pPr>
        <w:spacing w:line="240" w:lineRule="auto"/>
        <w:ind w:firstLine="720" w:firstLineChars="300"/>
        <w:jc w:val="both"/>
        <w:rPr>
          <w:rFonts w:hint="eastAsia" w:ascii="仿宋_GB2312" w:hAnsi="仿宋_GB2312" w:eastAsia="仿宋_GB2312" w:cs="仿宋_GB2312"/>
          <w:color w:val="000000"/>
          <w:sz w:val="24"/>
          <w:szCs w:val="24"/>
        </w:rPr>
      </w:pPr>
      <w:bookmarkStart w:id="37" w:name="_Toc289499923"/>
      <w:r>
        <w:rPr>
          <w:rFonts w:hint="eastAsia" w:ascii="仿宋_GB2312" w:hAnsi="仿宋_GB2312" w:eastAsia="仿宋_GB2312" w:cs="仿宋_GB2312"/>
          <w:color w:val="000000"/>
          <w:sz w:val="24"/>
          <w:szCs w:val="24"/>
        </w:rPr>
        <w:t>服务期限为</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即</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日至</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日。</w:t>
      </w:r>
      <w:bookmarkEnd w:id="37"/>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五、质量检查与奖惩</w:t>
      </w:r>
    </w:p>
    <w:p>
      <w:pPr>
        <w:spacing w:line="240" w:lineRule="auto"/>
        <w:ind w:firstLine="480" w:firstLineChars="20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1.甲方或其委托的机构参照《西安市“以克论净 深度保洁”作业标准》的考核标准，每周组织一次以上检查并记录(或拍照)检查情况，作为每月考核参考依据;对乙方的作业质量进行考核并评分（满分为100分），评分结果进行如下处理:乙方在每月的质量检查考核中得分在90分(含90分)以上全额划拨经费，得分在90分以下，从90分起算，每扣1分即扣中标人当月</w:t>
      </w:r>
      <w:r>
        <w:rPr>
          <w:rFonts w:hint="eastAsia" w:ascii="仿宋_GB2312" w:hAnsi="仿宋_GB2312" w:eastAsia="仿宋_GB2312" w:cs="仿宋_GB2312"/>
          <w:color w:val="000000"/>
          <w:sz w:val="24"/>
          <w:szCs w:val="24"/>
          <w:lang w:eastAsia="zh-CN"/>
        </w:rPr>
        <w:t>清扫保洁</w:t>
      </w:r>
      <w:r>
        <w:rPr>
          <w:rFonts w:hint="eastAsia" w:ascii="仿宋_GB2312" w:hAnsi="仿宋_GB2312" w:eastAsia="仿宋_GB2312" w:cs="仿宋_GB2312"/>
          <w:color w:val="000000"/>
          <w:sz w:val="24"/>
          <w:szCs w:val="24"/>
        </w:rPr>
        <w:t>承包经费的1%，以此类推。连续三个月达不到90分，除扣减经费外、甲方有权解除承包合同。</w:t>
      </w:r>
      <w:r>
        <w:rPr>
          <w:rFonts w:hint="eastAsia" w:ascii="仿宋_GB2312" w:hAnsi="仿宋_GB2312" w:eastAsia="仿宋_GB2312" w:cs="仿宋_GB2312"/>
          <w:color w:val="000000"/>
          <w:sz w:val="24"/>
          <w:szCs w:val="24"/>
          <w:lang w:val="en-US" w:eastAsia="zh-CN"/>
        </w:rPr>
        <w:t>年平均分数低于90分的，不再续签合同。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乙方在全国、省、市的重要检查或重大突击性任务中，发现属乙方责任问题，经查属实，且不及时配合整改的，致使承包区域受到上级通报批评，甲方有权解除承包合同。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.乙方在公厕管理每月的质量检查考核中得分在90分(含90分)以上全额划拨经费，得分在90分以下，从90分起算，每扣1分即扣中标人当月承包</w:t>
      </w:r>
      <w:r>
        <w:rPr>
          <w:rFonts w:hint="eastAsia" w:ascii="仿宋_GB2312" w:hAnsi="仿宋_GB2312" w:eastAsia="仿宋_GB2312" w:cs="仿宋_GB2312"/>
          <w:color w:val="000000"/>
          <w:sz w:val="24"/>
          <w:szCs w:val="24"/>
          <w:lang w:eastAsia="zh-CN"/>
        </w:rPr>
        <w:t>公厕管护</w:t>
      </w:r>
      <w:r>
        <w:rPr>
          <w:rFonts w:hint="eastAsia" w:ascii="仿宋_GB2312" w:hAnsi="仿宋_GB2312" w:eastAsia="仿宋_GB2312" w:cs="仿宋_GB2312"/>
          <w:color w:val="000000"/>
          <w:sz w:val="24"/>
          <w:szCs w:val="24"/>
        </w:rPr>
        <w:t>经费的1%，以此类推。</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.乙方在垃圾清运每月的质量检查考核中得分在90分(含90分)以上全额划拨经费，得分在90分以下，从90分起算，每扣1分即扣中标人当月承包经费的1%，以此类推。</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5.对于</w:t>
      </w:r>
      <w:r>
        <w:rPr>
          <w:rFonts w:hint="eastAsia" w:ascii="仿宋_GB2312" w:hAnsi="仿宋_GB2312" w:eastAsia="仿宋_GB2312" w:cs="仿宋_GB2312"/>
          <w:color w:val="000000"/>
          <w:sz w:val="24"/>
          <w:szCs w:val="24"/>
          <w:lang w:val="en-US" w:eastAsia="zh-CN"/>
        </w:rPr>
        <w:t>乙方原因，保洁人员上访、在媒体投诉</w:t>
      </w:r>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lang w:val="en-US" w:eastAsia="zh-CN"/>
        </w:rPr>
        <w:t>对我局名誉造成损失的每次扣3000元。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6.乙方必须按要求保证道路清洁质量，每天自行组织巡查，发现卫生死角及时整改。如相同地点被甲方发现二次(含二次)以上未及时整改的，甲方有权扣减乙方当月承包经费每次</w:t>
      </w:r>
      <w:r>
        <w:rPr>
          <w:rFonts w:hint="eastAsia" w:ascii="仿宋_GB2312" w:hAnsi="仿宋_GB2312" w:eastAsia="仿宋_GB2312" w:cs="仿宋_GB2312"/>
          <w:color w:val="000000"/>
          <w:sz w:val="24"/>
          <w:szCs w:val="24"/>
          <w:lang w:val="en-US" w:eastAsia="zh-CN"/>
        </w:rPr>
        <w:t>500</w:t>
      </w:r>
      <w:r>
        <w:rPr>
          <w:rFonts w:hint="eastAsia" w:ascii="仿宋_GB2312" w:hAnsi="仿宋_GB2312" w:eastAsia="仿宋_GB2312" w:cs="仿宋_GB2312"/>
          <w:color w:val="000000"/>
          <w:sz w:val="24"/>
          <w:szCs w:val="24"/>
        </w:rPr>
        <w:t>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7.因乙方原因在全市检查</w:t>
      </w:r>
      <w:r>
        <w:rPr>
          <w:rFonts w:hint="eastAsia" w:ascii="仿宋_GB2312" w:hAnsi="仿宋_GB2312" w:eastAsia="仿宋_GB2312" w:cs="仿宋_GB2312"/>
          <w:color w:val="000000"/>
          <w:sz w:val="24"/>
          <w:szCs w:val="24"/>
          <w:lang w:val="en-US" w:eastAsia="zh-CN"/>
        </w:rPr>
        <w:t>中连续两月，导致</w:t>
      </w:r>
      <w:r>
        <w:rPr>
          <w:rFonts w:hint="eastAsia" w:ascii="仿宋_GB2312" w:hAnsi="仿宋_GB2312" w:eastAsia="仿宋_GB2312" w:cs="仿宋_GB2312"/>
          <w:color w:val="000000"/>
          <w:sz w:val="24"/>
          <w:szCs w:val="24"/>
        </w:rPr>
        <w:t>月排名</w:t>
      </w:r>
      <w:r>
        <w:rPr>
          <w:rFonts w:hint="eastAsia" w:ascii="仿宋_GB2312" w:hAnsi="仿宋_GB2312" w:eastAsia="仿宋_GB2312" w:cs="仿宋_GB2312"/>
          <w:color w:val="000000"/>
          <w:sz w:val="24"/>
          <w:szCs w:val="24"/>
          <w:lang w:val="en-US" w:eastAsia="zh-CN"/>
        </w:rPr>
        <w:t>末位</w:t>
      </w:r>
      <w:r>
        <w:rPr>
          <w:rFonts w:hint="eastAsia" w:ascii="仿宋_GB2312" w:hAnsi="仿宋_GB2312" w:eastAsia="仿宋_GB2312" w:cs="仿宋_GB2312"/>
          <w:color w:val="000000"/>
          <w:sz w:val="24"/>
          <w:szCs w:val="24"/>
        </w:rPr>
        <w:t>的，每次罚乙方</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万元，累计3次甲方有权终止合同，因乙方</w:t>
      </w:r>
      <w:r>
        <w:rPr>
          <w:rFonts w:hint="eastAsia" w:ascii="仿宋_GB2312" w:hAnsi="仿宋_GB2312" w:eastAsia="仿宋_GB2312" w:cs="仿宋_GB2312"/>
          <w:color w:val="000000"/>
          <w:sz w:val="24"/>
          <w:szCs w:val="24"/>
          <w:lang w:val="en-US" w:eastAsia="zh-CN"/>
        </w:rPr>
        <w:t>工作表现突出等原因</w:t>
      </w:r>
      <w:r>
        <w:rPr>
          <w:rFonts w:hint="eastAsia" w:ascii="仿宋_GB2312" w:hAnsi="仿宋_GB2312" w:eastAsia="仿宋_GB2312" w:cs="仿宋_GB2312"/>
          <w:color w:val="000000"/>
          <w:sz w:val="24"/>
          <w:szCs w:val="24"/>
        </w:rPr>
        <w:t>使周至县在全市排名</w:t>
      </w:r>
      <w:r>
        <w:rPr>
          <w:rFonts w:hint="eastAsia" w:ascii="仿宋_GB2312" w:hAnsi="仿宋_GB2312" w:eastAsia="仿宋_GB2312" w:cs="仿宋_GB2312"/>
          <w:color w:val="000000"/>
          <w:sz w:val="24"/>
          <w:szCs w:val="24"/>
          <w:lang w:val="en-US" w:eastAsia="zh-CN"/>
        </w:rPr>
        <w:t>进入</w:t>
      </w:r>
      <w:r>
        <w:rPr>
          <w:rFonts w:hint="eastAsia" w:ascii="仿宋_GB2312" w:hAnsi="仿宋_GB2312" w:eastAsia="仿宋_GB2312" w:cs="仿宋_GB2312"/>
          <w:color w:val="000000"/>
          <w:sz w:val="24"/>
          <w:szCs w:val="24"/>
        </w:rPr>
        <w:t>前三位，每次奖励</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万元。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8.乙方在机械化作业中不能按照市上的要求完成机械化作业的，每次扣除服务费</w:t>
      </w:r>
      <w:r>
        <w:rPr>
          <w:rFonts w:hint="eastAsia" w:ascii="仿宋_GB2312" w:hAnsi="仿宋_GB2312" w:eastAsia="仿宋_GB2312" w:cs="仿宋_GB2312"/>
          <w:color w:val="000000"/>
          <w:sz w:val="24"/>
          <w:szCs w:val="24"/>
          <w:lang w:val="en-US" w:eastAsia="zh-CN"/>
        </w:rPr>
        <w:t>3000</w:t>
      </w:r>
      <w:r>
        <w:rPr>
          <w:rFonts w:hint="eastAsia" w:ascii="仿宋_GB2312" w:hAnsi="仿宋_GB2312" w:eastAsia="仿宋_GB2312" w:cs="仿宋_GB2312"/>
          <w:color w:val="000000"/>
          <w:sz w:val="24"/>
          <w:szCs w:val="24"/>
        </w:rPr>
        <w:t>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9.乙方应在合同签订后必须为所有保洁人员进行垃圾分类的相关知识培训，并做好垃圾分类的各项工作，未开展培训或员工垃圾分类知识知晓率低的每次扣除公司300元。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10、乙方应按照项目的实际需要增配环卫车辆，满足项目的垃圾清运、道路的机扫、洒水、冲洗、绿化管护的要求，达不到要求的按照考核标准进行扣分。</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11、乙方必须按照道路清扫保洁面积、绿化保洁标准配备相应的人员，人员配备不足的每差一人，扣除服务费3000元，依次类推。</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12、乙方应保持所有道路清扫保洁机械率在95%以上，未达到标准的每次扣除服务费3000元。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除日常的考核检查外，业务科室或局领导以及市上相关部门临时性检查，每发现一次不按规定的时间、标准进行清扫保洁的每次扣除服务费1000元，不按时进行冲洗的每次扣除服务费500元，不按时出动作业车辆的每次扣除服务费500元。</w:t>
      </w:r>
    </w:p>
    <w:p>
      <w:pPr>
        <w:pStyle w:val="24"/>
        <w:spacing w:line="240" w:lineRule="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乙方在生活垃圾清运过程中必须按照《西安市生活垃圾分类管理办法》中明确的分类进行清运，车辆必须符合市上的相关规定，不按规定清运的，每发现一次扣除500元。在生活垃圾清运过程中必须按照规定对生活垃圾“日产日清”，对于因垃圾清运不及时，导致垃圾落地的每次扣除服务费用500元，因群众投诉到甲方的第一次警告处理，第二次扣除服务费用500元。车容车貌不整洁的每次扣除500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15、乙方必须按甲方的规定，完成走航等系统报警的处理，不按时处理的每次罚款300元。</w:t>
      </w:r>
    </w:p>
    <w:p>
      <w:pPr>
        <w:pStyle w:val="24"/>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16、未按照规定时间、标准实行清扫保洁作业的，每次罚款1000元。</w:t>
      </w:r>
    </w:p>
    <w:p>
      <w:pPr>
        <w:pStyle w:val="24"/>
        <w:spacing w:line="240" w:lineRule="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17、凡被省、市、县媒体或相关单位检查发现通报问题每次扣除3000元。</w:t>
      </w:r>
      <w:r>
        <w:rPr>
          <w:rFonts w:hint="eastAsia" w:ascii="仿宋_GB2312" w:hAnsi="仿宋_GB2312" w:eastAsia="仿宋_GB2312" w:cs="仿宋_GB2312"/>
          <w:color w:val="000000"/>
          <w:sz w:val="24"/>
          <w:szCs w:val="24"/>
        </w:rPr>
        <w:t>乙方不及时进行整改或整改后，经市、县环境卫生监督管理部门检查仍不符合质量标准要求的每发生一次，甲方有权扣减乙方当月承包经费的</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 ,承包期内累计三次者，甲方有权解除承包合同。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rPr>
        <w:t>乙方应建立健全质量检查档案，所有工作必须留档，以备查验。</w:t>
      </w:r>
    </w:p>
    <w:p>
      <w:pPr>
        <w:pStyle w:val="24"/>
        <w:spacing w:line="240" w:lineRule="auto"/>
        <w:rPr>
          <w:rFonts w:hint="default" w:eastAsia="仿宋_GB2312"/>
          <w:sz w:val="18"/>
          <w:szCs w:val="21"/>
          <w:lang w:val="en-US" w:eastAsia="zh-CN"/>
        </w:rPr>
      </w:pPr>
      <w:r>
        <w:rPr>
          <w:rFonts w:hint="eastAsia" w:ascii="仿宋_GB2312" w:hAnsi="仿宋_GB2312" w:eastAsia="仿宋_GB2312" w:cs="仿宋_GB2312"/>
          <w:color w:val="000000"/>
          <w:sz w:val="24"/>
          <w:szCs w:val="24"/>
          <w:lang w:val="en-US" w:eastAsia="zh-CN"/>
        </w:rPr>
        <w:t>19、乙方应按照西安市城市管理和综合执法局、西安市公安局交通管理局《关于切实加强道路清扫保洁作业安全管理消除交通安全隐患的通知》市城管发[2020]242号文件要求，完善相应的安全防护设施，对设施不到位的按照文件相关要求进行扣款、处罚。</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六、履约保证金</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1.乙方在签订本合同后5日内，向甲方提供中标价</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val="en-US" w:eastAsia="zh-CN"/>
        </w:rPr>
        <w:t>保证金</w:t>
      </w:r>
      <w:r>
        <w:rPr>
          <w:rFonts w:hint="eastAsia" w:ascii="仿宋_GB2312" w:hAnsi="仿宋_GB2312" w:eastAsia="仿宋_GB2312" w:cs="仿宋_GB2312"/>
          <w:color w:val="000000"/>
          <w:sz w:val="24"/>
          <w:szCs w:val="24"/>
        </w:rPr>
        <w:t>。</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2.履约</w:t>
      </w:r>
      <w:r>
        <w:rPr>
          <w:rFonts w:hint="eastAsia" w:ascii="仿宋_GB2312" w:hAnsi="仿宋_GB2312" w:eastAsia="仿宋_GB2312" w:cs="仿宋_GB2312"/>
          <w:color w:val="000000"/>
          <w:sz w:val="24"/>
          <w:szCs w:val="24"/>
          <w:lang w:val="en-US" w:eastAsia="zh-CN"/>
        </w:rPr>
        <w:t>保证金</w:t>
      </w:r>
      <w:r>
        <w:rPr>
          <w:rFonts w:hint="eastAsia" w:ascii="仿宋_GB2312" w:hAnsi="仿宋_GB2312" w:eastAsia="仿宋_GB2312" w:cs="仿宋_GB2312"/>
          <w:color w:val="000000"/>
          <w:sz w:val="24"/>
          <w:szCs w:val="24"/>
        </w:rPr>
        <w:t>用于补偿甲方因乙方不能完成其协议义务而蒙受的损失。凡因乙方责任，使甲方解除本协议的，履约担保单位必须无条件的向周至县城市管理局拨付违约费用。</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七、承包经费、付款方式</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1.中标服务承包费为：年承包费用总金额为</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元，</w:t>
      </w:r>
      <w:r>
        <w:rPr>
          <w:rFonts w:hint="eastAsia" w:ascii="仿宋_GB2312" w:hAnsi="仿宋_GB2312" w:eastAsia="仿宋_GB2312" w:cs="仿宋_GB2312"/>
          <w:color w:val="000000"/>
          <w:sz w:val="24"/>
          <w:szCs w:val="24"/>
        </w:rPr>
        <w:t>每</w:t>
      </w:r>
      <w:r>
        <w:rPr>
          <w:rFonts w:hint="eastAsia" w:ascii="仿宋_GB2312" w:hAnsi="仿宋_GB2312" w:eastAsia="仿宋_GB2312" w:cs="仿宋_GB2312"/>
          <w:color w:val="000000"/>
          <w:sz w:val="24"/>
          <w:szCs w:val="24"/>
          <w:lang w:val="en-US" w:eastAsia="zh-CN"/>
        </w:rPr>
        <w:t>月费用为</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val="en-US" w:eastAsia="zh-CN"/>
        </w:rPr>
        <w:t xml:space="preserve">                           </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费用按照道路清扫保洁一类道</w:t>
      </w:r>
      <w:r>
        <w:rPr>
          <w:rFonts w:hint="eastAsia" w:ascii="仿宋_GB2312" w:hAnsi="仿宋_GB2312" w:eastAsia="仿宋_GB2312" w:cs="仿宋_GB2312"/>
          <w:color w:val="000000"/>
          <w:sz w:val="24"/>
          <w:szCs w:val="24"/>
          <w:lang w:val="en-US" w:eastAsia="zh-CN"/>
        </w:rPr>
        <w:t>路</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元/平方米，</w:t>
      </w:r>
      <w:r>
        <w:rPr>
          <w:rFonts w:hint="eastAsia" w:ascii="仿宋_GB2312" w:hAnsi="仿宋_GB2312" w:eastAsia="仿宋_GB2312" w:cs="仿宋_GB2312"/>
          <w:color w:val="000000"/>
          <w:sz w:val="24"/>
          <w:szCs w:val="24"/>
          <w:lang w:val="en-US" w:eastAsia="zh-CN"/>
        </w:rPr>
        <w:t>二类道路</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元/平方米</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三类道路</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 xml:space="preserve">元/平方米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公厕管护</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color w:val="000000"/>
          <w:sz w:val="24"/>
          <w:szCs w:val="24"/>
        </w:rPr>
        <w:t>元/每座</w:t>
      </w:r>
      <w:r>
        <w:rPr>
          <w:rFonts w:hint="eastAsia" w:ascii="仿宋_GB2312" w:hAnsi="仿宋_GB2312" w:eastAsia="仿宋_GB2312" w:cs="仿宋_GB2312"/>
          <w:color w:val="000000"/>
          <w:sz w:val="24"/>
          <w:szCs w:val="24"/>
          <w:lang w:val="en-US" w:eastAsia="zh-CN"/>
        </w:rPr>
        <w:t>/年</w:t>
      </w:r>
      <w:r>
        <w:rPr>
          <w:rFonts w:hint="eastAsia" w:ascii="仿宋_GB2312" w:hAnsi="仿宋_GB2312" w:eastAsia="仿宋_GB2312" w:cs="仿宋_GB2312"/>
          <w:color w:val="000000"/>
          <w:sz w:val="24"/>
          <w:szCs w:val="24"/>
        </w:rPr>
        <w:t xml:space="preserve">。 </w:t>
      </w:r>
    </w:p>
    <w:p>
      <w:pPr>
        <w:spacing w:line="24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注：合同总金额包括人员工资、福利、</w:t>
      </w:r>
      <w:r>
        <w:rPr>
          <w:rFonts w:hint="eastAsia" w:ascii="仿宋_GB2312" w:hAnsi="仿宋_GB2312" w:eastAsia="仿宋_GB2312" w:cs="仿宋_GB2312"/>
          <w:b/>
          <w:bCs/>
          <w:color w:val="000000"/>
          <w:sz w:val="24"/>
          <w:szCs w:val="24"/>
          <w:lang w:val="en-US" w:eastAsia="zh-CN"/>
        </w:rPr>
        <w:t>社保（养老、医疗、工伤等保险）</w:t>
      </w:r>
      <w:r>
        <w:rPr>
          <w:rFonts w:hint="eastAsia" w:ascii="仿宋_GB2312" w:hAnsi="仿宋_GB2312" w:eastAsia="仿宋_GB2312" w:cs="仿宋_GB2312"/>
          <w:b/>
          <w:bCs/>
          <w:color w:val="000000"/>
          <w:sz w:val="24"/>
          <w:szCs w:val="24"/>
        </w:rPr>
        <w:t>、劳保用品、融雪剂、工具、车辆设备、机械及其维修、工具房租用、迎检加班和突发处置费用、应急物资等作业成本以及适当的管理费用、利润、税金、风险金（保险、处理一切意外伤亡事故等费用）</w:t>
      </w:r>
      <w:r>
        <w:rPr>
          <w:rFonts w:hint="eastAsia" w:ascii="仿宋_GB2312" w:hAnsi="仿宋_GB2312" w:eastAsia="仿宋_GB2312" w:cs="仿宋_GB2312"/>
          <w:b/>
          <w:bCs/>
          <w:color w:val="000000"/>
          <w:sz w:val="24"/>
          <w:szCs w:val="24"/>
          <w:lang w:eastAsia="zh-CN"/>
        </w:rPr>
        <w:t>办公用房的租赁</w:t>
      </w:r>
      <w:r>
        <w:rPr>
          <w:rFonts w:hint="eastAsia" w:ascii="仿宋_GB2312" w:hAnsi="仿宋_GB2312" w:eastAsia="仿宋_GB2312" w:cs="仿宋_GB2312"/>
          <w:b/>
          <w:bCs/>
          <w:color w:val="000000"/>
          <w:sz w:val="24"/>
          <w:szCs w:val="24"/>
        </w:rPr>
        <w:t>等其他一切费用。</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2.承包经费的支付方法及金额：</w:t>
      </w:r>
      <w:r>
        <w:rPr>
          <w:rFonts w:hint="eastAsia" w:ascii="仿宋_GB2312" w:hAnsi="仿宋_GB2312" w:eastAsia="仿宋_GB2312" w:cs="仿宋_GB2312"/>
          <w:color w:val="000000"/>
          <w:sz w:val="24"/>
          <w:szCs w:val="24"/>
          <w:lang w:val="en-US" w:eastAsia="zh-CN"/>
        </w:rPr>
        <w:t>乙方在支付保洁员工资后，</w:t>
      </w:r>
      <w:r>
        <w:rPr>
          <w:rFonts w:hint="eastAsia" w:ascii="仿宋_GB2312" w:hAnsi="仿宋_GB2312" w:eastAsia="仿宋_GB2312" w:cs="仿宋_GB2312"/>
          <w:color w:val="000000"/>
          <w:sz w:val="24"/>
          <w:szCs w:val="24"/>
        </w:rPr>
        <w:t>由甲方依照检查考核情况按月付款，支付上月实际完成的任务款,乙方在收款时应出具正式的发票。</w:t>
      </w:r>
    </w:p>
    <w:p>
      <w:pPr>
        <w:spacing w:line="24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3.本合同的承包经费由财政拨款，如遇特殊原因，财政资金未按时拨付到甲方，乙方不得以甲方未按时拨付服务费用为由，而不履行合同规定的服务义务或对甲方提出诉讼。</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4.协议有效期满</w:t>
      </w:r>
      <w:r>
        <w:rPr>
          <w:rFonts w:hint="eastAsia" w:ascii="仿宋_GB2312" w:hAnsi="仿宋_GB2312" w:eastAsia="仿宋_GB2312" w:cs="仿宋_GB2312"/>
          <w:color w:val="000000"/>
          <w:sz w:val="24"/>
          <w:szCs w:val="24"/>
          <w:lang w:eastAsia="zh-CN"/>
        </w:rPr>
        <w:t>后</w:t>
      </w:r>
      <w:r>
        <w:rPr>
          <w:rFonts w:hint="eastAsia" w:ascii="仿宋_GB2312" w:hAnsi="仿宋_GB2312" w:eastAsia="仿宋_GB2312" w:cs="仿宋_GB2312"/>
          <w:color w:val="000000"/>
          <w:sz w:val="24"/>
          <w:szCs w:val="24"/>
        </w:rPr>
        <w:t>甲方将重新招标确定本服务项目中标人，乙方应积极配合甲方完成相关手续的交接。乙方必须完成相关工作交接后，甲方再支付上月承包经费。如乙方不能按要求完成相关交接手续，每逾期一天乙方自愿向甲方支付每天5000元的违约金，该费用在甲方应付的承包经费中扣除。</w:t>
      </w:r>
    </w:p>
    <w:p>
      <w:pPr>
        <w:spacing w:line="240" w:lineRule="auto"/>
        <w:ind w:firstLine="480" w:firstLineChars="200"/>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sz w:val="24"/>
          <w:szCs w:val="24"/>
          <w:lang w:val="en-US" w:eastAsia="zh-CN"/>
        </w:rPr>
        <w:t>乙方在甲方未拨付服务费的情况下，必须有垫付保洁员工资三个月以上的能力。</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八、承包责任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发包方(甲方)责任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1.乙方按照本协议的内容完成工作的，甲方有向乙方按时支付承包费的义务。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2.在履行本协议期间，甲方可向乙方提供业务指导，协助乙方克服在服务中遇到的困难。</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3.每月不定期组织对乙方的作业质量情况进行检查考核。</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4.甲方对乙方在日常作业工作中负有监督管理的责任。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5.甲方有权对乙方环卫工人的工资、福利、保险、工具的发放和配备进行监督</w:t>
      </w:r>
      <w:r>
        <w:rPr>
          <w:rFonts w:hint="eastAsia" w:ascii="仿宋_GB2312" w:hAnsi="仿宋_GB2312" w:eastAsia="仿宋_GB2312" w:cs="仿宋_GB2312"/>
          <w:color w:val="000000"/>
          <w:sz w:val="24"/>
          <w:szCs w:val="24"/>
          <w:lang w:val="en-US" w:eastAsia="zh-CN"/>
        </w:rPr>
        <w:t>和</w:t>
      </w:r>
      <w:r>
        <w:rPr>
          <w:rFonts w:hint="eastAsia" w:ascii="仿宋_GB2312" w:hAnsi="仿宋_GB2312" w:eastAsia="仿宋_GB2312" w:cs="仿宋_GB2312"/>
          <w:color w:val="000000"/>
          <w:sz w:val="24"/>
          <w:szCs w:val="24"/>
        </w:rPr>
        <w:t>检查。</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承包方〔乙方)责任：</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必须在本合同签订之日起5日内与现有环卫工人按照《中华人民共和国劳动合同法》签订劳动合同，环卫工人工资福利待遇不低于现行标准（如遇市上保洁员待遇政策调整，必须按照市上相关文件要求严格执行），确保环卫工人劳动关系顺利转接，否则甲方有权暂缓拨付乙方服务费，直至环卫工人全部签订劳动合同为止。由于乙方未及时与环卫工签订劳动合同的原因，造成环卫工人与甲方发生争议的，由此产生的一切后果由乙方承担。</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2.乙方负责承包范围内的安全作业管理，严格按有关部门的要求、制定</w:t>
      </w:r>
      <w:r>
        <w:rPr>
          <w:rFonts w:hint="eastAsia" w:ascii="仿宋_GB2312" w:hAnsi="仿宋_GB2312" w:eastAsia="仿宋_GB2312" w:cs="仿宋_GB2312"/>
          <w:color w:val="000000"/>
          <w:sz w:val="24"/>
          <w:szCs w:val="24"/>
          <w:lang w:val="en-US" w:eastAsia="zh-CN"/>
        </w:rPr>
        <w:t>相关</w:t>
      </w:r>
      <w:r>
        <w:rPr>
          <w:rFonts w:hint="eastAsia" w:ascii="仿宋_GB2312" w:hAnsi="仿宋_GB2312" w:eastAsia="仿宋_GB2312" w:cs="仿宋_GB2312"/>
          <w:color w:val="000000"/>
          <w:sz w:val="24"/>
          <w:szCs w:val="24"/>
        </w:rPr>
        <w:t>规章制度。</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3.乙方负责本单位人员的思想教育、安全教育、专业</w:t>
      </w:r>
      <w:r>
        <w:rPr>
          <w:rFonts w:hint="eastAsia" w:ascii="仿宋_GB2312" w:hAnsi="仿宋_GB2312" w:eastAsia="仿宋_GB2312" w:cs="仿宋_GB2312"/>
          <w:color w:val="000000"/>
          <w:sz w:val="24"/>
          <w:szCs w:val="24"/>
          <w:lang w:eastAsia="zh-CN"/>
        </w:rPr>
        <w:t>技能</w:t>
      </w:r>
      <w:r>
        <w:rPr>
          <w:rFonts w:hint="eastAsia" w:ascii="仿宋_GB2312" w:hAnsi="仿宋_GB2312" w:eastAsia="仿宋_GB2312" w:cs="仿宋_GB2312"/>
          <w:color w:val="000000"/>
          <w:sz w:val="24"/>
          <w:szCs w:val="24"/>
        </w:rPr>
        <w:t>培训，确保员工做到遵纪守法持证上岗。</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4.乙方须按市、县相关文件要求的作业时间和作业质量配足作业机</w:t>
      </w:r>
      <w:r>
        <w:rPr>
          <w:rFonts w:hint="eastAsia" w:ascii="仿宋_GB2312" w:hAnsi="仿宋_GB2312" w:eastAsia="仿宋_GB2312" w:cs="仿宋_GB2312"/>
          <w:color w:val="000000"/>
          <w:sz w:val="24"/>
          <w:szCs w:val="24"/>
          <w:lang w:val="en-US" w:eastAsia="zh-CN"/>
        </w:rPr>
        <w:t>械</w:t>
      </w:r>
      <w:r>
        <w:rPr>
          <w:rFonts w:hint="eastAsia" w:ascii="仿宋_GB2312" w:hAnsi="仿宋_GB2312" w:eastAsia="仿宋_GB2312" w:cs="仿宋_GB2312"/>
          <w:color w:val="000000"/>
          <w:sz w:val="24"/>
          <w:szCs w:val="24"/>
        </w:rPr>
        <w:t>和环卫作业人员，按时完成作业任务。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5.乙方在承包期内未能及时清理路面保洁范围内的杂物、油污等以及清理不到位而引发的交通安全责任事故造成人员伤亡和财产损失的，乙方应承担相应的法律责任和赔偿等一切责任。</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6.乙方应建立健全安全生产管理制度、档案，服从甲方及相关行政管理部门的安全生产管理</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7.乙方在承包期内由于工作人员发生各种事故:包括安全生产、治安、交通、防火、工伤、劳资纠纷等事件，所造成一切后果及损失，由乙方承担责任和负责赔偿。</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8.乙方按国家财务政策规定依法设立财务账本，劳动工资统计台账，依法纳税，保证为工人购买社保等，每月报送财务报表，并接受财务检查、审计。按有关部门的要求完成有关数据报送工作。</w:t>
      </w:r>
    </w:p>
    <w:p>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9.乙方应遵守《</w:t>
      </w:r>
      <w:r>
        <w:rPr>
          <w:rFonts w:hint="eastAsia" w:ascii="仿宋_GB2312" w:hAnsi="仿宋_GB2312" w:eastAsia="仿宋_GB2312" w:cs="仿宋_GB2312"/>
          <w:color w:val="000000"/>
          <w:kern w:val="2"/>
          <w:sz w:val="24"/>
          <w:szCs w:val="24"/>
        </w:rPr>
        <w:t>中华人民共和国劳动法》等</w:t>
      </w:r>
      <w:r>
        <w:rPr>
          <w:rFonts w:hint="eastAsia" w:ascii="仿宋_GB2312" w:hAnsi="仿宋_GB2312" w:eastAsia="仿宋_GB2312" w:cs="仿宋_GB2312"/>
          <w:color w:val="000000"/>
          <w:sz w:val="24"/>
          <w:szCs w:val="24"/>
        </w:rPr>
        <w:t>有关法律、法规，按国家、省、市有关规定与雇佣人员签订用工合同，支付工人工资、购买社保等有关保险及劳保用品，清扫保洁及管理人员上路必须穿着反光背心。同时，应完善人事管理制度，建立人事档案和员工名册，每月向员工发放工资时须向员工提供工资单。工资单的内容须至少包含基本工资，正常工作日、双休日、法定节假日、带薪年假等加班费，高温津贴，降温费、取暖费，各类社保等项目金额。并须接受甲方对其投入本承包项目员工工资发放和为员工办理各类社保情况的监督。</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乙方要建立环卫应急预案制度。准备一支不少于10人的应急队伍和机械设备及所需的应急物资，由甲方调配，用于处置突发性事件、各项检查、突击整治及重大活动中的环境卫生保障工作，一旦发生上述情况，乙方必须确保人员机械设备及时到位。应急人员、机械设备所发生的费用包含在总承包费用中，不另行追加。</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11.乙方应加强对环卫工人维稳管理，及时化解矛盾，严禁出现环卫工人</w:t>
      </w:r>
      <w:r>
        <w:rPr>
          <w:rFonts w:hint="eastAsia" w:ascii="仿宋_GB2312" w:hAnsi="仿宋_GB2312" w:eastAsia="仿宋_GB2312" w:cs="仿宋_GB2312"/>
          <w:color w:val="000000"/>
          <w:sz w:val="24"/>
          <w:szCs w:val="24"/>
          <w:lang w:val="en-US" w:eastAsia="zh-CN"/>
        </w:rPr>
        <w:t>集体</w:t>
      </w:r>
      <w:r>
        <w:rPr>
          <w:rFonts w:hint="eastAsia" w:ascii="仿宋_GB2312" w:hAnsi="仿宋_GB2312" w:eastAsia="仿宋_GB2312" w:cs="仿宋_GB2312"/>
          <w:color w:val="000000"/>
          <w:sz w:val="24"/>
          <w:szCs w:val="24"/>
        </w:rPr>
        <w:t>上访现象，如因乙方原因</w:t>
      </w:r>
      <w:r>
        <w:rPr>
          <w:rFonts w:hint="eastAsia" w:ascii="仿宋_GB2312" w:hAnsi="仿宋_GB2312" w:eastAsia="仿宋_GB2312" w:cs="仿宋_GB2312"/>
          <w:color w:val="000000"/>
          <w:sz w:val="24"/>
          <w:szCs w:val="24"/>
          <w:lang w:val="en-US" w:eastAsia="zh-CN"/>
        </w:rPr>
        <w:t>导致</w:t>
      </w:r>
      <w:r>
        <w:rPr>
          <w:rFonts w:hint="eastAsia" w:ascii="仿宋_GB2312" w:hAnsi="仿宋_GB2312" w:eastAsia="仿宋_GB2312" w:cs="仿宋_GB2312"/>
          <w:color w:val="000000"/>
          <w:sz w:val="24"/>
          <w:szCs w:val="24"/>
        </w:rPr>
        <w:t>环卫工人出现</w:t>
      </w:r>
      <w:r>
        <w:rPr>
          <w:rFonts w:hint="eastAsia" w:ascii="仿宋_GB2312" w:hAnsi="仿宋_GB2312" w:eastAsia="仿宋_GB2312" w:cs="仿宋_GB2312"/>
          <w:color w:val="000000"/>
          <w:sz w:val="24"/>
          <w:szCs w:val="24"/>
          <w:lang w:val="en-US" w:eastAsia="zh-CN"/>
        </w:rPr>
        <w:t>集体</w:t>
      </w:r>
      <w:r>
        <w:rPr>
          <w:rFonts w:hint="eastAsia" w:ascii="仿宋_GB2312" w:hAnsi="仿宋_GB2312" w:eastAsia="仿宋_GB2312" w:cs="仿宋_GB2312"/>
          <w:color w:val="000000"/>
          <w:sz w:val="24"/>
          <w:szCs w:val="24"/>
        </w:rPr>
        <w:t>上访、投诉</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现象每次扣除乙方服务费</w:t>
      </w:r>
      <w:r>
        <w:rPr>
          <w:rFonts w:hint="eastAsia" w:ascii="仿宋_GB2312" w:hAnsi="仿宋_GB2312" w:eastAsia="仿宋_GB2312" w:cs="仿宋_GB2312"/>
          <w:color w:val="000000"/>
          <w:sz w:val="24"/>
          <w:szCs w:val="24"/>
          <w:lang w:val="en-US" w:eastAsia="zh-CN"/>
        </w:rPr>
        <w:t>3000</w:t>
      </w:r>
      <w:r>
        <w:rPr>
          <w:rFonts w:hint="eastAsia" w:ascii="仿宋_GB2312" w:hAnsi="仿宋_GB2312" w:eastAsia="仿宋_GB2312" w:cs="仿宋_GB2312"/>
          <w:color w:val="000000"/>
          <w:sz w:val="24"/>
          <w:szCs w:val="24"/>
        </w:rPr>
        <w:t>元。</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12.乙方应对承包范围内的人员配备情况</w:t>
      </w:r>
      <w:r>
        <w:rPr>
          <w:rFonts w:hint="eastAsia" w:ascii="仿宋_GB2312" w:hAnsi="仿宋_GB2312" w:eastAsia="仿宋_GB2312" w:cs="仿宋_GB2312"/>
          <w:color w:val="000000"/>
          <w:sz w:val="24"/>
          <w:szCs w:val="24"/>
          <w:lang w:val="en-US" w:eastAsia="zh-CN"/>
        </w:rPr>
        <w:t>每月5日前</w:t>
      </w:r>
      <w:r>
        <w:rPr>
          <w:rFonts w:hint="eastAsia" w:ascii="仿宋_GB2312" w:hAnsi="仿宋_GB2312" w:eastAsia="仿宋_GB2312" w:cs="仿宋_GB2312"/>
          <w:color w:val="000000"/>
          <w:sz w:val="24"/>
          <w:szCs w:val="24"/>
        </w:rPr>
        <w:t>向甲方提供人员花名册，人员变化时应向甲方备案。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13.乙方需对保洁员行为及服装进行规范，上班期间必须穿着反光标志服，并保持干净整洁，夏季不得敞胸露背、赤脚或穿拖鞋。</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default" w:eastAsia="仿宋_GB2312"/>
          <w:sz w:val="18"/>
          <w:szCs w:val="21"/>
          <w:lang w:val="en-US" w:eastAsia="zh-CN"/>
        </w:rPr>
      </w:pPr>
      <w:r>
        <w:rPr>
          <w:rFonts w:hint="eastAsia" w:ascii="仿宋_GB2312" w:hAnsi="仿宋_GB2312" w:eastAsia="仿宋_GB2312" w:cs="仿宋_GB2312"/>
          <w:color w:val="000000"/>
          <w:sz w:val="24"/>
          <w:szCs w:val="24"/>
          <w:lang w:val="en-US" w:eastAsia="zh-CN"/>
        </w:rPr>
        <w:t>14、乙方在合同签订后必须配备相应的洒水车、机扫车、冲洗车等作业车辆、设备，确保按照甲方的作业质量标准，做好清扫保洁工作。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九、违约责任</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1.未经甲方同意，乙方不得将承包项目进行转包或部分分包，否则将视为乙方违约，甲方有权解除协议，由此造成的损失由乙方承担。</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包期间，经甲方检查核实，乙方没有按法律、法规足额缴纳工人各类社保金或各类津贴及拖欠工人工资等，甲方有权督促乙方及时纠正向工人核补所欠工资、社保等;如乙方不及时纠正或不予纠正，甲方可扣减乙方当月承包经费用于支付所欠工人的费用、并交由政府相关职能部门处理且有权解除承包合同。</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3.如因乙方引起的劳资纠纷问题，影响正常工作的，甲方有权另行聘请人员确保正常工作，所产生的费用在承包经费中相应扣减。</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4.在履行协议期间，若乙方违约导致本协议终止，乙方需按本协议规定年承包总额的</w:t>
      </w:r>
      <w:r>
        <w:rPr>
          <w:rFonts w:hint="eastAsia" w:ascii="仿宋_GB2312" w:hAnsi="仿宋_GB2312" w:eastAsia="仿宋_GB2312" w:cs="仿宋_GB2312"/>
          <w:color w:val="000000"/>
          <w:sz w:val="24"/>
          <w:szCs w:val="24"/>
          <w:lang w:val="en-US" w:eastAsia="zh-CN"/>
        </w:rPr>
        <w:t>30</w:t>
      </w:r>
      <w:r>
        <w:rPr>
          <w:rFonts w:hint="eastAsia" w:ascii="仿宋_GB2312" w:hAnsi="仿宋_GB2312" w:eastAsia="仿宋_GB2312" w:cs="仿宋_GB2312"/>
          <w:color w:val="000000"/>
          <w:sz w:val="24"/>
          <w:szCs w:val="24"/>
        </w:rPr>
        <w:t>%向甲方支付违约金，违约金不足弥补给甲方造成损失的，甲方有权向乙方提出赔偿要求。</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5.承包期间。双方必须严格履行协议，在执行过程中，如遇未尽事宜(含政府有关部门的政策、作业标准、作业时间调整等)，双方协商解决，单方面无权变更。</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6.承包期内，如因乙方违反法律、法规及国家有关政策造成严重后果的，甲方可以解除协议。</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7.发生单方违约，且经协调不果，另一方可在服务所在地人民法院进行法律诉讼，追究违约方相应的法律责任和经济责任。</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十、其它</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1.本合同所有附件和中标通知书均为合同的有效组成部分，与本合同具有同等法律效力。</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2.本协议未尽事宜，由甲乙双方协商解决，可另行签订补充协议；补充协议与本协议具有同等法律效力。</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3.除甲方事先书面同意外，乙方不得部分或全部转让其应履行的合同项下的义务。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4.本合同一式肆份，甲乙双方各执两份。</w:t>
      </w:r>
    </w:p>
    <w:p>
      <w:pPr>
        <w:pStyle w:val="24"/>
        <w:spacing w:line="240" w:lineRule="auto"/>
        <w:ind w:firstLine="640"/>
        <w:rPr>
          <w:rFonts w:hint="eastAsia" w:ascii="仿宋_GB2312" w:hAnsi="仿宋_GB2312" w:eastAsia="仿宋_GB2312" w:cs="仿宋_GB2312"/>
          <w:color w:val="000000"/>
          <w:sz w:val="24"/>
          <w:szCs w:val="24"/>
        </w:rPr>
      </w:pPr>
    </w:p>
    <w:p>
      <w:pPr>
        <w:pStyle w:val="24"/>
        <w:spacing w:line="240" w:lineRule="auto"/>
        <w:ind w:firstLine="6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附件：1.承包范围清单</w:t>
      </w:r>
    </w:p>
    <w:p>
      <w:pPr>
        <w:pStyle w:val="24"/>
        <w:spacing w:line="240" w:lineRule="auto"/>
        <w:ind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2.周至县城市道路清扫保洁检查考核办法</w:t>
      </w:r>
    </w:p>
    <w:p>
      <w:pPr>
        <w:pStyle w:val="24"/>
        <w:spacing w:line="240" w:lineRule="auto"/>
        <w:ind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3.周至县城市道路清扫保洁检查考核评分细则</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4.周至县市容环境卫生管理工作标准</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5.周至县生活垃圾清运管理考核办法</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6.周至县公共厕所管理标准</w:t>
      </w:r>
    </w:p>
    <w:p>
      <w:pPr>
        <w:pStyle w:val="24"/>
        <w:spacing w:line="240" w:lineRule="auto"/>
        <w:ind w:firstLine="1200" w:firstLineChars="5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7.周至县公共厕所管理考核评分标准</w:t>
      </w:r>
    </w:p>
    <w:p>
      <w:pPr>
        <w:pStyle w:val="24"/>
        <w:spacing w:line="240" w:lineRule="auto"/>
        <w:ind w:firstLine="1200" w:firstLineChars="500"/>
        <w:rPr>
          <w:rFonts w:hint="eastAsia" w:ascii="仿宋_GB2312" w:hAnsi="仿宋_GB2312" w:eastAsia="仿宋_GB2312" w:cs="仿宋_GB2312"/>
          <w:color w:val="000000"/>
          <w:sz w:val="24"/>
          <w:szCs w:val="24"/>
        </w:rPr>
      </w:pPr>
    </w:p>
    <w:p>
      <w:pPr>
        <w:pStyle w:val="24"/>
        <w:spacing w:line="240" w:lineRule="auto"/>
        <w:ind w:firstLine="6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甲方（盖章）：                 乙方（盖章）：</w:t>
      </w:r>
    </w:p>
    <w:p>
      <w:pPr>
        <w:pStyle w:val="24"/>
        <w:spacing w:line="240" w:lineRule="auto"/>
        <w:ind w:firstLine="64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                   法人代表：</w:t>
      </w:r>
    </w:p>
    <w:p>
      <w:pPr>
        <w:pStyle w:val="24"/>
        <w:spacing w:line="240" w:lineRule="auto"/>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                    委托代理人:</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单位地址：                     单位地址：</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                     邮政编码：</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                     联系电话：</w:t>
      </w:r>
    </w:p>
    <w:p>
      <w:pPr>
        <w:bidi w:val="0"/>
        <w:spacing w:line="240" w:lineRule="auto"/>
        <w:rPr>
          <w:rFonts w:hint="eastAsia"/>
          <w:sz w:val="18"/>
          <w:szCs w:val="21"/>
        </w:rPr>
      </w:pPr>
    </w:p>
    <w:p>
      <w:pPr>
        <w:bidi w:val="0"/>
        <w:spacing w:line="240" w:lineRule="auto"/>
        <w:rPr>
          <w:rFonts w:hint="eastAsia"/>
          <w:sz w:val="18"/>
          <w:szCs w:val="21"/>
        </w:rPr>
      </w:pPr>
    </w:p>
    <w:p>
      <w:pPr>
        <w:tabs>
          <w:tab w:val="left" w:pos="501"/>
        </w:tabs>
        <w:bidi w:val="0"/>
        <w:spacing w:line="240" w:lineRule="auto"/>
        <w:jc w:val="left"/>
        <w:rPr>
          <w:rFonts w:hint="eastAsia" w:eastAsia="宋体"/>
          <w:sz w:val="18"/>
          <w:szCs w:val="21"/>
          <w:lang w:eastAsia="zh-CN"/>
        </w:rPr>
        <w:sectPr>
          <w:footerReference r:id="rId7" w:type="default"/>
          <w:pgSz w:w="11906" w:h="16838"/>
          <w:pgMar w:top="1440" w:right="1800" w:bottom="1440" w:left="1800" w:header="851" w:footer="992" w:gutter="0"/>
          <w:pgNumType w:start="1"/>
          <w:cols w:space="720" w:num="1"/>
          <w:docGrid w:type="lines" w:linePitch="312" w:charSpace="0"/>
        </w:sectPr>
      </w:pPr>
    </w:p>
    <w:p>
      <w:pPr>
        <w:spacing w:line="240" w:lineRule="auto"/>
        <w:rPr>
          <w:rFonts w:hint="eastAsia"/>
          <w:sz w:val="18"/>
          <w:szCs w:val="21"/>
          <w:lang w:val="en-US" w:eastAsia="zh-CN"/>
        </w:rPr>
      </w:pPr>
      <w:r>
        <w:rPr>
          <w:rFonts w:hint="eastAsia"/>
          <w:sz w:val="18"/>
          <w:szCs w:val="21"/>
          <w:lang w:val="en-US" w:eastAsia="zh-CN"/>
        </w:rPr>
        <w:t xml:space="preserve">附件一 </w:t>
      </w:r>
    </w:p>
    <w:tbl>
      <w:tblPr>
        <w:tblStyle w:val="26"/>
        <w:tblW w:w="46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469"/>
        <w:gridCol w:w="1516"/>
        <w:gridCol w:w="1118"/>
        <w:gridCol w:w="2990"/>
        <w:gridCol w:w="1422"/>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jc w:val="center"/>
              <w:rPr>
                <w:rFonts w:hint="eastAsia"/>
                <w:sz w:val="21"/>
                <w:szCs w:val="21"/>
                <w:vertAlign w:val="baseline"/>
                <w:lang w:val="en-US" w:eastAsia="zh-CN"/>
              </w:rPr>
            </w:pPr>
            <w:r>
              <w:rPr>
                <w:rFonts w:hint="eastAsia"/>
                <w:sz w:val="28"/>
                <w:szCs w:val="28"/>
                <w:lang w:val="en-US" w:eastAsia="zh-CN"/>
              </w:rPr>
              <w:t>第三包</w:t>
            </w:r>
            <w:r>
              <w:rPr>
                <w:rFonts w:hint="eastAsia"/>
                <w:sz w:val="28"/>
                <w:szCs w:val="28"/>
              </w:rPr>
              <w:t>承包范围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道路名称</w:t>
            </w:r>
          </w:p>
        </w:tc>
        <w:tc>
          <w:tcPr>
            <w:tcW w:w="945"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起     止</w:t>
            </w:r>
          </w:p>
        </w:tc>
        <w:tc>
          <w:tcPr>
            <w:tcW w:w="58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面积（平方米）</w:t>
            </w:r>
          </w:p>
        </w:tc>
        <w:tc>
          <w:tcPr>
            <w:tcW w:w="428"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道路类别</w:t>
            </w:r>
          </w:p>
        </w:tc>
        <w:tc>
          <w:tcPr>
            <w:tcW w:w="114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54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垃圾收集点</w:t>
            </w:r>
          </w:p>
        </w:tc>
        <w:tc>
          <w:tcPr>
            <w:tcW w:w="689"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云塔路-工业路西墙</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64315</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144" w:type="pct"/>
            <w:vMerge w:val="restart"/>
            <w:noWrap w:val="0"/>
            <w:vAlign w:val="center"/>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一类道路：172782.2平方米</w:t>
            </w:r>
          </w:p>
          <w:p>
            <w:pPr>
              <w:jc w:val="center"/>
              <w:rPr>
                <w:rFonts w:hint="eastAsia"/>
                <w:sz w:val="24"/>
                <w:szCs w:val="24"/>
                <w:vertAlign w:val="baseline"/>
                <w:lang w:val="en-US" w:eastAsia="zh-CN"/>
              </w:rPr>
            </w:pPr>
            <w:r>
              <w:rPr>
                <w:rFonts w:hint="eastAsia"/>
                <w:sz w:val="24"/>
                <w:szCs w:val="24"/>
                <w:vertAlign w:val="baseline"/>
                <w:lang w:val="en-US" w:eastAsia="zh-CN"/>
              </w:rPr>
              <w:t>二类道路：138291平方米</w:t>
            </w:r>
          </w:p>
          <w:p>
            <w:pPr>
              <w:jc w:val="center"/>
              <w:rPr>
                <w:rFonts w:hint="default"/>
                <w:sz w:val="24"/>
                <w:szCs w:val="24"/>
                <w:vertAlign w:val="baseline"/>
                <w:lang w:val="en-US" w:eastAsia="zh-CN"/>
              </w:rPr>
            </w:pPr>
            <w:r>
              <w:rPr>
                <w:rFonts w:hint="eastAsia"/>
                <w:sz w:val="24"/>
                <w:szCs w:val="24"/>
                <w:vertAlign w:val="baseline"/>
                <w:lang w:val="en-US" w:eastAsia="zh-CN"/>
              </w:rPr>
              <w:t>三类道路：44756平方米</w:t>
            </w:r>
          </w:p>
        </w:tc>
        <w:tc>
          <w:tcPr>
            <w:tcW w:w="544" w:type="pct"/>
            <w:vMerge w:val="restart"/>
            <w:noWrap w:val="0"/>
            <w:vAlign w:val="center"/>
          </w:tcPr>
          <w:p>
            <w:pPr>
              <w:bidi w:val="0"/>
              <w:jc w:val="both"/>
              <w:rPr>
                <w:rFonts w:hint="default"/>
                <w:sz w:val="24"/>
                <w:szCs w:val="24"/>
                <w:lang w:val="en-US" w:eastAsia="zh-CN"/>
              </w:rPr>
            </w:pPr>
            <w:r>
              <w:rPr>
                <w:rFonts w:hint="eastAsia"/>
                <w:sz w:val="24"/>
                <w:szCs w:val="24"/>
                <w:lang w:val="en-US" w:eastAsia="zh-CN"/>
              </w:rPr>
              <w:t>甲方指定的垃圾收集点</w:t>
            </w:r>
          </w:p>
        </w:tc>
        <w:tc>
          <w:tcPr>
            <w:tcW w:w="689" w:type="pct"/>
            <w:vMerge w:val="restart"/>
            <w:noWrap w:val="0"/>
            <w:vAlign w:val="center"/>
          </w:tcPr>
          <w:p>
            <w:pPr>
              <w:jc w:val="left"/>
              <w:rPr>
                <w:rFonts w:hint="eastAsia"/>
                <w:sz w:val="24"/>
                <w:szCs w:val="24"/>
                <w:vertAlign w:val="baseline"/>
                <w:lang w:val="en-US" w:eastAsia="zh-CN"/>
              </w:rPr>
            </w:pPr>
            <w:r>
              <w:rPr>
                <w:rFonts w:hint="eastAsia"/>
                <w:sz w:val="24"/>
                <w:szCs w:val="24"/>
                <w:vertAlign w:val="baseline"/>
                <w:lang w:val="en-US" w:eastAsia="zh-CN"/>
              </w:rPr>
              <w:t>太白南路公厕</w:t>
            </w:r>
          </w:p>
          <w:p>
            <w:pPr>
              <w:jc w:val="left"/>
              <w:rPr>
                <w:rFonts w:hint="eastAsia"/>
                <w:sz w:val="24"/>
                <w:szCs w:val="24"/>
                <w:vertAlign w:val="baseline"/>
                <w:lang w:val="en-US" w:eastAsia="zh-CN"/>
              </w:rPr>
            </w:pPr>
            <w:r>
              <w:rPr>
                <w:rFonts w:hint="eastAsia"/>
                <w:sz w:val="24"/>
                <w:szCs w:val="24"/>
                <w:vertAlign w:val="baseline"/>
                <w:lang w:val="en-US" w:eastAsia="zh-CN"/>
              </w:rPr>
              <w:t>南大门西公厕</w:t>
            </w:r>
          </w:p>
          <w:p>
            <w:pPr>
              <w:jc w:val="left"/>
              <w:rPr>
                <w:rFonts w:hint="eastAsia"/>
                <w:sz w:val="24"/>
                <w:szCs w:val="24"/>
                <w:vertAlign w:val="baseline"/>
                <w:lang w:val="en-US" w:eastAsia="zh-CN"/>
              </w:rPr>
            </w:pPr>
            <w:r>
              <w:rPr>
                <w:rFonts w:hint="eastAsia"/>
                <w:sz w:val="24"/>
                <w:szCs w:val="24"/>
                <w:vertAlign w:val="baseline"/>
                <w:lang w:val="en-US" w:eastAsia="zh-CN"/>
              </w:rPr>
              <w:t>石桥路公厕</w:t>
            </w:r>
          </w:p>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四合路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工业路-上德路</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9720</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上德路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淳风社区-上德路</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7305</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石桥路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南环路-中心街</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43110</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太白路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农商街-水街桥南</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99867.2</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p>
        </w:tc>
        <w:tc>
          <w:tcPr>
            <w:tcW w:w="945" w:type="pct"/>
            <w:noWrap w:val="0"/>
            <w:vAlign w:val="center"/>
          </w:tcPr>
          <w:p>
            <w:pPr>
              <w:tabs>
                <w:tab w:val="left" w:pos="326"/>
              </w:tabs>
              <w:jc w:val="left"/>
              <w:rPr>
                <w:rFonts w:hint="default"/>
                <w:sz w:val="24"/>
                <w:szCs w:val="24"/>
                <w:vertAlign w:val="baseline"/>
                <w:lang w:val="en-US" w:eastAsia="zh-CN"/>
              </w:rPr>
            </w:pPr>
            <w:r>
              <w:rPr>
                <w:rFonts w:hint="eastAsia"/>
                <w:sz w:val="24"/>
                <w:szCs w:val="24"/>
                <w:vertAlign w:val="baseline"/>
                <w:lang w:val="en-US" w:eastAsia="zh-CN"/>
              </w:rPr>
              <w:tab/>
            </w:r>
            <w:r>
              <w:rPr>
                <w:rFonts w:hint="eastAsia"/>
                <w:sz w:val="24"/>
                <w:szCs w:val="24"/>
                <w:vertAlign w:val="baseline"/>
                <w:lang w:val="en-US" w:eastAsia="zh-CN"/>
              </w:rPr>
              <w:t>水街桥南-南横线</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51794</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南环路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周广路-南大门</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19800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二曲路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太白路-石桥路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14886</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淳风路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工业路-中心街</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10910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太仓路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太白路-工业路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5880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云塔南路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太仓路-工业路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8600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一</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水司路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太白南路-工业路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4997</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周广路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工业路-石桥路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9240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云塔路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新堡子路口</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1800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周广路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公厕西断头路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813</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纬一路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果业局门前-周广路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2792</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合计</w:t>
            </w:r>
          </w:p>
        </w:tc>
        <w:tc>
          <w:tcPr>
            <w:tcW w:w="945" w:type="pct"/>
            <w:noWrap w:val="0"/>
            <w:vAlign w:val="center"/>
          </w:tcPr>
          <w:p>
            <w:pPr>
              <w:jc w:val="center"/>
              <w:rPr>
                <w:rFonts w:hint="eastAsia"/>
                <w:sz w:val="24"/>
                <w:szCs w:val="24"/>
                <w:vertAlign w:val="baseline"/>
                <w:lang w:val="en-US" w:eastAsia="zh-CN"/>
              </w:rPr>
            </w:pPr>
          </w:p>
        </w:tc>
        <w:tc>
          <w:tcPr>
            <w:tcW w:w="580"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355829.2</w:t>
            </w:r>
          </w:p>
        </w:tc>
        <w:tc>
          <w:tcPr>
            <w:tcW w:w="428" w:type="pct"/>
            <w:noWrap w:val="0"/>
            <w:vAlign w:val="center"/>
          </w:tcPr>
          <w:p>
            <w:pPr>
              <w:jc w:val="center"/>
              <w:rPr>
                <w:rFonts w:hint="eastAsia"/>
                <w:sz w:val="24"/>
                <w:szCs w:val="24"/>
                <w:vertAlign w:val="baseline"/>
                <w:lang w:val="en-US" w:eastAsia="zh-CN"/>
              </w:rPr>
            </w:pPr>
          </w:p>
        </w:tc>
        <w:tc>
          <w:tcPr>
            <w:tcW w:w="1144" w:type="pct"/>
            <w:noWrap w:val="0"/>
            <w:vAlign w:val="center"/>
          </w:tcPr>
          <w:p>
            <w:pPr>
              <w:jc w:val="center"/>
              <w:rPr>
                <w:rFonts w:hint="default"/>
                <w:sz w:val="24"/>
                <w:szCs w:val="24"/>
                <w:vertAlign w:val="baseline"/>
                <w:lang w:val="en-US" w:eastAsia="zh-CN"/>
              </w:rPr>
            </w:pPr>
          </w:p>
        </w:tc>
        <w:tc>
          <w:tcPr>
            <w:tcW w:w="544" w:type="pct"/>
            <w:noWrap w:val="0"/>
            <w:vAlign w:val="top"/>
          </w:tcPr>
          <w:p>
            <w:pPr>
              <w:jc w:val="center"/>
              <w:rPr>
                <w:rFonts w:hint="default"/>
                <w:sz w:val="24"/>
                <w:szCs w:val="24"/>
                <w:vertAlign w:val="baseline"/>
                <w:lang w:val="en-US" w:eastAsia="zh-CN"/>
              </w:rPr>
            </w:pPr>
          </w:p>
        </w:tc>
        <w:tc>
          <w:tcPr>
            <w:tcW w:w="689" w:type="pct"/>
            <w:noWrap w:val="0"/>
            <w:vAlign w:val="top"/>
          </w:tcPr>
          <w:p>
            <w:pPr>
              <w:jc w:val="center"/>
              <w:rPr>
                <w:rFonts w:hint="default"/>
                <w:sz w:val="24"/>
                <w:szCs w:val="24"/>
                <w:vertAlign w:val="baseline"/>
                <w:lang w:val="en-US" w:eastAsia="zh-CN"/>
              </w:rPr>
            </w:pPr>
          </w:p>
        </w:tc>
      </w:tr>
    </w:tbl>
    <w:p>
      <w:pPr>
        <w:spacing w:line="240" w:lineRule="auto"/>
        <w:rPr>
          <w:rFonts w:hint="default" w:eastAsia="宋体"/>
          <w:sz w:val="18"/>
          <w:szCs w:val="21"/>
          <w:lang w:val="en-US" w:eastAsia="zh-CN"/>
        </w:rPr>
      </w:pPr>
      <w:r>
        <w:rPr>
          <w:rFonts w:hint="eastAsia"/>
          <w:sz w:val="18"/>
          <w:szCs w:val="21"/>
          <w:lang w:val="en-US" w:eastAsia="zh-CN"/>
        </w:rPr>
        <w:t xml:space="preserve">  </w:t>
      </w:r>
    </w:p>
    <w:p>
      <w:pPr>
        <w:pStyle w:val="24"/>
        <w:spacing w:line="240" w:lineRule="auto"/>
        <w:rPr>
          <w:rFonts w:hint="eastAsia"/>
          <w:sz w:val="18"/>
          <w:szCs w:val="21"/>
          <w:lang w:eastAsia="zh-CN"/>
        </w:rPr>
        <w:sectPr>
          <w:pgSz w:w="16838" w:h="11906" w:orient="landscape"/>
          <w:pgMar w:top="1800" w:right="1440" w:bottom="1800" w:left="1440" w:header="851" w:footer="992" w:gutter="0"/>
          <w:cols w:space="720" w:num="1"/>
          <w:docGrid w:type="lines" w:linePitch="312" w:charSpace="0"/>
        </w:sectPr>
      </w:pPr>
    </w:p>
    <w:p>
      <w:pPr>
        <w:pStyle w:val="24"/>
        <w:spacing w:line="240" w:lineRule="auto"/>
        <w:ind w:left="0" w:leftChars="0" w:firstLine="0" w:firstLineChars="0"/>
        <w:rPr>
          <w:rFonts w:hint="eastAsia" w:ascii="方正小标宋简体" w:hAnsi="方正小标宋简体" w:eastAsia="方正小标宋简体" w:cs="方正小标宋简体"/>
          <w:color w:val="000000"/>
          <w:kern w:val="0"/>
          <w:sz w:val="36"/>
          <w:szCs w:val="36"/>
          <w:lang w:bidi="ar"/>
        </w:rPr>
      </w:pPr>
      <w:r>
        <w:rPr>
          <w:rFonts w:hint="eastAsia" w:ascii="黑体" w:hAnsi="黑体" w:eastAsia="黑体" w:cs="黑体"/>
          <w:color w:val="000000"/>
          <w:kern w:val="0"/>
          <w:sz w:val="24"/>
          <w:szCs w:val="24"/>
          <w:lang w:bidi="ar"/>
        </w:rPr>
        <w:t>附件2</w:t>
      </w:r>
    </w:p>
    <w:p>
      <w:pPr>
        <w:spacing w:line="240" w:lineRule="auto"/>
        <w:jc w:val="center"/>
        <w:rPr>
          <w:rFonts w:hint="eastAsia" w:ascii="仿宋_GB2312" w:hAnsi="仿宋_GB2312" w:eastAsia="仿宋_GB2312" w:cs="仿宋_GB2312"/>
          <w:color w:val="000000"/>
          <w:sz w:val="24"/>
          <w:szCs w:val="24"/>
        </w:rPr>
      </w:pPr>
      <w:r>
        <w:rPr>
          <w:rFonts w:hint="eastAsia" w:ascii="方正小标宋简体" w:hAnsi="方正小标宋简体" w:eastAsia="方正小标宋简体" w:cs="方正小标宋简体"/>
          <w:color w:val="000000"/>
          <w:kern w:val="0"/>
          <w:sz w:val="36"/>
          <w:szCs w:val="36"/>
          <w:lang w:bidi="ar"/>
        </w:rPr>
        <w:t>周至县城市道路清扫保洁检查考核办法</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为实现我县道路清扫深度保洁检查考核的科学化、规范化、长效化，根据《西安市城市市容和环境卫生管理条例》有关规定和《西安市城市道路“以克论净 深度保洁”作业标准（试行）》，结合目前我县道路清扫保洁工作实际，特制定本办法。</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指导思想</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根据城市治理专项工作的总体要求，按照新的城市道路清扫保洁作业标准，通过更加深入精细的检查考核，促进城市道路清扫保洁水平不断提高，打造洁净靓丽的城市容貌环境，推动生态周至、美丽周至建设。</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检查考核对象及范围</w:t>
      </w:r>
    </w:p>
    <w:p>
      <w:pPr>
        <w:spacing w:line="240" w:lineRule="auto"/>
        <w:ind w:firstLine="463" w:firstLineChars="19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县城管委办公室负责组织全县城市道路“以克论净 深度保洁”检查考核工作。</w:t>
      </w:r>
    </w:p>
    <w:p>
      <w:pPr>
        <w:numPr>
          <w:ilvl w:val="0"/>
          <w:numId w:val="8"/>
        </w:numPr>
        <w:spacing w:line="240" w:lineRule="auto"/>
        <w:ind w:firstLine="463" w:firstLineChars="19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检查考核对象</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县城区和实行道路清扫保洁市场化的镇街、管委会。</w:t>
      </w:r>
    </w:p>
    <w:p>
      <w:pPr>
        <w:numPr>
          <w:ilvl w:val="0"/>
          <w:numId w:val="8"/>
        </w:numPr>
        <w:spacing w:line="240" w:lineRule="auto"/>
        <w:ind w:firstLine="463" w:firstLineChars="19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检查考核范围</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本办法使用于实行清扫保洁市场化的城市道路清扫保洁管理工作。</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建立城市道路清扫保洁检测制度</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镇（街）、管委会和县城市管理局组织职能部门设立城市道路清扫保洁检测组，配备一定数量的检测员，配备检测器材（电子天平秤、摄像机、毛刷、簸箕、安全墩、反光背心等工具）。按照辖区责任点（按照道路不同等级人工清扫保洁面积划定），每日抽取不少于10%的道路，每条道路不少于3个检测点（其中1个为最脏检测点）检测尘土、零星垃圾滞留情况。检测按照《西安市城市道路“以克论净 深度保洁”作业标准（试行）》执行，现场对责任区作出合格或不合格的评价，同时记录检测数值并留存相关影像资料和登记台账（检测人员现场签字确认）。</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月度检查考核</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月度检查考核采取集中检查考核和日常检查考核、定点复查考核的方式进行。</w:t>
      </w:r>
    </w:p>
    <w:p>
      <w:pPr>
        <w:numPr>
          <w:ilvl w:val="0"/>
          <w:numId w:val="9"/>
        </w:num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集中检查考核。县城管委办公室每月组织实施一次全市范围的城市道路清扫“以克论净 深度保洁”集中检查考核，检查考核内容包括：抽查被检镇（街）、管委会5条道路的“以克论净 深度保洁”作业情况（现场称重、计时）、自检记录（含影像数据）和保洁员配备情况；抽查被检镇（街）、管委会所辖的5条道路“果皮箱”设置及管护情况。每月检查时各镇（街）、管委会主管部门派员随同检查并介绍情况。</w:t>
      </w:r>
    </w:p>
    <w:p>
      <w:pPr>
        <w:numPr>
          <w:ilvl w:val="0"/>
          <w:numId w:val="9"/>
        </w:num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日常检查情考核。县城管委办公室组织人员采取不定时间、不定路段的方式进行，主要是检查考核各镇（街）、管委会“以克论净 深度保洁”作业标准落实、长效管理制度执行和早、中、晚管理空档时间管理情况。</w:t>
      </w:r>
    </w:p>
    <w:p>
      <w:pPr>
        <w:numPr>
          <w:ilvl w:val="0"/>
          <w:numId w:val="9"/>
        </w:num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定点复检考核。县城管委办公室组织对日常检查指出以及群众投诉、媒体曝光等突出问题进行定点复查，同一问题连续两次仍未整改的取消当月评比资格。</w:t>
      </w:r>
    </w:p>
    <w:p>
      <w:pPr>
        <w:spacing w:line="240" w:lineRule="auto"/>
        <w:ind w:firstLine="314" w:firstLineChars="131"/>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月度检查考核总评分100分，其中集中检查考核计分占当月总评分数70%，日常检查考核计分占当月总评分数20%，定点复查考核计分占当月总评分数10%。</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县城管委办公室对月度考核排名情况全县进行通报，并报送县委、县政府和有关领导，并公布各镇（街）、管委会排名情况。</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年度综合考核</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在月度检查考核的基础上，每年底前对各镇（街）、管委会全年“以克论净 深度保洁”日常检查考核成绩进行汇总，结合资产增减、社会评价等情况进行一次总评打分，汇总形成各单位年度综合考核成绩并进行排名。</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综合考核总评分100分，其中月度检查考核总评分（12个月月度考核分数平均分）占80%，年终集中考核总评分占20%（各单位保洁车辆资产增减、年度资金投入考核分值占10分；省、市领导批转、指示和市级刊物摘编及媒体报道、群众投诉情况考核分值占10分）。</w:t>
      </w:r>
    </w:p>
    <w:p>
      <w:pPr>
        <w:numPr>
          <w:ilvl w:val="0"/>
          <w:numId w:val="7"/>
        </w:num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检查考核工作要求</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（一）确保检测工作安全，各镇（街）、管委会必须对检测人员进行安全培训，检测人员须着反光背心，检测区域摆放安全墩。</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（二）参加检查考核和日常检测的人员必须熟练掌握作业标准、评分细则、检查方法，做到准确评分。</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（三）检查考核人员要主动接受群众监督，一旦发现检查人员有徇私舞弊现象，将根据有关规定视情况给予严肃处理。</w:t>
      </w: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（四）各类检查考核结果必须以文字、照片等台账资料为证，允许相关单位工作人员查阅。</w:t>
      </w: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pStyle w:val="24"/>
        <w:rPr>
          <w:rFonts w:hint="eastAsia" w:ascii="仿宋_GB2312" w:hAnsi="仿宋_GB2312" w:eastAsia="仿宋_GB2312" w:cs="仿宋_GB2312"/>
          <w:color w:val="000000"/>
          <w:sz w:val="24"/>
          <w:szCs w:val="24"/>
        </w:rPr>
      </w:pPr>
    </w:p>
    <w:p>
      <w:pPr>
        <w:pStyle w:val="23"/>
        <w:rPr>
          <w:rFonts w:hint="eastAsia" w:ascii="仿宋_GB2312" w:hAnsi="仿宋_GB2312" w:eastAsia="仿宋_GB2312" w:cs="仿宋_GB2312"/>
          <w:color w:val="000000"/>
          <w:sz w:val="24"/>
          <w:szCs w:val="24"/>
        </w:rPr>
      </w:pPr>
    </w:p>
    <w:p>
      <w:pPr>
        <w:pStyle w:val="24"/>
        <w:rPr>
          <w:rFonts w:hint="eastAsia"/>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rPr>
          <w:rFonts w:hint="eastAsia" w:ascii="方正小标宋简体" w:hAnsi="方正小标宋简体" w:eastAsia="方正小标宋简体" w:cs="方正小标宋简体"/>
          <w:color w:val="000000"/>
          <w:spacing w:val="-11"/>
          <w:kern w:val="0"/>
          <w:sz w:val="36"/>
          <w:szCs w:val="36"/>
          <w:lang w:bidi="ar"/>
        </w:rPr>
      </w:pPr>
    </w:p>
    <w:p>
      <w:pPr>
        <w:spacing w:line="240" w:lineRule="auto"/>
        <w:rPr>
          <w:rFonts w:hint="eastAsia" w:ascii="黑体" w:hAnsi="黑体" w:eastAsia="黑体" w:cs="黑体"/>
          <w:color w:val="000000"/>
          <w:spacing w:val="-11"/>
          <w:kern w:val="0"/>
          <w:sz w:val="24"/>
          <w:szCs w:val="24"/>
          <w:lang w:bidi="ar"/>
        </w:rPr>
      </w:pPr>
    </w:p>
    <w:p>
      <w:pPr>
        <w:spacing w:line="240" w:lineRule="auto"/>
        <w:rPr>
          <w:rFonts w:hint="eastAsia" w:ascii="黑体" w:hAnsi="黑体" w:eastAsia="黑体" w:cs="黑体"/>
          <w:color w:val="000000"/>
          <w:spacing w:val="-11"/>
          <w:kern w:val="0"/>
          <w:sz w:val="24"/>
          <w:szCs w:val="24"/>
          <w:lang w:bidi="ar"/>
        </w:rPr>
      </w:pPr>
    </w:p>
    <w:p>
      <w:pPr>
        <w:pStyle w:val="24"/>
        <w:rPr>
          <w:rFonts w:hint="eastAsia" w:ascii="黑体" w:hAnsi="黑体" w:eastAsia="黑体" w:cs="黑体"/>
          <w:color w:val="000000"/>
          <w:spacing w:val="-11"/>
          <w:kern w:val="0"/>
          <w:sz w:val="24"/>
          <w:szCs w:val="24"/>
          <w:lang w:bidi="ar"/>
        </w:rPr>
      </w:pPr>
    </w:p>
    <w:p>
      <w:pPr>
        <w:pStyle w:val="23"/>
        <w:rPr>
          <w:rFonts w:hint="eastAsia"/>
        </w:rPr>
      </w:pPr>
    </w:p>
    <w:p>
      <w:pPr>
        <w:spacing w:line="240" w:lineRule="auto"/>
        <w:rPr>
          <w:rFonts w:hint="eastAsia" w:ascii="黑体" w:hAnsi="黑体" w:eastAsia="黑体" w:cs="黑体"/>
          <w:color w:val="000000"/>
          <w:spacing w:val="-11"/>
          <w:kern w:val="0"/>
          <w:sz w:val="24"/>
          <w:szCs w:val="24"/>
          <w:lang w:val="en-US" w:eastAsia="zh-CN" w:bidi="ar"/>
        </w:rPr>
      </w:pPr>
    </w:p>
    <w:p>
      <w:pPr>
        <w:spacing w:line="240" w:lineRule="auto"/>
        <w:rPr>
          <w:rFonts w:hint="eastAsia" w:ascii="方正小标宋简体" w:hAnsi="方正小标宋简体" w:eastAsia="方正小标宋简体" w:cs="方正小标宋简体"/>
          <w:color w:val="000000"/>
          <w:spacing w:val="-11"/>
          <w:kern w:val="0"/>
          <w:sz w:val="36"/>
          <w:szCs w:val="36"/>
          <w:lang w:bidi="ar"/>
        </w:rPr>
      </w:pPr>
      <w:r>
        <w:rPr>
          <w:rFonts w:hint="eastAsia" w:ascii="黑体" w:hAnsi="黑体" w:eastAsia="黑体" w:cs="黑体"/>
          <w:color w:val="000000"/>
          <w:spacing w:val="-11"/>
          <w:kern w:val="0"/>
          <w:sz w:val="24"/>
          <w:szCs w:val="24"/>
          <w:lang w:bidi="ar"/>
        </w:rPr>
        <w:t>附件3</w:t>
      </w:r>
    </w:p>
    <w:p>
      <w:pPr>
        <w:spacing w:line="240" w:lineRule="auto"/>
        <w:jc w:val="center"/>
        <w:rPr>
          <w:rFonts w:hint="eastAsia" w:ascii="仿宋_GB2312" w:hAnsi="仿宋_GB2312" w:eastAsia="仿宋_GB2312" w:cs="仿宋_GB2312"/>
          <w:color w:val="000000"/>
          <w:sz w:val="24"/>
          <w:szCs w:val="24"/>
        </w:rPr>
      </w:pPr>
      <w:r>
        <w:rPr>
          <w:rFonts w:hint="eastAsia" w:ascii="方正小标宋简体" w:hAnsi="方正小标宋简体" w:eastAsia="方正小标宋简体" w:cs="方正小标宋简体"/>
          <w:color w:val="000000"/>
          <w:spacing w:val="-11"/>
          <w:kern w:val="0"/>
          <w:sz w:val="36"/>
          <w:szCs w:val="36"/>
          <w:lang w:bidi="ar"/>
        </w:rPr>
        <w:t>周至县城市道路清扫保洁检查考核评分细则</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一、清扫保洁（45分）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（一）灰土重量（20分）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人行道、车行道、主干道各喇叭口、人行天桥、公共广场等路灰土重量按照道路不同等级确定的标准（快车道、高架桥、立交桥不做检测），1平方米每超出1克扣0.2分。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检查路段无自检记录或记录不详细（上月至本月检查期间内），每条道路扣1分。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雨雪天气后，车行道、人行道、道沿下泥沙、积雪清理未按规定及时清理的，每发现一处扣0.2分。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街路未清扫的，每发现一处扣2分。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未按规定时间完成清扫任务的，每条街路扣0.5分。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清扫保洁后垃圾堆未清理每堆口0.2分。</w:t>
      </w:r>
    </w:p>
    <w:p>
      <w:pPr>
        <w:numPr>
          <w:ilvl w:val="0"/>
          <w:numId w:val="10"/>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下水井口、树坑、隔离墩（栏）等清扫不彻底，存在果皮纸屑、包装袋等废弃物，每处扣0.1分。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（二）道路零星垃圾滞留时间（20分）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人行道、车行道、非机动车道和人行天桥等道路零星垃圾（不含落叶）按照道路不同等级确定的标准，每超出1分钟扣0.2分。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（三）保洁人员足额配备在岗并按规定着装（5分）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1、道路保洁员未按标准足额配备，每发现一次扣0.2分。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2、保洁员未按规定着装，必须遵守安全作业规定，每发现一次扣0.5分。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3、保洁员在作业时扎堆闲聊或从事与工作无关的，每发现一次扣0.5分。</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二、机械化保洁作业（35分）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（一）遵守作业时间规定，每发生1次违反早晚交通高峰出车扣3分，车辆作业期间辆车并排行驶的扣1分。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（二）道路保洁作业期间不扬尘、不漏扫、达到车走地面净。道路机械洗扫灰土重量按照道路不同等级确定的标准1平方米每超出1克扣0.2分。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（三）推行洒水车雾喷降尘，白天采取大范围冲洗道路（特殊情况除外）的每发现一处扣2分。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（四）道路保洁车辆出勤率依据北斗定位统计每降低一个百分点（机扫车90%以上、洒水车80%以上）扣0.5分。</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三、果皮箱管护</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（一）不及时清掏、垃圾落地每处扣1分。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（二）果皮箱箱体不洁、歪斜每处扣0.5分。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（三）果皮箱残缺每个扣0.3分。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（四）道路果皮箱设置数量不足或未设置扣2分。</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四、督查督办和社会评价</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（一）电视、报纸等媒体曝光并经查实在“以克论净 深度保洁”工作管理问题的每次扣总评分1分。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（二）县城管委办公室通报批评一次扣2分。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（三）未按时完成整改通知和群众投诉的，每次扣1分。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（四）县城管委办公室安排日常工作不能够及时完成的、推诿扯皮的扣2分。</w:t>
      </w:r>
    </w:p>
    <w:p>
      <w:p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县城管委办公室对各镇（街）、管委会“以克论净 深度保洁”工作存在的一般问题采取口头告知，对媒体曝光和领导批示采取书面告知并限期整改达标。对存在问题严重，采取上述措施后仍整治不力、造成一定影响的，将以简报形式在全市予以通报批评，取消当月评比资格。</w:t>
      </w:r>
    </w:p>
    <w:p>
      <w:pPr>
        <w:spacing w:line="240" w:lineRule="auto"/>
        <w:ind w:firstLine="436" w:firstLineChars="200"/>
        <w:rPr>
          <w:rFonts w:hint="eastAsia" w:ascii="黑体" w:hAnsi="黑体" w:eastAsia="黑体" w:cs="黑体"/>
          <w:color w:val="000000"/>
          <w:spacing w:val="-11"/>
          <w:sz w:val="24"/>
          <w:szCs w:val="24"/>
        </w:rPr>
      </w:pPr>
      <w:r>
        <w:rPr>
          <w:rFonts w:hint="eastAsia" w:ascii="黑体" w:hAnsi="黑体" w:eastAsia="黑体" w:cs="黑体"/>
          <w:color w:val="000000"/>
          <w:spacing w:val="-11"/>
          <w:sz w:val="24"/>
          <w:szCs w:val="24"/>
        </w:rPr>
        <w:t>五、年度综合考核加分项</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道路保洁车辆（中大型机扫或冲洗车辆）每年年终数量比上一年车辆增加一辆加0.5分（以车辆加装定位设备为准），小型保洁车辆每增加一辆加0.2分（以购车发票或采购合同为准），车辆更新不得分。</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召开全县性城市道路清扫“以克论净 深度保洁”工作现场会推广先进工作经验加5分。</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开展道路清扫“以克论净 深度保洁”工作被主流媒体报道的每次加0.3次。</w:t>
      </w:r>
    </w:p>
    <w:p>
      <w:pPr>
        <w:numPr>
          <w:ilvl w:val="0"/>
          <w:numId w:val="11"/>
        </w:numPr>
        <w:spacing w:line="240" w:lineRule="auto"/>
        <w:ind w:firstLine="436" w:firstLineChars="200"/>
        <w:rPr>
          <w:rFonts w:hint="eastAsia" w:ascii="仿宋_GB2312" w:hAnsi="仿宋_GB2312" w:eastAsia="仿宋_GB2312" w:cs="仿宋_GB2312"/>
          <w:color w:val="000000"/>
          <w:spacing w:val="-11"/>
          <w:sz w:val="24"/>
          <w:szCs w:val="24"/>
        </w:rPr>
      </w:pPr>
      <w:r>
        <w:rPr>
          <w:rFonts w:hint="eastAsia" w:ascii="仿宋_GB2312" w:hAnsi="仿宋_GB2312" w:eastAsia="仿宋_GB2312" w:cs="仿宋_GB2312"/>
          <w:color w:val="000000"/>
          <w:spacing w:val="-11"/>
          <w:sz w:val="24"/>
          <w:szCs w:val="24"/>
        </w:rPr>
        <w:t>各镇（街）本级财政资金投入比上一年度增加以10%为基准，每增加1%加1分。</w:t>
      </w:r>
    </w:p>
    <w:p>
      <w:pPr>
        <w:spacing w:line="240" w:lineRule="auto"/>
        <w:rPr>
          <w:rFonts w:hint="eastAsia" w:ascii="仿宋_GB2312" w:hAnsi="仿宋_GB2312" w:eastAsia="仿宋_GB2312" w:cs="仿宋_GB2312"/>
          <w:color w:val="000000"/>
          <w:spacing w:val="-11"/>
          <w:sz w:val="24"/>
          <w:szCs w:val="24"/>
        </w:rPr>
      </w:pPr>
    </w:p>
    <w:p>
      <w:pPr>
        <w:spacing w:line="240" w:lineRule="auto"/>
        <w:rPr>
          <w:rFonts w:hint="eastAsia" w:ascii="仿宋_GB2312" w:hAnsi="仿宋_GB2312" w:eastAsia="仿宋_GB2312" w:cs="仿宋_GB2312"/>
          <w:color w:val="000000"/>
          <w:spacing w:val="-11"/>
          <w:sz w:val="24"/>
          <w:szCs w:val="24"/>
        </w:rPr>
      </w:pPr>
    </w:p>
    <w:p>
      <w:pPr>
        <w:spacing w:line="240" w:lineRule="auto"/>
        <w:ind w:firstLine="480" w:firstLineChars="200"/>
        <w:rPr>
          <w:rFonts w:hint="eastAsia" w:ascii="仿宋_GB2312" w:hAnsi="仿宋_GB2312" w:eastAsia="仿宋_GB2312" w:cs="仿宋_GB2312"/>
          <w:color w:val="000000"/>
          <w:sz w:val="24"/>
          <w:szCs w:val="24"/>
        </w:rPr>
      </w:pPr>
    </w:p>
    <w:p>
      <w:pPr>
        <w:spacing w:line="24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pPr>
        <w:spacing w:line="240" w:lineRule="auto"/>
        <w:rPr>
          <w:rFonts w:hint="eastAsia" w:ascii="方正小标宋简体" w:hAnsi="方正小标宋简体" w:eastAsia="方正小标宋简体" w:cs="方正小标宋简体"/>
          <w:color w:val="000000"/>
          <w:sz w:val="36"/>
          <w:szCs w:val="36"/>
        </w:rPr>
      </w:pPr>
      <w:r>
        <w:rPr>
          <w:rFonts w:hint="eastAsia" w:ascii="仿宋_GB2312" w:hAnsi="仿宋_GB2312" w:eastAsia="仿宋_GB2312" w:cs="仿宋_GB2312"/>
          <w:color w:val="000000"/>
          <w:sz w:val="24"/>
          <w:szCs w:val="24"/>
        </w:rPr>
        <w:t>附件4</w:t>
      </w:r>
    </w:p>
    <w:p>
      <w:pPr>
        <w:spacing w:line="24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周至县市容环境卫生管理工作标准</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一、总则</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第一条</w:t>
      </w:r>
      <w:r>
        <w:rPr>
          <w:rFonts w:hint="eastAsia" w:ascii="仿宋_GB2312" w:hAnsi="仿宋_GB2312" w:eastAsia="仿宋_GB2312" w:cs="仿宋_GB2312"/>
          <w:color w:val="000000"/>
          <w:sz w:val="24"/>
          <w:szCs w:val="24"/>
        </w:rPr>
        <w:t xml:space="preserve"> 为了进一步提高我县市容环境卫生管理水平，建立健全市容环境卫生工作科学化、规范化、长效化管理机制，实现精细化管理的目标要求，根据国家建设部《城市市容和环境卫生管理条例》、《城镇市容环境卫生劳动定额》、《陕西省城市市容环境卫生条例》和《西安市城市市容和环境卫生管理条例》，并结合我县工作实际，制定本标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第二条</w:t>
      </w:r>
      <w:r>
        <w:rPr>
          <w:rFonts w:hint="eastAsia" w:ascii="仿宋_GB2312" w:hAnsi="仿宋_GB2312" w:eastAsia="仿宋_GB2312" w:cs="仿宋_GB2312"/>
          <w:color w:val="000000"/>
          <w:sz w:val="24"/>
          <w:szCs w:val="24"/>
        </w:rPr>
        <w:t xml:space="preserve"> 本标准为县级行业管理标准，适用于周至县城市市容环境卫生工作。</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第三条</w:t>
      </w:r>
      <w:r>
        <w:rPr>
          <w:rFonts w:hint="eastAsia" w:ascii="仿宋_GB2312" w:hAnsi="仿宋_GB2312" w:eastAsia="仿宋_GB2312" w:cs="仿宋_GB2312"/>
          <w:color w:val="000000"/>
          <w:sz w:val="24"/>
          <w:szCs w:val="24"/>
        </w:rPr>
        <w:t xml:space="preserve"> 城市道路清扫保洁应以维护道路清洁容貌和防止道路扬尘污染为目的。</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第四条</w:t>
      </w:r>
      <w:r>
        <w:rPr>
          <w:rFonts w:hint="eastAsia" w:ascii="仿宋_GB2312" w:hAnsi="仿宋_GB2312" w:eastAsia="仿宋_GB2312" w:cs="仿宋_GB2312"/>
          <w:color w:val="000000"/>
          <w:sz w:val="24"/>
          <w:szCs w:val="24"/>
        </w:rPr>
        <w:t xml:space="preserve"> 县城和镇街范围内道路清扫保洁、机械化清扫、道路冲洗、机动车清洗站（点）、非机动车保管站管理、废弃物收集箱（果皮箱）设置与日常管护、生活垃圾收集与清运、公共厕所管理等环境卫生工作均执行本标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第五条</w:t>
      </w:r>
      <w:r>
        <w:rPr>
          <w:rFonts w:hint="eastAsia" w:ascii="仿宋_GB2312" w:hAnsi="仿宋_GB2312" w:eastAsia="仿宋_GB2312" w:cs="仿宋_GB2312"/>
          <w:color w:val="000000"/>
          <w:sz w:val="24"/>
          <w:szCs w:val="24"/>
        </w:rPr>
        <w:t xml:space="preserve"> 县城市管理局负责监督本标准的落实，并对我县从事市容环境卫生工作的单位进行指导、监督和检查。</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二、道路清扫保洁工作</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第六条</w:t>
      </w:r>
      <w:r>
        <w:rPr>
          <w:rFonts w:hint="eastAsia" w:ascii="仿宋_GB2312" w:hAnsi="仿宋_GB2312" w:eastAsia="仿宋_GB2312" w:cs="仿宋_GB2312"/>
          <w:color w:val="000000"/>
          <w:sz w:val="24"/>
          <w:szCs w:val="24"/>
        </w:rPr>
        <w:t xml:space="preserve"> 作业范围为建成区内属市政道路的车行道、人行道、车行隧道、高架桥、人行过街天桥、地下通道、立交桥及广场等均属清扫保洁作业范围。所有建成区道路按建设部规定的清扫保洁等级标准分为一、二、三级进行管理，重要道路的清扫保洁等级按县级业务主管部门确定为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第七条</w:t>
      </w:r>
      <w:r>
        <w:rPr>
          <w:rFonts w:hint="eastAsia" w:ascii="仿宋_GB2312" w:hAnsi="仿宋_GB2312" w:eastAsia="仿宋_GB2312" w:cs="仿宋_GB2312"/>
          <w:color w:val="000000"/>
          <w:sz w:val="24"/>
          <w:szCs w:val="24"/>
        </w:rPr>
        <w:t xml:space="preserve"> 人员配备按一级道路2班制作业，每2750（A类）-3125（B类）平方米配备1名保洁员；二级道路2班制作业，每3125（A类）-3500（B类）平方米配备1名保洁员；三级道路2班制作业，每3800平方米配备1名保洁员。绿化带清扫保洁按二级道路标准配备，重要道路清扫保洁确需按3班制作业的，经县城市管理局批准后配备。</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第八条 </w:t>
      </w:r>
      <w:r>
        <w:rPr>
          <w:rFonts w:hint="eastAsia" w:ascii="仿宋_GB2312" w:hAnsi="仿宋_GB2312" w:eastAsia="仿宋_GB2312" w:cs="仿宋_GB2312"/>
          <w:color w:val="000000"/>
          <w:sz w:val="24"/>
          <w:szCs w:val="24"/>
        </w:rPr>
        <w:t>每名保洁员配备大扫把1把、小扫帚1把、保洁簸箕1个、保洁三轮车1辆。清扫和保洁工具手把及保洁三轮车后箱贴涂反光标志。保洁三轮车工具箱放置杂物捡拾夹、多色自喷漆、“野广告”清理铲等，普扫后大扫把放置在保洁三轮车上。人行道、车行道、主干道各喇叭口、下水井口、树坑、隔离墩、隔车绿带必须清扫干净。雨雪后车行道、人行道、道沿下泥水、积雪必须及时清理，不得有垃圾堆积、不能漏扫，不能用大扫把保洁造成二次污染。对道路上的抛洒污染问题，要及时发现及时清理和冲洗，不能因道路保洁不及时造成道路扬尘污染。</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第九条</w:t>
      </w:r>
      <w:r>
        <w:rPr>
          <w:rFonts w:hint="eastAsia" w:ascii="仿宋_GB2312" w:hAnsi="仿宋_GB2312" w:eastAsia="仿宋_GB2312" w:cs="仿宋_GB2312"/>
          <w:color w:val="000000"/>
          <w:sz w:val="24"/>
          <w:szCs w:val="24"/>
        </w:rPr>
        <w:t xml:space="preserve"> 每天除“普扫”使用大扫帚外，其余时间全部使用小扫帚进行保洁。春夏季早“普扫”6:30前完成，秋冬季早“普扫”7:00前完成；下班时间春夏季22:00，秋冬季21:30。</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第十条</w:t>
      </w:r>
      <w:r>
        <w:rPr>
          <w:rFonts w:hint="eastAsia" w:ascii="仿宋_GB2312" w:hAnsi="仿宋_GB2312" w:eastAsia="仿宋_GB2312" w:cs="仿宋_GB2312"/>
          <w:color w:val="000000"/>
          <w:sz w:val="24"/>
          <w:szCs w:val="24"/>
        </w:rPr>
        <w:t xml:space="preserve"> 道路保洁实行巡查员负责制，每3-8条道路为一个巡查区域，设巡查人员1名。各类道路每名保洁员作业区为一个标段，对保洁员实行编号定位。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第十一条</w:t>
      </w:r>
      <w:r>
        <w:rPr>
          <w:rFonts w:hint="eastAsia" w:ascii="仿宋_GB2312" w:hAnsi="仿宋_GB2312" w:eastAsia="仿宋_GB2312" w:cs="仿宋_GB2312"/>
          <w:color w:val="000000"/>
          <w:sz w:val="24"/>
          <w:szCs w:val="24"/>
        </w:rPr>
        <w:t xml:space="preserve"> 各单位应组建不少于10%的保洁轮休人员（含保洁应急队伍），以保证保洁人员轮休和快速解决区域范围内突发的影响市容环境卫生的事件。</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第十二条</w:t>
      </w:r>
      <w:r>
        <w:rPr>
          <w:rFonts w:hint="eastAsia" w:ascii="仿宋_GB2312" w:hAnsi="仿宋_GB2312" w:eastAsia="仿宋_GB2312" w:cs="仿宋_GB2312"/>
          <w:color w:val="000000"/>
          <w:sz w:val="24"/>
          <w:szCs w:val="24"/>
        </w:rPr>
        <w:t xml:space="preserve"> 保洁员在工作时间内应工服整洁，穿戴整齐，用语文明，不得乱躺和聚堆闲聊，无脱岗漏保，严禁从事与工作无关的事情。</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第十三条 </w:t>
      </w:r>
      <w:r>
        <w:rPr>
          <w:rFonts w:hint="eastAsia" w:ascii="仿宋_GB2312" w:hAnsi="仿宋_GB2312" w:eastAsia="仿宋_GB2312" w:cs="仿宋_GB2312"/>
          <w:color w:val="000000"/>
          <w:sz w:val="24"/>
          <w:szCs w:val="24"/>
        </w:rPr>
        <w:t>保洁员作业时严禁将尘土、杂物扫至下水井口，严禁将垃圾随意倾倒或焚烧，落叶季节严禁焚烧落叶。</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第十四条</w:t>
      </w:r>
      <w:r>
        <w:rPr>
          <w:rFonts w:hint="eastAsia" w:ascii="仿宋_GB2312" w:hAnsi="仿宋_GB2312" w:eastAsia="仿宋_GB2312" w:cs="仿宋_GB2312"/>
          <w:color w:val="000000"/>
          <w:sz w:val="24"/>
          <w:szCs w:val="24"/>
        </w:rPr>
        <w:t xml:space="preserve"> 保洁员上岗时必须着警示保洁服，普扫时逆车流方向作业，在前方50米处设置警示设施。冬季早、晚“普扫”时安排1人进行交通提示。</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三、道路冲洗作业</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第十五条</w:t>
      </w:r>
      <w:r>
        <w:rPr>
          <w:rFonts w:hint="eastAsia" w:ascii="仿宋_GB2312" w:hAnsi="仿宋_GB2312" w:eastAsia="仿宋_GB2312" w:cs="仿宋_GB2312"/>
          <w:color w:val="000000"/>
          <w:sz w:val="24"/>
          <w:szCs w:val="24"/>
        </w:rPr>
        <w:t xml:space="preserve">  每日在6:30前对道路“灰带”（道路附着物下由于积尘造成的一种现象）及“带头”（道路、绿带间隔处道沿下的积尘）进行冲洗作业。</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第十六条</w:t>
      </w:r>
      <w:r>
        <w:rPr>
          <w:rFonts w:hint="eastAsia" w:ascii="仿宋_GB2312" w:hAnsi="仿宋_GB2312" w:eastAsia="仿宋_GB2312" w:cs="仿宋_GB2312"/>
          <w:color w:val="000000"/>
          <w:sz w:val="24"/>
          <w:szCs w:val="24"/>
        </w:rPr>
        <w:t xml:space="preserve"> 洒水车清晨、夜间作业时应打开提示灯，禁止鸣报任何信号，其余时间应鸣信号声提醒过路车辆及行人。</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第十七条 </w:t>
      </w:r>
      <w:r>
        <w:rPr>
          <w:rFonts w:hint="eastAsia" w:ascii="仿宋_GB2312" w:hAnsi="仿宋_GB2312" w:eastAsia="仿宋_GB2312" w:cs="仿宋_GB2312"/>
          <w:color w:val="000000"/>
          <w:sz w:val="24"/>
          <w:szCs w:val="24"/>
        </w:rPr>
        <w:t>气温在30℃以上、遇扬尘天气和重要活动及会议保障时增加2-4次洒水车雾喷频次。每日要加强生活垃圾通道的冲洗工作，小型冲洗车应对人行道、背街小巷、果皮箱底座、垃圾桶、下水井盖等进行冲洗。</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第十八条</w:t>
      </w:r>
      <w:r>
        <w:rPr>
          <w:rFonts w:hint="eastAsia" w:ascii="仿宋_GB2312" w:hAnsi="仿宋_GB2312" w:eastAsia="仿宋_GB2312" w:cs="仿宋_GB2312"/>
          <w:color w:val="000000"/>
          <w:sz w:val="24"/>
          <w:szCs w:val="24"/>
        </w:rPr>
        <w:t xml:space="preserve"> 加强十五条“渣土通道”、工地周边道路、城市出入口等灰带严重区域的冲洗作业，做到即时冲洗；洒水车应对一、二类道路每日雾喷不少于3次，三类道路每日不少于1次，确保市政道路做到“常湿润、显本色、不起尘”。</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第十九条</w:t>
      </w:r>
      <w:r>
        <w:rPr>
          <w:rFonts w:hint="eastAsia" w:ascii="仿宋_GB2312" w:hAnsi="仿宋_GB2312" w:eastAsia="仿宋_GB2312" w:cs="仿宋_GB2312"/>
          <w:color w:val="000000"/>
          <w:sz w:val="24"/>
          <w:szCs w:val="24"/>
        </w:rPr>
        <w:t xml:space="preserve"> 洒水车必须按照要求安装定位系统，洒水车应集中管理，出勤率必须达到75%以上。以上冲洗、雾喷作业时间要求均不含冬季结冰期，进入冬季后，气温在3℃以下不得进行任何冲洗、洒水作业。雨停后3小时内将路面积水清理干净。</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四、道路机械化清扫</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第二十条</w:t>
      </w:r>
      <w:r>
        <w:rPr>
          <w:rFonts w:hint="eastAsia" w:ascii="仿宋_GB2312" w:hAnsi="仿宋_GB2312" w:eastAsia="仿宋_GB2312" w:cs="仿宋_GB2312"/>
          <w:color w:val="000000"/>
          <w:sz w:val="24"/>
          <w:szCs w:val="24"/>
        </w:rPr>
        <w:t xml:space="preserve"> 作业范围是全县一、二类道路和重点区域适合机扫的路段，根据道路改造情况和扫路车增加数量，不断扩大机扫面积，道路机械化出勤率保持在85%以上，城市主干道机扫率不低于95%。</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第二十一条</w:t>
      </w:r>
      <w:r>
        <w:rPr>
          <w:rFonts w:hint="eastAsia" w:ascii="仿宋_GB2312" w:hAnsi="仿宋_GB2312" w:eastAsia="仿宋_GB2312" w:cs="仿宋_GB2312"/>
          <w:color w:val="000000"/>
          <w:sz w:val="24"/>
          <w:szCs w:val="24"/>
        </w:rPr>
        <w:t xml:space="preserve"> 每日作业4次，作业时间由各镇街、单位具体确定，必须避开上下班交通高峰时间段，如遇重大活动或突发事件时可适当调整。</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第二十二条</w:t>
      </w:r>
      <w:r>
        <w:rPr>
          <w:rFonts w:hint="eastAsia" w:ascii="仿宋_GB2312" w:hAnsi="仿宋_GB2312" w:eastAsia="仿宋_GB2312" w:cs="仿宋_GB2312"/>
          <w:color w:val="000000"/>
          <w:sz w:val="24"/>
          <w:szCs w:val="24"/>
        </w:rPr>
        <w:t xml:space="preserve"> 道路机械化清扫作业实行“四定”制度，即“定车辆、定时间、定路线、定责任”。</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第二十三条</w:t>
      </w:r>
      <w:r>
        <w:rPr>
          <w:rFonts w:hint="eastAsia" w:ascii="仿宋_GB2312" w:hAnsi="仿宋_GB2312" w:eastAsia="仿宋_GB2312" w:cs="仿宋_GB2312"/>
          <w:color w:val="000000"/>
          <w:sz w:val="24"/>
          <w:szCs w:val="24"/>
        </w:rPr>
        <w:t xml:space="preserve"> 扫路车作业时鸣报提示音乐和警示灯，开启喷水降尘设施，采取湿法作业，清扫速度不超过每小时10公里。无漏扫、不扬尘，车过地面净，清扫作业结束后必须将垃圾倒入指定收集点，早7:00前和晚22:00后作业应关闭提示音乐。</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第二十四条</w:t>
      </w:r>
      <w:r>
        <w:rPr>
          <w:rFonts w:hint="eastAsia" w:ascii="仿宋_GB2312" w:hAnsi="仿宋_GB2312" w:eastAsia="仿宋_GB2312" w:cs="仿宋_GB2312"/>
          <w:color w:val="000000"/>
          <w:sz w:val="24"/>
          <w:szCs w:val="24"/>
        </w:rPr>
        <w:t xml:space="preserve"> 机扫车必须按照要求安装定位系统，统一停放在专用停车场，集中管理，定时定点维护保养，扫刷等设备应及时更换。</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第二十五条</w:t>
      </w:r>
      <w:r>
        <w:rPr>
          <w:rFonts w:hint="eastAsia" w:ascii="仿宋_GB2312" w:hAnsi="仿宋_GB2312" w:eastAsia="仿宋_GB2312" w:cs="仿宋_GB2312"/>
          <w:color w:val="000000"/>
          <w:sz w:val="24"/>
          <w:szCs w:val="24"/>
        </w:rPr>
        <w:t xml:space="preserve"> 根据机械化清扫管理规范，驾驶员必须具有B类以上驾照，具备4年以上驾龄，身体健康；驾驶员经过专业培训，能熟练掌握专业车辆的操作方法、工作程序，以及车辆的日常维护技能；热爱市容环境卫生工作，工作期间着装整洁、行为规范，做到文明作业。</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第二十六条</w:t>
      </w:r>
      <w:r>
        <w:rPr>
          <w:rFonts w:hint="eastAsia" w:ascii="仿宋_GB2312" w:hAnsi="仿宋_GB2312" w:eastAsia="仿宋_GB2312" w:cs="仿宋_GB2312"/>
          <w:color w:val="000000"/>
          <w:sz w:val="24"/>
          <w:szCs w:val="24"/>
        </w:rPr>
        <w:t xml:space="preserve"> 遵守交通规则，文明行车，规范作业，防止各类事故发生。</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五、废弃物收集箱（果皮箱）设置与日常管护</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第二十七条</w:t>
      </w:r>
      <w:r>
        <w:rPr>
          <w:rFonts w:hint="eastAsia" w:ascii="仿宋_GB2312" w:hAnsi="仿宋_GB2312" w:eastAsia="仿宋_GB2312" w:cs="仿宋_GB2312"/>
          <w:color w:val="000000"/>
          <w:sz w:val="24"/>
          <w:szCs w:val="24"/>
        </w:rPr>
        <w:t xml:space="preserve"> 废弃物收集箱设置应美观、耐用、防雨、阻燃，与周边环境协调。具体设置标准按照《城镇环境卫生设施设置标准》（CJJ27-2012）执行。废物箱的设置间隔宜符合下列规定：商业、金融业街道：50～100m；主干路、次干路、有辅道的快速路：100～200m；支路、有人行道的快速路：200～400m。</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第二十八条</w:t>
      </w:r>
      <w:r>
        <w:rPr>
          <w:rFonts w:hint="eastAsia" w:ascii="仿宋_GB2312" w:hAnsi="仿宋_GB2312" w:eastAsia="仿宋_GB2312" w:cs="仿宋_GB2312"/>
          <w:color w:val="000000"/>
          <w:sz w:val="24"/>
          <w:szCs w:val="24"/>
        </w:rPr>
        <w:t xml:space="preserve"> 任何材质的废弃物收集箱若出现破损的随发现随维修或更换。</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第二十九条</w:t>
      </w:r>
      <w:r>
        <w:rPr>
          <w:rFonts w:hint="eastAsia" w:ascii="仿宋_GB2312" w:hAnsi="仿宋_GB2312" w:eastAsia="仿宋_GB2312" w:cs="仿宋_GB2312"/>
          <w:color w:val="000000"/>
          <w:sz w:val="24"/>
          <w:szCs w:val="24"/>
        </w:rPr>
        <w:t xml:space="preserve"> 废弃物收集箱每日擦洗2次，及时清掏，无垃圾落地和翻拾垃圾现象，箱体干净无污渍、无破损，摆放端正。</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第三十条</w:t>
      </w:r>
      <w:r>
        <w:rPr>
          <w:rFonts w:hint="eastAsia" w:ascii="仿宋_GB2312" w:hAnsi="仿宋_GB2312" w:eastAsia="仿宋_GB2312" w:cs="仿宋_GB2312"/>
          <w:color w:val="000000"/>
          <w:sz w:val="24"/>
          <w:szCs w:val="24"/>
        </w:rPr>
        <w:t xml:space="preserve"> 未经县城市管理局批准不得安装带有商业广告载体的果皮箱。</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六、非机动车停放站管理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第三十一条</w:t>
      </w:r>
      <w:r>
        <w:rPr>
          <w:rFonts w:hint="eastAsia" w:ascii="仿宋_GB2312" w:hAnsi="仿宋_GB2312" w:eastAsia="仿宋_GB2312" w:cs="仿宋_GB2312"/>
          <w:color w:val="000000"/>
          <w:sz w:val="24"/>
          <w:szCs w:val="24"/>
        </w:rPr>
        <w:t xml:space="preserve"> 非机动车停放站设置应合理规范，一、二类道路禁止设置，不得占用盲道，留足人行通道，不得擅自移位和扩大面积。</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第三十二条</w:t>
      </w:r>
      <w:r>
        <w:rPr>
          <w:rFonts w:hint="eastAsia" w:ascii="仿宋_GB2312" w:hAnsi="仿宋_GB2312" w:eastAsia="仿宋_GB2312" w:cs="仿宋_GB2312"/>
          <w:color w:val="000000"/>
          <w:sz w:val="24"/>
          <w:szCs w:val="24"/>
        </w:rPr>
        <w:t xml:space="preserve"> 由设置单位提出申请，并提交设置规划图，经区业务主管部门同意后方可设置，明确地点、面积及开放时间，同时上报县市管理局备案。收费按照市物价发[2008]88号文件执行。非机动车管理站未经批准不得非法设立。</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第三十三条 </w:t>
      </w:r>
      <w:r>
        <w:rPr>
          <w:rFonts w:hint="eastAsia" w:ascii="仿宋_GB2312" w:hAnsi="仿宋_GB2312" w:eastAsia="仿宋_GB2312" w:cs="仿宋_GB2312"/>
          <w:color w:val="000000"/>
          <w:sz w:val="24"/>
          <w:szCs w:val="24"/>
        </w:rPr>
        <w:t>非机动车停放站要以区为单位设置色调、规格统一的护栏，设置统一标识，悬挂收费公示牌，应做到管理间、收费柜、标志牌、工作服、胸卡“五统一”。</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第三十四条</w:t>
      </w:r>
      <w:r>
        <w:rPr>
          <w:rFonts w:hint="eastAsia" w:ascii="仿宋_GB2312" w:hAnsi="仿宋_GB2312" w:eastAsia="仿宋_GB2312" w:cs="仿宋_GB2312"/>
          <w:color w:val="000000"/>
          <w:sz w:val="24"/>
          <w:szCs w:val="24"/>
        </w:rPr>
        <w:t xml:space="preserve"> 非机动车停放必须干净整洁，车辆摆放整齐有序，不得随意摆放及用绳子、铁丝做围挡物，无各类“野广告”或垃圾杂物。有条件的应摆放花草，进行美化。</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第三十五条</w:t>
      </w:r>
      <w:r>
        <w:rPr>
          <w:rFonts w:hint="eastAsia" w:ascii="仿宋_GB2312" w:hAnsi="仿宋_GB2312" w:eastAsia="仿宋_GB2312" w:cs="仿宋_GB2312"/>
          <w:color w:val="000000"/>
          <w:sz w:val="24"/>
          <w:szCs w:val="24"/>
        </w:rPr>
        <w:t xml:space="preserve"> 非机动车停放站由设置单位负责管理，每站应配有专职管理人员，每日擦拭站内各类设施，负责日常保洁。</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七、生活垃圾收集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第三十六条</w:t>
      </w:r>
      <w:r>
        <w:rPr>
          <w:rFonts w:hint="eastAsia" w:ascii="仿宋_GB2312" w:hAnsi="仿宋_GB2312" w:eastAsia="仿宋_GB2312" w:cs="仿宋_GB2312"/>
          <w:color w:val="000000"/>
          <w:sz w:val="24"/>
          <w:szCs w:val="24"/>
        </w:rPr>
        <w:t xml:space="preserve"> 生活垃圾收集站点的设置应符合“合理规划、方便公众”的原则，每个镇街区域的垃圾压缩站数量和规划应按住建部的规划标准设置，垃圾桶、箱、台站及袋装收集点设置在背街小巷。</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第三十七条</w:t>
      </w:r>
      <w:r>
        <w:rPr>
          <w:rFonts w:hint="eastAsia" w:ascii="仿宋_GB2312" w:hAnsi="仿宋_GB2312" w:eastAsia="仿宋_GB2312" w:cs="仿宋_GB2312"/>
          <w:color w:val="000000"/>
          <w:sz w:val="24"/>
          <w:szCs w:val="24"/>
        </w:rPr>
        <w:t xml:space="preserve"> 垃圾压缩站配备管理人员2名以上，垃圾桶、箱、台站各配备1名。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第三十八条</w:t>
      </w:r>
      <w:r>
        <w:rPr>
          <w:rFonts w:hint="eastAsia" w:ascii="仿宋_GB2312" w:hAnsi="仿宋_GB2312" w:eastAsia="仿宋_GB2312" w:cs="仿宋_GB2312"/>
          <w:color w:val="000000"/>
          <w:sz w:val="24"/>
          <w:szCs w:val="24"/>
        </w:rPr>
        <w:t xml:space="preserve"> 垃圾收集必须密闭化，定时喷洒药物，控制蚊蝇孳生，防止二次污染。垃圾压缩站应实行全天保洁，每次压缩作业后对地面冲洗1次，清运后药物消杀作业1次。垃圾桶、箱每日擦洗2次，夏秋季每日消杀作业2次，每周对周边地面冲洗2次。</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第三十九条</w:t>
      </w:r>
      <w:r>
        <w:rPr>
          <w:rFonts w:hint="eastAsia" w:ascii="仿宋_GB2312" w:hAnsi="仿宋_GB2312" w:eastAsia="仿宋_GB2312" w:cs="仿宋_GB2312"/>
          <w:color w:val="000000"/>
          <w:sz w:val="24"/>
          <w:szCs w:val="24"/>
        </w:rPr>
        <w:t xml:space="preserve"> 垃圾压缩站作业应安全规范，先压缩、后清运。灭蝇设施完好，悬挂4个以上灭蝇灯。每日开放时间为5:00-24:00，达到地面净、墙壁净、门窗净、灯具净、设备净、周边环境净，无垃圾散落、无积留污水、无扬尘恶臭，管理间干净整洁的标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第四十条</w:t>
      </w:r>
      <w:r>
        <w:rPr>
          <w:rFonts w:hint="eastAsia" w:ascii="仿宋_GB2312" w:hAnsi="仿宋_GB2312" w:eastAsia="仿宋_GB2312" w:cs="仿宋_GB2312"/>
          <w:color w:val="000000"/>
          <w:sz w:val="24"/>
          <w:szCs w:val="24"/>
        </w:rPr>
        <w:t xml:space="preserve"> 桶、箱、台站应摆放整齐，达到“三净、三无”的卫生标准，即：桶箱体净，无残缺破损；地面环境净，无冒尖溢满、垃圾落地；周边环境净，无乱堆乱放。垃圾台站立面整洁，通道流畅，无污水渗漏和堆尖冒顶。袋装收集点定时定点收集，车走地净。袋装垃圾收集站点应二次包装，在所有垃圾站点不能焚烧树叶垃圾。</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第四十一条</w:t>
      </w:r>
      <w:r>
        <w:rPr>
          <w:rFonts w:hint="eastAsia" w:ascii="仿宋_GB2312" w:hAnsi="仿宋_GB2312" w:eastAsia="仿宋_GB2312" w:cs="仿宋_GB2312"/>
          <w:color w:val="000000"/>
          <w:sz w:val="24"/>
          <w:szCs w:val="24"/>
        </w:rPr>
        <w:t xml:space="preserve"> 垃圾压缩站每半年应按照技术要求保养1次，各种车辆和设备应进行日常维护保养，按照相关规定进行大、中、小修，设备正常运转率达到90％以上；生活垃圾收集站、点应建立科学、规范的操作规程，建立日程设备运转记录。</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八、生活垃圾清运</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第四十二条</w:t>
      </w:r>
      <w:r>
        <w:rPr>
          <w:rFonts w:hint="eastAsia" w:ascii="仿宋_GB2312" w:hAnsi="仿宋_GB2312" w:eastAsia="仿宋_GB2312" w:cs="仿宋_GB2312"/>
          <w:color w:val="000000"/>
          <w:sz w:val="24"/>
          <w:szCs w:val="24"/>
        </w:rPr>
        <w:t xml:space="preserve"> 清运车辆配置标准应按实际运行车辆的1:1.5配置，车辆运行年限执行国家标准。车辆驾驶员按运行车辆1:1.5配备，使用人工装卸的车辆每车配备清运工2名。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第四十三条</w:t>
      </w:r>
      <w:r>
        <w:rPr>
          <w:rFonts w:hint="eastAsia" w:ascii="仿宋_GB2312" w:hAnsi="仿宋_GB2312" w:eastAsia="仿宋_GB2312" w:cs="仿宋_GB2312"/>
          <w:color w:val="000000"/>
          <w:sz w:val="24"/>
          <w:szCs w:val="24"/>
        </w:rPr>
        <w:t xml:space="preserve"> 垃圾清运作业方案应科学合理，班次安排得当，垃圾收集站点与清运车辆衔接有序，实行定人、定车、定点、定时、定线路责任制，包日产日清。</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第四十四条</w:t>
      </w:r>
      <w:r>
        <w:rPr>
          <w:rFonts w:hint="eastAsia" w:ascii="仿宋_GB2312" w:hAnsi="仿宋_GB2312" w:eastAsia="仿宋_GB2312" w:cs="仿宋_GB2312"/>
          <w:color w:val="000000"/>
          <w:sz w:val="24"/>
          <w:szCs w:val="24"/>
        </w:rPr>
        <w:t xml:space="preserve"> 垃圾车进入垃圾场进行倾倒时应听从调度人员指挥，规范操作。垃圾清运过程中为防止扬、撒、拖挂、设备应密闭化，为防止污水洒漏，应保证装车无污水，有水无滴漏，所有防水及密闭设备全部完好。</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第四十五条</w:t>
      </w:r>
      <w:r>
        <w:rPr>
          <w:rFonts w:hint="eastAsia" w:ascii="仿宋_GB2312" w:hAnsi="仿宋_GB2312" w:eastAsia="仿宋_GB2312" w:cs="仿宋_GB2312"/>
          <w:color w:val="000000"/>
          <w:sz w:val="24"/>
          <w:szCs w:val="24"/>
        </w:rPr>
        <w:t xml:space="preserve"> 清运车应在环卫车场统一停放，每日作业回场后先进行冲洗，车体（内）外部无污物、灰垢，标志清晰，车容整洁，停放有序。</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第四十六条</w:t>
      </w:r>
      <w:r>
        <w:rPr>
          <w:rFonts w:hint="eastAsia" w:ascii="仿宋_GB2312" w:hAnsi="仿宋_GB2312" w:eastAsia="仿宋_GB2312" w:cs="仿宋_GB2312"/>
          <w:color w:val="000000"/>
          <w:sz w:val="24"/>
          <w:szCs w:val="24"/>
        </w:rPr>
        <w:t xml:space="preserve"> 建立车辆的使用、保养、修理及检验、监督、安全作业档案；每日出车前、收车后检查车辆，每周进行全面检查，每月进行一次保养，保持车况良好，保证安全生产。</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第四十七条</w:t>
      </w:r>
      <w:r>
        <w:rPr>
          <w:rFonts w:hint="eastAsia" w:ascii="仿宋_GB2312" w:hAnsi="仿宋_GB2312" w:eastAsia="仿宋_GB2312" w:cs="仿宋_GB2312"/>
          <w:color w:val="000000"/>
          <w:sz w:val="24"/>
          <w:szCs w:val="24"/>
        </w:rPr>
        <w:t xml:space="preserve"> 组建应急队伍，有效应对压缩设备故障和雨雪恶劣天气的影响，辖区无垃圾滞留。</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九、公共厕所管理</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第四十八条</w:t>
      </w:r>
      <w:r>
        <w:rPr>
          <w:rFonts w:hint="eastAsia" w:ascii="仿宋_GB2312" w:hAnsi="仿宋_GB2312" w:eastAsia="仿宋_GB2312" w:cs="仿宋_GB2312"/>
          <w:color w:val="000000"/>
          <w:sz w:val="24"/>
          <w:szCs w:val="24"/>
        </w:rPr>
        <w:t xml:space="preserve"> 全县由政府投资建设的公厕必须免费对外开放，开放时间公示并保证。除能全天24小时开放的公厕外，其余公厕春夏6:00-23:00，秋冬6:30-22:30开放，开放率达到100％。临时性停水、停电，应采取急措施保障正常开放；因大修等需正常关闭，应提前张贴告示，并明确恢复开放时间，管理员须坚守岗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第四十九条</w:t>
      </w:r>
      <w:r>
        <w:rPr>
          <w:rFonts w:hint="eastAsia" w:ascii="仿宋_GB2312" w:hAnsi="仿宋_GB2312" w:eastAsia="仿宋_GB2312" w:cs="仿宋_GB2312"/>
          <w:color w:val="000000"/>
          <w:sz w:val="24"/>
          <w:szCs w:val="24"/>
        </w:rPr>
        <w:t xml:space="preserve"> 在公厕外50米左右设有标识醒目的公厕指示牌，公厕外墙有中英文对照标志牌，公厕内悬挂《管理规定》、《如厕须知》、《检查公示牌》、《管理员职责》和监督电话。</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第五十条</w:t>
      </w:r>
      <w:r>
        <w:rPr>
          <w:rFonts w:hint="eastAsia" w:ascii="仿宋_GB2312" w:hAnsi="仿宋_GB2312" w:eastAsia="仿宋_GB2312" w:cs="仿宋_GB2312"/>
          <w:color w:val="000000"/>
          <w:sz w:val="24"/>
          <w:szCs w:val="24"/>
        </w:rPr>
        <w:t xml:space="preserve"> 公厕管理人员应根据开放时间配备，一类道路或重点区域公厕实行3班制，其他公厕实行2班制，每班配备管理人员1名。</w:t>
      </w:r>
    </w:p>
    <w:p>
      <w:pPr>
        <w:spacing w:line="240" w:lineRule="auto"/>
        <w:ind w:firstLine="241" w:firstLineChars="1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第五十一条</w:t>
      </w:r>
      <w:r>
        <w:rPr>
          <w:rFonts w:hint="eastAsia" w:ascii="仿宋_GB2312" w:hAnsi="仿宋_GB2312" w:eastAsia="仿宋_GB2312" w:cs="仿宋_GB2312"/>
          <w:color w:val="000000"/>
          <w:sz w:val="24"/>
          <w:szCs w:val="24"/>
        </w:rPr>
        <w:t xml:space="preserve"> 应实现全天不间断保洁，每日对室内环境冲洗2次，达到“地面净、墙壁净、门窗净、蹲位净、隔板净、便池净、洁具净、灯具净、牌匾净、周边环境净；墙面无污渍、墙角无灰网、便池无粪迹、立面无乱画、地面无杂物；管理间干净整洁无杂物。落实“三包”范围内的市容环境卫生责任。</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第五十二条</w:t>
      </w:r>
      <w:r>
        <w:rPr>
          <w:rFonts w:hint="eastAsia" w:ascii="仿宋_GB2312" w:hAnsi="仿宋_GB2312" w:eastAsia="仿宋_GB2312" w:cs="仿宋_GB2312"/>
          <w:color w:val="000000"/>
          <w:sz w:val="24"/>
          <w:szCs w:val="24"/>
        </w:rPr>
        <w:t xml:space="preserve"> 每年4-10月为蚊、蝇、蛆消杀期，每日早、中、晚三次定时药物消杀，公厕门口悬挂防蝇帘，每厕悬挂2个以上灭蝇灯，摆放2个以上灭鼠药饵盒，每月更换药饵1次。公厕内设置除臭设备及物品，室内通风良好，无恶臭。</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第五十三条</w:t>
      </w:r>
      <w:r>
        <w:rPr>
          <w:rFonts w:hint="eastAsia" w:ascii="仿宋_GB2312" w:hAnsi="仿宋_GB2312" w:eastAsia="仿宋_GB2312" w:cs="仿宋_GB2312"/>
          <w:color w:val="000000"/>
          <w:sz w:val="24"/>
          <w:szCs w:val="24"/>
        </w:rPr>
        <w:t xml:space="preserve"> 公厕维护经费专款专用，设施维修更换及时，水龙头、灯具、洗手器具损坏半个工作日内更换到位，冲水设备损坏、下水道堵塞1个工作日内修复，隔板、门窗、洁具等其他设备损坏2个工作日内修复。</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第五十四条 </w:t>
      </w:r>
      <w:r>
        <w:rPr>
          <w:rFonts w:hint="eastAsia" w:ascii="仿宋_GB2312" w:hAnsi="仿宋_GB2312" w:eastAsia="仿宋_GB2312" w:cs="仿宋_GB2312"/>
          <w:color w:val="000000"/>
          <w:sz w:val="24"/>
          <w:szCs w:val="24"/>
        </w:rPr>
        <w:t>管理员上岗应统一着装，佩戴胸牌，每日如实填写《公厕管理日志》，如实记录日常保洁、设施状态、消杀除臭等内容，按时交接班，不得脱岗、漏岗以及从事管理之外的其他活动。公厕开放服务时不允许变相收费。</w:t>
      </w:r>
    </w:p>
    <w:p>
      <w:pPr>
        <w:spacing w:line="240" w:lineRule="auto"/>
        <w:ind w:firstLine="480" w:firstLineChars="200"/>
        <w:rPr>
          <w:rFonts w:hint="eastAsia" w:ascii="黑体" w:hAnsi="黑体" w:eastAsia="黑体" w:cs="黑体"/>
          <w:color w:val="000000"/>
          <w:sz w:val="24"/>
          <w:szCs w:val="24"/>
        </w:rPr>
      </w:pPr>
      <w:r>
        <w:rPr>
          <w:rFonts w:hint="eastAsia" w:ascii="黑体" w:hAnsi="黑体" w:eastAsia="黑体" w:cs="黑体"/>
          <w:color w:val="000000"/>
          <w:sz w:val="24"/>
          <w:szCs w:val="24"/>
        </w:rPr>
        <w:t>十、其他管理工作</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第五十五条</w:t>
      </w:r>
      <w:r>
        <w:rPr>
          <w:rFonts w:hint="eastAsia" w:ascii="仿宋_GB2312" w:hAnsi="仿宋_GB2312" w:eastAsia="仿宋_GB2312" w:cs="仿宋_GB2312"/>
          <w:color w:val="000000"/>
          <w:sz w:val="24"/>
          <w:szCs w:val="24"/>
        </w:rPr>
        <w:t xml:space="preserve"> 机动车辆清洗点开设应符合《西安市机动车辆清洗管理办法》和2010年西安市人民政府令第90号有关规定，城区在县城市管理局办理有关手续，各镇街机动车辆清洗点，在各镇街环卫管理部门办理有关手续，不得出现无证经营、占道擦洗车辆等违章洗车造成污水溢流影响周边环境卫生。</w:t>
      </w:r>
    </w:p>
    <w:p>
      <w:pPr>
        <w:spacing w:line="240" w:lineRule="auto"/>
        <w:ind w:firstLine="482"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第五十六条</w:t>
      </w:r>
      <w:r>
        <w:rPr>
          <w:rFonts w:hint="eastAsia" w:ascii="仿宋_GB2312" w:hAnsi="仿宋_GB2312" w:eastAsia="仿宋_GB2312" w:cs="仿宋_GB2312"/>
          <w:color w:val="000000"/>
          <w:sz w:val="24"/>
          <w:szCs w:val="24"/>
        </w:rPr>
        <w:t xml:space="preserve"> 参照国家《机动车强制报废标准规定》有关规定，西安市环卫车辆报废年限定为8-10年。</w:t>
      </w:r>
    </w:p>
    <w:p>
      <w:pPr>
        <w:adjustRightInd w:val="0"/>
        <w:snapToGrid w:val="0"/>
        <w:spacing w:line="240" w:lineRule="auto"/>
        <w:rPr>
          <w:rFonts w:hint="eastAsia" w:ascii="黑体" w:hAnsi="黑体" w:eastAsia="黑体" w:cs="黑体"/>
          <w:sz w:val="24"/>
          <w:szCs w:val="24"/>
        </w:rPr>
      </w:pPr>
      <w:r>
        <w:rPr>
          <w:rFonts w:hint="eastAsia" w:ascii="仿宋_GB2312" w:hAnsi="仿宋_GB2312" w:eastAsia="仿宋_GB2312" w:cs="仿宋_GB2312"/>
          <w:color w:val="000000"/>
          <w:sz w:val="24"/>
          <w:szCs w:val="24"/>
        </w:rPr>
        <w:t>在具体实施过程中，该《标准》将随着我县市容环境卫生管理工作的发展情况适时调整和完善。</w:t>
      </w:r>
    </w:p>
    <w:p>
      <w:pPr>
        <w:adjustRightInd w:val="0"/>
        <w:snapToGrid w:val="0"/>
        <w:spacing w:line="240" w:lineRule="auto"/>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rPr>
        <w:t>附件5</w:t>
      </w:r>
    </w:p>
    <w:p>
      <w:pPr>
        <w:spacing w:line="24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周至县生活垃圾清运管理考核办法</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加强我县生活垃圾清洁收运管理工作，提高生活垃圾清洁收运水平，减少二次污染，保障人民群众身体健康，根据《城市生活垃圾管理办法》、《西安市城市市容和环境卫生管理条例》和《西安市城市生活垃圾清洁收运工作实施方案》</w:t>
      </w:r>
      <w:r>
        <w:rPr>
          <w:rFonts w:hint="eastAsia" w:ascii="仿宋_GB2312" w:hAnsi="仿宋_GB2312" w:eastAsia="仿宋_GB2312" w:cs="仿宋_GB2312"/>
          <w:sz w:val="24"/>
          <w:szCs w:val="24"/>
          <w:lang w:eastAsia="zh-CN"/>
        </w:rPr>
        <w:t>、《西安市生活垃圾分类管理办法》</w:t>
      </w:r>
      <w:r>
        <w:rPr>
          <w:rFonts w:hint="eastAsia" w:ascii="仿宋_GB2312" w:hAnsi="仿宋_GB2312" w:eastAsia="仿宋_GB2312" w:cs="仿宋_GB2312"/>
          <w:sz w:val="24"/>
          <w:szCs w:val="24"/>
        </w:rPr>
        <w:t>等有关法律和规定要求，结合我县实际，制定本考核办法。</w:t>
      </w:r>
    </w:p>
    <w:p>
      <w:pPr>
        <w:numPr>
          <w:ilvl w:val="0"/>
          <w:numId w:val="12"/>
        </w:numPr>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工作目标</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进一步创新城市生活垃圾管理机制，提高城市生活垃圾收集、清运管理水平，规范生活垃圾收集、清运工作流程，全面提高垃圾收集、清运对环境的第二次污染，满足人民群众对城市环境日益提高的要求，按照目标科学、管理常态、工作精细、清运规范的总要求，进一步明确职责，加大监管力度，进一步提升城市品位和文明程度。</w:t>
      </w:r>
    </w:p>
    <w:p>
      <w:pPr>
        <w:numPr>
          <w:ilvl w:val="0"/>
          <w:numId w:val="12"/>
        </w:numPr>
        <w:spacing w:line="24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考核内容</w:t>
      </w:r>
    </w:p>
    <w:p>
      <w:pPr>
        <w:numPr>
          <w:ilvl w:val="0"/>
          <w:numId w:val="13"/>
        </w:numPr>
        <w:spacing w:line="240" w:lineRule="auto"/>
        <w:ind w:firstLine="480" w:firstLineChars="200"/>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清运设施设备</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1.收集车辆必须使用环保、密闭式车辆，并统一标识、编号等，以满足生活垃圾前段清洁收集的需要。</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2.收集车辆必须确保车容车貌干净整洁，每天对清运车辆进行1-2次的消杀，必须按照交通规范文明安全驾驶。</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3.清运车辆加装北斗定位系统，建立全县环卫运输北斗监控系统。</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4.对清运车辆定期检修、保养，及时更换损坏部件，对部分清运车辆加装收集槽，杜绝渗滤液在道路上抛洒滴漏。</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5.严禁私自挪移、更改、撤离现有生活垃圾收集箱（点）及位置，确保生活垃圾清运安全有序。</w:t>
      </w:r>
    </w:p>
    <w:p>
      <w:pPr>
        <w:pStyle w:val="24"/>
        <w:spacing w:line="240" w:lineRule="auto"/>
        <w:rPr>
          <w:rFonts w:hint="default" w:eastAsia="仿宋_GB2312"/>
          <w:sz w:val="18"/>
          <w:szCs w:val="21"/>
          <w:lang w:val="en-US" w:eastAsia="zh-CN"/>
        </w:rPr>
      </w:pPr>
      <w:r>
        <w:rPr>
          <w:rFonts w:hint="eastAsia" w:ascii="仿宋_GB2312" w:hAnsi="仿宋_GB2312" w:eastAsia="仿宋_GB2312" w:cs="仿宋_GB2312"/>
          <w:sz w:val="24"/>
          <w:szCs w:val="24"/>
          <w:lang w:val="en-US" w:eastAsia="zh-CN"/>
        </w:rPr>
        <w:t>6.生活垃圾运输必须专车进行运输禁止混合运输。</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定期开展垃圾收集箱的擦洗，保持干净整洁。</w:t>
      </w:r>
    </w:p>
    <w:p>
      <w:pPr>
        <w:spacing w:line="240" w:lineRule="auto"/>
        <w:ind w:firstLine="480" w:firstLineChars="200"/>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（二）垃圾压缩站运行管理</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严格按照《生活垃圾压缩站运行维护技术规程》（CJJ109-2006）及其相关管理条例的规定，结合我县实际情况，切实有效的改善压缩站规范作业。</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1.严禁超负荷压缩箱体。定期对设备进行检测，对变形的箱体及时维修、更换。</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2.加强压缩站提升改造，对设备老化，环境脏乱的进行提升改造，及时维修液压设备，提升周边环境。</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3.做好压缩站的消杀、除臭等工作。</w:t>
      </w:r>
    </w:p>
    <w:p>
      <w:pPr>
        <w:spacing w:line="240" w:lineRule="auto"/>
        <w:ind w:firstLine="480" w:firstLineChars="200"/>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sz w:val="24"/>
          <w:szCs w:val="24"/>
        </w:rPr>
        <w:t>（三）清运管理</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1.生活垃圾清运必须做到日产日清，必须及时彻底的清理每个垃圾收集箱（点）的生活垃圾，确保全天生活垃圾收集箱无堆积、无溢箱。</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活垃圾清运应做到收运过程垃圾不落地，将整个收运环节垃圾裸露面积及时间降到最低，实现整个收运环节的高密封性、降低臭气外溢，杜绝运输过程“抛、冒、滴、漏、洒”现象，最大限度降低对环境的污染、预防运输过程中可能产生的二次污染。</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3.生活垃圾必须运送至生活垃圾处理中心和压缩站，严禁乱倒，在生活垃圾处理中心和压缩站必须服从现场调度人员的指挥，按指定区域倾倒。</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4.县城沿街（老城街全段、农商街全段）住户和商户采用流动车辆收集，每天收集2次，必须在7:00-11:00和17:00-21:00（冬季）、17:30-21：00（夏季）前收集清运完成。</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5.做好生活垃圾清运过程中的记录，并建立好台账。</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（四）加强教育与培训</w:t>
      </w:r>
    </w:p>
    <w:p>
      <w:pPr>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对新进入市容环卫管理人员和基层和工人进行岗前培训，使市容环卫行业的人员经过培训成为政治合格、业务精通、从业规范的专业人才，提升从业者的整体素质。</w:t>
      </w:r>
    </w:p>
    <w:p>
      <w:pPr>
        <w:numPr>
          <w:ilvl w:val="0"/>
          <w:numId w:val="12"/>
        </w:numPr>
        <w:spacing w:line="24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评分标准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1.收集车辆车容车貌不整洁的每次扣0.2分。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2.不按规定对垃圾清运车辆进行消杀的每次扣0.2分。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3.在垃圾运输过程中有“抛、冒、滴、漏、洒”现象的每次扣0.2分。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4.私自挪移、更改、撤离现有生活垃圾收集箱（点）及位置每次扣除1分。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5.垃圾箱满后不及时清运垃圾的每次扣0.5分。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6.由于垃圾清运不及时造成群众投诉的每次扣2分。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7.由于垃圾清运不及时造成媒体曝光的每次扣5分。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8.因不按时开展垃圾箱擦洗的，造成垃圾箱体不干净的每次扣0.5分。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9.严禁超负荷压缩箱体每发现一次扣0.2分。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10.对在倾倒垃圾时不服从现场调度人员指挥的每次扣0.3分。</w:t>
      </w:r>
    </w:p>
    <w:p>
      <w:pPr>
        <w:tabs>
          <w:tab w:val="left" w:pos="673"/>
        </w:tabs>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11.对不按时设置流动垃圾收集（点）或出动流动垃圾收集车的每次扣0.5分。</w:t>
      </w:r>
    </w:p>
    <w:p>
      <w:pPr>
        <w:tabs>
          <w:tab w:val="left" w:pos="673"/>
        </w:tabs>
        <w:spacing w:line="240" w:lineRule="auto"/>
        <w:ind w:firstLine="480" w:firstLineChars="200"/>
        <w:rPr>
          <w:rFonts w:hint="default" w:eastAsia="仿宋_GB2312"/>
          <w:sz w:val="18"/>
          <w:szCs w:val="21"/>
          <w:lang w:val="en-US" w:eastAsia="zh-CN"/>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lang w:eastAsia="zh-CN"/>
        </w:rPr>
        <w:t>对在运输过程中，混合运输的每车每次扣</w:t>
      </w:r>
      <w:r>
        <w:rPr>
          <w:rFonts w:hint="eastAsia" w:ascii="仿宋_GB2312" w:hAnsi="仿宋_GB2312" w:eastAsia="仿宋_GB2312" w:cs="仿宋_GB2312"/>
          <w:sz w:val="24"/>
          <w:szCs w:val="24"/>
          <w:lang w:val="en-US" w:eastAsia="zh-CN"/>
        </w:rPr>
        <w:t>2分</w:t>
      </w:r>
    </w:p>
    <w:p>
      <w:pPr>
        <w:adjustRightInd w:val="0"/>
        <w:snapToGrid w:val="0"/>
        <w:spacing w:line="240" w:lineRule="auto"/>
        <w:rPr>
          <w:rFonts w:hint="eastAsia" w:ascii="黑体" w:hAnsi="黑体" w:eastAsia="黑体" w:cs="黑体"/>
          <w:sz w:val="24"/>
          <w:szCs w:val="24"/>
        </w:rPr>
      </w:pPr>
      <w:r>
        <w:rPr>
          <w:rFonts w:hint="eastAsia" w:ascii="黑体" w:hAnsi="黑体" w:eastAsia="黑体" w:cs="黑体"/>
          <w:sz w:val="24"/>
          <w:szCs w:val="24"/>
        </w:rPr>
        <w:br w:type="page"/>
      </w:r>
      <w:r>
        <w:rPr>
          <w:rFonts w:hint="eastAsia" w:ascii="黑体" w:hAnsi="黑体" w:eastAsia="黑体" w:cs="黑体"/>
          <w:sz w:val="24"/>
          <w:szCs w:val="24"/>
        </w:rPr>
        <w:t>附件6</w:t>
      </w:r>
    </w:p>
    <w:p>
      <w:pPr>
        <w:adjustRightInd w:val="0"/>
        <w:snapToGrid w:val="0"/>
        <w:spacing w:line="240" w:lineRule="auto"/>
        <w:jc w:val="center"/>
        <w:rPr>
          <w:rFonts w:hint="eastAsia" w:ascii="方正小标宋简体" w:eastAsia="方正小标宋简体"/>
          <w:sz w:val="36"/>
          <w:szCs w:val="36"/>
        </w:rPr>
      </w:pPr>
      <w:r>
        <w:rPr>
          <w:rFonts w:hint="eastAsia" w:ascii="方正小标宋简体" w:eastAsia="方正小标宋简体"/>
          <w:sz w:val="36"/>
          <w:szCs w:val="36"/>
        </w:rPr>
        <w:t>西安市城镇公共厕所管理标准</w:t>
      </w:r>
    </w:p>
    <w:p>
      <w:pPr>
        <w:adjustRightInd w:val="0"/>
        <w:snapToGrid w:val="0"/>
        <w:spacing w:line="240" w:lineRule="auto"/>
        <w:jc w:val="center"/>
        <w:rPr>
          <w:rFonts w:hint="eastAsia" w:ascii="方正小标宋简体" w:eastAsia="方正小标宋简体"/>
          <w:sz w:val="36"/>
          <w:szCs w:val="36"/>
        </w:rPr>
      </w:pPr>
      <w:r>
        <w:rPr>
          <w:rFonts w:hint="eastAsia" w:ascii="方正小标宋简体" w:eastAsia="方正小标宋简体"/>
          <w:sz w:val="36"/>
          <w:szCs w:val="36"/>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第一条</w:t>
      </w:r>
      <w:r>
        <w:rPr>
          <w:rFonts w:hint="eastAsia" w:ascii="仿宋_GB2312" w:eastAsia="仿宋_GB2312"/>
          <w:sz w:val="24"/>
          <w:szCs w:val="24"/>
        </w:rPr>
        <w:t xml:space="preserve"> 为加强我市公共厕所管理,提高城镇公共厕所卫生水平,方便群众使用,根据《全国城市卫生检查评比标准》和建设部《城市环境卫生质量标准》及《西安市城市市容和环境卫生管理条例》,制定本标准。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第二条</w:t>
      </w:r>
      <w:r>
        <w:rPr>
          <w:rFonts w:hint="eastAsia" w:ascii="仿宋_GB2312" w:eastAsia="仿宋_GB2312"/>
          <w:sz w:val="24"/>
          <w:szCs w:val="24"/>
        </w:rPr>
        <w:t xml:space="preserve"> 本标准的城镇公共厕所是指供城市居民和流动人口共同使用的环卫公共厕所、公共场所配套公共厕所和社会对外开放公共厕所。适用范围包括园林、旅游、交通、铁路、卫生、商务等行业,涉及公园、旅游区(点)、旅游线路中旅游接待场所及各种旅游饭店、长途汽车首末站、轨道交通站、飞机场、火车站、医院、商场、超市等人员集散场所的公共厕所,以及公共建筑(如码头、商店、饭店、影剧院、体育场馆、展览馆、办公楼等)附设的公共厕所。</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第三条</w:t>
      </w:r>
      <w:r>
        <w:rPr>
          <w:rFonts w:hint="eastAsia" w:ascii="仿宋_GB2312" w:eastAsia="仿宋_GB2312"/>
          <w:sz w:val="24"/>
          <w:szCs w:val="24"/>
        </w:rPr>
        <w:t xml:space="preserve"> 西安市环境卫生行政主管部门负责全市公共厕所管理的统一协调、监督管理工作。按照“谁设置,谁管理”的原则,市级各部门(发改委、交通、卫生、水务、教育、旅游、民政商务等有关部门)负责各行业内公共厕所的监督管理工作。各区(县)、开发区负责本辖区公共厕所的监督管理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 xml:space="preserve">第四条 </w:t>
      </w:r>
      <w:r>
        <w:rPr>
          <w:rFonts w:hint="eastAsia" w:ascii="仿宋_GB2312" w:eastAsia="仿宋_GB2312"/>
          <w:sz w:val="24"/>
          <w:szCs w:val="24"/>
        </w:rPr>
        <w:t>城镇公共厕所要有专人管理,管理人员要按时上岗,不得私自雇工顶岗或转包。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 xml:space="preserve">第五条 </w:t>
      </w:r>
      <w:r>
        <w:rPr>
          <w:rFonts w:hint="eastAsia" w:ascii="仿宋_GB2312" w:eastAsia="仿宋_GB2312"/>
          <w:sz w:val="24"/>
          <w:szCs w:val="24"/>
        </w:rPr>
        <w:t>城镇公共厕所实行免费开放,重点区域实行24小时免费开放,并切实加强管理。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第六条</w:t>
      </w:r>
      <w:r>
        <w:rPr>
          <w:rFonts w:hint="eastAsia" w:ascii="仿宋_GB2312" w:eastAsia="仿宋_GB2312"/>
          <w:sz w:val="24"/>
          <w:szCs w:val="24"/>
        </w:rPr>
        <w:t xml:space="preserve"> 如厕人员必须遵守公共厕所的各项管理制度,自觉维护公共厕所卫生：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（一）大便入坑,小便入池,手纸入笼；</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（二）禁止随地吐痰,随意乱刻乱画；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（三）大小便后即时冲水,严禁将其它废弃物丢入便池内；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（四）便后洗手后,即时关掉水龙头；</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（五）要爱护公厕的设施、设备,如有损坏,照价赔偿。</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第七条</w:t>
      </w:r>
      <w:r>
        <w:rPr>
          <w:rFonts w:hint="eastAsia" w:ascii="仿宋_GB2312" w:eastAsia="仿宋_GB2312"/>
          <w:sz w:val="24"/>
          <w:szCs w:val="24"/>
        </w:rPr>
        <w:t xml:space="preserve"> 公共厕所卫生标准和清扫保洁制度应上墙公布,各类标识规范、明显。</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第八条</w:t>
      </w:r>
      <w:r>
        <w:rPr>
          <w:rFonts w:hint="eastAsia" w:ascii="仿宋_GB2312" w:eastAsia="仿宋_GB2312"/>
          <w:sz w:val="24"/>
          <w:szCs w:val="24"/>
        </w:rPr>
        <w:t xml:space="preserve"> 公共厕所设施应符合以下质量要求：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（一）内外墙壁无剥落,门窗、洗手池、照明灯具完好无损；</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（二）一、二类公共厕所应有防蝇、防蚁和除臭设施或措施；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（三）屋面无漏雨,墙壁无痕迹；</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56" w:firstLineChars="200"/>
        <w:textAlignment w:val="auto"/>
        <w:rPr>
          <w:rFonts w:hint="eastAsia" w:ascii="仿宋_GB2312" w:eastAsia="仿宋_GB2312"/>
          <w:spacing w:val="-6"/>
          <w:sz w:val="24"/>
          <w:szCs w:val="24"/>
        </w:rPr>
      </w:pPr>
      <w:r>
        <w:rPr>
          <w:rFonts w:hint="eastAsia" w:ascii="仿宋_GB2312" w:eastAsia="仿宋_GB2312"/>
          <w:spacing w:val="-6"/>
          <w:sz w:val="24"/>
          <w:szCs w:val="24"/>
        </w:rPr>
        <w:t>（四）地面、便池、便坑道槽、隔档完好,瓷片无脱落损坏；</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（五）上下水管道畅通,无跑冒滴漏,贮粪池有盖板;</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（六）保持公共厕所化粪池畅通,防止沼气蓄积;</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（七）漏水情况的维修不能超过2小时；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（八）小便器、大便器的维修更换不能超过24小时。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黑体" w:hAnsi="黑体" w:eastAsia="黑体"/>
          <w:sz w:val="24"/>
          <w:szCs w:val="24"/>
        </w:rPr>
        <w:t>第九条</w:t>
      </w:r>
      <w:r>
        <w:rPr>
          <w:rFonts w:hint="eastAsia" w:ascii="仿宋_GB2312" w:eastAsia="仿宋_GB2312"/>
          <w:sz w:val="24"/>
          <w:szCs w:val="24"/>
        </w:rPr>
        <w:t xml:space="preserve"> 公共厕所保洁应符合下列规定：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（一）公共厕所内采光、照明和通风应良好,无明显臭味;</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（二）公共厕所内墙面、天花板、门窗和隔离板无积灰、污迹、蛛网，无乱涂乱画、无乱贴，墙面光洁，外墙面整洁；</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（三）公共厕所内地面光洁，无积水，无泥土、无粪便、无尿碱；</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（四）蹲位整洁，大便槽两侧无粪便污物，槽内无积粪，洁净见底；</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（五）小便槽（斗）无水锈、尿垢、垃圾，基本无臭，沟眼、管道保持畅通；</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（六）公共厕所内照明灯具、洗手器具、镜子、挂衣钩、烘手器、冲水设施完好，无积灰、污物，窗纱无尘埃、破损；</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（七）公共厕所外环境整洁，无乱堆杂物，保洁工具设置整齐，无乱搭建和拉绳，公厕四周3至5米范围内，无垃圾、粪便尿迹等污物；</w:t>
      </w:r>
    </w:p>
    <w:p>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512" w:firstLineChars="200"/>
        <w:textAlignment w:val="auto"/>
        <w:rPr>
          <w:rFonts w:hint="eastAsia" w:ascii="仿宋_GB2312" w:eastAsia="仿宋_GB2312"/>
          <w:color w:val="000000"/>
          <w:spacing w:val="8"/>
          <w:sz w:val="24"/>
          <w:szCs w:val="24"/>
          <w:shd w:val="clear" w:color="auto" w:fill="FFFFFF"/>
        </w:rPr>
      </w:pPr>
      <w:r>
        <w:rPr>
          <w:rFonts w:hint="eastAsia" w:ascii="仿宋_GB2312" w:eastAsia="仿宋_GB2312"/>
          <w:color w:val="000000"/>
          <w:spacing w:val="8"/>
          <w:sz w:val="24"/>
          <w:szCs w:val="24"/>
          <w:shd w:val="clear" w:color="auto" w:fill="FFFFFF"/>
        </w:rPr>
        <w:t>（八）蝇蚊孳生季节应定时喷洒蝇蚊药物或安装防蝇设备，有效控制蚊蝇；</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512" w:firstLineChars="200"/>
        <w:textAlignment w:val="auto"/>
        <w:rPr>
          <w:rFonts w:hint="eastAsia"/>
          <w:sz w:val="18"/>
          <w:szCs w:val="18"/>
        </w:rPr>
      </w:pPr>
      <w:r>
        <w:rPr>
          <w:rFonts w:hint="eastAsia" w:ascii="仿宋_GB2312" w:eastAsia="仿宋_GB2312"/>
          <w:color w:val="000000"/>
          <w:spacing w:val="8"/>
          <w:sz w:val="24"/>
          <w:szCs w:val="24"/>
          <w:shd w:val="clear" w:color="auto" w:fill="FFFFFF"/>
        </w:rPr>
        <w:t>（九）公共厕所环境卫生控制指标应符合下列规定：</w:t>
      </w:r>
    </w:p>
    <w:p>
      <w:pPr>
        <w:adjustRightInd w:val="0"/>
        <w:snapToGrid w:val="0"/>
        <w:spacing w:line="240" w:lineRule="auto"/>
        <w:ind w:firstLine="480" w:firstLineChars="200"/>
        <w:jc w:val="center"/>
        <w:rPr>
          <w:rFonts w:hint="eastAsia" w:ascii="黑体" w:hAnsi="黑体" w:eastAsia="黑体"/>
          <w:sz w:val="24"/>
          <w:szCs w:val="24"/>
        </w:rPr>
      </w:pPr>
      <w:r>
        <w:rPr>
          <w:rFonts w:hint="eastAsia" w:ascii="黑体" w:hAnsi="黑体" w:eastAsia="黑体"/>
          <w:sz w:val="24"/>
          <w:szCs w:val="24"/>
        </w:rPr>
        <w:t>城镇公共厕所环境卫生控制指标</w:t>
      </w:r>
    </w:p>
    <w:tbl>
      <w:tblPr>
        <w:tblStyle w:val="25"/>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66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黑体" w:hAnsi="黑体" w:eastAsia="黑体" w:cs="仿宋_GB2312"/>
                <w:sz w:val="18"/>
                <w:szCs w:val="18"/>
              </w:rPr>
            </w:pPr>
            <w:r>
              <w:rPr>
                <w:rFonts w:hint="eastAsia" w:ascii="黑体" w:hAnsi="黑体" w:eastAsia="黑体" w:cs="仿宋_GB2312"/>
                <w:sz w:val="18"/>
                <w:szCs w:val="21"/>
              </w:rPr>
              <w:t>编号</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黑体" w:hAnsi="黑体" w:eastAsia="黑体" w:cs="仿宋_GB2312"/>
                <w:sz w:val="18"/>
                <w:szCs w:val="18"/>
              </w:rPr>
            </w:pPr>
            <w:r>
              <w:rPr>
                <w:rFonts w:hint="eastAsia" w:ascii="黑体" w:hAnsi="黑体" w:eastAsia="黑体" w:cs="仿宋_GB2312"/>
                <w:sz w:val="18"/>
                <w:szCs w:val="21"/>
              </w:rPr>
              <w:t>卫生指标</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黑体" w:hAnsi="黑体" w:eastAsia="黑体" w:cs="仿宋_GB2312"/>
                <w:sz w:val="18"/>
                <w:szCs w:val="18"/>
              </w:rPr>
            </w:pPr>
            <w:r>
              <w:rPr>
                <w:rFonts w:hint="eastAsia" w:ascii="黑体" w:hAnsi="黑体" w:eastAsia="黑体" w:cs="仿宋_GB2312"/>
                <w:sz w:val="18"/>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1</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纸片(块)</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2</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烟蒂(个)</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3</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粪迹(处)</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4</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痰迹(处)</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5</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窗格积灰</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6</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蛛网</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7</w:t>
            </w:r>
          </w:p>
        </w:tc>
        <w:tc>
          <w:tcPr>
            <w:tcW w:w="1668" w:type="dxa"/>
            <w:vMerge w:val="restar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成蝇(只)</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二类(含)以上公共厕所不应有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1668" w:type="dxa"/>
            <w:vMerge w:val="continue"/>
            <w:tcBorders>
              <w:top w:val="nil"/>
              <w:left w:val="nil"/>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三类公共厕所不得多于3只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8</w:t>
            </w:r>
          </w:p>
        </w:tc>
        <w:tc>
          <w:tcPr>
            <w:tcW w:w="1668"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蝇蛆(尾)</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在厕室内的大小便器内外、地面和化(贮)</w:t>
            </w:r>
          </w:p>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粪池周围30-50厘米以内肉眼观察不到蝇蛆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9</w:t>
            </w:r>
          </w:p>
        </w:tc>
        <w:tc>
          <w:tcPr>
            <w:tcW w:w="1668" w:type="dxa"/>
            <w:vMerge w:val="restart"/>
            <w:tcBorders>
              <w:top w:val="nil"/>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臭味强度</w:t>
            </w: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二类(含)以上公共厕所臭味强度为0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1668" w:type="dxa"/>
            <w:vMerge w:val="continue"/>
            <w:tcBorders>
              <w:top w:val="nil"/>
              <w:left w:val="nil"/>
              <w:bottom w:val="single" w:color="auto" w:sz="4" w:space="0"/>
              <w:right w:val="single" w:color="auto" w:sz="4" w:space="0"/>
            </w:tcBorders>
            <w:noWrap w:val="0"/>
            <w:vAlign w:val="center"/>
          </w:tcPr>
          <w:p>
            <w:pPr>
              <w:adjustRightInd w:val="0"/>
              <w:snapToGrid w:val="0"/>
              <w:spacing w:line="240" w:lineRule="auto"/>
              <w:jc w:val="left"/>
              <w:rPr>
                <w:rFonts w:ascii="仿宋_GB2312" w:eastAsia="仿宋_GB2312"/>
                <w:sz w:val="18"/>
                <w:szCs w:val="18"/>
              </w:rPr>
            </w:pPr>
          </w:p>
        </w:tc>
        <w:tc>
          <w:tcPr>
            <w:tcW w:w="5329" w:type="dxa"/>
            <w:tcBorders>
              <w:top w:val="single" w:color="auto" w:sz="4" w:space="0"/>
              <w:left w:val="nil"/>
              <w:bottom w:val="single" w:color="auto" w:sz="4" w:space="0"/>
              <w:right w:val="single" w:color="auto" w:sz="4" w:space="0"/>
            </w:tcBorders>
            <w:noWrap w:val="0"/>
            <w:vAlign w:val="center"/>
          </w:tcPr>
          <w:p>
            <w:pPr>
              <w:adjustRightInd w:val="0"/>
              <w:snapToGrid w:val="0"/>
              <w:spacing w:line="240" w:lineRule="auto"/>
              <w:jc w:val="center"/>
              <w:rPr>
                <w:rFonts w:ascii="仿宋_GB2312" w:eastAsia="仿宋_GB2312"/>
                <w:sz w:val="18"/>
                <w:szCs w:val="18"/>
              </w:rPr>
            </w:pPr>
            <w:r>
              <w:rPr>
                <w:rFonts w:hint="eastAsia" w:ascii="仿宋_GB2312" w:eastAsia="仿宋_GB2312"/>
                <w:sz w:val="18"/>
                <w:szCs w:val="21"/>
              </w:rPr>
              <w:t>三类公共厕所臭味强度≤1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54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ascii="仿宋_GB2312" w:eastAsia="仿宋_GB2312"/>
                <w:sz w:val="18"/>
                <w:szCs w:val="18"/>
              </w:rPr>
            </w:pPr>
            <w:r>
              <w:rPr>
                <w:rFonts w:hint="eastAsia" w:ascii="仿宋_GB2312" w:eastAsia="仿宋_GB2312"/>
                <w:sz w:val="18"/>
                <w:szCs w:val="21"/>
              </w:rPr>
              <w:t>备注: 臭味强度指人们通过嗅觉感觉到的气味强弱程度。0级为无臭味;1级为勉强感觉臭味存在;2级为稍可感觉出的臭味;3级为极易感觉臭味存在;4级为强烈的气味;5级为无法忍受的极强气味。</w:t>
            </w:r>
          </w:p>
        </w:tc>
      </w:tr>
    </w:tbl>
    <w:p>
      <w:pPr>
        <w:adjustRightInd w:val="0"/>
        <w:snapToGrid w:val="0"/>
        <w:spacing w:line="240" w:lineRule="auto"/>
        <w:ind w:firstLine="480" w:firstLineChars="200"/>
        <w:rPr>
          <w:rFonts w:hint="eastAsia" w:ascii="仿宋_GB2312" w:eastAsia="仿宋_GB2312"/>
          <w:sz w:val="24"/>
          <w:szCs w:val="24"/>
        </w:rPr>
      </w:pPr>
      <w:r>
        <w:rPr>
          <w:rFonts w:hint="eastAsia" w:ascii="黑体" w:hAnsi="黑体" w:eastAsia="黑体"/>
          <w:sz w:val="24"/>
          <w:szCs w:val="24"/>
        </w:rPr>
        <w:t>第十条</w:t>
      </w:r>
      <w:r>
        <w:rPr>
          <w:rFonts w:hint="eastAsia" w:ascii="仿宋_GB2312" w:eastAsia="仿宋_GB2312"/>
          <w:sz w:val="24"/>
          <w:szCs w:val="24"/>
        </w:rPr>
        <w:t xml:space="preserve"> 公共厕所管理人员应遵守下列规定：</w:t>
      </w:r>
    </w:p>
    <w:p>
      <w:pPr>
        <w:adjustRightInd w:val="0"/>
        <w:snapToGrid w:val="0"/>
        <w:spacing w:line="240" w:lineRule="auto"/>
        <w:ind w:firstLine="480" w:firstLineChars="200"/>
        <w:rPr>
          <w:rFonts w:hint="eastAsia" w:ascii="仿宋_GB2312" w:eastAsia="仿宋_GB2312"/>
          <w:sz w:val="24"/>
          <w:szCs w:val="24"/>
        </w:rPr>
      </w:pPr>
      <w:r>
        <w:rPr>
          <w:rFonts w:hint="eastAsia" w:ascii="仿宋_GB2312" w:eastAsia="仿宋_GB2312"/>
          <w:sz w:val="24"/>
          <w:szCs w:val="24"/>
        </w:rPr>
        <w:t>（一）提前10分钟上岗,保持衣着整洁;</w:t>
      </w:r>
    </w:p>
    <w:p>
      <w:pPr>
        <w:adjustRightInd w:val="0"/>
        <w:snapToGrid w:val="0"/>
        <w:spacing w:line="240" w:lineRule="auto"/>
        <w:ind w:firstLine="480" w:firstLineChars="200"/>
        <w:rPr>
          <w:rFonts w:hint="eastAsia" w:ascii="仿宋_GB2312" w:eastAsia="仿宋_GB2312"/>
          <w:sz w:val="24"/>
          <w:szCs w:val="24"/>
        </w:rPr>
      </w:pPr>
      <w:r>
        <w:rPr>
          <w:rFonts w:hint="eastAsia" w:ascii="仿宋_GB2312" w:eastAsia="仿宋_GB2312"/>
          <w:sz w:val="24"/>
          <w:szCs w:val="24"/>
        </w:rPr>
        <w:t>（二）正点接班进行移交,查验设施、设备是否正常;</w:t>
      </w:r>
    </w:p>
    <w:p>
      <w:pPr>
        <w:adjustRightInd w:val="0"/>
        <w:snapToGrid w:val="0"/>
        <w:spacing w:line="240" w:lineRule="auto"/>
        <w:ind w:firstLine="480" w:firstLineChars="200"/>
        <w:rPr>
          <w:rFonts w:hint="eastAsia" w:ascii="仿宋_GB2312" w:eastAsia="仿宋_GB2312"/>
          <w:sz w:val="24"/>
          <w:szCs w:val="24"/>
        </w:rPr>
      </w:pPr>
      <w:r>
        <w:rPr>
          <w:rFonts w:hint="eastAsia" w:ascii="仿宋_GB2312" w:eastAsia="仿宋_GB2312"/>
          <w:sz w:val="24"/>
          <w:szCs w:val="24"/>
        </w:rPr>
        <w:t>（三）每天对设施、设备全面清洗一次,做到人离即保洁,并每天对公共厕所进行一次消毒除臭处理。</w:t>
      </w:r>
    </w:p>
    <w:p>
      <w:pPr>
        <w:adjustRightInd w:val="0"/>
        <w:snapToGrid w:val="0"/>
        <w:spacing w:line="240" w:lineRule="auto"/>
        <w:ind w:firstLine="480" w:firstLineChars="200"/>
        <w:rPr>
          <w:rFonts w:hint="eastAsia" w:ascii="仿宋_GB2312" w:eastAsia="仿宋_GB2312"/>
          <w:sz w:val="24"/>
          <w:szCs w:val="24"/>
        </w:rPr>
      </w:pPr>
      <w:r>
        <w:rPr>
          <w:rFonts w:hint="eastAsia" w:ascii="黑体" w:hAnsi="黑体" w:eastAsia="黑体"/>
          <w:sz w:val="24"/>
          <w:szCs w:val="24"/>
        </w:rPr>
        <w:t>第十一条</w:t>
      </w:r>
      <w:r>
        <w:rPr>
          <w:rFonts w:hint="eastAsia" w:ascii="仿宋_GB2312" w:eastAsia="仿宋_GB2312"/>
          <w:sz w:val="24"/>
          <w:szCs w:val="24"/>
        </w:rPr>
        <w:t xml:space="preserve"> 公共厕所管理人员不得从事与管理无关的经营活动;禁止在公共厕所内接水、接电、淘菜、洗衣等。</w:t>
      </w:r>
    </w:p>
    <w:p>
      <w:pPr>
        <w:adjustRightInd w:val="0"/>
        <w:snapToGrid w:val="0"/>
        <w:spacing w:line="240" w:lineRule="auto"/>
        <w:ind w:firstLine="480" w:firstLineChars="200"/>
        <w:rPr>
          <w:rFonts w:hint="eastAsia" w:ascii="仿宋_GB2312" w:eastAsia="仿宋_GB2312"/>
          <w:sz w:val="24"/>
          <w:szCs w:val="24"/>
        </w:rPr>
      </w:pPr>
      <w:r>
        <w:rPr>
          <w:rFonts w:hint="eastAsia" w:ascii="黑体" w:hAnsi="黑体" w:eastAsia="黑体"/>
          <w:sz w:val="24"/>
          <w:szCs w:val="24"/>
        </w:rPr>
        <w:t>第十二条</w:t>
      </w:r>
      <w:r>
        <w:rPr>
          <w:rFonts w:hint="eastAsia" w:ascii="仿宋_GB2312" w:eastAsia="仿宋_GB2312"/>
          <w:sz w:val="24"/>
          <w:szCs w:val="24"/>
        </w:rPr>
        <w:t xml:space="preserve"> 加强产权管理,确保城镇公共厕所数量不减少。任何单位和个人都不得侵占、损坏、拆除、迁移、封闭厕所。确因城市建设需要拆除的,建设单位必须事先提出拆迁方案,依照法规按“先建后拆”的原则负责重建,确有困难不能先建的,按市场价格交纳抵押金后并采取临时的过渡措施。拆除公共厕所必须向行业主管部门备案。</w:t>
      </w:r>
    </w:p>
    <w:p>
      <w:pPr>
        <w:adjustRightInd w:val="0"/>
        <w:snapToGrid w:val="0"/>
        <w:spacing w:line="240" w:lineRule="auto"/>
        <w:rPr>
          <w:rFonts w:hint="eastAsia" w:ascii="黑体" w:hAnsi="黑体" w:eastAsia="黑体" w:cs="黑体"/>
          <w:color w:val="000000"/>
          <w:sz w:val="24"/>
          <w:szCs w:val="24"/>
        </w:rPr>
      </w:pPr>
      <w:r>
        <w:rPr>
          <w:rFonts w:hint="eastAsia" w:ascii="黑体" w:hAnsi="仿宋_GB2312" w:eastAsia="黑体" w:cs="仿宋_GB2312"/>
          <w:sz w:val="24"/>
          <w:szCs w:val="24"/>
        </w:rPr>
        <w:t xml:space="preserve"> </w:t>
      </w:r>
    </w:p>
    <w:p>
      <w:pPr>
        <w:pStyle w:val="24"/>
        <w:spacing w:line="240" w:lineRule="auto"/>
        <w:ind w:firstLine="0" w:firstLineChars="0"/>
        <w:rPr>
          <w:rFonts w:hint="eastAsia" w:ascii="黑体" w:hAnsi="黑体" w:eastAsia="黑体" w:cs="黑体"/>
          <w:color w:val="000000"/>
          <w:sz w:val="24"/>
          <w:szCs w:val="24"/>
        </w:rPr>
      </w:pPr>
    </w:p>
    <w:p>
      <w:pPr>
        <w:rPr>
          <w:rFonts w:hint="eastAsia" w:ascii="黑体" w:hAnsi="黑体" w:eastAsia="黑体" w:cs="黑体"/>
          <w:color w:val="000000"/>
          <w:sz w:val="24"/>
          <w:szCs w:val="24"/>
        </w:rPr>
      </w:pPr>
      <w:r>
        <w:rPr>
          <w:rFonts w:hint="eastAsia" w:ascii="黑体" w:hAnsi="黑体" w:eastAsia="黑体" w:cs="黑体"/>
          <w:color w:val="000000"/>
          <w:sz w:val="24"/>
          <w:szCs w:val="24"/>
        </w:rPr>
        <w:br w:type="page"/>
      </w:r>
    </w:p>
    <w:p>
      <w:pPr>
        <w:pStyle w:val="24"/>
        <w:spacing w:line="240" w:lineRule="auto"/>
        <w:ind w:left="0" w:leftChars="0" w:firstLine="0" w:firstLineChars="0"/>
        <w:rPr>
          <w:rFonts w:hint="eastAsia" w:ascii="黑体" w:hAnsi="黑体" w:eastAsia="黑体" w:cs="黑体"/>
          <w:color w:val="000000"/>
          <w:sz w:val="24"/>
          <w:szCs w:val="24"/>
        </w:rPr>
      </w:pPr>
      <w:r>
        <w:rPr>
          <w:rFonts w:hint="eastAsia" w:ascii="黑体" w:hAnsi="黑体" w:eastAsia="黑体" w:cs="黑体"/>
          <w:color w:val="000000"/>
          <w:sz w:val="24"/>
          <w:szCs w:val="24"/>
        </w:rPr>
        <w:t>附件7</w:t>
      </w:r>
    </w:p>
    <w:p>
      <w:pPr>
        <w:pStyle w:val="24"/>
        <w:spacing w:line="240" w:lineRule="auto"/>
        <w:ind w:firstLine="0" w:firstLineChars="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2"/>
          <w:szCs w:val="32"/>
        </w:rPr>
        <w:t>周至县公共厕所管理考核评分标准</w:t>
      </w:r>
    </w:p>
    <w:tbl>
      <w:tblPr>
        <w:tblStyle w:val="25"/>
        <w:tblW w:w="8745" w:type="dxa"/>
        <w:jc w:val="center"/>
        <w:tblCellSpacing w:w="0"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fixed"/>
        <w:tblCellMar>
          <w:top w:w="0" w:type="dxa"/>
          <w:left w:w="0" w:type="dxa"/>
          <w:bottom w:w="0" w:type="dxa"/>
          <w:right w:w="0" w:type="dxa"/>
        </w:tblCellMar>
      </w:tblPr>
      <w:tblGrid>
        <w:gridCol w:w="589"/>
        <w:gridCol w:w="454"/>
        <w:gridCol w:w="6885"/>
        <w:gridCol w:w="390"/>
        <w:gridCol w:w="427"/>
      </w:tblGrid>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序号</w:t>
            </w:r>
          </w:p>
        </w:tc>
        <w:tc>
          <w:tcPr>
            <w:tcW w:w="454"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内容</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评  分  标  准</w:t>
            </w:r>
          </w:p>
        </w:tc>
        <w:tc>
          <w:tcPr>
            <w:tcW w:w="390"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分值</w:t>
            </w:r>
          </w:p>
        </w:tc>
        <w:tc>
          <w:tcPr>
            <w:tcW w:w="427"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打分</w:t>
            </w: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一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规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范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管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理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1、公厕免费按时开放，每厕定员管理，交接流畅，得5分，未做到的，每次扣1分。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20分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2、公厕内设施、设备完好，无破损，得5分，未做到的每处扣1分。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3、公厕标识按标准设置，公厕内外制度牌、标示牌悬挂规范，得5分，标识设置不规范、悬挂不明显每项每处扣2分。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4、管理职责明确、卫生制度健全有效的，得5分；职责不明、管理松懈的不得分。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二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优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质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服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务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1、公厕管理人员坚守岗位，统一着装、挂牌上岗，开展诚信优质服务的，得5分，未做到的，每项每次扣1分；擅自离岗、脱岗、顶岗、转包的不得分。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20分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2、服务管理文明、规范，无投诉事件的，得10分，凡有投诉事件并查实有责的，扣5分；凡被新闻媒体批评或曝光的，情况属实的，扣5分。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3、公厕保洁工具摆放整齐合理的，得5分，未做到的，每处扣0.5分。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三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卫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生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质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量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1、公厕内外环境、设施（备）经常性保持整洁卫生，无乱写乱画的，得10分，未做到的，每项每处扣1分。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30分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2、大小便池无污物、无尿渍、无痰迹、无堵塞、无恶臭的，得10分，未做到的，每项每处扣1分。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做好厕所清洗保洁工作，厕内无积灰，见脏即扫，蹲位隔档无污迹（对出现的野广告按隔档本色覆盖）、无蛛网、无灰尘，地面无积水，镜面干净、洗手池干净整洁，得10分，未做到的，每项每处扣0.5分；蚊蝇孳生期要定时进行消杀，未做到的每次扣1分，蚊蝇超标的扣1分，有卫生死角的扣2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四 </w:t>
            </w:r>
          </w:p>
        </w:tc>
        <w:tc>
          <w:tcPr>
            <w:tcW w:w="454"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设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施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管 </w:t>
            </w:r>
          </w:p>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理 </w:t>
            </w: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1、灯光照明、电器设备保持安全有效，得10分。出现损坏未及时维修更换的，每处扣2分。 </w:t>
            </w:r>
          </w:p>
        </w:tc>
        <w:tc>
          <w:tcPr>
            <w:tcW w:w="390"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　　30分 </w:t>
            </w:r>
          </w:p>
        </w:tc>
        <w:tc>
          <w:tcPr>
            <w:tcW w:w="427" w:type="dxa"/>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2、洁具、门窗、隔档无损的，得5分。出现损坏未及时更换的，每处扣1分。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3、消毒设施、防蝇帘、纱窗齐全的，得5分。出现损坏未及时更换的，每处扣1分。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4、地面、墙壁完好的，得5分。出现损坏未及时维修的，每处扣1分。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r>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579" w:hRule="atLeast"/>
          <w:tblCellSpacing w:w="0" w:type="dxa"/>
          <w:jc w:val="center"/>
        </w:trPr>
        <w:tc>
          <w:tcPr>
            <w:tcW w:w="589"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54"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6885" w:type="dxa"/>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jc w:val="left"/>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 xml:space="preserve">5、上下水、冲水设施完整有效的，得5分。出现损坏未及时维修的，每处扣1分。 </w:t>
            </w:r>
          </w:p>
        </w:tc>
        <w:tc>
          <w:tcPr>
            <w:tcW w:w="390"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c>
          <w:tcPr>
            <w:tcW w:w="427" w:type="dxa"/>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60" w:type="dxa"/>
              <w:right w:w="60" w:type="dxa"/>
            </w:tcMar>
            <w:vAlign w:val="center"/>
          </w:tcPr>
          <w:p>
            <w:pPr>
              <w:widowControl/>
              <w:spacing w:line="240" w:lineRule="auto"/>
              <w:rPr>
                <w:rFonts w:hint="eastAsia" w:ascii="仿宋_GB2312" w:hAnsi="仿宋_GB2312" w:eastAsia="仿宋_GB2312" w:cs="仿宋_GB2312"/>
                <w:sz w:val="20"/>
                <w:szCs w:val="20"/>
              </w:rPr>
            </w:pPr>
          </w:p>
        </w:tc>
      </w:tr>
    </w:tbl>
    <w:p>
      <w:pPr>
        <w:pStyle w:val="2"/>
        <w:keepNext w:val="0"/>
        <w:keepLines w:val="0"/>
        <w:pageBreakBefore w:val="0"/>
        <w:widowControl w:val="0"/>
        <w:kinsoku/>
        <w:wordWrap/>
        <w:overflowPunct/>
        <w:topLinePunct w:val="0"/>
        <w:autoSpaceDE/>
        <w:autoSpaceDN/>
        <w:bidi w:val="0"/>
        <w:spacing w:beforeAutospacing="0" w:afterAutospacing="0" w:line="240" w:lineRule="auto"/>
        <w:ind w:firstLine="964" w:firstLineChars="400"/>
        <w:jc w:val="left"/>
        <w:textAlignment w:val="auto"/>
        <w:rPr>
          <w:rFonts w:hint="eastAsia" w:ascii="仿宋" w:hAnsi="仿宋" w:eastAsia="仿宋" w:cs="仿宋"/>
          <w:sz w:val="24"/>
          <w:szCs w:val="24"/>
        </w:rPr>
      </w:pPr>
    </w:p>
    <w:p>
      <w:pPr>
        <w:pStyle w:val="24"/>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color w:val="000000"/>
          <w:sz w:val="13"/>
          <w:szCs w:val="13"/>
        </w:rPr>
      </w:pPr>
    </w:p>
    <w:p>
      <w:pPr>
        <w:pStyle w:val="24"/>
        <w:spacing w:line="240" w:lineRule="auto"/>
        <w:ind w:left="0" w:leftChars="0" w:firstLine="0" w:firstLineChars="0"/>
        <w:rPr>
          <w:rFonts w:hint="eastAsia" w:ascii="黑体" w:hAnsi="黑体" w:eastAsia="黑体" w:cs="黑体"/>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8</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rPr>
      </w:pPr>
      <w:r>
        <w:rPr>
          <w:rFonts w:hint="eastAsia" w:ascii="方正小标宋简体" w:hAnsi="新宋体" w:eastAsia="方正小标宋简体" w:cs="Times New Roman"/>
          <w:color w:val="000000"/>
          <w:sz w:val="36"/>
          <w:szCs w:val="36"/>
          <w:lang w:eastAsia="zh-CN"/>
        </w:rPr>
        <w:t>西安</w:t>
      </w:r>
      <w:r>
        <w:rPr>
          <w:rFonts w:hint="eastAsia" w:ascii="方正小标宋简体" w:hAnsi="新宋体" w:eastAsia="方正小标宋简体" w:cs="Times New Roman"/>
          <w:color w:val="000000"/>
          <w:sz w:val="36"/>
          <w:szCs w:val="36"/>
        </w:rPr>
        <w:t>市环卫保洁精细化作业</w:t>
      </w:r>
      <w:r>
        <w:rPr>
          <w:rFonts w:hint="eastAsia" w:ascii="方正小标宋简体" w:hAnsi="新宋体" w:eastAsia="方正小标宋简体" w:cs="Times New Roman"/>
          <w:color w:val="000000"/>
          <w:sz w:val="36"/>
          <w:szCs w:val="36"/>
          <w:lang w:val="en-US" w:eastAsia="zh-CN"/>
        </w:rPr>
        <w:t>指引</w:t>
      </w:r>
      <w:r>
        <w:rPr>
          <w:rFonts w:hint="eastAsia" w:ascii="方正小标宋简体" w:eastAsia="方正小标宋简体"/>
          <w:color w:val="000000"/>
          <w:sz w:val="36"/>
          <w:szCs w:val="36"/>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sz w:val="24"/>
          <w:szCs w:val="24"/>
          <w:shd w:val="clear" w:color="auto" w:fill="FFFFFF"/>
        </w:rPr>
        <w:t>为</w:t>
      </w:r>
      <w:r>
        <w:rPr>
          <w:rFonts w:hint="eastAsia" w:ascii="仿宋_GB2312" w:hAnsi="仿宋_GB2312" w:eastAsia="仿宋_GB2312" w:cs="仿宋_GB2312"/>
          <w:i w:val="0"/>
          <w:caps w:val="0"/>
          <w:color w:val="000000"/>
          <w:spacing w:val="0"/>
          <w:sz w:val="24"/>
          <w:szCs w:val="24"/>
          <w:shd w:val="clear" w:color="auto" w:fill="FFFFFF"/>
          <w:lang w:eastAsia="zh-CN"/>
        </w:rPr>
        <w:t>进一步</w:t>
      </w:r>
      <w:r>
        <w:rPr>
          <w:rFonts w:hint="eastAsia" w:ascii="仿宋_GB2312" w:hAnsi="仿宋_GB2312" w:eastAsia="仿宋_GB2312" w:cs="仿宋_GB2312"/>
          <w:i w:val="0"/>
          <w:caps w:val="0"/>
          <w:color w:val="000000"/>
          <w:spacing w:val="0"/>
          <w:sz w:val="24"/>
          <w:szCs w:val="24"/>
          <w:shd w:val="clear" w:color="auto" w:fill="FFFFFF"/>
        </w:rPr>
        <w:t>提高我市城市环境卫生水平，建立健全</w:t>
      </w:r>
      <w:r>
        <w:rPr>
          <w:rFonts w:hint="eastAsia" w:ascii="仿宋_GB2312" w:hAnsi="仿宋_GB2312" w:eastAsia="仿宋_GB2312" w:cs="仿宋_GB2312"/>
          <w:i w:val="0"/>
          <w:caps w:val="0"/>
          <w:color w:val="000000"/>
          <w:spacing w:val="0"/>
          <w:sz w:val="24"/>
          <w:szCs w:val="24"/>
          <w:shd w:val="clear" w:color="auto" w:fill="FFFFFF"/>
          <w:lang w:eastAsia="zh-CN"/>
        </w:rPr>
        <w:t>环卫保洁</w:t>
      </w:r>
      <w:r>
        <w:rPr>
          <w:rFonts w:hint="eastAsia" w:ascii="仿宋_GB2312" w:hAnsi="仿宋_GB2312" w:eastAsia="仿宋_GB2312" w:cs="仿宋_GB2312"/>
          <w:i w:val="0"/>
          <w:caps w:val="0"/>
          <w:color w:val="000000"/>
          <w:spacing w:val="0"/>
          <w:sz w:val="24"/>
          <w:szCs w:val="24"/>
          <w:shd w:val="clear" w:color="auto" w:fill="FFFFFF"/>
        </w:rPr>
        <w:t>工作科学化、规范化、</w:t>
      </w:r>
      <w:r>
        <w:rPr>
          <w:rFonts w:hint="eastAsia" w:ascii="仿宋_GB2312" w:hAnsi="仿宋_GB2312" w:eastAsia="仿宋_GB2312" w:cs="仿宋_GB2312"/>
          <w:i w:val="0"/>
          <w:caps w:val="0"/>
          <w:color w:val="000000"/>
          <w:spacing w:val="0"/>
          <w:sz w:val="24"/>
          <w:szCs w:val="24"/>
          <w:shd w:val="clear" w:color="auto" w:fill="FFFFFF"/>
          <w:lang w:eastAsia="zh-CN"/>
        </w:rPr>
        <w:t>常态</w:t>
      </w:r>
      <w:r>
        <w:rPr>
          <w:rFonts w:hint="eastAsia" w:ascii="仿宋_GB2312" w:hAnsi="仿宋_GB2312" w:eastAsia="仿宋_GB2312" w:cs="仿宋_GB2312"/>
          <w:i w:val="0"/>
          <w:caps w:val="0"/>
          <w:color w:val="000000"/>
          <w:spacing w:val="0"/>
          <w:sz w:val="24"/>
          <w:szCs w:val="24"/>
          <w:shd w:val="clear" w:color="auto" w:fill="FFFFFF"/>
        </w:rPr>
        <w:t>化管理机制，以“绣花”功夫推进环境卫生精细化、智能化管理，</w:t>
      </w:r>
      <w:r>
        <w:rPr>
          <w:rFonts w:hint="eastAsia" w:ascii="仿宋_GB2312" w:hAnsi="仿宋_GB2312" w:eastAsia="仿宋_GB2312" w:cs="仿宋_GB2312"/>
          <w:i w:val="0"/>
          <w:caps w:val="0"/>
          <w:color w:val="000000"/>
          <w:spacing w:val="0"/>
          <w:sz w:val="24"/>
          <w:szCs w:val="24"/>
          <w:shd w:val="clear" w:color="auto" w:fill="FFFFFF"/>
          <w:lang w:eastAsia="zh-CN"/>
        </w:rPr>
        <w:t>赶超</w:t>
      </w:r>
      <w:r>
        <w:rPr>
          <w:rFonts w:hint="eastAsia" w:ascii="仿宋_GB2312" w:hAnsi="仿宋_GB2312" w:eastAsia="仿宋_GB2312" w:cs="仿宋_GB2312"/>
          <w:i w:val="0"/>
          <w:caps w:val="0"/>
          <w:color w:val="000000"/>
          <w:spacing w:val="0"/>
          <w:sz w:val="24"/>
          <w:szCs w:val="24"/>
          <w:shd w:val="clear" w:color="auto" w:fill="FFFFFF"/>
        </w:rPr>
        <w:t>一流城市水平，根据</w:t>
      </w:r>
      <w:r>
        <w:rPr>
          <w:rFonts w:hint="eastAsia" w:ascii="仿宋_GB2312" w:hAnsi="仿宋_GB2312" w:eastAsia="仿宋_GB2312" w:cs="仿宋_GB2312"/>
          <w:i w:val="0"/>
          <w:caps w:val="0"/>
          <w:color w:val="000000"/>
          <w:spacing w:val="0"/>
          <w:sz w:val="24"/>
          <w:szCs w:val="24"/>
          <w:shd w:val="clear" w:color="auto" w:fill="FFFFFF"/>
          <w:lang w:eastAsia="zh-CN"/>
        </w:rPr>
        <w:t>《市容环卫工程项目规范》（</w:t>
      </w:r>
      <w:r>
        <w:rPr>
          <w:rFonts w:hint="eastAsia" w:ascii="仿宋_GB2312" w:hAnsi="仿宋_GB2312" w:eastAsia="仿宋_GB2312" w:cs="仿宋_GB2312"/>
          <w:i w:val="0"/>
          <w:caps w:val="0"/>
          <w:color w:val="000000"/>
          <w:spacing w:val="0"/>
          <w:sz w:val="24"/>
          <w:szCs w:val="24"/>
          <w:shd w:val="clear" w:color="auto" w:fill="FFFFFF"/>
          <w:lang w:val="en-US" w:eastAsia="zh-CN"/>
        </w:rPr>
        <w:t>GB55013-2021</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《城市道路清扫保洁质量与评价标准</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CJJ/T126-2022</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《西安市城市市容和环境卫生管理条例》</w:t>
      </w:r>
      <w:r>
        <w:rPr>
          <w:rFonts w:hint="eastAsia" w:ascii="仿宋_GB2312" w:hAnsi="仿宋_GB2312" w:eastAsia="仿宋_GB2312" w:cs="仿宋_GB2312"/>
          <w:i w:val="0"/>
          <w:caps w:val="0"/>
          <w:color w:val="000000"/>
          <w:spacing w:val="0"/>
          <w:sz w:val="24"/>
          <w:szCs w:val="24"/>
          <w:shd w:val="clear" w:color="auto" w:fill="FFFFFF"/>
          <w:lang w:eastAsia="zh-CN"/>
        </w:rPr>
        <w:t>和西安市《</w:t>
      </w:r>
      <w:r>
        <w:rPr>
          <w:rFonts w:hint="eastAsia" w:ascii="仿宋_GB2312" w:hAnsi="仿宋_GB2312" w:eastAsia="仿宋_GB2312" w:cs="仿宋_GB2312"/>
          <w:i w:val="0"/>
          <w:caps w:val="0"/>
          <w:color w:val="000000"/>
          <w:spacing w:val="0"/>
          <w:sz w:val="24"/>
          <w:szCs w:val="24"/>
          <w:shd w:val="clear" w:color="auto" w:fill="FFFFFF"/>
        </w:rPr>
        <w:t>城市道路清扫保洁技术规范</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DB6101</w:t>
      </w:r>
      <w:r>
        <w:rPr>
          <w:rFonts w:hint="eastAsia" w:ascii="仿宋_GB2312" w:hAnsi="仿宋_GB2312" w:eastAsia="仿宋_GB2312" w:cs="仿宋_GB2312"/>
          <w:i w:val="0"/>
          <w:caps w:val="0"/>
          <w:color w:val="000000"/>
          <w:spacing w:val="0"/>
          <w:sz w:val="24"/>
          <w:szCs w:val="24"/>
          <w:shd w:val="clear" w:color="auto" w:fill="FFFFFF"/>
          <w:lang w:val="en"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T3057-2019</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rPr>
        <w:t>等规定，结合我市工作实际，制定本</w:t>
      </w:r>
      <w:r>
        <w:rPr>
          <w:rFonts w:hint="eastAsia" w:ascii="仿宋_GB2312" w:hAnsi="仿宋_GB2312" w:eastAsia="仿宋_GB2312" w:cs="仿宋_GB2312"/>
          <w:i w:val="0"/>
          <w:caps w:val="0"/>
          <w:color w:val="000000"/>
          <w:spacing w:val="0"/>
          <w:sz w:val="24"/>
          <w:szCs w:val="24"/>
          <w:shd w:val="clear" w:color="auto" w:fill="FFFFFF"/>
          <w:lang w:val="en-US" w:eastAsia="zh-CN"/>
        </w:rPr>
        <w:t>指引</w:t>
      </w:r>
      <w:r>
        <w:rPr>
          <w:rFonts w:hint="eastAsia" w:ascii="仿宋_GB2312" w:hAnsi="仿宋_GB2312" w:eastAsia="仿宋_GB2312" w:cs="仿宋_GB2312"/>
          <w:i w:val="0"/>
          <w:caps w:val="0"/>
          <w:color w:val="000000"/>
          <w:spacing w:val="0"/>
          <w:sz w:val="24"/>
          <w:szCs w:val="24"/>
          <w:shd w:val="clear" w:color="auto" w:fill="FFFFFF"/>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黑体" w:hAnsi="黑体" w:eastAsia="黑体" w:cs="黑体"/>
          <w:i w:val="0"/>
          <w:caps w:val="0"/>
          <w:color w:val="000000"/>
          <w:spacing w:val="0"/>
          <w:kern w:val="0"/>
          <w:sz w:val="24"/>
          <w:szCs w:val="24"/>
          <w:shd w:val="clear" w:color="auto" w:fill="FFFFFF"/>
          <w:lang w:val="en-US" w:eastAsia="zh-CN" w:bidi="ar"/>
        </w:rPr>
        <w:t>一、总则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（一）环卫保洁坚持“政府主导、</w:t>
      </w:r>
      <w:r>
        <w:rPr>
          <w:rFonts w:hint="eastAsia" w:ascii="仿宋_GB2312" w:hAnsi="仿宋_GB2312" w:eastAsia="仿宋_GB2312" w:cs="仿宋_GB2312"/>
          <w:sz w:val="24"/>
          <w:szCs w:val="24"/>
        </w:rPr>
        <w:t>企业</w:t>
      </w:r>
      <w:r>
        <w:rPr>
          <w:rFonts w:hint="eastAsia" w:ascii="仿宋_GB2312" w:hAnsi="仿宋_GB2312" w:eastAsia="仿宋_GB2312" w:cs="仿宋_GB2312"/>
          <w:color w:val="000000"/>
          <w:sz w:val="24"/>
          <w:szCs w:val="24"/>
          <w:lang w:val="en-US" w:eastAsia="zh-CN"/>
        </w:rPr>
        <w:t>运营</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、区划为主”的原则，以规范化作业、标准化管理为路径，着力推进作业单位集团化、作业标段规模化、作业方式机械化。以“城市清洁行动”为抓手，持续开展“环卫保洁精细化”行动。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（二）</w:t>
      </w:r>
      <w:r>
        <w:rPr>
          <w:rFonts w:hint="eastAsia" w:ascii="仿宋_GB2312" w:hAnsi="仿宋_GB2312" w:eastAsia="仿宋_GB2312" w:cs="仿宋_GB2312"/>
          <w:i w:val="0"/>
          <w:caps w:val="0"/>
          <w:color w:val="000000"/>
          <w:spacing w:val="0"/>
          <w:sz w:val="24"/>
          <w:szCs w:val="24"/>
          <w:shd w:val="clear" w:color="auto" w:fill="FFFFFF"/>
          <w:lang w:val="en-US" w:eastAsia="zh-CN"/>
        </w:rPr>
        <w:t>本指引规定了城市和县城建成区道路清扫保洁作业、公共厕所保洁、其他环卫设施保洁、清扫保洁作业车辆管理、环卫作业人员行为规范、保障与应急环卫作业等环境卫生作业方面的具体要求。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i w:val="0"/>
          <w:caps w:val="0"/>
          <w:color w:val="000000"/>
          <w:spacing w:val="0"/>
          <w:sz w:val="24"/>
          <w:szCs w:val="24"/>
          <w:shd w:val="clear" w:color="auto" w:fill="FFFFFF"/>
          <w:lang w:val="en-US" w:eastAsia="zh-CN"/>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三）大力推行环卫作业机械化，通过多种方式促进环卫企业加快改进更新环卫作业设施设备，增加机械化洗扫和重度污染清洗作业车辆，特别是适用于背街小巷、辅道和人行道作业的小型作业机具（小型扫地车、热水高压清洗机、吸尘机），扩大机械化作业范围，道路机械化清扫率达到省、市相关标准以上。同时，做好不同机械与人工替换率的测算，最大程度减少人工使用和降低环卫工人劳动强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sz w:val="24"/>
          <w:szCs w:val="24"/>
          <w:shd w:val="clear" w:color="auto" w:fill="FFFFFF"/>
          <w:lang w:val="en-US" w:eastAsia="zh-CN"/>
        </w:rPr>
        <w:t>（四）</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大力推行绿色环保、节能减排作业方式，持续推进环卫作业机具设备提档升级，使用新能源环卫作业车辆。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黑体" w:hAnsi="黑体" w:eastAsia="黑体" w:cs="黑体"/>
          <w:i w:val="0"/>
          <w:caps w:val="0"/>
          <w:color w:val="333333"/>
          <w:spacing w:val="0"/>
          <w:kern w:val="0"/>
          <w:sz w:val="21"/>
          <w:szCs w:val="21"/>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二、道路清扫保洁</w:t>
      </w:r>
      <w:r>
        <w:rPr>
          <w:rFonts w:hint="eastAsia" w:ascii="黑体" w:hAnsi="黑体" w:eastAsia="黑体" w:cs="黑体"/>
          <w:i w:val="0"/>
          <w:caps w:val="0"/>
          <w:color w:val="333333"/>
          <w:spacing w:val="0"/>
          <w:kern w:val="0"/>
          <w:sz w:val="21"/>
          <w:szCs w:val="21"/>
          <w:shd w:val="clear" w:color="auto" w:fill="FFFFFF"/>
          <w:lang w:val="en-US" w:eastAsia="zh-CN" w:bidi="ar"/>
        </w:rPr>
        <w:t> </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（一）环卫保洁作业范围</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18"/>
          <w:szCs w:val="20"/>
          <w:lang w:val="en-US" w:eastAsia="zh-CN"/>
        </w:rPr>
      </w:pPr>
      <w:r>
        <w:rPr>
          <w:rFonts w:hint="eastAsia" w:ascii="仿宋_GB2312" w:hAnsi="仿宋_GB2312" w:eastAsia="仿宋_GB2312" w:cs="仿宋_GB2312"/>
          <w:i w:val="0"/>
          <w:caps w:val="0"/>
          <w:color w:val="000000"/>
          <w:spacing w:val="0"/>
          <w:sz w:val="24"/>
          <w:szCs w:val="24"/>
          <w:shd w:val="clear" w:color="auto" w:fill="FFFFFF"/>
          <w:lang w:val="en-US" w:eastAsia="zh-CN"/>
        </w:rPr>
        <w:t>1.</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城市和县城建成区内市政道路的车行道、人行道、高架桥（快速路）、车行隧道、立交桥、人行过街天桥、公共广场等路面均属环卫清扫保洁作业范围。</w:t>
      </w:r>
      <w:r>
        <w:rPr>
          <w:rFonts w:hint="eastAsia" w:ascii="仿宋_GB2312" w:hAnsi="仿宋_GB2312" w:eastAsia="仿宋_GB2312" w:cs="仿宋_GB2312"/>
          <w:i w:val="0"/>
          <w:caps w:val="0"/>
          <w:color w:val="000000"/>
          <w:spacing w:val="0"/>
          <w:sz w:val="24"/>
          <w:szCs w:val="24"/>
          <w:shd w:val="clear" w:color="auto" w:fill="FFFFFF"/>
          <w:lang w:val="en-US" w:eastAsia="zh-CN"/>
        </w:rPr>
        <w:t>按照人流量、车流量、商业门店密度、重要场所分布等参数，以及主干道、次干道（连通道）、</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背街小巷道路分布，分为三个等级，具体划分为一级、二级、三级（见附件）。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sz w:val="18"/>
          <w:szCs w:val="20"/>
          <w:lang w:val="en-US" w:eastAsia="zh-CN"/>
        </w:rPr>
      </w:pPr>
      <w:r>
        <w:rPr>
          <w:rFonts w:hint="eastAsia" w:ascii="仿宋_GB2312" w:hAnsi="仿宋_GB2312" w:eastAsia="仿宋_GB2312" w:cs="仿宋_GB2312"/>
          <w:sz w:val="24"/>
          <w:szCs w:val="24"/>
          <w:lang w:val="en-US" w:eastAsia="zh-CN"/>
        </w:rPr>
        <w:t>2.机动车道、立交桥、高架桥、跨线桥、非机动车道、人行道、人行天桥、广场及栏杆、隔离墩（桩、墙）等环卫清扫保洁，适合机械清扫的，应当以大、中、小型洗扫车或吸尘车作业为主；不适合机械清扫作业的，应匹配相应作业人员，实行人工清扫作业。人工清扫作业主要采用防尘软扫帚，避免产生扬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（二）道路清扫保洁作业质量标准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1.道路清扫保洁作业应做到车行道、高架桥和立交桥路面、人行道、下水道入水口、墙角、道牙石下等部位洁净无积尘、污水、污渍和废弃物，道路及两侧可视范围内无暴露垃圾。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FF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2.道路清洗作业应做到车行道、高架桥和立交桥路面、人行道路面及交通护栏（如有移交）、隔离带下等道路附属设施洁净见本色，无泥沙、浮土、污水、灰带、扬尘。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3.车行隧道、人行过街天桥清扫保洁应做到路面干净、无积存污水和垃圾，达到与所连接道路高标准一侧相同的清扫保洁质量标准。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4.公共广场保洁标准：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（1）路面干净，无污垢及附着物、积水，人行道上无粘性物。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（2）广场各部位干净、整洁，无浮土、渣土、污水、烟头、纸屑、瓜果皮核、痰迹、粪便及其他污物。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（3）广场附属公共设施完好、表面清洁，无积尘、油迹、锈迹，标识清晰可见，无乱涂写、乱张贴、乱刻画。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（三）人工清扫保洁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1.作业时间：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所有等级道路执行“一普扫+全保”作业模式，每天除“普扫”使用大扫帚外，其余时间全部使用小扫帚或捡拾夹进行保洁。春夏季“普扫”6:30前完成，秋冬季“普扫”7:00前完成。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i w:val="0"/>
          <w:caps w:val="0"/>
          <w:color w:val="333333"/>
          <w:spacing w:val="0"/>
          <w:kern w:val="0"/>
          <w:sz w:val="21"/>
          <w:szCs w:val="21"/>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2.作业要求：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所有道路实行全日制分班保洁作业。环卫保洁人员配备按一级道路2班制作业，每班次3000平方米配备1名保洁员；二级道路2班制作业，每班次3125平方米配备1名保洁员；三级道路2班制作业，每班次3800平方米配备1名保洁员。各作业单位应组建不少于10%的保洁轮休人员（含保洁应急队伍），以保证保洁人员轮休和快速解决市区范围内突发的市容环境卫生事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道路保洁实行巡查员负责制，每3-5个作业路段为一个巡查区域，设巡查人员1名。每个作业路段配备相应的小型密闭式垃圾收运车辆，各类道路每名保洁员作业区为一个作业段，对保洁员实行编号定位。每名保洁员配备大扫把1把、小扫帚1把、保洁簸箕1个，捡拾夹、“野广告”清理铲及其它保洁工具等，清扫和保洁工具手把及小型密闭式垃圾收运车辆后箱应贴涂反光标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（3）人工清扫应按照“七扫”的基本要求进行，即：头遍先普扫，面向车辆扫，有风顺风扫，商店门口轻轻扫，公交车站重点扫，沟底灰沙用力扫，窨井墙角不漏扫。</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（4）人工清扫作业时注意以下规范：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汉仪书宋二S" w:hAnsi="汉仪书宋二S" w:eastAsia="汉仪书宋二S" w:cs="汉仪书宋二S"/>
          <w:sz w:val="24"/>
          <w:szCs w:val="24"/>
          <w:lang w:val="en-US" w:eastAsia="zh-CN"/>
        </w:rPr>
        <w:t>①</w:t>
      </w:r>
      <w:r>
        <w:rPr>
          <w:rFonts w:hint="eastAsia" w:ascii="仿宋_GB2312" w:hAnsi="仿宋_GB2312" w:eastAsia="仿宋_GB2312" w:cs="仿宋_GB2312"/>
          <w:sz w:val="24"/>
          <w:szCs w:val="24"/>
          <w:lang w:val="en-US" w:eastAsia="zh-CN"/>
        </w:rPr>
        <w:t xml:space="preserve">在清扫中间护拦时要提高警觉，注意防范来往车辆。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汉仪书宋二S" w:hAnsi="汉仪书宋二S" w:eastAsia="汉仪书宋二S" w:cs="汉仪书宋二S"/>
          <w:sz w:val="24"/>
          <w:szCs w:val="24"/>
          <w:lang w:val="en-US" w:eastAsia="zh-CN"/>
        </w:rPr>
        <w:t>②</w:t>
      </w:r>
      <w:r>
        <w:rPr>
          <w:rFonts w:hint="eastAsia" w:ascii="仿宋_GB2312" w:hAnsi="仿宋_GB2312" w:eastAsia="仿宋_GB2312" w:cs="仿宋_GB2312"/>
          <w:sz w:val="24"/>
          <w:szCs w:val="24"/>
          <w:lang w:val="en-US" w:eastAsia="zh-CN"/>
        </w:rPr>
        <w:t xml:space="preserve">保洁道牙边时要带扫1米宽的路面，将废弃物扫至沟边依次归堆，并应与窨井口保持1米以上的距离，避免垃圾落入窨井口内。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辅以机械洒水或清洗作业时，应先推水，后清扫。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行道树产生较多落叶时，要增加巡回保洁次数，并及时清运枯枝落叶。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（5）一级道路非机动车道、人行道、十字路口、人行天桥、绿化带花台、树池、工具箱、果皮箱、雨水篦、井盖表面等局部污渍清洗及零星垃圾，其巡回保洁和捡拾在15分钟内处理。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二级道路非机动车道、人行道、十字路口、人行天桥、绿化带花台、树池、工具箱、果皮箱、雨水篦、井盖表面等局部污渍清洗及零星垃圾，餐饮饭店、集贸市场、车站、医院等人流密集场所和建设工地周边，其巡回保洁和捡拾在20分钟内处理。三级道路其巡回保洁和捡拾在40分钟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（7）一级道路设置的环卫设施擦洗每日不少于1次。二级、三级道路设置的环卫设施擦洗每两日不少于1次。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（8）清扫保洁产生的垃圾应及时收集转运，并达到以下作业要求：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清扫保洁垃圾应定时定点清理，做到工完场清，其中春夏季普扫垃圾应于每天 6:30 前清理完毕，秋冬季普扫垃圾应于每天 7:00 前清理完毕,严禁将垃圾裸露堆放路面。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不得往花坛绿地倾倒垃圾，不得将垃圾、泥沙扫入下水道进水篦，保持下水道井眼干净整洁无污物。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清扫保洁垃圾收集、运输过程中不得有撒落、飞扬、污水滴漏等现象。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清扫保洁垃圾收集容器应摆放整齐，容器周边无撒落。垃圾容器清理后，其内应无留存垃圾及污水、外观整洁，才能重新复位。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⑤</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清扫保洁作业人员不得将垃圾、落叶或泥渣直接清扫、倾倒至城市管网。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⑥</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清扫保洁作业人员不得焚烧垃圾。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（9）雨停后及时清理下水道进水篦、井眼及其周边，并进行推水作业，防止路面积水、积泥和积污。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（10）对口香糖等粘性污渍，以及油污、乱涂乱写等顽固污渍，应使用铲刀、高压清洗机具以及必要的化学清洗制剂予以清除，并与底色保持一致。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（11）保洁作业结束后，作业工具应在规定地点摆放，不得在道路路面、墙角、绿化带、绿地中存放。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（四）机械化清扫保洁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一级道路主、辅道机械洗扫作业每日不少于4次。每日05:00-07:00、20:00-22:00每条车道全覆盖作业；09:30-11:30、12:30-16:30双向左右两侧车行道、单向车行道两侧道路各增加作业1次；1月-3月，10月-12月适时增加作业次数，清理落叶和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二级道路机械洗扫作业每日不少于3次。每日05:00-07:00、10:00-17:00、20:00-22:00每条车道全覆盖作业,12:30-16:30双向左右两侧车行道、单向车行道两侧道路各增加作业1次；1月-3月，10月-12月适时增加作业次数，清理落叶和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3.三级道路机械洗扫作业每日不少于2次。每日05:00-07:00、20:00-22:00各作业1次；1月-3月，10月-12月适时增加作业次数，清理落叶和灰带。同时，根据道路情况也可采取人工清扫和冲洗作业相结合方式。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4.夏季气温超过35℃时，应当采取换班轮休等方式，缩短劳动者连续作业时间，日最高气温达到40℃以上时，应当停止人工作业，加强机械化作业。其他特殊天气作业时间和频次另行规定。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机械清扫作业时可根据路面污染情况，洗扫作业时行驶速度不超过8公里/小时，副机转速不低于2200转/分左右；保洁作业时行驶速度不超过15公里/小时，副机转速不低于1800转/分。作业时应严格按照放刷、喷水、调整箱体压力和刷盘转速、清扫的顺序进行操作；非特殊气候情况下，避免“干扫”；作业时禁止扫刷、吸盘不落地。作业完毕后应及时到指定场所排放污水和清、卸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（五）机械化道路冲洗除尘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1.作业要求：</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每年3月1日至11月1日执行“白天湿扫、夜间冲洗”道路的降尘作业模式，对所有道路实施夜间冲洗作业，冲洗作业为每日22:00－次日06:30进行。除道路污染应急处置、重大保障和重污染天气等特殊情况外，原则上不得白天作业。清晨、夜间作业时应打开警示灯、应急灯，禁止鸣报任何提示音乐，特殊情况确需白天作业时，要错开早晚交通高峰段（7:00-9:00，17:00-20:00），作业时要避让车辆和行人。建筑垃圾通道可根据实际情况适时开展道路冲洗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（2）秋冬季气温4℃及以下时，停止一切冲洒水作业；气温4℃以上时，每日上午10:00至下午16:00为道路冲洒水作业时段。重污染天气应急响应期间，道路冲洒水作业时间以市城管局通知为准。</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（3）雾喷洒水压尘作业要符合以下规定： </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根据大气污染和臭氧防治应急响应机制要求，针对不同预警等级，分别按不同程度提高各时段洒水压尘频次。</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水要喷射成雾状，喷洒均匀，达到路面见潮不见水流的效果。作业覆盖宽度应与道路宽度适宜，做到应洒尽洒。 </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根据作业路段宽度、车辆作业宽度、道路交通条件，采取沿道路两侧、中央隔离带或中央黄线两侧适当位置与行车线相同方向进行压尘作业。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default"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车辆作业时，速度不应高于20km</w:t>
      </w:r>
      <w:r>
        <w:rPr>
          <w:rFonts w:hint="default" w:ascii="仿宋_GB2312" w:hAnsi="仿宋_GB2312" w:eastAsia="仿宋_GB2312" w:cs="仿宋_GB2312"/>
          <w:i w:val="0"/>
          <w:caps w:val="0"/>
          <w:color w:val="000000"/>
          <w:spacing w:val="0"/>
          <w:kern w:val="0"/>
          <w:sz w:val="24"/>
          <w:szCs w:val="24"/>
          <w:shd w:val="clear" w:color="auto" w:fill="FFFFFF"/>
          <w:lang w:val="en" w:eastAsia="zh-CN" w:bidi="ar"/>
        </w:rPr>
        <w:t>/h,</w:t>
      </w:r>
      <w:r>
        <w:rPr>
          <w:rFonts w:hint="eastAsia" w:ascii="仿宋_GB2312" w:hAnsi="仿宋_GB2312" w:eastAsia="仿宋_GB2312" w:cs="仿宋_GB2312"/>
          <w:i w:val="0"/>
          <w:caps w:val="0"/>
          <w:color w:val="000000"/>
          <w:spacing w:val="0"/>
          <w:kern w:val="0"/>
          <w:sz w:val="24"/>
          <w:szCs w:val="24"/>
          <w:shd w:val="clear" w:color="auto" w:fill="FFFFFF"/>
          <w:lang w:val="en" w:eastAsia="zh-CN" w:bidi="ar"/>
        </w:rPr>
        <w:t>洒水设备水压不应大于</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300kPa，喷雾设备水压应不大于15Mpa。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（4）雨后可开展机械高压冲洗除尘，同时进行路面积水清除作业。</w:t>
      </w:r>
    </w:p>
    <w:p>
      <w:pPr>
        <w:keepNext w:val="0"/>
        <w:keepLines w:val="0"/>
        <w:pageBreakBefore w:val="0"/>
        <w:kinsoku/>
        <w:wordWrap/>
        <w:overflowPunct/>
        <w:topLinePunct w:val="0"/>
        <w:autoSpaceDE/>
        <w:autoSpaceDN/>
        <w:bidi w:val="0"/>
        <w:adjustRightInd/>
        <w:snapToGrid/>
        <w:spacing w:line="240" w:lineRule="auto"/>
        <w:ind w:firstLine="63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w:t>
      </w:r>
      <w:r>
        <w:rPr>
          <w:rFonts w:hint="eastAsia" w:ascii="仿宋_GB2312" w:hAnsi="仿宋_GB2312" w:eastAsia="仿宋_GB2312" w:cs="仿宋_GB2312"/>
          <w:b w:val="0"/>
          <w:bCs w:val="0"/>
          <w:i w:val="0"/>
          <w:caps w:val="0"/>
          <w:color w:val="000000"/>
          <w:spacing w:val="0"/>
          <w:kern w:val="0"/>
          <w:sz w:val="24"/>
          <w:szCs w:val="24"/>
          <w:shd w:val="clear" w:color="auto" w:fill="FFFFFF"/>
          <w:lang w:val="en" w:eastAsia="zh-CN" w:bidi="ar"/>
        </w:rPr>
        <w:t>.</w:t>
      </w: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冲洗除尘根据不同道路等级，制定清洗除尘方案。所有道路应以冲洗除尘为主，冲洗作业时车辆行驶速度为5-8公里/小时，出水口与地面之间角度调至最佳冲洗位置，压力不小于300kPa，夜间开启警示灯、应急灯、白天鸣放提示音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冲洗除尘作业应当实行机械冲洗与机械化洗扫和人工辅助清扫相结合的方式，确保冲洗效果。建筑垃圾清运通道冲洗作业时，应先铲除路面泥饼，再冲洗、推水，建筑工地周边道路宜适当增加冲洗作业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（3）道路冲洗除尘实行定人、定车、定时、定标、定责“五定”制度。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高压清洗后，视路面清洁情况，可再用清洗车对路面进行一次冲刷，将污水、污渣彻底冲刷至道路两侧。清洗车紧邻道牙石作业时，应严格控制水压、水量，确保主水流在道牙石边缘前30厘米左右自然停下，避免污水、污物喷溅人行道或绿篱形成新的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（5）冲洗后及时采取有关措施进行推水作业，作业面应无泥沙、积水等。机械冲洗除尘时只可使用车辆前鸭嘴或高压冲洗架，不得采取对冲（地炮）式作业方式。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（6）车辆通行条件受限制的背街小巷，应采取人工清洗与小型机械清洗相结合的方式，作业流程按以下规定：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清洗作业前，对道路进行人工普扫或机械湿式普扫。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清扫作业后，按从中央线向道路两侧的顺序，采用小型高压清洗车或洒水车单车分次巡回清洗，并视路面污染、积水情况安排洗扫收边。路面宽度允许时，可投入多车辆梯形一次性推进清洗。安装有交通护栏的路段优先清洗交通护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根据路面污染情况，可采用小型高压清洗车辆或人工方式对污染部位进行局部清洗。人行道采用小型高压清洗车对污染部位进行定点清洗。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白天至上半夜时段，原则上不进行背街小巷清洗作业，或仅用洒水车进行中小水量雾洒压尘，避免扰民。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（7）在道路突发污染事故（如车辆漏油、颜料污染等）、渣土严重污染、环境保障等情况下，需要进行应急或补救性道路清洗时，需向行业主管部门报告，经批准后实施。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①</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根据污染情况、作业时限、作业数量和质量要求，确定作业方式、作业机械设备种类和数量，并统一集中调度，以便在规定的时间内保质保量完成清洗作业。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②</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作业前，应先在来车方向 100 米处放置安全锥筒或其它合适的警示标志，以保证作业安全和道路通行安全。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③</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渣土污染严重时，应先以人工方式铲除泥土，再用清洗车喷水浸泡和清洗路面污染，最后由洗扫车将污水污物收扫、吸干、运走。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汉仪书宋二S" w:hAnsi="汉仪书宋二S" w:eastAsia="汉仪书宋二S" w:cs="汉仪书宋二S"/>
          <w:i w:val="0"/>
          <w:caps w:val="0"/>
          <w:color w:val="000000"/>
          <w:spacing w:val="0"/>
          <w:kern w:val="0"/>
          <w:sz w:val="24"/>
          <w:szCs w:val="24"/>
          <w:shd w:val="clear" w:color="auto" w:fill="FFFFFF"/>
          <w:lang w:val="en-US" w:eastAsia="zh-CN" w:bidi="ar"/>
        </w:rPr>
        <w:t>④</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油污、颜料、涂料等污染路面，应先在污染路面铺撒干沙，人工清扫让干沙充分吸污；污染严重时，应多次更换干沙，人工反复搓扫路面，让干沙充分吸收污物，再将污沙运走清除；然后用高压清洗车清洗受污染路面，最后由洗扫车将污水污物收扫、吸干、运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3.作业频次：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（1）冲洗除尘作业频次应根据路面尘土量、天气情况和空气质量确定。春夏季夜间作业时一级道路每周晚间冲洗5次以上；二级和三级道路每周晚间冲洗道路 3次以上；建筑垃圾清运通道每晚冲洗道路 2 次以上；人行道每周白天冲洗2次以上；集贸市场、早（夜）市及人流量较大区域的周边道路及人行道宜适当增加作业频次。秋冬季作业时对有大型货运车辆经过的道路每天白天最多可开展2次冲洗除尘作业，其它路段每两天开展1次道路冲洗除尘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（2）道路两侧下水井口周边油渍及其它污染物冲洗，应采用小型高压高温冲洗设备，做到“即见即洗”。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三、道路清扫保洁作业车辆管理</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（一）车容车貌要求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1.始终保持车容整洁，专用标志清晰、完整，专用设备、警示灯和指示板灵敏有效、无残缺，车尾应有反光标志（或加贴反光膜）。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2.出车前应对汽车玻璃、车身、轮胎外表进行全面擦拭，车体应干净整洁，无积灰积尘和杂物，车体外观无明显破损，非垃圾接触部位应无污渍、见本色。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3.作业时应保持车身无牵挂，车厢密封、遮盖良好，无垃圾外露、污水外溢等现象；垃圾接触部位，应保持视觉范围内无污物和明显污渍、无垃圾杂物暴露。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4.回场后应及时进行彻底清洗，并将清洗出的垃圾污物投放至指定容器，保持车辆清洗场地清洁，保证车体和车辆轮胎干净无污物，做到脏车不过夜。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5.车辆清洗完毕应做好例行保养工作，认真填写路单、例保簿、仔细检查车容车况，若发现故障，应及时填写小修记录单，最后将车辆按规定位置停放好。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6.车辆驾驶室内应干净整洁，并应按照交通法规要求，正确张贴审验标志，不乱张贴、放置其他与工作无关的物品。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7.车辆定期检查、按时维保，确保关键部件（作业部件、密封件、防滴漏件、警示灯、反光条、环卫标识、灭火器、应急锥筒）配件齐全，外观和功能完好，出现故障、破损、缺失后原则上 72 小时内完成修复更新。各区环卫作业车辆完好率应保持在 85%以上。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（二）维护保养要求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1.车辆完成作业后，必须停放至指定的场所，非工作需要不得动用。停车场地要有固定值班室，由专人看管，负责车辆停放后的安全保卫工作。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2.车辆驾驶员应按车辆技术要求做好日常检查工作，做好车容车况检查，确保车辆性能完好和车容整洁。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车辆驾驶员应认真执行车辆一、二级维护保养制度，严格落实出车前检查、途中检查和回停车场后的保养工作，具体检查全车水、电、油、气有无滴、漏现象，清洗车辆外表和垃圾箱内外，加注各润滑点位润滑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4.做好每天车辆出车前、作业过程中和车辆回场后的车辆检查工作，确保环卫车辆安全行车，正常作业。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（三）车辆操作要求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1.应对机械化清扫保洁车辆进行定车、定员、定时、定路段管理，在遵守交规和保证安全、文明作业、文明行车前提下，完成当日清洗保洁任务。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2.出车前，驾驶员应做好车辆检查，特别是对油泵、扫刷、喷水嘴要调整适当，确保车况良好、操作规范、文明行车、文明作业、按规定线路和时间作业。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3.清扫保洁作业时，操作人员应按如下要求运行作业车辆：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（1）打开警示灯、应急灯（大车）、鸣放提示音乐（区县播放：《东方红》，开发区播放《歌唱祖国》）。22:00 时至次日 7:00 时，只开启警示灯、应急灯，暂停播放提示音乐或调低提示音乐音量，避免噪音扰民。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（2）遇前方有车辆、行人时，注意及时避让。中、高考等重要考试期间，洒水车途经考场周边道路时应及时关闭洒水提示音乐。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（3）根据路面污染程度、清扫保洁对象和作业条件，设定发动机转速、喷水、扫刷、风机等装置的初始状态，开启喷水降尘设备湿法作业，作业运行速度清扫保洁车辆不超过 8 公里/小时、高压清洗车辆不超过 15 公里/小时；作业时，使用高压小流量清洗，不得使用低压大流量冲水。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洗扫车主刷落地高度一般降至刷苗稍压地面为宜，吸盘箱调整到紧贴路面的位置，做到道牙根无浮土、无污物，作业过程不扬尘、不漏土、不扰民。扫刷、吸嘴胶轮磨损后要及时调整或更换，经常保持正常的扫刷触地压力和吸嘴离地间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（5）及时调整喷头位置与水压，保证路面清洗和洒水效果，保证不溅污、不扰民。涉水车辆要到指定地点加注水，并注意节约用水。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（6）遇到大块物（如砖块）、大面积垃圾（如纸板）、长树枝等杂物时，先用人工将其清除；遇见较大的障碍物或凹坑时不可强行通过，以免损坏机件。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（7）作业质量、效果下降或出现异常情况，应及时停机检查。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4.完成作业任务后，应按如下要求进行操作和管理：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（1）按规定的线路及时清收清洗保洁垃圾，并将垃圾运送指定的生活垃圾收集点，做到工完场清。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（2）不得往绿地花坛倾倒垃圾，不得将垃圾、泥沙扫入下水道进水篦，不堵塞下水道井眼。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（3）将作业车辆停放至指定场所，并进行清理和清洗，保持车容车貌。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（4）对车辆进行全面的维护保养，及时消除故障隐患，保证车辆出勤率，提高作业效率与质量。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5.恶劣天气情况下（五级以上大风及大雨、下雪），应暂停机械冲洗保洁作业。气温 4℃及以下应暂停涉水保洁作业。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6.遇有重大保障活动和道路突发污染事故，各类作业车辆应迅速到位，在交管部门的配合下于清理点位来车方向100米处设置路面警示标志，并有效配合其他人员和车辆快速处置，确保路面的干净整洁。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7.作业车辆涉水作业时，遇电线、电器应压低水头或调近喷射距离，避免水溅电线造成安全事故。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（四）新能源车辆操作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1.检修、维护高压部分维保人员必须取得行业主管部门颁发的电工作业许可证并由厂家培训合格后方可上岗。整车携带高压部分，非专业人员禁止拆卸、打开，防止漏电造成人身伤害。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2.严禁用水冲洗驱动电机、控制器、电池箱等高低压电器，以免器件损坏或发生触电危险。涉水行车时，路面积水深度应不超过电机下表面，控制车速不超过 10km/h。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3.充电作业由指定的专人进行，上岗前需培训。动力电池电量满足里程需求，回到充电站后不低于 20%，防止因电量不足导致抛锚。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4.行驶中尽量匀速驾驶，避免急加减速，多采用预见性制动。合理控制车辆行驶速度，控制最高车速，保证电机运转在高效区或高效区附近。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5.当车辆出现电机高温或故障时，应降低车辆动力输出，降低车速，报修处理。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6.当车辆需要拖车时，必须将传动轴或半轴拆掉，防止拖车过程中电机旋转发电，导致集成式电机控制器损坏。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7.车辆停放区域要远离热源和易燃、易爆等危险区域，不得停放在低洼的地方，防止下雨积水浸泡车辆导致车辆损坏。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8.车辆若长期存放超 1 个月，为防止纯电动车辆动力蓄电池活性降低，甚至导致动力蓄电池报废，应每间隔一个月充、放电维护一次。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四、公共厕所清扫保洁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（一）公共厕所基本要求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1.公共厕所应按规定的时间准时免费开放：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（1）火车站或高铁站、汽车站周边和其他全天候对外开放的窗口地带以及人流量较大的区域，公厕应实行 24 小时全天候开放、全天候保洁。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（2）其它沿街公厕开放时间应实行 16 小时开放和保洁，视情况可为 5:00-21:00 或 6:00-22:00。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（3）景区、社区、商场或相关单位内部对外开放的公厕，应根据所在场所开放时间、使用需求和时令季节变化等情况，适时调整开放时间。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2.城市化区域公厕应至少按照“一厕一人”专人负责制配置公厕管理人员，在此基础上应按照 8 小时/班次要求配备公厕管理人员，即 24 小时开放的定员 3 人，16 小时开放的定员 2 人，厕位较多的应按 10 个厕位配备一名公厕管理人员。定员 2 人及以上的公厕，应同时配备男性和女性公厕管理人员，方便清洁男女厕。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3.公共厕所应按相关标准设置指示和标识标志牌：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（1）在公共厕所周边50m-200m半径内的不同方向道路上，可按照“多杆合一”要求，各设置不少于2块指向牌，优先在岔路口设置，指示距离误差不超过±20米。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（2）在厕外醒目位置公示厕所编号、开放时间，在厕内醒目位置公示厕所管理制度、类别（一、二、三类，固定式或移动式）、管理单位名称、厕管人员名称和照片、监督投诉电话、文明如厕公约等信息。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（3）厕内应设置规范、醒目的男厕、女厕、残疾人、母婴、老年人等各类标识牌，注意阶梯、小心地滑等安全提示，文明如厕、禁止吸烟等文明提示，不得使用涂写、刻画等非正规标识牌形式。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（4）除残疾人间外，应在一定数量的蹲位内设置老年扶手，并在蹲位门上设置醒目的提示标识。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4.公共厕所各类附属设施完好、整洁，做到自来水通、照明电路通、排污管道通，在清扫保洁作业时必须悬挂作业提示牌。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内管线要定时检修，并保持干净完好；内外部照明灯具、标志、洗手器具、面镜、挂衣钩、烘手机、冲水设备无损伤；化粪池窨井盖丢失或损坏应及时补充维修，确保正常使用。公共厕所维修维护时，应悬挂提示标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6.定期开展化粪池清掏、疏通作业，每个化粪池每年至少清掏二次，并根据管道堵塞情况随时开展清掏，减少化粪池内的杂物、粪渣和沼气浓度，确保无粪便外溢：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（1）由专业队伍进行清掏作业，做好必要防护措施，确保作业安全。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（2）粪便收集和运输设备应具备良好密封性，确保无滴漏、无异味外泄。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（3）粪便清理时应保持作业场地清洁、无粪污遗撒。贮（化）粪池清掏作业结束后，应盖严清掏口并及时清理场地和清掏工具。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（4）对清掏产生的粪渣进行无害化处理或回收利用，避免造成环境污染。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（5）化粪池盖上应有“内有沼气、勿扔烟头、避免明火”等安全警示标识。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7.应确保在雨雪天气下内部地面干净、防滑，并注意保持通风设施运转良好，防止恶臭气体或易燃易爆气体聚集，保障如厕人员不会因此而发生意外伤害事件。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8.公厕管理人员不得擅自接水接电，应保证内部照明设施完好和照明强度足够，并应保持管理室内通风透气，确保清扫保洁和管理人员的人身安全。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9.公厕管理人员在公厕开放时间内不得无故离岗，确有正规原因必须离岗的，应在厕内公示离岗时间，且全天一般不得超过 1 小时。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10.公厕内应设置保洁服务日志，清扫保洁、设施排查、设施维护、病媒防治、化粪池清掏等工作均做好记录，随时备查。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11.公厕不得无故关闭封停，确因施工维修、待拆迁等原因需要封闭的，应在厕外醒目位置公示关闭理由及重新开放时间。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b/>
          <w:bCs/>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（二）公共厕所清扫保洁作业要求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1.公厕管理人员应每天在公厕开放前至少 10 分钟到岗，穿戴专门工作服、佩带胸牌，检查公厕内用水、用电、排水设施，对厕内及周边环境、大小便池、纸篓和垃圾容器等部位进行一次全面清理，确保干净、整洁、有序。发现设施缺失、破损、故障、管道堵塞，应在第一时间记录、上报和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2.公厕管理人员在每天上下班高峰时段来临前（早 7:00 前、晚 17:00前），对公厕内外责任区域进行一次全面清扫保洁。人流量较大期间，巡回保洁频次一般不超过 15 分钟；其他时段厕内巡回保洁频次一般不超过半小时，随时保持厕内外环境卫生达标。非 24 小时开放的公厕，公厕管理人员在夜间下班前应严格按照：备、冲、倒、洗、擦、拖、补、喷程序结束全天工作，关闭大门、窗户及其他通电、通水设备。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3.清扫保洁作业时，按以下流程和要求进行：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（1）设置清扫保洁作业提示标志；地面清扫保洁后，应设置防滑标志。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（2）依次涮洗便坑、马桶，做到便池无碱迹、痰迹，便器里外干净；用清洁剂刷洗面盆、云台表面，重点涮洗内侧壁，不留污渍、污迹；再把地面、蹲板积水清扫干净。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（3）用消毒液消毒面盆、马桶盖、马桶内壁，并保持马桶盖及座圈干燥卫生。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（4）用固定抹布擦拭手可触及墙、门隔板、墙上设备（应急灯、洗手液箱、烘干器等表面）。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（5）不得用水冲墙壁、窗纱和门等，应用干抹布擦拭干净，直到用手摸窗台、门窗等没有尘土为止。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（6）雨、雪天气应在厕内主要通道和阶梯处铺设防滑地毯；冬季厕内气温4℃以下时，不得用水冲洗地面及阶梯，确保地面不打滑、不积水、不结冰；在醒目位置设置“注意地滑”、“注意阶梯”等警示标语。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（7）应每天对公共厕所进行全面消毒杀菌 1 次。消杀时应对公共厕所开放区域全面喷洒消毒药剂，每天检查箱内毒饵情况，及时更新补充。有效控制各类病媒及“四害”。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4.公厕管理人员应熟练使用厕所设备，并主动向如厕人员介绍公厕设备的正确使用方法。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5.公厕管理人员进入异性厕所前，必须问清楚厕所内是否有人使用，确定厕所无人使用时，再进入清扫保洁，并在门口放置“正在作业”提示牌。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6.在清扫保洁作业进行时如有人用厕，不得把水溅洒到如厕人身上，避免与如厕人发生纠纷。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公厕使用中，遇有管道堵塞、粪井满溢、设施损坏（老年扶手、脚踏板、蹲坑、座盆、门窗纱、井口、井盖、井圈、厕牌、宣传牌、瓷砖等）及水电问题，应及时上报有关部门，做到当天任务当天完成并在最短时间内解决，避免影响市民如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8.应定期擦拭公厕设置的各类标牌，保持其干净、整洁；管理间的清扫保洁工具应摆放有序、干净、整洁。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18"/>
          <w:szCs w:val="20"/>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（三）公共厕所清扫保洁质量要求</w:t>
      </w:r>
      <w:r>
        <w:rPr>
          <w:rFonts w:hint="eastAsia" w:ascii="楷体_GB2312" w:hAnsi="楷体_GB2312" w:eastAsia="楷体_GB2312" w:cs="楷体_GB2312"/>
          <w:b w:val="0"/>
          <w:bCs w:val="0"/>
          <w:color w:val="000000"/>
          <w:kern w:val="0"/>
          <w:sz w:val="22"/>
          <w:szCs w:val="2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1.公共厕所内区域管理服务应达到以下要求：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（1）采光和通风条件应良好，按要求配置照明和排气除臭硬件设施，确保各类设施设备配置齐全、数量充足、效果良好、满足需要，厕内保持全天候无明显异味。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厕内地面、墙壁、天花板、门窗等部位，以及照明灯具、洗手台、面镜、隔板、冲水设备、灭蚊灯具、通风除臭设备及其他各类公厕硬件设施洁净且外观完好，无破损、锈迹、污垢、积尘、积水、蛛网、屎尿、废弃物，无乱涂写、乱刻画、乱张贴，无杂物乱堆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（3）大小便池及时冲洗，无屎尿等污物残留，无明显污渍污垢。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（4）纸篓和垃圾桶及时清理，无废弃物满溢。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（5）应配置厕位扶手、挂衣钩、置物架等服务设施，视条件提供厕纸、洗手液、烘手机、温水洗手、厕位引导等服务。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（6）拖把、水桶、抹布、扫把等作业工具应放置或晾晒于专门的工具间、工具架，或其他厕内外隐蔽位置，确保不影响观瞻。厕内主要通道、洗手台、厕位内不得放置作业工具和其他影响观瞻及通行的物品。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（7）基本无蚊蝇。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2.公共厕所周边 5 米以内公共区域（含花坛绿化带）的管理应达到以下要求：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（1）无垃圾、粪便、污水、污迹、杂草、蚊蝇孳生地。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（2）无杂物乱堆放、厕管人员衣物乱晾晒。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（3）保持道路清洁、畅通，贮粪池无满溢。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（4）无摆摊设点。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黑体" w:hAnsi="黑体" w:eastAsia="黑体" w:cs="黑体"/>
          <w:i w:val="0"/>
          <w:caps w:val="0"/>
          <w:color w:val="000000"/>
          <w:spacing w:val="0"/>
          <w:kern w:val="0"/>
          <w:sz w:val="24"/>
          <w:szCs w:val="24"/>
          <w:shd w:val="clear" w:color="auto" w:fill="FFFFFF"/>
          <w:lang w:val="en-US" w:eastAsia="zh-CN" w:bidi="ar"/>
        </w:rPr>
        <w:t>五、其他环卫设施</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（一）果皮箱</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1.作业标准：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果皮箱内的垃圾日产日清，无满溢现象，投放口周边整洁，无垃圾悬挂；箱体周围地面无撒落存留垃圾、无陈旧油污，箱体无破损、无锈迹、无污垢、无污渍，外观干净整洁。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2.作业时间及频次：</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一、二级道路（区域）果皮箱应当每日内部清掏、外部保洁，清掏和保洁每日不少于4次，即07:00-09:00、12:00-14:00、17:00-19:00、21:00-23:00。公交站台、小饮食店、繁华商业区等人口密集区域，应增加清掏、保洁频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（2）三级道路（区域）果皮箱每日清掏和保洁不少于2次，即07:00-09:00、18:00-20:00；并根据箱体内垃圾存量随时清掏、保洁。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b w:val="0"/>
          <w:bCs w:val="0"/>
          <w:i w:val="0"/>
          <w:caps w:val="0"/>
          <w:color w:val="000000"/>
          <w:spacing w:val="0"/>
          <w:kern w:val="0"/>
          <w:sz w:val="24"/>
          <w:szCs w:val="24"/>
          <w:shd w:val="clear" w:color="auto" w:fill="FFFFFF"/>
          <w:lang w:val="en-US" w:eastAsia="zh-CN" w:bidi="ar"/>
        </w:rPr>
        <w:t>3.作业方式：</w:t>
      </w:r>
      <w:r>
        <w:rPr>
          <w:rFonts w:hint="eastAsia" w:ascii="仿宋_GB2312" w:hAnsi="仿宋_GB2312" w:eastAsia="仿宋_GB2312" w:cs="仿宋_GB2312"/>
          <w:i w:val="0"/>
          <w:caps w:val="0"/>
          <w:color w:val="333333"/>
          <w:spacing w:val="0"/>
          <w:kern w:val="0"/>
          <w:sz w:val="21"/>
          <w:szCs w:val="21"/>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（1）果皮箱箱门、箱体等整洁无缺损、内壁整洁、标识清晰、配置垃圾袋方便投放，箱内垃圾积存不超过投放口；箱周围地面整洁。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（2）果皮箱的内桶应套装专用垃圾袋，清掏时扎口连袋收运，禁止将零散垃圾直接倒入收集车内。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（3）收集时应将可回收垃圾与其他垃圾进行分类分拣作业，对分类不正确的垃圾，进行二次分类后再行收集。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color w:val="333333"/>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（4）连袋清掏垃圾后内桶重新套装专用垃圾袋，须将重新套好垃圾袋的内桶复位并关闭箱门，再对箱体及地面进行保洁。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FF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（5）垃圾桶根据其形状、规格和尺寸，能够套袋的应套装垃圾袋，无法套袋的应将桶内及周边地面垃圾清理干净。</w:t>
      </w:r>
      <w:r>
        <w:rPr>
          <w:rFonts w:hint="eastAsia" w:ascii="仿宋_GB2312" w:hAnsi="仿宋_GB2312" w:eastAsia="仿宋_GB2312" w:cs="仿宋_GB2312"/>
          <w:i w:val="0"/>
          <w:caps w:val="0"/>
          <w:color w:val="FF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（二）环卫工具箱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1.环卫工具箱保持外表完好、整洁，无破损和锈蚀，无乱涂写、乱张贴、乱刻画；箱体文字、图片、标识清晰；上表面清洁，无积尘、油迹、锈迹。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2.保洁员工具箱常用尺寸为：长2.7*宽 0.5*高0.45m，也可根据需要定制尺寸。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3.保洁员工作箱应采用膨胀螺丝固定在地面上，以防被挪移，内部设箱体，用于储存物品和工具，侧面和正面都可以做门，需采用防盗锁。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（三）环卫工人作息室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1.环卫工人休息室位置原则上应保持隐蔽，不应设置于主次干道交叉路口附近，且不应对车辆、行人通行产生影响。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2.环卫工人休息室基本功能应齐全，满足环卫工人工间休息、更衣、纳凉、就餐，以及存放扫帚、铁锹、小扫帚、撮箕、拾捡器、小铲刀等清扫保洁作业工具需求，无人使用时应保持门、窗上锁。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3.环卫工人休息室应按要求配备灭火器等防火设施，小于50平方米，配备4kg的干粉灭火器不少于1具，并根据国家标准进行定期检测，确保灭火器在有效期内。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4.无环卫工人休息室的路段，不得将工具摆放在人行道上，要将工具存放在隐蔽位置，并摆放整齐，不影响观瞻。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环卫工人休息室内外应进行定期或不定期的清理，保持其内部及周边环境整洁、有序。禁止将作业工具随意摆放在环卫工人休息室外。存放在环卫工人休息室内的作业工具应定期进行清理、清洗、整饰，保持外观完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auto"/>
        <w:rPr>
          <w:rFonts w:hint="eastAsia" w:ascii="仿宋_GB2312" w:hAnsi="仿宋_GB2312" w:eastAsia="仿宋_GB2312" w:cs="仿宋_GB2312"/>
          <w:sz w:val="18"/>
          <w:szCs w:val="20"/>
        </w:rPr>
      </w:pPr>
      <w:r>
        <w:rPr>
          <w:rFonts w:hint="eastAsia" w:ascii="黑体" w:hAnsi="黑体" w:eastAsia="黑体" w:cs="黑体"/>
          <w:b w:val="0"/>
          <w:bCs w:val="0"/>
          <w:color w:val="000000"/>
          <w:kern w:val="0"/>
          <w:sz w:val="24"/>
          <w:szCs w:val="24"/>
          <w:lang w:val="en-US" w:eastAsia="zh-CN" w:bidi="ar"/>
        </w:rPr>
        <w:t>六、环卫作业人员管理</w:t>
      </w:r>
      <w:r>
        <w:rPr>
          <w:rFonts w:hint="eastAsia" w:ascii="仿宋_GB2312" w:hAnsi="仿宋_GB2312" w:eastAsia="仿宋_GB2312" w:cs="仿宋_GB2312"/>
          <w:b/>
          <w:bCs/>
          <w:color w:val="000000"/>
          <w:kern w:val="0"/>
          <w:sz w:val="22"/>
          <w:szCs w:val="22"/>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（一）仪容仪表</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1.作业人员应统一着装，保持衣帽整齐，并佩戴工号牌，且有所属单位的明显标志、作业工种等标识。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2.作业人员着装应满足以下要求：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（1）工作帽帽沿应向正前方，不得歪戴帽。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（2）纽扣应扣齐，不得敞开外衣。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（3）非工作需要不得将衣袖、裤管卷起，作业时不得将衣服搭放在肩上。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（4）统一佩带工作牌，工作牌应佩戴在左胸襟处。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（5）非特殊情况不得穿背心、短裤、拖鞋、打赤脚作业。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（6）夜间和雾天作业时必须穿反光标志服（反光背心）；雨雪天气作业时应穿戴环卫标志雨衣，不允许打伞作业。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b w:val="0"/>
          <w:bCs w:val="0"/>
          <w:i w:val="0"/>
          <w:caps w:val="0"/>
          <w:color w:val="000000"/>
          <w:spacing w:val="0"/>
          <w:kern w:val="0"/>
          <w:sz w:val="24"/>
          <w:szCs w:val="24"/>
          <w:shd w:val="clear" w:color="auto" w:fill="FFFFFF"/>
          <w:lang w:val="en-US" w:eastAsia="zh-CN" w:bidi="ar"/>
        </w:rPr>
        <w:t>（二）文明作业</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1.服从领导与工作安排，相互支持、分工协作，发扬团队精神。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2.根据所辖路段的人流、车流情况，合理安排作业时间和方式，清扫机动车道中央分隔路面时要注意来往车辆，主动避开行人和车流高峰，以免发生意外。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3.上班时间不得与他人聊天，不得在岗上聚堆抽烟、吃零食；工作场合与他人同行时，不允许勾肩搭背，嬉戏打闹。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4.需要路人配合时，应使用“您好、请、对不起、让一让、谢谢”等文明用语，禁止使用“喂、走开点、让开”等命令式用语，尽量避免与路人发生矛盾。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5.清扫保洁作业时，作业人员行为要满足以下要求：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（1）认真做好各自管辖区域内的清扫保洁工作，作业期间不得坐岗、串岗、擅自离岗。特殊情况下需离岗时，应与邻近保洁员做好交接，离岗时间不得超过 10 分钟。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（2）注意行人和来往车辆，压低扫帚，不扬尘、不溅污、不扰民，礼貌待人；遇乱吐、乱扔、乱倒等不文明行为，应以文明、礼貌用语提醒劝阻。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（3）晨扫作业时，不得大声喧哗，以免影响居民休息。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（4）完工后，应将工具堆放整齐、冲洗污水处理干净，不对行人、周边环境和市民生活造成影响。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6.机械作业时，作业人员行为应达到以下要求：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（1）文明行车，严格遵守冲、洒水规范，遇行人密集处要减速慢行，控制音量，减少扰民。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（2）夜间收集垃圾时，应对作业车辆做到轻停放、轻开关门、轻上垃圾，尽量减少噪音。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（3）垃圾收集类车辆应外观干净整洁，不得有明显污渍、牵挂物，停放时应与道路呈平行方向；装载垃圾作业时，应避让行人视线。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7.公厕清扫保洁时，应避让来宾，尊重宾客的隐私，严禁与如厕人发生争吵。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8.发现求助信号时，应及时给予帮助，并协助相关人员处理善后事宜。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9.必须服从各级管理人员的管理，不得殴打、辱骂管理人员。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七、重大节假日、大型活动环卫应急保障</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（一）重大节假日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主要是指国家规定的政治生活或民俗生活中的社会喜庆、休息（闲）的非工作日或非工作时段，如国庆节、五一国际劳动节、元旦、春节、元宵节、端午节、中秋节、清明节等。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（二）进一步提高重点时段、重点地带的作业质量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1.主次干道全天候保持无暴露垃圾，保洁质量良好；无明显灰带，无渣土污染；容器清洁，随满随清；作业车辆整洁。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2.背街小巷内无暴露垃圾，垃圾点及时清运，保洁质量良好，容器整洁。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3.主次干道两侧公厕全天候管理人员值守，随时清洗，保持内外卫生整洁。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4.重大节假日道路环境保障按以下工作流程进行：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（1）普扫完成以后，进入全天候动态保洁阶段；洗扫车全天候于立交桥、主干道上作业；保洁人员不间断满覆盖作业；清运车辆高频率运转，保持随产随清。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（2）在非冬季节日里，洒水车上、下午各喷洒主干道一次。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（3）遇突发污染，高压冲洗车与人工配合及时清洗。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（4）公厕由值守管理人员动态清洁，保持厕内外卫生整洁。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（5）每个节假日之前，各责任单位对各自的作业车辆、容器进行一次彻底的清洗。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5.重大节假日道路环境保障应达到以下要求：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（1）增加保洁作业人员、清运车辆及技术人员配备，增加白天洗扫车或高压冲洗车值班作业，确保节日保障效果。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（2）各保障单位应组织节日应急保障队伍（以正常工作人员的10%配备），保持车辆及设备状况良好，以保证应对突发情况。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（3）公共厕所管理部门还应配备技术人员、作业车辆及相关设备，确保公共厕所正常使用，在人流密集区域，增加移动公厕数量。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（4）繁华路段、行人高峰时段、居民密集区实行重点保障，确保关键环节与薄弱环节环境卫生管理质量达标。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（5）各责任单位领导要带头值班、带班，电台或其他通讯设施通畅，做好全程合理调度与机动应急处理。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黑体" w:hAnsi="黑体" w:eastAsia="黑体" w:cs="黑体"/>
          <w:i w:val="0"/>
          <w:caps w:val="0"/>
          <w:color w:val="000000"/>
          <w:spacing w:val="0"/>
          <w:kern w:val="0"/>
          <w:sz w:val="24"/>
          <w:szCs w:val="24"/>
          <w:shd w:val="clear" w:color="auto" w:fill="FFFFFF"/>
          <w:lang w:val="en-US" w:eastAsia="zh-CN" w:bidi="ar"/>
        </w:rPr>
        <w:t>八、重大自然灾害及特殊天气环卫应急保障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（一）地震受灾环卫公厕应急保障作业基本要求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1.及时对公共厕所和化粪池进行逐个检查，彻底清扫、消毒、清掏粪液，防止粪便持续渗漏及外溢，污染环境和水源。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在公共厕所严重受损及污水管网、粪便排放与处理设施不完善，或者严重受损的地区，以及在灾民聚集点，选择合适地点、合理布局，搭建临时公共厕所，并每日对厕所内部四壁、地面、便器等用10%漂白粉溶液喷洒消毒，同时喷洒灭蚊蝇药物，保持厕所内清洁卫生、无蛆蝇孳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按收运距离每50-70km配备1辆收运车进行粪便清运。粪便清运工具每日完成作业后，应进行冲洗和消毒处理。清运的粪便优先进入无害化处理设施或临时应急处理设施处置，并达到基本杀灭粪便中的病原菌和寄生虫卵的要求，避免居民区空气、土壤、水源的污染。粪便清运人员工作时穿隔离衣裤、长筒胶鞋，戴手套、口罩，并应对个人防护用品进行定期消毒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（二）暴雨洪水环卫作业应急保障基本要求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1.参与西安市政府组织的抗洪救灾工作，做好环境卫生紧急整治和控管工作。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2.暴雨过后，及时清除马路上的积水、淤泥、残渣、漂浮物等，垃圾车要加速加班转运，保证垃圾不在市内过夜。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3.遇到特大暴雨洪水灾害时，环卫工人要及时清除紧急避难场所及周边的垃圾，并配合做好防疫消毒工作。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4.洪灾过后，环卫工人应及时清理干净市民撤离后遗留的生活垃圾，做好环境卫生工作。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（三）大雾天气环卫应急保障作业基本要求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1.建立预警机制，提前掌握天气预报信息，做好安全防范与应急的各项准备工作。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2.清扫保洁作业时间段内出现大雾天气，只对人行道进行清扫保洁，待大雾散后再对车行道实施清扫保洁。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3.环卫工人应着反光标志服上岗，严禁在机动车道上作业；雾散后，在机动车道上作业应采取安全防护措施（安全警示牌、专人疏导车辆维护现场）。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（四）大风天气应急环卫作业保障基本要求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1.道路路面在秋冬大风季节会出现大面积、大量落叶与扬尘等，应及时进行清除。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2.进入秋季后，各环卫作业单位指定专人密切关注天气变化，提前做好应急人员及车辆的安排、部署。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3.重大活动、灾害性天气的落叶处置实行市城管部门总体调度，其他情况下由各区城管部门或保洁企业负责人现场调度。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sz w:val="18"/>
          <w:szCs w:val="20"/>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4.采取洗扫车或吸尘车为主、人工为辅的作业办法清除落叶。遇有重大保障活动，应提前 1 小时完成清除落叶工作；遇有一般性保障活动，应提前半小时完成清除落叶工作。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楷体_GB2312" w:hAnsi="楷体_GB2312" w:eastAsia="楷体_GB2312" w:cs="楷体_GB2312"/>
          <w:i w:val="0"/>
          <w:caps w:val="0"/>
          <w:color w:val="000000"/>
          <w:spacing w:val="0"/>
          <w:kern w:val="0"/>
          <w:sz w:val="24"/>
          <w:szCs w:val="24"/>
          <w:shd w:val="clear" w:color="auto" w:fill="FFFFFF"/>
          <w:lang w:val="en-US" w:eastAsia="zh-CN" w:bidi="ar"/>
        </w:rPr>
        <w:t>（五）道路扫雪除冰应急保障基本要求</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1.入冬前应根据有关规定，做好扫雪除冰的技术准备工作和应急预案，建立扫雪除冰作业指挥调度、网络系统，实行信息化管理，做好扫雪除冰机械设备的维修、保养和调试，机械设备完好率应大于90%。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2.根据道路的重要程度、交通流量、地理位置编排设计作业程序，并应以机械作业为主、人工作业为辅，合理使用环保型融雪剂，保护环境。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3.雨加雪时，应采用直接清扫的方法，将路面积雪、积水清扫干净，避免路面结冰。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4.扫雪除冰作业应做好行人、车辆的疏导和安全工作，作业人员应穿警示防护服。临时占道扫雪除冰作业时，应在作业路段设置符合交通标志要求的警示标志。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5.环保型融雪剂的选择与使用应达到以下要求：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（1）重要交通枢纽（含立交桥、高架桥和坡道）根据雪情预报，在降雪前、初时撒（洒）少量环保型融雪剂。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（2）环保型融雪剂使用时，应根据环境温度、积雪量选择种类，并严格控制施撒（洒）量。气温高于-5℃时，下雪前在引桥、立交桥等有坡度的道路上预施撒（洒）颗粒状环保型融雪剂的剂量不应大于10g/</w:t>
      </w:r>
      <w:r>
        <w:rPr>
          <w:rFonts w:hint="eastAsia" w:ascii="仿宋_GB2312" w:hAnsi="仿宋_GB2312" w:eastAsia="仿宋_GB2312" w:cs="仿宋_GB2312"/>
          <w:i w:val="0"/>
          <w:caps w:val="0"/>
          <w:color w:val="000000"/>
          <w:spacing w:val="0"/>
          <w:kern w:val="0"/>
          <w:sz w:val="22"/>
          <w:szCs w:val="22"/>
          <w:shd w:val="clear" w:color="auto" w:fill="FFFFFF"/>
          <w:lang w:val="en-US" w:eastAsia="zh-CN" w:bidi="ar"/>
        </w:rPr>
        <w:t>㎡</w:t>
      </w: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中雪、大雪应先进行积雪清除，再根据路面剩余雪量，按规定使用量施撒（洒）环保型融雪剂；零星小雪和路面薄冰，可采取直接施撒（洒）环保型融雪剂的方式作业，人行便道交通设施不应使用氯化物类融雪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000000"/>
          <w:spacing w:val="0"/>
          <w:kern w:val="0"/>
          <w:sz w:val="24"/>
          <w:szCs w:val="24"/>
          <w:shd w:val="clear" w:color="auto" w:fill="FFFFFF"/>
          <w:lang w:val="en-US" w:eastAsia="zh-CN" w:bidi="ar"/>
        </w:rPr>
      </w:pPr>
      <w:r>
        <w:rPr>
          <w:rFonts w:hint="eastAsia" w:ascii="仿宋_GB2312" w:hAnsi="仿宋_GB2312" w:eastAsia="仿宋_GB2312" w:cs="仿宋_GB2312"/>
          <w:i w:val="0"/>
          <w:caps w:val="0"/>
          <w:color w:val="000000"/>
          <w:spacing w:val="0"/>
          <w:kern w:val="0"/>
          <w:sz w:val="24"/>
          <w:szCs w:val="24"/>
          <w:shd w:val="clear" w:color="auto" w:fill="FFFFFF"/>
          <w:lang w:val="en-US" w:eastAsia="zh-CN" w:bidi="ar"/>
        </w:rPr>
        <w:t xml:space="preserve">（3）不含融雪剂的积雪，因地制宜就地处理；含有融雪剂的积雪，应单独收集、运输和处理，不应堆放在绿地、绿化带中。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sz w:val="24"/>
          <w:szCs w:val="24"/>
          <w:lang w:val="en-US" w:eastAsia="zh-CN"/>
        </w:rPr>
        <w:t>（六）</w:t>
      </w:r>
      <w:r>
        <w:rPr>
          <w:rFonts w:hint="eastAsia" w:ascii="楷体_GB2312" w:hAnsi="楷体_GB2312" w:eastAsia="楷体_GB2312" w:cs="楷体_GB2312"/>
          <w:sz w:val="24"/>
          <w:szCs w:val="24"/>
        </w:rPr>
        <w:t>泥土撒漏和路面污染</w:t>
      </w:r>
      <w:r>
        <w:rPr>
          <w:rFonts w:hint="eastAsia" w:ascii="楷体_GB2312" w:hAnsi="楷体_GB2312" w:eastAsia="楷体_GB2312" w:cs="楷体_GB2312"/>
          <w:sz w:val="24"/>
          <w:szCs w:val="24"/>
          <w:lang w:val="en-US" w:eastAsia="zh-CN"/>
        </w:rPr>
        <w:t>应急保障基本要求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一旦发现泥土撒漏或路面污染，</w:t>
      </w:r>
      <w:r>
        <w:rPr>
          <w:rFonts w:hint="eastAsia" w:ascii="仿宋_GB2312" w:hAnsi="仿宋_GB2312" w:eastAsia="仿宋_GB2312" w:cs="仿宋_GB2312"/>
          <w:sz w:val="24"/>
          <w:szCs w:val="24"/>
          <w:lang w:val="en-US" w:eastAsia="zh-CN"/>
        </w:rPr>
        <w:t>道路环卫保洁责任单位</w:t>
      </w:r>
      <w:r>
        <w:rPr>
          <w:rFonts w:hint="eastAsia" w:ascii="仿宋_GB2312" w:hAnsi="仿宋_GB2312" w:eastAsia="仿宋_GB2312" w:cs="仿宋_GB2312"/>
          <w:sz w:val="24"/>
          <w:szCs w:val="24"/>
        </w:rPr>
        <w:t>要迅速响应，及时采取行动。</w:t>
      </w:r>
      <w:r>
        <w:rPr>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sz w:val="24"/>
          <w:szCs w:val="24"/>
        </w:rPr>
        <w:t>人员能够快速赶到现场，开始清扫工作。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在进行泥土撒漏和路面污染清扫时，需要确保人员的安全。</w:t>
      </w:r>
      <w:r>
        <w:rPr>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sz w:val="24"/>
          <w:szCs w:val="24"/>
        </w:rPr>
        <w:t>人员需要佩戴必要的个人防护装备，如手套、口罩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并</w:t>
      </w:r>
      <w:r>
        <w:rPr>
          <w:rFonts w:hint="eastAsia" w:ascii="仿宋_GB2312" w:hAnsi="仿宋_GB2312" w:eastAsia="仿宋_GB2312" w:cs="仿宋_GB2312"/>
          <w:sz w:val="24"/>
          <w:szCs w:val="24"/>
        </w:rPr>
        <w:t>根据工作区域的大小和形状来确定摆放锥形桶的位置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确保锥形桶能够清晰标示出工作区域的范围，以提醒车辆注意避让。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清扫泥土撒漏和路面污染</w:t>
      </w:r>
      <w:r>
        <w:rPr>
          <w:rFonts w:hint="eastAsia" w:ascii="仿宋_GB2312" w:hAnsi="仿宋_GB2312" w:eastAsia="仿宋_GB2312" w:cs="仿宋_GB2312"/>
          <w:sz w:val="24"/>
          <w:szCs w:val="24"/>
          <w:lang w:val="en-US" w:eastAsia="zh-CN"/>
        </w:rPr>
        <w:t>时，</w:t>
      </w:r>
      <w:r>
        <w:rPr>
          <w:rFonts w:hint="eastAsia" w:ascii="仿宋_GB2312" w:hAnsi="仿宋_GB2312" w:eastAsia="仿宋_GB2312" w:cs="仿宋_GB2312"/>
          <w:sz w:val="24"/>
          <w:szCs w:val="24"/>
        </w:rPr>
        <w:t>需要使用专业的工具和设备，如</w:t>
      </w:r>
      <w:r>
        <w:rPr>
          <w:rFonts w:hint="eastAsia" w:ascii="仿宋_GB2312" w:hAnsi="仿宋_GB2312" w:eastAsia="仿宋_GB2312" w:cs="仿宋_GB2312"/>
          <w:sz w:val="24"/>
          <w:szCs w:val="24"/>
          <w:lang w:val="en-US" w:eastAsia="zh-CN"/>
        </w:rPr>
        <w:t>大</w:t>
      </w:r>
      <w:r>
        <w:rPr>
          <w:rFonts w:hint="eastAsia" w:ascii="仿宋_GB2312" w:hAnsi="仿宋_GB2312" w:eastAsia="仿宋_GB2312" w:cs="仿宋_GB2312"/>
          <w:sz w:val="24"/>
          <w:szCs w:val="24"/>
        </w:rPr>
        <w:t>扫帚、铲子、高压水枪等。</w:t>
      </w:r>
      <w:r>
        <w:rPr>
          <w:rFonts w:hint="eastAsia" w:ascii="仿宋_GB2312" w:hAnsi="仿宋_GB2312" w:eastAsia="仿宋_GB2312" w:cs="仿宋_GB2312"/>
          <w:sz w:val="24"/>
          <w:szCs w:val="24"/>
          <w:lang w:val="en-US" w:eastAsia="zh-CN"/>
        </w:rPr>
        <w:t>日常保养时</w:t>
      </w:r>
      <w:r>
        <w:rPr>
          <w:rFonts w:hint="eastAsia" w:ascii="仿宋_GB2312" w:hAnsi="仿宋_GB2312" w:eastAsia="仿宋_GB2312" w:cs="仿宋_GB2312"/>
          <w:sz w:val="24"/>
          <w:szCs w:val="24"/>
        </w:rPr>
        <w:t>需要确保这些工具和设备的良好工作状态。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废物处置：在清扫过程中产生的泥土和污染物需要妥善处理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道路环卫保洁责任单位应</w:t>
      </w:r>
      <w:r>
        <w:rPr>
          <w:rFonts w:hint="eastAsia" w:ascii="仿宋_GB2312" w:hAnsi="仿宋_GB2312" w:eastAsia="仿宋_GB2312" w:cs="仿宋_GB2312"/>
          <w:sz w:val="24"/>
          <w:szCs w:val="24"/>
        </w:rPr>
        <w:t>设立合适的废物处置点，并确保废物得到正确的处理。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参考文献：</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lang w:eastAsia="zh-CN"/>
        </w:rPr>
        <w:t>《市容环卫工程项目规范》</w:t>
      </w:r>
      <w:r>
        <w:rPr>
          <w:rFonts w:hint="eastAsia" w:ascii="仿宋_GB2312" w:hAnsi="仿宋_GB2312" w:eastAsia="仿宋_GB2312" w:cs="仿宋_GB2312"/>
          <w:i w:val="0"/>
          <w:caps w:val="0"/>
          <w:color w:val="000000"/>
          <w:spacing w:val="0"/>
          <w:sz w:val="24"/>
          <w:szCs w:val="24"/>
          <w:shd w:val="clear" w:color="auto" w:fill="FFFFFF"/>
          <w:lang w:val="en-US" w:eastAsia="zh-CN"/>
        </w:rPr>
        <w:t>GB 55013-2021</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《城市公厕卫生标准》GB 17217-1998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《生活垃圾分类标志》GB/T 19095-2019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《城镇市容环境卫生劳动定额》HLD47-101-2008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caps w:val="0"/>
          <w:color w:val="000000"/>
          <w:spacing w:val="0"/>
          <w:sz w:val="24"/>
          <w:szCs w:val="24"/>
          <w:shd w:val="clear" w:color="auto" w:fill="FFFFFF"/>
        </w:rPr>
      </w:pPr>
      <w:r>
        <w:rPr>
          <w:rFonts w:hint="eastAsia" w:ascii="仿宋_GB2312" w:hAnsi="仿宋_GB2312" w:eastAsia="仿宋_GB2312" w:cs="仿宋_GB2312"/>
          <w:sz w:val="24"/>
          <w:szCs w:val="24"/>
          <w:lang w:val="en-US" w:eastAsia="zh-CN"/>
        </w:rPr>
        <w:t>《城市市容市貌干净整洁有序安全标准（试行）》（2020）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rPr>
        <w:t>《城市道路清扫保洁质量与评价标准</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CJJ/T126-2022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《城镇环境卫生设施设置标准》CJJ27-2012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《城市公共厕所设计标准》CJJ14-2016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lang w:eastAsia="zh-CN"/>
        </w:rPr>
        <w:t>《西安市</w:t>
      </w:r>
      <w:r>
        <w:rPr>
          <w:rFonts w:hint="eastAsia" w:ascii="仿宋_GB2312" w:hAnsi="仿宋_GB2312" w:eastAsia="仿宋_GB2312" w:cs="仿宋_GB2312"/>
          <w:i w:val="0"/>
          <w:caps w:val="0"/>
          <w:color w:val="000000"/>
          <w:spacing w:val="0"/>
          <w:sz w:val="24"/>
          <w:szCs w:val="24"/>
          <w:shd w:val="clear" w:color="auto" w:fill="FFFFFF"/>
        </w:rPr>
        <w:t>城市道路清扫保洁技术规范</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DB6101</w:t>
      </w:r>
      <w:r>
        <w:rPr>
          <w:rFonts w:hint="eastAsia" w:ascii="仿宋_GB2312" w:hAnsi="仿宋_GB2312" w:eastAsia="仿宋_GB2312" w:cs="仿宋_GB2312"/>
          <w:i w:val="0"/>
          <w:caps w:val="0"/>
          <w:color w:val="000000"/>
          <w:spacing w:val="0"/>
          <w:sz w:val="24"/>
          <w:szCs w:val="24"/>
          <w:shd w:val="clear" w:color="auto" w:fill="FFFFFF"/>
          <w:lang w:val="en"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T 3057-2019</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aps w:val="0"/>
          <w:color w:val="000000"/>
          <w:spacing w:val="0"/>
          <w:sz w:val="24"/>
          <w:szCs w:val="24"/>
          <w:shd w:val="clear" w:color="auto" w:fill="FFFFFF"/>
        </w:rPr>
        <w:t>《</w:t>
      </w:r>
      <w:r>
        <w:rPr>
          <w:rFonts w:hint="eastAsia" w:ascii="仿宋_GB2312" w:hAnsi="仿宋_GB2312" w:eastAsia="仿宋_GB2312" w:cs="仿宋_GB2312"/>
          <w:i w:val="0"/>
          <w:caps w:val="0"/>
          <w:color w:val="000000"/>
          <w:spacing w:val="0"/>
          <w:sz w:val="24"/>
          <w:szCs w:val="24"/>
          <w:shd w:val="clear" w:color="auto" w:fill="FFFFFF"/>
          <w:lang w:val="en-US" w:eastAsia="zh-CN"/>
        </w:rPr>
        <w:t>陕西省</w:t>
      </w:r>
      <w:r>
        <w:rPr>
          <w:rFonts w:hint="eastAsia" w:ascii="仿宋_GB2312" w:hAnsi="仿宋_GB2312" w:eastAsia="仿宋_GB2312" w:cs="仿宋_GB2312"/>
          <w:i w:val="0"/>
          <w:caps w:val="0"/>
          <w:color w:val="000000"/>
          <w:spacing w:val="0"/>
          <w:sz w:val="24"/>
          <w:szCs w:val="24"/>
          <w:shd w:val="clear" w:color="auto" w:fill="FFFFFF"/>
        </w:rPr>
        <w:t>城市市容环境卫生条例》</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2010修订</w:t>
      </w:r>
      <w:r>
        <w:rPr>
          <w:rFonts w:hint="eastAsia" w:ascii="仿宋_GB2312" w:hAnsi="仿宋_GB2312" w:eastAsia="仿宋_GB2312" w:cs="仿宋_GB2312"/>
          <w:i w:val="0"/>
          <w:caps w:val="0"/>
          <w:color w:val="000000"/>
          <w:spacing w:val="0"/>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caps w:val="0"/>
          <w:color w:val="000000"/>
          <w:spacing w:val="0"/>
          <w:sz w:val="24"/>
          <w:szCs w:val="24"/>
          <w:shd w:val="clear" w:color="auto" w:fill="FFFFFF"/>
        </w:rPr>
        <w:t>《西安市城市市容和环境卫生管理条例》</w:t>
      </w:r>
      <w:r>
        <w:rPr>
          <w:rFonts w:hint="eastAsia" w:ascii="仿宋_GB2312" w:hAnsi="仿宋_GB2312" w:eastAsia="仿宋_GB2312" w:cs="仿宋_GB2312"/>
          <w:i w:val="0"/>
          <w:caps w:val="0"/>
          <w:color w:val="000000"/>
          <w:spacing w:val="0"/>
          <w:sz w:val="24"/>
          <w:szCs w:val="24"/>
          <w:shd w:val="clear" w:color="auto" w:fill="FFFFFF"/>
          <w:lang w:eastAsia="zh-CN"/>
        </w:rPr>
        <w:t>（</w:t>
      </w:r>
      <w:r>
        <w:rPr>
          <w:rFonts w:hint="eastAsia" w:ascii="仿宋_GB2312" w:hAnsi="仿宋_GB2312" w:eastAsia="仿宋_GB2312" w:cs="仿宋_GB2312"/>
          <w:i w:val="0"/>
          <w:caps w:val="0"/>
          <w:color w:val="000000"/>
          <w:spacing w:val="0"/>
          <w:sz w:val="24"/>
          <w:szCs w:val="24"/>
          <w:shd w:val="clear" w:color="auto" w:fill="FFFFFF"/>
          <w:lang w:val="en-US" w:eastAsia="zh-CN"/>
        </w:rPr>
        <w:t>2017修正</w:t>
      </w:r>
      <w:r>
        <w:rPr>
          <w:rFonts w:hint="eastAsia" w:ascii="仿宋_GB2312" w:hAnsi="仿宋_GB2312" w:eastAsia="仿宋_GB2312" w:cs="仿宋_GB2312"/>
          <w:i w:val="0"/>
          <w:caps w:val="0"/>
          <w:color w:val="000000"/>
          <w:spacing w:val="0"/>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《西安市生活垃圾分类管理办法》（2019）</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《全市城市家具整治提升工作方案》市政办函〔2019〕39号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p>
    <w:tbl>
      <w:tblPr>
        <w:tblStyle w:val="25"/>
        <w:tblW w:w="8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16"/>
        <w:gridCol w:w="7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322" w:type="dxa"/>
            <w:gridSpan w:val="2"/>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color w:val="333333"/>
                <w:sz w:val="20"/>
                <w:szCs w:val="21"/>
              </w:rPr>
            </w:pPr>
            <w:r>
              <w:rPr>
                <w:rFonts w:hint="eastAsia" w:ascii="仿宋_GB2312" w:hAnsi="Calibri" w:eastAsia="仿宋_GB2312" w:cs="仿宋_GB2312"/>
                <w:color w:val="000000"/>
                <w:kern w:val="0"/>
                <w:sz w:val="24"/>
                <w:szCs w:val="24"/>
                <w:lang w:val="en-US" w:eastAsia="zh-CN" w:bidi="ar"/>
              </w:rPr>
              <w:t>西安</w:t>
            </w:r>
            <w:r>
              <w:rPr>
                <w:rFonts w:hint="default" w:ascii="仿宋_GB2312" w:hAnsi="Calibri" w:eastAsia="仿宋_GB2312" w:cs="仿宋_GB2312"/>
                <w:color w:val="000000"/>
                <w:kern w:val="0"/>
                <w:sz w:val="24"/>
                <w:szCs w:val="24"/>
                <w:lang w:val="en-US" w:eastAsia="zh-CN" w:bidi="ar"/>
              </w:rPr>
              <w:t>市环卫清扫保洁道路等级划分表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道路等级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道路（区域）名称（范围）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6" w:hRule="atLeast"/>
          <w:jc w:val="center"/>
        </w:trPr>
        <w:tc>
          <w:tcPr>
            <w:tcW w:w="716" w:type="dxa"/>
            <w:tcBorders>
              <w:top w:val="outset" w:color="auto" w:sz="6" w:space="0"/>
              <w:left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一级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（1）有关部门确定的重点区域的道路</w:t>
            </w:r>
            <w:r>
              <w:rPr>
                <w:rFonts w:hint="eastAsia" w:ascii="仿宋_GB2312" w:eastAsia="仿宋_GB2312" w:cs="仿宋_GB2312"/>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（2）重要商业、文化等公共场所周边的道路及广场；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3</w:t>
            </w:r>
            <w:r>
              <w:rPr>
                <w:rFonts w:hint="eastAsia" w:ascii="仿宋_GB2312" w:hAnsi="Calibri" w:eastAsia="仿宋_GB2312" w:cs="仿宋_GB2312"/>
                <w:color w:val="000000"/>
                <w:kern w:val="0"/>
                <w:sz w:val="24"/>
                <w:szCs w:val="24"/>
                <w:lang w:val="en-US" w:eastAsia="zh-CN" w:bidi="ar"/>
              </w:rPr>
              <w:t>）商业网点集中，道路旁商业店铺占道路长度 80%以上的繁华闹市路段；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4</w:t>
            </w:r>
            <w:r>
              <w:rPr>
                <w:rFonts w:hint="eastAsia" w:ascii="仿宋_GB2312" w:hAnsi="Calibri" w:eastAsia="仿宋_GB2312" w:cs="仿宋_GB2312"/>
                <w:color w:val="000000"/>
                <w:kern w:val="0"/>
                <w:sz w:val="24"/>
                <w:szCs w:val="24"/>
                <w:lang w:val="en-US" w:eastAsia="zh-CN" w:bidi="ar"/>
              </w:rPr>
              <w:t>）高峰期平均人流量为 100 人次/分钟以上和公共交通线路较多的路段；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_GB2312" w:hAnsi="Calibri" w:eastAsia="仿宋_GB2312" w:cs="仿宋_GB2312"/>
                <w:color w:val="000000"/>
                <w:kern w:val="0"/>
                <w:sz w:val="24"/>
                <w:szCs w:val="24"/>
                <w:lang w:val="en-US" w:eastAsia="zh-CN" w:bidi="ar"/>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5</w:t>
            </w:r>
            <w:r>
              <w:rPr>
                <w:rFonts w:hint="eastAsia" w:ascii="仿宋_GB2312" w:hAnsi="Calibri" w:eastAsia="仿宋_GB2312" w:cs="仿宋_GB2312"/>
                <w:color w:val="000000"/>
                <w:kern w:val="0"/>
                <w:sz w:val="24"/>
                <w:szCs w:val="24"/>
                <w:lang w:val="en-US" w:eastAsia="zh-CN" w:bidi="ar"/>
              </w:rPr>
              <w:t>）主要旅游点和进出机场、车站、港口的主干路及其所在地路段；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eastAsia" w:ascii="仿宋_GB2312" w:hAnsi="Calibri" w:eastAsia="仿宋_GB2312" w:cs="仿宋_GB2312"/>
                <w:color w:val="000000"/>
                <w:kern w:val="0"/>
                <w:sz w:val="24"/>
                <w:szCs w:val="24"/>
                <w:lang w:val="en-US" w:eastAsia="zh-CN" w:bidi="ar"/>
              </w:rPr>
              <w:t>（</w:t>
            </w:r>
            <w:r>
              <w:rPr>
                <w:rFonts w:hint="eastAsia" w:ascii="仿宋_GB2312" w:eastAsia="仿宋_GB2312" w:cs="仿宋_GB2312"/>
                <w:color w:val="000000"/>
                <w:kern w:val="0"/>
                <w:sz w:val="24"/>
                <w:szCs w:val="24"/>
                <w:lang w:val="en-US" w:eastAsia="zh-CN" w:bidi="ar"/>
              </w:rPr>
              <w:t>6</w:t>
            </w:r>
            <w:r>
              <w:rPr>
                <w:rFonts w:hint="eastAsia" w:ascii="仿宋_GB2312" w:hAnsi="Calibri" w:eastAsia="仿宋_GB2312" w:cs="仿宋_GB2312"/>
                <w:color w:val="000000"/>
                <w:kern w:val="0"/>
                <w:sz w:val="24"/>
                <w:szCs w:val="24"/>
                <w:lang w:val="en-US" w:eastAsia="zh-CN" w:bidi="ar"/>
              </w:rPr>
              <w:t>）历史文化街区、大型文化娱乐、步行街等主要公共场所所在路段。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1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二级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（1）商业网点较集中、占道路长度 60～80%的路段；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（2）高峰期平均人流量为 80～100 人次/分钟的路段；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（3）城市主、次干路及其附近路段；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（4）道路宽度大于 40m 的城市干道。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0" w:hRule="atLeast"/>
          <w:jc w:val="center"/>
        </w:trPr>
        <w:tc>
          <w:tcPr>
            <w:tcW w:w="716" w:type="dxa"/>
            <w:tcBorders>
              <w:top w:val="outset" w:color="auto" w:sz="6" w:space="0"/>
              <w:left w:val="outset" w:color="auto" w:sz="6" w:space="0"/>
              <w:right w:val="outset" w:color="auto" w:sz="6" w:space="0"/>
            </w:tcBorders>
            <w:shd w:val="clear" w:color="auto" w:fill="FFFFFF"/>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三级</w:t>
            </w:r>
          </w:p>
        </w:tc>
        <w:tc>
          <w:tcPr>
            <w:tcW w:w="7606" w:type="dxa"/>
            <w:tcBorders>
              <w:top w:val="outset" w:color="auto" w:sz="6" w:space="0"/>
              <w:left w:val="outset" w:color="auto" w:sz="6" w:space="0"/>
              <w:bottom w:val="outset" w:color="auto" w:sz="6" w:space="0"/>
              <w:right w:val="outset" w:color="auto" w:sz="6" w:space="0"/>
            </w:tcBorders>
            <w:shd w:val="clear" w:color="auto" w:fill="FFFFFF"/>
            <w:noWrap w:val="0"/>
            <w:tcMar>
              <w:top w:w="0" w:type="dxa"/>
              <w:left w:w="0" w:type="dxa"/>
              <w:bottom w:w="0" w:type="dxa"/>
              <w:right w:w="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（1）商业网点较少的路段；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（2）高峰期平均人流量小于 80 人次/分钟的路段；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default" w:ascii="仿宋_GB2312" w:hAnsi="Calibri" w:eastAsia="仿宋_GB2312" w:cs="仿宋_GB2312"/>
                <w:color w:val="000000"/>
                <w:kern w:val="0"/>
                <w:sz w:val="24"/>
                <w:szCs w:val="24"/>
                <w:lang w:val="en-US" w:eastAsia="zh-CN" w:bidi="ar"/>
              </w:rPr>
            </w:pPr>
            <w:r>
              <w:rPr>
                <w:rFonts w:hint="default" w:ascii="仿宋_GB2312" w:hAnsi="Calibri" w:eastAsia="仿宋_GB2312" w:cs="仿宋_GB2312"/>
                <w:color w:val="000000"/>
                <w:kern w:val="0"/>
                <w:sz w:val="24"/>
                <w:szCs w:val="24"/>
                <w:lang w:val="en-US" w:eastAsia="zh-CN" w:bidi="ar"/>
              </w:rPr>
              <w:t>（3）城郊结合部的主要交通路段；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color w:val="333333"/>
                <w:sz w:val="20"/>
                <w:szCs w:val="21"/>
              </w:rPr>
            </w:pPr>
            <w:r>
              <w:rPr>
                <w:rFonts w:hint="default" w:ascii="仿宋_GB2312" w:hAnsi="Calibri" w:eastAsia="仿宋_GB2312" w:cs="仿宋_GB2312"/>
                <w:color w:val="000000"/>
                <w:kern w:val="0"/>
                <w:sz w:val="24"/>
                <w:szCs w:val="24"/>
                <w:lang w:val="en-US" w:eastAsia="zh-CN" w:bidi="ar"/>
              </w:rPr>
              <w:t>（4）居民区和单位相间的路段。</w:t>
            </w:r>
          </w:p>
        </w:tc>
      </w:tr>
    </w:tbl>
    <w:p>
      <w:pPr>
        <w:pStyle w:val="24"/>
        <w:rPr>
          <w:rFonts w:hint="eastAsia"/>
          <w:lang w:eastAsia="zh-CN"/>
        </w:rPr>
        <w:sectPr>
          <w:footerReference r:id="rId8" w:type="default"/>
          <w:pgSz w:w="11906" w:h="16838"/>
          <w:pgMar w:top="1440" w:right="1701" w:bottom="1440" w:left="1701" w:header="851" w:footer="992" w:gutter="0"/>
          <w:pgNumType w:fmt="decimal"/>
          <w:cols w:space="720" w:num="1"/>
          <w:docGrid w:type="lines" w:linePitch="312" w:charSpace="0"/>
        </w:sectPr>
      </w:pPr>
    </w:p>
    <w:p>
      <w:pPr>
        <w:numPr>
          <w:ilvl w:val="0"/>
          <w:numId w:val="14"/>
        </w:numPr>
        <w:jc w:val="center"/>
        <w:outlineLvl w:val="0"/>
        <w:rPr>
          <w:rFonts w:hint="eastAsia" w:ascii="宋体" w:hAnsi="宋体" w:eastAsia="宋体" w:cs="宋体"/>
          <w:b w:val="0"/>
          <w:bCs w:val="0"/>
          <w:sz w:val="32"/>
          <w:szCs w:val="32"/>
        </w:rPr>
      </w:pPr>
      <w:bookmarkStart w:id="38" w:name="_Toc30575"/>
      <w:r>
        <w:rPr>
          <w:rFonts w:hint="eastAsia" w:ascii="宋体" w:hAnsi="宋体" w:eastAsia="宋体" w:cs="宋体"/>
          <w:b w:val="0"/>
          <w:bCs w:val="0"/>
          <w:sz w:val="32"/>
          <w:szCs w:val="32"/>
        </w:rPr>
        <w:t>采购内容和要求</w:t>
      </w:r>
      <w:bookmarkEnd w:id="38"/>
    </w:p>
    <w:p>
      <w:pPr>
        <w:pStyle w:val="17"/>
        <w:rPr>
          <w:rFonts w:hint="eastAsia" w:ascii="宋体" w:hAnsi="宋体" w:eastAsia="宋体" w:cs="宋体"/>
        </w:rPr>
      </w:pPr>
    </w:p>
    <w:p>
      <w:pPr>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2024年</w:t>
      </w:r>
      <w:r>
        <w:rPr>
          <w:rFonts w:hint="eastAsia" w:ascii="宋体" w:hAnsi="宋体" w:eastAsia="宋体" w:cs="宋体"/>
          <w:b/>
          <w:sz w:val="28"/>
          <w:szCs w:val="28"/>
          <w:highlight w:val="none"/>
          <w:lang w:eastAsia="zh-CN"/>
        </w:rPr>
        <w:t>周至县道路清扫保洁、垃圾清运、绿化养护、公厕管理市场化运作项目</w:t>
      </w:r>
      <w:r>
        <w:rPr>
          <w:rFonts w:hint="eastAsia" w:ascii="宋体" w:hAnsi="宋体" w:eastAsia="宋体" w:cs="宋体"/>
          <w:b/>
          <w:sz w:val="28"/>
          <w:szCs w:val="28"/>
          <w:highlight w:val="none"/>
        </w:rPr>
        <w:t>技术要求及服务范围</w:t>
      </w:r>
    </w:p>
    <w:p>
      <w:pPr>
        <w:numPr>
          <w:ilvl w:val="0"/>
          <w:numId w:val="15"/>
        </w:numPr>
        <w:spacing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项目概况</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采 购 人：周至县城市管理和综合执法局</w:t>
      </w:r>
    </w:p>
    <w:p>
      <w:pPr>
        <w:spacing w:line="50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2024年</w:t>
      </w:r>
      <w:r>
        <w:rPr>
          <w:rFonts w:hint="eastAsia" w:ascii="宋体" w:hAnsi="宋体" w:eastAsia="宋体" w:cs="宋体"/>
          <w:sz w:val="24"/>
          <w:szCs w:val="24"/>
          <w:highlight w:val="none"/>
          <w:lang w:eastAsia="zh-CN"/>
        </w:rPr>
        <w:t>周至县道路清扫保洁、垃圾清运、绿化养护、公厕管理市场化运作项目</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★服 务 期：</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年</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★服务标准</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符合国家标准、行业标准以及有关技术规范要求</w:t>
      </w:r>
    </w:p>
    <w:p>
      <w:pPr>
        <w:numPr>
          <w:ilvl w:val="0"/>
          <w:numId w:val="15"/>
        </w:numPr>
        <w:spacing w:line="500" w:lineRule="exac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招标内容</w:t>
      </w:r>
    </w:p>
    <w:p>
      <w:pPr>
        <w:spacing w:line="50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第三包：一类道路：172782.2平方米、二类道路：138291平方米、三类道路：44756平方米，公厕座数3座</w:t>
      </w:r>
      <w:r>
        <w:rPr>
          <w:rFonts w:hint="eastAsia" w:ascii="宋体" w:hAnsi="宋体" w:eastAsia="宋体" w:cs="宋体"/>
          <w:color w:val="auto"/>
          <w:sz w:val="24"/>
          <w:szCs w:val="24"/>
          <w:highlight w:val="none"/>
          <w:lang w:val="en-US" w:eastAsia="zh-CN"/>
        </w:rPr>
        <w:t>。</w:t>
      </w:r>
    </w:p>
    <w:p>
      <w:pPr>
        <w:pStyle w:val="24"/>
        <w:numPr>
          <w:ilvl w:val="0"/>
          <w:numId w:val="15"/>
        </w:numPr>
        <w:ind w:left="0" w:leftChars="0" w:firstLine="0" w:firstLineChars="0"/>
        <w:rPr>
          <w:rFonts w:hint="default"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其他要求</w:t>
      </w:r>
    </w:p>
    <w:p>
      <w:pPr>
        <w:pStyle w:val="24"/>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auto"/>
          <w:kern w:val="2"/>
          <w:sz w:val="24"/>
          <w:szCs w:val="24"/>
          <w:highlight w:val="none"/>
          <w:lang w:val="en-US" w:eastAsia="zh-CN" w:bidi="ar-SA"/>
        </w:rPr>
        <w:t>中标企业必须按照甲方要求配备相应的道路清扫作业车、扫雪除冰等设施设备。</w:t>
      </w:r>
    </w:p>
    <w:p>
      <w:pPr>
        <w:pStyle w:val="23"/>
        <w:rPr>
          <w:rFonts w:hint="eastAsia" w:ascii="宋体" w:hAnsi="宋体" w:eastAsia="宋体" w:cs="宋体"/>
          <w:color w:val="auto"/>
          <w:kern w:val="2"/>
          <w:sz w:val="24"/>
          <w:szCs w:val="24"/>
          <w:highlight w:val="none"/>
          <w:lang w:val="en-US" w:eastAsia="zh-CN" w:bidi="ar-SA"/>
        </w:rPr>
      </w:pPr>
    </w:p>
    <w:p>
      <w:pPr>
        <w:pStyle w:val="24"/>
        <w:rPr>
          <w:rFonts w:hint="eastAsia" w:ascii="宋体" w:hAnsi="宋体" w:eastAsia="宋体" w:cs="宋体"/>
          <w:color w:val="auto"/>
          <w:kern w:val="2"/>
          <w:sz w:val="24"/>
          <w:szCs w:val="24"/>
          <w:highlight w:val="none"/>
          <w:lang w:val="en-US" w:eastAsia="zh-CN" w:bidi="ar-SA"/>
        </w:rPr>
        <w:sectPr>
          <w:footerReference r:id="rId9" w:type="default"/>
          <w:pgSz w:w="11906" w:h="16838"/>
          <w:pgMar w:top="1440" w:right="1800" w:bottom="1440" w:left="1800" w:header="851" w:footer="992" w:gutter="0"/>
          <w:pgNumType w:fmt="decimal"/>
          <w:cols w:space="425" w:num="1"/>
          <w:docGrid w:type="lines" w:linePitch="312" w:charSpace="0"/>
        </w:sectPr>
      </w:pPr>
    </w:p>
    <w:tbl>
      <w:tblPr>
        <w:tblStyle w:val="26"/>
        <w:tblW w:w="46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469"/>
        <w:gridCol w:w="1516"/>
        <w:gridCol w:w="1118"/>
        <w:gridCol w:w="2990"/>
        <w:gridCol w:w="1422"/>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jc w:val="center"/>
              <w:rPr>
                <w:rFonts w:hint="eastAsia"/>
                <w:sz w:val="21"/>
                <w:szCs w:val="21"/>
                <w:vertAlign w:val="baseline"/>
                <w:lang w:val="en-US" w:eastAsia="zh-CN"/>
              </w:rPr>
            </w:pPr>
            <w:r>
              <w:rPr>
                <w:rFonts w:hint="eastAsia"/>
                <w:sz w:val="28"/>
                <w:szCs w:val="28"/>
                <w:lang w:val="en-US" w:eastAsia="zh-CN"/>
              </w:rPr>
              <w:t>第三包</w:t>
            </w:r>
            <w:r>
              <w:rPr>
                <w:rFonts w:hint="eastAsia"/>
                <w:sz w:val="28"/>
                <w:szCs w:val="28"/>
              </w:rPr>
              <w:t>承包范围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道路名称</w:t>
            </w:r>
          </w:p>
        </w:tc>
        <w:tc>
          <w:tcPr>
            <w:tcW w:w="945"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起     止</w:t>
            </w:r>
          </w:p>
        </w:tc>
        <w:tc>
          <w:tcPr>
            <w:tcW w:w="580"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面积（平方米）</w:t>
            </w:r>
          </w:p>
        </w:tc>
        <w:tc>
          <w:tcPr>
            <w:tcW w:w="428" w:type="pct"/>
            <w:noWrap w:val="0"/>
            <w:vAlign w:val="top"/>
          </w:tcPr>
          <w:p>
            <w:pPr>
              <w:jc w:val="center"/>
              <w:rPr>
                <w:rFonts w:hint="default" w:ascii="Calibri" w:hAnsi="Calibri" w:eastAsia="宋体" w:cs="Times New Roman"/>
                <w:kern w:val="2"/>
                <w:sz w:val="21"/>
                <w:szCs w:val="21"/>
                <w:vertAlign w:val="baseline"/>
                <w:lang w:val="en-US" w:eastAsia="zh-CN" w:bidi="ar-SA"/>
              </w:rPr>
            </w:pPr>
            <w:r>
              <w:rPr>
                <w:rFonts w:hint="eastAsia"/>
                <w:sz w:val="21"/>
                <w:szCs w:val="21"/>
                <w:vertAlign w:val="baseline"/>
                <w:lang w:val="en-US" w:eastAsia="zh-CN"/>
              </w:rPr>
              <w:t>道路类别</w:t>
            </w:r>
          </w:p>
        </w:tc>
        <w:tc>
          <w:tcPr>
            <w:tcW w:w="114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合计</w:t>
            </w:r>
          </w:p>
        </w:tc>
        <w:tc>
          <w:tcPr>
            <w:tcW w:w="544"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垃圾收集点</w:t>
            </w:r>
          </w:p>
        </w:tc>
        <w:tc>
          <w:tcPr>
            <w:tcW w:w="689" w:type="pct"/>
            <w:noWrap w:val="0"/>
            <w:vAlign w:val="top"/>
          </w:tcPr>
          <w:p>
            <w:pPr>
              <w:jc w:val="center"/>
              <w:rPr>
                <w:rFonts w:hint="default"/>
                <w:sz w:val="21"/>
                <w:szCs w:val="21"/>
                <w:vertAlign w:val="baseline"/>
                <w:lang w:val="en-US" w:eastAsia="zh-CN"/>
              </w:rPr>
            </w:pPr>
            <w:r>
              <w:rPr>
                <w:rFonts w:hint="eastAsia"/>
                <w:sz w:val="21"/>
                <w:szCs w:val="21"/>
                <w:vertAlign w:val="baseline"/>
                <w:lang w:val="en-US" w:eastAsia="zh-CN"/>
              </w:rPr>
              <w:t>公厕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云塔路-工业路西墙</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64315</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144" w:type="pct"/>
            <w:vMerge w:val="restart"/>
            <w:noWrap w:val="0"/>
            <w:vAlign w:val="center"/>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一类道路：172782.2平方米</w:t>
            </w:r>
          </w:p>
          <w:p>
            <w:pPr>
              <w:jc w:val="center"/>
              <w:rPr>
                <w:rFonts w:hint="eastAsia"/>
                <w:sz w:val="24"/>
                <w:szCs w:val="24"/>
                <w:vertAlign w:val="baseline"/>
                <w:lang w:val="en-US" w:eastAsia="zh-CN"/>
              </w:rPr>
            </w:pPr>
            <w:r>
              <w:rPr>
                <w:rFonts w:hint="eastAsia"/>
                <w:sz w:val="24"/>
                <w:szCs w:val="24"/>
                <w:vertAlign w:val="baseline"/>
                <w:lang w:val="en-US" w:eastAsia="zh-CN"/>
              </w:rPr>
              <w:t>二类道路：138291平方米</w:t>
            </w:r>
          </w:p>
          <w:p>
            <w:pPr>
              <w:jc w:val="center"/>
              <w:rPr>
                <w:rFonts w:hint="default"/>
                <w:sz w:val="24"/>
                <w:szCs w:val="24"/>
                <w:vertAlign w:val="baseline"/>
                <w:lang w:val="en-US" w:eastAsia="zh-CN"/>
              </w:rPr>
            </w:pPr>
            <w:r>
              <w:rPr>
                <w:rFonts w:hint="eastAsia"/>
                <w:sz w:val="24"/>
                <w:szCs w:val="24"/>
                <w:vertAlign w:val="baseline"/>
                <w:lang w:val="en-US" w:eastAsia="zh-CN"/>
              </w:rPr>
              <w:t>三类道路：44756平方米</w:t>
            </w:r>
          </w:p>
        </w:tc>
        <w:tc>
          <w:tcPr>
            <w:tcW w:w="544" w:type="pct"/>
            <w:vMerge w:val="restart"/>
            <w:noWrap w:val="0"/>
            <w:vAlign w:val="center"/>
          </w:tcPr>
          <w:p>
            <w:pPr>
              <w:bidi w:val="0"/>
              <w:jc w:val="both"/>
              <w:rPr>
                <w:rFonts w:hint="default"/>
                <w:sz w:val="24"/>
                <w:szCs w:val="24"/>
                <w:lang w:val="en-US" w:eastAsia="zh-CN"/>
              </w:rPr>
            </w:pPr>
            <w:r>
              <w:rPr>
                <w:rFonts w:hint="eastAsia"/>
                <w:sz w:val="24"/>
                <w:szCs w:val="24"/>
                <w:lang w:val="en-US" w:eastAsia="zh-CN"/>
              </w:rPr>
              <w:t>甲方指定的垃圾收集点</w:t>
            </w:r>
          </w:p>
        </w:tc>
        <w:tc>
          <w:tcPr>
            <w:tcW w:w="689" w:type="pct"/>
            <w:vMerge w:val="restart"/>
            <w:noWrap w:val="0"/>
            <w:vAlign w:val="center"/>
          </w:tcPr>
          <w:p>
            <w:pPr>
              <w:jc w:val="left"/>
              <w:rPr>
                <w:rFonts w:hint="eastAsia"/>
                <w:sz w:val="24"/>
                <w:szCs w:val="24"/>
                <w:vertAlign w:val="baseline"/>
                <w:lang w:val="en-US" w:eastAsia="zh-CN"/>
              </w:rPr>
            </w:pPr>
            <w:r>
              <w:rPr>
                <w:rFonts w:hint="eastAsia"/>
                <w:sz w:val="24"/>
                <w:szCs w:val="24"/>
                <w:vertAlign w:val="baseline"/>
                <w:lang w:val="en-US" w:eastAsia="zh-CN"/>
              </w:rPr>
              <w:t>太白南路公厕</w:t>
            </w:r>
          </w:p>
          <w:p>
            <w:pPr>
              <w:jc w:val="left"/>
              <w:rPr>
                <w:rFonts w:hint="eastAsia"/>
                <w:sz w:val="24"/>
                <w:szCs w:val="24"/>
                <w:vertAlign w:val="baseline"/>
                <w:lang w:val="en-US" w:eastAsia="zh-CN"/>
              </w:rPr>
            </w:pPr>
            <w:r>
              <w:rPr>
                <w:rFonts w:hint="eastAsia"/>
                <w:sz w:val="24"/>
                <w:szCs w:val="24"/>
                <w:vertAlign w:val="baseline"/>
                <w:lang w:val="en-US" w:eastAsia="zh-CN"/>
              </w:rPr>
              <w:t>南大门西公厕</w:t>
            </w:r>
          </w:p>
          <w:p>
            <w:pPr>
              <w:jc w:val="left"/>
              <w:rPr>
                <w:rFonts w:hint="eastAsia"/>
                <w:sz w:val="24"/>
                <w:szCs w:val="24"/>
                <w:vertAlign w:val="baseline"/>
                <w:lang w:val="en-US" w:eastAsia="zh-CN"/>
              </w:rPr>
            </w:pPr>
            <w:r>
              <w:rPr>
                <w:rFonts w:hint="eastAsia"/>
                <w:sz w:val="24"/>
                <w:szCs w:val="24"/>
                <w:vertAlign w:val="baseline"/>
                <w:lang w:val="en-US" w:eastAsia="zh-CN"/>
              </w:rPr>
              <w:t>石桥路公厕</w:t>
            </w:r>
          </w:p>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四合路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工业路-上德路</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9720</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上德路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淳风社区-上德路</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7305</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石桥路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南环路-中心街</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43110</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太白路</w:t>
            </w:r>
          </w:p>
        </w:tc>
        <w:tc>
          <w:tcPr>
            <w:tcW w:w="945"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农商街-水街桥南</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99867.2</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一</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sz w:val="24"/>
                <w:szCs w:val="24"/>
                <w:vertAlign w:val="baseline"/>
                <w:lang w:val="en-US" w:eastAsia="zh-CN"/>
              </w:rPr>
            </w:pPr>
          </w:p>
        </w:tc>
        <w:tc>
          <w:tcPr>
            <w:tcW w:w="945" w:type="pct"/>
            <w:noWrap w:val="0"/>
            <w:vAlign w:val="center"/>
          </w:tcPr>
          <w:p>
            <w:pPr>
              <w:tabs>
                <w:tab w:val="left" w:pos="326"/>
              </w:tabs>
              <w:jc w:val="left"/>
              <w:rPr>
                <w:rFonts w:hint="default"/>
                <w:sz w:val="24"/>
                <w:szCs w:val="24"/>
                <w:vertAlign w:val="baseline"/>
                <w:lang w:val="en-US" w:eastAsia="zh-CN"/>
              </w:rPr>
            </w:pPr>
            <w:r>
              <w:rPr>
                <w:rFonts w:hint="eastAsia"/>
                <w:sz w:val="24"/>
                <w:szCs w:val="24"/>
                <w:vertAlign w:val="baseline"/>
                <w:lang w:val="en-US" w:eastAsia="zh-CN"/>
              </w:rPr>
              <w:tab/>
            </w:r>
            <w:r>
              <w:rPr>
                <w:rFonts w:hint="eastAsia"/>
                <w:sz w:val="24"/>
                <w:szCs w:val="24"/>
                <w:vertAlign w:val="baseline"/>
                <w:lang w:val="en-US" w:eastAsia="zh-CN"/>
              </w:rPr>
              <w:t>水街桥南-南横线</w:t>
            </w:r>
          </w:p>
        </w:tc>
        <w:tc>
          <w:tcPr>
            <w:tcW w:w="580"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51794</w:t>
            </w:r>
          </w:p>
        </w:tc>
        <w:tc>
          <w:tcPr>
            <w:tcW w:w="428" w:type="pct"/>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南环路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周广路-南大门</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19800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二曲路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太白路-石桥路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14886</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淳风路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工业路-中心街</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10910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太仓路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太白路-工业路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5880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云塔南路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太仓路-工业路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8600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一</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水司路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太白南路-工业路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4997</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周广路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工业路-石桥路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9240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云塔路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新堡子路口</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1800</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二</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周广路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公厕西断头路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813</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纬一路</w:t>
            </w:r>
          </w:p>
        </w:tc>
        <w:tc>
          <w:tcPr>
            <w:tcW w:w="945"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果业局门前-周广路</w:t>
            </w:r>
          </w:p>
        </w:tc>
        <w:tc>
          <w:tcPr>
            <w:tcW w:w="580"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2792</w:t>
            </w:r>
          </w:p>
        </w:tc>
        <w:tc>
          <w:tcPr>
            <w:tcW w:w="428" w:type="pct"/>
            <w:noWrap w:val="0"/>
            <w:vAlign w:val="center"/>
          </w:tcPr>
          <w:p>
            <w:pPr>
              <w:jc w:val="center"/>
              <w:rPr>
                <w:rFonts w:hint="default" w:ascii="Calibri" w:hAnsi="Calibri" w:eastAsia="宋体" w:cs="Times New Roman"/>
                <w:kern w:val="2"/>
                <w:sz w:val="24"/>
                <w:szCs w:val="24"/>
                <w:vertAlign w:val="baseline"/>
                <w:lang w:val="en-US" w:eastAsia="zh-CN" w:bidi="ar-SA"/>
              </w:rPr>
            </w:pPr>
            <w:r>
              <w:rPr>
                <w:rFonts w:hint="eastAsia"/>
                <w:sz w:val="24"/>
                <w:szCs w:val="24"/>
                <w:vertAlign w:val="baseline"/>
                <w:lang w:val="en-US" w:eastAsia="zh-CN"/>
              </w:rPr>
              <w:t>三</w:t>
            </w:r>
          </w:p>
        </w:tc>
        <w:tc>
          <w:tcPr>
            <w:tcW w:w="1144" w:type="pct"/>
            <w:vMerge w:val="continue"/>
            <w:noWrap w:val="0"/>
            <w:vAlign w:val="center"/>
          </w:tcPr>
          <w:p>
            <w:pPr>
              <w:jc w:val="center"/>
              <w:rPr>
                <w:rFonts w:hint="default"/>
                <w:sz w:val="24"/>
                <w:szCs w:val="24"/>
                <w:vertAlign w:val="baseline"/>
                <w:lang w:val="en-US" w:eastAsia="zh-CN"/>
              </w:rPr>
            </w:pPr>
          </w:p>
        </w:tc>
        <w:tc>
          <w:tcPr>
            <w:tcW w:w="544" w:type="pct"/>
            <w:vMerge w:val="continue"/>
            <w:noWrap w:val="0"/>
            <w:vAlign w:val="top"/>
          </w:tcPr>
          <w:p>
            <w:pPr>
              <w:jc w:val="center"/>
              <w:rPr>
                <w:rFonts w:hint="default"/>
                <w:sz w:val="24"/>
                <w:szCs w:val="24"/>
                <w:vertAlign w:val="baseline"/>
                <w:lang w:val="en-US" w:eastAsia="zh-CN"/>
              </w:rPr>
            </w:pPr>
          </w:p>
        </w:tc>
        <w:tc>
          <w:tcPr>
            <w:tcW w:w="689" w:type="pct"/>
            <w:vMerge w:val="continue"/>
            <w:noWrap w:val="0"/>
            <w:vAlign w:val="top"/>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5"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合计</w:t>
            </w:r>
          </w:p>
        </w:tc>
        <w:tc>
          <w:tcPr>
            <w:tcW w:w="945" w:type="pct"/>
            <w:noWrap w:val="0"/>
            <w:vAlign w:val="center"/>
          </w:tcPr>
          <w:p>
            <w:pPr>
              <w:jc w:val="center"/>
              <w:rPr>
                <w:rFonts w:hint="eastAsia"/>
                <w:sz w:val="24"/>
                <w:szCs w:val="24"/>
                <w:vertAlign w:val="baseline"/>
                <w:lang w:val="en-US" w:eastAsia="zh-CN"/>
              </w:rPr>
            </w:pPr>
          </w:p>
        </w:tc>
        <w:tc>
          <w:tcPr>
            <w:tcW w:w="580" w:type="pc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355829.2</w:t>
            </w:r>
          </w:p>
        </w:tc>
        <w:tc>
          <w:tcPr>
            <w:tcW w:w="428" w:type="pct"/>
            <w:noWrap w:val="0"/>
            <w:vAlign w:val="center"/>
          </w:tcPr>
          <w:p>
            <w:pPr>
              <w:jc w:val="center"/>
              <w:rPr>
                <w:rFonts w:hint="eastAsia"/>
                <w:sz w:val="24"/>
                <w:szCs w:val="24"/>
                <w:vertAlign w:val="baseline"/>
                <w:lang w:val="en-US" w:eastAsia="zh-CN"/>
              </w:rPr>
            </w:pPr>
          </w:p>
        </w:tc>
        <w:tc>
          <w:tcPr>
            <w:tcW w:w="1144" w:type="pct"/>
            <w:noWrap w:val="0"/>
            <w:vAlign w:val="center"/>
          </w:tcPr>
          <w:p>
            <w:pPr>
              <w:jc w:val="center"/>
              <w:rPr>
                <w:rFonts w:hint="default"/>
                <w:sz w:val="24"/>
                <w:szCs w:val="24"/>
                <w:vertAlign w:val="baseline"/>
                <w:lang w:val="en-US" w:eastAsia="zh-CN"/>
              </w:rPr>
            </w:pPr>
          </w:p>
        </w:tc>
        <w:tc>
          <w:tcPr>
            <w:tcW w:w="544" w:type="pct"/>
            <w:noWrap w:val="0"/>
            <w:vAlign w:val="top"/>
          </w:tcPr>
          <w:p>
            <w:pPr>
              <w:jc w:val="center"/>
              <w:rPr>
                <w:rFonts w:hint="default"/>
                <w:sz w:val="24"/>
                <w:szCs w:val="24"/>
                <w:vertAlign w:val="baseline"/>
                <w:lang w:val="en-US" w:eastAsia="zh-CN"/>
              </w:rPr>
            </w:pPr>
          </w:p>
        </w:tc>
        <w:tc>
          <w:tcPr>
            <w:tcW w:w="689" w:type="pct"/>
            <w:noWrap w:val="0"/>
            <w:vAlign w:val="top"/>
          </w:tcPr>
          <w:p>
            <w:pPr>
              <w:jc w:val="center"/>
              <w:rPr>
                <w:rFonts w:hint="default"/>
                <w:sz w:val="24"/>
                <w:szCs w:val="24"/>
                <w:vertAlign w:val="baseline"/>
                <w:lang w:val="en-US" w:eastAsia="zh-CN"/>
              </w:rPr>
            </w:pPr>
          </w:p>
        </w:tc>
      </w:tr>
    </w:tbl>
    <w:p>
      <w:pPr>
        <w:pStyle w:val="23"/>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pPr>
        <w:jc w:val="center"/>
        <w:outlineLvl w:val="0"/>
        <w:rPr>
          <w:rFonts w:ascii="宋体" w:hAnsi="宋体" w:cs="宋体"/>
          <w:b/>
          <w:sz w:val="36"/>
          <w:szCs w:val="36"/>
        </w:rPr>
      </w:pPr>
      <w:bookmarkStart w:id="39" w:name="_Toc6910"/>
      <w:r>
        <w:rPr>
          <w:rFonts w:hint="eastAsia" w:ascii="宋体" w:hAnsi="宋体" w:cs="宋体"/>
          <w:b/>
          <w:sz w:val="36"/>
          <w:szCs w:val="36"/>
        </w:rPr>
        <w:t>第六章 投标文件格式</w:t>
      </w:r>
      <w:bookmarkEnd w:id="39"/>
    </w:p>
    <w:p>
      <w:pPr>
        <w:pStyle w:val="24"/>
        <w:ind w:left="0" w:leftChars="0" w:firstLine="529" w:firstLineChars="0"/>
        <w:rPr>
          <w:rFonts w:ascii="宋体" w:hAnsi="宋体"/>
          <w:b/>
          <w:sz w:val="30"/>
          <w:szCs w:val="30"/>
        </w:rPr>
      </w:pPr>
    </w:p>
    <w:p>
      <w:pPr>
        <w:pStyle w:val="24"/>
        <w:ind w:left="0" w:leftChars="0" w:firstLine="0" w:firstLineChars="0"/>
        <w:rPr>
          <w:rFonts w:ascii="宋体" w:hAnsi="宋体"/>
          <w:b/>
          <w:sz w:val="30"/>
          <w:szCs w:val="30"/>
        </w:rPr>
      </w:pPr>
    </w:p>
    <w:p>
      <w:pPr>
        <w:pStyle w:val="24"/>
        <w:ind w:left="0" w:leftChars="0" w:firstLine="0" w:firstLineChars="0"/>
        <w:rPr>
          <w:rFonts w:ascii="宋体" w:hAnsi="宋体"/>
          <w:b/>
          <w:sz w:val="30"/>
          <w:szCs w:val="30"/>
        </w:rPr>
        <w:sectPr>
          <w:headerReference r:id="rId10" w:type="default"/>
          <w:footerReference r:id="rId11" w:type="default"/>
          <w:pgSz w:w="11906" w:h="16838"/>
          <w:pgMar w:top="1418" w:right="1418" w:bottom="1418" w:left="1418" w:header="851" w:footer="992" w:gutter="0"/>
          <w:pgNumType w:fmt="decimal"/>
          <w:cols w:space="720" w:num="1"/>
          <w:docGrid w:linePitch="312" w:charSpace="0"/>
        </w:sectPr>
      </w:pPr>
    </w:p>
    <w:bookmarkEnd w:id="14"/>
    <w:p>
      <w:pPr>
        <w:tabs>
          <w:tab w:val="left" w:pos="5218"/>
        </w:tabs>
        <w:spacing w:before="240" w:beforeLines="100" w:line="360" w:lineRule="auto"/>
        <w:jc w:val="left"/>
        <w:rPr>
          <w:rFonts w:hint="eastAsia" w:ascii="宋体" w:hAnsi="宋体" w:eastAsia="宋体" w:cs="宋体"/>
          <w:b/>
          <w:sz w:val="24"/>
          <w:szCs w:val="24"/>
          <w:lang w:eastAsia="zh-CN"/>
        </w:rPr>
      </w:pPr>
      <w:r>
        <w:rPr>
          <w:rFonts w:hint="eastAsia" w:ascii="宋体" w:hAnsi="宋体" w:cs="宋体"/>
          <w:b/>
          <w:sz w:val="24"/>
          <w:szCs w:val="24"/>
        </w:rPr>
        <w:t>招标项目编号：</w:t>
      </w:r>
      <w:r>
        <w:rPr>
          <w:rFonts w:hint="eastAsia" w:ascii="宋体" w:hAnsi="宋体" w:cs="宋体"/>
          <w:b/>
          <w:sz w:val="24"/>
          <w:szCs w:val="24"/>
          <w:lang w:eastAsia="zh-CN"/>
        </w:rPr>
        <w:t>TYRZ-2024-ZZ059-3</w:t>
      </w:r>
    </w:p>
    <w:p>
      <w:pPr>
        <w:spacing w:line="360" w:lineRule="auto"/>
        <w:rPr>
          <w:rFonts w:ascii="宋体" w:hAnsi="宋体" w:cs="宋体"/>
          <w:sz w:val="44"/>
          <w:szCs w:val="44"/>
        </w:rPr>
      </w:pPr>
    </w:p>
    <w:p>
      <w:pPr>
        <w:pStyle w:val="33"/>
        <w:rPr>
          <w:rFonts w:ascii="宋体" w:hAnsi="宋体" w:cs="宋体"/>
          <w:sz w:val="44"/>
          <w:szCs w:val="44"/>
        </w:rPr>
      </w:pPr>
    </w:p>
    <w:p>
      <w:pPr>
        <w:pStyle w:val="33"/>
        <w:rPr>
          <w:rFonts w:ascii="宋体" w:hAnsi="宋体" w:cs="宋体"/>
          <w:sz w:val="44"/>
          <w:szCs w:val="44"/>
        </w:rPr>
      </w:pPr>
    </w:p>
    <w:p>
      <w:pPr>
        <w:adjustRightInd w:val="0"/>
        <w:snapToGrid w:val="0"/>
        <w:spacing w:line="360" w:lineRule="auto"/>
        <w:jc w:val="center"/>
        <w:rPr>
          <w:rFonts w:hint="eastAsia" w:ascii="宋体" w:hAnsi="宋体" w:cs="宋体"/>
          <w:b/>
          <w:sz w:val="48"/>
          <w:szCs w:val="48"/>
          <w:shd w:val="clear" w:color="auto" w:fill="FFFFFF"/>
          <w:lang w:eastAsia="zh-CN"/>
        </w:rPr>
      </w:pPr>
      <w:r>
        <w:rPr>
          <w:rFonts w:hint="eastAsia" w:ascii="宋体" w:hAnsi="宋体" w:cs="宋体"/>
          <w:b/>
          <w:sz w:val="48"/>
          <w:szCs w:val="48"/>
          <w:shd w:val="clear" w:color="auto" w:fill="FFFFFF"/>
          <w:lang w:eastAsia="zh-CN"/>
        </w:rPr>
        <w:t>2024年周至县道路清扫保洁、垃圾清运、绿化养护、公厕管理市场化运作项目</w:t>
      </w:r>
    </w:p>
    <w:p>
      <w:pPr>
        <w:pStyle w:val="24"/>
        <w:ind w:left="0" w:leftChars="0" w:firstLine="0" w:firstLineChars="0"/>
        <w:jc w:val="center"/>
        <w:rPr>
          <w:rFonts w:hint="eastAsia"/>
          <w:lang w:eastAsia="zh-CN"/>
        </w:rPr>
      </w:pPr>
      <w:r>
        <w:rPr>
          <w:rFonts w:hint="eastAsia" w:ascii="宋体" w:hAnsi="宋体" w:cs="宋体"/>
          <w:b/>
          <w:sz w:val="48"/>
          <w:szCs w:val="48"/>
          <w:shd w:val="clear" w:color="auto" w:fill="FFFFFF"/>
          <w:lang w:eastAsia="zh-CN"/>
        </w:rPr>
        <w:t>（合同包 3 ）</w:t>
      </w:r>
    </w:p>
    <w:p>
      <w:pPr>
        <w:pStyle w:val="24"/>
      </w:pPr>
    </w:p>
    <w:p>
      <w:pPr>
        <w:adjustRightInd w:val="0"/>
        <w:snapToGrid w:val="0"/>
        <w:spacing w:line="360" w:lineRule="auto"/>
        <w:jc w:val="center"/>
        <w:rPr>
          <w:rFonts w:ascii="宋体" w:hAnsi="宋体" w:cs="宋体"/>
          <w:b/>
          <w:sz w:val="68"/>
        </w:rPr>
      </w:pPr>
    </w:p>
    <w:p>
      <w:pPr>
        <w:adjustRightInd w:val="0"/>
        <w:snapToGrid w:val="0"/>
        <w:spacing w:line="360" w:lineRule="auto"/>
        <w:jc w:val="center"/>
        <w:rPr>
          <w:rFonts w:hint="eastAsia" w:ascii="宋体" w:hAnsi="宋体" w:cs="宋体"/>
          <w:b/>
          <w:sz w:val="68"/>
        </w:rPr>
      </w:pPr>
      <w:r>
        <w:rPr>
          <w:rFonts w:hint="eastAsia" w:ascii="宋体" w:hAnsi="宋体" w:cs="宋体"/>
          <w:b/>
          <w:sz w:val="68"/>
        </w:rPr>
        <w:t>投标文件</w:t>
      </w:r>
    </w:p>
    <w:p>
      <w:pPr>
        <w:jc w:val="center"/>
        <w:rPr>
          <w:rFonts w:ascii="宋体" w:hAnsi="宋体"/>
          <w:b/>
        </w:rPr>
      </w:pPr>
    </w:p>
    <w:p>
      <w:pPr>
        <w:rPr>
          <w:rFonts w:ascii="宋体" w:hAnsi="宋体"/>
          <w:b/>
          <w:spacing w:val="76"/>
          <w:sz w:val="30"/>
        </w:rPr>
      </w:pPr>
    </w:p>
    <w:p>
      <w:pPr>
        <w:ind w:left="1078" w:firstLine="735"/>
        <w:rPr>
          <w:rFonts w:ascii="宋体" w:hAnsi="宋体"/>
          <w:b/>
          <w:u w:val="single"/>
        </w:rPr>
      </w:pPr>
    </w:p>
    <w:p>
      <w:pPr>
        <w:spacing w:line="600" w:lineRule="exact"/>
        <w:ind w:firstLine="1077" w:firstLineChars="383"/>
        <w:rPr>
          <w:rFonts w:ascii="宋体" w:hAnsi="宋体"/>
          <w:b/>
          <w:sz w:val="28"/>
          <w:szCs w:val="28"/>
          <w:u w:val="single"/>
        </w:rPr>
      </w:pPr>
      <w:r>
        <w:rPr>
          <w:rFonts w:hint="eastAsia" w:ascii="宋体" w:hAnsi="宋体"/>
          <w:b/>
          <w:sz w:val="28"/>
          <w:szCs w:val="28"/>
        </w:rPr>
        <w:t>投 标 人：</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被授权人：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r>
        <w:br w:type="page"/>
      </w:r>
    </w:p>
    <w:p>
      <w:pPr>
        <w:spacing w:before="120" w:beforeLines="50" w:after="120" w:afterLines="50" w:line="360" w:lineRule="auto"/>
        <w:jc w:val="center"/>
        <w:rPr>
          <w:rFonts w:ascii="宋体" w:hAnsi="宋体"/>
          <w:b/>
          <w:bCs/>
          <w:spacing w:val="4"/>
          <w:sz w:val="32"/>
          <w:szCs w:val="32"/>
        </w:rPr>
      </w:pPr>
      <w:r>
        <w:rPr>
          <w:rFonts w:ascii="宋体" w:hAnsi="宋体"/>
          <w:b/>
          <w:bCs/>
          <w:spacing w:val="4"/>
          <w:sz w:val="32"/>
          <w:szCs w:val="32"/>
        </w:rPr>
        <w:t>目 录</w:t>
      </w:r>
    </w:p>
    <w:p>
      <w:pPr>
        <w:spacing w:line="480" w:lineRule="auto"/>
        <w:jc w:val="center"/>
        <w:rPr>
          <w:rFonts w:ascii="宋体" w:hAnsi="宋体"/>
          <w:spacing w:val="4"/>
          <w:sz w:val="30"/>
          <w:szCs w:val="30"/>
        </w:rPr>
      </w:pPr>
      <w:r>
        <w:rPr>
          <w:rFonts w:hint="eastAsia" w:ascii="宋体" w:hAnsi="宋体"/>
          <w:spacing w:val="4"/>
          <w:sz w:val="30"/>
          <w:szCs w:val="30"/>
        </w:rPr>
        <w:t>（格式自拟）</w:t>
      </w:r>
    </w:p>
    <w:p>
      <w:pPr>
        <w:numPr>
          <w:ilvl w:val="0"/>
          <w:numId w:val="0"/>
        </w:num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投标函</w:t>
      </w:r>
    </w:p>
    <w:p>
      <w:pPr>
        <w:tabs>
          <w:tab w:val="left" w:pos="3500"/>
          <w:tab w:val="left" w:pos="3700"/>
        </w:tabs>
        <w:spacing w:line="360" w:lineRule="auto"/>
        <w:jc w:val="left"/>
        <w:rPr>
          <w:rFonts w:hint="eastAsia" w:ascii="宋体" w:hAnsi="宋体" w:eastAsia="宋体" w:cs="宋体"/>
          <w:b/>
          <w:sz w:val="28"/>
          <w:szCs w:val="28"/>
        </w:rPr>
      </w:pPr>
      <w:r>
        <w:rPr>
          <w:rFonts w:hint="eastAsia" w:ascii="宋体" w:hAnsi="宋体" w:eastAsia="宋体" w:cs="宋体"/>
          <w:b/>
          <w:sz w:val="28"/>
          <w:szCs w:val="28"/>
          <w:lang w:eastAsia="zh-CN"/>
        </w:rPr>
        <w:t>二</w:t>
      </w:r>
      <w:r>
        <w:rPr>
          <w:rFonts w:hint="eastAsia" w:ascii="宋体" w:hAnsi="宋体" w:eastAsia="宋体" w:cs="宋体"/>
          <w:b/>
          <w:sz w:val="28"/>
          <w:szCs w:val="28"/>
        </w:rPr>
        <w:t>、</w:t>
      </w:r>
      <w:r>
        <w:rPr>
          <w:rFonts w:hint="eastAsia" w:ascii="宋体" w:hAnsi="宋体" w:eastAsia="宋体" w:cs="宋体"/>
          <w:b/>
          <w:sz w:val="28"/>
          <w:szCs w:val="28"/>
          <w:lang w:eastAsia="zh-CN"/>
        </w:rPr>
        <w:t>开标一览表</w:t>
      </w:r>
    </w:p>
    <w:p>
      <w:pPr>
        <w:tabs>
          <w:tab w:val="left" w:pos="3500"/>
          <w:tab w:val="left" w:pos="3700"/>
        </w:tabs>
        <w:spacing w:line="360" w:lineRule="auto"/>
        <w:jc w:val="left"/>
        <w:rPr>
          <w:rFonts w:hint="eastAsia" w:ascii="宋体" w:hAnsi="宋体" w:eastAsia="宋体" w:cs="宋体"/>
          <w:sz w:val="28"/>
          <w:szCs w:val="28"/>
          <w:highlight w:val="none"/>
        </w:rPr>
      </w:pPr>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p>
    <w:p>
      <w:pPr>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四、商务及合同条款偏离表</w:t>
      </w:r>
    </w:p>
    <w:p>
      <w:pPr>
        <w:jc w:val="left"/>
        <w:rPr>
          <w:rFonts w:hint="eastAsia" w:ascii="宋体" w:hAnsi="宋体" w:eastAsia="宋体" w:cs="宋体"/>
          <w:b/>
          <w:bCs/>
          <w:sz w:val="28"/>
          <w:szCs w:val="28"/>
          <w:highlight w:val="none"/>
          <w:lang w:val="en-US" w:eastAsia="zh-CN"/>
        </w:rPr>
      </w:pPr>
      <w:r>
        <w:rPr>
          <w:rFonts w:hint="eastAsia" w:ascii="宋体" w:hAnsi="宋体" w:eastAsia="宋体" w:cs="宋体"/>
          <w:b/>
          <w:sz w:val="28"/>
          <w:szCs w:val="28"/>
          <w:lang w:val="en-US" w:eastAsia="zh-CN"/>
        </w:rPr>
        <w:t>五、服务要求偏离表</w:t>
      </w:r>
    </w:p>
    <w:p>
      <w:pPr>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六、资格证明文件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kern w:val="2"/>
          <w:sz w:val="28"/>
          <w:szCs w:val="28"/>
          <w:lang w:val="en-US" w:eastAsia="zh-CN" w:bidi="ar-SA"/>
        </w:rPr>
      </w:pPr>
      <w:r>
        <w:rPr>
          <w:rFonts w:hint="eastAsia" w:ascii="宋体" w:hAnsi="宋体" w:eastAsia="宋体" w:cs="宋体"/>
          <w:b/>
          <w:sz w:val="28"/>
          <w:szCs w:val="28"/>
          <w:lang w:eastAsia="zh-CN"/>
        </w:rPr>
        <w:t>七、</w:t>
      </w:r>
      <w:r>
        <w:rPr>
          <w:rFonts w:hint="eastAsia" w:ascii="宋体" w:hAnsi="宋体" w:eastAsia="宋体" w:cs="宋体"/>
          <w:b/>
          <w:kern w:val="2"/>
          <w:sz w:val="28"/>
          <w:szCs w:val="28"/>
          <w:lang w:val="en-US" w:eastAsia="zh-CN" w:bidi="ar-SA"/>
        </w:rPr>
        <w:t>供应商参加政府采购活动承诺书</w:t>
      </w:r>
    </w:p>
    <w:p>
      <w:pPr>
        <w:pStyle w:val="33"/>
        <w:jc w:val="left"/>
        <w:rPr>
          <w:rFonts w:hint="eastAsia" w:ascii="宋体" w:hAnsi="宋体" w:eastAsia="宋体" w:cs="宋体"/>
          <w:b/>
          <w:sz w:val="28"/>
          <w:szCs w:val="28"/>
          <w:lang w:eastAsia="zh-CN"/>
        </w:rPr>
      </w:pPr>
      <w:r>
        <w:rPr>
          <w:rFonts w:hint="eastAsia" w:ascii="宋体" w:hAnsi="宋体" w:eastAsia="宋体" w:cs="宋体"/>
          <w:b/>
          <w:sz w:val="28"/>
          <w:szCs w:val="28"/>
          <w:lang w:eastAsia="zh-CN"/>
        </w:rPr>
        <w:t>八、投标方案</w:t>
      </w:r>
    </w:p>
    <w:p>
      <w:pPr>
        <w:rPr>
          <w:rFonts w:hint="eastAsia" w:ascii="宋体" w:hAnsi="宋体"/>
          <w:b/>
          <w:sz w:val="24"/>
          <w:szCs w:val="24"/>
          <w:lang w:eastAsia="zh-CN"/>
        </w:rPr>
      </w:pPr>
      <w:r>
        <w:rPr>
          <w:rFonts w:hint="eastAsia" w:ascii="宋体" w:hAnsi="宋体" w:eastAsia="宋体" w:cs="宋体"/>
          <w:b/>
          <w:bCs/>
          <w:sz w:val="28"/>
          <w:szCs w:val="28"/>
          <w:lang w:val="en-US" w:eastAsia="zh-CN"/>
        </w:rPr>
        <w:t>九、</w:t>
      </w:r>
      <w:r>
        <w:rPr>
          <w:rFonts w:hint="eastAsia" w:ascii="宋体" w:hAnsi="宋体" w:eastAsia="宋体" w:cs="宋体"/>
          <w:b/>
          <w:bCs/>
          <w:color w:val="000000"/>
          <w:sz w:val="28"/>
          <w:szCs w:val="28"/>
          <w:highlight w:val="none"/>
        </w:rPr>
        <w:t>中小企业</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auto"/>
          <w:sz w:val="28"/>
          <w:szCs w:val="28"/>
          <w:highlight w:val="none"/>
          <w:lang w:val="en-US" w:eastAsia="zh-CN"/>
        </w:rPr>
        <w:t>监狱企业、残疾人福利性单位声明函</w:t>
      </w:r>
      <w:r>
        <w:rPr>
          <w:rFonts w:hint="eastAsia" w:ascii="宋体" w:hAnsi="宋体"/>
          <w:b/>
          <w:sz w:val="24"/>
          <w:szCs w:val="24"/>
          <w:lang w:eastAsia="zh-CN"/>
        </w:rPr>
        <w:br w:type="page"/>
      </w:r>
    </w:p>
    <w:p>
      <w:pPr>
        <w:numPr>
          <w:ilvl w:val="0"/>
          <w:numId w:val="0"/>
        </w:numPr>
        <w:tabs>
          <w:tab w:val="left" w:pos="3500"/>
          <w:tab w:val="left" w:pos="3700"/>
        </w:tabs>
        <w:spacing w:line="360" w:lineRule="auto"/>
        <w:jc w:val="center"/>
        <w:rPr>
          <w:rFonts w:hint="eastAsia" w:ascii="宋体" w:hAnsi="宋体"/>
          <w:b/>
          <w:sz w:val="28"/>
          <w:szCs w:val="28"/>
        </w:rPr>
      </w:pPr>
      <w:r>
        <w:rPr>
          <w:rFonts w:hint="eastAsia" w:ascii="宋体" w:hAnsi="宋体"/>
          <w:b/>
          <w:sz w:val="28"/>
          <w:szCs w:val="28"/>
          <w:lang w:eastAsia="zh-CN"/>
        </w:rPr>
        <w:t>一、</w:t>
      </w:r>
      <w:r>
        <w:rPr>
          <w:rFonts w:hint="eastAsia" w:ascii="宋体" w:hAnsi="宋体"/>
          <w:b/>
          <w:sz w:val="28"/>
          <w:szCs w:val="28"/>
        </w:rPr>
        <w:t>投标函</w:t>
      </w:r>
    </w:p>
    <w:p>
      <w:pPr>
        <w:spacing w:line="300" w:lineRule="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sz w:val="21"/>
          <w:szCs w:val="21"/>
          <w:u w:val="single"/>
        </w:rPr>
        <w:t>天煜荣泽工程咨询有限公司</w:t>
      </w:r>
    </w:p>
    <w:p>
      <w:pPr>
        <w:autoSpaceDE w:val="0"/>
        <w:autoSpaceDN w:val="0"/>
        <w:adjustRightInd w:val="0"/>
        <w:snapToGrid w:val="0"/>
        <w:spacing w:line="300" w:lineRule="auto"/>
        <w:ind w:firstLine="630"/>
        <w:outlineLvl w:val="9"/>
        <w:rPr>
          <w:rFonts w:hint="eastAsia" w:ascii="宋体" w:hAnsi="宋体" w:eastAsia="宋体" w:cs="宋体"/>
          <w:color w:val="000000"/>
          <w:sz w:val="21"/>
          <w:szCs w:val="21"/>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我单位仔细研究了</w:t>
      </w:r>
      <w:r>
        <w:rPr>
          <w:rFonts w:hint="eastAsia" w:ascii="宋体" w:hAnsi="宋体" w:eastAsia="宋体" w:cs="宋体"/>
          <w:color w:val="000000"/>
          <w:sz w:val="21"/>
          <w:szCs w:val="21"/>
          <w:u w:val="single"/>
          <w:lang w:val="zh-CN"/>
        </w:rPr>
        <w:t xml:space="preserve"> </w:t>
      </w:r>
      <w:r>
        <w:rPr>
          <w:rFonts w:hint="eastAsia" w:hAnsi="宋体"/>
          <w:sz w:val="21"/>
          <w:szCs w:val="21"/>
          <w:u w:val="single"/>
          <w:lang w:eastAsia="zh-CN"/>
        </w:rPr>
        <w:t>2024年周至县道路清扫保洁、垃圾清运、绿化养护、公厕管理市场化运作项目（合同包 3 ）</w:t>
      </w:r>
      <w:r>
        <w:rPr>
          <w:rFonts w:hint="eastAsia" w:ascii="宋体" w:hAnsi="宋体" w:eastAsia="宋体" w:cs="宋体"/>
          <w:color w:val="000000"/>
          <w:sz w:val="21"/>
          <w:szCs w:val="21"/>
          <w:u w:val="single"/>
          <w:lang w:val="zh-CN"/>
        </w:rPr>
        <w:t xml:space="preserve"> </w:t>
      </w:r>
      <w:r>
        <w:rPr>
          <w:rFonts w:hint="eastAsia" w:ascii="宋体" w:hAnsi="宋体" w:eastAsia="宋体" w:cs="宋体"/>
          <w:color w:val="000000"/>
          <w:sz w:val="21"/>
          <w:szCs w:val="21"/>
          <w:lang w:val="zh-CN"/>
        </w:rPr>
        <w:t>项目</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文件（采购编号：</w:t>
      </w:r>
      <w:r>
        <w:rPr>
          <w:rFonts w:hint="eastAsia" w:ascii="宋体" w:hAnsi="宋体" w:eastAsia="宋体" w:cs="宋体"/>
          <w:color w:val="000000"/>
          <w:sz w:val="21"/>
          <w:szCs w:val="21"/>
          <w:u w:val="single"/>
          <w:lang w:val="zh-CN"/>
        </w:rPr>
        <w:t xml:space="preserve"> </w:t>
      </w:r>
      <w:r>
        <w:rPr>
          <w:rFonts w:hint="eastAsia" w:ascii="宋体" w:hAnsi="宋体" w:cs="宋体"/>
          <w:color w:val="000000"/>
          <w:sz w:val="21"/>
          <w:szCs w:val="21"/>
          <w:u w:val="single"/>
          <w:lang w:val="zh-CN"/>
        </w:rPr>
        <w:t>TYRZ-2024-ZZ059-3</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val="zh-CN"/>
        </w:rPr>
        <w:t>），决定参加本次</w:t>
      </w:r>
      <w:r>
        <w:rPr>
          <w:rFonts w:hint="eastAsia" w:ascii="宋体" w:hAnsi="宋体" w:cs="宋体"/>
          <w:color w:val="000000"/>
          <w:sz w:val="21"/>
          <w:szCs w:val="21"/>
          <w:lang w:val="zh-CN"/>
        </w:rPr>
        <w:t>招标</w:t>
      </w:r>
      <w:r>
        <w:rPr>
          <w:rFonts w:hint="eastAsia" w:ascii="宋体" w:hAnsi="宋体" w:eastAsia="宋体" w:cs="宋体"/>
          <w:color w:val="000000"/>
          <w:sz w:val="21"/>
          <w:szCs w:val="21"/>
          <w:lang w:val="zh-CN"/>
        </w:rPr>
        <w:t>活动。为此，我方郑重声明以下诸点，并负法律责任。</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ascii="Calibri" w:hAnsi="Calibri" w:eastAsia="宋体" w:cs="Calibri"/>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、如我方中标，我方将</w:t>
      </w:r>
      <w:r>
        <w:rPr>
          <w:rFonts w:hint="eastAsia" w:ascii="宋体" w:hAnsi="宋体" w:cs="宋体"/>
          <w:color w:val="000000"/>
          <w:kern w:val="0"/>
          <w:sz w:val="21"/>
          <w:szCs w:val="21"/>
          <w:lang w:val="en-US" w:eastAsia="zh-CN" w:bidi="ar"/>
        </w:rPr>
        <w:t>无偿</w:t>
      </w:r>
      <w:r>
        <w:rPr>
          <w:rFonts w:hint="eastAsia" w:ascii="宋体" w:hAnsi="宋体" w:eastAsia="宋体" w:cs="宋体"/>
          <w:color w:val="000000"/>
          <w:kern w:val="0"/>
          <w:sz w:val="21"/>
          <w:szCs w:val="21"/>
          <w:lang w:val="en-US" w:eastAsia="zh-CN" w:bidi="ar"/>
        </w:rPr>
        <w:t>提交纸质投标文件正本壹份，副本贰份，电子文件壹份（</w:t>
      </w:r>
      <w:r>
        <w:rPr>
          <w:rFonts w:hint="default" w:ascii="Calibri" w:hAnsi="Calibri" w:eastAsia="宋体" w:cs="Calibri"/>
          <w:color w:val="000000"/>
          <w:kern w:val="0"/>
          <w:sz w:val="21"/>
          <w:szCs w:val="21"/>
          <w:lang w:val="en-US" w:eastAsia="zh-CN" w:bidi="ar"/>
        </w:rPr>
        <w:t xml:space="preserve">U </w:t>
      </w:r>
      <w:r>
        <w:rPr>
          <w:rFonts w:hint="eastAsia" w:ascii="宋体" w:hAnsi="宋体" w:eastAsia="宋体" w:cs="宋体"/>
          <w:color w:val="000000"/>
          <w:kern w:val="0"/>
          <w:sz w:val="21"/>
          <w:szCs w:val="21"/>
          <w:lang w:val="en-US" w:eastAsia="zh-CN" w:bidi="ar"/>
        </w:rPr>
        <w:t xml:space="preserve">盘一份）。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、我方投标总价为人民币（大写）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元（￥</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u w:val="single"/>
          <w:lang w:val="en-US"/>
        </w:rPr>
      </w:pPr>
      <w:r>
        <w:rPr>
          <w:rFonts w:hint="eastAsia" w:ascii="宋体" w:hAnsi="宋体" w:eastAsia="宋体" w:cs="宋体"/>
          <w:color w:val="000000"/>
          <w:kern w:val="0"/>
          <w:sz w:val="21"/>
          <w:szCs w:val="21"/>
          <w:lang w:val="en-US" w:eastAsia="zh-CN" w:bidi="ar"/>
        </w:rPr>
        <w:t>服务期：</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rFonts w:hint="default"/>
          <w:sz w:val="21"/>
          <w:szCs w:val="21"/>
          <w:lang w:val="en-US"/>
        </w:rPr>
      </w:pPr>
      <w:r>
        <w:rPr>
          <w:rFonts w:hint="eastAsia" w:ascii="宋体" w:hAnsi="宋体" w:eastAsia="宋体" w:cs="宋体"/>
          <w:color w:val="000000"/>
          <w:kern w:val="0"/>
          <w:sz w:val="21"/>
          <w:szCs w:val="21"/>
          <w:lang w:val="en-US" w:eastAsia="zh-CN" w:bidi="ar"/>
        </w:rPr>
        <w:t>服务标准：</w:t>
      </w:r>
      <w:r>
        <w:rPr>
          <w:rFonts w:hint="eastAsia" w:ascii="宋体" w:hAnsi="宋体" w:cs="宋体"/>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该报价不受市场因素的影响。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、我方已详细审查全部招标文件，完全理解并同意放弃对这方面有不明及误解质疑的权力。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我方已悉知并及时关注了贵单位在陕西省政府采购网、全国公共资源交易平台（陕西省·西安市）上发布的关于本项目的有关变更公告（包括但不限于对招标文件做出的修改或澄清、答疑纪要，以及项目暂停、重启、延期、终止等）。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、我方同意按照要求提供投标有关的一切数据或资料。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、我方将按招标文件的规定履行合同责任和义务。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、我方完全理解最低报价不是中标的唯一条件。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、我方同意按招标文件规定，遵守贵方有关招标的各项规定。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 xml:space="preserve">、若我方中标，我方保证按有关规定向贵方支付招标服务费。 </w:t>
      </w:r>
    </w:p>
    <w:p>
      <w:pPr>
        <w:keepNext w:val="0"/>
        <w:keepLines w:val="0"/>
        <w:pageBreakBefore w:val="0"/>
        <w:widowControl/>
        <w:suppressLineNumbers w:val="0"/>
        <w:kinsoku/>
        <w:wordWrap/>
        <w:overflowPunct/>
        <w:topLinePunct w:val="0"/>
        <w:bidi w:val="0"/>
        <w:spacing w:line="360" w:lineRule="auto"/>
        <w:ind w:firstLine="420" w:firstLineChars="200"/>
        <w:jc w:val="left"/>
        <w:textAlignment w:val="auto"/>
        <w:rPr>
          <w:sz w:val="21"/>
          <w:szCs w:val="21"/>
        </w:rPr>
      </w:pPr>
      <w:r>
        <w:rPr>
          <w:rFonts w:hint="default" w:ascii="Calibri" w:hAnsi="Calibri" w:eastAsia="宋体" w:cs="Calibri"/>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、投标有效期为自投标截止日起不少于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个日历日（包含 </w:t>
      </w:r>
      <w:r>
        <w:rPr>
          <w:rFonts w:hint="default" w:ascii="Calibri" w:hAnsi="Calibri" w:eastAsia="宋体" w:cs="Calibri"/>
          <w:color w:val="000000"/>
          <w:kern w:val="0"/>
          <w:sz w:val="21"/>
          <w:szCs w:val="21"/>
          <w:lang w:val="en-US" w:eastAsia="zh-CN" w:bidi="ar"/>
        </w:rPr>
        <w:t xml:space="preserve">90 </w:t>
      </w:r>
      <w:r>
        <w:rPr>
          <w:rFonts w:hint="eastAsia" w:ascii="宋体" w:hAnsi="宋体" w:eastAsia="宋体" w:cs="宋体"/>
          <w:color w:val="000000"/>
          <w:kern w:val="0"/>
          <w:sz w:val="21"/>
          <w:szCs w:val="21"/>
          <w:lang w:val="en-US" w:eastAsia="zh-CN" w:bidi="ar"/>
        </w:rPr>
        <w:t xml:space="preserve">个日历日）。 </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default" w:ascii="Calibri" w:hAnsi="Calibri" w:eastAsia="宋体" w:cs="Calibri"/>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、所有关于本项目的函电，请按下列地址联系</w:t>
      </w:r>
      <w:r>
        <w:rPr>
          <w:rFonts w:hint="eastAsia" w:ascii="宋体" w:hAnsi="宋体" w:eastAsia="宋体" w:cs="宋体"/>
          <w:color w:val="000000"/>
          <w:sz w:val="21"/>
          <w:szCs w:val="21"/>
          <w:lang w:val="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cs="宋体"/>
          <w:color w:val="000000"/>
          <w:sz w:val="21"/>
          <w:szCs w:val="21"/>
          <w:lang w:val="zh-CN"/>
        </w:rPr>
        <w:t>投标人</w:t>
      </w:r>
      <w:r>
        <w:rPr>
          <w:rFonts w:hint="eastAsia" w:ascii="宋体" w:hAnsi="宋体" w:eastAsia="宋体" w:cs="宋体"/>
          <w:color w:val="000000"/>
          <w:sz w:val="21"/>
          <w:szCs w:val="21"/>
          <w:lang w:val="zh-CN"/>
        </w:rPr>
        <w:t>全称（印章）：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地</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址：</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none"/>
          <w:lang w:eastAsia="zh-CN"/>
        </w:rPr>
        <w:t>邮</w:t>
      </w:r>
      <w:r>
        <w:rPr>
          <w:rFonts w:hint="eastAsia" w:ascii="宋体" w:hAnsi="宋体" w:cs="宋体"/>
          <w:color w:val="000000"/>
          <w:sz w:val="21"/>
          <w:szCs w:val="21"/>
          <w:u w:val="none"/>
          <w:lang w:val="en-US" w:eastAsia="zh-CN"/>
        </w:rPr>
        <w:t xml:space="preserve">    </w:t>
      </w:r>
      <w:r>
        <w:rPr>
          <w:rFonts w:hint="eastAsia" w:ascii="宋体" w:hAnsi="宋体" w:cs="宋体"/>
          <w:color w:val="000000"/>
          <w:sz w:val="21"/>
          <w:szCs w:val="21"/>
          <w:u w:val="none"/>
          <w:lang w:eastAsia="zh-CN"/>
        </w:rPr>
        <w:t>编：</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val="zh-CN"/>
        </w:rPr>
        <w:t>电</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话：</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lang w:val="zh-CN"/>
        </w:rPr>
        <w:t>传</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真：</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lang w:val="zh-CN"/>
        </w:rPr>
        <w:t>法定代表人或授权代表（签字或盖章）：</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r>
        <w:rPr>
          <w:rFonts w:hint="eastAsia" w:ascii="宋体" w:hAnsi="宋体" w:cs="宋体"/>
          <w:color w:val="000000"/>
          <w:sz w:val="21"/>
          <w:szCs w:val="21"/>
          <w:u w:val="single"/>
          <w:lang w:val="en-US" w:eastAsia="zh-CN"/>
        </w:rPr>
        <w:tab/>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ab/>
      </w:r>
    </w:p>
    <w:p>
      <w:pPr>
        <w:keepNext w:val="0"/>
        <w:keepLines w:val="0"/>
        <w:pageBreakBefore w:val="0"/>
        <w:widowControl w:val="0"/>
        <w:kinsoku/>
        <w:overflowPunct/>
        <w:topLinePunct w:val="0"/>
        <w:autoSpaceDE w:val="0"/>
        <w:autoSpaceDN w:val="0"/>
        <w:bidi w:val="0"/>
        <w:adjustRightInd w:val="0"/>
        <w:snapToGrid w:val="0"/>
        <w:spacing w:line="360" w:lineRule="auto"/>
        <w:ind w:left="0" w:leftChars="0" w:firstLine="420" w:firstLineChars="200"/>
        <w:textAlignment w:val="auto"/>
        <w:outlineLvl w:val="9"/>
        <w:rPr>
          <w:rFonts w:hint="eastAsia" w:ascii="宋体" w:hAnsi="宋体" w:cs="宋体"/>
          <w:b/>
          <w:sz w:val="28"/>
          <w:szCs w:val="28"/>
        </w:rPr>
      </w:pP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期：</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年</w:t>
      </w:r>
      <w:r>
        <w:rPr>
          <w:rFonts w:hint="eastAsia" w:ascii="宋体" w:hAnsi="宋体" w:eastAsia="宋体" w:cs="宋体"/>
          <w:color w:val="000000"/>
          <w:sz w:val="21"/>
          <w:szCs w:val="21"/>
        </w:rPr>
        <w:t>_____</w:t>
      </w:r>
      <w:r>
        <w:rPr>
          <w:rFonts w:hint="eastAsia" w:ascii="宋体" w:hAnsi="宋体" w:eastAsia="宋体" w:cs="宋体"/>
          <w:color w:val="000000"/>
          <w:sz w:val="21"/>
          <w:szCs w:val="21"/>
          <w:lang w:val="zh-CN"/>
        </w:rPr>
        <w:t>月</w:t>
      </w:r>
      <w:r>
        <w:rPr>
          <w:rFonts w:hint="eastAsia" w:ascii="宋体" w:hAnsi="宋体" w:eastAsia="宋体" w:cs="宋体"/>
          <w:color w:val="000000"/>
          <w:sz w:val="21"/>
          <w:szCs w:val="21"/>
        </w:rPr>
        <w:t>____</w:t>
      </w:r>
      <w:r>
        <w:rPr>
          <w:rFonts w:hint="eastAsia" w:ascii="宋体" w:hAnsi="宋体" w:cs="宋体"/>
          <w:color w:val="000000"/>
          <w:sz w:val="21"/>
          <w:szCs w:val="21"/>
          <w:lang w:eastAsia="zh-CN"/>
        </w:rPr>
        <w:t>日</w:t>
      </w:r>
      <w:r>
        <w:rPr>
          <w:rFonts w:hint="eastAsia" w:ascii="宋体" w:hAnsi="宋体" w:cs="宋体"/>
          <w:b/>
          <w:sz w:val="28"/>
          <w:szCs w:val="28"/>
        </w:rPr>
        <w:br w:type="page"/>
      </w:r>
    </w:p>
    <w:p>
      <w:pPr>
        <w:tabs>
          <w:tab w:val="left" w:pos="3500"/>
          <w:tab w:val="left" w:pos="3700"/>
        </w:tabs>
        <w:spacing w:line="360" w:lineRule="auto"/>
        <w:jc w:val="center"/>
        <w:rPr>
          <w:rFonts w:hint="eastAsia" w:ascii="宋体" w:hAnsi="宋体"/>
          <w:b/>
          <w:sz w:val="28"/>
          <w:szCs w:val="28"/>
        </w:rPr>
      </w:pPr>
      <w:r>
        <w:rPr>
          <w:rFonts w:hint="eastAsia" w:ascii="宋体" w:hAnsi="宋体" w:cs="宋体"/>
          <w:b/>
          <w:sz w:val="28"/>
          <w:szCs w:val="28"/>
          <w:lang w:eastAsia="zh-CN"/>
        </w:rPr>
        <w:t>二</w:t>
      </w:r>
      <w:r>
        <w:rPr>
          <w:rFonts w:hint="eastAsia" w:ascii="宋体" w:hAnsi="宋体" w:cs="宋体"/>
          <w:b/>
          <w:sz w:val="28"/>
          <w:szCs w:val="28"/>
        </w:rPr>
        <w:t>、</w:t>
      </w:r>
      <w:r>
        <w:rPr>
          <w:rFonts w:hint="eastAsia" w:ascii="宋体" w:hAnsi="宋体" w:cs="宋体"/>
          <w:b/>
          <w:sz w:val="28"/>
          <w:szCs w:val="28"/>
          <w:lang w:eastAsia="zh-CN"/>
        </w:rPr>
        <w:t>开标一览表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lang w:eastAsia="zh-CN"/>
        </w:rPr>
        <w:t>（</w:t>
      </w:r>
      <w:r>
        <w:rPr>
          <w:rFonts w:hint="eastAsia" w:hAnsi="宋体"/>
          <w:sz w:val="24"/>
          <w:szCs w:val="24"/>
          <w:u w:val="single"/>
          <w:lang w:eastAsia="zh-CN"/>
        </w:rPr>
        <w:t xml:space="preserve">合同包 3 </w:t>
      </w:r>
      <w:r>
        <w:rPr>
          <w:rFonts w:hint="eastAsia" w:hAnsi="宋体"/>
          <w:sz w:val="24"/>
          <w:szCs w:val="24"/>
          <w:lang w:eastAsia="zh-CN"/>
        </w:rPr>
        <w:t>）</w:t>
      </w:r>
    </w:p>
    <w:p>
      <w:pPr>
        <w:tabs>
          <w:tab w:val="left" w:pos="7192"/>
        </w:tabs>
        <w:kinsoku w:val="0"/>
        <w:spacing w:line="500" w:lineRule="exact"/>
        <w:rPr>
          <w:rFonts w:hint="eastAsia"/>
          <w:sz w:val="24"/>
          <w:lang w:eastAsia="zh-CN"/>
        </w:rPr>
      </w:pPr>
      <w:r>
        <w:rPr>
          <w:rFonts w:hint="eastAsia"/>
          <w:sz w:val="24"/>
        </w:rPr>
        <w:t>项目编号：</w:t>
      </w:r>
      <w:r>
        <w:rPr>
          <w:rFonts w:hint="eastAsia"/>
          <w:sz w:val="24"/>
          <w:lang w:eastAsia="zh-CN"/>
        </w:rPr>
        <w:t>TYRZ-2024-ZZ059-3</w:t>
      </w:r>
    </w:p>
    <w:p>
      <w:pPr>
        <w:tabs>
          <w:tab w:val="left" w:pos="7192"/>
        </w:tabs>
        <w:kinsoku w:val="0"/>
        <w:spacing w:line="500" w:lineRule="exact"/>
        <w:rPr>
          <w:rFonts w:hint="eastAsia"/>
          <w:sz w:val="24"/>
          <w:lang w:eastAsia="zh-CN"/>
        </w:rPr>
      </w:pPr>
      <w:r>
        <w:rPr>
          <w:rFonts w:hint="eastAsia"/>
          <w:sz w:val="24"/>
          <w:lang w:eastAsia="zh-CN"/>
        </w:rPr>
        <w:tab/>
      </w:r>
    </w:p>
    <w:tbl>
      <w:tblPr>
        <w:tblStyle w:val="25"/>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927" w:type="dxa"/>
            <w:noWrap w:val="0"/>
            <w:vAlign w:val="center"/>
          </w:tcPr>
          <w:p>
            <w:pPr>
              <w:spacing w:line="360" w:lineRule="auto"/>
              <w:jc w:val="center"/>
              <w:rPr>
                <w:rFonts w:ascii="宋体" w:hAnsi="宋体"/>
                <w:color w:val="auto"/>
                <w:szCs w:val="21"/>
              </w:rPr>
            </w:pPr>
            <w:r>
              <w:rPr>
                <w:rFonts w:hint="eastAsia" w:ascii="宋体" w:hAnsi="宋体"/>
                <w:color w:val="auto"/>
                <w:szCs w:val="21"/>
              </w:rPr>
              <w:t>投标总报价</w:t>
            </w:r>
          </w:p>
          <w:p>
            <w:pPr>
              <w:spacing w:line="360" w:lineRule="auto"/>
              <w:jc w:val="center"/>
              <w:rPr>
                <w:rFonts w:ascii="宋体" w:hAnsi="宋体"/>
                <w:sz w:val="24"/>
                <w:szCs w:val="24"/>
              </w:rPr>
            </w:pPr>
            <w:r>
              <w:rPr>
                <w:rFonts w:hint="eastAsia" w:ascii="宋体" w:hAnsi="宋体"/>
                <w:color w:val="auto"/>
                <w:szCs w:val="21"/>
              </w:rPr>
              <w:t>（人民币/元）</w:t>
            </w:r>
          </w:p>
        </w:tc>
        <w:tc>
          <w:tcPr>
            <w:tcW w:w="5014" w:type="dxa"/>
            <w:noWrap w:val="0"/>
            <w:vAlign w:val="center"/>
          </w:tcPr>
          <w:p>
            <w:pPr>
              <w:spacing w:line="360" w:lineRule="auto"/>
              <w:rPr>
                <w:rFonts w:ascii="宋体" w:hAnsi="宋体"/>
                <w:color w:val="auto"/>
                <w:szCs w:val="21"/>
              </w:rPr>
            </w:pPr>
            <w:r>
              <w:rPr>
                <w:rFonts w:hint="eastAsia" w:ascii="宋体" w:hAnsi="宋体"/>
                <w:color w:val="auto"/>
                <w:szCs w:val="21"/>
              </w:rPr>
              <w:t>小写金额：</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 xml:space="preserve"> 元 </w:t>
            </w:r>
          </w:p>
          <w:p>
            <w:pPr>
              <w:spacing w:line="360" w:lineRule="auto"/>
              <w:rPr>
                <w:rFonts w:ascii="宋体" w:hAnsi="宋体"/>
                <w:sz w:val="24"/>
                <w:szCs w:val="24"/>
              </w:rPr>
            </w:pPr>
            <w:r>
              <w:rPr>
                <w:rFonts w:hint="eastAsia" w:ascii="宋体" w:hAnsi="宋体"/>
                <w:color w:val="auto"/>
                <w:szCs w:val="21"/>
              </w:rPr>
              <w:t>大写金额：</w:t>
            </w:r>
            <w:r>
              <w:rPr>
                <w:rFonts w:hint="eastAsia" w:ascii="宋体" w:hAnsi="宋体"/>
                <w:color w:val="auto"/>
                <w:szCs w:val="21"/>
                <w:u w:val="single"/>
              </w:rPr>
              <w:t xml:space="preserve">                          </w:t>
            </w:r>
            <w:r>
              <w:rPr>
                <w:rFonts w:hint="eastAsia" w:ascii="宋体" w:hAnsi="宋体"/>
                <w:color w:val="auto"/>
                <w:szCs w:val="21"/>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ascii="宋体" w:hAnsi="宋体"/>
                <w:sz w:val="24"/>
                <w:szCs w:val="24"/>
              </w:rPr>
            </w:pPr>
            <w:r>
              <w:rPr>
                <w:rFonts w:hint="eastAsia"/>
                <w:color w:val="auto"/>
                <w:szCs w:val="24"/>
              </w:rPr>
              <w:t>服务期限</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27" w:type="dxa"/>
            <w:noWrap w:val="0"/>
            <w:vAlign w:val="center"/>
          </w:tcPr>
          <w:p>
            <w:pPr>
              <w:spacing w:line="360" w:lineRule="auto"/>
              <w:jc w:val="center"/>
              <w:rPr>
                <w:rFonts w:hint="eastAsia"/>
                <w:color w:val="auto"/>
                <w:szCs w:val="24"/>
              </w:rPr>
            </w:pPr>
            <w:r>
              <w:rPr>
                <w:rFonts w:hint="eastAsia" w:ascii="宋体" w:hAnsi="宋体" w:eastAsia="宋体" w:cs="宋体"/>
                <w:color w:val="000000"/>
                <w:kern w:val="0"/>
                <w:sz w:val="21"/>
                <w:szCs w:val="21"/>
                <w:lang w:val="en-US" w:eastAsia="zh-CN" w:bidi="ar"/>
              </w:rPr>
              <w:t>服务标准</w:t>
            </w:r>
          </w:p>
        </w:tc>
        <w:tc>
          <w:tcPr>
            <w:tcW w:w="5014" w:type="dxa"/>
            <w:noWrap w:val="0"/>
            <w:vAlign w:val="center"/>
          </w:tcPr>
          <w:p>
            <w:pPr>
              <w:spacing w:line="360" w:lineRule="auto"/>
              <w:rPr>
                <w:rFonts w:hint="default" w:ascii="宋体" w:hAnsi="宋体"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3927" w:type="dxa"/>
            <w:noWrap w:val="0"/>
            <w:vAlign w:val="center"/>
          </w:tcPr>
          <w:p>
            <w:pPr>
              <w:spacing w:line="360" w:lineRule="auto"/>
              <w:jc w:val="center"/>
              <w:rPr>
                <w:rFonts w:hint="eastAsia" w:ascii="宋体" w:hAnsi="宋体"/>
                <w:sz w:val="24"/>
                <w:szCs w:val="24"/>
              </w:rPr>
            </w:pPr>
            <w:r>
              <w:rPr>
                <w:rFonts w:hint="eastAsia" w:ascii="宋体" w:hAnsi="宋体"/>
                <w:color w:val="auto"/>
                <w:szCs w:val="21"/>
              </w:rPr>
              <w:t>备注</w:t>
            </w:r>
          </w:p>
        </w:tc>
        <w:tc>
          <w:tcPr>
            <w:tcW w:w="5014" w:type="dxa"/>
            <w:noWrap w:val="0"/>
            <w:vAlign w:val="center"/>
          </w:tcPr>
          <w:p>
            <w:pPr>
              <w:spacing w:line="360" w:lineRule="auto"/>
              <w:rPr>
                <w:rFonts w:hint="default" w:ascii="宋体" w:hAnsi="宋体" w:eastAsia="宋体"/>
                <w:sz w:val="24"/>
                <w:szCs w:val="24"/>
                <w:u w:val="single"/>
                <w:lang w:val="en-US" w:eastAsia="zh-CN"/>
              </w:rPr>
            </w:pPr>
            <w:r>
              <w:rPr>
                <w:rFonts w:hint="eastAsia" w:ascii="宋体" w:hAnsi="宋体"/>
                <w:sz w:val="24"/>
                <w:szCs w:val="24"/>
                <w:u w:val="none"/>
                <w:lang w:val="en-US" w:eastAsia="zh-CN"/>
              </w:rPr>
              <w:t>本单位为</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8941" w:type="dxa"/>
            <w:gridSpan w:val="2"/>
            <w:noWrap w:val="0"/>
            <w:vAlign w:val="center"/>
          </w:tcPr>
          <w:p>
            <w:pPr>
              <w:spacing w:line="360" w:lineRule="auto"/>
              <w:jc w:val="left"/>
              <w:rPr>
                <w:color w:val="auto"/>
              </w:rPr>
            </w:pPr>
            <w:r>
              <w:rPr>
                <w:rFonts w:hint="eastAsia"/>
                <w:color w:val="auto"/>
              </w:rPr>
              <w:t>说明：1、</w:t>
            </w:r>
            <w:r>
              <w:rPr>
                <w:rFonts w:hint="eastAsia"/>
                <w:color w:val="auto"/>
                <w:lang w:eastAsia="zh-CN"/>
              </w:rPr>
              <w:t>投标</w:t>
            </w:r>
            <w:r>
              <w:rPr>
                <w:rFonts w:hint="eastAsia"/>
                <w:color w:val="auto"/>
              </w:rPr>
              <w:t>报价包含项目过程中（合同总金额包括人员工资、福利、社保（养老、医疗、工伤等保险）、劳保用品、融雪剂</w:t>
            </w:r>
            <w:r>
              <w:rPr>
                <w:rFonts w:hint="eastAsia"/>
                <w:b w:val="0"/>
                <w:bCs w:val="0"/>
                <w:color w:val="auto"/>
              </w:rPr>
              <w:t>、工具、车辆设备</w:t>
            </w:r>
            <w:r>
              <w:rPr>
                <w:rFonts w:hint="eastAsia"/>
                <w:b w:val="0"/>
                <w:bCs w:val="0"/>
                <w:color w:val="auto"/>
                <w:lang w:eastAsia="zh-CN"/>
              </w:rPr>
              <w:t>、</w:t>
            </w:r>
            <w:r>
              <w:rPr>
                <w:rFonts w:hint="eastAsia"/>
                <w:b w:val="0"/>
                <w:bCs w:val="0"/>
                <w:color w:val="auto"/>
              </w:rPr>
              <w:t>机械及其维修、工具房租用、迎检加班和突发处置费用、应急物资等作业成本以及适当的管理费用、</w:t>
            </w:r>
            <w:r>
              <w:rPr>
                <w:rFonts w:hint="eastAsia"/>
                <w:color w:val="auto"/>
              </w:rPr>
              <w:t>利润、税金、风险金（保险、处理一切意外伤亡事故等费用）办公用房的租赁等其他一切费用），以</w:t>
            </w:r>
            <w:r>
              <w:rPr>
                <w:rFonts w:hint="eastAsia"/>
                <w:color w:val="auto"/>
                <w:lang w:eastAsia="zh-CN"/>
              </w:rPr>
              <w:t>招标</w:t>
            </w:r>
            <w:r>
              <w:rPr>
                <w:rFonts w:hint="eastAsia"/>
                <w:color w:val="auto"/>
              </w:rPr>
              <w:t>文件的内容和要求作为依据；</w:t>
            </w:r>
          </w:p>
          <w:p>
            <w:pPr>
              <w:numPr>
                <w:ilvl w:val="0"/>
                <w:numId w:val="16"/>
              </w:numPr>
              <w:spacing w:line="360" w:lineRule="auto"/>
              <w:rPr>
                <w:rFonts w:hint="eastAsia" w:eastAsia="宋体"/>
                <w:lang w:val="en-US" w:eastAsia="zh-CN"/>
              </w:rPr>
            </w:pPr>
            <w:r>
              <w:rPr>
                <w:rFonts w:hint="eastAsia"/>
                <w:color w:val="auto"/>
              </w:rPr>
              <w:t>供应商报价不得高于最高限价：否则其投标文件将按无效文件处理</w:t>
            </w:r>
            <w:r>
              <w:rPr>
                <w:rFonts w:hint="eastAsia"/>
                <w:color w:val="auto"/>
                <w:lang w:eastAsia="zh-CN"/>
              </w:rPr>
              <w:t>；</w:t>
            </w:r>
          </w:p>
          <w:p>
            <w:pPr>
              <w:pStyle w:val="24"/>
              <w:ind w:left="0" w:leftChars="0" w:firstLine="0" w:firstLineChars="0"/>
              <w:rPr>
                <w:rFonts w:hint="default" w:eastAsia="仿宋_GB2312"/>
                <w:lang w:val="en-US" w:eastAsia="zh-CN"/>
              </w:rPr>
            </w:pPr>
            <w:r>
              <w:rPr>
                <w:rFonts w:hint="eastAsia" w:ascii="Times New Roman" w:hAnsi="Times New Roman" w:eastAsia="宋体" w:cs="Times New Roman"/>
                <w:color w:val="auto"/>
                <w:kern w:val="2"/>
                <w:sz w:val="21"/>
                <w:szCs w:val="22"/>
                <w:lang w:val="en-US" w:eastAsia="zh-CN" w:bidi="ar-SA"/>
              </w:rPr>
              <w:t>3、若投标人属于小型、微型企业、监狱企业、残疾人福利性单位，请在备注栏如实填写。</w:t>
            </w:r>
          </w:p>
        </w:tc>
      </w:tr>
    </w:tbl>
    <w:p>
      <w:pPr>
        <w:pStyle w:val="12"/>
        <w:rPr>
          <w:rFonts w:hint="eastAsia"/>
          <w:lang w:eastAsia="zh-CN"/>
        </w:rPr>
      </w:pPr>
    </w:p>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jc w:val="right"/>
        <w:rPr>
          <w:rFonts w:hint="eastAsia" w:ascii="宋体" w:hAnsi="宋体"/>
          <w:spacing w:val="4"/>
          <w:sz w:val="24"/>
          <w:szCs w:val="24"/>
          <w:u w:val="none"/>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tabs>
          <w:tab w:val="left" w:pos="3500"/>
          <w:tab w:val="left" w:pos="3700"/>
        </w:tabs>
        <w:spacing w:line="360" w:lineRule="auto"/>
        <w:jc w:val="center"/>
        <w:rPr>
          <w:rFonts w:hint="eastAsia"/>
          <w:highlight w:val="none"/>
        </w:rPr>
      </w:pPr>
      <w:bookmarkStart w:id="40" w:name="_Toc9840"/>
      <w:r>
        <w:rPr>
          <w:rFonts w:hint="eastAsia" w:ascii="宋体" w:hAnsi="宋体" w:eastAsia="宋体" w:cs="宋体"/>
          <w:b/>
          <w:sz w:val="28"/>
          <w:szCs w:val="28"/>
          <w:lang w:eastAsia="zh-CN"/>
        </w:rPr>
        <w:t>三、</w:t>
      </w:r>
      <w:r>
        <w:rPr>
          <w:rFonts w:hint="eastAsia" w:ascii="宋体" w:hAnsi="宋体" w:eastAsia="宋体" w:cs="宋体"/>
          <w:b/>
          <w:sz w:val="28"/>
          <w:szCs w:val="28"/>
        </w:rPr>
        <w:t>分项报价表</w:t>
      </w:r>
      <w:bookmarkEnd w:id="40"/>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 xml:space="preserve">合同包 3 </w:t>
      </w:r>
      <w:r>
        <w:rPr>
          <w:rFonts w:hint="eastAsia" w:hAnsi="宋体"/>
          <w:sz w:val="24"/>
          <w:lang w:eastAsia="zh-CN"/>
        </w:rPr>
        <w:t>）</w:t>
      </w:r>
    </w:p>
    <w:p>
      <w:pPr>
        <w:pStyle w:val="7"/>
        <w:numPr>
          <w:ilvl w:val="0"/>
          <w:numId w:val="0"/>
        </w:numPr>
        <w:rPr>
          <w:rFonts w:hint="default" w:ascii="Times New Roman" w:hAnsi="宋体" w:eastAsia="宋体" w:cs="Times New Roman"/>
          <w:kern w:val="2"/>
          <w:sz w:val="24"/>
          <w:szCs w:val="22"/>
          <w:lang w:val="en-US" w:eastAsia="zh-CN" w:bidi="ar-SA"/>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TYRZ-2024-ZZ059-3</w:t>
      </w:r>
      <w:r>
        <w:rPr>
          <w:rFonts w:hint="eastAsia" w:ascii="Times New Roman" w:hAnsi="宋体" w:eastAsia="宋体" w:cs="Times New Roman"/>
          <w:kern w:val="2"/>
          <w:sz w:val="24"/>
          <w:szCs w:val="22"/>
          <w:lang w:val="en-US" w:eastAsia="zh-CN" w:bidi="ar-SA"/>
        </w:rPr>
        <w:t xml:space="preserve">        </w:t>
      </w:r>
    </w:p>
    <w:tbl>
      <w:tblPr>
        <w:tblStyle w:val="2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3498"/>
        <w:gridCol w:w="945"/>
        <w:gridCol w:w="1260"/>
        <w:gridCol w:w="9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center"/>
          </w:tcPr>
          <w:p>
            <w:pPr>
              <w:keepNext w:val="0"/>
              <w:keepLines w:val="0"/>
              <w:widowControl/>
              <w:suppressLineNumbers w:val="0"/>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b/>
                <w:i w:val="0"/>
                <w:color w:val="000000"/>
                <w:kern w:val="0"/>
                <w:sz w:val="24"/>
                <w:szCs w:val="24"/>
                <w:highlight w:val="none"/>
                <w:u w:val="none"/>
                <w:lang w:val="en-US" w:eastAsia="zh-CN"/>
              </w:rPr>
              <w:t>序号</w:t>
            </w:r>
          </w:p>
        </w:tc>
        <w:tc>
          <w:tcPr>
            <w:tcW w:w="3498"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rPr>
              <w:t>分项名称</w:t>
            </w:r>
          </w:p>
        </w:tc>
        <w:tc>
          <w:tcPr>
            <w:tcW w:w="945"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单位</w:t>
            </w:r>
          </w:p>
        </w:tc>
        <w:tc>
          <w:tcPr>
            <w:tcW w:w="126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单价（元）</w:t>
            </w:r>
          </w:p>
        </w:tc>
        <w:tc>
          <w:tcPr>
            <w:tcW w:w="93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数量</w:t>
            </w:r>
          </w:p>
        </w:tc>
        <w:tc>
          <w:tcPr>
            <w:tcW w:w="1470" w:type="dxa"/>
            <w:noWrap w:val="0"/>
            <w:vAlign w:val="center"/>
          </w:tcPr>
          <w:p>
            <w:pPr>
              <w:spacing w:line="360" w:lineRule="auto"/>
              <w:jc w:val="center"/>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4</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5</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noWrap w:val="0"/>
            <w:vAlign w:val="top"/>
          </w:tcPr>
          <w:p>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w:t>
            </w:r>
          </w:p>
        </w:tc>
        <w:tc>
          <w:tcPr>
            <w:tcW w:w="3498" w:type="dxa"/>
            <w:noWrap w:val="0"/>
            <w:vAlign w:val="top"/>
          </w:tcPr>
          <w:p>
            <w:pPr>
              <w:jc w:val="center"/>
              <w:rPr>
                <w:rFonts w:hint="eastAsia" w:ascii="微软雅黑" w:hAnsi="微软雅黑" w:eastAsia="微软雅黑" w:cs="微软雅黑"/>
                <w:color w:val="0000FF"/>
                <w:sz w:val="24"/>
                <w:szCs w:val="24"/>
                <w:highlight w:val="none"/>
              </w:rPr>
            </w:pPr>
          </w:p>
        </w:tc>
        <w:tc>
          <w:tcPr>
            <w:tcW w:w="945" w:type="dxa"/>
            <w:noWrap w:val="0"/>
            <w:vAlign w:val="top"/>
          </w:tcPr>
          <w:p>
            <w:pPr>
              <w:jc w:val="center"/>
              <w:rPr>
                <w:rFonts w:hint="eastAsia" w:ascii="微软雅黑" w:hAnsi="微软雅黑" w:eastAsia="微软雅黑" w:cs="微软雅黑"/>
                <w:color w:val="0000FF"/>
                <w:sz w:val="24"/>
                <w:szCs w:val="24"/>
                <w:highlight w:val="none"/>
              </w:rPr>
            </w:pPr>
          </w:p>
        </w:tc>
        <w:tc>
          <w:tcPr>
            <w:tcW w:w="1260" w:type="dxa"/>
            <w:noWrap w:val="0"/>
            <w:vAlign w:val="top"/>
          </w:tcPr>
          <w:p>
            <w:pPr>
              <w:jc w:val="center"/>
              <w:rPr>
                <w:rFonts w:hint="eastAsia" w:ascii="微软雅黑" w:hAnsi="微软雅黑" w:eastAsia="微软雅黑" w:cs="微软雅黑"/>
                <w:color w:val="0000FF"/>
                <w:sz w:val="24"/>
                <w:szCs w:val="24"/>
                <w:highlight w:val="none"/>
              </w:rPr>
            </w:pPr>
          </w:p>
        </w:tc>
        <w:tc>
          <w:tcPr>
            <w:tcW w:w="930" w:type="dxa"/>
            <w:noWrap w:val="0"/>
            <w:vAlign w:val="top"/>
          </w:tcPr>
          <w:p>
            <w:pPr>
              <w:jc w:val="center"/>
              <w:rPr>
                <w:rFonts w:hint="eastAsia" w:ascii="微软雅黑" w:hAnsi="微软雅黑" w:eastAsia="微软雅黑" w:cs="微软雅黑"/>
                <w:color w:val="0000FF"/>
                <w:sz w:val="24"/>
                <w:szCs w:val="24"/>
                <w:highlight w:val="none"/>
              </w:rPr>
            </w:pPr>
          </w:p>
        </w:tc>
        <w:tc>
          <w:tcPr>
            <w:tcW w:w="1470" w:type="dxa"/>
            <w:noWrap w:val="0"/>
            <w:vAlign w:val="top"/>
          </w:tcPr>
          <w:p>
            <w:pPr>
              <w:jc w:val="center"/>
              <w:rPr>
                <w:rFonts w:hint="eastAsia" w:ascii="微软雅黑" w:hAnsi="微软雅黑" w:eastAsia="微软雅黑" w:cs="微软雅黑"/>
                <w:color w:val="0000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885" w:type="dxa"/>
            <w:gridSpan w:val="6"/>
            <w:noWrap w:val="0"/>
            <w:vAlign w:val="top"/>
          </w:tcPr>
          <w:p>
            <w:pPr>
              <w:jc w:val="left"/>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000000"/>
                <w:sz w:val="24"/>
                <w:szCs w:val="24"/>
                <w:highlight w:val="none"/>
                <w:lang w:eastAsia="zh-CN"/>
              </w:rPr>
              <w:t>总计</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说明：1.投标人必须按本</w:t>
      </w:r>
      <w:r>
        <w:rPr>
          <w:rFonts w:hint="eastAsia" w:ascii="微软雅黑" w:hAnsi="微软雅黑" w:eastAsia="微软雅黑" w:cs="微软雅黑"/>
          <w:bCs/>
          <w:color w:val="auto"/>
          <w:szCs w:val="21"/>
          <w:highlight w:val="none"/>
        </w:rPr>
        <w:t>表的格式</w:t>
      </w:r>
      <w:r>
        <w:rPr>
          <w:rFonts w:hint="eastAsia" w:ascii="微软雅黑" w:hAnsi="微软雅黑" w:eastAsia="微软雅黑" w:cs="微软雅黑"/>
          <w:color w:val="auto"/>
          <w:szCs w:val="21"/>
          <w:highlight w:val="none"/>
        </w:rPr>
        <w:t>详细报出投标总价的各个组成部分的报价，否则作无效投标处理；报价精确到小数点后两位；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2.本</w:t>
      </w:r>
      <w:r>
        <w:rPr>
          <w:rFonts w:hint="eastAsia" w:ascii="微软雅黑" w:hAnsi="微软雅黑" w:eastAsia="微软雅黑" w:cs="微软雅黑"/>
          <w:bCs/>
          <w:color w:val="auto"/>
          <w:szCs w:val="21"/>
          <w:highlight w:val="none"/>
        </w:rPr>
        <w:t>表各分项报价合计应当与“开标一览表”总报价相等；</w:t>
      </w:r>
      <w:r>
        <w:rPr>
          <w:rFonts w:hint="eastAsia" w:ascii="微软雅黑" w:hAnsi="微软雅黑" w:eastAsia="微软雅黑" w:cs="微软雅黑"/>
          <w:color w:val="auto"/>
          <w:szCs w:val="21"/>
          <w:highlight w:val="none"/>
        </w:rPr>
        <w:t>如果按单价计算的结果与报价不一致时，以单价为准修正报价与合计报价；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3.本表为多页的，每页均需由法定代表人或授权代表签名并盖投标人印章；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4.如本项目包括采购货物的，有投标产品属于节能、环境标志产品的、不填报的，在评标时不予加分；</w:t>
      </w:r>
    </w:p>
    <w:p>
      <w:pPr>
        <w:pStyle w:val="7"/>
        <w:keepNext w:val="0"/>
        <w:keepLines w:val="0"/>
        <w:pageBreakBefore w:val="0"/>
        <w:widowControl w:val="0"/>
        <w:kinsoku/>
        <w:wordWrap/>
        <w:overflowPunct/>
        <w:topLinePunct w:val="0"/>
        <w:autoSpaceDE/>
        <w:autoSpaceDN/>
        <w:bidi w:val="0"/>
        <w:spacing w:line="240" w:lineRule="auto"/>
        <w:ind w:left="0" w:leftChars="0" w:firstLine="42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5.</w:t>
      </w:r>
      <w:r>
        <w:rPr>
          <w:rFonts w:hint="eastAsia" w:ascii="微软雅黑" w:hAnsi="微软雅黑" w:eastAsia="微软雅黑" w:cs="微软雅黑"/>
          <w:color w:val="auto"/>
          <w:highlight w:val="none"/>
        </w:rPr>
        <w:t>所属行业按招标文件明确的行业填报；类型指小型、微型、中型、大型企业；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highlight w:val="none"/>
        </w:rPr>
        <w:t>6.投标人提供了《中小企业声明函》的，服务商所属行业和类型与其不一致的，以《中小企业声明函》为准。</w:t>
      </w:r>
    </w:p>
    <w:p>
      <w:pPr>
        <w:spacing w:line="600" w:lineRule="auto"/>
        <w:ind w:left="840" w:firstLine="4238" w:firstLineChars="1766"/>
        <w:jc w:val="left"/>
        <w:rPr>
          <w:rFonts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pacing w:val="14"/>
          <w:kern w:val="0"/>
          <w:sz w:val="24"/>
          <w:szCs w:val="24"/>
          <w:u w:val="single"/>
        </w:rPr>
        <w:t>(</w:t>
      </w:r>
      <w:r>
        <w:rPr>
          <w:rFonts w:hint="eastAsia" w:ascii="宋体" w:hAnsi="宋体"/>
          <w:kern w:val="0"/>
          <w:sz w:val="24"/>
          <w:szCs w:val="24"/>
          <w:u w:val="single"/>
        </w:rPr>
        <w:t>盖公章)</w:t>
      </w:r>
      <w:r>
        <w:rPr>
          <w:rFonts w:hint="eastAsia" w:ascii="宋体" w:hAnsi="宋体" w:cs="宋体"/>
          <w:sz w:val="24"/>
          <w:szCs w:val="24"/>
          <w:u w:val="single"/>
        </w:rPr>
        <w:t xml:space="preserve"> </w:t>
      </w:r>
    </w:p>
    <w:p>
      <w:pPr>
        <w:spacing w:line="600" w:lineRule="auto"/>
        <w:ind w:firstLine="2985" w:firstLineChars="1244"/>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wordWrap w:val="0"/>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none"/>
          <w:lang w:eastAsia="zh-CN"/>
        </w:rPr>
        <w:t>日</w:t>
      </w:r>
    </w:p>
    <w:p>
      <w:pPr>
        <w:pStyle w:val="33"/>
        <w:jc w:val="center"/>
        <w:rPr>
          <w:rFonts w:hint="eastAsia" w:ascii="宋体" w:hAnsi="宋体"/>
          <w:b/>
          <w:sz w:val="28"/>
          <w:szCs w:val="28"/>
          <w:lang w:eastAsia="zh-CN"/>
        </w:rPr>
      </w:pPr>
    </w:p>
    <w:p>
      <w:pPr>
        <w:pStyle w:val="33"/>
        <w:jc w:val="center"/>
        <w:rPr>
          <w:rFonts w:hint="default" w:ascii="宋体" w:hAnsi="宋体"/>
          <w:b/>
          <w:sz w:val="28"/>
          <w:szCs w:val="28"/>
          <w:lang w:val="en-US" w:eastAsia="zh-CN"/>
        </w:rPr>
      </w:pPr>
    </w:p>
    <w:p>
      <w:pPr>
        <w:jc w:val="center"/>
        <w:rPr>
          <w:rFonts w:hint="eastAsia" w:ascii="微软雅黑" w:hAnsi="微软雅黑" w:eastAsia="微软雅黑" w:cs="微软雅黑"/>
          <w:b/>
          <w:bCs/>
          <w:sz w:val="32"/>
          <w:szCs w:val="32"/>
          <w:highlight w:val="none"/>
          <w:lang w:val="en-US" w:eastAsia="zh-CN"/>
        </w:rPr>
      </w:pPr>
      <w:bookmarkStart w:id="41" w:name="_Toc601"/>
      <w:r>
        <w:rPr>
          <w:rFonts w:hint="eastAsia" w:ascii="宋体" w:hAnsi="宋体" w:eastAsia="宋体" w:cs="宋体"/>
          <w:b/>
          <w:sz w:val="28"/>
          <w:szCs w:val="28"/>
          <w:lang w:val="en-US" w:eastAsia="zh-CN"/>
        </w:rPr>
        <w:t>四、</w:t>
      </w:r>
      <w:bookmarkEnd w:id="41"/>
      <w:r>
        <w:rPr>
          <w:rFonts w:hint="eastAsia" w:ascii="宋体" w:hAnsi="宋体" w:cs="宋体"/>
          <w:b/>
          <w:sz w:val="28"/>
          <w:szCs w:val="28"/>
          <w:lang w:val="en-US" w:eastAsia="zh-CN"/>
        </w:rPr>
        <w:t>技术、</w:t>
      </w:r>
      <w:r>
        <w:rPr>
          <w:rFonts w:hint="eastAsia" w:ascii="宋体" w:hAnsi="宋体" w:eastAsia="宋体" w:cs="宋体"/>
          <w:b/>
          <w:sz w:val="28"/>
          <w:szCs w:val="28"/>
          <w:lang w:val="en-US" w:eastAsia="zh-CN"/>
        </w:rPr>
        <w:t>商务及服务要求偏离表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3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TYRZ-2024-ZZ059-3</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88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54"/>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招标文件技术、商务及服务要求条款</w:t>
            </w:r>
          </w:p>
        </w:tc>
        <w:tc>
          <w:tcPr>
            <w:tcW w:w="2880"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投标技术、商务及服务要求响应条款</w:t>
            </w:r>
          </w:p>
        </w:tc>
        <w:tc>
          <w:tcPr>
            <w:tcW w:w="1980" w:type="dxa"/>
            <w:tcBorders>
              <w:left w:val="single" w:color="000000" w:sz="4" w:space="0"/>
              <w:bottom w:val="single" w:color="000000" w:sz="4" w:space="0"/>
            </w:tcBorders>
          </w:tcPr>
          <w:p>
            <w:pPr>
              <w:pStyle w:val="54"/>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tcBorders>
          </w:tcPr>
          <w:p>
            <w:pPr>
              <w:pStyle w:val="54"/>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技术、商务及服务要求</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pStyle w:val="24"/>
        <w:jc w:val="right"/>
        <w:rPr>
          <w:rFonts w:hint="eastAsia" w:ascii="宋体" w:hAnsi="宋体" w:eastAsia="宋体" w:cs="宋体"/>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jc w:val="center"/>
        <w:rPr>
          <w:rFonts w:hint="eastAsia" w:ascii="微软雅黑" w:hAnsi="微软雅黑" w:eastAsia="微软雅黑" w:cs="微软雅黑"/>
          <w:b/>
          <w:bCs/>
          <w:sz w:val="32"/>
          <w:szCs w:val="32"/>
          <w:highlight w:val="none"/>
          <w:lang w:val="en-US" w:eastAsia="zh-CN"/>
        </w:rPr>
      </w:pPr>
      <w:r>
        <w:rPr>
          <w:rFonts w:hint="eastAsia" w:ascii="宋体" w:hAnsi="宋体" w:eastAsia="宋体" w:cs="宋体"/>
          <w:b/>
          <w:sz w:val="28"/>
          <w:szCs w:val="28"/>
          <w:lang w:val="en-US" w:eastAsia="zh-CN"/>
        </w:rPr>
        <w:t>五、合同条款偏离表</w:t>
      </w:r>
    </w:p>
    <w:p>
      <w:pPr>
        <w:rPr>
          <w:rFonts w:hint="eastAsia" w:eastAsia="宋体"/>
          <w:sz w:val="24"/>
          <w:lang w:eastAsia="zh-CN"/>
        </w:rPr>
      </w:pPr>
      <w:r>
        <w:rPr>
          <w:rFonts w:hint="eastAsia"/>
          <w:sz w:val="24"/>
        </w:rPr>
        <w:t>项目名称：</w:t>
      </w:r>
      <w:r>
        <w:rPr>
          <w:rFonts w:hint="eastAsia" w:hAnsi="宋体"/>
          <w:sz w:val="24"/>
          <w:lang w:eastAsia="zh-CN"/>
        </w:rPr>
        <w:t>2024年周至县道路清扫保洁、垃圾清运、绿化养护、公厕管理市场化运作项目（</w:t>
      </w:r>
      <w:r>
        <w:rPr>
          <w:rFonts w:hint="eastAsia" w:hAnsi="宋体"/>
          <w:sz w:val="24"/>
          <w:szCs w:val="24"/>
          <w:u w:val="single"/>
          <w:lang w:eastAsia="zh-CN"/>
        </w:rPr>
        <w:t>合同包</w:t>
      </w:r>
      <w:r>
        <w:rPr>
          <w:rFonts w:hint="eastAsia" w:hAnsi="宋体"/>
          <w:sz w:val="24"/>
          <w:szCs w:val="24"/>
          <w:u w:val="single"/>
          <w:lang w:val="en-US" w:eastAsia="zh-CN"/>
        </w:rPr>
        <w:t xml:space="preserve"> 3 </w:t>
      </w:r>
      <w:r>
        <w:rPr>
          <w:rFonts w:hint="eastAsia" w:hAnsi="宋体"/>
          <w:sz w:val="24"/>
          <w:lang w:eastAsia="zh-CN"/>
        </w:rPr>
        <w:t>）</w:t>
      </w:r>
    </w:p>
    <w:p>
      <w:pPr>
        <w:pStyle w:val="7"/>
        <w:spacing w:after="156" w:afterLines="50"/>
        <w:ind w:left="0" w:leftChars="0" w:firstLine="0" w:firstLineChars="0"/>
        <w:rPr>
          <w:rFonts w:hint="default" w:ascii="微软雅黑" w:hAnsi="微软雅黑" w:eastAsia="微软雅黑" w:cs="微软雅黑"/>
          <w:highlight w:val="none"/>
          <w:lang w:val="en-US" w:eastAsia="zh-CN"/>
        </w:rPr>
      </w:pPr>
      <w:r>
        <w:rPr>
          <w:rFonts w:hint="eastAsia" w:ascii="Times New Roman" w:hAnsi="宋体" w:eastAsia="宋体" w:cs="Times New Roman"/>
          <w:kern w:val="2"/>
          <w:sz w:val="24"/>
          <w:szCs w:val="22"/>
          <w:lang w:val="en-US" w:eastAsia="zh-CN" w:bidi="ar-SA"/>
        </w:rPr>
        <w:t>项目编号：</w:t>
      </w:r>
      <w:r>
        <w:rPr>
          <w:rFonts w:hint="eastAsia" w:ascii="Times New Roman" w:hAnsi="宋体" w:eastAsia="宋体" w:cs="Times New Roman"/>
          <w:kern w:val="2"/>
          <w:sz w:val="24"/>
          <w:szCs w:val="22"/>
          <w:u w:val="single"/>
          <w:lang w:val="en-US" w:eastAsia="zh-CN" w:bidi="ar-SA"/>
        </w:rPr>
        <w:t>TYRZ-2024-ZZ059-3</w:t>
      </w:r>
      <w:r>
        <w:rPr>
          <w:rFonts w:hint="eastAsia" w:ascii="微软雅黑" w:hAnsi="微软雅黑" w:eastAsia="微软雅黑" w:cs="微软雅黑"/>
          <w:highlight w:val="none"/>
          <w:lang w:val="en-US" w:eastAsia="zh-CN"/>
        </w:rPr>
        <w:t xml:space="preserve">          </w:t>
      </w:r>
    </w:p>
    <w:tbl>
      <w:tblPr>
        <w:tblStyle w:val="25"/>
        <w:tblpPr w:leftFromText="180" w:rightFromText="180" w:vertAnchor="text" w:horzAnchor="page" w:tblpX="1852" w:tblpY="196"/>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2952"/>
        <w:gridCol w:w="2880"/>
        <w:gridCol w:w="19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08" w:type="dxa"/>
            <w:tcBorders>
              <w:bottom w:val="single" w:color="000000" w:sz="4" w:space="0"/>
              <w:right w:val="single" w:color="000000" w:sz="4" w:space="0"/>
            </w:tcBorders>
          </w:tcPr>
          <w:p>
            <w:pPr>
              <w:pStyle w:val="54"/>
              <w:spacing w:before="117"/>
              <w:ind w:left="292"/>
              <w:jc w:val="left"/>
              <w:rPr>
                <w:rFonts w:hint="eastAsia" w:ascii="宋体" w:eastAsia="宋体"/>
                <w:sz w:val="21"/>
              </w:rPr>
            </w:pPr>
            <w:r>
              <w:rPr>
                <w:rFonts w:hint="eastAsia" w:ascii="宋体" w:eastAsia="宋体"/>
                <w:sz w:val="21"/>
              </w:rPr>
              <w:t>序号</w:t>
            </w:r>
          </w:p>
        </w:tc>
        <w:tc>
          <w:tcPr>
            <w:tcW w:w="2952"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招标合同条款要求</w:t>
            </w:r>
          </w:p>
        </w:tc>
        <w:tc>
          <w:tcPr>
            <w:tcW w:w="2880" w:type="dxa"/>
            <w:tcBorders>
              <w:left w:val="single" w:color="000000" w:sz="4" w:space="0"/>
              <w:bottom w:val="single" w:color="000000" w:sz="4" w:space="0"/>
              <w:right w:val="single" w:color="000000" w:sz="4" w:space="0"/>
            </w:tcBorders>
          </w:tcPr>
          <w:p>
            <w:pPr>
              <w:pStyle w:val="54"/>
              <w:spacing w:before="117"/>
              <w:jc w:val="center"/>
              <w:rPr>
                <w:rFonts w:hint="eastAsia" w:ascii="宋体" w:eastAsia="宋体"/>
                <w:sz w:val="21"/>
              </w:rPr>
            </w:pPr>
            <w:r>
              <w:rPr>
                <w:rFonts w:hint="eastAsia" w:ascii="宋体" w:eastAsia="宋体"/>
                <w:sz w:val="21"/>
              </w:rPr>
              <w:t>投标合同响应条款</w:t>
            </w:r>
          </w:p>
        </w:tc>
        <w:tc>
          <w:tcPr>
            <w:tcW w:w="1980" w:type="dxa"/>
            <w:tcBorders>
              <w:left w:val="single" w:color="000000" w:sz="4" w:space="0"/>
              <w:bottom w:val="single" w:color="000000" w:sz="4" w:space="0"/>
            </w:tcBorders>
          </w:tcPr>
          <w:p>
            <w:pPr>
              <w:pStyle w:val="54"/>
              <w:spacing w:before="117"/>
              <w:ind w:left="578"/>
              <w:jc w:val="left"/>
              <w:rPr>
                <w:rFonts w:hint="eastAsia" w:ascii="宋体" w:eastAsia="宋体"/>
                <w:sz w:val="21"/>
              </w:rPr>
            </w:pPr>
            <w:r>
              <w:rPr>
                <w:rFonts w:hint="eastAsia" w:ascii="宋体" w:eastAsia="宋体"/>
                <w:sz w:val="21"/>
              </w:rPr>
              <w:t>响应情况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trPr>
        <w:tc>
          <w:tcPr>
            <w:tcW w:w="1008" w:type="dxa"/>
            <w:tcBorders>
              <w:top w:val="single" w:color="000000" w:sz="4" w:space="0"/>
              <w:bottom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bottom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bottom w:val="single" w:color="000000" w:sz="4" w:space="0"/>
            </w:tcBorders>
          </w:tcPr>
          <w:p>
            <w:pPr>
              <w:pStyle w:val="54"/>
              <w:jc w:val="left"/>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008" w:type="dxa"/>
            <w:tcBorders>
              <w:top w:val="single" w:color="000000" w:sz="4" w:space="0"/>
              <w:right w:val="single" w:color="000000" w:sz="4" w:space="0"/>
            </w:tcBorders>
          </w:tcPr>
          <w:p>
            <w:pPr>
              <w:pStyle w:val="54"/>
              <w:jc w:val="left"/>
              <w:rPr>
                <w:rFonts w:ascii="Times New Roman"/>
                <w:sz w:val="20"/>
              </w:rPr>
            </w:pPr>
          </w:p>
        </w:tc>
        <w:tc>
          <w:tcPr>
            <w:tcW w:w="2952"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2880" w:type="dxa"/>
            <w:tcBorders>
              <w:top w:val="single" w:color="000000" w:sz="4" w:space="0"/>
              <w:left w:val="single" w:color="000000" w:sz="4" w:space="0"/>
              <w:right w:val="single" w:color="000000" w:sz="4" w:space="0"/>
            </w:tcBorders>
          </w:tcPr>
          <w:p>
            <w:pPr>
              <w:pStyle w:val="54"/>
              <w:jc w:val="left"/>
              <w:rPr>
                <w:rFonts w:ascii="Times New Roman"/>
                <w:sz w:val="20"/>
              </w:rPr>
            </w:pPr>
          </w:p>
        </w:tc>
        <w:tc>
          <w:tcPr>
            <w:tcW w:w="1980" w:type="dxa"/>
            <w:tcBorders>
              <w:top w:val="single" w:color="000000" w:sz="4" w:space="0"/>
              <w:left w:val="single" w:color="000000" w:sz="4" w:space="0"/>
            </w:tcBorders>
          </w:tcPr>
          <w:p>
            <w:pPr>
              <w:pStyle w:val="54"/>
              <w:jc w:val="left"/>
              <w:rPr>
                <w:rFonts w:ascii="Times New Roman"/>
                <w:sz w:val="2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说明：1.本表只填写投标文件中与招标文件有偏离（包括正偏离和负偏离）的内容，投标文件中</w:t>
      </w:r>
      <w:r>
        <w:rPr>
          <w:rFonts w:hint="eastAsia" w:ascii="宋体" w:eastAsia="宋体"/>
          <w:sz w:val="21"/>
        </w:rPr>
        <w:t>合同条款</w:t>
      </w:r>
      <w:r>
        <w:rPr>
          <w:rFonts w:hint="eastAsia" w:ascii="宋体" w:hAnsi="宋体" w:eastAsia="宋体" w:cs="宋体"/>
          <w:szCs w:val="21"/>
          <w:highlight w:val="none"/>
        </w:rPr>
        <w:t>响应与招标文件要求完全一致的，不用在此表中列出，但必须提交空白表。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必须据实填写，不得虚假响应，否则将取消其投标或中标资格，并按有关规定进处罚。</w:t>
      </w:r>
    </w:p>
    <w:p>
      <w:pPr>
        <w:spacing w:line="600" w:lineRule="auto"/>
        <w:ind w:left="840" w:firstLine="4238" w:firstLineChars="1766"/>
        <w:jc w:val="left"/>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4"/>
          <w:kern w:val="0"/>
          <w:sz w:val="24"/>
          <w:szCs w:val="24"/>
          <w:u w:val="single"/>
        </w:rPr>
        <w:t>(</w:t>
      </w:r>
      <w:r>
        <w:rPr>
          <w:rFonts w:hint="eastAsia" w:ascii="宋体" w:hAnsi="宋体" w:eastAsia="宋体" w:cs="宋体"/>
          <w:kern w:val="0"/>
          <w:sz w:val="24"/>
          <w:szCs w:val="24"/>
          <w:u w:val="single"/>
        </w:rPr>
        <w:t>盖公章)</w:t>
      </w:r>
      <w:r>
        <w:rPr>
          <w:rFonts w:hint="eastAsia" w:ascii="宋体" w:hAnsi="宋体" w:eastAsia="宋体" w:cs="宋体"/>
          <w:sz w:val="24"/>
          <w:szCs w:val="24"/>
          <w:u w:val="single"/>
        </w:rPr>
        <w:t xml:space="preserve"> </w:t>
      </w:r>
    </w:p>
    <w:p>
      <w:pPr>
        <w:spacing w:line="600" w:lineRule="auto"/>
        <w:ind w:firstLine="2985" w:firstLineChars="1244"/>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r>
        <w:rPr>
          <w:rFonts w:hint="eastAsia" w:ascii="宋体" w:hAnsi="宋体" w:eastAsia="宋体" w:cs="宋体"/>
          <w:sz w:val="24"/>
          <w:szCs w:val="24"/>
          <w:u w:val="single"/>
        </w:rPr>
        <w:t xml:space="preserve">              </w:t>
      </w:r>
    </w:p>
    <w:p>
      <w:pPr>
        <w:jc w:val="right"/>
        <w:rPr>
          <w:rFonts w:hint="eastAsia" w:ascii="宋体" w:hAnsi="宋体"/>
          <w:b/>
          <w:sz w:val="28"/>
          <w:szCs w:val="28"/>
          <w:lang w:eastAsia="zh-CN"/>
        </w:r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u w:val="none"/>
          <w:lang w:eastAsia="zh-CN"/>
        </w:rPr>
        <w:t>日</w:t>
      </w:r>
    </w:p>
    <w:p>
      <w:pPr>
        <w:rPr>
          <w:rFonts w:hint="eastAsia" w:ascii="宋体" w:hAnsi="宋体"/>
          <w:b/>
          <w:sz w:val="28"/>
          <w:szCs w:val="28"/>
          <w:lang w:eastAsia="zh-CN"/>
        </w:rPr>
      </w:pPr>
      <w:r>
        <w:rPr>
          <w:rFonts w:hint="eastAsia" w:ascii="宋体" w:hAnsi="宋体"/>
          <w:b/>
          <w:sz w:val="28"/>
          <w:szCs w:val="28"/>
          <w:lang w:eastAsia="zh-CN"/>
        </w:rPr>
        <w:br w:type="page"/>
      </w:r>
    </w:p>
    <w:p>
      <w:pPr>
        <w:pStyle w:val="33"/>
        <w:jc w:val="center"/>
        <w:rPr>
          <w:rFonts w:hint="eastAsia" w:ascii="宋体" w:hAnsi="宋体"/>
          <w:b/>
          <w:sz w:val="28"/>
          <w:szCs w:val="28"/>
          <w:lang w:eastAsia="zh-CN"/>
        </w:rPr>
      </w:pPr>
      <w:r>
        <w:rPr>
          <w:rFonts w:hint="eastAsia" w:ascii="宋体" w:hAnsi="宋体"/>
          <w:b/>
          <w:sz w:val="28"/>
          <w:szCs w:val="28"/>
          <w:lang w:eastAsia="zh-CN"/>
        </w:rPr>
        <w:t>六、资格证明文件</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1）有效的主体资格证明：在中华人民共和国境内注册，并有效存续的营业执照/事业单位法人证书/非企业专业服务机构执业许可证/民办非企业单位登记证书、税务登记证、组织机构代码证，或“三证合一”后的注册登记证。</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（2）财务状况报告：</w:t>
      </w:r>
      <w:r>
        <w:rPr>
          <w:rFonts w:hint="eastAsia" w:ascii="宋体" w:hAnsi="宋体" w:cs="宋体"/>
          <w:spacing w:val="4"/>
          <w:kern w:val="0"/>
          <w:sz w:val="24"/>
          <w:szCs w:val="24"/>
          <w:lang w:val="en-US" w:eastAsia="zh-CN" w:bidi="ar-SA"/>
        </w:rPr>
        <w:t>提供2021年度或2022年度经审计的财务审计报告</w:t>
      </w:r>
      <w:r>
        <w:rPr>
          <w:rFonts w:hint="eastAsia" w:ascii="宋体" w:hAnsi="宋体" w:eastAsia="宋体" w:cs="宋体"/>
          <w:spacing w:val="4"/>
          <w:kern w:val="0"/>
          <w:sz w:val="24"/>
          <w:szCs w:val="24"/>
          <w:lang w:val="en-US" w:eastAsia="zh-CN" w:bidi="ar-SA"/>
        </w:rPr>
        <w:t>，或其开标前三个月内基本存款账户开户银行出具的资信证明，或信用担保机构出具的投标担保函。</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（3）社保缴纳证明：提供已缴存的</w:t>
      </w:r>
      <w:r>
        <w:rPr>
          <w:rFonts w:hint="eastAsia" w:ascii="宋体" w:hAnsi="宋体" w:cs="宋体"/>
          <w:spacing w:val="4"/>
          <w:kern w:val="0"/>
          <w:sz w:val="24"/>
          <w:szCs w:val="24"/>
          <w:lang w:val="en-US" w:eastAsia="zh-CN" w:bidi="ar-SA"/>
        </w:rPr>
        <w:t>2023年1月1日</w:t>
      </w:r>
      <w:r>
        <w:rPr>
          <w:rFonts w:hint="eastAsia" w:ascii="宋体" w:hAnsi="宋体" w:eastAsia="宋体" w:cs="宋体"/>
          <w:spacing w:val="4"/>
          <w:kern w:val="0"/>
          <w:sz w:val="24"/>
          <w:szCs w:val="24"/>
          <w:lang w:val="en-US" w:eastAsia="zh-CN" w:bidi="ar-SA"/>
        </w:rPr>
        <w:t>以来至少一个月的社会保障资金缴存单据或社保机构开具的社会保险参保缴费情况证明。依法不需要缴纳社会保障资金的投标人应提供相关文件证明。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（4）税收缴纳证明：</w:t>
      </w:r>
      <w:r>
        <w:rPr>
          <w:rFonts w:hint="eastAsia" w:ascii="宋体" w:hAnsi="宋体" w:cs="宋体"/>
          <w:spacing w:val="4"/>
          <w:kern w:val="0"/>
          <w:sz w:val="24"/>
          <w:szCs w:val="24"/>
          <w:lang w:val="en-US" w:eastAsia="zh-CN" w:bidi="ar-SA"/>
        </w:rPr>
        <w:t>提供已缴纳的2023年1月1日以来至少一个月的纳税证明或完税证明</w:t>
      </w:r>
      <w:r>
        <w:rPr>
          <w:rFonts w:hint="eastAsia" w:ascii="宋体" w:hAnsi="宋体" w:eastAsia="宋体" w:cs="宋体"/>
          <w:spacing w:val="4"/>
          <w:kern w:val="0"/>
          <w:sz w:val="24"/>
          <w:szCs w:val="24"/>
          <w:lang w:val="en-US" w:eastAsia="zh-CN" w:bidi="ar-SA"/>
        </w:rPr>
        <w:t>，纳税证明或完税证明上应有代收机构或税务机关的公章或业务专用章。依法免税的投标人应提供相关文件证明。</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（5）无重大违法记录声明</w:t>
      </w:r>
      <w:r>
        <w:rPr>
          <w:rFonts w:hint="eastAsia" w:ascii="宋体" w:hAnsi="宋体" w:cs="宋体"/>
          <w:spacing w:val="4"/>
          <w:kern w:val="0"/>
          <w:sz w:val="24"/>
          <w:szCs w:val="24"/>
          <w:lang w:val="en-US" w:eastAsia="zh-CN" w:bidi="ar-SA"/>
        </w:rPr>
        <w:t>：参加本次政府采购活动前3年内在经营活动中没有重大违法记录，投标人不得被列入中国执行信息公开网（http://zxgk.court.gov.cn）失信被执行人、信用中国（www.creditchina.gov.cn）重大税收违法失信主体、在中国政府采购网（www.ccgp.gov.cn）没有严重违法失信行为记录名单、以查询结果为准，提供网站截图</w:t>
      </w:r>
      <w:r>
        <w:rPr>
          <w:rFonts w:hint="eastAsia" w:ascii="宋体" w:hAnsi="宋体" w:eastAsia="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6</w:t>
      </w:r>
      <w:r>
        <w:rPr>
          <w:rFonts w:hint="eastAsia" w:ascii="宋体" w:hAnsi="宋体" w:eastAsia="宋体" w:cs="宋体"/>
          <w:spacing w:val="4"/>
          <w:kern w:val="0"/>
          <w:sz w:val="24"/>
          <w:szCs w:val="24"/>
          <w:lang w:val="en-US" w:eastAsia="zh-CN" w:bidi="ar-SA"/>
        </w:rPr>
        <w:t>）书面声明：提供书面声明，包括声明具有履行合同所必需的设备和专业技术能力</w:t>
      </w:r>
      <w:r>
        <w:rPr>
          <w:rFonts w:hint="eastAsia" w:ascii="宋体" w:hAnsi="宋体" w:cs="宋体"/>
          <w:spacing w:val="4"/>
          <w:kern w:val="0"/>
          <w:sz w:val="24"/>
          <w:szCs w:val="24"/>
          <w:lang w:val="en-US" w:eastAsia="zh-CN" w:bidi="ar-SA"/>
        </w:rPr>
        <w:t>。</w:t>
      </w:r>
    </w:p>
    <w:p>
      <w:pPr>
        <w:pStyle w:val="21"/>
        <w:widowControl/>
        <w:wordWrap w:val="0"/>
        <w:spacing w:before="0" w:beforeAutospacing="0" w:after="0" w:afterAutospacing="0" w:line="360" w:lineRule="auto"/>
        <w:jc w:val="both"/>
        <w:textAlignment w:val="baseline"/>
        <w:rPr>
          <w:rFonts w:hint="eastAsia" w:ascii="宋体" w:hAnsi="宋体" w:cs="宋体"/>
          <w:color w:val="333333"/>
          <w:szCs w:val="24"/>
          <w:shd w:val="clear" w:color="auto" w:fill="FFFFFF"/>
        </w:rPr>
      </w:pPr>
      <w:r>
        <w:rPr>
          <w:rFonts w:hint="eastAsia" w:cs="宋体"/>
          <w:color w:val="333333"/>
          <w:szCs w:val="24"/>
          <w:shd w:val="clear" w:color="auto" w:fill="FFFFFF"/>
          <w:lang w:val="en-US" w:eastAsia="zh-CN"/>
        </w:rPr>
        <w:t>2</w:t>
      </w:r>
      <w:r>
        <w:rPr>
          <w:rFonts w:hint="eastAsia" w:cs="宋体"/>
          <w:color w:val="333333"/>
          <w:szCs w:val="24"/>
          <w:shd w:val="clear" w:color="auto" w:fill="FFFFFF"/>
          <w:lang w:eastAsia="zh-CN"/>
        </w:rPr>
        <w:t>、</w:t>
      </w:r>
      <w:r>
        <w:rPr>
          <w:rFonts w:hint="eastAsia" w:ascii="宋体" w:hAnsi="宋体" w:cs="宋体"/>
          <w:color w:val="333333"/>
          <w:szCs w:val="24"/>
          <w:shd w:val="clear" w:color="auto" w:fill="FFFFFF"/>
        </w:rPr>
        <w:t>本项目的特定资格要求</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1</w:t>
      </w:r>
      <w:r>
        <w:rPr>
          <w:rFonts w:hint="eastAsia" w:ascii="宋体" w:hAnsi="宋体" w:eastAsia="宋体" w:cs="宋体"/>
          <w:spacing w:val="4"/>
          <w:kern w:val="0"/>
          <w:sz w:val="24"/>
          <w:szCs w:val="24"/>
          <w:lang w:val="en-US" w:eastAsia="zh-CN" w:bidi="ar-SA"/>
        </w:rPr>
        <w:t>）与投标人不存在利害关系</w:t>
      </w:r>
      <w:r>
        <w:rPr>
          <w:rFonts w:hint="eastAsia" w:ascii="宋体" w:hAnsi="宋体" w:cs="宋体"/>
          <w:spacing w:val="4"/>
          <w:kern w:val="0"/>
          <w:sz w:val="24"/>
          <w:szCs w:val="24"/>
          <w:lang w:val="en-US" w:eastAsia="zh-CN" w:bidi="ar-SA"/>
        </w:rPr>
        <w:t>：与招标人存在利害关系可能影响公开招标公正性的单位不得参加本项目投标；</w:t>
      </w:r>
    </w:p>
    <w:p>
      <w:pPr>
        <w:pStyle w:val="21"/>
        <w:widowControl/>
        <w:wordWrap w:val="0"/>
        <w:spacing w:before="0" w:beforeAutospacing="0" w:after="0" w:afterAutospacing="0" w:line="360" w:lineRule="auto"/>
        <w:jc w:val="both"/>
        <w:textAlignment w:val="baseline"/>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w:t>
      </w:r>
      <w:r>
        <w:rPr>
          <w:rFonts w:hint="eastAsia" w:ascii="宋体" w:hAnsi="宋体" w:cs="宋体"/>
          <w:spacing w:val="4"/>
          <w:kern w:val="0"/>
          <w:sz w:val="24"/>
          <w:szCs w:val="24"/>
          <w:lang w:val="en-US" w:eastAsia="zh-CN" w:bidi="ar-SA"/>
        </w:rPr>
        <w:t>2</w:t>
      </w:r>
      <w:r>
        <w:rPr>
          <w:rFonts w:hint="eastAsia" w:ascii="宋体" w:hAnsi="宋体" w:eastAsia="宋体" w:cs="宋体"/>
          <w:spacing w:val="4"/>
          <w:kern w:val="0"/>
          <w:sz w:val="24"/>
          <w:szCs w:val="24"/>
          <w:lang w:val="en-US" w:eastAsia="zh-CN" w:bidi="ar-SA"/>
        </w:rPr>
        <w:t>）投标人合法身份</w:t>
      </w:r>
      <w:r>
        <w:rPr>
          <w:rFonts w:hint="eastAsia" w:ascii="宋体" w:hAnsi="宋体" w:cs="宋体"/>
          <w:spacing w:val="4"/>
          <w:kern w:val="0"/>
          <w:sz w:val="24"/>
          <w:szCs w:val="24"/>
          <w:lang w:val="en-US" w:eastAsia="zh-CN" w:bidi="ar-SA"/>
        </w:rPr>
        <w:t>：</w:t>
      </w:r>
      <w:r>
        <w:rPr>
          <w:rFonts w:hint="eastAsia" w:ascii="宋体" w:hAnsi="宋体" w:eastAsia="宋体" w:cs="宋体"/>
          <w:spacing w:val="4"/>
          <w:kern w:val="0"/>
          <w:sz w:val="24"/>
          <w:szCs w:val="24"/>
          <w:lang w:val="en-US" w:eastAsia="zh-CN" w:bidi="ar-SA"/>
        </w:rPr>
        <w:t>法定代表人授权委托书：法定代表人参加投标的，须提供本人身份证复印件（附在资格证明文件中）；法定代表人授权他人参加投标的，须提供法定代表人授权委托书</w:t>
      </w:r>
      <w:r>
        <w:rPr>
          <w:rFonts w:hint="eastAsia" w:ascii="宋体" w:hAnsi="宋体" w:cs="宋体"/>
          <w:spacing w:val="4"/>
          <w:kern w:val="0"/>
          <w:sz w:val="24"/>
          <w:szCs w:val="24"/>
          <w:lang w:val="en-US" w:eastAsia="zh-CN" w:bidi="ar-SA"/>
        </w:rPr>
        <w:t>；</w:t>
      </w:r>
    </w:p>
    <w:p>
      <w:pPr>
        <w:rPr>
          <w:rFonts w:hint="eastAsia" w:ascii="宋体" w:hAnsi="宋体"/>
          <w:b/>
          <w:sz w:val="28"/>
          <w:szCs w:val="28"/>
          <w:lang w:eastAsia="zh-CN"/>
        </w:rPr>
      </w:pPr>
      <w:r>
        <w:rPr>
          <w:rFonts w:hint="eastAsia" w:ascii="宋体" w:hAnsi="宋体" w:eastAsia="宋体" w:cs="宋体"/>
          <w:spacing w:val="4"/>
          <w:kern w:val="0"/>
          <w:sz w:val="24"/>
          <w:szCs w:val="24"/>
          <w:lang w:val="en-US" w:eastAsia="zh-CN" w:bidi="ar-SA"/>
        </w:rPr>
        <w:t>（</w:t>
      </w:r>
      <w:r>
        <w:rPr>
          <w:rFonts w:hint="eastAsia" w:cs="宋体"/>
          <w:spacing w:val="4"/>
          <w:kern w:val="0"/>
          <w:sz w:val="24"/>
          <w:szCs w:val="24"/>
          <w:lang w:val="en-US" w:eastAsia="zh-CN" w:bidi="ar-SA"/>
        </w:rPr>
        <w:t>3</w:t>
      </w:r>
      <w:r>
        <w:rPr>
          <w:rFonts w:hint="eastAsia" w:ascii="宋体" w:hAnsi="宋体" w:eastAsia="宋体" w:cs="宋体"/>
          <w:spacing w:val="4"/>
          <w:kern w:val="0"/>
          <w:sz w:val="24"/>
          <w:szCs w:val="24"/>
          <w:lang w:val="en-US" w:eastAsia="zh-CN" w:bidi="ar-SA"/>
        </w:rPr>
        <w:t>）本项目不接受联合体</w:t>
      </w:r>
      <w:r>
        <w:rPr>
          <w:rFonts w:hint="eastAsia" w:cs="宋体"/>
          <w:spacing w:val="4"/>
          <w:kern w:val="0"/>
          <w:sz w:val="24"/>
          <w:szCs w:val="24"/>
          <w:lang w:val="en-US" w:eastAsia="zh-CN" w:bidi="ar-SA"/>
        </w:rPr>
        <w:t>。</w:t>
      </w:r>
      <w:r>
        <w:rPr>
          <w:rFonts w:hint="eastAsia" w:ascii="宋体" w:hAnsi="宋体"/>
          <w:b/>
          <w:sz w:val="28"/>
          <w:szCs w:val="28"/>
          <w:lang w:eastAsia="zh-CN"/>
        </w:rPr>
        <w:br w:type="page"/>
      </w:r>
    </w:p>
    <w:p>
      <w:pPr>
        <w:spacing w:line="360" w:lineRule="auto"/>
        <w:jc w:val="both"/>
        <w:rPr>
          <w:rFonts w:ascii="宋体" w:hAnsi="宋体"/>
          <w:b/>
          <w:bCs/>
          <w:sz w:val="24"/>
          <w:szCs w:val="16"/>
        </w:rPr>
      </w:pPr>
      <w:r>
        <w:rPr>
          <w:rFonts w:hint="eastAsia" w:ascii="宋体" w:hAnsi="宋体"/>
          <w:b/>
          <w:bCs/>
          <w:sz w:val="24"/>
          <w:szCs w:val="16"/>
          <w:lang w:eastAsia="zh-CN"/>
        </w:rPr>
        <w:t>附件</w:t>
      </w:r>
      <w:r>
        <w:rPr>
          <w:rFonts w:hint="eastAsia" w:ascii="宋体" w:hAnsi="宋体"/>
          <w:b/>
          <w:bCs/>
          <w:sz w:val="24"/>
          <w:szCs w:val="16"/>
        </w:rPr>
        <w:t>一</w:t>
      </w:r>
      <w:r>
        <w:rPr>
          <w:rFonts w:hint="eastAsia" w:ascii="宋体" w:hAnsi="宋体"/>
          <w:b/>
          <w:bCs/>
          <w:sz w:val="24"/>
          <w:szCs w:val="16"/>
          <w:lang w:eastAsia="zh-CN"/>
        </w:rPr>
        <w:t>：</w:t>
      </w:r>
      <w:r>
        <w:rPr>
          <w:rFonts w:hint="eastAsia" w:ascii="宋体" w:hAnsi="宋体"/>
          <w:b/>
          <w:bCs/>
          <w:sz w:val="24"/>
          <w:szCs w:val="16"/>
        </w:rPr>
        <w:t>法定代表人证明书</w:t>
      </w:r>
    </w:p>
    <w:p>
      <w:pPr>
        <w:spacing w:line="500" w:lineRule="exact"/>
        <w:jc w:val="center"/>
        <w:rPr>
          <w:rFonts w:ascii="宋体" w:hAnsi="宋体"/>
          <w:sz w:val="24"/>
        </w:rPr>
      </w:pPr>
      <w:r>
        <w:rPr>
          <w:rFonts w:hint="eastAsia" w:ascii="宋体" w:hAnsi="宋体"/>
          <w:b/>
          <w:bCs/>
          <w:sz w:val="24"/>
          <w:szCs w:val="16"/>
        </w:rPr>
        <w:t>法定代表人证明书</w:t>
      </w:r>
    </w:p>
    <w:p>
      <w:pPr>
        <w:spacing w:line="50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经营期限：</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p>
    <w:p>
      <w:pPr>
        <w:spacing w:line="500" w:lineRule="exact"/>
        <w:ind w:firstLine="480" w:firstLineChars="200"/>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（投标人名称）的法定代表人。</w:t>
      </w:r>
    </w:p>
    <w:p>
      <w:pPr>
        <w:spacing w:line="500" w:lineRule="exact"/>
        <w:ind w:firstLine="480" w:firstLineChars="200"/>
        <w:rPr>
          <w:rFonts w:ascii="宋体" w:hAnsi="宋体"/>
          <w:sz w:val="24"/>
          <w:szCs w:val="24"/>
        </w:rPr>
      </w:pPr>
      <w:r>
        <w:rPr>
          <w:rFonts w:hint="eastAsia" w:ascii="宋体" w:hAnsi="宋体"/>
          <w:sz w:val="24"/>
          <w:szCs w:val="24"/>
        </w:rPr>
        <w:t>特此证明。</w:t>
      </w:r>
    </w:p>
    <w:p>
      <w:pPr>
        <w:spacing w:line="500" w:lineRule="exact"/>
        <w:rPr>
          <w:rFonts w:ascii="宋体" w:hAnsi="宋体"/>
          <w:sz w:val="24"/>
          <w:szCs w:val="24"/>
        </w:rPr>
      </w:pPr>
    </w:p>
    <w:p>
      <w:pPr>
        <w:spacing w:line="500" w:lineRule="exact"/>
        <w:rPr>
          <w:rFonts w:ascii="宋体" w:hAnsi="宋体"/>
          <w:sz w:val="24"/>
          <w:szCs w:val="24"/>
        </w:rPr>
      </w:pPr>
      <w:r>
        <w:rPr>
          <w:rFonts w:hAnsi="宋体"/>
          <w:sz w:val="24"/>
        </w:rPr>
        <w:t>附：法定代表人身份证复印件。（二代身份证正、反两面都需复印）</w:t>
      </w:r>
    </w:p>
    <w:p>
      <w:pPr>
        <w:spacing w:line="500" w:lineRule="exact"/>
        <w:jc w:val="right"/>
        <w:rPr>
          <w:rFonts w:ascii="宋体" w:hAnsi="宋体"/>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40"/>
        <w:spacing w:line="480" w:lineRule="exact"/>
        <w:ind w:firstLine="0" w:firstLineChars="0"/>
        <w:jc w:val="center"/>
        <w:rPr>
          <w:rFonts w:hint="eastAsia" w:ascii="宋体" w:hAnsi="宋体"/>
          <w:b/>
          <w:bCs/>
          <w:sz w:val="32"/>
          <w:szCs w:val="20"/>
        </w:rPr>
      </w:pPr>
    </w:p>
    <w:p>
      <w:pPr>
        <w:pStyle w:val="40"/>
        <w:spacing w:line="480" w:lineRule="exact"/>
        <w:ind w:firstLine="0" w:firstLineChars="0"/>
        <w:jc w:val="center"/>
        <w:rPr>
          <w:rFonts w:hint="eastAsia" w:ascii="宋体" w:hAnsi="宋体"/>
          <w:b/>
          <w:bCs/>
          <w:sz w:val="32"/>
          <w:szCs w:val="20"/>
        </w:rPr>
      </w:pPr>
    </w:p>
    <w:p>
      <w:pPr>
        <w:pStyle w:val="40"/>
        <w:spacing w:line="480" w:lineRule="exact"/>
        <w:ind w:firstLine="0" w:firstLineChars="0"/>
        <w:jc w:val="center"/>
        <w:rPr>
          <w:rFonts w:hint="eastAsia" w:ascii="宋体" w:hAnsi="宋体"/>
          <w:b/>
          <w:bCs/>
          <w:sz w:val="32"/>
          <w:szCs w:val="20"/>
        </w:rPr>
      </w:pPr>
    </w:p>
    <w:p>
      <w:pPr>
        <w:rPr>
          <w:rFonts w:hint="eastAsia" w:ascii="宋体" w:hAnsi="宋体" w:eastAsia="宋体"/>
          <w:b w:val="0"/>
          <w:bCs/>
          <w:sz w:val="24"/>
          <w:szCs w:val="24"/>
          <w:lang w:eastAsia="zh-CN"/>
        </w:rPr>
      </w:pPr>
    </w:p>
    <w:p>
      <w:pPr>
        <w:pStyle w:val="40"/>
        <w:spacing w:line="480" w:lineRule="exact"/>
        <w:ind w:firstLine="0" w:firstLineChars="0"/>
        <w:jc w:val="both"/>
        <w:rPr>
          <w:rFonts w:hint="eastAsia" w:ascii="宋体" w:hAnsi="宋体"/>
          <w:b/>
          <w:bCs/>
          <w:sz w:val="24"/>
          <w:szCs w:val="16"/>
        </w:rPr>
      </w:pPr>
      <w:r>
        <w:rPr>
          <w:rFonts w:hint="eastAsia" w:ascii="宋体" w:hAnsi="宋体"/>
          <w:b/>
          <w:bCs/>
          <w:sz w:val="32"/>
          <w:szCs w:val="20"/>
        </w:rPr>
        <w:br w:type="page"/>
      </w:r>
      <w:r>
        <w:rPr>
          <w:rFonts w:hint="eastAsia" w:ascii="宋体" w:hAnsi="宋体"/>
          <w:b/>
          <w:bCs/>
          <w:sz w:val="24"/>
          <w:szCs w:val="16"/>
          <w:lang w:eastAsia="zh-CN"/>
        </w:rPr>
        <w:t>附件</w:t>
      </w:r>
      <w:r>
        <w:rPr>
          <w:rFonts w:hint="eastAsia" w:ascii="宋体" w:hAnsi="宋体"/>
          <w:b/>
          <w:bCs/>
          <w:sz w:val="24"/>
          <w:szCs w:val="16"/>
        </w:rPr>
        <w:t>二</w:t>
      </w:r>
      <w:r>
        <w:rPr>
          <w:rFonts w:hint="eastAsia" w:ascii="宋体" w:hAnsi="宋体"/>
          <w:b/>
          <w:bCs/>
          <w:sz w:val="24"/>
          <w:szCs w:val="16"/>
          <w:lang w:eastAsia="zh-CN"/>
        </w:rPr>
        <w:t>：</w:t>
      </w:r>
      <w:r>
        <w:rPr>
          <w:rFonts w:hint="eastAsia" w:ascii="宋体" w:hAnsi="宋体"/>
          <w:b/>
          <w:bCs/>
          <w:sz w:val="24"/>
          <w:szCs w:val="16"/>
        </w:rPr>
        <w:t>法定代表人授权委托书</w:t>
      </w:r>
    </w:p>
    <w:p>
      <w:pPr>
        <w:pStyle w:val="40"/>
        <w:spacing w:line="480" w:lineRule="exact"/>
        <w:ind w:firstLine="0" w:firstLineChars="0"/>
        <w:jc w:val="center"/>
        <w:rPr>
          <w:rFonts w:ascii="宋体" w:hAnsi="宋体"/>
          <w:b/>
          <w:bCs/>
          <w:sz w:val="24"/>
          <w:szCs w:val="16"/>
        </w:rPr>
      </w:pPr>
      <w:r>
        <w:rPr>
          <w:rFonts w:hint="eastAsia" w:ascii="宋体" w:hAnsi="宋体"/>
          <w:b/>
          <w:bCs/>
          <w:sz w:val="24"/>
          <w:szCs w:val="16"/>
        </w:rPr>
        <w:t>法定代表人授权委托书</w:t>
      </w:r>
    </w:p>
    <w:p>
      <w:pPr>
        <w:spacing w:line="360" w:lineRule="auto"/>
        <w:rPr>
          <w:rFonts w:ascii="宋体" w:hAnsi="宋体"/>
        </w:rPr>
      </w:pPr>
    </w:p>
    <w:p>
      <w:pPr>
        <w:spacing w:line="500" w:lineRule="exact"/>
        <w:ind w:firstLine="480" w:firstLineChars="200"/>
        <w:rPr>
          <w:sz w:val="24"/>
        </w:rPr>
      </w:pPr>
      <w:r>
        <w:rPr>
          <w:rFonts w:hAnsi="宋体"/>
          <w:sz w:val="24"/>
        </w:rPr>
        <w:t>本人</w:t>
      </w:r>
      <w:r>
        <w:rPr>
          <w:rFonts w:hAnsi="宋体"/>
          <w:sz w:val="24"/>
          <w:u w:val="single"/>
        </w:rPr>
        <w:t xml:space="preserve">  （姓名）</w:t>
      </w:r>
      <w:r>
        <w:rPr>
          <w:rFonts w:hAnsi="宋体"/>
          <w:sz w:val="24"/>
        </w:rPr>
        <w:t>系</w:t>
      </w:r>
      <w:r>
        <w:rPr>
          <w:rFonts w:hAnsi="宋体"/>
          <w:sz w:val="24"/>
          <w:u w:val="single"/>
        </w:rPr>
        <w:t>（</w:t>
      </w:r>
      <w:r>
        <w:rPr>
          <w:rFonts w:hint="eastAsia" w:hAnsi="宋体"/>
          <w:sz w:val="24"/>
          <w:u w:val="single"/>
        </w:rPr>
        <w:t>投标人</w:t>
      </w:r>
      <w:r>
        <w:rPr>
          <w:rFonts w:hAnsi="宋体"/>
          <w:sz w:val="24"/>
          <w:u w:val="single"/>
        </w:rPr>
        <w:t>名称）</w:t>
      </w:r>
      <w:r>
        <w:rPr>
          <w:rFonts w:hAnsi="宋体"/>
          <w:sz w:val="24"/>
        </w:rPr>
        <w:t>的法定代表人，现委托</w:t>
      </w:r>
      <w:r>
        <w:rPr>
          <w:sz w:val="24"/>
          <w:u w:val="single"/>
        </w:rPr>
        <w:t xml:space="preserve"> </w:t>
      </w:r>
      <w:r>
        <w:rPr>
          <w:rFonts w:hAnsi="宋体"/>
          <w:sz w:val="24"/>
          <w:u w:val="single"/>
        </w:rPr>
        <w:t>（姓名）</w:t>
      </w:r>
      <w:r>
        <w:rPr>
          <w:rFonts w:hAnsi="宋体"/>
          <w:sz w:val="24"/>
        </w:rPr>
        <w:t>为我方被授权人。被授权人根据授权，以我方名义签署、澄清、说明、补正、递交、撤回、修改</w:t>
      </w:r>
      <w:r>
        <w:rPr>
          <w:rFonts w:hint="eastAsia" w:hAnsi="宋体"/>
          <w:sz w:val="24"/>
          <w:u w:val="single"/>
        </w:rPr>
        <w:t xml:space="preserve"> </w:t>
      </w:r>
      <w:r>
        <w:rPr>
          <w:rFonts w:hint="eastAsia" w:hAnsi="宋体"/>
          <w:sz w:val="24"/>
          <w:u w:val="single"/>
          <w:lang w:eastAsia="zh-CN"/>
        </w:rPr>
        <w:t>2024年周至县道路清扫保洁、垃圾清运、绿化养护、公厕管理市场化运作项目</w:t>
      </w:r>
      <w:r>
        <w:rPr>
          <w:rFonts w:hint="eastAsia" w:hAnsi="宋体"/>
          <w:sz w:val="24"/>
          <w:szCs w:val="24"/>
          <w:u w:val="single"/>
          <w:lang w:eastAsia="zh-CN"/>
        </w:rPr>
        <w:t>（合同包 3 ）</w:t>
      </w:r>
      <w:r>
        <w:rPr>
          <w:rFonts w:hint="eastAsia" w:hAnsi="宋体"/>
          <w:sz w:val="24"/>
          <w:u w:val="single"/>
        </w:rPr>
        <w:t xml:space="preserve"> </w:t>
      </w:r>
      <w:r>
        <w:rPr>
          <w:rFonts w:hAnsi="宋体"/>
          <w:sz w:val="24"/>
        </w:rPr>
        <w:t>投标文件、签订合同和处理有关事宜，其法律后果由我方承担。</w:t>
      </w:r>
    </w:p>
    <w:p>
      <w:pPr>
        <w:spacing w:line="500" w:lineRule="exact"/>
        <w:ind w:firstLine="480" w:firstLineChars="200"/>
        <w:rPr>
          <w:sz w:val="24"/>
        </w:rPr>
      </w:pPr>
      <w:r>
        <w:rPr>
          <w:rFonts w:hAnsi="宋体"/>
          <w:sz w:val="24"/>
        </w:rPr>
        <w:t>被授权人无转委托权。</w:t>
      </w:r>
    </w:p>
    <w:p>
      <w:pPr>
        <w:spacing w:line="500" w:lineRule="exact"/>
        <w:ind w:firstLine="480" w:firstLineChars="200"/>
        <w:rPr>
          <w:sz w:val="24"/>
        </w:rPr>
      </w:pPr>
      <w:r>
        <w:rPr>
          <w:rFonts w:hAnsi="宋体"/>
          <w:sz w:val="24"/>
        </w:rPr>
        <w:t>委托期限：从投标截止之日算起90日历天</w:t>
      </w:r>
    </w:p>
    <w:p>
      <w:pPr>
        <w:spacing w:line="500" w:lineRule="exact"/>
        <w:ind w:firstLine="480" w:firstLineChars="200"/>
        <w:rPr>
          <w:sz w:val="24"/>
          <w:u w:val="single"/>
        </w:rPr>
      </w:pPr>
      <w:bookmarkStart w:id="42" w:name="_Toc201637979"/>
      <w:bookmarkStart w:id="43"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42"/>
      <w:bookmarkEnd w:id="43"/>
      <w:r>
        <w:rPr>
          <w:rFonts w:hint="eastAsia" w:hAnsi="宋体"/>
          <w:sz w:val="24"/>
          <w:u w:val="single"/>
        </w:rPr>
        <w:t xml:space="preserve">           </w:t>
      </w:r>
    </w:p>
    <w:p>
      <w:pPr>
        <w:spacing w:line="500" w:lineRule="exact"/>
        <w:ind w:firstLine="480" w:firstLineChars="200"/>
        <w:rPr>
          <w:sz w:val="24"/>
          <w:u w:val="single"/>
        </w:rPr>
      </w:pPr>
      <w:bookmarkStart w:id="44" w:name="_Toc214090948"/>
      <w:bookmarkStart w:id="45" w:name="_Toc201637980"/>
      <w:r>
        <w:rPr>
          <w:rFonts w:hAnsi="宋体"/>
          <w:sz w:val="24"/>
        </w:rPr>
        <w:t>职务：</w:t>
      </w:r>
      <w:r>
        <w:rPr>
          <w:sz w:val="24"/>
          <w:u w:val="single"/>
        </w:rPr>
        <w:t xml:space="preserve">                     </w:t>
      </w:r>
      <w:bookmarkEnd w:id="44"/>
      <w:bookmarkEnd w:id="45"/>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500" w:lineRule="exact"/>
        <w:ind w:firstLine="480" w:firstLineChars="200"/>
        <w:rPr>
          <w:sz w:val="24"/>
          <w:u w:val="single"/>
        </w:rPr>
      </w:pPr>
      <w:bookmarkStart w:id="46" w:name="_Toc201637981"/>
      <w:bookmarkStart w:id="47" w:name="_Toc214090949"/>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46"/>
      <w:bookmarkEnd w:id="47"/>
      <w:r>
        <w:rPr>
          <w:rFonts w:hint="eastAsia" w:hAnsi="宋体"/>
          <w:sz w:val="24"/>
          <w:u w:val="single"/>
        </w:rPr>
        <w:t xml:space="preserve">                        </w:t>
      </w:r>
    </w:p>
    <w:p>
      <w:pPr>
        <w:spacing w:line="500" w:lineRule="exact"/>
        <w:jc w:val="center"/>
        <w:rPr>
          <w:rFonts w:ascii="宋体" w:hAnsi="宋体"/>
          <w:b/>
        </w:rPr>
      </w:pPr>
      <w:bookmarkStart w:id="48" w:name="_Toc214090950"/>
      <w:bookmarkStart w:id="49" w:name="_Toc201637982"/>
      <w:r>
        <w:rPr>
          <w:rFonts w:hAnsi="宋体"/>
          <w:sz w:val="24"/>
        </w:rPr>
        <w:t>附：法定代表人、被授权人身份证复印件。（二代身份证正、反两面都需复印）</w:t>
      </w:r>
      <w:bookmarkEnd w:id="48"/>
      <w:bookmarkEnd w:id="49"/>
    </w:p>
    <w:p>
      <w:pPr>
        <w:spacing w:line="500" w:lineRule="exact"/>
        <w:jc w:val="center"/>
        <w:rPr>
          <w:rFonts w:ascii="宋体" w:hAnsi="宋体"/>
          <w:b/>
        </w:rPr>
      </w:pPr>
    </w:p>
    <w:p>
      <w:pPr>
        <w:jc w:val="center"/>
        <w:rPr>
          <w:rFonts w:ascii="宋体" w:hAnsi="宋体"/>
          <w:b/>
        </w:rPr>
      </w:pPr>
    </w:p>
    <w:p>
      <w:pPr>
        <w:jc w:val="center"/>
        <w:rPr>
          <w:rFonts w:ascii="宋体" w:hAnsi="宋体"/>
          <w:b/>
        </w:rPr>
      </w:pPr>
    </w:p>
    <w:p>
      <w:pPr>
        <w:spacing w:before="240" w:beforeLines="100" w:after="120" w:afterLines="50" w:line="360" w:lineRule="auto"/>
        <w:ind w:firstLine="3408" w:firstLineChars="1420"/>
        <w:jc w:val="left"/>
        <w:rPr>
          <w:rFonts w:ascii="宋体" w:hAnsi="宋体" w:cs="宋体"/>
          <w:spacing w:val="14"/>
          <w:kern w:val="0"/>
          <w:sz w:val="24"/>
          <w:szCs w:val="24"/>
        </w:rPr>
      </w:pPr>
      <w:r>
        <w:rPr>
          <w:rFonts w:hint="eastAsia" w:ascii="宋体" w:hAnsi="宋体"/>
          <w:sz w:val="24"/>
          <w:szCs w:val="24"/>
        </w:rPr>
        <w:t xml:space="preserve"> </w:t>
      </w: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line="360" w:lineRule="auto"/>
        <w:ind w:left="1"/>
        <w:jc w:val="right"/>
        <w:rPr>
          <w:rFonts w:hint="eastAsia" w:ascii="宋体" w:hAnsi="宋体"/>
          <w:b/>
          <w:sz w:val="28"/>
          <w:szCs w:val="28"/>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r>
        <w:rPr>
          <w:rFonts w:hint="eastAsia" w:ascii="宋体" w:hAnsi="宋体"/>
          <w:b/>
          <w:sz w:val="28"/>
          <w:szCs w:val="28"/>
          <w:lang w:eastAsia="zh-CN"/>
        </w:rPr>
        <w:br w:type="page"/>
      </w:r>
    </w:p>
    <w:p>
      <w:pPr>
        <w:spacing w:line="360" w:lineRule="auto"/>
        <w:ind w:left="1"/>
        <w:jc w:val="both"/>
        <w:rPr>
          <w:rFonts w:ascii="宋体" w:hAnsi="宋体"/>
          <w:b w:val="0"/>
          <w:bCs/>
          <w:sz w:val="24"/>
          <w:szCs w:val="24"/>
        </w:rPr>
      </w:pPr>
      <w:r>
        <w:rPr>
          <w:rFonts w:hint="eastAsia" w:ascii="宋体" w:hAnsi="宋体"/>
          <w:b w:val="0"/>
          <w:bCs/>
          <w:sz w:val="24"/>
          <w:szCs w:val="24"/>
          <w:lang w:eastAsia="zh-CN"/>
        </w:rPr>
        <w:t>附件三：</w:t>
      </w:r>
      <w:r>
        <w:rPr>
          <w:rFonts w:hint="eastAsia" w:ascii="宋体" w:hAnsi="宋体"/>
          <w:b w:val="0"/>
          <w:bCs/>
          <w:sz w:val="24"/>
          <w:szCs w:val="24"/>
        </w:rPr>
        <w:t>投标人无重大违法记录的书面声明格式</w:t>
      </w:r>
    </w:p>
    <w:p>
      <w:pPr>
        <w:spacing w:line="360" w:lineRule="auto"/>
        <w:jc w:val="center"/>
        <w:rPr>
          <w:rFonts w:ascii="宋体" w:hAnsi="宋体"/>
          <w:b/>
          <w:bCs w:val="0"/>
          <w:spacing w:val="4"/>
          <w:sz w:val="30"/>
          <w:szCs w:val="30"/>
          <w:u w:val="single"/>
        </w:rPr>
      </w:pPr>
      <w:r>
        <w:rPr>
          <w:rFonts w:hint="eastAsia" w:ascii="宋体" w:hAnsi="宋体"/>
          <w:b/>
          <w:bCs w:val="0"/>
          <w:sz w:val="24"/>
          <w:szCs w:val="24"/>
        </w:rPr>
        <w:t>投标人无重大违法记录的书面声明格式</w:t>
      </w:r>
    </w:p>
    <w:p>
      <w:pPr>
        <w:spacing w:line="480" w:lineRule="auto"/>
        <w:rPr>
          <w:rFonts w:ascii="宋体" w:hAnsi="宋体"/>
          <w:spacing w:val="4"/>
          <w:sz w:val="24"/>
          <w:szCs w:val="24"/>
          <w:u w:val="single"/>
        </w:rPr>
      </w:pPr>
      <w:r>
        <w:rPr>
          <w:rFonts w:hint="eastAsia" w:ascii="宋体" w:hAnsi="宋体"/>
          <w:spacing w:val="4"/>
          <w:sz w:val="24"/>
          <w:szCs w:val="24"/>
        </w:rPr>
        <w:t>致：</w:t>
      </w:r>
      <w:r>
        <w:rPr>
          <w:rFonts w:ascii="宋体" w:hAnsi="宋体"/>
          <w:spacing w:val="4"/>
          <w:sz w:val="24"/>
          <w:szCs w:val="24"/>
          <w:u w:val="single"/>
        </w:rPr>
        <w:t xml:space="preserve"> </w:t>
      </w:r>
      <w:r>
        <w:rPr>
          <w:rFonts w:hint="eastAsia" w:hAnsi="宋体"/>
          <w:sz w:val="24"/>
          <w:u w:val="single"/>
        </w:rPr>
        <w:t>天煜荣泽工程咨询有限公司</w:t>
      </w:r>
      <w:r>
        <w:rPr>
          <w:rFonts w:ascii="宋体" w:hAnsi="宋体"/>
          <w:spacing w:val="4"/>
          <w:sz w:val="24"/>
          <w:szCs w:val="24"/>
          <w:u w:val="single"/>
        </w:rPr>
        <w:t xml:space="preserve"> </w:t>
      </w:r>
    </w:p>
    <w:p>
      <w:pPr>
        <w:spacing w:line="480" w:lineRule="auto"/>
        <w:ind w:firstLine="496" w:firstLineChars="200"/>
        <w:rPr>
          <w:rFonts w:ascii="宋体" w:hAnsi="宋体"/>
          <w:spacing w:val="4"/>
          <w:sz w:val="24"/>
          <w:szCs w:val="24"/>
          <w:u w:val="single"/>
        </w:rPr>
      </w:pPr>
      <w:r>
        <w:rPr>
          <w:rFonts w:hint="eastAsia" w:ascii="宋体" w:hAnsi="宋体"/>
          <w:spacing w:val="4"/>
          <w:sz w:val="24"/>
          <w:szCs w:val="24"/>
          <w:u w:val="single"/>
        </w:rPr>
        <w:t xml:space="preserve">        （投标人名称）</w:t>
      </w:r>
      <w:r>
        <w:rPr>
          <w:rFonts w:hint="eastAsia" w:ascii="宋体" w:hAnsi="宋体"/>
          <w:spacing w:val="4"/>
          <w:sz w:val="24"/>
          <w:szCs w:val="24"/>
        </w:rPr>
        <w:t>为在中华人民共和国境内合法注册并经营的机构。在此郑重声明，我公司在参与本次政府采购活动前三年内在经营活动中没有重大违法记录。</w:t>
      </w: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170"/>
        <w:rPr>
          <w:rFonts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eastAsia="宋体" w:cs="宋体"/>
          <w:spacing w:val="4"/>
          <w:kern w:val="0"/>
          <w:sz w:val="24"/>
          <w:szCs w:val="24"/>
          <w:lang w:val="en-US" w:eastAsia="zh-CN" w:bidi="ar-SA"/>
        </w:rPr>
      </w:pPr>
      <w:r>
        <w:rPr>
          <w:rFonts w:hint="eastAsia"/>
          <w:lang w:eastAsia="zh-CN"/>
        </w:rPr>
        <w:br w:type="page"/>
      </w:r>
      <w:r>
        <w:rPr>
          <w:rFonts w:hint="eastAsia" w:ascii="宋体" w:hAnsi="宋体"/>
          <w:b w:val="0"/>
          <w:bCs/>
          <w:sz w:val="24"/>
          <w:szCs w:val="24"/>
          <w:lang w:eastAsia="zh-CN"/>
        </w:rPr>
        <w:t>附件四：</w:t>
      </w:r>
      <w:r>
        <w:rPr>
          <w:rFonts w:hint="eastAsia" w:ascii="宋体" w:hAnsi="宋体" w:eastAsia="宋体" w:cs="宋体"/>
          <w:spacing w:val="4"/>
          <w:kern w:val="0"/>
          <w:sz w:val="24"/>
          <w:szCs w:val="24"/>
          <w:lang w:val="en-US" w:eastAsia="zh-CN" w:bidi="ar-SA"/>
        </w:rPr>
        <w:t>书面声明</w:t>
      </w:r>
    </w:p>
    <w:p>
      <w:pPr>
        <w:spacing w:before="42"/>
        <w:ind w:left="172" w:right="132" w:firstLine="0"/>
        <w:jc w:val="center"/>
        <w:rPr>
          <w:b/>
          <w:sz w:val="28"/>
        </w:rPr>
      </w:pPr>
    </w:p>
    <w:p>
      <w:pPr>
        <w:spacing w:before="42"/>
        <w:ind w:left="172" w:right="132" w:firstLine="0"/>
        <w:jc w:val="center"/>
        <w:rPr>
          <w:b/>
          <w:sz w:val="28"/>
        </w:rPr>
      </w:pPr>
      <w:r>
        <w:rPr>
          <w:b/>
          <w:sz w:val="28"/>
        </w:rPr>
        <w:t>履行合同所必需的设备和专业技术能力的书面声明</w:t>
      </w:r>
    </w:p>
    <w:p>
      <w:pPr>
        <w:pStyle w:val="12"/>
        <w:keepNext w:val="0"/>
        <w:keepLines w:val="0"/>
        <w:pageBreakBefore w:val="0"/>
        <w:widowControl w:val="0"/>
        <w:kinsoku/>
        <w:wordWrap/>
        <w:overflowPunct/>
        <w:topLinePunct w:val="0"/>
        <w:autoSpaceDE/>
        <w:autoSpaceDN/>
        <w:bidi w:val="0"/>
        <w:adjustRightInd/>
        <w:snapToGrid/>
        <w:spacing w:after="0" w:line="480" w:lineRule="auto"/>
        <w:ind w:right="0"/>
        <w:textAlignment w:val="auto"/>
        <w:rPr>
          <w:sz w:val="24"/>
          <w:szCs w:val="24"/>
        </w:rPr>
      </w:pPr>
      <w:r>
        <w:rPr>
          <w:rFonts w:hint="eastAsia"/>
          <w:sz w:val="24"/>
          <w:szCs w:val="24"/>
        </w:rPr>
        <w:t xml:space="preserve">致： </w:t>
      </w:r>
      <w:r>
        <w:rPr>
          <w:rFonts w:hint="eastAsia"/>
          <w:sz w:val="24"/>
          <w:szCs w:val="24"/>
          <w:u w:val="single"/>
        </w:rPr>
        <w:t xml:space="preserve">天煜荣泽工程咨询有限公司 </w:t>
      </w:r>
    </w:p>
    <w:p>
      <w:pPr>
        <w:pStyle w:val="12"/>
        <w:keepNext w:val="0"/>
        <w:keepLines w:val="0"/>
        <w:pageBreakBefore w:val="0"/>
        <w:widowControl w:val="0"/>
        <w:tabs>
          <w:tab w:val="left" w:pos="1375"/>
          <w:tab w:val="left" w:pos="3788"/>
          <w:tab w:val="left" w:pos="9767"/>
        </w:tabs>
        <w:kinsoku/>
        <w:wordWrap/>
        <w:overflowPunct/>
        <w:topLinePunct w:val="0"/>
        <w:autoSpaceDE/>
        <w:autoSpaceDN/>
        <w:bidi w:val="0"/>
        <w:adjustRightInd/>
        <w:snapToGrid/>
        <w:spacing w:after="0" w:line="480" w:lineRule="auto"/>
        <w:ind w:left="0" w:right="0" w:firstLine="474" w:firstLineChars="200"/>
        <w:textAlignment w:val="auto"/>
        <w:rPr>
          <w:sz w:val="24"/>
          <w:szCs w:val="24"/>
        </w:rPr>
      </w:pPr>
      <w:r>
        <w:rPr>
          <w:rFonts w:ascii="Times New Roman" w:eastAsia="Times New Roman"/>
          <w:w w:val="99"/>
          <w:sz w:val="24"/>
          <w:szCs w:val="24"/>
          <w:u w:val="single"/>
        </w:rPr>
        <w:t xml:space="preserve"> </w:t>
      </w:r>
      <w:r>
        <w:rPr>
          <w:rFonts w:ascii="Times New Roman" w:eastAsia="Times New Roman"/>
          <w:sz w:val="24"/>
          <w:szCs w:val="24"/>
          <w:u w:val="single"/>
        </w:rPr>
        <w:tab/>
      </w:r>
      <w:r>
        <w:rPr>
          <w:spacing w:val="9"/>
          <w:sz w:val="24"/>
          <w:szCs w:val="24"/>
          <w:u w:val="single"/>
        </w:rPr>
        <w:t>（投</w:t>
      </w:r>
      <w:r>
        <w:rPr>
          <w:spacing w:val="7"/>
          <w:sz w:val="24"/>
          <w:szCs w:val="24"/>
          <w:u w:val="single"/>
        </w:rPr>
        <w:t>标</w:t>
      </w:r>
      <w:r>
        <w:rPr>
          <w:spacing w:val="9"/>
          <w:sz w:val="24"/>
          <w:szCs w:val="24"/>
          <w:u w:val="single"/>
        </w:rPr>
        <w:t>供应商名称</w:t>
      </w:r>
      <w:r>
        <w:rPr>
          <w:sz w:val="24"/>
          <w:szCs w:val="24"/>
          <w:u w:val="single"/>
        </w:rPr>
        <w:t>）</w:t>
      </w:r>
      <w:r>
        <w:rPr>
          <w:sz w:val="24"/>
          <w:szCs w:val="24"/>
          <w:u w:val="single"/>
        </w:rPr>
        <w:tab/>
      </w:r>
      <w:r>
        <w:rPr>
          <w:spacing w:val="8"/>
          <w:sz w:val="24"/>
          <w:szCs w:val="24"/>
        </w:rPr>
        <w:t>于</w:t>
      </w:r>
      <w:r>
        <w:rPr>
          <w:spacing w:val="113"/>
          <w:sz w:val="24"/>
          <w:szCs w:val="24"/>
          <w:u w:val="single"/>
        </w:rPr>
        <w:t xml:space="preserve"> </w:t>
      </w:r>
      <w:r>
        <w:rPr>
          <w:spacing w:val="8"/>
          <w:sz w:val="24"/>
          <w:szCs w:val="24"/>
        </w:rPr>
        <w:t>年</w:t>
      </w:r>
      <w:r>
        <w:rPr>
          <w:spacing w:val="113"/>
          <w:sz w:val="24"/>
          <w:szCs w:val="24"/>
          <w:u w:val="single"/>
        </w:rPr>
        <w:t xml:space="preserve"> </w:t>
      </w:r>
      <w:r>
        <w:rPr>
          <w:spacing w:val="8"/>
          <w:sz w:val="24"/>
          <w:szCs w:val="24"/>
        </w:rPr>
        <w:t>月</w:t>
      </w:r>
      <w:r>
        <w:rPr>
          <w:spacing w:val="114"/>
          <w:sz w:val="24"/>
          <w:szCs w:val="24"/>
          <w:u w:val="single"/>
        </w:rPr>
        <w:t xml:space="preserve"> </w:t>
      </w:r>
      <w:r>
        <w:rPr>
          <w:spacing w:val="9"/>
          <w:sz w:val="24"/>
          <w:szCs w:val="24"/>
        </w:rPr>
        <w:t>日在</w:t>
      </w:r>
      <w:r>
        <w:rPr>
          <w:spacing w:val="7"/>
          <w:sz w:val="24"/>
          <w:szCs w:val="24"/>
        </w:rPr>
        <w:t>中</w:t>
      </w:r>
      <w:r>
        <w:rPr>
          <w:spacing w:val="9"/>
          <w:sz w:val="24"/>
          <w:szCs w:val="24"/>
        </w:rPr>
        <w:t>华人民共和</w:t>
      </w:r>
      <w:r>
        <w:rPr>
          <w:spacing w:val="7"/>
          <w:sz w:val="24"/>
          <w:szCs w:val="24"/>
        </w:rPr>
        <w:t>国</w:t>
      </w:r>
      <w:r>
        <w:rPr>
          <w:spacing w:val="9"/>
          <w:sz w:val="24"/>
          <w:szCs w:val="24"/>
        </w:rPr>
        <w:t>境内</w:t>
      </w:r>
      <w:r>
        <w:rPr>
          <w:spacing w:val="9"/>
          <w:sz w:val="24"/>
          <w:szCs w:val="24"/>
          <w:u w:val="single"/>
        </w:rPr>
        <w:t>（详</w:t>
      </w:r>
      <w:r>
        <w:rPr>
          <w:spacing w:val="7"/>
          <w:sz w:val="24"/>
          <w:szCs w:val="24"/>
          <w:u w:val="single"/>
        </w:rPr>
        <w:t>细</w:t>
      </w:r>
      <w:r>
        <w:rPr>
          <w:spacing w:val="9"/>
          <w:sz w:val="24"/>
          <w:szCs w:val="24"/>
          <w:u w:val="single"/>
        </w:rPr>
        <w:t>注册地址</w:t>
      </w:r>
      <w:r>
        <w:rPr>
          <w:sz w:val="24"/>
          <w:szCs w:val="24"/>
          <w:u w:val="single"/>
        </w:rPr>
        <w:t>）</w:t>
      </w:r>
      <w:r>
        <w:rPr>
          <w:sz w:val="24"/>
          <w:szCs w:val="24"/>
          <w:u w:val="single"/>
        </w:rPr>
        <w:tab/>
      </w:r>
      <w:r>
        <w:rPr>
          <w:spacing w:val="9"/>
          <w:sz w:val="24"/>
          <w:szCs w:val="24"/>
        </w:rPr>
        <w:t>合法</w:t>
      </w:r>
      <w:r>
        <w:rPr>
          <w:spacing w:val="7"/>
          <w:sz w:val="24"/>
          <w:szCs w:val="24"/>
        </w:rPr>
        <w:t>注</w:t>
      </w:r>
      <w:r>
        <w:rPr>
          <w:spacing w:val="9"/>
          <w:sz w:val="24"/>
          <w:szCs w:val="24"/>
        </w:rPr>
        <w:t>册并经营，</w:t>
      </w:r>
      <w:r>
        <w:rPr>
          <w:spacing w:val="7"/>
          <w:sz w:val="24"/>
          <w:szCs w:val="24"/>
        </w:rPr>
        <w:t>公</w:t>
      </w:r>
      <w:r>
        <w:rPr>
          <w:spacing w:val="9"/>
          <w:sz w:val="24"/>
          <w:szCs w:val="24"/>
        </w:rPr>
        <w:t>司主营业务</w:t>
      </w:r>
      <w:r>
        <w:rPr>
          <w:spacing w:val="6"/>
          <w:sz w:val="24"/>
          <w:szCs w:val="24"/>
        </w:rPr>
        <w:t>为</w:t>
      </w:r>
      <w:r>
        <w:rPr>
          <w:spacing w:val="6"/>
          <w:sz w:val="24"/>
          <w:szCs w:val="24"/>
          <w:u w:val="single"/>
        </w:rPr>
        <w:t xml:space="preserve"> </w:t>
      </w:r>
      <w:r>
        <w:rPr>
          <w:spacing w:val="115"/>
          <w:sz w:val="24"/>
          <w:szCs w:val="24"/>
          <w:u w:val="single"/>
        </w:rPr>
        <w:t xml:space="preserve"> </w:t>
      </w:r>
      <w:r>
        <w:rPr>
          <w:spacing w:val="9"/>
          <w:sz w:val="24"/>
          <w:szCs w:val="24"/>
        </w:rPr>
        <w:t>，营</w:t>
      </w:r>
      <w:r>
        <w:rPr>
          <w:spacing w:val="7"/>
          <w:sz w:val="24"/>
          <w:szCs w:val="24"/>
        </w:rPr>
        <w:t>业</w:t>
      </w:r>
      <w:r>
        <w:rPr>
          <w:spacing w:val="9"/>
          <w:sz w:val="24"/>
          <w:szCs w:val="24"/>
        </w:rPr>
        <w:t>（生产经营</w:t>
      </w:r>
      <w:r>
        <w:rPr>
          <w:spacing w:val="7"/>
          <w:sz w:val="24"/>
          <w:szCs w:val="24"/>
        </w:rPr>
        <w:t>）</w:t>
      </w:r>
      <w:r>
        <w:rPr>
          <w:spacing w:val="9"/>
          <w:sz w:val="24"/>
          <w:szCs w:val="24"/>
        </w:rPr>
        <w:t>面积为</w:t>
      </w:r>
      <w:r>
        <w:rPr>
          <w:spacing w:val="9"/>
          <w:sz w:val="24"/>
          <w:szCs w:val="24"/>
          <w:u w:val="single"/>
        </w:rPr>
        <w:t xml:space="preserve"> </w:t>
      </w:r>
      <w:r>
        <w:rPr>
          <w:spacing w:val="109"/>
          <w:sz w:val="24"/>
          <w:szCs w:val="24"/>
          <w:u w:val="single"/>
        </w:rPr>
        <w:t xml:space="preserve"> </w:t>
      </w:r>
      <w:r>
        <w:rPr>
          <w:spacing w:val="9"/>
          <w:sz w:val="24"/>
          <w:szCs w:val="24"/>
        </w:rPr>
        <w:t>，现</w:t>
      </w:r>
      <w:r>
        <w:rPr>
          <w:spacing w:val="7"/>
          <w:sz w:val="24"/>
          <w:szCs w:val="24"/>
        </w:rPr>
        <w:t>有</w:t>
      </w:r>
      <w:r>
        <w:rPr>
          <w:spacing w:val="9"/>
          <w:sz w:val="24"/>
          <w:szCs w:val="24"/>
        </w:rPr>
        <w:t>员工数量</w:t>
      </w:r>
      <w:r>
        <w:rPr>
          <w:spacing w:val="6"/>
          <w:sz w:val="24"/>
          <w:szCs w:val="24"/>
        </w:rPr>
        <w:t>为</w:t>
      </w:r>
      <w:r>
        <w:rPr>
          <w:spacing w:val="6"/>
          <w:sz w:val="24"/>
          <w:szCs w:val="24"/>
          <w:u w:val="single"/>
        </w:rPr>
        <w:t xml:space="preserve"> </w:t>
      </w:r>
      <w:r>
        <w:rPr>
          <w:spacing w:val="112"/>
          <w:sz w:val="24"/>
          <w:szCs w:val="24"/>
          <w:u w:val="single"/>
        </w:rPr>
        <w:t xml:space="preserve"> </w:t>
      </w:r>
      <w:r>
        <w:rPr>
          <w:sz w:val="24"/>
          <w:szCs w:val="24"/>
        </w:rPr>
        <w:t xml:space="preserve">， </w:t>
      </w:r>
      <w:r>
        <w:rPr>
          <w:spacing w:val="9"/>
          <w:sz w:val="24"/>
          <w:szCs w:val="24"/>
        </w:rPr>
        <w:t>其中</w:t>
      </w:r>
      <w:r>
        <w:rPr>
          <w:spacing w:val="7"/>
          <w:sz w:val="24"/>
          <w:szCs w:val="24"/>
        </w:rPr>
        <w:t>与</w:t>
      </w:r>
      <w:r>
        <w:rPr>
          <w:spacing w:val="9"/>
          <w:sz w:val="24"/>
          <w:szCs w:val="24"/>
        </w:rPr>
        <w:t>履行本合同</w:t>
      </w:r>
      <w:r>
        <w:rPr>
          <w:spacing w:val="7"/>
          <w:sz w:val="24"/>
          <w:szCs w:val="24"/>
        </w:rPr>
        <w:t>相</w:t>
      </w:r>
      <w:r>
        <w:rPr>
          <w:spacing w:val="9"/>
          <w:sz w:val="24"/>
          <w:szCs w:val="24"/>
        </w:rPr>
        <w:t>关的专业技</w:t>
      </w:r>
      <w:r>
        <w:rPr>
          <w:spacing w:val="7"/>
          <w:sz w:val="24"/>
          <w:szCs w:val="24"/>
        </w:rPr>
        <w:t>术</w:t>
      </w:r>
      <w:r>
        <w:rPr>
          <w:spacing w:val="9"/>
          <w:sz w:val="24"/>
          <w:szCs w:val="24"/>
        </w:rPr>
        <w:t>人员</w:t>
      </w:r>
      <w:r>
        <w:rPr>
          <w:spacing w:val="-5"/>
          <w:sz w:val="24"/>
          <w:szCs w:val="24"/>
        </w:rPr>
        <w:t>有</w:t>
      </w:r>
      <w:r>
        <w:rPr>
          <w:spacing w:val="7"/>
          <w:sz w:val="24"/>
          <w:szCs w:val="24"/>
        </w:rPr>
        <w:t>（</w:t>
      </w:r>
      <w:r>
        <w:rPr>
          <w:spacing w:val="7"/>
          <w:sz w:val="24"/>
          <w:szCs w:val="24"/>
          <w:u w:val="single"/>
        </w:rPr>
        <w:t xml:space="preserve"> </w:t>
      </w:r>
      <w:r>
        <w:rPr>
          <w:spacing w:val="7"/>
          <w:sz w:val="24"/>
          <w:szCs w:val="24"/>
          <w:u w:val="single"/>
        </w:rPr>
        <w:tab/>
      </w:r>
      <w:r>
        <w:rPr>
          <w:spacing w:val="9"/>
          <w:sz w:val="24"/>
          <w:szCs w:val="24"/>
          <w:u w:val="single"/>
        </w:rPr>
        <w:t>专业</w:t>
      </w:r>
      <w:r>
        <w:rPr>
          <w:spacing w:val="7"/>
          <w:sz w:val="24"/>
          <w:szCs w:val="24"/>
          <w:u w:val="single"/>
        </w:rPr>
        <w:t>能</w:t>
      </w:r>
      <w:r>
        <w:rPr>
          <w:spacing w:val="9"/>
          <w:sz w:val="24"/>
          <w:szCs w:val="24"/>
          <w:u w:val="single"/>
        </w:rPr>
        <w:t>力</w:t>
      </w:r>
      <w:r>
        <w:rPr>
          <w:spacing w:val="-5"/>
          <w:sz w:val="24"/>
          <w:szCs w:val="24"/>
          <w:u w:val="single"/>
        </w:rPr>
        <w:t>、</w:t>
      </w:r>
      <w:r>
        <w:rPr>
          <w:spacing w:val="9"/>
          <w:sz w:val="24"/>
          <w:szCs w:val="24"/>
          <w:u w:val="single"/>
        </w:rPr>
        <w:t>数</w:t>
      </w:r>
      <w:r>
        <w:rPr>
          <w:sz w:val="24"/>
          <w:szCs w:val="24"/>
          <w:u w:val="single"/>
        </w:rPr>
        <w:t xml:space="preserve">量      </w:t>
      </w:r>
      <w:r>
        <w:rPr>
          <w:spacing w:val="60"/>
          <w:sz w:val="24"/>
          <w:szCs w:val="24"/>
          <w:u w:val="single"/>
        </w:rPr>
        <w:t xml:space="preserve"> </w:t>
      </w:r>
      <w:r>
        <w:rPr>
          <w:spacing w:val="-7"/>
          <w:sz w:val="24"/>
          <w:szCs w:val="24"/>
        </w:rPr>
        <w:t>），</w:t>
      </w:r>
      <w:r>
        <w:rPr>
          <w:spacing w:val="9"/>
          <w:sz w:val="24"/>
          <w:szCs w:val="24"/>
        </w:rPr>
        <w:t>本公</w:t>
      </w:r>
      <w:r>
        <w:rPr>
          <w:sz w:val="24"/>
          <w:szCs w:val="24"/>
        </w:rPr>
        <w:t>司</w:t>
      </w:r>
      <w:r>
        <w:rPr>
          <w:spacing w:val="9"/>
          <w:sz w:val="24"/>
          <w:szCs w:val="24"/>
        </w:rPr>
        <w:t>郑重</w:t>
      </w:r>
      <w:r>
        <w:rPr>
          <w:spacing w:val="7"/>
          <w:sz w:val="24"/>
          <w:szCs w:val="24"/>
        </w:rPr>
        <w:t>承</w:t>
      </w:r>
      <w:r>
        <w:rPr>
          <w:spacing w:val="9"/>
          <w:sz w:val="24"/>
          <w:szCs w:val="24"/>
        </w:rPr>
        <w:t>诺，具有履</w:t>
      </w:r>
      <w:r>
        <w:rPr>
          <w:spacing w:val="7"/>
          <w:sz w:val="24"/>
          <w:szCs w:val="24"/>
        </w:rPr>
        <w:t>行</w:t>
      </w:r>
      <w:r>
        <w:rPr>
          <w:spacing w:val="9"/>
          <w:sz w:val="24"/>
          <w:szCs w:val="24"/>
        </w:rPr>
        <w:t>本合同所必</w:t>
      </w:r>
      <w:r>
        <w:rPr>
          <w:spacing w:val="7"/>
          <w:sz w:val="24"/>
          <w:szCs w:val="24"/>
        </w:rPr>
        <w:t>需</w:t>
      </w:r>
      <w:r>
        <w:rPr>
          <w:spacing w:val="9"/>
          <w:sz w:val="24"/>
          <w:szCs w:val="24"/>
        </w:rPr>
        <w:t>的设备和专</w:t>
      </w:r>
      <w:r>
        <w:rPr>
          <w:spacing w:val="7"/>
          <w:sz w:val="24"/>
          <w:szCs w:val="24"/>
        </w:rPr>
        <w:t>业</w:t>
      </w:r>
      <w:r>
        <w:rPr>
          <w:spacing w:val="9"/>
          <w:sz w:val="24"/>
          <w:szCs w:val="24"/>
        </w:rPr>
        <w:t>技术能力</w:t>
      </w:r>
      <w:r>
        <w:rPr>
          <w:sz w:val="24"/>
          <w:szCs w:val="24"/>
        </w:rPr>
        <w:t>。</w:t>
      </w: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lang w:eastAsia="zh-CN"/>
        </w:rPr>
      </w:pPr>
    </w:p>
    <w:p>
      <w:pPr>
        <w:rPr>
          <w:rFonts w:hint="eastAsia"/>
          <w:lang w:eastAsia="zh-CN"/>
        </w:rPr>
      </w:pPr>
      <w:r>
        <w:rPr>
          <w:rFonts w:hint="eastAsia"/>
          <w:lang w:eastAsia="zh-CN"/>
        </w:rPr>
        <w:br w:type="page"/>
      </w:r>
    </w:p>
    <w:p>
      <w:pPr>
        <w:rPr>
          <w:sz w:val="24"/>
          <w:szCs w:val="24"/>
        </w:rPr>
      </w:pPr>
      <w:r>
        <w:rPr>
          <w:rFonts w:hint="eastAsia"/>
          <w:sz w:val="24"/>
          <w:szCs w:val="28"/>
          <w:lang w:eastAsia="zh-CN"/>
        </w:rPr>
        <w:t>附件五</w:t>
      </w:r>
      <w:r>
        <w:rPr>
          <w:rFonts w:hint="eastAsia"/>
          <w:sz w:val="24"/>
          <w:szCs w:val="24"/>
          <w:lang w:eastAsia="zh-CN"/>
        </w:rPr>
        <w:t>：</w:t>
      </w:r>
      <w:r>
        <w:rPr>
          <w:sz w:val="24"/>
          <w:szCs w:val="24"/>
        </w:rPr>
        <w:t>企业关系关联承诺书</w:t>
      </w:r>
    </w:p>
    <w:p>
      <w:pPr>
        <w:pStyle w:val="5"/>
        <w:ind w:left="170"/>
        <w:jc w:val="center"/>
        <w:rPr>
          <w:b/>
          <w:sz w:val="28"/>
        </w:rPr>
      </w:pPr>
      <w:r>
        <w:t>企业关系关联承诺书</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right="0" w:firstLine="420" w:firstLineChars="200"/>
        <w:textAlignment w:val="auto"/>
      </w:pPr>
      <w:r>
        <w:t>1、供应商在本项目投标中，不存在与其它供应商负责人为同一人，有控股、管理等关联关系承诺：</w:t>
      </w:r>
    </w:p>
    <w:p>
      <w:pPr>
        <w:pStyle w:val="47"/>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1.1</w:t>
      </w:r>
      <w:r>
        <w:rPr>
          <w:sz w:val="21"/>
        </w:rPr>
        <w:t>管理关系说明：</w:t>
      </w:r>
    </w:p>
    <w:p>
      <w:pPr>
        <w:pStyle w:val="12"/>
        <w:keepNext w:val="0"/>
        <w:keepLines w:val="0"/>
        <w:pageBreakBefore w:val="0"/>
        <w:widowControl w:val="0"/>
        <w:tabs>
          <w:tab w:val="left" w:pos="5423"/>
          <w:tab w:val="left" w:pos="6892"/>
        </w:tabs>
        <w:kinsoku/>
        <w:wordWrap/>
        <w:overflowPunct/>
        <w:topLinePunct w:val="0"/>
        <w:autoSpaceDE/>
        <w:autoSpaceDN/>
        <w:bidi w:val="0"/>
        <w:adjustRightInd/>
        <w:snapToGrid/>
        <w:spacing w:after="0" w:line="360" w:lineRule="auto"/>
        <w:ind w:left="0" w:right="0" w:firstLine="420" w:firstLineChars="200"/>
        <w:textAlignment w:val="auto"/>
      </w:pPr>
      <w:r>
        <w:t>我单位管理的具有独立法人的下属单位有：</w:t>
      </w:r>
      <w:r>
        <w:rPr>
          <w:u w:val="single"/>
        </w:rPr>
        <w:t xml:space="preserve"> </w:t>
      </w:r>
      <w:r>
        <w:rPr>
          <w:u w:val="single"/>
        </w:rPr>
        <w:tab/>
      </w:r>
      <w:r>
        <w:rPr>
          <w:u w:val="single"/>
        </w:rPr>
        <w:tab/>
      </w:r>
      <w:r>
        <w:rPr>
          <w:spacing w:val="-17"/>
        </w:rPr>
        <w:t>。</w:t>
      </w:r>
      <w:r>
        <w:t>我单位的上级管理单位有：</w:t>
      </w:r>
      <w:r>
        <w:rPr>
          <w:u w:val="single"/>
        </w:rPr>
        <w:t xml:space="preserve"> </w:t>
      </w:r>
      <w:r>
        <w:rPr>
          <w:u w:val="single"/>
        </w:rPr>
        <w:tab/>
      </w:r>
      <w:r>
        <w:t>。</w:t>
      </w:r>
    </w:p>
    <w:p>
      <w:pPr>
        <w:pStyle w:val="47"/>
        <w:keepNext w:val="0"/>
        <w:keepLines w:val="0"/>
        <w:pageBreakBefore w:val="0"/>
        <w:widowControl w:val="0"/>
        <w:numPr>
          <w:ilvl w:val="0"/>
          <w:numId w:val="0"/>
        </w:numPr>
        <w:tabs>
          <w:tab w:val="left" w:pos="1486"/>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1.2</w:t>
      </w:r>
      <w:r>
        <w:rPr>
          <w:sz w:val="21"/>
        </w:rPr>
        <w:t>股权关系说明：</w:t>
      </w:r>
    </w:p>
    <w:p>
      <w:pPr>
        <w:pStyle w:val="12"/>
        <w:keepNext w:val="0"/>
        <w:keepLines w:val="0"/>
        <w:pageBreakBefore w:val="0"/>
        <w:widowControl w:val="0"/>
        <w:tabs>
          <w:tab w:val="left" w:pos="3638"/>
          <w:tab w:val="left" w:pos="5003"/>
        </w:tabs>
        <w:kinsoku/>
        <w:wordWrap/>
        <w:overflowPunct/>
        <w:topLinePunct w:val="0"/>
        <w:autoSpaceDE/>
        <w:autoSpaceDN/>
        <w:bidi w:val="0"/>
        <w:adjustRightInd/>
        <w:snapToGrid/>
        <w:spacing w:after="0" w:line="360" w:lineRule="auto"/>
        <w:ind w:left="0" w:right="0" w:firstLine="420" w:firstLineChars="200"/>
        <w:textAlignment w:val="auto"/>
      </w:pPr>
      <w:r>
        <w:t>我单位控股的单位有：</w:t>
      </w:r>
      <w:r>
        <w:rPr>
          <w:u w:val="single"/>
        </w:rPr>
        <w:t xml:space="preserve"> </w:t>
      </w:r>
      <w:r>
        <w:rPr>
          <w:u w:val="single"/>
        </w:rPr>
        <w:tab/>
      </w:r>
      <w:r>
        <w:rPr>
          <w:u w:val="single"/>
        </w:rPr>
        <w:tab/>
      </w:r>
      <w:r>
        <w:rPr>
          <w:spacing w:val="-18"/>
        </w:rPr>
        <w:t>。</w:t>
      </w:r>
      <w:r>
        <w:t>我单位被</w:t>
      </w:r>
      <w:r>
        <w:rPr>
          <w:u w:val="single"/>
        </w:rPr>
        <w:t xml:space="preserve"> </w:t>
      </w:r>
      <w:r>
        <w:rPr>
          <w:rFonts w:hint="eastAsia"/>
          <w:u w:val="single"/>
          <w:lang w:val="en-US" w:eastAsia="zh-CN"/>
        </w:rPr>
        <w:t xml:space="preserve">        </w:t>
      </w:r>
      <w:r>
        <w:rPr>
          <w:u w:val="single"/>
        </w:rPr>
        <w:tab/>
      </w:r>
      <w:r>
        <w:t>单位控股。</w:t>
      </w:r>
    </w:p>
    <w:p>
      <w:pPr>
        <w:pStyle w:val="47"/>
        <w:keepNext w:val="0"/>
        <w:keepLines w:val="0"/>
        <w:pageBreakBefore w:val="0"/>
        <w:widowControl w:val="0"/>
        <w:numPr>
          <w:ilvl w:val="0"/>
          <w:numId w:val="0"/>
        </w:numPr>
        <w:tabs>
          <w:tab w:val="left" w:pos="1436"/>
          <w:tab w:val="left" w:pos="4687"/>
        </w:tabs>
        <w:kinsoku/>
        <w:wordWrap/>
        <w:overflowPunct/>
        <w:topLinePunct w:val="0"/>
        <w:autoSpaceDE/>
        <w:autoSpaceDN/>
        <w:bidi w:val="0"/>
        <w:adjustRightInd/>
        <w:snapToGrid/>
        <w:spacing w:line="360" w:lineRule="auto"/>
        <w:ind w:leftChars="200" w:right="0" w:rightChars="0"/>
        <w:jc w:val="left"/>
        <w:textAlignment w:val="auto"/>
        <w:rPr>
          <w:sz w:val="21"/>
        </w:rPr>
      </w:pPr>
      <w:r>
        <w:rPr>
          <w:rFonts w:hint="eastAsia"/>
          <w:sz w:val="21"/>
          <w:lang w:val="en-US" w:eastAsia="zh-CN"/>
        </w:rPr>
        <w:t>1.3</w:t>
      </w:r>
      <w:r>
        <w:rPr>
          <w:sz w:val="21"/>
        </w:rPr>
        <w:t>单位负责人：</w:t>
      </w:r>
      <w:r>
        <w:rPr>
          <w:sz w:val="21"/>
          <w:u w:val="single"/>
        </w:rPr>
        <w:t xml:space="preserve"> </w:t>
      </w:r>
      <w:r>
        <w:rPr>
          <w:sz w:val="21"/>
          <w:u w:val="single"/>
        </w:rPr>
        <w:tab/>
      </w:r>
      <w:r>
        <w:rPr>
          <w:sz w:val="21"/>
        </w:rPr>
        <w:t>。</w:t>
      </w:r>
    </w:p>
    <w:p>
      <w:pPr>
        <w:pStyle w:val="12"/>
        <w:keepNext w:val="0"/>
        <w:keepLines w:val="0"/>
        <w:pageBreakBefore w:val="0"/>
        <w:widowControl w:val="0"/>
        <w:tabs>
          <w:tab w:val="left" w:pos="2728"/>
        </w:tabs>
        <w:kinsoku/>
        <w:wordWrap/>
        <w:overflowPunct/>
        <w:topLinePunct w:val="0"/>
        <w:autoSpaceDE/>
        <w:autoSpaceDN/>
        <w:bidi w:val="0"/>
        <w:adjustRightInd/>
        <w:snapToGrid/>
        <w:spacing w:after="0" w:line="360" w:lineRule="auto"/>
        <w:ind w:left="0" w:right="0" w:firstLine="420" w:firstLineChars="200"/>
        <w:textAlignment w:val="auto"/>
      </w:pPr>
      <w:r>
        <w:t>3</w:t>
      </w:r>
      <w:r>
        <w:rPr>
          <w:spacing w:val="-34"/>
        </w:rPr>
        <w:t>、</w:t>
      </w:r>
      <w:r>
        <w:t>我方</w:t>
      </w:r>
      <w:r>
        <w:rPr>
          <w:u w:val="single"/>
        </w:rPr>
        <w:t xml:space="preserve"> </w:t>
      </w:r>
      <w:r>
        <w:rPr>
          <w:u w:val="single"/>
        </w:rPr>
        <w:tab/>
      </w:r>
      <w:r>
        <w:t>（属于或不属于）</w:t>
      </w:r>
      <w:r>
        <w:rPr>
          <w:spacing w:val="-47"/>
        </w:rPr>
        <w:t xml:space="preserve"> </w:t>
      </w:r>
      <w:r>
        <w:t>为采购项目提供整体设计</w:t>
      </w:r>
      <w:r>
        <w:rPr>
          <w:spacing w:val="-34"/>
        </w:rPr>
        <w:t>、</w:t>
      </w:r>
      <w:r>
        <w:t>规范编制或者项目管理</w:t>
      </w:r>
      <w:r>
        <w:rPr>
          <w:spacing w:val="-34"/>
        </w:rPr>
        <w:t>、</w:t>
      </w:r>
      <w:r>
        <w:t>监理、检测等服务的供应商。</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spacing w:val="-17"/>
        </w:rPr>
      </w:pPr>
      <w:r>
        <w:t>4、其他与本项目有关的利害关系说明：</w:t>
      </w:r>
      <w:r>
        <w:rPr>
          <w:u w:val="single"/>
        </w:rPr>
        <w:t xml:space="preserve"> </w:t>
      </w:r>
      <w:r>
        <w:rPr>
          <w:u w:val="single"/>
        </w:rPr>
        <w:tab/>
      </w:r>
      <w:r>
        <w:rPr>
          <w:rFonts w:hint="eastAsia"/>
          <w:u w:val="single"/>
          <w:lang w:val="en-US" w:eastAsia="zh-CN"/>
        </w:rPr>
        <w:t xml:space="preserve">       </w:t>
      </w:r>
      <w:r>
        <w:rPr>
          <w:spacing w:val="-17"/>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sz w:val="24"/>
          <w:szCs w:val="28"/>
          <w:lang w:eastAsia="zh-CN"/>
        </w:rPr>
      </w:pPr>
      <w:r>
        <w:t>我单位承诺以上说明真实有效，无虚假内容或隐瞒。</w:t>
      </w:r>
    </w:p>
    <w:p>
      <w:pPr>
        <w:spacing w:before="240" w:beforeLines="100" w:after="120" w:afterLines="50" w:line="360" w:lineRule="auto"/>
        <w:ind w:firstLine="3521" w:firstLineChars="1420"/>
        <w:jc w:val="left"/>
        <w:rPr>
          <w:rFonts w:hint="eastAsia" w:ascii="宋体" w:hAnsi="宋体"/>
          <w:spacing w:val="4"/>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jc w:val="right"/>
        <w:rPr>
          <w:rFonts w:hint="eastAsia"/>
          <w:lang w:eastAsia="zh-CN"/>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pStyle w:val="33"/>
        <w:jc w:val="right"/>
        <w:rPr>
          <w:rFonts w:hint="eastAsia"/>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24"/>
        <w:rPr>
          <w:rFonts w:hint="eastAsia"/>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Times New Roman"/>
          <w:b/>
          <w:kern w:val="2"/>
          <w:sz w:val="28"/>
          <w:szCs w:val="28"/>
          <w:lang w:val="en-US" w:eastAsia="zh-CN" w:bidi="ar-SA"/>
        </w:rPr>
      </w:pPr>
      <w:r>
        <w:rPr>
          <w:rFonts w:hint="eastAsia" w:ascii="宋体" w:hAnsi="宋体"/>
          <w:b/>
          <w:sz w:val="28"/>
          <w:szCs w:val="28"/>
          <w:lang w:eastAsia="zh-CN"/>
        </w:rPr>
        <w:t>七、</w:t>
      </w:r>
      <w:r>
        <w:rPr>
          <w:rFonts w:hint="eastAsia" w:ascii="宋体" w:hAnsi="宋体" w:eastAsia="宋体" w:cs="Times New Roman"/>
          <w:b/>
          <w:kern w:val="2"/>
          <w:sz w:val="28"/>
          <w:szCs w:val="28"/>
          <w:lang w:val="en-US" w:eastAsia="zh-CN" w:bidi="ar-SA"/>
        </w:rPr>
        <w:t>供应商参加政府采购活动承诺书</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ascii="宋体" w:hAnsi="宋体" w:cs="宋体"/>
          <w:kern w:val="0"/>
          <w:sz w:val="24"/>
          <w:szCs w:val="24"/>
        </w:rPr>
      </w:pPr>
      <w:r>
        <w:rPr>
          <w:rFonts w:ascii="宋体" w:hAnsi="宋体" w:cs="宋体"/>
          <w:kern w:val="0"/>
          <w:sz w:val="24"/>
          <w:szCs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1、在参与政府采购活动中遵纪守法、诚信经营、公平竞标。</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2、不向政府</w:t>
      </w:r>
      <w:r>
        <w:rPr>
          <w:rFonts w:hint="eastAsia" w:ascii="宋体" w:hAnsi="宋体" w:cs="宋体"/>
          <w:kern w:val="0"/>
          <w:sz w:val="24"/>
          <w:szCs w:val="24"/>
        </w:rPr>
        <w:t>招标人</w:t>
      </w:r>
      <w:r>
        <w:rPr>
          <w:rFonts w:ascii="宋体" w:hAnsi="宋体" w:cs="宋体"/>
          <w:kern w:val="0"/>
          <w:sz w:val="24"/>
          <w:szCs w:val="24"/>
        </w:rPr>
        <w:t>、采购代理机构和政府采购评审专家进行任何形式的商业贿赂以谋取交易机会。</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3、不向政府采购代理机构和</w:t>
      </w:r>
      <w:r>
        <w:rPr>
          <w:rFonts w:hint="eastAsia" w:ascii="宋体" w:hAnsi="宋体" w:cs="宋体"/>
          <w:kern w:val="0"/>
          <w:sz w:val="24"/>
          <w:szCs w:val="24"/>
        </w:rPr>
        <w:t>招标人</w:t>
      </w:r>
      <w:r>
        <w:rPr>
          <w:rFonts w:ascii="宋体" w:hAnsi="宋体" w:cs="宋体"/>
          <w:kern w:val="0"/>
          <w:sz w:val="24"/>
          <w:szCs w:val="24"/>
        </w:rPr>
        <w:t>提供虚假资质文件或采用虚假应标方式参与政府采购市场竞争并谋取中标、成交。</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4、不采取“围标、陪标”等商业欺诈手段获得政府采购定单。</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5、不采取不正当手段诋毁、排挤其他</w:t>
      </w:r>
      <w:r>
        <w:rPr>
          <w:rFonts w:hint="eastAsia" w:ascii="宋体" w:hAnsi="宋体" w:cs="宋体"/>
          <w:kern w:val="0"/>
          <w:sz w:val="24"/>
          <w:szCs w:val="24"/>
        </w:rPr>
        <w:t>投标人</w:t>
      </w:r>
      <w:r>
        <w:rPr>
          <w:rFonts w:ascii="宋体" w:hAnsi="宋体" w:cs="宋体"/>
          <w:kern w:val="0"/>
          <w:sz w:val="24"/>
          <w:szCs w:val="24"/>
        </w:rPr>
        <w:t>。</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6、不在提供商品和服务时“偷梁换柱、以次充好”损害</w:t>
      </w:r>
      <w:r>
        <w:rPr>
          <w:rFonts w:hint="eastAsia" w:ascii="宋体" w:hAnsi="宋体" w:cs="宋体"/>
          <w:kern w:val="0"/>
          <w:sz w:val="24"/>
          <w:szCs w:val="24"/>
        </w:rPr>
        <w:t>招标人</w:t>
      </w:r>
      <w:r>
        <w:rPr>
          <w:rFonts w:ascii="宋体" w:hAnsi="宋体" w:cs="宋体"/>
          <w:kern w:val="0"/>
          <w:sz w:val="24"/>
          <w:szCs w:val="24"/>
        </w:rPr>
        <w:t>的合法权益。</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7、不与</w:t>
      </w:r>
      <w:r>
        <w:rPr>
          <w:rFonts w:hint="eastAsia" w:ascii="宋体" w:hAnsi="宋体" w:cs="宋体"/>
          <w:kern w:val="0"/>
          <w:sz w:val="24"/>
          <w:szCs w:val="24"/>
        </w:rPr>
        <w:t>招标人</w:t>
      </w:r>
      <w:r>
        <w:rPr>
          <w:rFonts w:ascii="宋体" w:hAnsi="宋体" w:cs="宋体"/>
          <w:kern w:val="0"/>
          <w:sz w:val="24"/>
          <w:szCs w:val="24"/>
        </w:rPr>
        <w:t>、采购代理机构政府采购评审专家或其它</w:t>
      </w:r>
      <w:r>
        <w:rPr>
          <w:rFonts w:hint="eastAsia" w:ascii="宋体" w:hAnsi="宋体" w:cs="宋体"/>
          <w:kern w:val="0"/>
          <w:sz w:val="24"/>
          <w:szCs w:val="24"/>
        </w:rPr>
        <w:t>投标人</w:t>
      </w:r>
      <w:r>
        <w:rPr>
          <w:rFonts w:ascii="宋体" w:hAnsi="宋体" w:cs="宋体"/>
          <w:kern w:val="0"/>
          <w:sz w:val="24"/>
          <w:szCs w:val="24"/>
        </w:rPr>
        <w:t>恶意串通，进行质疑和投诉，维护政府采购市场秩序。</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8、尊重和接受政府采购监督管理部门的监督和政府采购代理机构招标采购要求，承担因违约行为给</w:t>
      </w:r>
      <w:r>
        <w:rPr>
          <w:rFonts w:hint="eastAsia" w:ascii="宋体" w:hAnsi="宋体" w:cs="宋体"/>
          <w:kern w:val="0"/>
          <w:sz w:val="24"/>
          <w:szCs w:val="24"/>
        </w:rPr>
        <w:t>招标人</w:t>
      </w:r>
      <w:r>
        <w:rPr>
          <w:rFonts w:ascii="宋体" w:hAnsi="宋体" w:cs="宋体"/>
          <w:kern w:val="0"/>
          <w:sz w:val="24"/>
          <w:szCs w:val="24"/>
        </w:rPr>
        <w:t>造成的损失。</w:t>
      </w:r>
      <w:r>
        <w:rPr>
          <w:rFonts w:hint="eastAsia" w:ascii="宋体" w:hAnsi="宋体" w:cs="宋体"/>
          <w:kern w:val="0"/>
          <w:sz w:val="24"/>
          <w:szCs w:val="24"/>
        </w:rPr>
        <w:t xml:space="preserve">    </w:t>
      </w:r>
    </w:p>
    <w:p>
      <w:pPr>
        <w:widowControl/>
        <w:spacing w:line="520" w:lineRule="exact"/>
        <w:ind w:firstLine="480" w:firstLineChars="200"/>
        <w:jc w:val="left"/>
        <w:rPr>
          <w:rFonts w:ascii="宋体" w:hAnsi="宋体" w:cs="宋体"/>
          <w:kern w:val="0"/>
          <w:sz w:val="24"/>
          <w:szCs w:val="24"/>
        </w:rPr>
      </w:pPr>
      <w:r>
        <w:rPr>
          <w:rFonts w:ascii="宋体" w:hAnsi="宋体" w:cs="宋体"/>
          <w:kern w:val="0"/>
          <w:sz w:val="24"/>
          <w:szCs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szCs w:val="24"/>
        </w:rPr>
      </w:pPr>
    </w:p>
    <w:p>
      <w:pPr>
        <w:widowControl/>
        <w:spacing w:line="520" w:lineRule="exact"/>
        <w:ind w:left="239" w:leftChars="114" w:firstLine="470" w:firstLineChars="196"/>
        <w:jc w:val="left"/>
        <w:rPr>
          <w:rFonts w:ascii="宋体" w:hAnsi="宋体" w:cs="宋体"/>
          <w:kern w:val="0"/>
          <w:sz w:val="24"/>
          <w:szCs w:val="24"/>
        </w:rPr>
      </w:pPr>
    </w:p>
    <w:p>
      <w:pPr>
        <w:spacing w:before="240" w:beforeLines="100" w:after="120" w:afterLines="50" w:line="360" w:lineRule="auto"/>
        <w:ind w:firstLine="3521" w:firstLineChars="1420"/>
        <w:jc w:val="left"/>
        <w:rPr>
          <w:rFonts w:ascii="宋体" w:hAnsi="宋体" w:cs="宋体"/>
          <w:spacing w:val="14"/>
          <w:kern w:val="0"/>
          <w:sz w:val="24"/>
          <w:szCs w:val="24"/>
        </w:rPr>
      </w:pPr>
      <w:r>
        <w:rPr>
          <w:rFonts w:hint="eastAsia" w:ascii="宋体" w:hAnsi="宋体"/>
          <w:spacing w:val="4"/>
          <w:sz w:val="24"/>
          <w:szCs w:val="24"/>
        </w:rPr>
        <w:t>投标人名称：</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rPr>
        <w:t xml:space="preserve">  (</w:t>
      </w:r>
      <w:r>
        <w:rPr>
          <w:rFonts w:hint="eastAsia" w:ascii="宋体" w:hAnsi="宋体"/>
          <w:kern w:val="0"/>
          <w:sz w:val="24"/>
          <w:szCs w:val="24"/>
          <w:u w:val="single"/>
        </w:rPr>
        <w:t>盖公章)</w:t>
      </w:r>
    </w:p>
    <w:p>
      <w:pPr>
        <w:spacing w:before="240" w:beforeLines="100" w:after="120" w:afterLines="50" w:line="360" w:lineRule="auto"/>
        <w:ind w:firstLine="2520" w:firstLineChars="1050"/>
        <w:jc w:val="left"/>
        <w:rPr>
          <w:rFonts w:ascii="宋体" w:hAnsi="宋体"/>
          <w:spacing w:val="4"/>
          <w:sz w:val="24"/>
          <w:szCs w:val="24"/>
        </w:rPr>
      </w:pPr>
      <w:r>
        <w:rPr>
          <w:rFonts w:hint="eastAsia" w:ascii="宋体" w:hAnsi="宋体" w:cs="宋体"/>
          <w:kern w:val="0"/>
          <w:sz w:val="24"/>
          <w:szCs w:val="24"/>
        </w:rPr>
        <w:t>法定代表人或被授权人（</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p>
    <w:p>
      <w:pPr>
        <w:spacing w:line="360" w:lineRule="auto"/>
        <w:ind w:left="4621" w:firstLine="420"/>
        <w:jc w:val="center"/>
        <w:rPr>
          <w:rFonts w:ascii="宋体" w:hAnsi="宋体"/>
          <w:spacing w:val="4"/>
          <w:sz w:val="24"/>
          <w:szCs w:val="24"/>
        </w:rPr>
      </w:pPr>
      <w:r>
        <w:rPr>
          <w:rFonts w:hint="eastAsia" w:ascii="宋体" w:hAnsi="宋体"/>
          <w:spacing w:val="4"/>
          <w:sz w:val="24"/>
          <w:szCs w:val="24"/>
        </w:rPr>
        <w:t>日期：</w:t>
      </w:r>
      <w:r>
        <w:rPr>
          <w:rFonts w:hint="eastAsia" w:ascii="宋体" w:hAnsi="宋体"/>
          <w:spacing w:val="4"/>
          <w:sz w:val="24"/>
          <w:szCs w:val="24"/>
          <w:u w:val="single"/>
        </w:rPr>
        <w:t xml:space="preserve">     </w:t>
      </w:r>
      <w:r>
        <w:rPr>
          <w:rFonts w:hint="eastAsia" w:ascii="宋体" w:hAnsi="宋体"/>
          <w:spacing w:val="4"/>
          <w:sz w:val="24"/>
          <w:szCs w:val="24"/>
        </w:rPr>
        <w:t>年</w:t>
      </w:r>
      <w:r>
        <w:rPr>
          <w:rFonts w:hint="eastAsia" w:ascii="宋体" w:hAnsi="宋体"/>
          <w:spacing w:val="4"/>
          <w:sz w:val="24"/>
          <w:szCs w:val="24"/>
          <w:u w:val="single"/>
        </w:rPr>
        <w:t xml:space="preserve">    </w:t>
      </w:r>
      <w:r>
        <w:rPr>
          <w:rFonts w:hint="eastAsia" w:ascii="宋体" w:hAnsi="宋体"/>
          <w:spacing w:val="4"/>
          <w:sz w:val="24"/>
          <w:szCs w:val="24"/>
        </w:rPr>
        <w:t>月</w:t>
      </w:r>
      <w:r>
        <w:rPr>
          <w:rFonts w:hint="eastAsia" w:ascii="宋体" w:hAnsi="宋体"/>
          <w:spacing w:val="4"/>
          <w:sz w:val="24"/>
          <w:szCs w:val="24"/>
          <w:u w:val="single"/>
        </w:rPr>
        <w:t xml:space="preserve">     </w:t>
      </w:r>
      <w:r>
        <w:rPr>
          <w:rFonts w:hint="eastAsia" w:ascii="宋体" w:hAnsi="宋体"/>
          <w:spacing w:val="4"/>
          <w:sz w:val="24"/>
          <w:szCs w:val="24"/>
        </w:rPr>
        <w:t>日</w:t>
      </w:r>
    </w:p>
    <w:p>
      <w:pPr>
        <w:rPr>
          <w:rFonts w:hint="eastAsia" w:ascii="宋体" w:hAnsi="宋体"/>
          <w:b/>
          <w:sz w:val="28"/>
          <w:szCs w:val="28"/>
          <w:lang w:eastAsia="zh-CN"/>
        </w:rPr>
      </w:pPr>
    </w:p>
    <w:p>
      <w:pPr>
        <w:rPr>
          <w:rFonts w:hint="eastAsia" w:ascii="宋体" w:hAnsi="宋体"/>
          <w:b/>
          <w:sz w:val="28"/>
          <w:szCs w:val="28"/>
          <w:lang w:eastAsia="zh-CN"/>
        </w:rPr>
      </w:pPr>
      <w:r>
        <w:rPr>
          <w:rFonts w:hint="eastAsia" w:ascii="宋体" w:hAnsi="宋体"/>
          <w:b/>
          <w:sz w:val="28"/>
          <w:szCs w:val="28"/>
          <w:lang w:eastAsia="zh-CN"/>
        </w:rPr>
        <w:br w:type="page"/>
      </w:r>
    </w:p>
    <w:p>
      <w:pPr>
        <w:pStyle w:val="33"/>
        <w:jc w:val="center"/>
        <w:rPr>
          <w:rFonts w:hint="eastAsia" w:ascii="宋体" w:hAnsi="宋体"/>
          <w:b/>
          <w:sz w:val="28"/>
          <w:szCs w:val="28"/>
          <w:lang w:eastAsia="zh-CN"/>
        </w:rPr>
      </w:pPr>
      <w:r>
        <w:rPr>
          <w:rFonts w:hint="eastAsia" w:ascii="宋体" w:hAnsi="宋体"/>
          <w:b/>
          <w:sz w:val="28"/>
          <w:szCs w:val="28"/>
          <w:lang w:eastAsia="zh-CN"/>
        </w:rPr>
        <w:t>八、投标方案</w:t>
      </w:r>
    </w:p>
    <w:p>
      <w:pPr>
        <w:pStyle w:val="33"/>
        <w:rPr>
          <w:rFonts w:hint="eastAsia" w:asciiTheme="majorEastAsia" w:hAnsiTheme="majorEastAsia" w:eastAsiaTheme="majorEastAsia" w:cstheme="majorEastAsia"/>
          <w:sz w:val="24"/>
          <w:szCs w:val="24"/>
          <w:lang w:val="zh-CN"/>
        </w:rPr>
      </w:pPr>
      <w:bookmarkStart w:id="50" w:name="_Toc19527_WPSOffice_Level2"/>
      <w:r>
        <w:rPr>
          <w:rFonts w:hint="eastAsia" w:asciiTheme="majorEastAsia" w:hAnsiTheme="majorEastAsia" w:eastAsiaTheme="majorEastAsia" w:cstheme="majorEastAsia"/>
          <w:sz w:val="24"/>
          <w:szCs w:val="24"/>
          <w:lang w:val="zh-CN"/>
        </w:rPr>
        <w:t>投标人依据本项目评审办法编制商务和技术响应内容。（格式自拟）</w:t>
      </w:r>
      <w:bookmarkEnd w:id="50"/>
    </w:p>
    <w:p>
      <w:pPr>
        <w:rPr>
          <w:rFonts w:hint="eastAsia" w:asciiTheme="majorEastAsia" w:hAnsiTheme="majorEastAsia" w:eastAsiaTheme="majorEastAsia" w:cstheme="majorEastAsia"/>
          <w:sz w:val="24"/>
          <w:szCs w:val="24"/>
          <w:lang w:val="zh-CN" w:eastAsia="zh-CN"/>
        </w:rPr>
      </w:pPr>
      <w:r>
        <w:rPr>
          <w:rFonts w:hint="eastAsia" w:asciiTheme="majorEastAsia" w:hAnsiTheme="majorEastAsia" w:eastAsiaTheme="majorEastAsia" w:cstheme="majorEastAsia"/>
          <w:sz w:val="24"/>
          <w:szCs w:val="24"/>
          <w:lang w:val="zh-CN" w:eastAsia="zh-CN"/>
        </w:rPr>
        <w:br w:type="page"/>
      </w:r>
    </w:p>
    <w:p>
      <w:pPr>
        <w:pStyle w:val="33"/>
        <w:rPr>
          <w:rFonts w:hint="eastAsia" w:asciiTheme="majorEastAsia" w:hAnsiTheme="majorEastAsia" w:eastAsiaTheme="majorEastAsia" w:cstheme="majorEastAsia"/>
          <w:sz w:val="24"/>
          <w:szCs w:val="24"/>
          <w:lang w:val="zh-CN" w:eastAsia="zh-CN"/>
        </w:rPr>
      </w:pPr>
    </w:p>
    <w:p>
      <w:pPr>
        <w:jc w:val="left"/>
        <w:outlineLvl w:val="9"/>
        <w:rPr>
          <w:rFonts w:hint="eastAsia" w:ascii="宋体" w:hAnsi="宋体" w:eastAsia="宋体" w:cs="宋体"/>
          <w:b/>
          <w:sz w:val="28"/>
          <w:szCs w:val="28"/>
          <w:lang w:eastAsia="zh-CN"/>
        </w:rPr>
      </w:pPr>
      <w:r>
        <w:rPr>
          <w:rFonts w:hint="eastAsia" w:ascii="宋体" w:hAnsi="宋体" w:eastAsia="宋体" w:cs="宋体"/>
          <w:b/>
          <w:sz w:val="24"/>
          <w:szCs w:val="24"/>
        </w:rPr>
        <w:t>附件</w:t>
      </w:r>
      <w:r>
        <w:rPr>
          <w:rFonts w:hint="eastAsia" w:ascii="宋体" w:hAnsi="宋体" w:cs="宋体"/>
          <w:b/>
          <w:sz w:val="24"/>
          <w:szCs w:val="24"/>
          <w:lang w:eastAsia="zh-CN"/>
        </w:rPr>
        <w:t>：</w:t>
      </w:r>
      <w:r>
        <w:rPr>
          <w:rFonts w:hint="eastAsia" w:ascii="宋体" w:hAnsi="宋体" w:eastAsia="宋体" w:cs="宋体"/>
          <w:b/>
          <w:sz w:val="24"/>
          <w:szCs w:val="24"/>
        </w:rPr>
        <w:t>近三年</w:t>
      </w:r>
      <w:r>
        <w:rPr>
          <w:rFonts w:hint="eastAsia" w:ascii="宋体" w:hAnsi="宋体" w:eastAsia="宋体" w:cs="宋体"/>
          <w:b/>
          <w:sz w:val="24"/>
          <w:szCs w:val="24"/>
          <w:lang w:eastAsia="zh-CN"/>
        </w:rPr>
        <w:t>业绩</w:t>
      </w:r>
      <w:r>
        <w:rPr>
          <w:rFonts w:hint="eastAsia" w:ascii="宋体" w:hAnsi="宋体" w:eastAsia="宋体" w:cs="宋体"/>
          <w:b/>
          <w:sz w:val="24"/>
          <w:szCs w:val="24"/>
        </w:rPr>
        <w:t>情况表</w:t>
      </w:r>
    </w:p>
    <w:p>
      <w:pPr>
        <w:pStyle w:val="24"/>
        <w:outlineLvl w:val="9"/>
        <w:rPr>
          <w:rFonts w:hint="eastAsia" w:ascii="宋体" w:hAnsi="宋体" w:eastAsia="宋体" w:cs="宋体"/>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7"/>
        <w:gridCol w:w="3750"/>
        <w:gridCol w:w="1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1887"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合同签订时间</w:t>
            </w:r>
          </w:p>
        </w:tc>
        <w:tc>
          <w:tcPr>
            <w:tcW w:w="3750" w:type="dxa"/>
            <w:noWrap w:val="0"/>
            <w:vAlign w:val="center"/>
          </w:tcPr>
          <w:p>
            <w:pPr>
              <w:jc w:val="center"/>
              <w:outlineLvl w:val="9"/>
              <w:rPr>
                <w:rFonts w:hint="eastAsia" w:ascii="宋体" w:hAnsi="宋体" w:eastAsia="宋体" w:cs="宋体"/>
                <w:b/>
                <w:sz w:val="24"/>
                <w:szCs w:val="24"/>
              </w:rPr>
            </w:pPr>
            <w:r>
              <w:rPr>
                <w:rFonts w:hint="eastAsia" w:ascii="宋体" w:hAnsi="宋体" w:eastAsia="宋体" w:cs="宋体"/>
                <w:b/>
                <w:sz w:val="24"/>
                <w:szCs w:val="24"/>
              </w:rPr>
              <w:t>项目名称</w:t>
            </w:r>
          </w:p>
        </w:tc>
        <w:tc>
          <w:tcPr>
            <w:tcW w:w="1042" w:type="dxa"/>
            <w:noWrap w:val="0"/>
            <w:vAlign w:val="center"/>
          </w:tcPr>
          <w:p>
            <w:pPr>
              <w:jc w:val="center"/>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noWrap w:val="0"/>
            <w:vAlign w:val="top"/>
          </w:tcPr>
          <w:p>
            <w:pPr>
              <w:outlineLvl w:val="9"/>
              <w:rPr>
                <w:rFonts w:hint="eastAsia" w:ascii="宋体" w:hAnsi="宋体" w:eastAsia="宋体" w:cs="宋体"/>
                <w:sz w:val="24"/>
                <w:szCs w:val="24"/>
              </w:rPr>
            </w:pPr>
          </w:p>
        </w:tc>
        <w:tc>
          <w:tcPr>
            <w:tcW w:w="1887" w:type="dxa"/>
            <w:noWrap w:val="0"/>
            <w:vAlign w:val="top"/>
          </w:tcPr>
          <w:p>
            <w:pPr>
              <w:outlineLvl w:val="9"/>
              <w:rPr>
                <w:rFonts w:hint="eastAsia" w:ascii="宋体" w:hAnsi="宋体" w:eastAsia="宋体" w:cs="宋体"/>
                <w:sz w:val="24"/>
                <w:szCs w:val="24"/>
              </w:rPr>
            </w:pPr>
          </w:p>
        </w:tc>
        <w:tc>
          <w:tcPr>
            <w:tcW w:w="3750" w:type="dxa"/>
            <w:noWrap w:val="0"/>
            <w:vAlign w:val="top"/>
          </w:tcPr>
          <w:p>
            <w:pPr>
              <w:outlineLvl w:val="9"/>
              <w:rPr>
                <w:rFonts w:hint="eastAsia" w:ascii="宋体" w:hAnsi="宋体" w:eastAsia="宋体" w:cs="宋体"/>
                <w:sz w:val="24"/>
                <w:szCs w:val="24"/>
              </w:rPr>
            </w:pPr>
          </w:p>
        </w:tc>
        <w:tc>
          <w:tcPr>
            <w:tcW w:w="1042" w:type="dxa"/>
            <w:noWrap w:val="0"/>
            <w:vAlign w:val="top"/>
          </w:tcPr>
          <w:p>
            <w:pPr>
              <w:outlineLvl w:val="9"/>
              <w:rPr>
                <w:rFonts w:hint="eastAsia" w:ascii="宋体" w:hAnsi="宋体" w:eastAsia="宋体" w:cs="宋体"/>
                <w:sz w:val="24"/>
                <w:szCs w:val="24"/>
              </w:rPr>
            </w:pPr>
          </w:p>
        </w:tc>
      </w:tr>
    </w:tbl>
    <w:p>
      <w:pPr>
        <w:jc w:val="left"/>
        <w:outlineLvl w:val="9"/>
        <w:rPr>
          <w:rFonts w:hint="eastAsia" w:ascii="宋体" w:hAnsi="宋体" w:eastAsia="宋体" w:cs="宋体"/>
          <w:b/>
          <w:bCs/>
          <w:szCs w:val="21"/>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w:t>
      </w:r>
      <w:r>
        <w:rPr>
          <w:rFonts w:hint="eastAsia" w:ascii="宋体" w:hAnsi="宋体" w:cs="宋体"/>
          <w:sz w:val="24"/>
          <w:szCs w:val="24"/>
          <w:lang w:val="zh-CN"/>
        </w:rPr>
        <w:t>投标人</w:t>
      </w:r>
      <w:r>
        <w:rPr>
          <w:rFonts w:hint="eastAsia" w:ascii="宋体" w:hAnsi="宋体" w:eastAsia="宋体" w:cs="宋体"/>
          <w:sz w:val="24"/>
          <w:szCs w:val="24"/>
          <w:lang w:val="zh-CN"/>
        </w:rPr>
        <w:t>应如实列出以上情况，如有隐瞒，一经查实将导致其</w:t>
      </w:r>
      <w:r>
        <w:rPr>
          <w:rFonts w:hint="eastAsia" w:ascii="宋体" w:hAnsi="宋体" w:cs="宋体"/>
          <w:sz w:val="24"/>
          <w:szCs w:val="24"/>
          <w:lang w:val="zh-CN"/>
        </w:rPr>
        <w:t>招标投标文件</w:t>
      </w:r>
      <w:r>
        <w:rPr>
          <w:rFonts w:hint="eastAsia" w:ascii="宋体" w:hAnsi="宋体" w:eastAsia="宋体" w:cs="宋体"/>
          <w:sz w:val="24"/>
          <w:szCs w:val="24"/>
          <w:lang w:val="zh-CN"/>
        </w:rPr>
        <w:t>被拒绝。</w:t>
      </w:r>
    </w:p>
    <w:p>
      <w:pPr>
        <w:keepNext w:val="0"/>
        <w:keepLines w:val="0"/>
        <w:pageBreakBefore w:val="0"/>
        <w:widowControl w:val="0"/>
        <w:kinsoku/>
        <w:wordWrap/>
        <w:overflowPunct/>
        <w:topLinePunct w:val="0"/>
        <w:bidi w:val="0"/>
        <w:snapToGrid/>
        <w:spacing w:line="360" w:lineRule="auto"/>
        <w:ind w:firstLine="480" w:firstLineChars="20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.未按上述要求提供、填写的，评审时不予以考虑。</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14"/>
          <w:kern w:val="0"/>
          <w:sz w:val="24"/>
        </w:rPr>
      </w:pPr>
      <w:r>
        <w:rPr>
          <w:rFonts w:hint="eastAsia" w:ascii="宋体" w:hAnsi="宋体" w:cs="宋体"/>
          <w:spacing w:val="4"/>
          <w:sz w:val="24"/>
          <w:lang w:eastAsia="zh-CN"/>
        </w:rPr>
        <w:t>投标人</w:t>
      </w:r>
      <w:r>
        <w:rPr>
          <w:rFonts w:hint="eastAsia" w:ascii="宋体" w:hAnsi="宋体" w:eastAsia="宋体" w:cs="宋体"/>
          <w:spacing w:val="4"/>
          <w:sz w:val="24"/>
        </w:rPr>
        <w:t>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pStyle w:val="33"/>
        <w:jc w:val="right"/>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color w:val="000000"/>
          <w:sz w:val="24"/>
        </w:rPr>
      </w:pPr>
      <w:r>
        <w:rPr>
          <w:rFonts w:hint="eastAsia" w:ascii="宋体" w:hAnsi="宋体" w:eastAsia="宋体" w:cs="宋体"/>
          <w:color w:val="000000"/>
          <w:sz w:val="24"/>
        </w:rPr>
        <w:br w:type="page"/>
      </w:r>
    </w:p>
    <w:p>
      <w:pPr>
        <w:tabs>
          <w:tab w:val="center" w:pos="4756"/>
          <w:tab w:val="right" w:pos="8969"/>
        </w:tabs>
        <w:spacing w:line="360" w:lineRule="auto"/>
        <w:ind w:firstLine="211"/>
        <w:jc w:val="center"/>
        <w:outlineLvl w:val="0"/>
        <w:rPr>
          <w:rFonts w:hint="eastAsia" w:ascii="黑体" w:hAnsi="宋体" w:eastAsia="仿宋"/>
          <w:sz w:val="28"/>
          <w:szCs w:val="28"/>
          <w:lang w:val="en-US" w:eastAsia="zh-CN"/>
        </w:rPr>
      </w:pPr>
      <w:r>
        <w:rPr>
          <w:rFonts w:hint="eastAsia" w:ascii="黑体" w:hAnsi="宋体" w:eastAsia="黑体"/>
          <w:sz w:val="28"/>
          <w:szCs w:val="28"/>
          <w:lang w:val="en-US" w:eastAsia="zh-CN"/>
        </w:rPr>
        <w:t>九、</w:t>
      </w:r>
      <w:r>
        <w:rPr>
          <w:rFonts w:hint="eastAsia" w:ascii="仿宋" w:hAnsi="仿宋" w:eastAsia="仿宋" w:cs="仿宋"/>
          <w:b/>
          <w:color w:val="000000"/>
          <w:sz w:val="32"/>
          <w:szCs w:val="32"/>
          <w:highlight w:val="none"/>
        </w:rPr>
        <w:t>中小企业</w:t>
      </w:r>
      <w:r>
        <w:rPr>
          <w:rFonts w:hint="eastAsia" w:ascii="仿宋" w:hAnsi="仿宋" w:eastAsia="仿宋" w:cs="仿宋"/>
          <w:b/>
          <w:color w:val="000000"/>
          <w:sz w:val="32"/>
          <w:szCs w:val="32"/>
          <w:highlight w:val="none"/>
          <w:lang w:eastAsia="zh-CN"/>
        </w:rPr>
        <w:t>、</w:t>
      </w:r>
      <w:r>
        <w:rPr>
          <w:rFonts w:hint="eastAsia" w:ascii="仿宋" w:hAnsi="仿宋" w:eastAsia="仿宋" w:cs="仿宋"/>
          <w:b/>
          <w:bCs/>
          <w:color w:val="auto"/>
          <w:sz w:val="28"/>
          <w:szCs w:val="28"/>
          <w:highlight w:val="none"/>
          <w:lang w:val="en-US" w:eastAsia="zh-CN"/>
        </w:rPr>
        <w:t>监狱企业、残疾人福利性单位声明函</w:t>
      </w:r>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本公司（联合体）郑重声明，根据《政府采购促进中小企业发展管理办法》（财库﹝2020﹞46 号）的规定，本公司</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（联合体）参加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（单位名称）的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 xml:space="preserve">（项目名称）采购活动，服务全部由符合政策要求的中小企业承接。相关企业（含联合体中的中小企业、签订分包意向协议的中小企业）的具体情况如下：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i/>
          <w:iCs/>
          <w:color w:val="000000"/>
          <w:kern w:val="0"/>
          <w:sz w:val="24"/>
          <w:szCs w:val="24"/>
          <w:highlight w:val="none"/>
          <w:u w:val="single"/>
          <w:lang w:eastAsia="zh-CN" w:bidi="ar"/>
        </w:rPr>
        <w:t>其他未列明行业</w:t>
      </w:r>
      <w:r>
        <w:rPr>
          <w:rFonts w:hint="eastAsia" w:ascii="仿宋" w:hAnsi="仿宋" w:eastAsia="仿宋" w:cs="仿宋"/>
          <w:i/>
          <w:iCs/>
          <w:color w:val="000000"/>
          <w:kern w:val="0"/>
          <w:sz w:val="24"/>
          <w:szCs w:val="24"/>
          <w:highlight w:val="none"/>
          <w:u w:val="single"/>
          <w:lang w:bidi="ar"/>
        </w:rPr>
        <w:t>）</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pacing w:line="360" w:lineRule="auto"/>
        <w:jc w:val="center"/>
        <w:rPr>
          <w:rFonts w:hint="eastAsia" w:ascii="仿宋" w:hAnsi="仿宋" w:eastAsia="仿宋" w:cs="仿宋"/>
          <w:b/>
          <w:highlight w:val="none"/>
        </w:rPr>
      </w:pPr>
    </w:p>
    <w:p>
      <w:pPr>
        <w:snapToGrid w:val="0"/>
        <w:spacing w:line="360" w:lineRule="auto"/>
        <w:rPr>
          <w:rFonts w:hint="eastAsia" w:ascii="仿宋" w:hAnsi="仿宋" w:eastAsia="仿宋" w:cs="仿宋"/>
          <w:sz w:val="24"/>
          <w:szCs w:val="24"/>
          <w:highlight w:val="none"/>
        </w:rPr>
      </w:pP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p>
    <w:p>
      <w:pPr>
        <w:spacing w:line="360" w:lineRule="auto"/>
        <w:jc w:val="left"/>
        <w:rPr>
          <w:rFonts w:hint="eastAsia" w:ascii="仿宋" w:hAnsi="仿宋" w:eastAsia="仿宋" w:cs="仿宋"/>
          <w:b/>
          <w:highlight w:val="none"/>
          <w:lang w:eastAsia="zh-CN"/>
        </w:rPr>
      </w:pPr>
      <w:r>
        <w:rPr>
          <w:rFonts w:hint="eastAsia" w:ascii="仿宋" w:hAnsi="仿宋" w:eastAsia="仿宋" w:cs="仿宋"/>
          <w:b/>
          <w:bCs/>
          <w:sz w:val="24"/>
          <w:szCs w:val="24"/>
          <w:highlight w:val="none"/>
        </w:rPr>
        <w:t>注：如投标单位为中小企业，须按格式逐项填写，否则评审时不予折扣，非中小企业，投标文件此表不需附。</w:t>
      </w:r>
    </w:p>
    <w:p>
      <w:pPr>
        <w:pStyle w:val="24"/>
        <w:ind w:left="0" w:leftChars="0" w:firstLine="0" w:firstLineChars="0"/>
      </w:pPr>
    </w:p>
    <w:p>
      <w:pPr>
        <w:bidi w:val="0"/>
        <w:jc w:val="center"/>
        <w:rPr>
          <w:rFonts w:hint="eastAsia" w:ascii="仿宋" w:hAnsi="仿宋" w:eastAsia="仿宋" w:cs="仿宋"/>
          <w:b/>
          <w:bCs/>
          <w:color w:val="auto"/>
          <w:sz w:val="28"/>
          <w:szCs w:val="28"/>
          <w:highlight w:val="none"/>
          <w:lang w:val="en-US" w:eastAsia="zh-CN"/>
        </w:rPr>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51" w:name="_Toc27316"/>
      <w:bookmarkStart w:id="52" w:name="_Toc2120"/>
      <w:bookmarkStart w:id="53" w:name="_Toc17605"/>
      <w:r>
        <w:rPr>
          <w:rFonts w:hint="eastAsia" w:ascii="仿宋" w:hAnsi="仿宋" w:eastAsia="仿宋" w:cs="仿宋"/>
          <w:b/>
          <w:bCs/>
          <w:color w:val="auto"/>
          <w:sz w:val="28"/>
          <w:szCs w:val="28"/>
          <w:highlight w:val="none"/>
          <w:lang w:val="en-US" w:eastAsia="zh-CN"/>
        </w:rPr>
        <w:t>监狱企业声明函（如有）</w:t>
      </w:r>
      <w:bookmarkEnd w:id="51"/>
      <w:bookmarkEnd w:id="52"/>
      <w:bookmarkEnd w:id="53"/>
    </w:p>
    <w:p>
      <w:pPr>
        <w:pStyle w:val="17"/>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17"/>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17"/>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pStyle w:val="17"/>
        <w:rPr>
          <w:rFonts w:hint="eastAsia" w:ascii="仿宋" w:hAnsi="仿宋" w:eastAsia="仿宋" w:cs="仿宋"/>
          <w:spacing w:val="6"/>
          <w:sz w:val="24"/>
          <w:szCs w:val="24"/>
        </w:rPr>
      </w:pP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pStyle w:val="17"/>
        <w:rPr>
          <w:rFonts w:hint="eastAsia"/>
        </w:rPr>
      </w:pP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17"/>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lang w:val="en-US" w:eastAsia="zh-CN"/>
        </w:rPr>
        <w:tab/>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adjustRightInd w:val="0"/>
        <w:snapToGrid w:val="0"/>
        <w:spacing w:before="50" w:line="360" w:lineRule="auto"/>
        <w:jc w:val="center"/>
        <w:rPr>
          <w:rFonts w:ascii="宋体" w:hAnsi="宋体"/>
          <w:b/>
          <w:sz w:val="36"/>
          <w:szCs w:val="36"/>
        </w:rPr>
      </w:pPr>
    </w:p>
    <w:p/>
    <w:p/>
    <w:p>
      <w:pPr>
        <w:rPr>
          <w:rFonts w:hint="eastAsia" w:ascii="宋体" w:hAnsi="宋体"/>
          <w:b/>
          <w:sz w:val="28"/>
          <w:szCs w:val="28"/>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031"/>
        <w:tab w:val="clear" w:pos="4153"/>
      </w:tabs>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21" w:rightChars="-153"/>
      <w:rPr>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6D791"/>
    <w:multiLevelType w:val="singleLevel"/>
    <w:tmpl w:val="8816D791"/>
    <w:lvl w:ilvl="0" w:tentative="0">
      <w:start w:val="1"/>
      <w:numFmt w:val="chineseCounting"/>
      <w:suff w:val="nothing"/>
      <w:lvlText w:val="（%1）"/>
      <w:lvlJc w:val="left"/>
      <w:rPr>
        <w:rFonts w:hint="eastAsia"/>
      </w:rPr>
    </w:lvl>
  </w:abstractNum>
  <w:abstractNum w:abstractNumId="1">
    <w:nsid w:val="8F2242C1"/>
    <w:multiLevelType w:val="singleLevel"/>
    <w:tmpl w:val="8F2242C1"/>
    <w:lvl w:ilvl="0" w:tentative="0">
      <w:start w:val="5"/>
      <w:numFmt w:val="chineseCounting"/>
      <w:suff w:val="space"/>
      <w:lvlText w:val="第%1章"/>
      <w:lvlJc w:val="left"/>
      <w:rPr>
        <w:rFonts w:hint="eastAsia"/>
      </w:rPr>
    </w:lvl>
  </w:abstractNum>
  <w:abstractNum w:abstractNumId="2">
    <w:nsid w:val="9A0B3695"/>
    <w:multiLevelType w:val="singleLevel"/>
    <w:tmpl w:val="9A0B3695"/>
    <w:lvl w:ilvl="0" w:tentative="0">
      <w:start w:val="1"/>
      <w:numFmt w:val="chineseCounting"/>
      <w:suff w:val="nothing"/>
      <w:lvlText w:val="%1、"/>
      <w:lvlJc w:val="left"/>
      <w:rPr>
        <w:rFonts w:hint="eastAsia"/>
      </w:rPr>
    </w:lvl>
  </w:abstractNum>
  <w:abstractNum w:abstractNumId="3">
    <w:nsid w:val="A80711AF"/>
    <w:multiLevelType w:val="singleLevel"/>
    <w:tmpl w:val="A80711AF"/>
    <w:lvl w:ilvl="0" w:tentative="0">
      <w:start w:val="2"/>
      <w:numFmt w:val="chineseCounting"/>
      <w:suff w:val="space"/>
      <w:lvlText w:val="第%1章"/>
      <w:lvlJc w:val="left"/>
      <w:rPr>
        <w:rFonts w:hint="eastAsia"/>
      </w:rPr>
    </w:lvl>
  </w:abstractNum>
  <w:abstractNum w:abstractNumId="4">
    <w:nsid w:val="AB916F1B"/>
    <w:multiLevelType w:val="singleLevel"/>
    <w:tmpl w:val="AB916F1B"/>
    <w:lvl w:ilvl="0" w:tentative="0">
      <w:start w:val="1"/>
      <w:numFmt w:val="chineseCounting"/>
      <w:suff w:val="nothing"/>
      <w:lvlText w:val="%1、"/>
      <w:lvlJc w:val="left"/>
      <w:rPr>
        <w:rFonts w:hint="eastAsia"/>
      </w:rPr>
    </w:lvl>
  </w:abstractNum>
  <w:abstractNum w:abstractNumId="5">
    <w:nsid w:val="C220970B"/>
    <w:multiLevelType w:val="singleLevel"/>
    <w:tmpl w:val="C220970B"/>
    <w:lvl w:ilvl="0" w:tentative="0">
      <w:start w:val="2"/>
      <w:numFmt w:val="decimal"/>
      <w:suff w:val="nothing"/>
      <w:lvlText w:val="%1、"/>
      <w:lvlJc w:val="left"/>
    </w:lvl>
  </w:abstractNum>
  <w:abstractNum w:abstractNumId="6">
    <w:nsid w:val="0000000E"/>
    <w:multiLevelType w:val="singleLevel"/>
    <w:tmpl w:val="0000000E"/>
    <w:lvl w:ilvl="0" w:tentative="0">
      <w:start w:val="2"/>
      <w:numFmt w:val="decimal"/>
      <w:suff w:val="nothing"/>
      <w:lvlText w:val="%1）"/>
      <w:lvlJc w:val="left"/>
    </w:lvl>
  </w:abstractNum>
  <w:abstractNum w:abstractNumId="7">
    <w:nsid w:val="0000001F"/>
    <w:multiLevelType w:val="singleLevel"/>
    <w:tmpl w:val="0000001F"/>
    <w:lvl w:ilvl="0" w:tentative="0">
      <w:start w:val="1"/>
      <w:numFmt w:val="decimal"/>
      <w:pStyle w:val="41"/>
      <w:lvlText w:val="%1．"/>
      <w:lvlJc w:val="left"/>
      <w:pPr>
        <w:tabs>
          <w:tab w:val="left" w:pos="720"/>
        </w:tabs>
        <w:ind w:left="720" w:hanging="720"/>
      </w:pPr>
    </w:lvl>
  </w:abstractNum>
  <w:abstractNum w:abstractNumId="8">
    <w:nsid w:val="003A01C5"/>
    <w:multiLevelType w:val="singleLevel"/>
    <w:tmpl w:val="003A01C5"/>
    <w:lvl w:ilvl="0" w:tentative="0">
      <w:start w:val="2"/>
      <w:numFmt w:val="chineseCounting"/>
      <w:suff w:val="nothing"/>
      <w:lvlText w:val="（%1）"/>
      <w:lvlJc w:val="left"/>
      <w:rPr>
        <w:rFonts w:hint="eastAsia"/>
      </w:rPr>
    </w:lvl>
  </w:abstractNum>
  <w:abstractNum w:abstractNumId="9">
    <w:nsid w:val="34D9309C"/>
    <w:multiLevelType w:val="singleLevel"/>
    <w:tmpl w:val="34D9309C"/>
    <w:lvl w:ilvl="0" w:tentative="0">
      <w:start w:val="1"/>
      <w:numFmt w:val="decimal"/>
      <w:suff w:val="nothing"/>
      <w:lvlText w:val="%1、"/>
      <w:lvlJc w:val="left"/>
    </w:lvl>
  </w:abstractNum>
  <w:abstractNum w:abstractNumId="10">
    <w:nsid w:val="5A5C05C4"/>
    <w:multiLevelType w:val="singleLevel"/>
    <w:tmpl w:val="5A5C05C4"/>
    <w:lvl w:ilvl="0" w:tentative="0">
      <w:start w:val="1"/>
      <w:numFmt w:val="chineseCounting"/>
      <w:suff w:val="nothing"/>
      <w:lvlText w:val="%1、"/>
      <w:lvlJc w:val="left"/>
    </w:lvl>
  </w:abstractNum>
  <w:abstractNum w:abstractNumId="11">
    <w:nsid w:val="5A5C15F4"/>
    <w:multiLevelType w:val="singleLevel"/>
    <w:tmpl w:val="5A5C15F4"/>
    <w:lvl w:ilvl="0" w:tentative="0">
      <w:start w:val="1"/>
      <w:numFmt w:val="chineseCounting"/>
      <w:suff w:val="nothing"/>
      <w:lvlText w:val="（%1）"/>
      <w:lvlJc w:val="left"/>
    </w:lvl>
  </w:abstractNum>
  <w:abstractNum w:abstractNumId="12">
    <w:nsid w:val="5A5C1F4D"/>
    <w:multiLevelType w:val="singleLevel"/>
    <w:tmpl w:val="5A5C1F4D"/>
    <w:lvl w:ilvl="0" w:tentative="0">
      <w:start w:val="1"/>
      <w:numFmt w:val="chineseCounting"/>
      <w:suff w:val="nothing"/>
      <w:lvlText w:val="（%1）"/>
      <w:lvlJc w:val="left"/>
    </w:lvl>
  </w:abstractNum>
  <w:abstractNum w:abstractNumId="13">
    <w:nsid w:val="5A5D5740"/>
    <w:multiLevelType w:val="singleLevel"/>
    <w:tmpl w:val="5A5D5740"/>
    <w:lvl w:ilvl="0" w:tentative="0">
      <w:start w:val="1"/>
      <w:numFmt w:val="decimal"/>
      <w:suff w:val="nothing"/>
      <w:lvlText w:val="%1、"/>
      <w:lvlJc w:val="left"/>
    </w:lvl>
  </w:abstractNum>
  <w:abstractNum w:abstractNumId="14">
    <w:nsid w:val="5A5D6497"/>
    <w:multiLevelType w:val="singleLevel"/>
    <w:tmpl w:val="5A5D6497"/>
    <w:lvl w:ilvl="0" w:tentative="0">
      <w:start w:val="1"/>
      <w:numFmt w:val="chineseCounting"/>
      <w:suff w:val="nothing"/>
      <w:lvlText w:val="（%1）"/>
      <w:lvlJc w:val="left"/>
    </w:lvl>
  </w:abstractNum>
  <w:abstractNum w:abstractNumId="15">
    <w:nsid w:val="7D884B97"/>
    <w:multiLevelType w:val="singleLevel"/>
    <w:tmpl w:val="7D884B97"/>
    <w:lvl w:ilvl="0" w:tentative="0">
      <w:start w:val="1"/>
      <w:numFmt w:val="decimal"/>
      <w:suff w:val="nothing"/>
      <w:lvlText w:val="（%1）"/>
      <w:lvlJc w:val="left"/>
    </w:lvl>
  </w:abstractNum>
  <w:num w:numId="1">
    <w:abstractNumId w:val="7"/>
  </w:num>
  <w:num w:numId="2">
    <w:abstractNumId w:val="3"/>
  </w:num>
  <w:num w:numId="3">
    <w:abstractNumId w:val="9"/>
  </w:num>
  <w:num w:numId="4">
    <w:abstractNumId w:val="15"/>
  </w:num>
  <w:num w:numId="5">
    <w:abstractNumId w:val="8"/>
  </w:num>
  <w:num w:numId="6">
    <w:abstractNumId w:val="6"/>
  </w:num>
  <w:num w:numId="7">
    <w:abstractNumId w:val="10"/>
  </w:num>
  <w:num w:numId="8">
    <w:abstractNumId w:val="11"/>
  </w:num>
  <w:num w:numId="9">
    <w:abstractNumId w:val="12"/>
  </w:num>
  <w:num w:numId="10">
    <w:abstractNumId w:val="13"/>
  </w:num>
  <w:num w:numId="11">
    <w:abstractNumId w:val="14"/>
  </w:num>
  <w:num w:numId="12">
    <w:abstractNumId w:val="2"/>
  </w:num>
  <w:num w:numId="13">
    <w:abstractNumId w:val="0"/>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Y4M2YyYzU5Y2M4MzI3MWJkYTdjMjBhNGIxMjcifQ=="/>
  </w:docVars>
  <w:rsids>
    <w:rsidRoot w:val="00172A27"/>
    <w:rsid w:val="00172A27"/>
    <w:rsid w:val="00267055"/>
    <w:rsid w:val="003C6770"/>
    <w:rsid w:val="003F707F"/>
    <w:rsid w:val="00401F77"/>
    <w:rsid w:val="00435E0F"/>
    <w:rsid w:val="005B7163"/>
    <w:rsid w:val="00611A70"/>
    <w:rsid w:val="0095224A"/>
    <w:rsid w:val="00E36B8C"/>
    <w:rsid w:val="00E83E01"/>
    <w:rsid w:val="00FE3A99"/>
    <w:rsid w:val="012F3858"/>
    <w:rsid w:val="01472CC0"/>
    <w:rsid w:val="015B0367"/>
    <w:rsid w:val="017956BE"/>
    <w:rsid w:val="01B807CA"/>
    <w:rsid w:val="02652B70"/>
    <w:rsid w:val="028E21B9"/>
    <w:rsid w:val="02FF14A1"/>
    <w:rsid w:val="03381FC2"/>
    <w:rsid w:val="036D62EE"/>
    <w:rsid w:val="038F676A"/>
    <w:rsid w:val="03DA3D37"/>
    <w:rsid w:val="03F24B22"/>
    <w:rsid w:val="04011D9C"/>
    <w:rsid w:val="05182A48"/>
    <w:rsid w:val="05D02B81"/>
    <w:rsid w:val="05D55F76"/>
    <w:rsid w:val="068A4760"/>
    <w:rsid w:val="06E12694"/>
    <w:rsid w:val="06F113C0"/>
    <w:rsid w:val="07202074"/>
    <w:rsid w:val="078C7D61"/>
    <w:rsid w:val="07FA7EA1"/>
    <w:rsid w:val="087B32CA"/>
    <w:rsid w:val="09263232"/>
    <w:rsid w:val="09330589"/>
    <w:rsid w:val="09716CC1"/>
    <w:rsid w:val="0AF56A87"/>
    <w:rsid w:val="0B63416C"/>
    <w:rsid w:val="0C83280E"/>
    <w:rsid w:val="0E283D01"/>
    <w:rsid w:val="0ECC12D1"/>
    <w:rsid w:val="0F0772F5"/>
    <w:rsid w:val="0F381499"/>
    <w:rsid w:val="0F714502"/>
    <w:rsid w:val="0FAF2C1E"/>
    <w:rsid w:val="0FD50CBC"/>
    <w:rsid w:val="0FF81F3D"/>
    <w:rsid w:val="10632421"/>
    <w:rsid w:val="10662A09"/>
    <w:rsid w:val="113925FE"/>
    <w:rsid w:val="116C265A"/>
    <w:rsid w:val="11C819F1"/>
    <w:rsid w:val="1251211F"/>
    <w:rsid w:val="133A133D"/>
    <w:rsid w:val="13402AAE"/>
    <w:rsid w:val="13C11660"/>
    <w:rsid w:val="143B4BF9"/>
    <w:rsid w:val="14AC4245"/>
    <w:rsid w:val="14B5624E"/>
    <w:rsid w:val="14D61F11"/>
    <w:rsid w:val="157306F8"/>
    <w:rsid w:val="15BB5BFB"/>
    <w:rsid w:val="15C97F83"/>
    <w:rsid w:val="17223588"/>
    <w:rsid w:val="17BE131D"/>
    <w:rsid w:val="18064C76"/>
    <w:rsid w:val="18963AB3"/>
    <w:rsid w:val="18AC61EB"/>
    <w:rsid w:val="199275A7"/>
    <w:rsid w:val="19EA713B"/>
    <w:rsid w:val="1B855047"/>
    <w:rsid w:val="1BDA5679"/>
    <w:rsid w:val="1D832D1B"/>
    <w:rsid w:val="1DB81756"/>
    <w:rsid w:val="1E2E11D5"/>
    <w:rsid w:val="1E851EC5"/>
    <w:rsid w:val="1F714F4F"/>
    <w:rsid w:val="1F723023"/>
    <w:rsid w:val="1F8519CE"/>
    <w:rsid w:val="1FAD0CAB"/>
    <w:rsid w:val="1FBF1FDE"/>
    <w:rsid w:val="1FEB7CE4"/>
    <w:rsid w:val="1FF61994"/>
    <w:rsid w:val="20963FD2"/>
    <w:rsid w:val="20A32951"/>
    <w:rsid w:val="22EE069E"/>
    <w:rsid w:val="23A6106C"/>
    <w:rsid w:val="23D8425C"/>
    <w:rsid w:val="240D391C"/>
    <w:rsid w:val="24654B8B"/>
    <w:rsid w:val="24C97FFB"/>
    <w:rsid w:val="24F36DF1"/>
    <w:rsid w:val="25654BF9"/>
    <w:rsid w:val="25CA2AC6"/>
    <w:rsid w:val="260F714C"/>
    <w:rsid w:val="261D5482"/>
    <w:rsid w:val="26DA704E"/>
    <w:rsid w:val="27521E32"/>
    <w:rsid w:val="27546750"/>
    <w:rsid w:val="27EC0CAA"/>
    <w:rsid w:val="28BB6AFD"/>
    <w:rsid w:val="29CA2F90"/>
    <w:rsid w:val="29D95E78"/>
    <w:rsid w:val="2A2474E2"/>
    <w:rsid w:val="2A30713D"/>
    <w:rsid w:val="2A813D65"/>
    <w:rsid w:val="2AD96156"/>
    <w:rsid w:val="2B231E21"/>
    <w:rsid w:val="2BAD264D"/>
    <w:rsid w:val="2C53467C"/>
    <w:rsid w:val="2C6F15B0"/>
    <w:rsid w:val="2CA50CAA"/>
    <w:rsid w:val="2DD24E04"/>
    <w:rsid w:val="2DE93A97"/>
    <w:rsid w:val="3059204C"/>
    <w:rsid w:val="306D2CB5"/>
    <w:rsid w:val="308A63FF"/>
    <w:rsid w:val="30DD29F2"/>
    <w:rsid w:val="31274E1E"/>
    <w:rsid w:val="319318A7"/>
    <w:rsid w:val="31E92469"/>
    <w:rsid w:val="32A00F2D"/>
    <w:rsid w:val="32A66E23"/>
    <w:rsid w:val="32C768D4"/>
    <w:rsid w:val="33615BDC"/>
    <w:rsid w:val="33C51FF3"/>
    <w:rsid w:val="346D1752"/>
    <w:rsid w:val="34D862CC"/>
    <w:rsid w:val="351A24E7"/>
    <w:rsid w:val="35233101"/>
    <w:rsid w:val="35410B17"/>
    <w:rsid w:val="35543FAA"/>
    <w:rsid w:val="35B82AA8"/>
    <w:rsid w:val="35D356C0"/>
    <w:rsid w:val="35E96C3F"/>
    <w:rsid w:val="370A3BF4"/>
    <w:rsid w:val="37A46CFE"/>
    <w:rsid w:val="37A60136"/>
    <w:rsid w:val="37D51ACE"/>
    <w:rsid w:val="39882DD0"/>
    <w:rsid w:val="39B05B15"/>
    <w:rsid w:val="39C0439E"/>
    <w:rsid w:val="39D96C03"/>
    <w:rsid w:val="3A0642DB"/>
    <w:rsid w:val="3A5F76FE"/>
    <w:rsid w:val="3A881467"/>
    <w:rsid w:val="3AC014F0"/>
    <w:rsid w:val="3B0D4800"/>
    <w:rsid w:val="3B48618B"/>
    <w:rsid w:val="3B4E6DB7"/>
    <w:rsid w:val="3BF00D0C"/>
    <w:rsid w:val="3C612B89"/>
    <w:rsid w:val="3C681EFA"/>
    <w:rsid w:val="3CB23617"/>
    <w:rsid w:val="3CD16567"/>
    <w:rsid w:val="3CD67F5C"/>
    <w:rsid w:val="3D2B1EF0"/>
    <w:rsid w:val="3DAF5262"/>
    <w:rsid w:val="3DEA05ED"/>
    <w:rsid w:val="3E961EE4"/>
    <w:rsid w:val="3E9A1FA2"/>
    <w:rsid w:val="3ED40781"/>
    <w:rsid w:val="3F4978CC"/>
    <w:rsid w:val="40054222"/>
    <w:rsid w:val="403B26BF"/>
    <w:rsid w:val="40504184"/>
    <w:rsid w:val="407D3C89"/>
    <w:rsid w:val="409A2128"/>
    <w:rsid w:val="40F96549"/>
    <w:rsid w:val="41FF7485"/>
    <w:rsid w:val="424A0073"/>
    <w:rsid w:val="424F14CB"/>
    <w:rsid w:val="42882097"/>
    <w:rsid w:val="42DE4B54"/>
    <w:rsid w:val="43E216AD"/>
    <w:rsid w:val="443127FD"/>
    <w:rsid w:val="447A77FD"/>
    <w:rsid w:val="447E5BD1"/>
    <w:rsid w:val="447E7078"/>
    <w:rsid w:val="44A96429"/>
    <w:rsid w:val="44BB10C2"/>
    <w:rsid w:val="450114C5"/>
    <w:rsid w:val="45F0737F"/>
    <w:rsid w:val="46355B6B"/>
    <w:rsid w:val="47256702"/>
    <w:rsid w:val="4866689E"/>
    <w:rsid w:val="48717829"/>
    <w:rsid w:val="493C1ACD"/>
    <w:rsid w:val="4AAA72C4"/>
    <w:rsid w:val="4B8160ED"/>
    <w:rsid w:val="4BA72FB4"/>
    <w:rsid w:val="4C723FEC"/>
    <w:rsid w:val="4CA45AF7"/>
    <w:rsid w:val="4CAD0BAC"/>
    <w:rsid w:val="4D1B0752"/>
    <w:rsid w:val="4DA42E3E"/>
    <w:rsid w:val="4E1D0557"/>
    <w:rsid w:val="4E8E29F3"/>
    <w:rsid w:val="4EA2097E"/>
    <w:rsid w:val="4ED00884"/>
    <w:rsid w:val="4EEE1854"/>
    <w:rsid w:val="507903C6"/>
    <w:rsid w:val="50A6165E"/>
    <w:rsid w:val="50AB184B"/>
    <w:rsid w:val="51100F2D"/>
    <w:rsid w:val="513C50E8"/>
    <w:rsid w:val="51A800FD"/>
    <w:rsid w:val="51C05DF1"/>
    <w:rsid w:val="529D41C2"/>
    <w:rsid w:val="52CB4D9D"/>
    <w:rsid w:val="52DA3949"/>
    <w:rsid w:val="52F13991"/>
    <w:rsid w:val="52F90325"/>
    <w:rsid w:val="530230BE"/>
    <w:rsid w:val="530304D5"/>
    <w:rsid w:val="53BF1DED"/>
    <w:rsid w:val="53F658CF"/>
    <w:rsid w:val="54513AB7"/>
    <w:rsid w:val="54714599"/>
    <w:rsid w:val="54E34890"/>
    <w:rsid w:val="550610E6"/>
    <w:rsid w:val="5557649B"/>
    <w:rsid w:val="556B6A0E"/>
    <w:rsid w:val="55CF1198"/>
    <w:rsid w:val="55E55E95"/>
    <w:rsid w:val="562811E0"/>
    <w:rsid w:val="56307F1D"/>
    <w:rsid w:val="566118CC"/>
    <w:rsid w:val="56887B71"/>
    <w:rsid w:val="578A6A3D"/>
    <w:rsid w:val="57AF4A2D"/>
    <w:rsid w:val="57BD712A"/>
    <w:rsid w:val="57E76427"/>
    <w:rsid w:val="58624313"/>
    <w:rsid w:val="589231AE"/>
    <w:rsid w:val="58984C08"/>
    <w:rsid w:val="58DD7B76"/>
    <w:rsid w:val="593171CA"/>
    <w:rsid w:val="59527A1D"/>
    <w:rsid w:val="596A073D"/>
    <w:rsid w:val="59BF0FEB"/>
    <w:rsid w:val="5A104D79"/>
    <w:rsid w:val="5A5217A5"/>
    <w:rsid w:val="5AA956E4"/>
    <w:rsid w:val="5B734B9C"/>
    <w:rsid w:val="5B8A5421"/>
    <w:rsid w:val="5C530A8C"/>
    <w:rsid w:val="5D0228D3"/>
    <w:rsid w:val="5D343826"/>
    <w:rsid w:val="5DB03139"/>
    <w:rsid w:val="5DF27291"/>
    <w:rsid w:val="5DFF2579"/>
    <w:rsid w:val="5E0E0A85"/>
    <w:rsid w:val="5E590139"/>
    <w:rsid w:val="5ED370DF"/>
    <w:rsid w:val="5F8D4901"/>
    <w:rsid w:val="60664297"/>
    <w:rsid w:val="60BA74A1"/>
    <w:rsid w:val="61556623"/>
    <w:rsid w:val="616731FF"/>
    <w:rsid w:val="618C7D31"/>
    <w:rsid w:val="62380440"/>
    <w:rsid w:val="627F21E0"/>
    <w:rsid w:val="62B859AC"/>
    <w:rsid w:val="63AE4F8A"/>
    <w:rsid w:val="64651B65"/>
    <w:rsid w:val="64BA2A51"/>
    <w:rsid w:val="64E90691"/>
    <w:rsid w:val="65D5227D"/>
    <w:rsid w:val="65E54338"/>
    <w:rsid w:val="66FD56DB"/>
    <w:rsid w:val="678D2023"/>
    <w:rsid w:val="688C36E7"/>
    <w:rsid w:val="68C40040"/>
    <w:rsid w:val="698E526D"/>
    <w:rsid w:val="6A2F6DE1"/>
    <w:rsid w:val="6A792345"/>
    <w:rsid w:val="6ACF6E07"/>
    <w:rsid w:val="6AF644FA"/>
    <w:rsid w:val="6B0C5BF9"/>
    <w:rsid w:val="6B233BB6"/>
    <w:rsid w:val="6B4E428B"/>
    <w:rsid w:val="6C0D10CA"/>
    <w:rsid w:val="6C16562E"/>
    <w:rsid w:val="6C6770DD"/>
    <w:rsid w:val="6CB423CE"/>
    <w:rsid w:val="6D196069"/>
    <w:rsid w:val="6D2C33FF"/>
    <w:rsid w:val="6D305EC5"/>
    <w:rsid w:val="6D3B3E5D"/>
    <w:rsid w:val="6D3C0118"/>
    <w:rsid w:val="6D4A2C62"/>
    <w:rsid w:val="6D9F6F50"/>
    <w:rsid w:val="6E7C32EF"/>
    <w:rsid w:val="6E96710E"/>
    <w:rsid w:val="6F1C2D0B"/>
    <w:rsid w:val="6F484F7F"/>
    <w:rsid w:val="6F7C326E"/>
    <w:rsid w:val="6F7C6609"/>
    <w:rsid w:val="6F875978"/>
    <w:rsid w:val="70B6742B"/>
    <w:rsid w:val="72083CFD"/>
    <w:rsid w:val="722F6C2A"/>
    <w:rsid w:val="725A21C1"/>
    <w:rsid w:val="72A22F46"/>
    <w:rsid w:val="73155B1C"/>
    <w:rsid w:val="73265870"/>
    <w:rsid w:val="73400906"/>
    <w:rsid w:val="73462BAB"/>
    <w:rsid w:val="73626CC3"/>
    <w:rsid w:val="73F05464"/>
    <w:rsid w:val="74E90663"/>
    <w:rsid w:val="75143C3F"/>
    <w:rsid w:val="753C3F14"/>
    <w:rsid w:val="75986EAD"/>
    <w:rsid w:val="75E17EDC"/>
    <w:rsid w:val="765A17CC"/>
    <w:rsid w:val="77497F44"/>
    <w:rsid w:val="77A42618"/>
    <w:rsid w:val="77EC39D3"/>
    <w:rsid w:val="77FE3990"/>
    <w:rsid w:val="791A3440"/>
    <w:rsid w:val="79B51ABF"/>
    <w:rsid w:val="7A1E696F"/>
    <w:rsid w:val="7A534C1E"/>
    <w:rsid w:val="7A58553D"/>
    <w:rsid w:val="7B61243E"/>
    <w:rsid w:val="7BF9233D"/>
    <w:rsid w:val="7C081039"/>
    <w:rsid w:val="7C7435A2"/>
    <w:rsid w:val="7CAF759C"/>
    <w:rsid w:val="7D52615C"/>
    <w:rsid w:val="7D735168"/>
    <w:rsid w:val="7DB00A54"/>
    <w:rsid w:val="7E0563F3"/>
    <w:rsid w:val="7E383460"/>
    <w:rsid w:val="7E65148F"/>
    <w:rsid w:val="7EE03EBA"/>
    <w:rsid w:val="7F466C9F"/>
    <w:rsid w:val="7F904CDA"/>
    <w:rsid w:val="7FE1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99"/>
    <w:pPr>
      <w:keepNext/>
      <w:keepLines/>
      <w:spacing w:before="120" w:after="120" w:line="360" w:lineRule="auto"/>
      <w:jc w:val="center"/>
      <w:outlineLvl w:val="1"/>
    </w:pPr>
    <w:rPr>
      <w:rFonts w:ascii="Arial" w:hAnsi="Arial"/>
      <w:b/>
      <w:bCs/>
      <w:sz w:val="36"/>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6"/>
    <w:basedOn w:val="1"/>
    <w:next w:val="1"/>
    <w:autoRedefine/>
    <w:qFormat/>
    <w:uiPriority w:val="99"/>
    <w:pPr>
      <w:keepNext/>
      <w:keepLines/>
      <w:spacing w:before="240" w:after="64" w:line="320" w:lineRule="auto"/>
      <w:outlineLvl w:val="5"/>
    </w:pPr>
    <w:rPr>
      <w:rFonts w:ascii="Calibri Light" w:hAnsi="Calibri Light"/>
      <w:b/>
      <w:bCs/>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99"/>
    <w:pPr>
      <w:ind w:firstLine="420" w:firstLineChars="200"/>
    </w:pPr>
    <w:rPr>
      <w:rFonts w:ascii="仿宋_GB2312" w:eastAsia="仿宋_GB2312" w:cs="仿宋_GB2312"/>
    </w:rPr>
  </w:style>
  <w:style w:type="paragraph" w:styleId="8">
    <w:name w:val="toc 4"/>
    <w:basedOn w:val="1"/>
    <w:next w:val="1"/>
    <w:autoRedefine/>
    <w:qFormat/>
    <w:uiPriority w:val="0"/>
    <w:pPr>
      <w:ind w:left="1260" w:leftChars="600"/>
    </w:pPr>
    <w:rPr>
      <w:rFonts w:ascii="Times New Roman" w:hAnsi="Times New Roman" w:eastAsia="宋体" w:cs="Times New Roman"/>
    </w:rPr>
  </w:style>
  <w:style w:type="paragraph" w:styleId="9">
    <w:name w:val="Document Map"/>
    <w:basedOn w:val="1"/>
    <w:autoRedefine/>
    <w:qFormat/>
    <w:uiPriority w:val="0"/>
    <w:pPr>
      <w:shd w:val="clear" w:color="auto" w:fill="000080"/>
    </w:pPr>
  </w:style>
  <w:style w:type="paragraph" w:styleId="10">
    <w:name w:val="toa heading"/>
    <w:basedOn w:val="1"/>
    <w:next w:val="1"/>
    <w:autoRedefine/>
    <w:unhideWhenUsed/>
    <w:qFormat/>
    <w:uiPriority w:val="99"/>
    <w:pPr>
      <w:spacing w:before="120"/>
    </w:pPr>
    <w:rPr>
      <w:rFonts w:ascii="Cambria" w:hAnsi="Cambria"/>
      <w:sz w:val="24"/>
      <w:szCs w:val="24"/>
    </w:rPr>
  </w:style>
  <w:style w:type="paragraph" w:styleId="11">
    <w:name w:val="annotation text"/>
    <w:basedOn w:val="1"/>
    <w:link w:val="46"/>
    <w:autoRedefine/>
    <w:qFormat/>
    <w:uiPriority w:val="0"/>
    <w:pPr>
      <w:jc w:val="left"/>
    </w:pPr>
  </w:style>
  <w:style w:type="paragraph" w:styleId="12">
    <w:name w:val="Body Text"/>
    <w:basedOn w:val="1"/>
    <w:next w:val="1"/>
    <w:autoRedefine/>
    <w:unhideWhenUsed/>
    <w:qFormat/>
    <w:uiPriority w:val="1"/>
    <w:pPr>
      <w:spacing w:after="120"/>
    </w:pPr>
  </w:style>
  <w:style w:type="paragraph" w:styleId="13">
    <w:name w:val="Body Text Indent"/>
    <w:basedOn w:val="1"/>
    <w:autoRedefine/>
    <w:unhideWhenUsed/>
    <w:qFormat/>
    <w:uiPriority w:val="99"/>
    <w:pPr>
      <w:spacing w:after="120"/>
      <w:ind w:left="420" w:leftChars="200"/>
    </w:pPr>
  </w:style>
  <w:style w:type="paragraph" w:styleId="14">
    <w:name w:val="Block Text"/>
    <w:basedOn w:val="1"/>
    <w:autoRedefine/>
    <w:qFormat/>
    <w:uiPriority w:val="0"/>
    <w:pPr>
      <w:ind w:left="420" w:leftChars="200" w:right="-70" w:rightChars="-70" w:firstLine="560" w:firstLineChars="200"/>
    </w:pPr>
    <w:rPr>
      <w:rFonts w:ascii="楷体_GB2312" w:eastAsia="楷体_GB2312"/>
      <w:sz w:val="28"/>
      <w:szCs w:val="20"/>
    </w:rPr>
  </w:style>
  <w:style w:type="paragraph" w:styleId="15">
    <w:name w:val="Plain Text"/>
    <w:basedOn w:val="1"/>
    <w:autoRedefine/>
    <w:qFormat/>
    <w:uiPriority w:val="99"/>
    <w:rPr>
      <w:rFonts w:ascii="宋体" w:hAnsi="Courier New"/>
      <w:szCs w:val="21"/>
    </w:rPr>
  </w:style>
  <w:style w:type="paragraph" w:styleId="16">
    <w:name w:val="Balloon Text"/>
    <w:basedOn w:val="1"/>
    <w:link w:val="49"/>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Body Text Indent 3"/>
    <w:basedOn w:val="1"/>
    <w:autoRedefine/>
    <w:qFormat/>
    <w:uiPriority w:val="0"/>
    <w:pPr>
      <w:spacing w:line="410" w:lineRule="exact"/>
      <w:ind w:left="619" w:leftChars="295" w:firstLine="390" w:firstLineChars="179"/>
    </w:pPr>
    <w:rPr>
      <w:rFonts w:ascii="宋体" w:hAnsi="宋体"/>
      <w:spacing w:val="4"/>
      <w:kern w:val="0"/>
      <w:sz w:val="20"/>
      <w:szCs w:val="20"/>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Title"/>
    <w:basedOn w:val="1"/>
    <w:next w:val="1"/>
    <w:autoRedefine/>
    <w:qFormat/>
    <w:uiPriority w:val="0"/>
    <w:pPr>
      <w:spacing w:before="240" w:after="60"/>
      <w:jc w:val="center"/>
      <w:outlineLvl w:val="0"/>
    </w:pPr>
    <w:rPr>
      <w:rFonts w:ascii="Cambria" w:hAnsi="Cambria"/>
      <w:b/>
      <w:sz w:val="32"/>
      <w:szCs w:val="20"/>
    </w:rPr>
  </w:style>
  <w:style w:type="paragraph" w:styleId="23">
    <w:name w:val="Body Text First Indent"/>
    <w:basedOn w:val="12"/>
    <w:next w:val="24"/>
    <w:autoRedefine/>
    <w:qFormat/>
    <w:uiPriority w:val="0"/>
    <w:pPr>
      <w:spacing w:line="360" w:lineRule="auto"/>
      <w:ind w:firstLine="420"/>
    </w:pPr>
    <w:rPr>
      <w:rFonts w:ascii="宋体" w:hAnsi="宋体"/>
      <w:sz w:val="24"/>
    </w:rPr>
  </w:style>
  <w:style w:type="paragraph" w:styleId="24">
    <w:name w:val="Body Text First Indent 2"/>
    <w:basedOn w:val="13"/>
    <w:next w:val="23"/>
    <w:autoRedefine/>
    <w:unhideWhenUsed/>
    <w:qFormat/>
    <w:uiPriority w:val="0"/>
    <w:pPr>
      <w:spacing w:line="360" w:lineRule="auto"/>
      <w:ind w:firstLine="420" w:firstLineChars="200"/>
    </w:pPr>
    <w:rPr>
      <w:rFonts w:eastAsia="仿宋_GB231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rPr>
  </w:style>
  <w:style w:type="character" w:styleId="29">
    <w:name w:val="FollowedHyperlink"/>
    <w:basedOn w:val="27"/>
    <w:autoRedefine/>
    <w:qFormat/>
    <w:uiPriority w:val="0"/>
    <w:rPr>
      <w:color w:val="2D5D7D"/>
      <w:u w:val="none"/>
    </w:rPr>
  </w:style>
  <w:style w:type="character" w:styleId="30">
    <w:name w:val="Hyperlink"/>
    <w:basedOn w:val="27"/>
    <w:autoRedefine/>
    <w:qFormat/>
    <w:uiPriority w:val="0"/>
    <w:rPr>
      <w:color w:val="2D5D7D"/>
      <w:u w:val="none"/>
    </w:rPr>
  </w:style>
  <w:style w:type="character" w:styleId="31">
    <w:name w:val="annotation reference"/>
    <w:basedOn w:val="27"/>
    <w:autoRedefine/>
    <w:unhideWhenUsed/>
    <w:qFormat/>
    <w:uiPriority w:val="99"/>
    <w:rPr>
      <w:sz w:val="21"/>
      <w:szCs w:val="21"/>
    </w:rPr>
  </w:style>
  <w:style w:type="paragraph" w:customStyle="1" w:styleId="32">
    <w:name w:val="正文缩进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33">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Heading4"/>
    <w:basedOn w:val="1"/>
    <w:next w:val="1"/>
    <w:autoRedefine/>
    <w:qFormat/>
    <w:uiPriority w:val="0"/>
    <w:pPr>
      <w:keepNext/>
      <w:jc w:val="both"/>
      <w:textAlignment w:val="baseline"/>
    </w:pPr>
    <w:rPr>
      <w:color w:val="FF0000"/>
      <w:kern w:val="2"/>
      <w:sz w:val="28"/>
      <w:u w:val="single"/>
      <w:lang w:val="en-US" w:eastAsia="zh-CN" w:bidi="ar-SA"/>
    </w:rPr>
  </w:style>
  <w:style w:type="paragraph" w:customStyle="1" w:styleId="35">
    <w:name w:val="HTML Preformatted1"/>
    <w:basedOn w:val="1"/>
    <w:autoRedefine/>
    <w:qFormat/>
    <w:uiPriority w:val="0"/>
    <w:rPr>
      <w:rFonts w:ascii="Courier New" w:hAnsi="Courier New"/>
      <w:sz w:val="20"/>
    </w:rPr>
  </w:style>
  <w:style w:type="paragraph" w:customStyle="1" w:styleId="36">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7">
    <w:name w:val="正文11"/>
    <w:autoRedefine/>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38">
    <w:name w:val="WPSOffice手动目录 1"/>
    <w:autoRedefine/>
    <w:qFormat/>
    <w:uiPriority w:val="0"/>
    <w:rPr>
      <w:rFonts w:ascii="Calibri" w:hAnsi="Calibri" w:eastAsia="宋体" w:cs="Times New Roman"/>
      <w:lang w:val="en-US" w:eastAsia="zh-CN" w:bidi="ar-SA"/>
    </w:rPr>
  </w:style>
  <w:style w:type="paragraph" w:customStyle="1" w:styleId="39">
    <w:name w:val="p15"/>
    <w:basedOn w:val="1"/>
    <w:autoRedefine/>
    <w:qFormat/>
    <w:uiPriority w:val="99"/>
    <w:pPr>
      <w:widowControl/>
    </w:pPr>
    <w:rPr>
      <w:kern w:val="0"/>
      <w:szCs w:val="21"/>
    </w:rPr>
  </w:style>
  <w:style w:type="paragraph" w:customStyle="1" w:styleId="40">
    <w:name w:val="列出段落1"/>
    <w:basedOn w:val="1"/>
    <w:autoRedefine/>
    <w:qFormat/>
    <w:uiPriority w:val="0"/>
    <w:pPr>
      <w:ind w:firstLine="420" w:firstLineChars="200"/>
    </w:pPr>
    <w:rPr>
      <w:rFonts w:ascii="Calibri" w:hAnsi="Calibri"/>
      <w:kern w:val="0"/>
      <w:sz w:val="20"/>
    </w:rPr>
  </w:style>
  <w:style w:type="paragraph" w:customStyle="1" w:styleId="41">
    <w:name w:val="Char"/>
    <w:basedOn w:val="9"/>
    <w:next w:val="4"/>
    <w:autoRedefine/>
    <w:qFormat/>
    <w:uiPriority w:val="0"/>
    <w:pPr>
      <w:numPr>
        <w:ilvl w:val="0"/>
        <w:numId w:val="1"/>
      </w:numPr>
      <w:tabs>
        <w:tab w:val="left" w:pos="1200"/>
        <w:tab w:val="clear" w:pos="720"/>
      </w:tabs>
      <w:ind w:left="1200" w:hanging="360"/>
    </w:pPr>
    <w:rPr>
      <w:sz w:val="24"/>
      <w:szCs w:val="24"/>
    </w:rPr>
  </w:style>
  <w:style w:type="paragraph" w:customStyle="1" w:styleId="42">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43">
    <w:name w:val="font01"/>
    <w:basedOn w:val="27"/>
    <w:autoRedefine/>
    <w:qFormat/>
    <w:uiPriority w:val="0"/>
    <w:rPr>
      <w:rFonts w:hint="eastAsia" w:ascii="宋体" w:hAnsi="宋体" w:eastAsia="宋体" w:cs="宋体"/>
      <w:b/>
      <w:bCs/>
      <w:color w:val="000000"/>
      <w:sz w:val="36"/>
      <w:szCs w:val="36"/>
      <w:u w:val="none"/>
    </w:rPr>
  </w:style>
  <w:style w:type="character" w:customStyle="1" w:styleId="44">
    <w:name w:val="item-name"/>
    <w:basedOn w:val="27"/>
    <w:autoRedefine/>
    <w:qFormat/>
    <w:uiPriority w:val="0"/>
  </w:style>
  <w:style w:type="character" w:customStyle="1" w:styleId="45">
    <w:name w:val="item-name1"/>
    <w:basedOn w:val="27"/>
    <w:autoRedefine/>
    <w:qFormat/>
    <w:uiPriority w:val="0"/>
  </w:style>
  <w:style w:type="character" w:customStyle="1" w:styleId="46">
    <w:name w:val="批注文字 字符"/>
    <w:basedOn w:val="27"/>
    <w:link w:val="11"/>
    <w:autoRedefine/>
    <w:qFormat/>
    <w:uiPriority w:val="0"/>
    <w:rPr>
      <w:kern w:val="2"/>
      <w:sz w:val="21"/>
      <w:szCs w:val="22"/>
    </w:rPr>
  </w:style>
  <w:style w:type="paragraph" w:styleId="47">
    <w:name w:val="List Paragraph"/>
    <w:basedOn w:val="1"/>
    <w:link w:val="48"/>
    <w:autoRedefine/>
    <w:qFormat/>
    <w:uiPriority w:val="34"/>
    <w:pPr>
      <w:spacing w:line="360" w:lineRule="auto"/>
      <w:ind w:firstLine="420" w:firstLineChars="200"/>
    </w:pPr>
    <w:rPr>
      <w:rFonts w:ascii="宋体" w:hAnsi="宋体" w:cs="宋体"/>
    </w:rPr>
  </w:style>
  <w:style w:type="character" w:customStyle="1" w:styleId="48">
    <w:name w:val="列出段落 字符"/>
    <w:link w:val="47"/>
    <w:autoRedefine/>
    <w:qFormat/>
    <w:uiPriority w:val="34"/>
    <w:rPr>
      <w:rFonts w:ascii="宋体" w:hAnsi="宋体" w:cs="宋体"/>
      <w:kern w:val="2"/>
      <w:sz w:val="21"/>
      <w:szCs w:val="22"/>
    </w:rPr>
  </w:style>
  <w:style w:type="character" w:customStyle="1" w:styleId="49">
    <w:name w:val="批注框文本 字符"/>
    <w:basedOn w:val="27"/>
    <w:link w:val="16"/>
    <w:autoRedefine/>
    <w:qFormat/>
    <w:uiPriority w:val="0"/>
    <w:rPr>
      <w:kern w:val="2"/>
      <w:sz w:val="18"/>
      <w:szCs w:val="18"/>
    </w:rPr>
  </w:style>
  <w:style w:type="paragraph" w:customStyle="1" w:styleId="5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文档正文"/>
    <w:basedOn w:val="1"/>
    <w:autoRedefine/>
    <w:qFormat/>
    <w:uiPriority w:val="0"/>
    <w:pPr>
      <w:wordWrap w:val="0"/>
      <w:spacing w:before="156" w:after="156" w:line="360" w:lineRule="auto"/>
      <w:ind w:firstLine="480" w:firstLineChars="200"/>
    </w:pPr>
    <w:rPr>
      <w:kern w:val="0"/>
      <w:sz w:val="24"/>
      <w:szCs w:val="20"/>
    </w:rPr>
  </w:style>
  <w:style w:type="paragraph" w:customStyle="1" w:styleId="52">
    <w:name w:val="样式2"/>
    <w:basedOn w:val="17"/>
    <w:autoRedefine/>
    <w:qFormat/>
    <w:uiPriority w:val="0"/>
    <w:pPr>
      <w:pBdr>
        <w:top w:val="single" w:color="auto" w:sz="4" w:space="1"/>
      </w:pBdr>
    </w:pPr>
    <w:rPr>
      <w:szCs w:val="18"/>
    </w:rPr>
  </w:style>
  <w:style w:type="paragraph" w:customStyle="1" w:styleId="53">
    <w:name w:val="！正文"/>
    <w:basedOn w:val="1"/>
    <w:autoRedefine/>
    <w:qFormat/>
    <w:uiPriority w:val="0"/>
    <w:pPr>
      <w:widowControl/>
      <w:spacing w:line="360" w:lineRule="auto"/>
      <w:ind w:firstLine="420" w:firstLineChars="200"/>
    </w:pPr>
    <w:rPr>
      <w:rFonts w:cs="宋体"/>
      <w:kern w:val="0"/>
      <w:szCs w:val="20"/>
    </w:rPr>
  </w:style>
  <w:style w:type="paragraph" w:customStyle="1" w:styleId="54">
    <w:name w:val="Table Paragraph"/>
    <w:basedOn w:val="1"/>
    <w:autoRedefine/>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hikvision.com</Company>
  <Pages>85</Pages>
  <Words>48395</Words>
  <Characters>51337</Characters>
  <Lines>400</Lines>
  <Paragraphs>112</Paragraphs>
  <TotalTime>1</TotalTime>
  <ScaleCrop>false</ScaleCrop>
  <LinksUpToDate>false</LinksUpToDate>
  <CharactersWithSpaces>53957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张晋通</dc:creator>
  <cp:lastModifiedBy>张晋通</cp:lastModifiedBy>
  <cp:lastPrinted>2022-03-24T02:43:00Z</cp:lastPrinted>
  <dcterms:modified xsi:type="dcterms:W3CDTF">2024-01-08T06:51:45Z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6EEB0903459D48298D386AC0E26F1FB7_13</vt:lpwstr>
  </property>
</Properties>
</file>