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outlineLvl w:val="9"/>
        <w:rPr>
          <w:rFonts w:hint="eastAsia" w:ascii="宋体" w:hAnsi="宋体" w:eastAsia="宋体" w:cs="宋体"/>
        </w:rPr>
      </w:pPr>
    </w:p>
    <w:p>
      <w:pPr>
        <w:pageBreakBefore w:val="0"/>
        <w:kinsoku/>
        <w:overflowPunct/>
        <w:topLinePunct w:val="0"/>
        <w:bidi w:val="0"/>
        <w:spacing w:line="360" w:lineRule="auto"/>
        <w:jc w:val="both"/>
        <w:outlineLvl w:val="9"/>
        <w:rPr>
          <w:rFonts w:hint="default"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cs="宋体"/>
          <w:sz w:val="24"/>
          <w:szCs w:val="24"/>
          <w:lang w:eastAsia="zh-CN"/>
        </w:rPr>
        <w:t>TYRZ-2024-ZZ059</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Style w:val="17"/>
        <w:jc w:val="center"/>
        <w:outlineLvl w:val="9"/>
        <w:rPr>
          <w:rFonts w:hint="default" w:ascii="宋体" w:hAnsi="宋体" w:eastAsia="宋体" w:cs="宋体"/>
          <w:b/>
          <w:color w:val="000000"/>
          <w:sz w:val="48"/>
          <w:szCs w:val="48"/>
          <w:lang w:eastAsia="zh-CN"/>
        </w:rPr>
      </w:pPr>
      <w:r>
        <w:rPr>
          <w:rFonts w:hint="eastAsia" w:ascii="宋体" w:hAnsi="宋体" w:cs="宋体"/>
          <w:b/>
          <w:bCs/>
          <w:sz w:val="48"/>
          <w:szCs w:val="48"/>
          <w:lang w:eastAsia="zh-CN"/>
        </w:rPr>
        <w:t>2024年周至县道路清扫保洁、垃圾清运、绿化养护、公厕管理市场化运作项目</w:t>
      </w:r>
    </w:p>
    <w:p>
      <w:pPr>
        <w:pStyle w:val="32"/>
        <w:jc w:val="center"/>
        <w:rPr>
          <w:rFonts w:hint="eastAsia" w:ascii="宋体" w:hAnsi="宋体" w:eastAsia="宋体" w:cs="宋体"/>
          <w:b/>
          <w:sz w:val="48"/>
          <w:szCs w:val="48"/>
          <w:lang w:eastAsia="zh-CN"/>
        </w:rPr>
      </w:pPr>
      <w:r>
        <w:rPr>
          <w:rFonts w:hint="eastAsia" w:hAnsi="宋体" w:cs="宋体"/>
          <w:b/>
          <w:sz w:val="48"/>
          <w:szCs w:val="48"/>
          <w:lang w:eastAsia="zh-CN"/>
        </w:rPr>
        <w:t>（合同包 2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lang w:eastAsia="zh-CN"/>
        </w:rPr>
        <w:t>招标</w:t>
      </w:r>
      <w:r>
        <w:rPr>
          <w:rFonts w:hint="eastAsia" w:ascii="宋体" w:hAnsi="宋体" w:eastAsia="宋体" w:cs="宋体"/>
          <w:b/>
          <w:sz w:val="72"/>
          <w:szCs w:val="72"/>
        </w:rPr>
        <w:t>文件</w:t>
      </w:r>
    </w:p>
    <w:p>
      <w:pPr>
        <w:pStyle w:val="32"/>
        <w:rPr>
          <w:rFonts w:hint="eastAsia" w:ascii="宋体" w:hAnsi="宋体" w:eastAsia="宋体" w:cs="宋体"/>
          <w:b/>
          <w:sz w:val="72"/>
          <w:szCs w:val="72"/>
        </w:rPr>
      </w:pPr>
    </w:p>
    <w:p>
      <w:pPr>
        <w:pStyle w:val="32"/>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1312" behindDoc="1" locked="0" layoutInCell="1" allowOverlap="1">
            <wp:simplePos x="0" y="0"/>
            <wp:positionH relativeFrom="column">
              <wp:posOffset>1659890</wp:posOffset>
            </wp:positionH>
            <wp:positionV relativeFrom="paragraph">
              <wp:posOffset>372110</wp:posOffset>
            </wp:positionV>
            <wp:extent cx="2481580" cy="2160270"/>
            <wp:effectExtent l="0" t="0" r="13970" b="11430"/>
            <wp:wrapTight wrapText="bothSides">
              <wp:wrapPolygon>
                <wp:start x="0" y="0"/>
                <wp:lineTo x="0" y="21333"/>
                <wp:lineTo x="21390" y="21333"/>
                <wp:lineTo x="21390"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3"/>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周至县城市管理和综合执法局</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spacing w:line="480" w:lineRule="auto"/>
        <w:jc w:val="center"/>
        <w:rPr>
          <w:rFonts w:hint="eastAsia" w:ascii="宋体" w:hAnsi="宋体" w:eastAsia="宋体" w:cs="宋体"/>
          <w:b/>
          <w:color w:val="auto"/>
          <w:spacing w:val="4"/>
          <w:sz w:val="32"/>
          <w:szCs w:val="32"/>
          <w:lang w:eastAsia="zh-CN"/>
        </w:rPr>
      </w:pPr>
      <w:bookmarkStart w:id="54" w:name="_GoBack"/>
      <w:bookmarkEnd w:id="54"/>
      <w:r>
        <w:rPr>
          <w:rFonts w:hint="eastAsia" w:ascii="宋体" w:hAnsi="宋体" w:cs="宋体"/>
          <w:b/>
          <w:color w:val="auto"/>
          <w:spacing w:val="4"/>
          <w:sz w:val="32"/>
          <w:szCs w:val="32"/>
          <w:lang w:eastAsia="zh-CN"/>
        </w:rPr>
        <w:t>二〇二四年一月</w:t>
      </w:r>
    </w:p>
    <w:p>
      <w:pPr>
        <w:spacing w:line="480" w:lineRule="auto"/>
        <w:jc w:val="center"/>
        <w:rPr>
          <w:rFonts w:ascii="宋体" w:hAnsi="宋体"/>
          <w:sz w:val="28"/>
          <w:szCs w:val="32"/>
        </w:rPr>
        <w:sectPr>
          <w:headerReference r:id="rId4" w:type="first"/>
          <w:headerReference r:id="rId3" w:type="default"/>
          <w:footerReference r:id="rId5" w:type="default"/>
          <w:pgSz w:w="11906" w:h="16838"/>
          <w:pgMar w:top="1247" w:right="1247" w:bottom="1247" w:left="1247" w:header="851" w:footer="964" w:gutter="0"/>
          <w:pgNumType w:fmt="numberInDash" w:start="1"/>
          <w:cols w:space="720" w:num="1"/>
          <w:docGrid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rFonts w:ascii="宋体" w:hAnsi="宋体"/>
              <w:sz w:val="28"/>
              <w:szCs w:val="32"/>
            </w:rPr>
          </w:pPr>
        </w:p>
        <w:p>
          <w:pPr>
            <w:spacing w:line="480" w:lineRule="auto"/>
            <w:jc w:val="center"/>
            <w:rPr>
              <w:rFonts w:ascii="宋体" w:hAnsi="宋体"/>
              <w:sz w:val="28"/>
              <w:szCs w:val="32"/>
            </w:rPr>
          </w:pPr>
        </w:p>
        <w:p>
          <w:pPr>
            <w:spacing w:line="480" w:lineRule="auto"/>
            <w:jc w:val="center"/>
            <w:rPr>
              <w:sz w:val="28"/>
              <w:szCs w:val="32"/>
            </w:rPr>
          </w:pPr>
          <w:r>
            <w:rPr>
              <w:rFonts w:ascii="宋体" w:hAnsi="宋体"/>
              <w:sz w:val="28"/>
              <w:szCs w:val="32"/>
            </w:rPr>
            <w:t>目录</w:t>
          </w:r>
        </w:p>
        <w:p>
          <w:pPr>
            <w:pStyle w:val="19"/>
            <w:tabs>
              <w:tab w:val="right" w:leader="dot" w:pos="9412"/>
            </w:tabs>
            <w:spacing w:line="360" w:lineRule="auto"/>
            <w:rPr>
              <w:rFonts w:hint="eastAsia" w:ascii="宋体" w:hAnsi="宋体" w:eastAsia="宋体" w:cs="宋体"/>
              <w:sz w:val="32"/>
              <w:szCs w:val="36"/>
            </w:rPr>
          </w:pPr>
          <w:r>
            <w:rPr>
              <w:sz w:val="44"/>
              <w:szCs w:val="48"/>
            </w:rPr>
            <w:fldChar w:fldCharType="begin"/>
          </w:r>
          <w:r>
            <w:rPr>
              <w:sz w:val="44"/>
              <w:szCs w:val="48"/>
            </w:rPr>
            <w:instrText xml:space="preserve">TOC \o "1-1" \h \u </w:instrText>
          </w:r>
          <w:r>
            <w:rPr>
              <w:sz w:val="44"/>
              <w:szCs w:val="4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"_Toc2779" </w:instrText>
          </w:r>
          <w:r>
            <w:rPr>
              <w:rFonts w:hint="eastAsia" w:ascii="宋体" w:hAnsi="宋体" w:eastAsia="宋体" w:cs="宋体"/>
            </w:rPr>
            <w:fldChar w:fldCharType="separate"/>
          </w:r>
          <w:r>
            <w:rPr>
              <w:rFonts w:hint="eastAsia" w:ascii="宋体" w:hAnsi="宋体" w:eastAsia="宋体" w:cs="宋体"/>
              <w:bCs/>
              <w:sz w:val="32"/>
              <w:szCs w:val="44"/>
            </w:rPr>
            <w:t>第一章 招标公告</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_Toc2779 \h </w:instrText>
          </w:r>
          <w:r>
            <w:rPr>
              <w:rFonts w:hint="eastAsia" w:ascii="宋体" w:hAnsi="宋体" w:eastAsia="宋体" w:cs="宋体"/>
              <w:sz w:val="32"/>
              <w:szCs w:val="36"/>
            </w:rPr>
            <w:fldChar w:fldCharType="separate"/>
          </w:r>
          <w:r>
            <w:rPr>
              <w:rFonts w:hint="eastAsia" w:ascii="宋体" w:hAnsi="宋体" w:eastAsia="宋体" w:cs="宋体"/>
              <w:sz w:val="32"/>
              <w:szCs w:val="36"/>
            </w:rPr>
            <w:t>1</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sz w:val="32"/>
              <w:szCs w:val="48"/>
            </w:rPr>
            <w:t>第二章 投标人须知</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_Toc14249 \h </w:instrText>
          </w:r>
          <w:r>
            <w:rPr>
              <w:rFonts w:hint="eastAsia" w:ascii="宋体" w:hAnsi="宋体" w:eastAsia="宋体" w:cs="宋体"/>
              <w:sz w:val="32"/>
              <w:szCs w:val="36"/>
            </w:rPr>
            <w:fldChar w:fldCharType="separate"/>
          </w:r>
          <w:r>
            <w:rPr>
              <w:rFonts w:hint="eastAsia" w:ascii="宋体" w:hAnsi="宋体" w:eastAsia="宋体" w:cs="宋体"/>
              <w:sz w:val="32"/>
              <w:szCs w:val="36"/>
            </w:rPr>
            <w:t>7</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"_Toc11955" </w:instrText>
          </w:r>
          <w:r>
            <w:rPr>
              <w:rFonts w:hint="eastAsia" w:ascii="宋体" w:hAnsi="宋体" w:eastAsia="宋体" w:cs="宋体"/>
            </w:rPr>
            <w:fldChar w:fldCharType="separate"/>
          </w:r>
          <w:r>
            <w:rPr>
              <w:rFonts w:hint="eastAsia" w:ascii="宋体" w:hAnsi="宋体" w:eastAsia="宋体" w:cs="宋体"/>
              <w:bCs/>
              <w:sz w:val="32"/>
              <w:szCs w:val="48"/>
            </w:rPr>
            <w:t>第三章 评标办法</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_Toc11955 \h </w:instrText>
          </w:r>
          <w:r>
            <w:rPr>
              <w:rFonts w:hint="eastAsia" w:ascii="宋体" w:hAnsi="宋体" w:eastAsia="宋体" w:cs="宋体"/>
              <w:sz w:val="32"/>
              <w:szCs w:val="36"/>
            </w:rPr>
            <w:fldChar w:fldCharType="separate"/>
          </w:r>
          <w:r>
            <w:rPr>
              <w:rFonts w:hint="eastAsia" w:ascii="宋体" w:hAnsi="宋体" w:eastAsia="宋体" w:cs="宋体"/>
              <w:sz w:val="32"/>
              <w:szCs w:val="36"/>
            </w:rPr>
            <w:t>23</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sz w:val="32"/>
              <w:szCs w:val="52"/>
            </w:rPr>
            <w:t>第四章 合同主要条款</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_Toc1430 \h </w:instrText>
          </w:r>
          <w:r>
            <w:rPr>
              <w:rFonts w:hint="eastAsia" w:ascii="宋体" w:hAnsi="宋体" w:eastAsia="宋体" w:cs="宋体"/>
              <w:sz w:val="32"/>
              <w:szCs w:val="36"/>
            </w:rPr>
            <w:fldChar w:fldCharType="separate"/>
          </w:r>
          <w:r>
            <w:rPr>
              <w:rFonts w:hint="eastAsia" w:ascii="宋体" w:hAnsi="宋体" w:eastAsia="宋体" w:cs="宋体"/>
              <w:sz w:val="32"/>
              <w:szCs w:val="36"/>
            </w:rPr>
            <w:t>29</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"_Toc30575" </w:instrText>
          </w:r>
          <w:r>
            <w:rPr>
              <w:rFonts w:hint="eastAsia" w:ascii="宋体" w:hAnsi="宋体" w:eastAsia="宋体" w:cs="宋体"/>
            </w:rPr>
            <w:fldChar w:fldCharType="separate"/>
          </w:r>
          <w:r>
            <w:rPr>
              <w:rFonts w:hint="eastAsia" w:ascii="宋体" w:hAnsi="宋体" w:eastAsia="宋体" w:cs="宋体"/>
              <w:sz w:val="32"/>
              <w:szCs w:val="44"/>
            </w:rPr>
            <w:t xml:space="preserve">第五章 </w:t>
          </w:r>
          <w:r>
            <w:rPr>
              <w:rFonts w:hint="eastAsia" w:ascii="宋体" w:hAnsi="宋体" w:eastAsia="宋体" w:cs="宋体"/>
              <w:bCs/>
              <w:sz w:val="32"/>
              <w:szCs w:val="44"/>
            </w:rPr>
            <w:t>采购内容</w:t>
          </w:r>
          <w:r>
            <w:rPr>
              <w:rFonts w:hint="eastAsia" w:ascii="宋体" w:hAnsi="宋体" w:eastAsia="宋体" w:cs="宋体"/>
              <w:sz w:val="32"/>
              <w:szCs w:val="44"/>
            </w:rPr>
            <w:t>和要求</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_Toc30575 \h </w:instrText>
          </w:r>
          <w:r>
            <w:rPr>
              <w:rFonts w:hint="eastAsia" w:ascii="宋体" w:hAnsi="宋体" w:eastAsia="宋体" w:cs="宋体"/>
              <w:sz w:val="32"/>
              <w:szCs w:val="36"/>
            </w:rPr>
            <w:fldChar w:fldCharType="separate"/>
          </w:r>
          <w:r>
            <w:rPr>
              <w:rFonts w:hint="eastAsia" w:ascii="宋体" w:hAnsi="宋体" w:eastAsia="宋体" w:cs="宋体"/>
              <w:sz w:val="32"/>
              <w:szCs w:val="36"/>
            </w:rPr>
            <w:t>63</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"_Toc6910" </w:instrText>
          </w:r>
          <w:r>
            <w:rPr>
              <w:rFonts w:hint="eastAsia" w:ascii="宋体" w:hAnsi="宋体" w:eastAsia="宋体" w:cs="宋体"/>
            </w:rPr>
            <w:fldChar w:fldCharType="separate"/>
          </w:r>
          <w:r>
            <w:rPr>
              <w:rFonts w:hint="eastAsia" w:ascii="宋体" w:hAnsi="宋体" w:eastAsia="宋体" w:cs="宋体"/>
              <w:sz w:val="32"/>
              <w:szCs w:val="52"/>
            </w:rPr>
            <w:t>第六章 投标文件格式</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_Toc6910 \h </w:instrText>
          </w:r>
          <w:r>
            <w:rPr>
              <w:rFonts w:hint="eastAsia" w:ascii="宋体" w:hAnsi="宋体" w:eastAsia="宋体" w:cs="宋体"/>
              <w:sz w:val="32"/>
              <w:szCs w:val="36"/>
            </w:rPr>
            <w:fldChar w:fldCharType="separate"/>
          </w:r>
          <w:r>
            <w:rPr>
              <w:rFonts w:hint="eastAsia" w:ascii="宋体" w:hAnsi="宋体" w:eastAsia="宋体" w:cs="宋体"/>
              <w:sz w:val="32"/>
              <w:szCs w:val="36"/>
            </w:rPr>
            <w:t>65</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4"/>
      </w:pPr>
    </w:p>
    <w:p>
      <w:pPr>
        <w:pStyle w:val="24"/>
      </w:pPr>
    </w:p>
    <w:p>
      <w:pPr>
        <w:pStyle w:val="24"/>
      </w:pPr>
    </w:p>
    <w:p>
      <w:pPr>
        <w:pStyle w:val="24"/>
      </w:pPr>
    </w:p>
    <w:p>
      <w:pPr>
        <w:pStyle w:val="24"/>
      </w:pPr>
    </w:p>
    <w:p>
      <w:pPr>
        <w:pStyle w:val="24"/>
      </w:pPr>
    </w:p>
    <w:p>
      <w:pPr>
        <w:pStyle w:val="24"/>
        <w:sectPr>
          <w:footerReference r:id="rId6" w:type="default"/>
          <w:pgSz w:w="11906" w:h="16838"/>
          <w:pgMar w:top="1247" w:right="1247" w:bottom="1247" w:left="1247" w:header="851" w:footer="964" w:gutter="0"/>
          <w:pgNumType w:fmt="decimal" w:start="1"/>
          <w:cols w:space="720" w:num="1"/>
          <w:docGrid w:linePitch="312" w:charSpace="0"/>
        </w:sectPr>
      </w:pPr>
    </w:p>
    <w:p>
      <w:pPr>
        <w:spacing w:line="360" w:lineRule="auto"/>
        <w:jc w:val="center"/>
        <w:outlineLvl w:val="0"/>
        <w:rPr>
          <w:b/>
          <w:bCs/>
          <w:sz w:val="30"/>
          <w:szCs w:val="30"/>
        </w:rPr>
      </w:pPr>
      <w:bookmarkStart w:id="0" w:name="_Toc2779"/>
      <w:bookmarkStart w:id="1" w:name="_Toc10850_WPSOffice_Level1"/>
      <w:bookmarkStart w:id="2" w:name="_Toc20538"/>
      <w:bookmarkStart w:id="3" w:name="_Toc9483"/>
      <w:bookmarkStart w:id="4" w:name="_Toc356228413"/>
      <w:bookmarkStart w:id="5" w:name="_Toc13828_WPSOffice_Level2"/>
      <w:bookmarkStart w:id="6" w:name="_Toc22537_WPSOffice_Level1"/>
      <w:bookmarkStart w:id="7" w:name="_Toc388426294"/>
      <w:bookmarkStart w:id="8" w:name="_Toc92598699"/>
      <w:bookmarkStart w:id="9" w:name="_Toc2409"/>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10" w:name="_Toc23946"/>
      <w:r>
        <w:rPr>
          <w:rFonts w:hint="eastAsia" w:ascii="宋体" w:hAnsi="宋体" w:cs="宋体"/>
          <w:b/>
          <w:bCs/>
          <w:color w:val="333333"/>
          <w:sz w:val="24"/>
          <w:szCs w:val="24"/>
          <w:shd w:val="clear" w:color="auto" w:fill="FFFFFF"/>
          <w:lang w:eastAsia="zh-CN"/>
        </w:rPr>
        <w:t>2024年周至县道路清扫保洁、垃圾清运、绿化养护、公厕管理市场化运作项目</w:t>
      </w:r>
      <w:r>
        <w:rPr>
          <w:rFonts w:hint="eastAsia" w:ascii="宋体" w:hAnsi="宋体" w:cs="宋体"/>
          <w:b/>
          <w:bCs/>
          <w:color w:val="333333"/>
          <w:sz w:val="24"/>
          <w:szCs w:val="24"/>
          <w:shd w:val="clear" w:color="auto" w:fill="FFFFFF"/>
        </w:rPr>
        <w:t>招标公告</w:t>
      </w:r>
      <w:bookmarkEnd w:id="10"/>
    </w:p>
    <w:p>
      <w:pPr>
        <w:pStyle w:val="6"/>
        <w:keepNext w:val="0"/>
        <w:keepLines w:val="0"/>
        <w:widowControl/>
        <w:wordWrap w:val="0"/>
        <w:spacing w:before="0" w:after="0" w:line="360" w:lineRule="auto"/>
        <w:ind w:firstLine="482" w:firstLineChars="200"/>
        <w:jc w:val="left"/>
        <w:textAlignment w:val="baseline"/>
        <w:rPr>
          <w:rFonts w:ascii="宋体" w:hAnsi="宋体" w:cs="宋体"/>
          <w:szCs w:val="24"/>
        </w:rPr>
      </w:pP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招标项目的潜在投标人应在</w:t>
      </w:r>
      <w:r>
        <w:rPr>
          <w:rFonts w:hint="eastAsia" w:ascii="宋体" w:hAnsi="宋体" w:eastAsia="宋体" w:cs="宋体"/>
          <w:color w:val="333333"/>
          <w:szCs w:val="24"/>
          <w:shd w:val="clear" w:color="auto" w:fill="FFFFFF"/>
          <w:lang w:eastAsia="zh-CN"/>
        </w:rPr>
        <w:t>全国公共资源交易平台（陕西省•西安市）网站〖首页〉电子交易平台〉陕西政府采购交易系统〉企业端〗</w:t>
      </w:r>
      <w:r>
        <w:rPr>
          <w:rFonts w:hint="eastAsia" w:ascii="宋体" w:hAnsi="宋体" w:cs="宋体"/>
          <w:color w:val="333333"/>
          <w:szCs w:val="24"/>
          <w:shd w:val="clear" w:color="auto" w:fill="FFFFFF"/>
        </w:rPr>
        <w:t>获取招标文件，并于202</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年</w:t>
      </w:r>
      <w:r>
        <w:rPr>
          <w:rFonts w:hint="eastAsia" w:ascii="宋体" w:hAnsi="宋体" w:cs="宋体"/>
          <w:color w:val="333333"/>
          <w:szCs w:val="24"/>
          <w:shd w:val="clear" w:color="auto" w:fill="FFFFFF"/>
          <w:lang w:val="en-US" w:eastAsia="zh-CN"/>
        </w:rPr>
        <w:t>01月30日09</w:t>
      </w:r>
      <w:r>
        <w:rPr>
          <w:rFonts w:hint="eastAsia" w:ascii="宋体" w:hAnsi="宋体" w:cs="宋体"/>
          <w:color w:val="333333"/>
          <w:szCs w:val="24"/>
          <w:shd w:val="clear" w:color="auto" w:fill="FFFFFF"/>
        </w:rPr>
        <w:t>时</w:t>
      </w:r>
      <w:r>
        <w:rPr>
          <w:rFonts w:hint="eastAsia" w:ascii="宋体" w:hAnsi="宋体" w:cs="宋体"/>
          <w:color w:val="333333"/>
          <w:szCs w:val="24"/>
          <w:shd w:val="clear" w:color="auto" w:fill="FFFFFF"/>
          <w:lang w:val="en-US" w:eastAsia="zh-CN"/>
        </w:rPr>
        <w:t>30</w:t>
      </w:r>
      <w:r>
        <w:rPr>
          <w:rFonts w:hint="eastAsia" w:ascii="宋体" w:hAnsi="宋体" w:cs="宋体"/>
          <w:color w:val="333333"/>
          <w:szCs w:val="24"/>
          <w:shd w:val="clear" w:color="auto" w:fill="FFFFFF"/>
        </w:rPr>
        <w:t>分 （北京时间）前递交投标文件。</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一、项目基本情况</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shd w:val="clear" w:color="auto" w:fill="FFFFFF"/>
          <w:lang w:eastAsia="zh-CN"/>
        </w:rPr>
        <w:t>TYRZ-2024-ZZ059</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2024年周至县道路清扫保洁、垃圾清运、绿化养护、公厕管理市场化运作项目</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采购方式：公开招标</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333333"/>
          <w:szCs w:val="24"/>
          <w:shd w:val="clear" w:color="auto" w:fill="FFFFFF"/>
        </w:rPr>
        <w:t>预算金额：</w:t>
      </w:r>
      <w:r>
        <w:rPr>
          <w:rFonts w:hint="eastAsia" w:ascii="宋体" w:hAnsi="宋体" w:cs="宋体"/>
          <w:color w:val="auto"/>
          <w:szCs w:val="24"/>
          <w:shd w:val="clear" w:color="auto" w:fill="FFFFFF"/>
          <w:lang w:val="en-US" w:eastAsia="zh-CN"/>
        </w:rPr>
        <w:t>24394616.80</w:t>
      </w:r>
      <w:r>
        <w:rPr>
          <w:rFonts w:hint="eastAsia" w:ascii="宋体" w:hAnsi="宋体" w:cs="宋体"/>
          <w:color w:val="auto"/>
          <w:szCs w:val="24"/>
          <w:shd w:val="clear" w:color="auto" w:fill="FFFFFF"/>
        </w:rPr>
        <w:t>元</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采购需求：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lang w:eastAsia="zh-CN"/>
        </w:rPr>
        <w:t>合同包1</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 xml:space="preserve">7941554.69 </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496"/>
        <w:gridCol w:w="1500"/>
        <w:gridCol w:w="158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清扫保洁、垃圾清运、公厕管护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eastAsia="zh-CN" w:bidi="ar"/>
              </w:rPr>
              <w:t>详见采购文件</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 xml:space="preserve">7941554.69  </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ascii="宋体" w:hAnsi="宋体" w:cs="宋体"/>
                <w:color w:val="auto"/>
                <w:sz w:val="24"/>
                <w:szCs w:val="24"/>
              </w:rPr>
            </w:pPr>
            <w:r>
              <w:rPr>
                <w:rFonts w:hint="eastAsia" w:ascii="宋体" w:hAnsi="宋体" w:cs="宋体"/>
                <w:i w:val="0"/>
                <w:iCs w:val="0"/>
                <w:color w:val="auto"/>
                <w:kern w:val="0"/>
                <w:sz w:val="24"/>
                <w:szCs w:val="24"/>
                <w:u w:val="none"/>
                <w:lang w:val="en-US" w:eastAsia="zh-CN" w:bidi="ar"/>
              </w:rPr>
              <w:t>7941545.47</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4801792.92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24"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2</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4801792.92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4801792.92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4527237.65</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3</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4527237.65</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4527237.65</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4448888.82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55"/>
        <w:gridCol w:w="161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4</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4448888.82</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4448888.82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4"/>
        <w:rPr>
          <w:rFonts w:hint="eastAsia"/>
        </w:rPr>
      </w:pP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2675142.72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81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-5</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微软雅黑" w:hAnsi="微软雅黑" w:eastAsia="微软雅黑" w:cs="微软雅黑"/>
                <w:i w:val="0"/>
                <w:iCs w:val="0"/>
                <w:caps w:val="0"/>
                <w:color w:val="auto"/>
                <w:spacing w:val="0"/>
                <w:sz w:val="21"/>
                <w:szCs w:val="21"/>
                <w:shd w:val="clear" w:fill="FFFFFF"/>
              </w:rPr>
              <w:t>城区公园广场绿地养护及城区行道树养护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2675142.72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2675142.72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pStyle w:val="5"/>
        <w:keepNext w:val="0"/>
        <w:keepLines w:val="0"/>
        <w:widowControl/>
        <w:wordWrap w:val="0"/>
        <w:adjustRightInd/>
        <w:spacing w:before="0" w:after="0" w:line="360" w:lineRule="auto"/>
        <w:ind w:firstLine="480" w:firstLineChars="200"/>
        <w:jc w:val="left"/>
        <w:textAlignment w:val="baseline"/>
        <w:rPr>
          <w:rFonts w:hint="eastAsia" w:ascii="宋体" w:hAnsi="宋体" w:eastAsia="宋体" w:cs="宋体"/>
          <w:b w:val="0"/>
          <w:color w:val="333333"/>
          <w:kern w:val="0"/>
          <w:sz w:val="24"/>
          <w:szCs w:val="24"/>
          <w:shd w:val="clear" w:color="auto" w:fill="FFFFFF"/>
          <w:lang w:val="en-US" w:eastAsia="zh-CN" w:bidi="ar-SA"/>
        </w:rPr>
      </w:pPr>
      <w:r>
        <w:rPr>
          <w:rFonts w:hint="eastAsia" w:ascii="宋体" w:hAnsi="宋体" w:eastAsia="宋体" w:cs="宋体"/>
          <w:b w:val="0"/>
          <w:color w:val="333333"/>
          <w:kern w:val="0"/>
          <w:sz w:val="24"/>
          <w:szCs w:val="24"/>
          <w:shd w:val="clear" w:color="auto" w:fill="FFFFFF"/>
          <w:lang w:val="en-US" w:eastAsia="zh-CN" w:bidi="ar-SA"/>
        </w:rPr>
        <w:t>合同履行期限：1年。</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二、申请人的资格要求：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rPr>
        <w:t>落实政府采购政策需满足的资格要求：</w:t>
      </w:r>
      <w:r>
        <w:rPr>
          <w:rFonts w:hint="eastAsia" w:ascii="宋体" w:hAnsi="宋体" w:cs="宋体"/>
          <w:color w:val="333333"/>
          <w:szCs w:val="24"/>
          <w:shd w:val="clear" w:color="auto" w:fill="FFFFFF"/>
          <w:lang w:val="en-US" w:eastAsia="zh-CN"/>
        </w:rPr>
        <w:t>本项目为（非专门）面向中小企业的项目。</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default"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auto"/>
          <w:szCs w:val="24"/>
          <w:shd w:val="clear" w:color="auto" w:fill="FFFFFF"/>
        </w:rPr>
      </w:pPr>
      <w:r>
        <w:rPr>
          <w:rFonts w:hint="eastAsia" w:ascii="宋体" w:hAnsi="宋体" w:cs="宋体"/>
          <w:color w:val="auto"/>
          <w:szCs w:val="24"/>
          <w:shd w:val="clear" w:color="auto" w:fill="FFFFFF"/>
          <w:lang w:eastAsia="zh-CN"/>
        </w:rPr>
        <w:t>同合同包1</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auto"/>
          <w:sz w:val="24"/>
          <w:szCs w:val="24"/>
        </w:rPr>
      </w:pPr>
      <w:r>
        <w:rPr>
          <w:rStyle w:val="28"/>
          <w:rFonts w:hint="eastAsia" w:ascii="宋体" w:hAnsi="宋体" w:eastAsia="宋体" w:cs="宋体"/>
          <w:b/>
          <w:bCs/>
          <w:color w:val="auto"/>
          <w:sz w:val="24"/>
          <w:szCs w:val="24"/>
          <w:shd w:val="clear" w:color="auto" w:fill="FFFFFF"/>
        </w:rPr>
        <w:t>三、获取招标文件</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时间：</w:t>
      </w:r>
      <w:r>
        <w:rPr>
          <w:rFonts w:hint="eastAsia" w:ascii="宋体" w:hAnsi="宋体" w:cs="宋体"/>
          <w:color w:val="auto"/>
          <w:szCs w:val="24"/>
          <w:shd w:val="clear" w:color="auto" w:fill="FFFFFF"/>
          <w:lang w:eastAsia="zh-CN"/>
        </w:rPr>
        <w:t>即日起至2024年01月15日</w:t>
      </w:r>
      <w:r>
        <w:rPr>
          <w:rFonts w:hint="eastAsia" w:ascii="宋体" w:hAnsi="宋体" w:eastAsia="宋体" w:cs="宋体"/>
          <w:color w:val="auto"/>
          <w:szCs w:val="24"/>
          <w:shd w:val="clear" w:color="auto" w:fill="FFFFFF"/>
          <w:lang w:eastAsia="zh-CN"/>
        </w:rPr>
        <w:t>，每天上午</w:t>
      </w:r>
      <w:r>
        <w:rPr>
          <w:rFonts w:hint="eastAsia" w:ascii="宋体" w:hAnsi="宋体" w:cs="宋体"/>
          <w:color w:val="auto"/>
          <w:szCs w:val="24"/>
          <w:shd w:val="clear" w:color="auto" w:fill="FFFFFF"/>
          <w:lang w:val="en-US" w:eastAsia="zh-CN"/>
        </w:rPr>
        <w:t>00</w:t>
      </w:r>
      <w:r>
        <w:rPr>
          <w:rFonts w:hint="eastAsia" w:ascii="宋体" w:hAnsi="宋体" w:eastAsia="宋体" w:cs="宋体"/>
          <w:color w:val="auto"/>
          <w:szCs w:val="24"/>
          <w:shd w:val="clear" w:color="auto" w:fill="FFFFFF"/>
          <w:lang w:eastAsia="zh-CN"/>
        </w:rPr>
        <w:t>:00:00至12:00:00，下午</w:t>
      </w:r>
      <w:r>
        <w:rPr>
          <w:rFonts w:hint="eastAsia" w:ascii="宋体" w:hAnsi="宋体" w:cs="宋体"/>
          <w:color w:val="auto"/>
          <w:szCs w:val="24"/>
          <w:shd w:val="clear" w:color="auto" w:fill="FFFFFF"/>
          <w:lang w:val="en-US" w:eastAsia="zh-CN"/>
        </w:rPr>
        <w:t>12</w:t>
      </w:r>
      <w:r>
        <w:rPr>
          <w:rFonts w:hint="eastAsia" w:ascii="宋体" w:hAnsi="宋体" w:eastAsia="宋体" w:cs="宋体"/>
          <w:color w:val="auto"/>
          <w:szCs w:val="24"/>
          <w:shd w:val="clear" w:color="auto" w:fill="FFFFFF"/>
          <w:lang w:eastAsia="zh-CN"/>
        </w:rPr>
        <w:t>:00:00至23:59:59（北京时间）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途径：全国公共资源交易平台（陕西省•西安市）网站〖首页〉电子交易平台〉陕西政府采购交易系统〉企业端〗</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方式：在线获取</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auto"/>
          <w:szCs w:val="24"/>
          <w:shd w:val="clear" w:color="auto" w:fill="FFFFFF"/>
          <w:lang w:eastAsia="zh-CN"/>
        </w:rPr>
      </w:pPr>
      <w:r>
        <w:rPr>
          <w:rFonts w:hint="eastAsia" w:ascii="宋体" w:hAnsi="宋体" w:cs="宋体"/>
          <w:color w:val="auto"/>
          <w:szCs w:val="24"/>
          <w:shd w:val="clear" w:color="auto" w:fill="FFFFFF"/>
          <w:lang w:eastAsia="zh-CN"/>
        </w:rPr>
        <w:t>售价：免费获取</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auto"/>
          <w:sz w:val="24"/>
          <w:szCs w:val="24"/>
        </w:rPr>
      </w:pPr>
      <w:r>
        <w:rPr>
          <w:rStyle w:val="28"/>
          <w:rFonts w:hint="eastAsia" w:ascii="宋体" w:hAnsi="宋体" w:eastAsia="宋体" w:cs="宋体"/>
          <w:b/>
          <w:bCs/>
          <w:color w:val="auto"/>
          <w:sz w:val="24"/>
          <w:szCs w:val="24"/>
          <w:shd w:val="clear" w:color="auto" w:fill="FFFFFF"/>
        </w:rPr>
        <w:t>四、提交投标文件截止时间、开标时间和地点</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时间：</w:t>
      </w:r>
      <w:r>
        <w:rPr>
          <w:rFonts w:hint="eastAsia" w:asciiTheme="minorEastAsia" w:hAnsiTheme="minorEastAsia" w:eastAsiaTheme="minorEastAsia" w:cstheme="minorEastAsia"/>
          <w:color w:val="auto"/>
          <w:kern w:val="0"/>
          <w:sz w:val="24"/>
          <w:szCs w:val="24"/>
          <w:shd w:val="clear" w:color="auto" w:fill="FFFFFF"/>
          <w:lang w:val="en-US" w:eastAsia="zh-CN" w:bidi="ar-SA"/>
        </w:rPr>
        <w:t>2024年01月30日09时30分00秒</w:t>
      </w:r>
      <w:r>
        <w:rPr>
          <w:rFonts w:hint="eastAsia" w:ascii="宋体" w:hAnsi="宋体" w:eastAsia="宋体" w:cs="宋体"/>
          <w:color w:val="auto"/>
          <w:szCs w:val="24"/>
          <w:shd w:val="clear" w:color="auto" w:fill="FFFFFF"/>
          <w:lang w:eastAsia="zh-CN"/>
        </w:rPr>
        <w:t>（北京时间）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提交投标文件地点：全国公共资源交易平台（陕西省·西安市）网站〖首页〉电子交易平台〉陕西政府采购交易系统〉企业端〗，在线提交</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开标地点：全国公共资源交易平台（陕西省·西安市）不见面开标大厅</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五、公告期限</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六、其他补充事宜</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1、</w:t>
      </w:r>
      <w:r>
        <w:rPr>
          <w:rFonts w:hint="eastAsia" w:ascii="宋体" w:hAnsi="宋体" w:eastAsia="宋体" w:cs="宋体"/>
          <w:color w:val="333333"/>
          <w:szCs w:val="24"/>
          <w:shd w:val="clear" w:color="auto" w:fill="FFFFFF"/>
          <w:lang w:eastAsia="zh-CN"/>
        </w:rPr>
        <w:t>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投标人须在获取招标文件时限内，下载获取电子采购文件并做好备份，逾期下载通道将关闭，未及时下载招标文件将会影响后续开评标活动。</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2、</w:t>
      </w:r>
      <w:r>
        <w:rPr>
          <w:rFonts w:hint="eastAsia" w:ascii="宋体" w:hAnsi="宋体" w:eastAsia="宋体" w:cs="宋体"/>
          <w:color w:val="333333"/>
          <w:szCs w:val="24"/>
          <w:shd w:val="clear" w:color="auto" w:fill="FFFFFF"/>
          <w:lang w:eastAsia="zh-CN"/>
        </w:rPr>
        <w:t>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3、</w:t>
      </w:r>
      <w:r>
        <w:rPr>
          <w:rFonts w:hint="eastAsia" w:ascii="宋体" w:hAnsi="宋体" w:eastAsia="宋体" w:cs="宋体"/>
          <w:color w:val="333333"/>
          <w:szCs w:val="24"/>
          <w:shd w:val="clear" w:color="auto" w:fill="FFFFFF"/>
          <w:lang w:eastAsia="zh-CN"/>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lang w:eastAsia="zh-CN"/>
        </w:rPr>
        <w:t>制作电子投标文件（*.SXSTF）需要使用专用制作工具。软件下载及操作说明详见西安市公共资源交易平台〖首页·〉服务指南·〉下载专区〗中的《政府采购项目投标文件制作软件及操作手册》。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lang w:eastAsia="zh-CN"/>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6、</w:t>
      </w:r>
      <w:r>
        <w:rPr>
          <w:rFonts w:hint="eastAsia" w:ascii="宋体" w:hAnsi="宋体" w:eastAsia="宋体" w:cs="宋体"/>
          <w:color w:val="333333"/>
          <w:szCs w:val="24"/>
          <w:shd w:val="clear" w:color="auto" w:fill="FFFFFF"/>
          <w:lang w:eastAsia="zh-CN"/>
        </w:rPr>
        <w:t>因投标人自身设施故障或自身原因导致无法完成签到、解密或投标的，由投标人自行承担后果。</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7、</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七、对本次招标提出询问，请按以下方式联系。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1.采购人信息：西安市周至县城市管理局（本级）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b w:val="0"/>
          <w:bCs w:val="0"/>
          <w:color w:val="333333"/>
          <w:szCs w:val="24"/>
          <w:shd w:val="clear" w:color="auto" w:fill="FFFFFF"/>
        </w:rPr>
        <w:t>联系电话：02987156636</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2.釆购代理机构信息</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名称：天煜荣泽工程咨询有限公司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地址：周至县北大街周至教区总堂斜对面向北10米天煜荣泽2层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highlight w:val="green"/>
        </w:rPr>
      </w:pPr>
      <w:r>
        <w:rPr>
          <w:rFonts w:hint="eastAsia" w:ascii="宋体" w:hAnsi="宋体" w:cs="宋体"/>
          <w:color w:val="auto"/>
          <w:szCs w:val="24"/>
          <w:highlight w:val="none"/>
          <w:shd w:val="clear" w:color="auto" w:fill="FFFFFF"/>
        </w:rPr>
        <w:t>联系方式：17719</w:t>
      </w:r>
      <w:r>
        <w:rPr>
          <w:rFonts w:hint="eastAsia" w:ascii="宋体" w:hAnsi="宋体" w:cs="宋体"/>
          <w:color w:val="333333"/>
          <w:szCs w:val="24"/>
          <w:shd w:val="clear" w:color="auto" w:fill="FFFFFF"/>
        </w:rPr>
        <w:t>501789</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3.项目联系方式</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项目联系人：张工</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电话：17719501789</w:t>
      </w: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numPr>
          <w:ilvl w:val="0"/>
          <w:numId w:val="2"/>
        </w:numPr>
        <w:jc w:val="center"/>
        <w:outlineLvl w:val="0"/>
        <w:rPr>
          <w:rFonts w:ascii="宋体" w:hAnsi="宋体" w:cs="宋体"/>
          <w:b/>
          <w:bCs/>
          <w:sz w:val="32"/>
          <w:szCs w:val="32"/>
        </w:rPr>
      </w:pPr>
      <w:bookmarkStart w:id="11" w:name="_Toc14249"/>
      <w:r>
        <w:rPr>
          <w:rFonts w:hint="eastAsia" w:ascii="宋体" w:hAnsi="宋体" w:cs="宋体"/>
          <w:b/>
          <w:bCs/>
          <w:sz w:val="32"/>
          <w:szCs w:val="32"/>
        </w:rPr>
        <w:t>投标人须知</w:t>
      </w:r>
      <w:bookmarkEnd w:id="11"/>
    </w:p>
    <w:p>
      <w:pPr>
        <w:rPr>
          <w:rFonts w:ascii="宋体" w:hAnsi="宋体" w:cs="宋体"/>
          <w:b/>
          <w:sz w:val="24"/>
          <w:szCs w:val="24"/>
        </w:rPr>
      </w:pPr>
      <w:r>
        <w:rPr>
          <w:rFonts w:hint="eastAsia" w:ascii="宋体" w:hAnsi="宋体" w:cs="宋体"/>
          <w:b/>
          <w:sz w:val="24"/>
          <w:szCs w:val="24"/>
        </w:rPr>
        <w:t>投标人须知前附表</w:t>
      </w:r>
      <w:bookmarkEnd w:id="2"/>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773"/>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内容</w:t>
            </w:r>
          </w:p>
        </w:tc>
        <w:tc>
          <w:tcPr>
            <w:tcW w:w="5984"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sz w:val="24"/>
                <w:szCs w:val="24"/>
                <w:shd w:val="clear" w:color="auto" w:fill="FFFFFF"/>
                <w:lang w:eastAsia="zh-CN"/>
              </w:rPr>
              <w:t>2024年周至县道路清扫保洁、垃圾清运、绿化养护、公厕管理市场化运作项目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项目编号</w:t>
            </w:r>
          </w:p>
        </w:tc>
        <w:tc>
          <w:tcPr>
            <w:tcW w:w="5984" w:type="dxa"/>
          </w:tcPr>
          <w:p>
            <w:pPr>
              <w:keepNext w:val="0"/>
              <w:keepLines w:val="0"/>
              <w:pageBreakBefore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TYRZ-2024-ZZ059-2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预算执行书编号</w:t>
            </w:r>
          </w:p>
        </w:tc>
        <w:tc>
          <w:tcPr>
            <w:tcW w:w="5984" w:type="dxa"/>
            <w:vAlign w:val="top"/>
          </w:tcPr>
          <w:p>
            <w:pPr>
              <w:keepNext w:val="0"/>
              <w:keepLines w:val="0"/>
              <w:pageBreakBefore w:val="0"/>
              <w:kinsoku/>
              <w:overflowPunct/>
              <w:topLinePunct w:val="0"/>
              <w:autoSpaceDE/>
              <w:autoSpaceDN/>
              <w:bidi w:val="0"/>
              <w:adjustRightInd/>
              <w:snapToGrid/>
              <w:spacing w:line="400" w:lineRule="exact"/>
              <w:rPr>
                <w:rFonts w:hint="default" w:ascii="Times New Roman" w:hAnsi="Times New Roman" w:cs="Times New Roman" w:eastAsia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YS-周至县-2024-00004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6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预算金额</w:t>
            </w:r>
          </w:p>
        </w:tc>
        <w:tc>
          <w:tcPr>
            <w:tcW w:w="5984" w:type="dxa"/>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总预算：24394616.80</w:t>
            </w:r>
            <w:r>
              <w:rPr>
                <w:rFonts w:hint="eastAsia" w:asciiTheme="majorEastAsia" w:hAnsiTheme="majorEastAsia" w:eastAsiaTheme="majorEastAsia" w:cstheme="majorEastAsia"/>
                <w:color w:val="auto"/>
                <w:sz w:val="24"/>
                <w:szCs w:val="24"/>
              </w:rPr>
              <w:t xml:space="preserve"> 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 xml:space="preserve">合同包1：7941554.69 </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color w:val="auto"/>
                <w:lang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6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最高限价</w:t>
            </w:r>
          </w:p>
        </w:tc>
        <w:tc>
          <w:tcPr>
            <w:tcW w:w="5984" w:type="dxa"/>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合同包1：7941545.47</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分项限价</w:t>
            </w:r>
          </w:p>
          <w:p>
            <w:pPr>
              <w:pStyle w:val="23"/>
              <w:spacing w:line="240" w:lineRule="auto"/>
              <w:ind w:left="0" w:leftChars="0" w:firstLine="0" w:firstLineChars="0"/>
              <w:rPr>
                <w:rFonts w:hint="eastAsia"/>
                <w:color w:val="auto"/>
                <w:lang w:eastAsia="zh-CN"/>
              </w:rPr>
            </w:pPr>
            <w:r>
              <w:rPr>
                <w:rFonts w:hint="eastAsia"/>
                <w:color w:val="auto"/>
                <w:lang w:eastAsia="zh-CN"/>
              </w:rPr>
              <w:t>一类道路最高限价：</w:t>
            </w:r>
            <w:r>
              <w:rPr>
                <w:rFonts w:hint="eastAsia"/>
                <w:color w:val="auto"/>
                <w:lang w:val="en-US" w:eastAsia="zh-CN"/>
              </w:rPr>
              <w:t>12.50</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二类道路最高限价：12</w:t>
            </w:r>
            <w:r>
              <w:rPr>
                <w:rFonts w:hint="eastAsia"/>
                <w:color w:val="auto"/>
                <w:lang w:val="en-US" w:eastAsia="zh-CN"/>
              </w:rPr>
              <w:t>.17</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三类道路最高限价：11.0</w:t>
            </w:r>
            <w:r>
              <w:rPr>
                <w:rFonts w:hint="eastAsia"/>
                <w:color w:val="auto"/>
                <w:lang w:val="en-US" w:eastAsia="zh-CN"/>
              </w:rPr>
              <w:t>3</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公厕管护最高限价：</w:t>
            </w:r>
            <w:r>
              <w:rPr>
                <w:rFonts w:hint="eastAsia"/>
                <w:color w:val="auto"/>
                <w:lang w:val="en-US" w:eastAsia="zh-CN"/>
              </w:rPr>
              <w:t>63600</w:t>
            </w:r>
            <w:r>
              <w:rPr>
                <w:rFonts w:hint="eastAsia"/>
                <w:color w:val="auto"/>
                <w:lang w:eastAsia="zh-CN"/>
              </w:rPr>
              <w:t>元/座</w:t>
            </w:r>
          </w:p>
          <w:p>
            <w:pPr>
              <w:pStyle w:val="24"/>
              <w:spacing w:line="240" w:lineRule="auto"/>
              <w:ind w:left="0" w:leftChars="0" w:firstLine="0" w:firstLineChars="0"/>
              <w:rPr>
                <w:rFonts w:hint="default"/>
                <w:lang w:val="en-US" w:eastAsia="zh-CN"/>
              </w:rPr>
            </w:pPr>
            <w:r>
              <w:rPr>
                <w:rFonts w:hint="eastAsia" w:ascii="宋体" w:hAnsi="宋体" w:eastAsia="宋体" w:cs="Times New Roman"/>
                <w:color w:val="auto"/>
                <w:kern w:val="2"/>
                <w:sz w:val="24"/>
                <w:szCs w:val="22"/>
                <w:lang w:val="en-US" w:eastAsia="zh-CN" w:bidi="ar-SA"/>
              </w:rPr>
              <w:t>垃圾清运最高限价：3161689.99元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是否接受联合体</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投标保证金</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sz w:val="24"/>
                <w:szCs w:val="24"/>
                <w:vertAlign w:val="baseline"/>
              </w:rPr>
              <w:t>为响应《西安市财政局关于促进政府采购公平竞争优化营商环境的通知》市财函【2020】617 号文件精神，本项目无需缴纳投标保证金。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采购人</w:t>
            </w:r>
          </w:p>
        </w:tc>
        <w:tc>
          <w:tcPr>
            <w:tcW w:w="5984" w:type="dxa"/>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sz w:val="24"/>
                <w:szCs w:val="24"/>
                <w:vertAlign w:val="baseline"/>
              </w:rPr>
            </w:pPr>
            <w:r>
              <w:rPr>
                <w:rFonts w:hint="eastAsia" w:asciiTheme="minorEastAsia" w:hAnsiTheme="minorEastAsia" w:eastAsiaTheme="minorEastAsia" w:cstheme="minorEastAsia"/>
                <w:szCs w:val="24"/>
                <w:shd w:val="clear" w:color="auto" w:fill="FFFFFF"/>
              </w:rPr>
              <w:t>联系电话：02987156636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采购代理机构</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ascii="宋体" w:hAnsi="宋体" w:cs="宋体"/>
                <w:color w:val="auto"/>
                <w:szCs w:val="24"/>
                <w:highlight w:val="none"/>
              </w:rPr>
            </w:pPr>
            <w:r>
              <w:rPr>
                <w:rFonts w:hint="eastAsia" w:ascii="宋体" w:hAnsi="宋体"/>
                <w:szCs w:val="24"/>
              </w:rPr>
              <w:t>地  址：</w:t>
            </w:r>
            <w:r>
              <w:rPr>
                <w:rFonts w:hint="eastAsia" w:ascii="宋体" w:hAnsi="宋体" w:cs="宋体"/>
                <w:color w:val="auto"/>
                <w:szCs w:val="24"/>
                <w:highlight w:val="none"/>
                <w:shd w:val="clear" w:color="auto" w:fill="FFFFFF"/>
              </w:rPr>
              <w:t>周至县北大街周至教区总堂斜对面向北10米天煜荣泽2层</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联系人：张工</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项目实施地点</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周至县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资金来源</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出资比例</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sz w:val="24"/>
                <w:szCs w:val="24"/>
                <w:vertAlign w:val="baseline"/>
                <w:lang w:val="en-US" w:eastAsia="zh-CN"/>
              </w:rPr>
            </w:pPr>
            <w:r>
              <w:rPr>
                <w:rFonts w:hint="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资金落实情况</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采购内容及采购范围</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rPr>
              <w:t>详见技术标准和要求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服务期</w:t>
            </w:r>
          </w:p>
        </w:tc>
        <w:tc>
          <w:tcPr>
            <w:tcW w:w="5984" w:type="dxa"/>
          </w:tcPr>
          <w:p>
            <w:pPr>
              <w:keepNext w:val="0"/>
              <w:keepLines w:val="0"/>
              <w:pageBreakBefore w:val="0"/>
              <w:kinsoku/>
              <w:overflowPunct/>
              <w:topLinePunct w:val="0"/>
              <w:autoSpaceDE/>
              <w:autoSpaceDN/>
              <w:bidi w:val="0"/>
              <w:adjustRightInd/>
              <w:snapToGrid/>
              <w:spacing w:line="400" w:lineRule="exact"/>
              <w:rPr>
                <w:color w:val="auto"/>
                <w:sz w:val="24"/>
                <w:szCs w:val="24"/>
                <w:vertAlign w:val="baseline"/>
              </w:rPr>
            </w:pPr>
            <w:r>
              <w:rPr>
                <w:rFonts w:hint="eastAsia" w:ascii="宋体" w:hAnsi="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szCs w:val="24"/>
                <w:lang w:val="en-US" w:eastAsia="zh-CN" w:bidi="ar"/>
              </w:rPr>
              <w:t>服务标准</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符合国家标准、行业标准以及有关技术规范要求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投标人资格条件、能力和信誉等要求</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3、本项目的特定资格要求：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sz w:val="24"/>
                <w:szCs w:val="24"/>
                <w:vertAlign w:val="baseline"/>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踏勘现场</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kern w:val="0"/>
                <w:sz w:val="24"/>
                <w:szCs w:val="24"/>
                <w:shd w:val="clear" w:color="auto" w:fill="FFFFFF"/>
                <w:lang w:val="en-US" w:eastAsia="zh-CN" w:bidi="ar-SA"/>
              </w:rPr>
              <w:t>不组织，投标单位自行勘察。（一切费用自理）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投标预备会</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不召开。相关事宜以招标答疑方式进行。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分包</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偏离</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投标文件不允许负偏离招标文件的实质性要求和条件。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询问和质疑</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见公告中的“联系方式”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招标文件的澄清和修改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采购人或者采购代理机构可以对已发出的招标文件进行必要的澄清或者修改。澄清或者修改的内容可能影响投标文件编制的，采购人或者采购代理机构应当在投标截止时间至少 15 日前，以书面形式通知所有获取招标文件的潜在投标人；不足 15 日的，采购人或者采购代 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投标人确认收到招标文件澄清和修改的时间</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采购人发出澄清和修改文件后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投标有效期</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自递交投标文件截止之日起 90 日历天，中标投标人的投标文件有效期自动延长至项目质保期结束。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投标文件份数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正本一套，副本贰套，电子文件（U 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投标文件的编制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编制投标文件时，应使用最新发布的电子招标文件及专用制作工具进行编制。并使用 CA（数字认证证书）对电子投标文件进行签署、加密、及开标时解密等相关操作。</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电子招标文件获取方式：投标人登录〖西安市公共资源交易平台·〉 首页·〉电子交易平台·〉企业端〗后，在〖招标公告/出让公告〗模块中选 择有意向的项目点击“我要投标”，成功后点击“我的项目·〉项目流程·〉 交易文件下载”免费下载电子招标文件（*.SXSZF）。</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注意：①正常下载电子招标文件后，“交易文件下载”按钮前的图标将变为“</w:t>
            </w: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”，未正常下载或从其他途径获取招标文件的，将无法上传电子投标文件；②投标人应随时留意可能发布的变更公告，变更公告是招标文件的组 成部分。变更内容影响投标文件编制时，集采机构将同时发布答疑文件， 此时投标人应从“项目流程〉答疑文件下载”下载更新后的电子招标文件（*. SXSCF），使 用 旧 版 电 子 招 标 文 件 制 作 的 电 子 投 标 文 件（*.SXSTF），系统将拒绝接收。</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电子招标文件需要使用专用软件打开、浏览。软件下载地址及操作 手册详见〖西安市公共资源交易平台·〉首页·〉服务指南·〉下载专区〗中的《政府采购项目投标文件制作软件及操作手册》。</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电子投标文件中需要法定代表人签字或盖章的地方，请使用“法人 CA”进行签章；需要加盖投标人公章的地方，请使用“企业 CA”进行盖章。 加密和解密应当使用同一 CA，否则将会导致解密失败。</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电子投标文件同样需要使用上述专用软件进行编制。若电子投标文件签章后，导出的 PDF 文件里看不到签章，请尝试使用查看投标文件工具打开未加密的电子投标文件重新导出。在编制过程中，如有其他技术性问题，请先翻阅操作手册，或致电软件开发商：</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技术支持热线：400-998-0000 </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驻场技术人员：029-86510166/86510167 人工转80310</w:t>
            </w:r>
          </w:p>
          <w:p>
            <w:pPr>
              <w:keepNext w:val="0"/>
              <w:keepLines w:val="0"/>
              <w:pageBreakBefore w:val="0"/>
              <w:widowControl/>
              <w:numPr>
                <w:ilvl w:val="0"/>
                <w:numId w:val="5"/>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纸质投标文件开标时投标投标人无需提交纸质投标文件，项目中标后由中标投标人在领取中标通知书时提供一正两副纸质投标文件及电子版投标文件一份用于备案。</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采用电子化评审系统的采购项目，其纸质投标文件应从政府采购项目投标文件制作软件中导出。并按规定的纸质投标文件份数要求进行印刷， 其正本及各副本分别装订成册。项目分标段的，应按所投标段分别准备投标文件。电子版投标文件应包括最终生成加密上传的投标格式文件及对应的 PDF 格式文件等全部资料。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签字或盖章要求</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应在需要盖公章处应加盖投标人单位公章，需要法定代表人或其授权代表签字或盖章处应由投标人的法定代表人或其授权代表签字或盖章。由授权代表签字或盖章的，应在投标文件中须附有效的法定代表人授权委托书。投标人为自然人的，应在投标文件的需要签字处由本人签字并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投标截止时间</w:t>
            </w:r>
          </w:p>
        </w:tc>
        <w:tc>
          <w:tcPr>
            <w:tcW w:w="5984" w:type="dxa"/>
          </w:tcPr>
          <w:p>
            <w:pPr>
              <w:keepNext w:val="0"/>
              <w:keepLines w:val="0"/>
              <w:pageBreakBefore w:val="0"/>
              <w:kinsoku/>
              <w:overflowPunct/>
              <w:topLinePunct w:val="0"/>
              <w:autoSpaceDE/>
              <w:autoSpaceDN/>
              <w:bidi w:val="0"/>
              <w:adjustRightInd/>
              <w:snapToGrid/>
              <w:spacing w:line="400" w:lineRule="exact"/>
              <w:rPr>
                <w:color w:val="auto"/>
                <w:sz w:val="24"/>
                <w:szCs w:val="24"/>
                <w:vertAlign w:val="baseline"/>
              </w:rPr>
            </w:pPr>
            <w:r>
              <w:rPr>
                <w:rFonts w:hint="eastAsia" w:asciiTheme="minorEastAsia" w:hAnsiTheme="minorEastAsia" w:eastAsiaTheme="minorEastAsia" w:cstheme="minorEastAsia"/>
                <w:color w:val="auto"/>
                <w:kern w:val="0"/>
                <w:sz w:val="24"/>
                <w:szCs w:val="24"/>
                <w:shd w:val="clear" w:color="auto" w:fill="FFFFFF"/>
                <w:lang w:val="en-US" w:eastAsia="zh-CN" w:bidi="ar-SA"/>
              </w:rPr>
              <w:t>2024年01月30日09时30分00秒（北京时间）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递交投标文件地点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地点：全国公共资源交易平台（陕西省·西安市）网站〖首页〉电子交易平台〉陕西政府采购交易系统〉企业端〗，在线提交；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是否退还</w:t>
            </w:r>
          </w:p>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开标形式</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不见面开标</w:t>
            </w:r>
            <w:r>
              <w:rPr>
                <w:rFonts w:hint="eastAsia"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见面开标</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开标时间和地点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开标时间：同投标截止时间</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开标地点：</w:t>
            </w:r>
            <w:r>
              <w:rPr>
                <w:rFonts w:hint="eastAsia" w:asciiTheme="minorEastAsia" w:hAnsiTheme="minorEastAsia" w:eastAsiaTheme="minorEastAsia" w:cstheme="minorEastAsia"/>
                <w:kern w:val="0"/>
                <w:sz w:val="24"/>
                <w:szCs w:val="24"/>
                <w:shd w:val="clear" w:color="auto" w:fill="FFFFFF"/>
                <w:lang w:val="en-US" w:eastAsia="zh-CN" w:bidi="ar-SA"/>
              </w:rPr>
              <w:t>全国公共资源交易平台（陕西省·西安市）网站〖首页〉电子交易平台</w:t>
            </w: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投标文件的递交</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本项目采用“不见面开标”方式，各投标人登录全国公共资源交易平台（陕西省·西安市）下载操作手册,并在投标文件递交截止时间前通过全国公共资源交易平台（陕西省·西安市）递交加密版电子投标文件。</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投标人按包递交加密版电子投标文件。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投标签到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投标人在开标前 60 分钟内用制作投标文件的CA锁登录不见面开标大厅，并及时签到（开标前60分钟开始签到），及时关注右侧公告及互动栏目信息，并做出响应。为顺利实现本项目开评标的远程交互，建议投标人配置的硬件设施有：高配置电脑、高速稳定的网络、电源（不间断）、CA 锁、音视频设备（话筒、耳麦、高清摄像头、音响），浏览器建议使用 IE11 浏览器，且电脑已经正确安装了陕西省公共资源交易平台多 CA 互认系统。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评标委员会的组建</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default"/>
                <w:sz w:val="24"/>
                <w:szCs w:val="24"/>
                <w:vertAlign w:val="baseline"/>
                <w:lang w:val="en-US"/>
              </w:rPr>
            </w:pPr>
            <w:r>
              <w:rPr>
                <w:rFonts w:hint="eastAsia" w:ascii="宋体" w:hAnsi="宋体" w:eastAsia="宋体" w:cs="宋体"/>
                <w:color w:val="000000"/>
                <w:kern w:val="0"/>
                <w:sz w:val="24"/>
                <w:szCs w:val="24"/>
                <w:lang w:val="en-US" w:eastAsia="zh-CN" w:bidi="ar"/>
              </w:rPr>
              <w:t>评标委员会构成：</w:t>
            </w:r>
            <w:r>
              <w:rPr>
                <w:rFonts w:hint="eastAsia" w:ascii="宋体" w:hAnsi="宋体" w:cs="宋体"/>
                <w:color w:val="000000"/>
                <w:kern w:val="0"/>
                <w:sz w:val="24"/>
                <w:szCs w:val="24"/>
                <w:u w:val="single"/>
                <w:lang w:val="en-US" w:eastAsia="zh-CN" w:bidi="ar"/>
              </w:rPr>
              <w:t xml:space="preserve"> 7</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w:t>
            </w:r>
            <w:r>
              <w:rPr>
                <w:rFonts w:hint="eastAsia" w:ascii="宋体" w:hAnsi="宋体" w:cs="宋体"/>
                <w:color w:val="000000"/>
                <w:kern w:val="0"/>
                <w:sz w:val="24"/>
                <w:szCs w:val="24"/>
                <w:lang w:val="en-US" w:eastAsia="zh-CN" w:bidi="ar"/>
              </w:rPr>
              <w:t>其中采购人代表</w:t>
            </w:r>
            <w:r>
              <w:rPr>
                <w:rFonts w:hint="eastAsia" w:ascii="宋体" w:hAnsi="宋体" w:cs="宋体"/>
                <w:color w:val="000000"/>
                <w:kern w:val="0"/>
                <w:sz w:val="24"/>
                <w:szCs w:val="24"/>
                <w:u w:val="single"/>
                <w:lang w:val="en-US" w:eastAsia="zh-CN" w:bidi="ar"/>
              </w:rPr>
              <w:t xml:space="preserve"> 2 </w:t>
            </w:r>
            <w:r>
              <w:rPr>
                <w:rFonts w:hint="eastAsia" w:ascii="宋体" w:hAnsi="宋体" w:cs="宋体"/>
                <w:color w:val="000000"/>
                <w:kern w:val="0"/>
                <w:sz w:val="24"/>
                <w:szCs w:val="24"/>
                <w:lang w:val="en-US" w:eastAsia="zh-CN" w:bidi="ar"/>
              </w:rPr>
              <w:t>人，专家</w:t>
            </w:r>
            <w:r>
              <w:rPr>
                <w:rFonts w:hint="eastAsia" w:ascii="宋体" w:hAnsi="宋体" w:cs="宋体"/>
                <w:color w:val="000000"/>
                <w:kern w:val="0"/>
                <w:sz w:val="24"/>
                <w:szCs w:val="24"/>
                <w:u w:val="single"/>
                <w:lang w:val="en-US" w:eastAsia="zh-CN" w:bidi="ar"/>
              </w:rPr>
              <w:t xml:space="preserve"> 5  </w:t>
            </w:r>
            <w:r>
              <w:rPr>
                <w:rFonts w:hint="eastAsia" w:ascii="宋体" w:hAnsi="宋体" w:cs="宋体"/>
                <w:color w:val="000000"/>
                <w:kern w:val="0"/>
                <w:sz w:val="24"/>
                <w:szCs w:val="24"/>
                <w:lang w:val="en-US" w:eastAsia="zh-CN" w:bidi="ar"/>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履约担保</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本项目不要求提供履约担保。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招标代理服务费</w:t>
            </w:r>
          </w:p>
        </w:tc>
        <w:tc>
          <w:tcPr>
            <w:tcW w:w="5984" w:type="dxa"/>
          </w:tcPr>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1.招标代理服务费用：按国家计委计价格[2002]1980号《招标代理服务收费管理暂行办法》所规定的收费标准收取；</w:t>
            </w:r>
          </w:p>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2.上述费用由</w:t>
            </w:r>
            <w:r>
              <w:rPr>
                <w:rFonts w:hint="eastAsia" w:ascii="宋体" w:hAnsi="宋体" w:cs="宋体"/>
                <w:b w:val="0"/>
                <w:bCs w:val="0"/>
                <w:sz w:val="24"/>
                <w:szCs w:val="24"/>
                <w:u w:val="single"/>
              </w:rPr>
              <w:t xml:space="preserve">  中标人  </w:t>
            </w:r>
            <w:r>
              <w:rPr>
                <w:rFonts w:hint="eastAsia" w:ascii="宋体" w:hAnsi="宋体" w:cs="宋体"/>
                <w:b w:val="0"/>
                <w:bCs w:val="0"/>
                <w:sz w:val="24"/>
                <w:szCs w:val="24"/>
              </w:rPr>
              <w:t>在领取中标通知书前向招标代理机构一次性付清。</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3、代理服务费缴纳账户信息：</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开户行名称:中国建设银行股份有限公司西安云顶园小区支行</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开户名称：天煜荣泽工程咨询有限公司西安高新分公司</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b w:val="0"/>
                <w:bCs w:val="0"/>
                <w:sz w:val="24"/>
                <w:szCs w:val="24"/>
              </w:rPr>
              <w:t>账    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注意事项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sz w:val="24"/>
                <w:szCs w:val="28"/>
                <w:lang w:val="en-US" w:eastAsia="zh-CN"/>
              </w:rPr>
            </w:pPr>
            <w:r>
              <w:rPr>
                <w:rFonts w:hint="eastAsia"/>
                <w:sz w:val="24"/>
                <w:szCs w:val="28"/>
                <w:lang w:val="en-US" w:eastAsia="zh-CN"/>
              </w:rPr>
              <w:t>请各投标人获取招标文件后，按照陕西省财政厅《关于政府采投标人注册登记有关事项的通知》要求，通过陕西省政府采购网注册登记加入陕西省政府采购投标人库。</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兼投不兼中规则：</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供应商可以同时参加本项目所有标包招标。每个供应商最多只能成交一个标包。但所投每个标包必须分开制作响应文件，并分别递交</w:t>
            </w:r>
            <w:r>
              <w:rPr>
                <w:rFonts w:hint="eastAsia" w:cs="Times New Roman"/>
                <w:kern w:val="2"/>
                <w:sz w:val="24"/>
                <w:szCs w:val="28"/>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pPr>
            <w:r>
              <w:rPr>
                <w:rFonts w:hint="eastAsia" w:ascii="Times New Roman" w:hAnsi="Times New Roman" w:eastAsia="宋体" w:cs="Times New Roman"/>
                <w:kern w:val="2"/>
                <w:sz w:val="24"/>
                <w:szCs w:val="28"/>
                <w:lang w:val="en-US" w:eastAsia="zh-CN" w:bidi="ar-SA"/>
              </w:rPr>
              <w:t>招标分为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w:t>
            </w:r>
            <w:r>
              <w:rPr>
                <w:rFonts w:hint="eastAsia" w:ascii="Times New Roman" w:hAnsi="Times New Roman" w:eastAsia="宋体" w:cs="Times New Roman"/>
                <w:kern w:val="2"/>
                <w:sz w:val="24"/>
                <w:szCs w:val="28"/>
                <w:lang w:val="en-US" w:eastAsia="zh-CN" w:bidi="ar-SA"/>
              </w:rPr>
              <w:t>、五个</w:t>
            </w:r>
            <w:r>
              <w:rPr>
                <w:rFonts w:hint="eastAsia" w:cs="Times New Roman"/>
                <w:kern w:val="2"/>
                <w:sz w:val="24"/>
                <w:szCs w:val="28"/>
                <w:lang w:val="en-US" w:eastAsia="zh-CN" w:bidi="ar-SA"/>
              </w:rPr>
              <w:t>合同包</w:t>
            </w:r>
            <w:r>
              <w:rPr>
                <w:rFonts w:hint="eastAsia" w:ascii="Times New Roman" w:hAnsi="Times New Roman" w:eastAsia="宋体" w:cs="Times New Roman"/>
                <w:kern w:val="2"/>
                <w:sz w:val="24"/>
                <w:szCs w:val="28"/>
                <w:lang w:val="en-US" w:eastAsia="zh-CN" w:bidi="ar-SA"/>
              </w:rPr>
              <w:t>，采取兼投不兼中原则，评标顺序为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合同包5，如</w:t>
            </w:r>
            <w:r>
              <w:rPr>
                <w:rFonts w:hint="eastAsia" w:ascii="Times New Roman" w:hAnsi="Times New Roman" w:eastAsia="宋体" w:cs="Times New Roman"/>
                <w:kern w:val="2"/>
                <w:sz w:val="24"/>
                <w:szCs w:val="28"/>
                <w:lang w:val="en-US" w:eastAsia="zh-CN" w:bidi="ar-SA"/>
              </w:rPr>
              <w:t>在</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中被推荐为第一中标候选人的单位不参与</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评标，不得成为</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推荐中标候选人。以此类推。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政府采购信息发布媒体（采购公告、采购结果公告、变更公告）</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陕西省政府采购网：仅提供项目公告，官网地址：</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"http://ccgp-shaanxi.gov.cn/。" </w:instrText>
            </w:r>
            <w:r>
              <w:rPr>
                <w:rFonts w:hint="eastAsia" w:ascii="宋体" w:hAnsi="宋体" w:eastAsia="宋体" w:cs="宋体"/>
                <w:color w:val="000000"/>
                <w:kern w:val="0"/>
                <w:sz w:val="24"/>
                <w:szCs w:val="24"/>
                <w:lang w:val="en-US" w:eastAsia="zh-CN" w:bidi="ar"/>
              </w:rPr>
              <w:fldChar w:fldCharType="separate"/>
            </w:r>
            <w:r>
              <w:rPr>
                <w:rStyle w:val="30"/>
                <w:rFonts w:hint="eastAsia" w:ascii="宋体" w:hAnsi="宋体" w:eastAsia="宋体" w:cs="宋体"/>
                <w:kern w:val="0"/>
                <w:sz w:val="24"/>
                <w:szCs w:val="24"/>
                <w:lang w:val="en-US" w:eastAsia="zh-CN" w:bidi="ar"/>
              </w:rPr>
              <w:t>http://ccgp-shaanxi.gov.cn/。</w:t>
            </w: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全国公共资源交易平台（陕西省·西安市）：即西安市 公共资源交易平台，提供项目公告和采购文件下载。官网地址：http://sxggzyjy.xa.gov.cn/</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ascii="宋体" w:hAnsi="宋体" w:cs="宋体"/>
          <w:b/>
          <w:sz w:val="24"/>
          <w:szCs w:val="24"/>
        </w:rPr>
      </w:pPr>
    </w:p>
    <w:bookmarkEnd w:id="4"/>
    <w:bookmarkEnd w:id="5"/>
    <w:bookmarkEnd w:id="6"/>
    <w:bookmarkEnd w:id="7"/>
    <w:bookmarkEnd w:id="8"/>
    <w:bookmarkEnd w:id="9"/>
    <w:p>
      <w:pPr>
        <w:tabs>
          <w:tab w:val="center" w:pos="4706"/>
        </w:tabs>
        <w:spacing w:line="360" w:lineRule="auto"/>
        <w:outlineLvl w:val="9"/>
        <w:rPr>
          <w:rFonts w:hint="eastAsia" w:ascii="宋体" w:hAnsi="宋体" w:cs="宋体"/>
          <w:sz w:val="28"/>
          <w:szCs w:val="28"/>
        </w:rPr>
      </w:pPr>
      <w:bookmarkStart w:id="12" w:name="_Toc524712813"/>
      <w:bookmarkStart w:id="13" w:name="_Toc29158_WPSOffice_Level2"/>
      <w:bookmarkStart w:id="14"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政府采购法</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《中华人民共和国</w:t>
      </w:r>
      <w:r>
        <w:rPr>
          <w:rFonts w:hint="eastAsia" w:ascii="宋体" w:hAnsi="宋体" w:cs="宋体"/>
          <w:sz w:val="24"/>
          <w:szCs w:val="24"/>
          <w:lang w:eastAsia="zh-CN"/>
        </w:rPr>
        <w:t>政府采购法</w:t>
      </w:r>
      <w:r>
        <w:rPr>
          <w:rFonts w:hint="eastAsia" w:ascii="宋体" w:hAnsi="宋体" w:cs="宋体"/>
          <w:sz w:val="24"/>
          <w:szCs w:val="24"/>
        </w:rPr>
        <w:t>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 xml:space="preserve"> 分包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本项目不允许分包。</w:t>
      </w:r>
    </w:p>
    <w:p>
      <w:pPr>
        <w:pStyle w:val="7"/>
        <w:spacing w:line="360" w:lineRule="auto"/>
        <w:ind w:firstLine="482"/>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偏离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本项目不允许偏离。</w:t>
      </w:r>
    </w:p>
    <w:p>
      <w:pPr>
        <w:pStyle w:val="7"/>
        <w:spacing w:line="360" w:lineRule="auto"/>
        <w:ind w:firstLine="482"/>
        <w:outlineLvl w:val="9"/>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9"/>
        <w:rPr>
          <w:rFonts w:hint="eastAsia" w:ascii="宋体" w:hAnsi="宋体" w:cs="宋体"/>
          <w:b/>
          <w:sz w:val="28"/>
          <w:szCs w:val="28"/>
        </w:rPr>
      </w:pPr>
      <w:bookmarkStart w:id="15" w:name="_Toc9630_WPSOffice_Level1"/>
      <w:bookmarkStart w:id="16" w:name="_Toc22897_WPSOffice_Level2"/>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9"/>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outlineLvl w:val="9"/>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根据本章第2.2 款对招标文件所作的澄清、修改，构成招标文件的组成部分。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获取</w:t>
      </w:r>
      <w:r>
        <w:rPr>
          <w:rFonts w:hint="eastAsia" w:ascii="宋体" w:hAnsi="宋体" w:cs="宋体"/>
          <w:b/>
          <w:bCs/>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获取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自行转让或复制的招标文件视为无效招标文件；招标文件仅作为本次招标使用。</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2.6.1投标文件应包括下列内容</w:t>
      </w:r>
    </w:p>
    <w:p>
      <w:pPr>
        <w:keepNext w:val="0"/>
        <w:keepLines w:val="0"/>
        <w:pageBreakBefore w:val="0"/>
        <w:numPr>
          <w:ilvl w:val="0"/>
          <w:numId w:val="0"/>
        </w:numPr>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投标函</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开标一览表</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lang w:eastAsia="zh-CN"/>
        </w:rPr>
        <w:t>三、</w:t>
      </w:r>
      <w:r>
        <w:rPr>
          <w:rFonts w:hint="eastAsia" w:ascii="宋体" w:hAnsi="宋体" w:eastAsia="宋体" w:cs="宋体"/>
          <w:b w:val="0"/>
          <w:bCs/>
          <w:sz w:val="24"/>
          <w:szCs w:val="24"/>
        </w:rPr>
        <w:t>分项报价表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四、商务及合同条款偏离表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五、服务要求偏离表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七、</w:t>
      </w:r>
      <w:r>
        <w:rPr>
          <w:rFonts w:hint="eastAsia" w:ascii="宋体" w:hAnsi="宋体" w:eastAsia="宋体" w:cs="宋体"/>
          <w:b w:val="0"/>
          <w:bCs/>
          <w:kern w:val="2"/>
          <w:sz w:val="24"/>
          <w:szCs w:val="24"/>
          <w:lang w:val="en-US" w:eastAsia="zh-CN" w:bidi="ar-SA"/>
        </w:rPr>
        <w:t>供应商参加政府采购活动承诺书</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八、投标方案</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九、中小企业、监狱企业、残疾人福利性单位声明函</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（1）各投标人应在投标文件中的投标报价一览表上标明投标总价等项，任何有选择的报价，将不予接受。</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2.6.3投标报价一览表为在开标会上唱标的内容，按要求格式填写不允许在投标文件中出现两个报价。</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2.8投标报价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2.8.1投标货币：人民币    单位：元。</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2.8.2报价</w:t>
      </w:r>
    </w:p>
    <w:p>
      <w:pPr>
        <w:spacing w:line="360" w:lineRule="auto"/>
        <w:ind w:firstLine="480" w:firstLineChars="200"/>
        <w:outlineLvl w:val="9"/>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投标报价应包括完成招标文件规定的招标范围全部内容所需的全部费用及招标代理服务费。</w:t>
      </w:r>
      <w:r>
        <w:rPr>
          <w:rFonts w:hint="eastAsia" w:ascii="宋体" w:hAnsi="宋体" w:cs="宋体"/>
          <w:sz w:val="24"/>
        </w:rPr>
        <w:t>凡本招标文件要求（或允许）及</w:t>
      </w:r>
      <w:r>
        <w:rPr>
          <w:rFonts w:hint="eastAsia" w:ascii="宋体" w:hAnsi="宋体" w:cs="宋体"/>
          <w:sz w:val="24"/>
          <w:lang w:eastAsia="zh-CN"/>
        </w:rPr>
        <w:t>投标人</w:t>
      </w:r>
      <w:r>
        <w:rPr>
          <w:rFonts w:hint="eastAsia" w:ascii="宋体" w:hAnsi="宋体" w:cs="宋体"/>
          <w:sz w:val="24"/>
        </w:rPr>
        <w:t>认为需要进行投标报价的各项费用项目，若报价时未报或未在招标文件中予以说明，</w:t>
      </w:r>
      <w:r>
        <w:rPr>
          <w:rFonts w:hint="eastAsia" w:ascii="宋体" w:hAnsi="宋体" w:cs="宋体"/>
          <w:sz w:val="24"/>
          <w:lang w:eastAsia="zh-CN"/>
        </w:rPr>
        <w:t>招标人</w:t>
      </w:r>
      <w:r>
        <w:rPr>
          <w:rFonts w:hint="eastAsia" w:ascii="宋体" w:hAnsi="宋体" w:cs="宋体"/>
          <w:sz w:val="24"/>
        </w:rPr>
        <w:t>将认为这些费用</w:t>
      </w:r>
      <w:r>
        <w:rPr>
          <w:rFonts w:hint="eastAsia" w:ascii="宋体" w:hAnsi="宋体" w:cs="宋体"/>
          <w:sz w:val="24"/>
          <w:lang w:eastAsia="zh-CN"/>
        </w:rPr>
        <w:t>投标人</w:t>
      </w:r>
      <w:r>
        <w:rPr>
          <w:rFonts w:hint="eastAsia" w:ascii="宋体" w:hAnsi="宋体" w:cs="宋体"/>
          <w:sz w:val="24"/>
        </w:rPr>
        <w:t>已计取，并包含在总报价中</w:t>
      </w:r>
      <w:r>
        <w:rPr>
          <w:rFonts w:hint="eastAsia" w:ascii="宋体" w:hAnsi="宋体"/>
          <w:sz w:val="24"/>
        </w:rPr>
        <w:t>。</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）投标报价一览表（唱标报告）</w:t>
      </w:r>
      <w:r>
        <w:rPr>
          <w:rFonts w:hint="eastAsia" w:ascii="宋体" w:hAnsi="宋体"/>
          <w:sz w:val="24"/>
        </w:rPr>
        <w:t>中标明的价格在合同执行过程中是固定不变的，不得以任何理由予以变更。</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）招标人</w:t>
      </w:r>
      <w:r>
        <w:rPr>
          <w:rFonts w:hint="eastAsia" w:ascii="宋体" w:hAnsi="宋体"/>
          <w:sz w:val="24"/>
        </w:rPr>
        <w:t>不接受任何有选择性的报价。</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凡因投标单位对招标文件阅读不深、理解不透、误解、疏漏、或因市场行情了解不清造成的后果和风险均由投标单位自负。</w:t>
      </w:r>
    </w:p>
    <w:p>
      <w:pPr>
        <w:spacing w:line="360" w:lineRule="auto"/>
        <w:ind w:firstLine="480"/>
        <w:outlineLvl w:val="9"/>
        <w:rPr>
          <w:rFonts w:hint="eastAsia" w:ascii="宋体" w:hAnsi="宋体" w:cs="宋体"/>
          <w:sz w:val="24"/>
          <w:szCs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最低报价不是中标的唯一依据。</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见前附表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1"/>
        <w:spacing w:before="0" w:beforeAutospacing="0" w:after="0" w:afterAutospacing="0" w:line="360" w:lineRule="auto"/>
        <w:ind w:firstLine="360" w:firstLineChars="150"/>
        <w:rPr>
          <w:rFonts w:hint="eastAsia"/>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spacing w:line="360" w:lineRule="auto"/>
        <w:jc w:val="both"/>
        <w:outlineLvl w:val="9"/>
        <w:rPr>
          <w:rFonts w:hint="eastAsia" w:ascii="宋体" w:hAnsi="宋体" w:cs="宋体"/>
          <w:b/>
          <w:sz w:val="28"/>
          <w:szCs w:val="28"/>
        </w:rPr>
      </w:pPr>
      <w:bookmarkStart w:id="18" w:name="_Toc25679_WPSOffice_Level2"/>
      <w:bookmarkStart w:id="19" w:name="_Toc8458_WPSOffice_Level1"/>
      <w:r>
        <w:rPr>
          <w:rFonts w:hint="eastAsia" w:ascii="宋体" w:hAnsi="宋体" w:cs="宋体"/>
          <w:b/>
          <w:sz w:val="28"/>
          <w:szCs w:val="28"/>
        </w:rPr>
        <w:t>第三节 投标</w:t>
      </w:r>
      <w:bookmarkEnd w:id="18"/>
      <w:bookmarkEnd w:id="19"/>
    </w:p>
    <w:p>
      <w:pPr>
        <w:spacing w:line="360" w:lineRule="auto"/>
        <w:ind w:firstLine="472"/>
        <w:outlineLvl w:val="9"/>
        <w:rPr>
          <w:rFonts w:hint="eastAsia" w:eastAsia="宋体"/>
          <w:lang w:eastAsia="zh-CN"/>
        </w:rPr>
      </w:pPr>
      <w:r>
        <w:rPr>
          <w:rFonts w:hint="eastAsia" w:ascii="宋体" w:hAnsi="宋体" w:cs="宋体"/>
          <w:b/>
          <w:sz w:val="24"/>
          <w:szCs w:val="24"/>
          <w:lang w:val="en-US" w:eastAsia="zh-CN"/>
        </w:rPr>
        <w:t>1</w:t>
      </w:r>
      <w:r>
        <w:rPr>
          <w:rFonts w:hint="eastAsia" w:ascii="宋体" w:hAnsi="宋体" w:cs="宋体"/>
          <w:b/>
          <w:sz w:val="24"/>
          <w:szCs w:val="24"/>
        </w:rPr>
        <w:t>.</w:t>
      </w:r>
      <w:r>
        <w:rPr>
          <w:rFonts w:hint="eastAsia" w:ascii="宋体" w:hAnsi="宋体" w:cs="宋体"/>
          <w:b/>
          <w:sz w:val="24"/>
          <w:szCs w:val="24"/>
          <w:lang w:eastAsia="zh-CN"/>
        </w:rPr>
        <w:t>一般要求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投标人应仔细阅读招标文件的所有内容，按招标文件的要求的内容编制投标文件，并保证所提供的全部资料的真实性，以使其投标文件对招标文件做出实质性的响应。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 投标人提交的投标文件及投标人与招标人或招标代理机构、评标委员会就有关投标的所有来往函电必须使用中文。投标人可以提交其他语言的资料，但应附有中文注释，有差异时以中文为准。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 除技术要求另有规定外，本文件所要求使用的计量单位均采用国家法定的度、量、衡标准单位计量。未列明时亦默认为我国法定计量单位。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 投标人应当按招标文件中提供的投标文件内容进行填写。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 投标文件应采用书面形式，招标文件中要求提供电子版的，必须按要求提供。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2</w:t>
      </w:r>
      <w:r>
        <w:rPr>
          <w:rFonts w:hint="eastAsia" w:ascii="宋体" w:hAnsi="宋体" w:cs="宋体"/>
          <w:b/>
          <w:sz w:val="24"/>
          <w:szCs w:val="24"/>
        </w:rPr>
        <w:t>.投标截止时间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.1招标方推迟投标截止时间时，应以书面或传真的形式通知所有</w:t>
      </w:r>
      <w:r>
        <w:rPr>
          <w:rFonts w:hint="eastAsia" w:ascii="宋体" w:hAnsi="宋体" w:cs="宋体"/>
          <w:sz w:val="24"/>
          <w:szCs w:val="24"/>
          <w:lang w:eastAsia="zh-CN"/>
        </w:rPr>
        <w:t>投标人</w:t>
      </w:r>
      <w:r>
        <w:rPr>
          <w:rFonts w:hint="eastAsia" w:ascii="宋体" w:hAnsi="宋体" w:cs="宋体"/>
          <w:sz w:val="24"/>
          <w:szCs w:val="24"/>
        </w:rPr>
        <w:t>，招标方和</w:t>
      </w:r>
      <w:r>
        <w:rPr>
          <w:rFonts w:hint="eastAsia" w:ascii="宋体" w:hAnsi="宋体" w:cs="宋体"/>
          <w:sz w:val="24"/>
          <w:szCs w:val="24"/>
          <w:lang w:eastAsia="zh-CN"/>
        </w:rPr>
        <w:t>投标人</w:t>
      </w:r>
      <w:r>
        <w:rPr>
          <w:rFonts w:hint="eastAsia" w:ascii="宋体" w:hAnsi="宋体" w:cs="宋体"/>
          <w:sz w:val="24"/>
          <w:szCs w:val="24"/>
        </w:rPr>
        <w:t>的权利和义务将受到新的截止期的约束；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.2投标截止时间以后送达的投标文件，招标方拒绝接收。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3</w:t>
      </w:r>
      <w:r>
        <w:rPr>
          <w:rFonts w:hint="eastAsia" w:ascii="宋体" w:hAnsi="宋体" w:cs="宋体"/>
          <w:b/>
          <w:sz w:val="24"/>
          <w:szCs w:val="24"/>
        </w:rPr>
        <w:t>.投标文件的修改和撤回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.1</w:t>
      </w:r>
      <w:r>
        <w:rPr>
          <w:rFonts w:hint="eastAsia" w:ascii="宋体" w:hAnsi="宋体" w:eastAsia="宋体" w:cs="宋体"/>
          <w:color w:val="000000"/>
          <w:kern w:val="0"/>
          <w:sz w:val="24"/>
          <w:szCs w:val="24"/>
          <w:lang w:val="en-US" w:eastAsia="zh-CN" w:bidi="ar"/>
        </w:rPr>
        <w:t xml:space="preserve"> 在投标人须知前附表规定的投标截止时间前，投标人可以修改或撤回已递交的投标文件。投标人对已提交的电子投标文件进行补充、修改的，应先从电子交易平台上撤回旧文件，再重新提交新文件。投标人对已提交的电子投标文件进行撤回的，直接从电子交易平台撤回投标文件即可。在投标截止时间之后，投标人将无法对其提交的投标文件做任何修改或者撤回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.2撤回投标应以书面或传真的形式通知</w:t>
      </w:r>
      <w:r>
        <w:rPr>
          <w:rFonts w:hint="eastAsia" w:ascii="宋体" w:hAnsi="宋体" w:cs="宋体"/>
          <w:sz w:val="24"/>
          <w:szCs w:val="24"/>
          <w:lang w:eastAsia="zh-CN"/>
        </w:rPr>
        <w:t>天煜荣泽工程咨询有限公司</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.3如采取传真形式撤回投标，随后必须补充有法人代表或授权代表签署的要求撤回投标的正式文件。撤回投标的时间以送达</w:t>
      </w:r>
      <w:r>
        <w:rPr>
          <w:rFonts w:hint="eastAsia" w:ascii="宋体" w:hAnsi="宋体" w:cs="宋体"/>
          <w:sz w:val="24"/>
          <w:szCs w:val="24"/>
          <w:lang w:eastAsia="zh-CN"/>
        </w:rPr>
        <w:t>天煜荣泽工程咨询有限公司</w:t>
      </w:r>
      <w:r>
        <w:rPr>
          <w:rFonts w:hint="eastAsia" w:ascii="宋体" w:hAnsi="宋体" w:cs="宋体"/>
          <w:sz w:val="24"/>
          <w:szCs w:val="24"/>
        </w:rPr>
        <w:t>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4.投标文件的递交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 投标人根据投标人须知前附表规定提交投标文件。本项目采用不见面开标模式，采用电子化投标文件，投标人不需要提供纸质投标文件。投标人应在投标截止时间前登录投标文件载明的“不见面开标大厅”网址，按系统提示完成投标流程。因投标人自身设施故障或自身原因导致无法完成投标的，由投标人自行承担后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投标人须在全国公共资源交易平台（陕西省·西安市）登记企业信息，然后使用数字认证 CA 锁获取公开招标文件及其他文件。投标人应使用电子投标书制作工具制作、加密投标文件，并在规定时间上传经过数字证书加密的电子投标文件（投标文件为.SXSTF 格式）。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4.3 因投标人自身原因造成电子投标文件在规定的时间内无法解密或无法现场报价的，按无效响应文件对待。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 其他需要说明的事项：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4.4.1 本项目招标所使用的交易平台为全国公共资源交易平台（陕西省·西安市）(http://sxggzyjy.xa.gov.cn/）不见面开标系统，如有疑问，请及时与招标代理机构联系。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4.4.2 在线参与公开招标的方式：打开全国公共资源交易平台（陕西省·西安市）（http://sxggzyjy.xa.gov.cn/），点击【不见面开标系统】进入不见面开标大厅登陆首页。在我的项目里面找到等待开标的项目，点击进入不见面开标会议室。投标人阅读开标流程，并完成在线签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不见面开标注意事项：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为顺利实现本项目公开招标的远程交互，建议投标人提前调试好硬件设备。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（2）建议投标人在投标文件递交截止时间前 60 分钟内登录不见面开标大厅，并及时签到（投标文件递交截止时间前 60 分钟开始签到），否则将无法参与不见面投标。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（3）投标人需注意 CA 锁一定要提前准备好，并确保 CA 锁为制作投标文件的 CA 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（4）及时关注右侧公告及互动栏目信息，并尽快做出响应。</w:t>
      </w:r>
    </w:p>
    <w:p>
      <w:pPr>
        <w:spacing w:line="360" w:lineRule="auto"/>
        <w:jc w:val="both"/>
        <w:outlineLvl w:val="9"/>
        <w:rPr>
          <w:rFonts w:hint="eastAsia" w:ascii="宋体" w:hAnsi="宋体" w:cs="宋体"/>
          <w:b/>
          <w:bCs/>
          <w:sz w:val="28"/>
          <w:szCs w:val="28"/>
        </w:rPr>
      </w:pPr>
      <w:r>
        <w:rPr>
          <w:rFonts w:hint="eastAsia" w:ascii="宋体" w:hAnsi="宋体" w:cs="宋体"/>
          <w:b/>
          <w:bCs/>
          <w:sz w:val="28"/>
          <w:szCs w:val="28"/>
        </w:rPr>
        <w:t>第四节 开标、评标、定标</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1、开标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rPr>
        <w:t>（2）为确保评标工作公开、公平、公正，依法成立评标委员会。评标委员会由</w:t>
      </w:r>
      <w:r>
        <w:rPr>
          <w:rFonts w:hint="eastAsia" w:ascii="宋体" w:hAnsi="宋体" w:cs="宋体"/>
          <w:sz w:val="24"/>
          <w:szCs w:val="24"/>
          <w:lang w:eastAsia="zh-CN"/>
        </w:rPr>
        <w:t>采购</w:t>
      </w:r>
      <w:r>
        <w:rPr>
          <w:rFonts w:hint="eastAsia" w:ascii="宋体" w:hAnsi="宋体" w:cs="宋体"/>
          <w:sz w:val="24"/>
          <w:szCs w:val="24"/>
        </w:rPr>
        <w:t>人代表及评审专家组成，成员人数</w:t>
      </w:r>
      <w:r>
        <w:rPr>
          <w:rFonts w:hint="eastAsia" w:ascii="宋体" w:hAnsi="宋体" w:cs="宋体"/>
          <w:sz w:val="24"/>
          <w:szCs w:val="24"/>
          <w:lang w:eastAsia="zh-CN"/>
        </w:rPr>
        <w:t>由七人组成</w:t>
      </w:r>
      <w:r>
        <w:rPr>
          <w:rFonts w:hint="eastAsia" w:ascii="宋体" w:hAnsi="宋体" w:cs="宋体"/>
          <w:sz w:val="24"/>
          <w:szCs w:val="24"/>
        </w:rPr>
        <w:t>，其中评审专家</w:t>
      </w:r>
      <w:r>
        <w:rPr>
          <w:rFonts w:hint="eastAsia" w:ascii="宋体" w:hAnsi="宋体" w:cs="宋体"/>
          <w:sz w:val="24"/>
          <w:szCs w:val="24"/>
          <w:lang w:eastAsia="zh-CN"/>
        </w:rPr>
        <w:t>五人，采购人代表二人</w:t>
      </w:r>
      <w:r>
        <w:rPr>
          <w:rFonts w:hint="eastAsia" w:ascii="宋体" w:hAnsi="宋体" w:cs="宋体"/>
          <w:sz w:val="24"/>
          <w:szCs w:val="24"/>
        </w:rPr>
        <w:t>，专家名单由有关人员</w:t>
      </w:r>
      <w:r>
        <w:rPr>
          <w:rFonts w:hint="eastAsia" w:ascii="宋体" w:hAnsi="宋体" w:eastAsia="宋体" w:cs="宋体"/>
          <w:sz w:val="24"/>
        </w:rPr>
        <w:t>依法从相应评标专家库中抽取</w:t>
      </w:r>
      <w:r>
        <w:rPr>
          <w:rFonts w:hint="eastAsia" w:ascii="宋体" w:hAnsi="宋体" w:cs="宋体"/>
          <w:sz w:val="24"/>
          <w:szCs w:val="24"/>
        </w:rPr>
        <w:t>，评标委员会成员应当遵守并履行下列责任和义务</w:t>
      </w:r>
      <w:r>
        <w:rPr>
          <w:rFonts w:hint="eastAsia" w:ascii="宋体" w:hAnsi="宋体" w:cs="宋体"/>
          <w:sz w:val="24"/>
          <w:szCs w:val="24"/>
          <w:lang w:eastAsia="zh-CN"/>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9"/>
        <w:rPr>
          <w:rFonts w:hint="eastAsia" w:ascii="宋体" w:hAnsi="宋体" w:cs="宋体"/>
          <w:b/>
          <w:sz w:val="24"/>
          <w:szCs w:val="24"/>
        </w:rPr>
      </w:pPr>
      <w:r>
        <w:rPr>
          <w:rFonts w:hint="eastAsia" w:ascii="宋体" w:hAnsi="宋体" w:cs="宋体"/>
          <w:b/>
          <w:sz w:val="24"/>
          <w:szCs w:val="24"/>
        </w:rPr>
        <w:t>2、投标文件的初审</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（1）初审内容为投标文件是否符合招标文件的要求，对各投标人投标文件中的资质证明文件等进行审查，以确定投标人是否具备投标资格；</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1"/>
        <w:widowControl/>
        <w:spacing w:before="0" w:beforeAutospacing="0" w:after="0" w:afterAutospacing="0" w:line="360" w:lineRule="auto"/>
        <w:ind w:firstLine="480" w:firstLineChars="200"/>
        <w:outlineLvl w:val="9"/>
        <w:rPr>
          <w:rFonts w:hint="eastAsia" w:ascii="宋体" w:hAnsi="宋体" w:cs="宋体"/>
          <w:sz w:val="24"/>
          <w:szCs w:val="40"/>
        </w:rPr>
      </w:pPr>
      <w:r>
        <w:rPr>
          <w:rFonts w:hint="eastAsia" w:ascii="宋体" w:hAnsi="宋体" w:cs="宋体"/>
          <w:sz w:val="24"/>
          <w:szCs w:val="40"/>
        </w:rPr>
        <w:t>C、</w:t>
      </w:r>
      <w:r>
        <w:rPr>
          <w:rFonts w:hint="eastAsia" w:ascii="宋体" w:hAnsi="宋体" w:cs="宋体"/>
          <w:sz w:val="24"/>
          <w:szCs w:val="40"/>
          <w:shd w:val="clear" w:color="auto" w:fill="FFFFFF"/>
        </w:rPr>
        <w:t>与招标人存在利害关系可能影响招标公正性的、</w:t>
      </w:r>
      <w:r>
        <w:rPr>
          <w:rFonts w:hint="eastAsia" w:ascii="宋体" w:hAnsi="宋体" w:cs="宋体"/>
          <w:sz w:val="24"/>
          <w:szCs w:val="40"/>
        </w:rPr>
        <w:t xml:space="preserve">不同投标人单位负责人为同一人或者存在控股、管理关系的； </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D、必备资质的有效性和符合性不符合要求的；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E、投标文件未按招标文件要求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F、投标人针对同一项目递交两份或多份内容不同的投标文件；</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G、投标人有串通投标、弄虚作假（包括但不限于虚假资质、虚假证明、虚假应答等）、行贿等违法行为的；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H、投标文件附加了招标人难以接受的条件或条款的；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I、在政府采购或其它重大项目履约过程中有不良记录，未能按期履约的；</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lang w:val="en-US" w:eastAsia="zh-CN"/>
        </w:rPr>
        <w:t>J</w:t>
      </w:r>
      <w:r>
        <w:rPr>
          <w:rFonts w:hint="eastAsia" w:ascii="宋体" w:hAnsi="宋体" w:cs="宋体"/>
          <w:sz w:val="24"/>
          <w:szCs w:val="24"/>
        </w:rPr>
        <w:t>、投标文件未实质性响应招标文件要求的,未按本招标文件2.10条要求制作的；</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E、不同投标人的投标文件相互混装；</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3．询标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p>
      <w:pPr>
        <w:spacing w:line="360" w:lineRule="auto"/>
        <w:ind w:firstLine="472" w:firstLineChars="196"/>
        <w:outlineLvl w:val="9"/>
        <w:rPr>
          <w:rFonts w:hint="eastAsia" w:ascii="宋体" w:hAnsi="宋体" w:cs="宋体"/>
          <w:sz w:val="24"/>
          <w:szCs w:val="24"/>
        </w:rPr>
      </w:pPr>
      <w:r>
        <w:rPr>
          <w:rFonts w:hint="eastAsia" w:ascii="宋体" w:hAnsi="宋体" w:cs="宋体"/>
          <w:b/>
          <w:sz w:val="24"/>
          <w:szCs w:val="24"/>
        </w:rPr>
        <w:t>4、评标办法（详见本招标文件第三章）</w:t>
      </w:r>
    </w:p>
    <w:p>
      <w:pPr>
        <w:spacing w:line="360" w:lineRule="auto"/>
        <w:ind w:firstLine="472" w:firstLineChars="196"/>
        <w:outlineLvl w:val="9"/>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、签订合同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1、定标后，中标人在收到</w:t>
      </w:r>
      <w:r>
        <w:rPr>
          <w:rFonts w:hint="eastAsia" w:ascii="宋体" w:hAnsi="宋体" w:cs="宋体"/>
          <w:sz w:val="24"/>
          <w:szCs w:val="24"/>
          <w:lang w:eastAsia="zh-CN"/>
        </w:rPr>
        <w:t>入选通知书</w:t>
      </w:r>
      <w:r>
        <w:rPr>
          <w:rFonts w:hint="eastAsia" w:ascii="宋体" w:hAnsi="宋体" w:cs="宋体"/>
          <w:sz w:val="24"/>
          <w:szCs w:val="24"/>
        </w:rPr>
        <w:t>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4、政府采购管理部门在合同履行期间以及履行期后，可以随时检查项目的执行情况，对采购标准、采购内容进行调查核实，并对发现的问题进行处理。</w:t>
      </w:r>
    </w:p>
    <w:p>
      <w:pPr>
        <w:spacing w:line="360" w:lineRule="auto"/>
        <w:ind w:firstLine="472" w:firstLineChars="196"/>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1、领取</w:t>
      </w:r>
      <w:r>
        <w:rPr>
          <w:rFonts w:hint="eastAsia" w:ascii="宋体" w:hAnsi="宋体" w:cs="宋体"/>
          <w:sz w:val="24"/>
          <w:szCs w:val="24"/>
          <w:lang w:eastAsia="zh-CN"/>
        </w:rPr>
        <w:t>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
      <w:pPr>
        <w:rPr>
          <w:rFonts w:hint="eastAsia"/>
        </w:rPr>
      </w:pPr>
      <w:r>
        <w:rPr>
          <w:rFonts w:hint="eastAsia" w:ascii="宋体" w:hAnsi="宋体" w:eastAsia="宋体" w:cs="宋体"/>
          <w:color w:val="000000" w:themeColor="text1"/>
          <w:sz w:val="24"/>
          <w14:textFill>
            <w14:solidFill>
              <w14:schemeClr w14:val="tx1"/>
            </w14:solidFill>
          </w14:textFill>
        </w:rPr>
        <w:br w:type="page"/>
      </w:r>
    </w:p>
    <w:bookmarkEnd w:id="12"/>
    <w:p>
      <w:pPr>
        <w:ind w:firstLine="3213" w:firstLineChars="1000"/>
        <w:outlineLvl w:val="0"/>
        <w:rPr>
          <w:rFonts w:ascii="宋体" w:hAnsi="宋体" w:cs="宋体"/>
          <w:b/>
          <w:bCs/>
          <w:color w:val="000000" w:themeColor="text1"/>
          <w:sz w:val="32"/>
          <w:szCs w:val="32"/>
          <w14:textFill>
            <w14:solidFill>
              <w14:schemeClr w14:val="tx1"/>
            </w14:solidFill>
          </w14:textFill>
        </w:rPr>
      </w:pPr>
      <w:bookmarkStart w:id="20" w:name="_Toc11955"/>
      <w:r>
        <w:rPr>
          <w:rFonts w:hint="eastAsia" w:ascii="宋体" w:hAnsi="宋体" w:cs="宋体"/>
          <w:b/>
          <w:bCs/>
          <w:color w:val="000000" w:themeColor="text1"/>
          <w:sz w:val="32"/>
          <w:szCs w:val="32"/>
          <w14:textFill>
            <w14:solidFill>
              <w14:schemeClr w14:val="tx1"/>
            </w14:solidFill>
          </w14:textFill>
        </w:rPr>
        <w:t>第三章 评标办法</w:t>
      </w:r>
      <w:bookmarkEnd w:id="20"/>
    </w:p>
    <w:p>
      <w:pPr>
        <w:pStyle w:val="12"/>
        <w:jc w:val="center"/>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r>
        <w:rPr>
          <w:rFonts w:hint="eastAsia" w:ascii="宋体" w:hAnsi="宋体" w:cs="宋体"/>
          <w:b/>
          <w:bCs/>
          <w:color w:val="000000" w:themeColor="text1"/>
          <w:kern w:val="2"/>
          <w:sz w:val="32"/>
          <w:szCs w:val="32"/>
          <w:lang w:val="en-US" w:eastAsia="zh-CN" w:bidi="ar-SA"/>
          <w14:textFill>
            <w14:solidFill>
              <w14:schemeClr w14:val="tx1"/>
            </w14:solidFill>
          </w14:textFill>
        </w:rPr>
        <w:t xml:space="preserve">合同包 2 </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rPr>
          <w:rFonts w:ascii="宋体" w:hAnsi="宋体" w:cs="宋体"/>
          <w:b/>
          <w:sz w:val="24"/>
          <w:szCs w:val="24"/>
        </w:rPr>
      </w:pPr>
      <w:bookmarkStart w:id="21" w:name="_Toc30806_WPSOffice_Level2"/>
      <w:r>
        <w:rPr>
          <w:rFonts w:hint="eastAsia" w:ascii="宋体" w:hAnsi="宋体" w:cs="宋体"/>
          <w:b/>
          <w:sz w:val="24"/>
          <w:szCs w:val="24"/>
        </w:rPr>
        <w:t>一、评审方法：</w:t>
      </w:r>
      <w:bookmarkEnd w:id="21"/>
    </w:p>
    <w:p>
      <w:pPr>
        <w:keepNext w:val="0"/>
        <w:keepLines w:val="0"/>
        <w:pageBreakBefore w:val="0"/>
        <w:kinsoku/>
        <w:overflowPunct/>
        <w:topLinePunct w:val="0"/>
        <w:autoSpaceDE/>
        <w:autoSpaceDN/>
        <w:bidi w:val="0"/>
        <w:adjustRightInd/>
        <w:snapToGrid/>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keepNext w:val="0"/>
        <w:keepLines w:val="0"/>
        <w:pageBreakBefore w:val="0"/>
        <w:kinsoku/>
        <w:overflowPunct/>
        <w:topLinePunct w:val="0"/>
        <w:autoSpaceDE/>
        <w:autoSpaceDN/>
        <w:bidi w:val="0"/>
        <w:adjustRightInd/>
        <w:snapToGrid/>
        <w:spacing w:line="360" w:lineRule="auto"/>
        <w:jc w:val="left"/>
        <w:rPr>
          <w:rFonts w:ascii="宋体" w:hAnsi="宋体" w:cs="宋体"/>
          <w:b/>
          <w:sz w:val="24"/>
          <w:szCs w:val="24"/>
        </w:rPr>
      </w:pPr>
      <w:bookmarkStart w:id="22" w:name="_Toc29770_WPSOffice_Level2"/>
      <w:r>
        <w:rPr>
          <w:rFonts w:hint="eastAsia" w:ascii="宋体" w:hAnsi="宋体" w:cs="宋体"/>
          <w:b/>
          <w:sz w:val="24"/>
          <w:szCs w:val="24"/>
        </w:rPr>
        <w:t>二、评审程序：</w:t>
      </w:r>
      <w:bookmarkEnd w:id="22"/>
    </w:p>
    <w:p>
      <w:pPr>
        <w:pStyle w:val="20"/>
        <w:keepNext w:val="0"/>
        <w:keepLines w:val="0"/>
        <w:pageBreakBefore w:val="0"/>
        <w:kinsoku/>
        <w:overflowPunct/>
        <w:topLinePunct w:val="0"/>
        <w:autoSpaceDE/>
        <w:autoSpaceDN/>
        <w:bidi w:val="0"/>
        <w:adjustRightInd/>
        <w:snapToGrid/>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spacing w:val="4"/>
          <w:kern w:val="0"/>
          <w:sz w:val="24"/>
          <w:szCs w:val="24"/>
          <w:lang w:val="en-US" w:eastAsia="zh-CN" w:bidi="ar-SA"/>
        </w:rPr>
      </w:pPr>
      <w:r>
        <w:rPr>
          <w:rFonts w:hint="eastAsia" w:ascii="宋体" w:hAnsi="宋体" w:cs="宋体"/>
          <w:spacing w:val="4"/>
          <w:kern w:val="0"/>
          <w:sz w:val="24"/>
          <w:szCs w:val="24"/>
          <w:lang w:val="en-US" w:eastAsia="zh-CN" w:bidi="ar-SA"/>
        </w:rPr>
        <w:t>（一）</w:t>
      </w:r>
      <w:r>
        <w:rPr>
          <w:rFonts w:hint="eastAsia" w:ascii="宋体" w:hAnsi="宋体" w:cs="宋体"/>
          <w:sz w:val="24"/>
          <w:szCs w:val="24"/>
        </w:rPr>
        <w:t>资格性审查：依据招标文件的规定，</w:t>
      </w:r>
      <w:r>
        <w:rPr>
          <w:rFonts w:hint="eastAsia" w:ascii="宋体" w:hAnsi="宋体" w:cs="宋体"/>
          <w:color w:val="auto"/>
          <w:sz w:val="24"/>
          <w:szCs w:val="24"/>
          <w:lang w:eastAsia="zh-CN"/>
        </w:rPr>
        <w:t>由采购人</w:t>
      </w:r>
      <w:r>
        <w:rPr>
          <w:rFonts w:hint="eastAsia" w:ascii="宋体" w:hAnsi="宋体" w:cs="宋体"/>
          <w:sz w:val="24"/>
          <w:szCs w:val="24"/>
        </w:rPr>
        <w:t>对投标人的资格证明文件进行审查，以确定投标人是否具备投标资格。</w:t>
      </w:r>
    </w:p>
    <w:p>
      <w:pPr>
        <w:pStyle w:val="24"/>
        <w:keepNext w:val="0"/>
        <w:keepLines w:val="0"/>
        <w:pageBreakBefore w:val="0"/>
        <w:kinsoku/>
        <w:overflowPunct/>
        <w:topLinePunct w:val="0"/>
        <w:autoSpaceDE/>
        <w:autoSpaceDN/>
        <w:bidi w:val="0"/>
        <w:adjustRightInd/>
        <w:snapToGrid/>
        <w:spacing w:after="0"/>
        <w:ind w:left="0" w:leftChars="0" w:firstLine="0" w:firstLineChars="0"/>
        <w:rPr>
          <w:rFonts w:hint="eastAsia" w:ascii="宋体" w:hAnsi="宋体" w:eastAsia="宋体" w:cs="宋体"/>
          <w:color w:val="333333"/>
          <w:kern w:val="2"/>
          <w:sz w:val="24"/>
          <w:szCs w:val="24"/>
          <w:shd w:val="clear" w:color="auto" w:fill="FFFFFF"/>
          <w:lang w:val="en-US" w:eastAsia="zh-CN" w:bidi="ar-SA"/>
        </w:rPr>
      </w:pPr>
      <w:r>
        <w:rPr>
          <w:rFonts w:hint="eastAsia" w:ascii="宋体" w:hAnsi="宋体" w:eastAsia="宋体" w:cs="宋体"/>
          <w:color w:val="333333"/>
          <w:kern w:val="2"/>
          <w:sz w:val="24"/>
          <w:szCs w:val="24"/>
          <w:shd w:val="clear" w:color="auto" w:fill="FFFFFF"/>
          <w:lang w:val="en-US" w:eastAsia="zh-CN" w:bidi="ar-SA"/>
        </w:rPr>
        <w:t>1、满足《中华人民共和国政府釆购法》第二十二条规定</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p>
    <w:p>
      <w:pPr>
        <w:keepNext w:val="0"/>
        <w:keepLines w:val="0"/>
        <w:pageBreakBefore w:val="0"/>
        <w:kinsoku/>
        <w:overflowPunct/>
        <w:topLinePunct w:val="0"/>
        <w:autoSpaceDE/>
        <w:autoSpaceDN/>
        <w:bidi w:val="0"/>
        <w:adjustRightInd/>
        <w:snapToGrid/>
        <w:spacing w:line="360" w:lineRule="auto"/>
        <w:rPr>
          <w:rFonts w:hint="eastAsia" w:ascii="宋体" w:hAnsi="宋体"/>
          <w:sz w:val="24"/>
        </w:rPr>
      </w:pPr>
      <w:r>
        <w:rPr>
          <w:rFonts w:hint="eastAsia" w:ascii="宋体" w:hAnsi="宋体"/>
          <w:sz w:val="24"/>
          <w:lang w:eastAsia="zh-CN"/>
        </w:rPr>
        <w:t>（二）</w:t>
      </w:r>
      <w:r>
        <w:rPr>
          <w:rFonts w:hint="eastAsia" w:ascii="宋体" w:hAnsi="宋体"/>
          <w:sz w:val="24"/>
        </w:rPr>
        <w:t>符合性审查：依据招标文件规定，从投标文件的有效性、完整性和对招标文件的响应程度进行审查。下列情况有一项不满足者（但不限于），不进入下一轮评审：</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318"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评审因素</w:t>
            </w:r>
          </w:p>
        </w:tc>
        <w:tc>
          <w:tcPr>
            <w:tcW w:w="5621"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投标文件项目名称、项目编号、包号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投标文件以下三处的项目名称、项目编号、</w:t>
            </w:r>
            <w:r>
              <w:rPr>
                <w:rFonts w:hint="eastAsia" w:ascii="宋体" w:hAnsi="宋体" w:cs="宋体"/>
                <w:sz w:val="24"/>
                <w:highlight w:val="none"/>
                <w:lang w:eastAsia="zh-CN"/>
              </w:rPr>
              <w:t>包号</w:t>
            </w:r>
            <w:r>
              <w:rPr>
                <w:rFonts w:hint="eastAsia" w:ascii="宋体" w:hAnsi="宋体" w:eastAsia="宋体" w:cs="宋体"/>
                <w:sz w:val="24"/>
                <w:highlight w:val="none"/>
              </w:rPr>
              <w:t>与本项目完全一致，且无遗漏：</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（1）封面；</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（2）投标函；</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投标文件组成</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投标文件的签署、盖章</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投标文件的语言及计量单位</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投标有效期</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同时满足以下条款：</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（1）投标报价符合唯一性要求；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（2）开标一览表填写符合要求；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（3）报价货币符合招标文件要求；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实质性条款响应</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合同文本</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完全理解并接受招标文件合同基本条款的要求。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兼投不兼中规则</w:t>
            </w:r>
          </w:p>
        </w:tc>
        <w:tc>
          <w:tcPr>
            <w:tcW w:w="5621" w:type="dxa"/>
            <w:vAlign w:val="center"/>
          </w:tcPr>
          <w:p>
            <w:pPr>
              <w:spacing w:line="360" w:lineRule="auto"/>
              <w:jc w:val="left"/>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投标人不能为第一包第一中标候选人</w:t>
            </w:r>
          </w:p>
        </w:tc>
      </w:tr>
    </w:tbl>
    <w:p>
      <w:pPr>
        <w:pStyle w:val="17"/>
        <w:ind w:firstLine="360" w:firstLineChars="200"/>
      </w:pPr>
    </w:p>
    <w:p>
      <w:pPr>
        <w:pStyle w:val="20"/>
        <w:spacing w:line="360" w:lineRule="auto"/>
        <w:ind w:left="0" w:leftChars="0" w:firstLine="0" w:firstLineChars="0"/>
        <w:rPr>
          <w:rFonts w:hint="eastAsia" w:ascii="宋体" w:hAnsi="宋体" w:cs="宋体"/>
          <w:b/>
          <w:sz w:val="24"/>
          <w:szCs w:val="24"/>
        </w:rPr>
      </w:pPr>
      <w:r>
        <w:rPr>
          <w:rFonts w:hint="eastAsia" w:cs="宋体"/>
          <w:sz w:val="24"/>
          <w:szCs w:val="24"/>
          <w:lang w:eastAsia="zh-CN"/>
        </w:rPr>
        <w:t>（三）</w:t>
      </w:r>
      <w:r>
        <w:rPr>
          <w:rFonts w:hint="eastAsia" w:cs="宋体"/>
          <w:sz w:val="24"/>
          <w:szCs w:val="24"/>
        </w:rPr>
        <w:t>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p>
      <w:pPr>
        <w:spacing w:line="360" w:lineRule="auto"/>
        <w:jc w:val="center"/>
        <w:rPr>
          <w:rFonts w:hint="eastAsia" w:ascii="宋体" w:hAnsi="宋体" w:cs="宋体"/>
          <w:b/>
          <w:sz w:val="24"/>
          <w:szCs w:val="24"/>
        </w:rPr>
      </w:pPr>
      <w:r>
        <w:rPr>
          <w:rFonts w:hint="eastAsia" w:ascii="宋体" w:hAnsi="宋体" w:cs="宋体"/>
          <w:b/>
          <w:sz w:val="24"/>
          <w:szCs w:val="24"/>
        </w:rPr>
        <w:t>评标要素和分值分解表</w:t>
      </w:r>
    </w:p>
    <w:tbl>
      <w:tblPr>
        <w:tblStyle w:val="25"/>
        <w:tblpPr w:leftFromText="180" w:rightFromText="180" w:vertAnchor="text" w:horzAnchor="page" w:tblpX="1845" w:tblpY="473"/>
        <w:tblOverlap w:val="never"/>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3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7568" w:type="dxa"/>
            <w:gridSpan w:val="2"/>
            <w:noWrap w:val="0"/>
            <w:vAlign w:val="center"/>
          </w:tcPr>
          <w:p>
            <w:pPr>
              <w:pStyle w:val="13"/>
              <w:tabs>
                <w:tab w:val="left" w:pos="600"/>
              </w:tabs>
              <w:spacing w:line="240" w:lineRule="auto"/>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7568"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1.经初审合格的投标文件，其投标报价为有效投标报价，并对有效投标报价进行政策性扣减，并依据扣减后的价格（评审价格）进行价格评审。</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2.满足招标文件实质性要求且最终报价最低的投标人的价格为投标基准价，其价格分为满分</w:t>
            </w:r>
            <w:r>
              <w:rPr>
                <w:rFonts w:hint="eastAsia"/>
                <w:sz w:val="24"/>
                <w:szCs w:val="24"/>
                <w:lang w:val="en-US" w:eastAsia="zh-CN"/>
              </w:rPr>
              <w:t>10</w:t>
            </w:r>
            <w:r>
              <w:rPr>
                <w:rFonts w:hint="eastAsia"/>
                <w:sz w:val="24"/>
                <w:szCs w:val="24"/>
              </w:rPr>
              <w:t>分。</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3.投标报价得分=（投标基准价/投标报价）×</w:t>
            </w:r>
            <w:r>
              <w:rPr>
                <w:rFonts w:hint="eastAsia"/>
                <w:sz w:val="24"/>
                <w:szCs w:val="24"/>
                <w:lang w:val="en-US" w:eastAsia="zh-CN"/>
              </w:rPr>
              <w:t>10</w:t>
            </w:r>
            <w:r>
              <w:rPr>
                <w:rFonts w:hint="eastAsia"/>
                <w:sz w:val="24"/>
                <w:szCs w:val="24"/>
              </w:rPr>
              <w:t>的公式计算得分。</w:t>
            </w:r>
          </w:p>
          <w:p>
            <w:pPr>
              <w:pStyle w:val="32"/>
              <w:ind w:left="0" w:leftChars="0" w:firstLine="0" w:firstLineChars="0"/>
              <w:rPr>
                <w:rFonts w:hint="eastAsia" w:eastAsia="宋体"/>
                <w:lang w:eastAsia="zh-CN"/>
              </w:rPr>
            </w:pPr>
            <w:r>
              <w:rPr>
                <w:rFonts w:hint="eastAsia"/>
                <w:sz w:val="24"/>
                <w:szCs w:val="24"/>
              </w:rPr>
              <w:t>对小型、微型企业</w:t>
            </w:r>
            <w:r>
              <w:rPr>
                <w:rFonts w:hint="eastAsia"/>
                <w:sz w:val="24"/>
                <w:szCs w:val="24"/>
                <w:lang w:eastAsia="zh-CN"/>
              </w:rPr>
              <w:t>、</w:t>
            </w:r>
            <w:r>
              <w:rPr>
                <w:rFonts w:hint="eastAsia"/>
                <w:sz w:val="24"/>
                <w:szCs w:val="24"/>
              </w:rPr>
              <w:t>监狱企业</w:t>
            </w:r>
            <w:r>
              <w:rPr>
                <w:rFonts w:hint="eastAsia"/>
                <w:sz w:val="24"/>
                <w:szCs w:val="24"/>
                <w:lang w:eastAsia="zh-CN"/>
              </w:rPr>
              <w:t>、</w:t>
            </w:r>
            <w:r>
              <w:rPr>
                <w:rFonts w:hint="eastAsia"/>
                <w:sz w:val="24"/>
                <w:szCs w:val="24"/>
              </w:rPr>
              <w:t xml:space="preserve">残疾人福利性单位提供服务的投标价格给予 </w:t>
            </w:r>
            <w:r>
              <w:rPr>
                <w:rFonts w:hint="eastAsia"/>
                <w:sz w:val="24"/>
                <w:szCs w:val="24"/>
                <w:lang w:val="en-US" w:eastAsia="zh-CN"/>
              </w:rPr>
              <w:t>10</w:t>
            </w:r>
            <w:r>
              <w:rPr>
                <w:rFonts w:hint="eastAsia"/>
                <w:sz w:val="24"/>
                <w:szCs w:val="24"/>
              </w:rPr>
              <w:t xml:space="preserve"> %的折扣。</w:t>
            </w:r>
            <w:r>
              <w:rPr>
                <w:rFonts w:hint="eastAsia"/>
                <w:sz w:val="24"/>
                <w:szCs w:val="24"/>
                <w:lang w:eastAsia="zh-CN"/>
              </w:rPr>
              <w:t>（</w:t>
            </w:r>
            <w:r>
              <w:rPr>
                <w:rFonts w:hint="eastAsia"/>
                <w:sz w:val="24"/>
                <w:szCs w:val="24"/>
                <w:lang w:val="en-US" w:eastAsia="zh-CN"/>
              </w:rPr>
              <w:t>同时满足多个条件不重复扣减</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21" w:type="dxa"/>
            <w:vMerge w:val="restart"/>
            <w:noWrap w:val="0"/>
            <w:vAlign w:val="center"/>
          </w:tcPr>
          <w:p>
            <w:pPr>
              <w:pStyle w:val="13"/>
              <w:tabs>
                <w:tab w:val="left" w:pos="600"/>
              </w:tabs>
              <w:spacing w:line="240" w:lineRule="auto"/>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60分</w:t>
            </w:r>
            <w:r>
              <w:rPr>
                <w:rFonts w:hint="eastAsia" w:ascii="宋体" w:hAnsi="宋体" w:cs="宋体"/>
                <w:sz w:val="24"/>
                <w:szCs w:val="24"/>
                <w:highlight w:val="none"/>
                <w:lang w:eastAsia="zh-CN"/>
              </w:rPr>
              <w:t>）</w:t>
            </w: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环卫作业工作方案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（10分）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1、环卫作业工作方案（10分）。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针对本项目的环卫作业工作方案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环卫服务质量自检及整改措施</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2、环卫服务质量自检及整改措施（</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针对本项目的环卫服务质量自检及整改措施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针对本项目的服务人员作业安全措施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针对本项目的管理制度和培训方案根据供应商内部管理架构、管理理念、作业人员考核制度及人员培训方案是否科学合理。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贯彻落实“厕所革命”、“效能革命”、“以克论净深度保洁”、“治污减霾”等工作的相关要求的措施</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根据本项目使用特点提出合理日常清扫保洁服务、垃圾清运、厕所管护等管理方案，投标供应商的管理模式能够切合实际，具体可行。</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lang w:val="en-US" w:eastAsia="zh-CN"/>
              </w:rPr>
            </w:pPr>
            <w:r>
              <w:rPr>
                <w:rFonts w:hint="eastAsia" w:ascii="宋体" w:hAnsi="宋体" w:eastAsia="宋体" w:cs="宋体"/>
                <w:sz w:val="24"/>
                <w:szCs w:val="24"/>
                <w:lang w:val="en-US" w:eastAsia="zh-CN"/>
              </w:rPr>
              <w:t>合同交接过渡期(含合同始、止两个交接期)配合方案，内容包含但不限于本项目原有人员的接收及安置、设备的采购及工作交接。</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履约能力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针对本项目人员的配备方案</w:t>
            </w: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1、针对本项目人员的配备方案</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对本项目拟派管理人员与作业人员配置数量和素质、自有人员和待聘续调人员的配置方案是否合理全面供应商投入人员数量及专业程度。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21" w:type="dxa"/>
            <w:vMerge w:val="continue"/>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作业配套设备工具、车辆投入情况</w:t>
            </w:r>
          </w:p>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2、作业配套设备工具、车辆投入情况</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制定作业配套设备工具、车辆配备方案、存放车辆能力情况(根据本项目工作内容的需求，投入的设备、车辆)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pStyle w:val="24"/>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承诺、应急预案及迎检方案</w:t>
            </w:r>
          </w:p>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供应商承诺</w:t>
            </w:r>
          </w:p>
          <w:p>
            <w:pPr>
              <w:spacing w:line="240" w:lineRule="auto"/>
              <w:ind w:firstLine="28"/>
              <w:jc w:val="center"/>
              <w:rPr>
                <w:rFonts w:hint="eastAsia" w:ascii="宋体" w:hAnsi="宋体" w:cs="宋体"/>
                <w:color w:val="auto"/>
                <w:sz w:val="24"/>
                <w:szCs w:val="24"/>
                <w:highlight w:val="none"/>
                <w:lang w:eastAsia="zh-CN"/>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lang w:val="en-US" w:eastAsia="zh-CN"/>
              </w:rPr>
            </w:pPr>
            <w:r>
              <w:rPr>
                <w:rFonts w:hint="eastAsia" w:ascii="宋体" w:hAnsi="宋体" w:eastAsia="宋体" w:cs="宋体"/>
                <w:color w:val="auto"/>
                <w:kern w:val="2"/>
                <w:sz w:val="24"/>
                <w:szCs w:val="24"/>
                <w:highlight w:val="none"/>
                <w:lang w:val="en-US" w:eastAsia="zh-CN" w:bidi="ar-SA"/>
              </w:rPr>
              <w:t>1、供应商根据招标文件要求和采购需求，对本项目做出的承诺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1" w:type="dxa"/>
            <w:vMerge w:val="continue"/>
            <w:noWrap w:val="0"/>
            <w:vAlign w:val="center"/>
          </w:tcPr>
          <w:p>
            <w:pPr>
              <w:spacing w:line="240" w:lineRule="auto"/>
              <w:ind w:firstLine="28"/>
              <w:jc w:val="center"/>
              <w:rPr>
                <w:rFonts w:hint="eastAsia" w:ascii="宋体" w:hAnsi="宋体" w:cs="宋体"/>
                <w:sz w:val="24"/>
                <w:szCs w:val="24"/>
                <w:highlight w:val="none"/>
                <w:lang w:eastAsia="zh-CN"/>
              </w:rPr>
            </w:pPr>
          </w:p>
        </w:tc>
        <w:tc>
          <w:tcPr>
            <w:tcW w:w="133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突发事件应急保障措施及迎检方案（5分）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2、供应商针对突发事件应急保障措施及迎检方案(包含恶劣天气影响、自然灾害、重大节假日等特殊情况制定应急处置方案等)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①方案完善，切实可行计[3-5]分；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②方案一般，基本可行计[0-3）分；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无方案内容计0分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合理化建议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针对本项目提出有利于采购人的合理化建议。</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方案完善，切实可行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方案一般，基本可行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供应商近年类似项目业绩（以合同或中标通知书形式提供,合同签订时间或中标(成交)通知书发放时间在20</w:t>
            </w:r>
            <w:r>
              <w:rPr>
                <w:rFonts w:hint="eastAsia" w:ascii="宋体" w:hAnsi="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月1日以后），每具有一个类似项目业绩得1分，最高得5分。（提供合同或中标通知书加盖单位公章的复印件）</w:t>
            </w:r>
          </w:p>
        </w:tc>
      </w:tr>
    </w:tbl>
    <w:p>
      <w:pPr>
        <w:pStyle w:val="17"/>
        <w:rPr>
          <w:rFonts w:hint="eastAsia"/>
        </w:rPr>
      </w:pPr>
    </w:p>
    <w:p>
      <w:pPr>
        <w:pageBreakBefore w:val="0"/>
        <w:kinsoku/>
        <w:overflowPunct/>
        <w:topLinePunct w:val="0"/>
        <w:bidi w:val="0"/>
        <w:spacing w:line="360" w:lineRule="auto"/>
        <w:rPr>
          <w:rFonts w:hint="eastAsia" w:ascii="宋体" w:hAnsi="宋体" w:cs="宋体"/>
          <w:sz w:val="24"/>
          <w:szCs w:val="24"/>
        </w:rPr>
      </w:pPr>
      <w:r>
        <w:rPr>
          <w:rFonts w:hint="eastAsia" w:ascii="宋体" w:hAnsi="宋体" w:cs="宋体"/>
          <w:sz w:val="24"/>
          <w:szCs w:val="24"/>
        </w:rPr>
        <w:t>注：1）评委打分超过得分界限或未按本方法赋分时，该评委的打分视为无效分。</w:t>
      </w:r>
    </w:p>
    <w:p>
      <w:pPr>
        <w:pageBreakBefore w:val="0"/>
        <w:numPr>
          <w:ilvl w:val="0"/>
          <w:numId w:val="6"/>
        </w:numPr>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 xml:space="preserve">各种计算数字均保留两位小数，第三位“四舍五入”。 </w:t>
      </w:r>
    </w:p>
    <w:p>
      <w:pPr>
        <w:pageBreakBefore w:val="0"/>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3）特殊情况处理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部分评审</w:t>
      </w:r>
      <w:r>
        <w:rPr>
          <w:rFonts w:hint="eastAsia" w:ascii="宋体" w:hAnsi="宋体" w:cs="宋体"/>
          <w:sz w:val="24"/>
          <w:szCs w:val="24"/>
        </w:rPr>
        <w:t>得分高者为第一中标候选人，若上述两项得分相同，则由全体评标委员会成员无记名投票，得票高者为第一中标候选人。</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pageBreakBefore w:val="0"/>
        <w:kinsoku/>
        <w:overflowPunct/>
        <w:topLinePunct w:val="0"/>
        <w:bidi w:val="0"/>
        <w:spacing w:line="360" w:lineRule="auto"/>
        <w:ind w:firstLine="480" w:firstLineChars="200"/>
        <w:rPr>
          <w:rFonts w:hint="eastAsia"/>
        </w:rPr>
      </w:pPr>
      <w:r>
        <w:rPr>
          <w:rFonts w:hint="eastAsia" w:ascii="宋体" w:hAnsi="宋体" w:cs="宋体"/>
          <w:sz w:val="24"/>
          <w:szCs w:val="24"/>
        </w:rPr>
        <w:t>c、评标过程中，若出现本评标方法以外的特殊情况时，将暂停评标，待评委商榷后再进行复会。</w:t>
      </w:r>
    </w:p>
    <w:p>
      <w:pPr>
        <w:spacing w:line="360" w:lineRule="auto"/>
        <w:rPr>
          <w:rFonts w:ascii="宋体" w:hAnsi="宋体" w:cs="宋体"/>
          <w:b/>
          <w:sz w:val="24"/>
          <w:szCs w:val="24"/>
        </w:rPr>
      </w:pPr>
      <w:bookmarkStart w:id="23" w:name="_Toc10642_WPSOffice_Level2"/>
      <w:bookmarkStart w:id="24" w:name="_Toc524712817"/>
      <w:r>
        <w:rPr>
          <w:rFonts w:hint="eastAsia" w:ascii="宋体" w:hAnsi="宋体" w:cs="宋体"/>
          <w:b/>
          <w:sz w:val="24"/>
          <w:szCs w:val="24"/>
        </w:rPr>
        <w:t>五、定标</w:t>
      </w:r>
      <w:bookmarkEnd w:id="23"/>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24"/>
      <w:bookmarkStart w:id="25" w:name="_Toc4289_WPSOffice_Level1"/>
      <w:bookmarkStart w:id="26" w:name="_Toc310_WPSOffice_Level1"/>
      <w:bookmarkStart w:id="27" w:name="_Toc3647_WPSOffice_Level1"/>
      <w:bookmarkStart w:id="28" w:name="_Toc351203494"/>
      <w:bookmarkStart w:id="29" w:name="_Toc25731_WPSOffice_Level1"/>
      <w:bookmarkStart w:id="30" w:name="_Toc25992_WPSOffice_Level1"/>
    </w:p>
    <w:p>
      <w:pPr>
        <w:rPr>
          <w:rFonts w:hint="eastAsia" w:ascii="宋体" w:hAnsi="宋体" w:cs="宋体"/>
          <w:b/>
          <w:sz w:val="36"/>
          <w:szCs w:val="36"/>
        </w:rPr>
      </w:pPr>
      <w:bookmarkStart w:id="31" w:name="_Toc1430"/>
      <w:r>
        <w:rPr>
          <w:rFonts w:hint="eastAsia" w:ascii="宋体" w:hAnsi="宋体" w:cs="宋体"/>
          <w:b/>
          <w:sz w:val="36"/>
          <w:szCs w:val="36"/>
        </w:rPr>
        <w:br w:type="page"/>
      </w:r>
    </w:p>
    <w:p>
      <w:pPr>
        <w:jc w:val="center"/>
        <w:outlineLvl w:val="0"/>
        <w:rPr>
          <w:rFonts w:ascii="宋体" w:hAnsi="宋体" w:cs="宋体"/>
          <w:b/>
          <w:sz w:val="44"/>
          <w:szCs w:val="44"/>
        </w:rPr>
      </w:pPr>
      <w:r>
        <w:rPr>
          <w:rFonts w:hint="eastAsia" w:ascii="宋体" w:hAnsi="宋体" w:cs="宋体"/>
          <w:b/>
          <w:sz w:val="36"/>
          <w:szCs w:val="36"/>
        </w:rPr>
        <w:t xml:space="preserve">第四章 </w:t>
      </w:r>
      <w:bookmarkEnd w:id="25"/>
      <w:r>
        <w:rPr>
          <w:rFonts w:hint="eastAsia" w:ascii="宋体" w:hAnsi="宋体" w:cs="宋体"/>
          <w:b/>
          <w:sz w:val="36"/>
          <w:szCs w:val="36"/>
        </w:rPr>
        <w:t>合同主要条款</w:t>
      </w:r>
      <w:bookmarkEnd w:id="31"/>
    </w:p>
    <w:bookmarkEnd w:id="13"/>
    <w:bookmarkEnd w:id="26"/>
    <w:bookmarkEnd w:id="27"/>
    <w:bookmarkEnd w:id="28"/>
    <w:bookmarkEnd w:id="29"/>
    <w:bookmarkEnd w:id="30"/>
    <w:p>
      <w:pPr>
        <w:jc w:val="center"/>
        <w:outlineLvl w:val="0"/>
        <w:rPr>
          <w:rFonts w:eastAsia="华文中宋"/>
          <w:b/>
          <w:sz w:val="72"/>
          <w:szCs w:val="52"/>
        </w:rPr>
      </w:pPr>
      <w:bookmarkStart w:id="32"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33" w:name="_Toc10330"/>
      <w:r>
        <w:rPr>
          <w:rFonts w:eastAsia="华文中宋"/>
          <w:b/>
          <w:sz w:val="52"/>
          <w:szCs w:val="52"/>
        </w:rPr>
        <w:t>（示范文本）</w:t>
      </w:r>
      <w:bookmarkEnd w:id="32"/>
      <w:bookmarkEnd w:id="33"/>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r>
        <w:rPr>
          <w:b/>
          <w:sz w:val="28"/>
          <w:szCs w:val="28"/>
        </w:rPr>
        <w:br w:type="page"/>
      </w:r>
    </w:p>
    <w:p>
      <w:pPr>
        <w:pStyle w:val="24"/>
        <w:spacing w:line="240" w:lineRule="auto"/>
        <w:ind w:left="0" w:leftChars="0" w:firstLine="0" w:firstLineChars="0"/>
        <w:rPr>
          <w:rFonts w:hint="eastAsia" w:ascii="仿宋_GB2312" w:hAnsi="仿宋_GB2312" w:eastAsia="仿宋_GB2312" w:cs="仿宋_GB2312"/>
          <w:color w:val="000000"/>
          <w:sz w:val="15"/>
          <w:szCs w:val="15"/>
        </w:rPr>
      </w:pPr>
    </w:p>
    <w:p>
      <w:pPr>
        <w:keepNext w:val="0"/>
        <w:keepLines w:val="0"/>
        <w:pageBreakBefore w:val="0"/>
        <w:kinsoku/>
        <w:wordWrap/>
        <w:overflowPunct/>
        <w:topLinePunct w:val="0"/>
        <w:autoSpaceDE/>
        <w:autoSpaceDN/>
        <w:bidi w:val="0"/>
        <w:spacing w:line="240" w:lineRule="auto"/>
        <w:jc w:val="center"/>
        <w:textAlignment w:val="auto"/>
        <w:rPr>
          <w:rFonts w:hint="eastAsia"/>
          <w:sz w:val="16"/>
          <w:szCs w:val="20"/>
        </w:rPr>
      </w:pPr>
      <w:r>
        <w:rPr>
          <w:rFonts w:hint="eastAsia" w:ascii="方正大标宋简体" w:hAnsi="方正大标宋简体" w:eastAsia="方正大标宋简体" w:cs="方正大标宋简体"/>
          <w:color w:val="000000"/>
          <w:sz w:val="36"/>
          <w:szCs w:val="36"/>
        </w:rPr>
        <w:t>周至县道路清扫保洁垃圾清运公厕管理市场化运作服务合同</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合同包2</w:t>
      </w:r>
      <w:r>
        <w:rPr>
          <w:rFonts w:hint="eastAsia" w:ascii="仿宋_GB2312" w:hAnsi="仿宋_GB2312" w:eastAsia="仿宋_GB2312" w:cs="仿宋_GB2312"/>
          <w:color w:val="000000"/>
          <w:sz w:val="24"/>
          <w:szCs w:val="24"/>
          <w:lang w:eastAsia="zh-CN"/>
        </w:rPr>
        <w:t>）</w:t>
      </w:r>
    </w:p>
    <w:p>
      <w:pPr>
        <w:pStyle w:val="24"/>
        <w:keepNext w:val="0"/>
        <w:keepLines w:val="0"/>
        <w:pageBreakBefore w:val="0"/>
        <w:kinsoku/>
        <w:wordWrap/>
        <w:overflowPunct/>
        <w:topLinePunct w:val="0"/>
        <w:autoSpaceDE/>
        <w:autoSpaceDN/>
        <w:bidi w:val="0"/>
        <w:spacing w:line="240" w:lineRule="auto"/>
        <w:textAlignment w:val="auto"/>
        <w:rPr>
          <w:rFonts w:hint="eastAsia"/>
          <w:sz w:val="24"/>
          <w:szCs w:val="24"/>
        </w:rPr>
      </w:pP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甲方（招标人）：</w:t>
      </w:r>
      <w:r>
        <w:rPr>
          <w:rFonts w:hint="eastAsia" w:ascii="仿宋_GB2312" w:hAnsi="仿宋_GB2312" w:eastAsia="仿宋_GB2312" w:cs="仿宋_GB2312"/>
          <w:b/>
          <w:bCs/>
          <w:color w:val="000000"/>
          <w:sz w:val="24"/>
          <w:szCs w:val="24"/>
          <w:lang w:val="en-US" w:eastAsia="zh-CN"/>
        </w:rPr>
        <w:t xml:space="preserve">周至县城市管理和综合执法局 </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乙方（中标人）</w:t>
      </w:r>
      <w:r>
        <w:rPr>
          <w:rFonts w:hint="eastAsia" w:ascii="仿宋_GB2312" w:hAnsi="仿宋_GB2312" w:eastAsia="仿宋_GB2312" w:cs="仿宋_GB2312"/>
          <w:b/>
          <w:bCs/>
          <w:color w:val="000000"/>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签定地点</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val="en-US" w:eastAsia="zh-CN"/>
        </w:rPr>
        <w:t>周至县城市管理和综合执法局</w:t>
      </w:r>
      <w:r>
        <w:rPr>
          <w:rFonts w:hint="eastAsia" w:ascii="仿宋_GB2312" w:hAnsi="仿宋_GB2312" w:eastAsia="仿宋_GB2312" w:cs="仿宋_GB2312"/>
          <w:b/>
          <w:bCs/>
          <w:color w:val="000000"/>
          <w:sz w:val="24"/>
          <w:szCs w:val="24"/>
        </w:rPr>
        <w:t xml:space="preserve">                                                         </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签定日期：</w:t>
      </w:r>
      <w:r>
        <w:rPr>
          <w:rFonts w:hint="eastAsia" w:ascii="仿宋_GB2312" w:hAnsi="仿宋_GB2312" w:eastAsia="仿宋_GB2312" w:cs="仿宋_GB2312"/>
          <w:b/>
          <w:bCs/>
          <w:color w:val="000000"/>
          <w:sz w:val="24"/>
          <w:szCs w:val="24"/>
          <w:lang w:val="en-US" w:eastAsia="zh-CN"/>
        </w:rPr>
        <w:t xml:space="preserve">    年  月  日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根据招标采购的招标结果，乙方为本项目中标人，现依据《中华人民共和国合同法》及依照招标文件、投标文件，结合项目实际，经双方协商，达成如下协议：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bCs/>
          <w:kern w:val="0"/>
          <w:sz w:val="24"/>
          <w:szCs w:val="24"/>
        </w:rPr>
      </w:pPr>
      <w:r>
        <w:rPr>
          <w:rFonts w:hint="eastAsia" w:ascii="黑体" w:hAnsi="黑体" w:eastAsia="黑体" w:cs="黑体"/>
          <w:bCs/>
          <w:kern w:val="0"/>
          <w:sz w:val="24"/>
          <w:szCs w:val="24"/>
        </w:rPr>
        <w:t>一、承包范围及内容</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条道路，总面积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平方米的道路清扫保洁（有建筑物的道路以两侧建筑物外立面之间为保洁范围，无建筑的道路，以两侧以人行道各延伸10米做为保洁责任范围，背街小巷向内延伸</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米为保洁范围，延伸部分不计入清扫面积）；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座</w:t>
      </w:r>
      <w:r>
        <w:rPr>
          <w:rFonts w:hint="eastAsia" w:ascii="仿宋_GB2312" w:hAnsi="仿宋_GB2312" w:eastAsia="仿宋_GB2312" w:cs="仿宋_GB2312"/>
          <w:color w:val="000000"/>
          <w:sz w:val="24"/>
          <w:szCs w:val="24"/>
        </w:rPr>
        <w:t>公厕的管理；</w:t>
      </w:r>
      <w:r>
        <w:rPr>
          <w:rFonts w:hint="eastAsia" w:ascii="仿宋_GB2312" w:hAnsi="仿宋_GB2312" w:eastAsia="仿宋_GB2312" w:cs="仿宋_GB2312"/>
          <w:color w:val="000000"/>
          <w:sz w:val="24"/>
          <w:szCs w:val="24"/>
          <w:lang w:val="en-US" w:eastAsia="zh-CN"/>
        </w:rPr>
        <w:t>甲方指定的绿化带、公园广场的清扫保洁工作；</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4" w:name="_Toc289499920"/>
      <w:r>
        <w:rPr>
          <w:rFonts w:hint="eastAsia" w:ascii="黑体" w:hAnsi="黑体" w:eastAsia="黑体" w:cs="黑体"/>
          <w:color w:val="000000"/>
          <w:sz w:val="24"/>
          <w:szCs w:val="24"/>
        </w:rPr>
        <w:t>二、</w:t>
      </w:r>
      <w:bookmarkEnd w:id="34"/>
      <w:r>
        <w:rPr>
          <w:rFonts w:hint="eastAsia" w:ascii="黑体" w:hAnsi="黑体" w:eastAsia="黑体" w:cs="黑体"/>
          <w:color w:val="000000"/>
          <w:sz w:val="24"/>
          <w:szCs w:val="24"/>
        </w:rPr>
        <w:t>作业质量要求</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按照相关规范及招标文件规定（详见附件）。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5" w:name="_Toc289499921"/>
      <w:r>
        <w:rPr>
          <w:rFonts w:hint="eastAsia" w:ascii="黑体" w:hAnsi="黑体" w:eastAsia="黑体" w:cs="黑体"/>
          <w:color w:val="000000"/>
          <w:sz w:val="24"/>
          <w:szCs w:val="24"/>
        </w:rPr>
        <w:t>三、管理要求</w:t>
      </w:r>
      <w:bookmarkEnd w:id="35"/>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1.乙方按照国家有关劳动定额配备作业人员及行政管理、质量检查人员，进场人员必须服从甲方的日常检查、监督和指导。</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bookmarkStart w:id="36" w:name="_Toc289499922"/>
      <w:r>
        <w:rPr>
          <w:rFonts w:hint="eastAsia" w:ascii="黑体" w:hAnsi="黑体" w:eastAsia="黑体" w:cs="黑体"/>
          <w:color w:val="000000"/>
          <w:sz w:val="24"/>
          <w:szCs w:val="24"/>
        </w:rPr>
        <w:t>四、承包期限</w:t>
      </w:r>
      <w:bookmarkEnd w:id="36"/>
    </w:p>
    <w:p>
      <w:pPr>
        <w:keepNext w:val="0"/>
        <w:keepLines w:val="0"/>
        <w:pageBreakBefore w:val="0"/>
        <w:kinsoku/>
        <w:wordWrap/>
        <w:overflowPunct/>
        <w:topLinePunct w:val="0"/>
        <w:autoSpaceDE/>
        <w:autoSpaceDN/>
        <w:bidi w:val="0"/>
        <w:spacing w:line="240" w:lineRule="auto"/>
        <w:ind w:firstLine="720" w:firstLineChars="300"/>
        <w:jc w:val="both"/>
        <w:textAlignment w:val="auto"/>
        <w:rPr>
          <w:rFonts w:hint="eastAsia" w:ascii="仿宋_GB2312" w:hAnsi="仿宋_GB2312" w:eastAsia="仿宋_GB2312" w:cs="仿宋_GB2312"/>
          <w:color w:val="000000"/>
          <w:sz w:val="24"/>
          <w:szCs w:val="24"/>
        </w:rPr>
      </w:pPr>
      <w:bookmarkStart w:id="37" w:name="_Toc289499923"/>
      <w:r>
        <w:rPr>
          <w:rFonts w:hint="eastAsia" w:ascii="仿宋_GB2312" w:hAnsi="仿宋_GB2312" w:eastAsia="仿宋_GB2312" w:cs="仿宋_GB2312"/>
          <w:color w:val="000000"/>
          <w:sz w:val="24"/>
          <w:szCs w:val="24"/>
        </w:rPr>
        <w:t>服务期限为</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w:t>
      </w:r>
      <w:bookmarkEnd w:id="37"/>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五、质量检查与奖惩</w:t>
      </w:r>
    </w:p>
    <w:p>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1.甲方或其委托的机构参照《西安市“以克论净 深度保洁”作业标准》的考核标准，每周组织一次以上检查并记录(或拍照)检查情况，作为每月考核参考依据;对乙方的作业质量进行考核并评分（满分为100分），评分结果进行如下处理:乙方在每月的质量检查考核中得分在90分(含90分)以上全额划拨经费，得分在90分以下，从90分起算，每扣1分即扣中标人当月</w:t>
      </w:r>
      <w:r>
        <w:rPr>
          <w:rFonts w:hint="eastAsia" w:ascii="仿宋_GB2312" w:hAnsi="仿宋_GB2312" w:eastAsia="仿宋_GB2312" w:cs="仿宋_GB2312"/>
          <w:color w:val="000000"/>
          <w:sz w:val="24"/>
          <w:szCs w:val="24"/>
          <w:lang w:eastAsia="zh-CN"/>
        </w:rPr>
        <w:t>清扫保洁</w:t>
      </w:r>
      <w:r>
        <w:rPr>
          <w:rFonts w:hint="eastAsia" w:ascii="仿宋_GB2312" w:hAnsi="仿宋_GB2312" w:eastAsia="仿宋_GB2312" w:cs="仿宋_GB2312"/>
          <w:color w:val="000000"/>
          <w:sz w:val="24"/>
          <w:szCs w:val="24"/>
        </w:rPr>
        <w:t>承包经费的1%，以此类推。连续三个月达不到90分，除扣减经费外、甲方有权解除承包合同。</w:t>
      </w:r>
      <w:r>
        <w:rPr>
          <w:rFonts w:hint="eastAsia" w:ascii="仿宋_GB2312" w:hAnsi="仿宋_GB2312" w:eastAsia="仿宋_GB2312" w:cs="仿宋_GB2312"/>
          <w:color w:val="000000"/>
          <w:sz w:val="24"/>
          <w:szCs w:val="24"/>
          <w:lang w:val="en-US" w:eastAsia="zh-CN"/>
        </w:rPr>
        <w:t>年平均分数低于90分的，不再续签合同。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乙方在全国、省、市的重要检查或重大突击性任务中，发现属乙方责任问题，经查属实，且不及时配合整改的，致使承包区域受到上级通报批评，甲方有权解除承包合同。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.乙方在公厕管理每月的质量检查考核中得分在90分(含90分)以上全额划拨经费，得分在90分以下，从90分起算，每扣1分即扣中标人当月承包</w:t>
      </w:r>
      <w:r>
        <w:rPr>
          <w:rFonts w:hint="eastAsia" w:ascii="仿宋_GB2312" w:hAnsi="仿宋_GB2312" w:eastAsia="仿宋_GB2312" w:cs="仿宋_GB2312"/>
          <w:color w:val="000000"/>
          <w:sz w:val="24"/>
          <w:szCs w:val="24"/>
          <w:lang w:eastAsia="zh-CN"/>
        </w:rPr>
        <w:t>公厕管护</w:t>
      </w:r>
      <w:r>
        <w:rPr>
          <w:rFonts w:hint="eastAsia" w:ascii="仿宋_GB2312" w:hAnsi="仿宋_GB2312" w:eastAsia="仿宋_GB2312" w:cs="仿宋_GB2312"/>
          <w:color w:val="000000"/>
          <w:sz w:val="24"/>
          <w:szCs w:val="24"/>
        </w:rPr>
        <w:t>经费的1%，以此类推。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.乙方在垃圾清运每月的质量检查考核中得分在90分(含90分)以上全额划拨经费，得分在90分以下，从90分起算，每扣1分即扣中标人当月承包经费的1%，以此类推。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5.对于</w:t>
      </w:r>
      <w:r>
        <w:rPr>
          <w:rFonts w:hint="eastAsia" w:ascii="仿宋_GB2312" w:hAnsi="仿宋_GB2312" w:eastAsia="仿宋_GB2312" w:cs="仿宋_GB2312"/>
          <w:color w:val="000000"/>
          <w:sz w:val="24"/>
          <w:szCs w:val="24"/>
          <w:lang w:val="en-US" w:eastAsia="zh-CN"/>
        </w:rPr>
        <w:t>乙方原因，保洁人员上访、在媒体投诉</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lang w:val="en-US" w:eastAsia="zh-CN"/>
        </w:rPr>
        <w:t>对我局名誉造成损失的每次扣3000元。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6.乙方必须按要求保证道路清洁质量，每天自行组织巡查，发现卫生死角及时整改。如相同地点被甲方发现二次(含二次)以上未及时整改的，甲方有权扣减乙方当月承包经费每次</w:t>
      </w:r>
      <w:r>
        <w:rPr>
          <w:rFonts w:hint="eastAsia" w:ascii="仿宋_GB2312" w:hAnsi="仿宋_GB2312" w:eastAsia="仿宋_GB2312" w:cs="仿宋_GB2312"/>
          <w:color w:val="000000"/>
          <w:sz w:val="24"/>
          <w:szCs w:val="24"/>
          <w:lang w:val="en-US" w:eastAsia="zh-CN"/>
        </w:rPr>
        <w:t>500</w:t>
      </w:r>
      <w:r>
        <w:rPr>
          <w:rFonts w:hint="eastAsia" w:ascii="仿宋_GB2312" w:hAnsi="仿宋_GB2312" w:eastAsia="仿宋_GB2312" w:cs="仿宋_GB2312"/>
          <w:color w:val="000000"/>
          <w:sz w:val="24"/>
          <w:szCs w:val="24"/>
        </w:rPr>
        <w:t>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7.因乙方原因在全市检查</w:t>
      </w:r>
      <w:r>
        <w:rPr>
          <w:rFonts w:hint="eastAsia" w:ascii="仿宋_GB2312" w:hAnsi="仿宋_GB2312" w:eastAsia="仿宋_GB2312" w:cs="仿宋_GB2312"/>
          <w:color w:val="000000"/>
          <w:sz w:val="24"/>
          <w:szCs w:val="24"/>
          <w:lang w:val="en-US" w:eastAsia="zh-CN"/>
        </w:rPr>
        <w:t>中连续两月，导致</w:t>
      </w:r>
      <w:r>
        <w:rPr>
          <w:rFonts w:hint="eastAsia" w:ascii="仿宋_GB2312" w:hAnsi="仿宋_GB2312" w:eastAsia="仿宋_GB2312" w:cs="仿宋_GB2312"/>
          <w:color w:val="000000"/>
          <w:sz w:val="24"/>
          <w:szCs w:val="24"/>
        </w:rPr>
        <w:t>月排名</w:t>
      </w:r>
      <w:r>
        <w:rPr>
          <w:rFonts w:hint="eastAsia" w:ascii="仿宋_GB2312" w:hAnsi="仿宋_GB2312" w:eastAsia="仿宋_GB2312" w:cs="仿宋_GB2312"/>
          <w:color w:val="000000"/>
          <w:sz w:val="24"/>
          <w:szCs w:val="24"/>
          <w:lang w:val="en-US" w:eastAsia="zh-CN"/>
        </w:rPr>
        <w:t>末位</w:t>
      </w:r>
      <w:r>
        <w:rPr>
          <w:rFonts w:hint="eastAsia" w:ascii="仿宋_GB2312" w:hAnsi="仿宋_GB2312" w:eastAsia="仿宋_GB2312" w:cs="仿宋_GB2312"/>
          <w:color w:val="000000"/>
          <w:sz w:val="24"/>
          <w:szCs w:val="24"/>
        </w:rPr>
        <w:t>的，每次罚乙方</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万元，累计3次甲方有权终止合同，因乙方</w:t>
      </w:r>
      <w:r>
        <w:rPr>
          <w:rFonts w:hint="eastAsia" w:ascii="仿宋_GB2312" w:hAnsi="仿宋_GB2312" w:eastAsia="仿宋_GB2312" w:cs="仿宋_GB2312"/>
          <w:color w:val="000000"/>
          <w:sz w:val="24"/>
          <w:szCs w:val="24"/>
          <w:lang w:val="en-US" w:eastAsia="zh-CN"/>
        </w:rPr>
        <w:t>工作表现突出等原因</w:t>
      </w:r>
      <w:r>
        <w:rPr>
          <w:rFonts w:hint="eastAsia" w:ascii="仿宋_GB2312" w:hAnsi="仿宋_GB2312" w:eastAsia="仿宋_GB2312" w:cs="仿宋_GB2312"/>
          <w:color w:val="000000"/>
          <w:sz w:val="24"/>
          <w:szCs w:val="24"/>
        </w:rPr>
        <w:t>使周至县在全市排名</w:t>
      </w:r>
      <w:r>
        <w:rPr>
          <w:rFonts w:hint="eastAsia" w:ascii="仿宋_GB2312" w:hAnsi="仿宋_GB2312" w:eastAsia="仿宋_GB2312" w:cs="仿宋_GB2312"/>
          <w:color w:val="000000"/>
          <w:sz w:val="24"/>
          <w:szCs w:val="24"/>
          <w:lang w:val="en-US" w:eastAsia="zh-CN"/>
        </w:rPr>
        <w:t>进入</w:t>
      </w:r>
      <w:r>
        <w:rPr>
          <w:rFonts w:hint="eastAsia" w:ascii="仿宋_GB2312" w:hAnsi="仿宋_GB2312" w:eastAsia="仿宋_GB2312" w:cs="仿宋_GB2312"/>
          <w:color w:val="000000"/>
          <w:sz w:val="24"/>
          <w:szCs w:val="24"/>
        </w:rPr>
        <w:t>前三位，每次奖励</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万元。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8.乙方在机械化作业中不能按照市上的要求完成机械化作业的，每次扣除服务费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9.乙方应在合同签订后必须为所有保洁人员进行垃圾分类的相关知识培训，并做好垃圾分类的各项工作，未开展培训或员工垃圾分类知识知晓率低的每次扣除公司300元。</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10、乙方应按照项目的实际需要增配环卫车辆，满足项目的垃圾清运、道路的机扫、洒水、冲洗、绿化管护的要求，达不到要求的按照考核标准进行扣分。</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11、乙方必须按照道路清扫保洁面积、绿化保洁标准配备相应的人员，人员配备不足的每差一人，扣除服务费3000元，依次类推。</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12、乙方应保持所有道路清扫保洁机械率在95%以上，未达到标准的每次扣除服务费3000元。</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除日常的考核检查外，业务科室或局领导以及市上相关部门临时性检查，每发现一次不按规定的时间、标准进行清扫保洁的每次扣除服务费1000元，不按时进行冲洗的每次扣除服务费500元，不按时出动作业车辆的每次扣除服务费500元。</w:t>
      </w:r>
    </w:p>
    <w:p>
      <w:pPr>
        <w:pStyle w:val="24"/>
        <w:keepNext w:val="0"/>
        <w:keepLines w:val="0"/>
        <w:pageBreakBefore w:val="0"/>
        <w:kinsoku/>
        <w:wordWrap/>
        <w:overflowPunct/>
        <w:topLinePunct w:val="0"/>
        <w:autoSpaceDE/>
        <w:autoSpaceDN/>
        <w:bidi w:val="0"/>
        <w:spacing w:line="240" w:lineRule="auto"/>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乙方在生活垃圾清运过程中必须按照《西安市生活垃圾分类管理办法》中明确的分类进行清运，车辆必须符合市上的相关规定，不按规定清运的，每发现一次扣除500元。在生活垃圾清运过程中必须按照规定对生活垃圾“日产日清”，对于因垃圾清运不及时，导致垃圾落地的每次扣除服务费用500元，因群众投诉到甲方的第一次警告处理，第二次扣除服务费用500元。车容车貌不整洁的每次扣除500元。</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15、乙方必须按甲方的规定，完成走航等系统报警的处理，不按时处理的每次罚款300元。</w:t>
      </w: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16、未按照规定时间、标准实行清扫保洁作业的，每次罚款1000元。</w:t>
      </w:r>
    </w:p>
    <w:p>
      <w:pPr>
        <w:pStyle w:val="24"/>
        <w:keepNext w:val="0"/>
        <w:keepLines w:val="0"/>
        <w:pageBreakBefore w:val="0"/>
        <w:kinsoku/>
        <w:wordWrap/>
        <w:overflowPunct/>
        <w:topLinePunct w:val="0"/>
        <w:autoSpaceDE/>
        <w:autoSpaceDN/>
        <w:bidi w:val="0"/>
        <w:spacing w:line="240" w:lineRule="auto"/>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17、凡被省、市、县媒体或相关单位检查发现通报问题每次扣除3000元。</w:t>
      </w:r>
      <w:r>
        <w:rPr>
          <w:rFonts w:hint="eastAsia" w:ascii="仿宋_GB2312" w:hAnsi="仿宋_GB2312" w:eastAsia="仿宋_GB2312" w:cs="仿宋_GB2312"/>
          <w:color w:val="000000"/>
          <w:sz w:val="24"/>
          <w:szCs w:val="24"/>
        </w:rPr>
        <w:t>乙方不及时进行整改或整改后，经市、县环境卫生监督管理部门检查仍不符合质量标准要求的每发生一次，甲方有权扣减乙方当月承包经费的</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,承包期内累计三次者，甲方有权解除承包合同。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乙方应建立健全质量检查档案，所有工作必须留档，以备查验。</w:t>
      </w:r>
    </w:p>
    <w:p>
      <w:pPr>
        <w:pStyle w:val="24"/>
        <w:keepNext w:val="0"/>
        <w:keepLines w:val="0"/>
        <w:pageBreakBefore w:val="0"/>
        <w:kinsoku/>
        <w:wordWrap/>
        <w:overflowPunct/>
        <w:topLinePunct w:val="0"/>
        <w:autoSpaceDE/>
        <w:autoSpaceDN/>
        <w:bidi w:val="0"/>
        <w:spacing w:line="240" w:lineRule="auto"/>
        <w:textAlignment w:val="auto"/>
        <w:rPr>
          <w:rFonts w:hint="default" w:eastAsia="仿宋_GB2312"/>
          <w:sz w:val="24"/>
          <w:szCs w:val="24"/>
          <w:lang w:val="en-US" w:eastAsia="zh-CN"/>
        </w:rPr>
      </w:pPr>
      <w:r>
        <w:rPr>
          <w:rFonts w:hint="eastAsia" w:ascii="仿宋_GB2312" w:hAnsi="仿宋_GB2312" w:eastAsia="仿宋_GB2312" w:cs="仿宋_GB2312"/>
          <w:color w:val="000000"/>
          <w:sz w:val="24"/>
          <w:szCs w:val="24"/>
          <w:lang w:val="en-US" w:eastAsia="zh-CN"/>
        </w:rPr>
        <w:t>19、乙方应按照西安市城市管理和综合执法局、西安市公安局交通管理局《关于切实加强道路清扫保洁作业安全管理消除交通安全隐患的通知》市城管发[2020]242号文件要求，完善相应的安全防护设施，对设施不到位的按照文件相关要求进行扣款、处罚。</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六、履约保证金</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1.乙方在签订本合同后5日内，向甲方提供中标价</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2.履约</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用于补偿甲方因乙方不能完成其协议义务而蒙受的损失。凡因乙方责任，使甲方解除本协议的，履约担保单位必须无条件的向周至县城市管理局拨付违约费用。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七、承包经费、付款方式</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1.中标服务承包费为：年承包费用总金额为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元，</w:t>
      </w:r>
      <w:r>
        <w:rPr>
          <w:rFonts w:hint="eastAsia" w:ascii="仿宋_GB2312" w:hAnsi="仿宋_GB2312" w:eastAsia="仿宋_GB2312" w:cs="仿宋_GB2312"/>
          <w:color w:val="000000"/>
          <w:sz w:val="24"/>
          <w:szCs w:val="24"/>
        </w:rPr>
        <w:t>每</w:t>
      </w:r>
      <w:r>
        <w:rPr>
          <w:rFonts w:hint="eastAsia" w:ascii="仿宋_GB2312" w:hAnsi="仿宋_GB2312" w:eastAsia="仿宋_GB2312" w:cs="仿宋_GB2312"/>
          <w:color w:val="000000"/>
          <w:sz w:val="24"/>
          <w:szCs w:val="24"/>
          <w:lang w:val="en-US" w:eastAsia="zh-CN"/>
        </w:rPr>
        <w:t>月费用为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费用按照道路清扫保洁一类道</w:t>
      </w:r>
      <w:r>
        <w:rPr>
          <w:rFonts w:hint="eastAsia" w:ascii="仿宋_GB2312" w:hAnsi="仿宋_GB2312" w:eastAsia="仿宋_GB2312" w:cs="仿宋_GB2312"/>
          <w:color w:val="000000"/>
          <w:sz w:val="24"/>
          <w:szCs w:val="24"/>
          <w:lang w:val="en-US" w:eastAsia="zh-CN"/>
        </w:rPr>
        <w:t>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二类道路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三类道路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 xml:space="preserve">元/平方米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公厕管护</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元/每座</w:t>
      </w:r>
      <w:r>
        <w:rPr>
          <w:rFonts w:hint="eastAsia" w:ascii="仿宋_GB2312" w:hAnsi="仿宋_GB2312" w:eastAsia="仿宋_GB2312" w:cs="仿宋_GB2312"/>
          <w:color w:val="000000"/>
          <w:sz w:val="24"/>
          <w:szCs w:val="24"/>
          <w:lang w:val="en-US" w:eastAsia="zh-CN"/>
        </w:rPr>
        <w:t>/年</w:t>
      </w:r>
      <w:r>
        <w:rPr>
          <w:rFonts w:hint="eastAsia" w:ascii="仿宋_GB2312" w:hAnsi="仿宋_GB2312" w:eastAsia="仿宋_GB2312" w:cs="仿宋_GB2312"/>
          <w:color w:val="000000"/>
          <w:sz w:val="24"/>
          <w:szCs w:val="24"/>
        </w:rPr>
        <w:t xml:space="preserve">。 </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注：合同总金额包括人员工资、福利、</w:t>
      </w:r>
      <w:r>
        <w:rPr>
          <w:rFonts w:hint="eastAsia" w:ascii="仿宋_GB2312" w:hAnsi="仿宋_GB2312" w:eastAsia="仿宋_GB2312" w:cs="仿宋_GB2312"/>
          <w:b/>
          <w:bCs/>
          <w:color w:val="000000"/>
          <w:sz w:val="24"/>
          <w:szCs w:val="24"/>
          <w:lang w:val="en-US" w:eastAsia="zh-CN"/>
        </w:rPr>
        <w:t>社保（养老、医疗、工伤等保险）</w:t>
      </w:r>
      <w:r>
        <w:rPr>
          <w:rFonts w:hint="eastAsia" w:ascii="仿宋_GB2312" w:hAnsi="仿宋_GB2312" w:eastAsia="仿宋_GB2312" w:cs="仿宋_GB2312"/>
          <w:b/>
          <w:bCs/>
          <w:color w:val="000000"/>
          <w:sz w:val="24"/>
          <w:szCs w:val="24"/>
        </w:rPr>
        <w:t>、劳保用品、融雪剂、工具、车辆设备、机械及其维修、工具房租用、迎检加班和突发处置费用、应急物资等作业成本以及适当的管理费用、利润、税金、风险金（保险、处理一切意外伤亡事故等费用）</w:t>
      </w:r>
      <w:r>
        <w:rPr>
          <w:rFonts w:hint="eastAsia" w:ascii="仿宋_GB2312" w:hAnsi="仿宋_GB2312" w:eastAsia="仿宋_GB2312" w:cs="仿宋_GB2312"/>
          <w:b/>
          <w:bCs/>
          <w:color w:val="000000"/>
          <w:sz w:val="24"/>
          <w:szCs w:val="24"/>
          <w:lang w:eastAsia="zh-CN"/>
        </w:rPr>
        <w:t>办公用房的租赁</w:t>
      </w:r>
      <w:r>
        <w:rPr>
          <w:rFonts w:hint="eastAsia" w:ascii="仿宋_GB2312" w:hAnsi="仿宋_GB2312" w:eastAsia="仿宋_GB2312" w:cs="仿宋_GB2312"/>
          <w:b/>
          <w:bCs/>
          <w:color w:val="000000"/>
          <w:sz w:val="24"/>
          <w:szCs w:val="24"/>
        </w:rPr>
        <w:t>等其他一切费用。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2.承包经费的支付方法及金额：</w:t>
      </w:r>
      <w:r>
        <w:rPr>
          <w:rFonts w:hint="eastAsia" w:ascii="仿宋_GB2312" w:hAnsi="仿宋_GB2312" w:eastAsia="仿宋_GB2312" w:cs="仿宋_GB2312"/>
          <w:color w:val="000000"/>
          <w:sz w:val="24"/>
          <w:szCs w:val="24"/>
          <w:lang w:val="en-US" w:eastAsia="zh-CN"/>
        </w:rPr>
        <w:t>乙方在支付保洁员工资后，</w:t>
      </w:r>
      <w:r>
        <w:rPr>
          <w:rFonts w:hint="eastAsia" w:ascii="仿宋_GB2312" w:hAnsi="仿宋_GB2312" w:eastAsia="仿宋_GB2312" w:cs="仿宋_GB2312"/>
          <w:color w:val="000000"/>
          <w:sz w:val="24"/>
          <w:szCs w:val="24"/>
        </w:rPr>
        <w:t>由甲方依照检查考核情况按月付款，支付上月实际完成的任务款,乙方在收款时应出具正式的发票。</w:t>
      </w:r>
    </w:p>
    <w:p>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3.本合同的承包经费由财政拨款，如遇特殊原因，财政资金未按时拨付到甲方，乙方不得以甲方未按时拨付服务费用为由，而不履行合同规定的服务义务或对甲方提出诉讼。</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4.协议有效期满</w:t>
      </w:r>
      <w:r>
        <w:rPr>
          <w:rFonts w:hint="eastAsia" w:ascii="仿宋_GB2312" w:hAnsi="仿宋_GB2312" w:eastAsia="仿宋_GB2312" w:cs="仿宋_GB2312"/>
          <w:color w:val="000000"/>
          <w:sz w:val="24"/>
          <w:szCs w:val="24"/>
          <w:lang w:eastAsia="zh-CN"/>
        </w:rPr>
        <w:t>后</w:t>
      </w:r>
      <w:r>
        <w:rPr>
          <w:rFonts w:hint="eastAsia" w:ascii="仿宋_GB2312" w:hAnsi="仿宋_GB2312" w:eastAsia="仿宋_GB2312" w:cs="仿宋_GB2312"/>
          <w:color w:val="000000"/>
          <w:sz w:val="24"/>
          <w:szCs w:val="24"/>
        </w:rPr>
        <w:t>甲方将重新招标确定本服务项目中标人，乙方应积极配合甲方完成相关手续的交接。乙方必须完成相关工作交接后，甲方再支付上月承包经费。如乙方不能按要求完成相关交接手续，每逾期一天乙方自愿向甲方支付每天5000元的违约金，该费用在甲方应付的承包经费中扣除。</w:t>
      </w:r>
    </w:p>
    <w:p>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sz w:val="24"/>
          <w:szCs w:val="24"/>
          <w:lang w:val="en-US" w:eastAsia="zh-CN"/>
        </w:rPr>
        <w:t>乙方在甲方未拨付服务费的情况下，必须有垫付保洁员工资三个月以上的能力。</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八、承包责任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发包方(甲方)责任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1.乙方按照本协议的内容完成工作的，甲方有向乙方按时支付承包费的义务。</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2.在履行本协议期间，甲方可向乙方提供业务指导，协助乙方克服在服务中遇到的困难。</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3.每月不定期组织对乙方的作业质量情况进行检查考核。</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4.甲方对乙方在日常作业工作中负有监督管理的责任。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5.甲方有权对乙方环卫工人的工资、福利、保险、工具的发放和配备进行监督</w:t>
      </w:r>
      <w:r>
        <w:rPr>
          <w:rFonts w:hint="eastAsia" w:ascii="仿宋_GB2312" w:hAnsi="仿宋_GB2312" w:eastAsia="仿宋_GB2312" w:cs="仿宋_GB2312"/>
          <w:color w:val="000000"/>
          <w:sz w:val="24"/>
          <w:szCs w:val="24"/>
          <w:lang w:val="en-US" w:eastAsia="zh-CN"/>
        </w:rPr>
        <w:t>和</w:t>
      </w:r>
      <w:r>
        <w:rPr>
          <w:rFonts w:hint="eastAsia" w:ascii="仿宋_GB2312" w:hAnsi="仿宋_GB2312" w:eastAsia="仿宋_GB2312" w:cs="仿宋_GB2312"/>
          <w:color w:val="000000"/>
          <w:sz w:val="24"/>
          <w:szCs w:val="24"/>
        </w:rPr>
        <w:t>检查。</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承包方〔乙方)责任：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必须在本合同签订之日起5日内与现有环卫工人按照《中华人民共和国劳动合同法》签订劳动合同，环卫工人工资福利待遇不低于现行标准（如遇市上保洁员待遇政策调整，必须按照市上相关文件要求严格执行），确保环卫工人劳动关系顺利转接，否则甲方有权暂缓拨付乙方服务费，直至环卫工人全部签订劳动合同为止。由于乙方未及时与环卫工签订劳动合同的原因，造成环卫工人与甲方发生争议的，由此产生的一切后果由乙方承担。</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2.乙方负责承包范围内的安全作业管理，严格按有关部门的要求、制定</w:t>
      </w:r>
      <w:r>
        <w:rPr>
          <w:rFonts w:hint="eastAsia" w:ascii="仿宋_GB2312" w:hAnsi="仿宋_GB2312" w:eastAsia="仿宋_GB2312" w:cs="仿宋_GB2312"/>
          <w:color w:val="000000"/>
          <w:sz w:val="24"/>
          <w:szCs w:val="24"/>
          <w:lang w:val="en-US" w:eastAsia="zh-CN"/>
        </w:rPr>
        <w:t>相关</w:t>
      </w:r>
      <w:r>
        <w:rPr>
          <w:rFonts w:hint="eastAsia" w:ascii="仿宋_GB2312" w:hAnsi="仿宋_GB2312" w:eastAsia="仿宋_GB2312" w:cs="仿宋_GB2312"/>
          <w:color w:val="000000"/>
          <w:sz w:val="24"/>
          <w:szCs w:val="24"/>
        </w:rPr>
        <w:t>规章制度。</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3.乙方负责本单位人员的思想教育、安全教育、专业</w:t>
      </w:r>
      <w:r>
        <w:rPr>
          <w:rFonts w:hint="eastAsia" w:ascii="仿宋_GB2312" w:hAnsi="仿宋_GB2312" w:eastAsia="仿宋_GB2312" w:cs="仿宋_GB2312"/>
          <w:color w:val="000000"/>
          <w:sz w:val="24"/>
          <w:szCs w:val="24"/>
          <w:lang w:eastAsia="zh-CN"/>
        </w:rPr>
        <w:t>技能</w:t>
      </w:r>
      <w:r>
        <w:rPr>
          <w:rFonts w:hint="eastAsia" w:ascii="仿宋_GB2312" w:hAnsi="仿宋_GB2312" w:eastAsia="仿宋_GB2312" w:cs="仿宋_GB2312"/>
          <w:color w:val="000000"/>
          <w:sz w:val="24"/>
          <w:szCs w:val="24"/>
        </w:rPr>
        <w:t>培训，确保员工做到遵纪守法持证上岗。</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4.乙方须按市、县相关文件要求的作业时间和作业质量配足作业机</w:t>
      </w:r>
      <w:r>
        <w:rPr>
          <w:rFonts w:hint="eastAsia" w:ascii="仿宋_GB2312" w:hAnsi="仿宋_GB2312" w:eastAsia="仿宋_GB2312" w:cs="仿宋_GB2312"/>
          <w:color w:val="000000"/>
          <w:sz w:val="24"/>
          <w:szCs w:val="24"/>
          <w:lang w:val="en-US" w:eastAsia="zh-CN"/>
        </w:rPr>
        <w:t>械</w:t>
      </w:r>
      <w:r>
        <w:rPr>
          <w:rFonts w:hint="eastAsia" w:ascii="仿宋_GB2312" w:hAnsi="仿宋_GB2312" w:eastAsia="仿宋_GB2312" w:cs="仿宋_GB2312"/>
          <w:color w:val="000000"/>
          <w:sz w:val="24"/>
          <w:szCs w:val="24"/>
        </w:rPr>
        <w:t>和环卫作业人员，按时完成作业任务。</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5.乙方在承包期内未能及时清理路面保洁范围内的杂物、油污等以及清理不到位而引发的交通安全责任事故造成人员伤亡和财产损失的，乙方应承担相应的法律责任和赔偿等一切责任。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6.乙方应建立健全安全生产管理制度、档案，服从甲方及相关行政管理部门的安全生产管理</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7.乙方在承包期内由于工作人员发生各种事故:包括安全生产、治安、交通、防火、工伤、劳资纠纷等事件，所造成一切后果及损失，由乙方承担责任和负责赔偿。</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8.乙方按国家财务政策规定依法设立财务账本，劳动工资统计台账，依法纳税，保证为工人购买社保等，每月报送财务报表，并接受财务检查、审计。按有关部门的要求完成有关数据报送工作。</w:t>
      </w:r>
    </w:p>
    <w:p>
      <w:pPr>
        <w:pStyle w:val="21"/>
        <w:keepNext w:val="0"/>
        <w:keepLines w:val="0"/>
        <w:pageBreakBefore w:val="0"/>
        <w:widowControl/>
        <w:kinsoku/>
        <w:wordWrap/>
        <w:overflowPunct/>
        <w:topLinePunct w:val="0"/>
        <w:autoSpaceDE/>
        <w:autoSpaceDN/>
        <w:bidi w:val="0"/>
        <w:spacing w:before="0" w:line="240" w:lineRule="auto"/>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9.乙方应遵守《</w:t>
      </w:r>
      <w:r>
        <w:rPr>
          <w:rFonts w:hint="eastAsia" w:ascii="仿宋_GB2312" w:hAnsi="仿宋_GB2312" w:eastAsia="仿宋_GB2312" w:cs="仿宋_GB2312"/>
          <w:color w:val="000000"/>
          <w:kern w:val="2"/>
          <w:sz w:val="24"/>
          <w:szCs w:val="24"/>
        </w:rPr>
        <w:t>中华人民共和国劳动法》等</w:t>
      </w:r>
      <w:r>
        <w:rPr>
          <w:rFonts w:hint="eastAsia" w:ascii="仿宋_GB2312" w:hAnsi="仿宋_GB2312" w:eastAsia="仿宋_GB2312" w:cs="仿宋_GB2312"/>
          <w:color w:val="000000"/>
          <w:sz w:val="24"/>
          <w:szCs w:val="24"/>
        </w:rPr>
        <w:t>有关法律、法规，按国家、省、市有关规定与雇佣人员签订用工合同，支付工人工资、购买社保等有关保险及劳保用品，清扫保洁及管理人员上路必须穿着反光背心。同时，应完善人事管理制度，建立人事档案和员工名册，每月向员工发放工资时须向员工提供工资单。工资单的内容须至少包含基本工资，正常工作日、双休日、法定节假日、带薪年假等加班费，高温津贴，降温费、取暖费，各类社保等项目金额。并须接受甲方对其投入本承包项目员工工资发放和为员工办理各类社保情况的监督。</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乙方要建立环卫应急预案制度。准备一支不少于10人的应急队伍和机械设备及所需的应急物资，由甲方调配，用于处置突发性事件、各项检查、突击整治及重大活动中的环境卫生保障工作，一旦发生上述情况，乙方必须确保人员机械设备及时到位。应急人员、机械设备所发生的费用包含在总承包费用中，不另行追加。</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11.乙方应加强对环卫工人维稳管理，及时化解矛盾，严禁出现环卫工人</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上访现象，如因乙方原因</w:t>
      </w:r>
      <w:r>
        <w:rPr>
          <w:rFonts w:hint="eastAsia" w:ascii="仿宋_GB2312" w:hAnsi="仿宋_GB2312" w:eastAsia="仿宋_GB2312" w:cs="仿宋_GB2312"/>
          <w:color w:val="000000"/>
          <w:sz w:val="24"/>
          <w:szCs w:val="24"/>
          <w:lang w:val="en-US" w:eastAsia="zh-CN"/>
        </w:rPr>
        <w:t>导致</w:t>
      </w:r>
      <w:r>
        <w:rPr>
          <w:rFonts w:hint="eastAsia" w:ascii="仿宋_GB2312" w:hAnsi="仿宋_GB2312" w:eastAsia="仿宋_GB2312" w:cs="仿宋_GB2312"/>
          <w:color w:val="000000"/>
          <w:sz w:val="24"/>
          <w:szCs w:val="24"/>
        </w:rPr>
        <w:t>环卫工人出现</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上访、投诉</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现象每次扣除乙方服务费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12.乙方应对承包范围内的人员配备情况</w:t>
      </w:r>
      <w:r>
        <w:rPr>
          <w:rFonts w:hint="eastAsia" w:ascii="仿宋_GB2312" w:hAnsi="仿宋_GB2312" w:eastAsia="仿宋_GB2312" w:cs="仿宋_GB2312"/>
          <w:color w:val="000000"/>
          <w:sz w:val="24"/>
          <w:szCs w:val="24"/>
          <w:lang w:val="en-US" w:eastAsia="zh-CN"/>
        </w:rPr>
        <w:t>每月5日前</w:t>
      </w:r>
      <w:r>
        <w:rPr>
          <w:rFonts w:hint="eastAsia" w:ascii="仿宋_GB2312" w:hAnsi="仿宋_GB2312" w:eastAsia="仿宋_GB2312" w:cs="仿宋_GB2312"/>
          <w:color w:val="000000"/>
          <w:sz w:val="24"/>
          <w:szCs w:val="24"/>
        </w:rPr>
        <w:t>向甲方提供人员花名册，人员变化时应向甲方备案。</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13.乙方需对保洁员行为及服装进行规范，上班期间必须穿着反光标志服，并保持干净整洁，夏季不得敞胸露背、赤脚或穿拖鞋。</w:t>
      </w:r>
    </w:p>
    <w:p>
      <w:pPr>
        <w:pStyle w:val="24"/>
        <w:keepNext w:val="0"/>
        <w:keepLines w:val="0"/>
        <w:pageBreakBefore w:val="0"/>
        <w:kinsoku/>
        <w:wordWrap/>
        <w:overflowPunct/>
        <w:topLinePunct w:val="0"/>
        <w:autoSpaceDE/>
        <w:autoSpaceDN/>
        <w:bidi w:val="0"/>
        <w:spacing w:line="240" w:lineRule="auto"/>
        <w:textAlignment w:val="auto"/>
        <w:rPr>
          <w:rFonts w:hint="default" w:eastAsia="仿宋_GB2312"/>
          <w:sz w:val="24"/>
          <w:szCs w:val="24"/>
          <w:lang w:val="en-US" w:eastAsia="zh-CN"/>
        </w:rPr>
      </w:pPr>
      <w:r>
        <w:rPr>
          <w:rFonts w:hint="eastAsia" w:ascii="仿宋_GB2312" w:hAnsi="仿宋_GB2312" w:eastAsia="仿宋_GB2312" w:cs="仿宋_GB2312"/>
          <w:color w:val="000000"/>
          <w:sz w:val="24"/>
          <w:szCs w:val="24"/>
          <w:lang w:val="en-US" w:eastAsia="zh-CN"/>
        </w:rPr>
        <w:t>14、乙方在合同签订后必须配备相应的洒水车、机扫车、冲洗车等作业车辆、设备，确保按照甲方的作业质量标准，做好清扫保洁工作。</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九、违约责任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1.未经甲方同意，乙方不得将承包项目进行转包或部分分包，否则将视为乙方违约，甲方有权解除协议，由此造成的损失由乙方承担。</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期间，经甲方检查核实，乙方没有按法律、法规足额缴纳工人各类社保金或各类津贴及拖欠工人工资等，甲方有权督促乙方及时纠正向工人核补所欠工资、社保等;如乙方不及时纠正或不予纠正，甲方可扣减乙方当月承包经费用于支付所欠工人的费用、并交由政府相关职能部门处理且有权解除承包合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3.如因乙方引起的劳资纠纷问题，影响正常工作的，甲方有权另行聘请人员确保正常工作，所产生的费用在承包经费中相应扣减。</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4.在履行协议期间，若乙方违约导致本协议终止，乙方需按本协议规定年承包总额的</w:t>
      </w: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%向甲方支付违约金，违约金不足弥补给甲方造成损失的，甲方有权向乙方提出赔偿要求。</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5.承包期间。双方必须严格履行协议，在执行过程中，如遇未尽事宜(含政府有关部门的政策、作业标准、作业时间调整等)，双方协商解决，单方面无权变更。</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6.承包期内，如因乙方违反法律、法规及国家有关政策造成严重后果的，甲方可以解除协议。</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7.发生单方违约，且经协调不果，另一方可在服务所在地人民法院进行法律诉讼，追究违约方相应的法律责任和经济责任。</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十、其它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1.本合同所有附件和中标通知书均为合同的有效组成部分，与本合同具有同等法律效力。</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2.本协议未尽事宜，由甲乙双方协商解决，可另行签订补充协议；补充协议与本协议具有同等法律效力。</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3.除甲方事先书面同意外，乙方不得部分或全部转让其应履行的合同项下的义务。</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4.本合同一式肆份，甲乙双方各执两份。</w:t>
      </w:r>
    </w:p>
    <w:p>
      <w:pPr>
        <w:pStyle w:val="24"/>
        <w:keepNext w:val="0"/>
        <w:keepLines w:val="0"/>
        <w:pageBreakBefore w:val="0"/>
        <w:kinsoku/>
        <w:wordWrap/>
        <w:overflowPunct/>
        <w:topLinePunct w:val="0"/>
        <w:autoSpaceDE/>
        <w:autoSpaceDN/>
        <w:bidi w:val="0"/>
        <w:spacing w:line="240" w:lineRule="auto"/>
        <w:ind w:firstLine="640"/>
        <w:textAlignment w:val="auto"/>
        <w:rPr>
          <w:rFonts w:hint="eastAsia" w:ascii="仿宋_GB2312" w:hAnsi="仿宋_GB2312" w:eastAsia="仿宋_GB2312" w:cs="仿宋_GB2312"/>
          <w:color w:val="000000"/>
          <w:sz w:val="24"/>
          <w:szCs w:val="24"/>
        </w:rPr>
      </w:pPr>
    </w:p>
    <w:p>
      <w:pPr>
        <w:pStyle w:val="24"/>
        <w:keepNext w:val="0"/>
        <w:keepLines w:val="0"/>
        <w:pageBreakBefore w:val="0"/>
        <w:kinsoku/>
        <w:wordWrap/>
        <w:overflowPunct/>
        <w:topLinePunct w:val="0"/>
        <w:autoSpaceDE/>
        <w:autoSpaceDN/>
        <w:bidi w:val="0"/>
        <w:spacing w:line="240" w:lineRule="auto"/>
        <w:ind w:firstLine="640"/>
        <w:textAlignment w:val="auto"/>
        <w:rPr>
          <w:rFonts w:hint="eastAsia" w:ascii="仿宋_GB2312" w:hAnsi="仿宋_GB2312" w:eastAsia="仿宋_GB2312" w:cs="仿宋_GB2312"/>
          <w:color w:val="000000"/>
          <w:sz w:val="24"/>
          <w:szCs w:val="24"/>
        </w:rPr>
      </w:pPr>
    </w:p>
    <w:p>
      <w:pPr>
        <w:pStyle w:val="24"/>
        <w:keepNext w:val="0"/>
        <w:keepLines w:val="0"/>
        <w:pageBreakBefore w:val="0"/>
        <w:kinsoku/>
        <w:wordWrap/>
        <w:overflowPunct/>
        <w:topLinePunct w:val="0"/>
        <w:autoSpaceDE/>
        <w:autoSpaceDN/>
        <w:bidi w:val="0"/>
        <w:spacing w:line="240" w:lineRule="auto"/>
        <w:ind w:firstLine="64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附件：1.承包范围清单</w:t>
      </w: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2.周至县城市道路清扫保洁检查考核办法</w:t>
      </w: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3.周至县城市道路清扫保洁检查考核评分细则</w:t>
      </w: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4.周至县市容环境卫生管理工作标准</w:t>
      </w: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5.周至县生活垃圾清运管理考核办法</w:t>
      </w: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6.周至县公共厕所管理标准</w:t>
      </w: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7.周至县公共厕所管理考核评分标准</w:t>
      </w: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p>
    <w:p>
      <w:pPr>
        <w:pStyle w:val="24"/>
        <w:keepNext w:val="0"/>
        <w:keepLines w:val="0"/>
        <w:pageBreakBefore w:val="0"/>
        <w:kinsoku/>
        <w:wordWrap/>
        <w:overflowPunct/>
        <w:topLinePunct w:val="0"/>
        <w:autoSpaceDE/>
        <w:autoSpaceDN/>
        <w:bidi w:val="0"/>
        <w:spacing w:line="240" w:lineRule="auto"/>
        <w:ind w:firstLine="1200" w:firstLineChars="500"/>
        <w:textAlignment w:val="auto"/>
        <w:rPr>
          <w:rFonts w:hint="eastAsia" w:ascii="仿宋_GB2312" w:hAnsi="仿宋_GB2312" w:eastAsia="仿宋_GB2312" w:cs="仿宋_GB2312"/>
          <w:color w:val="000000"/>
          <w:sz w:val="24"/>
          <w:szCs w:val="24"/>
        </w:rPr>
      </w:pPr>
    </w:p>
    <w:p>
      <w:pPr>
        <w:pStyle w:val="24"/>
        <w:keepNext w:val="0"/>
        <w:keepLines w:val="0"/>
        <w:pageBreakBefore w:val="0"/>
        <w:kinsoku/>
        <w:wordWrap/>
        <w:overflowPunct/>
        <w:topLinePunct w:val="0"/>
        <w:autoSpaceDE/>
        <w:autoSpaceDN/>
        <w:bidi w:val="0"/>
        <w:spacing w:line="240" w:lineRule="auto"/>
        <w:ind w:left="0" w:leftChars="0" w:firstLine="42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甲方（盖章）：                 乙方（盖章）：</w:t>
      </w:r>
    </w:p>
    <w:p>
      <w:pPr>
        <w:pStyle w:val="24"/>
        <w:keepNext w:val="0"/>
        <w:keepLines w:val="0"/>
        <w:pageBreakBefore w:val="0"/>
        <w:kinsoku/>
        <w:wordWrap/>
        <w:overflowPunct/>
        <w:topLinePunct w:val="0"/>
        <w:autoSpaceDE/>
        <w:autoSpaceDN/>
        <w:bidi w:val="0"/>
        <w:spacing w:line="240" w:lineRule="auto"/>
        <w:ind w:left="0" w:leftChars="0" w:firstLine="420" w:firstLineChars="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                   法人代表：</w:t>
      </w:r>
    </w:p>
    <w:p>
      <w:pPr>
        <w:pStyle w:val="24"/>
        <w:keepNext w:val="0"/>
        <w:keepLines w:val="0"/>
        <w:pageBreakBefore w:val="0"/>
        <w:kinsoku/>
        <w:wordWrap/>
        <w:overflowPunct/>
        <w:topLinePunct w:val="0"/>
        <w:autoSpaceDE/>
        <w:autoSpaceDN/>
        <w:bidi w:val="0"/>
        <w:spacing w:line="24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                    委托代理人: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单位地址：                     单位地址：</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                     邮政编码：</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                     联系电话：</w:t>
      </w:r>
    </w:p>
    <w:p>
      <w:pPr>
        <w:keepNext w:val="0"/>
        <w:keepLines w:val="0"/>
        <w:pageBreakBefore w:val="0"/>
        <w:tabs>
          <w:tab w:val="left" w:pos="501"/>
        </w:tabs>
        <w:kinsoku/>
        <w:wordWrap/>
        <w:overflowPunct/>
        <w:topLinePunct w:val="0"/>
        <w:autoSpaceDE/>
        <w:autoSpaceDN/>
        <w:bidi w:val="0"/>
        <w:spacing w:line="240" w:lineRule="auto"/>
        <w:jc w:val="left"/>
        <w:textAlignment w:val="auto"/>
        <w:rPr>
          <w:rFonts w:hint="eastAsia" w:eastAsia="宋体"/>
          <w:sz w:val="16"/>
          <w:szCs w:val="20"/>
          <w:lang w:eastAsia="zh-CN"/>
        </w:rPr>
        <w:sectPr>
          <w:footerReference r:id="rId7" w:type="default"/>
          <w:pgSz w:w="11906" w:h="16838"/>
          <w:pgMar w:top="1440" w:right="1800" w:bottom="1440" w:left="1800" w:header="851" w:footer="992" w:gutter="0"/>
          <w:pgNumType w:start="1"/>
          <w:cols w:space="720" w:num="1"/>
          <w:docGrid w:type="lines" w:linePitch="312" w:charSpace="0"/>
        </w:sectPr>
      </w:pPr>
    </w:p>
    <w:p>
      <w:pPr>
        <w:keepNext w:val="0"/>
        <w:keepLines w:val="0"/>
        <w:pageBreakBefore w:val="0"/>
        <w:kinsoku/>
        <w:wordWrap/>
        <w:overflowPunct/>
        <w:topLinePunct w:val="0"/>
        <w:autoSpaceDE/>
        <w:autoSpaceDN/>
        <w:bidi w:val="0"/>
        <w:spacing w:line="240" w:lineRule="auto"/>
        <w:textAlignment w:val="auto"/>
        <w:rPr>
          <w:rFonts w:hint="default"/>
          <w:sz w:val="16"/>
          <w:szCs w:val="20"/>
          <w:lang w:val="en-US" w:eastAsia="zh-CN"/>
        </w:rPr>
      </w:pPr>
      <w:r>
        <w:rPr>
          <w:rFonts w:hint="eastAsia"/>
          <w:sz w:val="16"/>
          <w:szCs w:val="20"/>
          <w:lang w:val="en-US" w:eastAsia="zh-CN"/>
        </w:rPr>
        <w:t xml:space="preserve"> 附件二</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471"/>
        <w:gridCol w:w="1517"/>
        <w:gridCol w:w="1123"/>
        <w:gridCol w:w="2994"/>
        <w:gridCol w:w="1426"/>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00" w:type="pct"/>
            <w:gridSpan w:val="7"/>
            <w:noWrap w:val="0"/>
            <w:vAlign w:val="top"/>
          </w:tcPr>
          <w:p>
            <w:pPr>
              <w:tabs>
                <w:tab w:val="left" w:pos="6147"/>
              </w:tabs>
              <w:bidi w:val="0"/>
              <w:jc w:val="center"/>
              <w:rPr>
                <w:rFonts w:hint="default" w:ascii="Calibri" w:hAnsi="Calibri" w:eastAsia="宋体" w:cs="Times New Roman"/>
                <w:kern w:val="2"/>
                <w:sz w:val="21"/>
                <w:szCs w:val="24"/>
                <w:lang w:val="en-US" w:eastAsia="zh-CN" w:bidi="ar-SA"/>
              </w:rPr>
            </w:pPr>
            <w:r>
              <w:rPr>
                <w:rFonts w:hint="eastAsia"/>
                <w:sz w:val="24"/>
                <w:szCs w:val="24"/>
                <w:lang w:val="en-US" w:eastAsia="zh-CN"/>
              </w:rPr>
              <w:t>第二包</w:t>
            </w:r>
            <w:r>
              <w:rPr>
                <w:rFonts w:hint="eastAsia"/>
                <w:sz w:val="24"/>
                <w:szCs w:val="24"/>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872"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35"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396"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056"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50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1022"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教堂路-环沙路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41430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一类道路：180021.5平方米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二类道路：109924.8平方米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三类道路：58145平方米</w:t>
            </w:r>
          </w:p>
        </w:tc>
        <w:tc>
          <w:tcPr>
            <w:tcW w:w="503" w:type="pct"/>
            <w:vMerge w:val="restart"/>
            <w:noWrap w:val="0"/>
            <w:vAlign w:val="center"/>
          </w:tcPr>
          <w:p>
            <w:pPr>
              <w:bidi w:val="0"/>
              <w:jc w:val="both"/>
              <w:rPr>
                <w:rFonts w:hint="default"/>
                <w:sz w:val="24"/>
                <w:szCs w:val="24"/>
                <w:lang w:val="en-US" w:eastAsia="zh-CN"/>
              </w:rPr>
            </w:pPr>
            <w:r>
              <w:rPr>
                <w:rFonts w:hint="eastAsia"/>
                <w:sz w:val="24"/>
                <w:szCs w:val="24"/>
                <w:lang w:val="en-US" w:eastAsia="zh-CN"/>
              </w:rPr>
              <w:t>甲方指定的垃圾收集点</w:t>
            </w:r>
          </w:p>
        </w:tc>
        <w:tc>
          <w:tcPr>
            <w:tcW w:w="1022"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乐天公园北公厕</w:t>
            </w:r>
          </w:p>
          <w:p>
            <w:pPr>
              <w:jc w:val="center"/>
              <w:rPr>
                <w:rFonts w:hint="eastAsia"/>
                <w:sz w:val="24"/>
                <w:szCs w:val="24"/>
                <w:vertAlign w:val="baseline"/>
                <w:lang w:val="en-US" w:eastAsia="zh-CN"/>
              </w:rPr>
            </w:pPr>
            <w:r>
              <w:rPr>
                <w:rFonts w:hint="eastAsia"/>
                <w:sz w:val="24"/>
                <w:szCs w:val="24"/>
                <w:vertAlign w:val="baseline"/>
                <w:lang w:val="en-US" w:eastAsia="zh-CN"/>
              </w:rPr>
              <w:t>乐天公园南公厕</w:t>
            </w:r>
          </w:p>
          <w:p>
            <w:pPr>
              <w:jc w:val="center"/>
              <w:rPr>
                <w:rFonts w:hint="eastAsia"/>
                <w:sz w:val="24"/>
                <w:szCs w:val="24"/>
                <w:vertAlign w:val="baseline"/>
                <w:lang w:val="en-US" w:eastAsia="zh-CN"/>
              </w:rPr>
            </w:pPr>
            <w:r>
              <w:rPr>
                <w:rFonts w:hint="eastAsia"/>
                <w:sz w:val="24"/>
                <w:szCs w:val="24"/>
                <w:vertAlign w:val="baseline"/>
                <w:lang w:val="en-US" w:eastAsia="zh-CN"/>
              </w:rPr>
              <w:t>壹号公馆公厕</w:t>
            </w:r>
          </w:p>
          <w:p>
            <w:pPr>
              <w:jc w:val="center"/>
              <w:rPr>
                <w:rFonts w:hint="eastAsia"/>
                <w:sz w:val="24"/>
                <w:szCs w:val="24"/>
                <w:vertAlign w:val="baseline"/>
                <w:lang w:val="en-US" w:eastAsia="zh-CN"/>
              </w:rPr>
            </w:pPr>
            <w:r>
              <w:rPr>
                <w:rFonts w:hint="eastAsia"/>
                <w:sz w:val="24"/>
                <w:szCs w:val="24"/>
                <w:vertAlign w:val="baseline"/>
                <w:lang w:val="en-US" w:eastAsia="zh-CN"/>
              </w:rPr>
              <w:t>体育场公厕</w:t>
            </w:r>
          </w:p>
          <w:p>
            <w:pPr>
              <w:jc w:val="center"/>
              <w:rPr>
                <w:rFonts w:hint="eastAsia"/>
                <w:sz w:val="24"/>
                <w:szCs w:val="24"/>
                <w:vertAlign w:val="baseline"/>
                <w:lang w:val="en-US" w:eastAsia="zh-CN"/>
              </w:rPr>
            </w:pPr>
            <w:r>
              <w:rPr>
                <w:rFonts w:hint="eastAsia"/>
                <w:sz w:val="24"/>
                <w:szCs w:val="24"/>
                <w:vertAlign w:val="baseline"/>
                <w:lang w:val="en-US" w:eastAsia="zh-CN"/>
              </w:rPr>
              <w:t>王婆寺东公厕</w:t>
            </w:r>
          </w:p>
          <w:p>
            <w:pPr>
              <w:jc w:val="center"/>
              <w:rPr>
                <w:rFonts w:hint="eastAsia"/>
                <w:sz w:val="24"/>
                <w:szCs w:val="24"/>
                <w:vertAlign w:val="baseline"/>
                <w:lang w:val="en-US" w:eastAsia="zh-CN"/>
              </w:rPr>
            </w:pPr>
            <w:r>
              <w:rPr>
                <w:rFonts w:hint="eastAsia"/>
                <w:sz w:val="24"/>
                <w:szCs w:val="24"/>
                <w:vertAlign w:val="baseline"/>
                <w:lang w:val="en-US" w:eastAsia="zh-CN"/>
              </w:rPr>
              <w:t>老沙河桥公厕</w:t>
            </w:r>
          </w:p>
          <w:p>
            <w:pPr>
              <w:jc w:val="center"/>
              <w:rPr>
                <w:rFonts w:hint="eastAsia"/>
                <w:sz w:val="24"/>
                <w:szCs w:val="24"/>
                <w:vertAlign w:val="baseline"/>
                <w:lang w:val="en-US" w:eastAsia="zh-CN"/>
              </w:rPr>
            </w:pPr>
            <w:r>
              <w:rPr>
                <w:rFonts w:hint="eastAsia"/>
                <w:sz w:val="24"/>
                <w:szCs w:val="24"/>
                <w:vertAlign w:val="baseline"/>
                <w:lang w:val="en-US" w:eastAsia="zh-CN"/>
              </w:rPr>
              <w:t>东商业街公厕</w:t>
            </w:r>
          </w:p>
          <w:p>
            <w:pPr>
              <w:jc w:val="center"/>
              <w:rPr>
                <w:rFonts w:hint="eastAsia"/>
                <w:sz w:val="24"/>
                <w:szCs w:val="24"/>
                <w:vertAlign w:val="baseline"/>
                <w:lang w:val="en-US" w:eastAsia="zh-CN"/>
              </w:rPr>
            </w:pPr>
            <w:r>
              <w:rPr>
                <w:rFonts w:hint="eastAsia"/>
                <w:sz w:val="24"/>
                <w:szCs w:val="24"/>
                <w:vertAlign w:val="baseline"/>
                <w:lang w:val="en-US" w:eastAsia="zh-CN"/>
              </w:rPr>
              <w:t>建材城公厕</w:t>
            </w:r>
          </w:p>
          <w:p>
            <w:pPr>
              <w:bidi w:val="0"/>
              <w:jc w:val="center"/>
              <w:rPr>
                <w:rFonts w:hint="default"/>
                <w:sz w:val="24"/>
                <w:szCs w:val="24"/>
                <w:lang w:val="en-US" w:eastAsia="zh-CN"/>
              </w:rPr>
            </w:pPr>
            <w:r>
              <w:rPr>
                <w:rFonts w:hint="eastAsia"/>
                <w:sz w:val="24"/>
                <w:szCs w:val="24"/>
                <w:vertAlign w:val="baseline"/>
                <w:lang w:val="en-US" w:eastAsia="zh-CN"/>
              </w:rPr>
              <w:t>沙河桥公厕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环沙路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23503</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紫瑞东苑</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农商街-工业路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1140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农商街-万寿路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31620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万寿路-纸厂路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31722</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和平路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16485</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环沙路-万寿路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13720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万寿路-老消防队</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11270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辛家寨十字-南大街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73479.5</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老沙河桥-北大街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31707</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27339</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南北新街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11110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南北大街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11112</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影西路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农商街-中心街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4296.8</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北泉巷</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7957</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水岸东方路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水岸东方东墙-环沙路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10200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872" w:type="pct"/>
            <w:noWrap w:val="0"/>
            <w:vAlign w:val="center"/>
          </w:tcPr>
          <w:p>
            <w:pPr>
              <w:jc w:val="center"/>
              <w:rPr>
                <w:rFonts w:hint="eastAsia"/>
                <w:sz w:val="24"/>
                <w:szCs w:val="24"/>
                <w:vertAlign w:val="baseline"/>
                <w:lang w:val="en-US" w:eastAsia="zh-CN"/>
              </w:rPr>
            </w:pPr>
          </w:p>
        </w:tc>
        <w:tc>
          <w:tcPr>
            <w:tcW w:w="535"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fldChar w:fldCharType="begin"/>
            </w:r>
            <w:r>
              <w:rPr>
                <w:rFonts w:hint="eastAsia"/>
                <w:sz w:val="24"/>
                <w:szCs w:val="24"/>
                <w:vertAlign w:val="baseline"/>
                <w:lang w:val="en-US" w:eastAsia="zh-CN"/>
              </w:rPr>
              <w:instrText xml:space="preserve"> = sum(C3:C18) \* MERGEFORMAT </w:instrText>
            </w:r>
            <w:r>
              <w:rPr>
                <w:rFonts w:hint="eastAsia"/>
                <w:sz w:val="24"/>
                <w:szCs w:val="24"/>
                <w:vertAlign w:val="baseline"/>
                <w:lang w:val="en-US" w:eastAsia="zh-CN"/>
              </w:rPr>
              <w:fldChar w:fldCharType="separate"/>
            </w:r>
            <w:r>
              <w:rPr>
                <w:rFonts w:hint="eastAsia"/>
                <w:sz w:val="24"/>
                <w:szCs w:val="24"/>
                <w:vertAlign w:val="baseline"/>
                <w:lang w:val="en-US" w:eastAsia="zh-CN"/>
              </w:rPr>
              <w:t>348091.3</w:t>
            </w:r>
            <w:r>
              <w:rPr>
                <w:rFonts w:hint="eastAsia"/>
                <w:sz w:val="24"/>
                <w:szCs w:val="24"/>
                <w:vertAlign w:val="baseline"/>
                <w:lang w:val="en-US" w:eastAsia="zh-CN"/>
              </w:rPr>
              <w:fldChar w:fldCharType="end"/>
            </w:r>
          </w:p>
        </w:tc>
        <w:tc>
          <w:tcPr>
            <w:tcW w:w="396" w:type="pct"/>
            <w:noWrap w:val="0"/>
            <w:vAlign w:val="center"/>
          </w:tcPr>
          <w:p>
            <w:pPr>
              <w:jc w:val="center"/>
              <w:rPr>
                <w:rFonts w:hint="eastAsia"/>
                <w:sz w:val="24"/>
                <w:szCs w:val="24"/>
                <w:vertAlign w:val="baseline"/>
                <w:lang w:val="en-US" w:eastAsia="zh-CN"/>
              </w:rPr>
            </w:pP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bl>
    <w:p>
      <w:pPr>
        <w:keepNext w:val="0"/>
        <w:keepLines w:val="0"/>
        <w:pageBreakBefore w:val="0"/>
        <w:kinsoku/>
        <w:wordWrap/>
        <w:overflowPunct/>
        <w:topLinePunct w:val="0"/>
        <w:autoSpaceDE/>
        <w:autoSpaceDN/>
        <w:bidi w:val="0"/>
        <w:spacing w:line="240" w:lineRule="auto"/>
        <w:textAlignment w:val="auto"/>
        <w:rPr>
          <w:rFonts w:hint="default" w:eastAsia="宋体"/>
          <w:sz w:val="16"/>
          <w:szCs w:val="20"/>
          <w:lang w:val="en-US" w:eastAsia="zh-CN"/>
        </w:rPr>
      </w:pPr>
      <w:r>
        <w:rPr>
          <w:rFonts w:hint="eastAsia"/>
          <w:sz w:val="16"/>
          <w:szCs w:val="20"/>
          <w:lang w:val="en-US" w:eastAsia="zh-CN"/>
        </w:rPr>
        <w:t xml:space="preserve">                </w:t>
      </w:r>
    </w:p>
    <w:p>
      <w:pPr>
        <w:pStyle w:val="24"/>
        <w:keepNext w:val="0"/>
        <w:keepLines w:val="0"/>
        <w:pageBreakBefore w:val="0"/>
        <w:kinsoku/>
        <w:wordWrap/>
        <w:overflowPunct/>
        <w:topLinePunct w:val="0"/>
        <w:autoSpaceDE/>
        <w:autoSpaceDN/>
        <w:bidi w:val="0"/>
        <w:spacing w:line="240" w:lineRule="auto"/>
        <w:textAlignment w:val="auto"/>
        <w:rPr>
          <w:rFonts w:hint="eastAsia"/>
          <w:sz w:val="16"/>
          <w:szCs w:val="20"/>
          <w:lang w:eastAsia="zh-CN"/>
        </w:rPr>
        <w:sectPr>
          <w:pgSz w:w="16838" w:h="11906" w:orient="landscape"/>
          <w:pgMar w:top="1800" w:right="1440" w:bottom="1800" w:left="1440" w:header="851" w:footer="992" w:gutter="0"/>
          <w:cols w:space="720" w:num="1"/>
          <w:docGrid w:type="lines" w:linePitch="312" w:charSpace="0"/>
        </w:sectPr>
      </w:pP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附件2</w:t>
      </w:r>
    </w:p>
    <w:p>
      <w:pPr>
        <w:keepNext w:val="0"/>
        <w:keepLines w:val="0"/>
        <w:pageBreakBefore w:val="0"/>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4"/>
          <w:szCs w:val="24"/>
        </w:rPr>
      </w:pPr>
      <w:r>
        <w:rPr>
          <w:rFonts w:hint="eastAsia" w:ascii="方正小标宋简体" w:hAnsi="方正小标宋简体" w:eastAsia="方正小标宋简体" w:cs="方正小标宋简体"/>
          <w:color w:val="000000"/>
          <w:kern w:val="0"/>
          <w:sz w:val="36"/>
          <w:szCs w:val="36"/>
          <w:lang w:bidi="ar"/>
        </w:rPr>
        <w:t>周至县城市道路清扫保洁检查考核办法</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为实现我县道路清扫深度保洁检查考核的科学化、规范化、长效化，根据《西安市城市市容和环境卫生管理条例》有关规定和《西安市城市道路“以克论净 深度保洁”作业标准（试行）》，结合目前我县道路清扫保洁工作实际，特制定本办法。</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指导思想</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根据城市治理专项工作的总体要求，按照新的城市道路清扫保洁作业标准，通过更加深入精细的检查考核，促进城市道路清扫保洁水平不断提高，打造洁净靓丽的城市容貌环境，推动生态周至、美丽周至建设。</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检查考核对象及范围</w:t>
      </w:r>
    </w:p>
    <w:p>
      <w:pPr>
        <w:keepNext w:val="0"/>
        <w:keepLines w:val="0"/>
        <w:pageBreakBefore w:val="0"/>
        <w:kinsoku/>
        <w:wordWrap/>
        <w:overflowPunct/>
        <w:topLinePunct w:val="0"/>
        <w:autoSpaceDE/>
        <w:autoSpaceDN/>
        <w:bidi w:val="0"/>
        <w:spacing w:line="240" w:lineRule="auto"/>
        <w:ind w:firstLine="463" w:firstLineChars="193"/>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县城管委办公室负责组织全县城市道路“以克论净 深度保洁”检查考核工作。</w:t>
      </w:r>
    </w:p>
    <w:p>
      <w:pPr>
        <w:keepNext w:val="0"/>
        <w:keepLines w:val="0"/>
        <w:pageBreakBefore w:val="0"/>
        <w:numPr>
          <w:ilvl w:val="0"/>
          <w:numId w:val="8"/>
        </w:numPr>
        <w:kinsoku/>
        <w:wordWrap/>
        <w:overflowPunct/>
        <w:topLinePunct w:val="0"/>
        <w:autoSpaceDE/>
        <w:autoSpaceDN/>
        <w:bidi w:val="0"/>
        <w:spacing w:line="240" w:lineRule="auto"/>
        <w:ind w:firstLine="463" w:firstLineChars="193"/>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检查考核对象</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县城区和实行道路清扫保洁市场化的镇街、管委会。</w:t>
      </w:r>
    </w:p>
    <w:p>
      <w:pPr>
        <w:keepNext w:val="0"/>
        <w:keepLines w:val="0"/>
        <w:pageBreakBefore w:val="0"/>
        <w:numPr>
          <w:ilvl w:val="0"/>
          <w:numId w:val="8"/>
        </w:numPr>
        <w:kinsoku/>
        <w:wordWrap/>
        <w:overflowPunct/>
        <w:topLinePunct w:val="0"/>
        <w:autoSpaceDE/>
        <w:autoSpaceDN/>
        <w:bidi w:val="0"/>
        <w:spacing w:line="240" w:lineRule="auto"/>
        <w:ind w:firstLine="463" w:firstLineChars="193"/>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检查考核范围</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本办法使用于实行清扫保洁市场化的城市道路清扫保洁管理工作。</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建立城市道路清扫保洁检测制度</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镇（街）、管委会和县城市管理局组织职能部门设立城市道路清扫保洁检测组，配备一定数量的检测员，配备检测器材（电子天平秤、摄像机、毛刷、簸箕、安全墩、反光背心等工具）。按照辖区责任点（按照道路不同等级人工清扫保洁面积划定），每日抽取不少于10%的道路，每条道路不少于3个检测点（其中1个为最脏检测点）检测尘土、零星垃圾滞留情况。检测按照《西安市城市道路“以克论净 深度保洁”作业标准（试行）》执行，现场对责任区作出合格或不合格的评价，同时记录检测数值并留存相关影像资料和登记台账（检测人员现场签字确认）。</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月度检查考核</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月度检查考核采取集中检查考核和日常检查考核、定点复查考核的方式进行。</w:t>
      </w:r>
    </w:p>
    <w:p>
      <w:pPr>
        <w:keepNext w:val="0"/>
        <w:keepLines w:val="0"/>
        <w:pageBreakBefore w:val="0"/>
        <w:numPr>
          <w:ilvl w:val="0"/>
          <w:numId w:val="9"/>
        </w:numPr>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集中检查考核。县城管委办公室每月组织实施一次全市范围的城市道路清扫“以克论净 深度保洁”集中检查考核，检查考核内容包括：抽查被检镇（街）、管委会5条道路的“以克论净 深度保洁”作业情况（现场称重、计时）、自检记录（含影像数据）和保洁员配备情况；抽查被检镇（街）、管委会所辖的5条道路“果皮箱”设置及管护情况。每月检查时各镇（街）、管委会主管部门派员随同检查并介绍情况。</w:t>
      </w:r>
    </w:p>
    <w:p>
      <w:pPr>
        <w:keepNext w:val="0"/>
        <w:keepLines w:val="0"/>
        <w:pageBreakBefore w:val="0"/>
        <w:numPr>
          <w:ilvl w:val="0"/>
          <w:numId w:val="9"/>
        </w:numPr>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日常检查情考核。县城管委办公室组织人员采取不定时间、不定路段的方式进行，主要是检查考核各镇（街）、管委会“以克论净 深度保洁”作业标准落实、长效管理制度执行和早、中、晚管理空档时间管理情况。</w:t>
      </w:r>
    </w:p>
    <w:p>
      <w:pPr>
        <w:keepNext w:val="0"/>
        <w:keepLines w:val="0"/>
        <w:pageBreakBefore w:val="0"/>
        <w:numPr>
          <w:ilvl w:val="0"/>
          <w:numId w:val="9"/>
        </w:numPr>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定点复检考核。县城管委办公室组织对日常检查指出以及群众投诉、媒体曝光等突出问题进行定点复查，同一问题连续两次仍未整改的取消当月评比资格。</w:t>
      </w:r>
    </w:p>
    <w:p>
      <w:pPr>
        <w:keepNext w:val="0"/>
        <w:keepLines w:val="0"/>
        <w:pageBreakBefore w:val="0"/>
        <w:kinsoku/>
        <w:wordWrap/>
        <w:overflowPunct/>
        <w:topLinePunct w:val="0"/>
        <w:autoSpaceDE/>
        <w:autoSpaceDN/>
        <w:bidi w:val="0"/>
        <w:spacing w:line="240" w:lineRule="auto"/>
        <w:ind w:firstLine="314" w:firstLineChars="131"/>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月度检查考核总评分100分，其中集中检查考核计分占当月总评分数70%，日常检查考核计分占当月总评分数20%，定点复查考核计分占当月总评分数10%。</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县城管委办公室对月度考核排名情况全县进行通报，并报送县委、县政府和有关领导，并公布各镇（街）、管委会排名情况。</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年度综合考核</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在月度检查考核的基础上，每年底前对各镇（街）、管委会全年“以克论净 深度保洁”日常检查考核成绩进行汇总，结合资产增减、社会评价等情况进行一次总评打分，汇总形成各单位年度综合考核成绩并进行排名。</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综合考核总评分100分，其中月度检查考核总评分（12个月月度考核分数平均分）占80%，年终集中考核总评分占20%（各单位保洁车辆资产增减、年度资金投入考核分值占10分；省、市领导批转、指示和市级刊物摘编及媒体报道、群众投诉情况考核分值占10分）。</w:t>
      </w:r>
    </w:p>
    <w:p>
      <w:pPr>
        <w:keepNext w:val="0"/>
        <w:keepLines w:val="0"/>
        <w:pageBreakBefore w:val="0"/>
        <w:numPr>
          <w:ilvl w:val="0"/>
          <w:numId w:val="7"/>
        </w:numPr>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检查考核工作要求</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（一）确保检测工作安全，各镇（街）、管委会必须对检测人员进行安全培训，检测人员须着反光背心，检测区域摆放安全墩。</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（二）参加检查考核和日常检测的人员必须熟练掌握作业标准、评分细则、检查方法，做到准确评分。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（三）检查考核人员要主动接受群众监督，一旦发现检查人员有徇私舞弊现象，将根据有关规定视情况给予严肃处理。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（四）各类检查考核结果必须以文字、照片等台账资料为证，允许相关单位工作人员查阅。</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textAlignment w:val="auto"/>
        <w:rPr>
          <w:rFonts w:hint="eastAsia" w:ascii="方正小标宋简体" w:hAnsi="方正小标宋简体" w:eastAsia="方正小标宋简体" w:cs="方正小标宋简体"/>
          <w:color w:val="000000"/>
          <w:spacing w:val="-11"/>
          <w:kern w:val="0"/>
          <w:sz w:val="36"/>
          <w:szCs w:val="36"/>
          <w:lang w:bidi="ar"/>
        </w:rPr>
      </w:pPr>
    </w:p>
    <w:p>
      <w:pPr>
        <w:keepNext w:val="0"/>
        <w:keepLines w:val="0"/>
        <w:pageBreakBefore w:val="0"/>
        <w:kinsoku/>
        <w:wordWrap/>
        <w:overflowPunct/>
        <w:topLinePunct w:val="0"/>
        <w:autoSpaceDE/>
        <w:autoSpaceDN/>
        <w:bidi w:val="0"/>
        <w:spacing w:line="240" w:lineRule="auto"/>
        <w:textAlignment w:val="auto"/>
        <w:rPr>
          <w:rFonts w:hint="eastAsia" w:ascii="黑体" w:hAnsi="黑体" w:eastAsia="黑体" w:cs="黑体"/>
          <w:color w:val="000000"/>
          <w:spacing w:val="-11"/>
          <w:kern w:val="0"/>
          <w:sz w:val="24"/>
          <w:szCs w:val="24"/>
          <w:lang w:bidi="ar"/>
        </w:rPr>
      </w:pPr>
    </w:p>
    <w:p>
      <w:pPr>
        <w:keepNext w:val="0"/>
        <w:keepLines w:val="0"/>
        <w:pageBreakBefore w:val="0"/>
        <w:kinsoku/>
        <w:wordWrap/>
        <w:overflowPunct/>
        <w:topLinePunct w:val="0"/>
        <w:autoSpaceDE/>
        <w:autoSpaceDN/>
        <w:bidi w:val="0"/>
        <w:spacing w:line="240" w:lineRule="auto"/>
        <w:textAlignment w:val="auto"/>
        <w:rPr>
          <w:rFonts w:hint="eastAsia" w:ascii="方正小标宋简体" w:hAnsi="方正小标宋简体" w:eastAsia="方正小标宋简体" w:cs="方正小标宋简体"/>
          <w:color w:val="000000"/>
          <w:spacing w:val="-11"/>
          <w:kern w:val="0"/>
          <w:sz w:val="36"/>
          <w:szCs w:val="36"/>
          <w:lang w:bidi="ar"/>
        </w:rPr>
      </w:pPr>
      <w:r>
        <w:rPr>
          <w:rFonts w:hint="eastAsia" w:ascii="黑体" w:hAnsi="黑体" w:eastAsia="黑体" w:cs="黑体"/>
          <w:color w:val="000000"/>
          <w:spacing w:val="-11"/>
          <w:kern w:val="0"/>
          <w:sz w:val="24"/>
          <w:szCs w:val="24"/>
          <w:lang w:bidi="ar"/>
        </w:rPr>
        <w:br w:type="page"/>
      </w:r>
      <w:r>
        <w:rPr>
          <w:rFonts w:hint="eastAsia" w:ascii="黑体" w:hAnsi="黑体" w:eastAsia="黑体" w:cs="黑体"/>
          <w:color w:val="000000"/>
          <w:spacing w:val="-11"/>
          <w:kern w:val="0"/>
          <w:sz w:val="24"/>
          <w:szCs w:val="24"/>
          <w:lang w:bidi="ar"/>
        </w:rPr>
        <w:t>附件3</w:t>
      </w:r>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spacing w:val="-11"/>
          <w:sz w:val="36"/>
          <w:szCs w:val="36"/>
        </w:rPr>
      </w:pPr>
      <w:r>
        <w:rPr>
          <w:rFonts w:hint="eastAsia" w:ascii="方正小标宋简体" w:hAnsi="方正小标宋简体" w:eastAsia="方正小标宋简体" w:cs="方正小标宋简体"/>
          <w:color w:val="000000"/>
          <w:spacing w:val="-11"/>
          <w:kern w:val="0"/>
          <w:sz w:val="36"/>
          <w:szCs w:val="36"/>
          <w:lang w:bidi="ar"/>
        </w:rPr>
        <w:t>周至县城市道路清扫保洁检查考核评分细则</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一、清扫保洁（45分）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（一）灰土重量（20分）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人行道、车行道、主干道各喇叭口、人行天桥、公共广场等路灰土重量按照道路不同等级确定的标准（快车道、高架桥、立交桥不做检测），1平方米每超出1克扣0.2分。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检查路段无自检记录或记录不详细（上月至本月检查期间内），每条道路扣1分。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雨雪天气后，车行道、人行道、道沿下泥沙、积雪清理未按规定及时清理的，每发现一处扣0.2分。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街路未清扫的，每发现一处扣2分。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未按规定时间完成清扫任务的，每条街路扣0.5分。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清扫保洁后垃圾堆未清理每堆口0.2分。</w:t>
      </w:r>
    </w:p>
    <w:p>
      <w:pPr>
        <w:keepNext w:val="0"/>
        <w:keepLines w:val="0"/>
        <w:pageBreakBefore w:val="0"/>
        <w:numPr>
          <w:ilvl w:val="0"/>
          <w:numId w:val="10"/>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下水井口、树坑、隔离墩（栏）等清扫不彻底，存在果皮纸屑、包装袋等废弃物，每处扣0.1分。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（二）道路零星垃圾滞留时间（20分）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人行道、车行道、非机动车道和人行天桥等道路零星垃圾（不含落叶）按照道路不同等级确定的标准，每超出1分钟扣0.2分。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（三）保洁人员足额配备在岗并按规定着装（5分）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1、道路保洁员未按标准足额配备，每发现一次扣0.2分。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2、保洁员未按规定着装，必须遵守安全作业规定，每发现一次扣0.5分。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3、保洁员在作业时扎堆闲聊或从事与工作无关的，每发现一次扣0.5分。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二、机械化保洁作业（35分）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（一）遵守作业时间规定，每发生1次违反早晚交通高峰出车扣3分，车辆作业期间辆车并排行驶的扣1分。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（二）道路保洁作业期间不扬尘、不漏扫、达到车走地面净。道路机械洗扫灰土重量按照道路不同等级确定的标准1平方米每超出1克扣0.2分。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（三）推行洒水车雾喷降尘，白天采取大范围冲洗道路（特殊情况除外）的每发现一处扣2分。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（四）道路保洁车辆出勤率依据北斗定位统计每降低一个百分点（机扫车90%以上、洒水车80%以上）扣0.5分。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三、果皮箱管护</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（一）不及时清掏、垃圾落地每处扣1分。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（二）果皮箱箱体不洁、歪斜每处扣0.5分。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（三）果皮箱残缺每个扣0.3分。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（四）道路果皮箱设置数量不足或未设置扣2分。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四、督查督办和社会评价</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（一）电视、报纸等媒体曝光并经查实在“以克论净 深度保洁”工作管理问题的每次扣总评分1分。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（二）县城管委办公室通报批评一次扣2分。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（三）未按时完成整改通知和群众投诉的，每次扣1分。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（四）县城管委办公室安排日常工作不能够及时完成的、推诿扯皮的扣2分。</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县城管委办公室对各镇（街）、管委会“以克论净 深度保洁”工作存在的一般问题采取口头告知，对媒体曝光和领导批示采取书面告知并限期整改达标。对存在问题严重，采取上述措施后仍整治不力、造成一定影响的，将以简报形式在全市予以通报批评，取消当月评比资格。</w:t>
      </w:r>
    </w:p>
    <w:p>
      <w:pPr>
        <w:keepNext w:val="0"/>
        <w:keepLines w:val="0"/>
        <w:pageBreakBefore w:val="0"/>
        <w:kinsoku/>
        <w:wordWrap/>
        <w:overflowPunct/>
        <w:topLinePunct w:val="0"/>
        <w:autoSpaceDE/>
        <w:autoSpaceDN/>
        <w:bidi w:val="0"/>
        <w:spacing w:line="240" w:lineRule="auto"/>
        <w:ind w:firstLine="436" w:firstLineChars="200"/>
        <w:textAlignment w:val="auto"/>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五、年度综合考核加分项</w:t>
      </w:r>
    </w:p>
    <w:p>
      <w:pPr>
        <w:keepNext w:val="0"/>
        <w:keepLines w:val="0"/>
        <w:pageBreakBefore w:val="0"/>
        <w:numPr>
          <w:ilvl w:val="0"/>
          <w:numId w:val="11"/>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道路保洁车辆（中大型机扫或冲洗车辆）每年年终数量比上一年车辆增加一辆加0.5分（以车辆加装定位设备为准），小型保洁车辆每增加一辆加0.2分（以购车发票或采购合同为准），车辆更新不得分。</w:t>
      </w:r>
    </w:p>
    <w:p>
      <w:pPr>
        <w:keepNext w:val="0"/>
        <w:keepLines w:val="0"/>
        <w:pageBreakBefore w:val="0"/>
        <w:numPr>
          <w:ilvl w:val="0"/>
          <w:numId w:val="11"/>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召开全县性城市道路清扫“以克论净 深度保洁”工作现场会推广先进工作经验加5分。</w:t>
      </w:r>
    </w:p>
    <w:p>
      <w:pPr>
        <w:keepNext w:val="0"/>
        <w:keepLines w:val="0"/>
        <w:pageBreakBefore w:val="0"/>
        <w:numPr>
          <w:ilvl w:val="0"/>
          <w:numId w:val="11"/>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开展道路清扫“以克论净 深度保洁”工作被主流媒体报道的每次加0.3次。</w:t>
      </w:r>
    </w:p>
    <w:p>
      <w:pPr>
        <w:keepNext w:val="0"/>
        <w:keepLines w:val="0"/>
        <w:pageBreakBefore w:val="0"/>
        <w:numPr>
          <w:ilvl w:val="0"/>
          <w:numId w:val="11"/>
        </w:numPr>
        <w:kinsoku/>
        <w:wordWrap/>
        <w:overflowPunct/>
        <w:topLinePunct w:val="0"/>
        <w:autoSpaceDE/>
        <w:autoSpaceDN/>
        <w:bidi w:val="0"/>
        <w:spacing w:line="240" w:lineRule="auto"/>
        <w:ind w:firstLine="436" w:firstLineChars="200"/>
        <w:textAlignment w:val="auto"/>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各镇（街）本级财政资金投入比上一年度增加以10%为基准，每增加1%加1分。</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spacing w:val="-11"/>
          <w:sz w:val="24"/>
          <w:szCs w:val="24"/>
        </w:rPr>
      </w:pP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spacing w:val="-11"/>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spacing w:line="240" w:lineRule="auto"/>
        <w:textAlignment w:val="auto"/>
        <w:rPr>
          <w:rFonts w:hint="eastAsia" w:ascii="方正小标宋简体" w:hAnsi="方正小标宋简体" w:eastAsia="方正小标宋简体" w:cs="方正小标宋简体"/>
          <w:color w:val="000000"/>
          <w:sz w:val="36"/>
          <w:szCs w:val="36"/>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color w:val="000000"/>
          <w:sz w:val="24"/>
          <w:szCs w:val="24"/>
        </w:rPr>
        <w:t>附件4</w:t>
      </w:r>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周至县市容环境卫生管理工作标准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一、总则</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第一条</w:t>
      </w:r>
      <w:r>
        <w:rPr>
          <w:rFonts w:hint="eastAsia" w:ascii="仿宋_GB2312" w:hAnsi="仿宋_GB2312" w:eastAsia="仿宋_GB2312" w:cs="仿宋_GB2312"/>
          <w:color w:val="000000"/>
          <w:sz w:val="24"/>
          <w:szCs w:val="24"/>
        </w:rPr>
        <w:t xml:space="preserve"> 为了进一步提高我县市容环境卫生管理水平，建立健全市容环境卫生工作科学化、规范化、长效化管理机制，实现精细化管理的目标要求，根据国家建设部《城市市容和环境卫生管理条例》、《城镇市容环境卫生劳动定额》、《陕西省城市市容环境卫生条例》和《西安市城市市容和环境卫生管理条例》，并结合我县工作实际，制定本标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第二条</w:t>
      </w:r>
      <w:r>
        <w:rPr>
          <w:rFonts w:hint="eastAsia" w:ascii="仿宋_GB2312" w:hAnsi="仿宋_GB2312" w:eastAsia="仿宋_GB2312" w:cs="仿宋_GB2312"/>
          <w:color w:val="000000"/>
          <w:sz w:val="24"/>
          <w:szCs w:val="24"/>
        </w:rPr>
        <w:t xml:space="preserve"> 本标准为县级行业管理标准，适用于周至县城市市容环境卫生工作。</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第三条</w:t>
      </w:r>
      <w:r>
        <w:rPr>
          <w:rFonts w:hint="eastAsia" w:ascii="仿宋_GB2312" w:hAnsi="仿宋_GB2312" w:eastAsia="仿宋_GB2312" w:cs="仿宋_GB2312"/>
          <w:color w:val="000000"/>
          <w:sz w:val="24"/>
          <w:szCs w:val="24"/>
        </w:rPr>
        <w:t xml:space="preserve"> 城市道路清扫保洁应以维护道路清洁容貌和防止道路扬尘污染为目的。</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第四条</w:t>
      </w:r>
      <w:r>
        <w:rPr>
          <w:rFonts w:hint="eastAsia" w:ascii="仿宋_GB2312" w:hAnsi="仿宋_GB2312" w:eastAsia="仿宋_GB2312" w:cs="仿宋_GB2312"/>
          <w:color w:val="000000"/>
          <w:sz w:val="24"/>
          <w:szCs w:val="24"/>
        </w:rPr>
        <w:t xml:space="preserve"> 县城和镇街范围内道路清扫保洁、机械化清扫、道路冲洗、机动车清洗站（点）、非机动车保管站管理、废弃物收集箱（果皮箱）设置与日常管护、生活垃圾收集与清运、公共厕所管理等环境卫生工作均执行本标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第五条</w:t>
      </w:r>
      <w:r>
        <w:rPr>
          <w:rFonts w:hint="eastAsia" w:ascii="仿宋_GB2312" w:hAnsi="仿宋_GB2312" w:eastAsia="仿宋_GB2312" w:cs="仿宋_GB2312"/>
          <w:color w:val="000000"/>
          <w:sz w:val="24"/>
          <w:szCs w:val="24"/>
        </w:rPr>
        <w:t xml:space="preserve"> 县城市管理局负责监督本标准的落实，并对我县从事市容环境卫生工作的单位进行指导、监督和检查。</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二、道路清扫保洁工作</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第六条</w:t>
      </w:r>
      <w:r>
        <w:rPr>
          <w:rFonts w:hint="eastAsia" w:ascii="仿宋_GB2312" w:hAnsi="仿宋_GB2312" w:eastAsia="仿宋_GB2312" w:cs="仿宋_GB2312"/>
          <w:color w:val="000000"/>
          <w:sz w:val="24"/>
          <w:szCs w:val="24"/>
        </w:rPr>
        <w:t xml:space="preserve"> 作业范围为建成区内属市政道路的车行道、人行道、车行隧道、高架桥、人行过街天桥、地下通道、立交桥及广场等均属清扫保洁作业范围。所有建成区道路按建设部规定的清扫保洁等级标准分为一、二、三级进行管理，重要道路的清扫保洁等级按县级业务主管部门确定为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第七条</w:t>
      </w:r>
      <w:r>
        <w:rPr>
          <w:rFonts w:hint="eastAsia" w:ascii="仿宋_GB2312" w:hAnsi="仿宋_GB2312" w:eastAsia="仿宋_GB2312" w:cs="仿宋_GB2312"/>
          <w:color w:val="000000"/>
          <w:sz w:val="24"/>
          <w:szCs w:val="24"/>
        </w:rPr>
        <w:t xml:space="preserve"> 人员配备按一级道路2班制作业，每2750（A类）-3125（B类）平方米配备1名保洁员；二级道路2班制作业，每3125（A类）-3500（B类）平方米配备1名保洁员；三级道路2班制作业，每3800平方米配备1名保洁员。绿化带清扫保洁按二级道路标准配备，重要道路清扫保洁确需按3班制作业的，经县城市管理局批准后配备。</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第八条 </w:t>
      </w:r>
      <w:r>
        <w:rPr>
          <w:rFonts w:hint="eastAsia" w:ascii="仿宋_GB2312" w:hAnsi="仿宋_GB2312" w:eastAsia="仿宋_GB2312" w:cs="仿宋_GB2312"/>
          <w:color w:val="000000"/>
          <w:sz w:val="24"/>
          <w:szCs w:val="24"/>
        </w:rPr>
        <w:t>每名保洁员配备大扫把1把、小扫帚1把、保洁簸箕1个、保洁三轮车1辆。清扫和保洁工具手把及保洁三轮车后箱贴涂反光标志。保洁三轮车工具箱放置杂物捡拾夹、多色自喷漆、“野广告”清理铲等，普扫后大扫把放置在保洁三轮车上。人行道、车行道、主干道各喇叭口、下水井口、树坑、隔离墩、隔车绿带必须清扫干净。雨雪后车行道、人行道、道沿下泥水、积雪必须及时清理，不得有垃圾堆积、不能漏扫，不能用大扫把保洁造成二次污染。对道路上的抛洒污染问题，要及时发现及时清理和冲洗，不能因道路保洁不及时造成道路扬尘污染。</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第九条</w:t>
      </w:r>
      <w:r>
        <w:rPr>
          <w:rFonts w:hint="eastAsia" w:ascii="仿宋_GB2312" w:hAnsi="仿宋_GB2312" w:eastAsia="仿宋_GB2312" w:cs="仿宋_GB2312"/>
          <w:color w:val="000000"/>
          <w:sz w:val="24"/>
          <w:szCs w:val="24"/>
        </w:rPr>
        <w:t xml:space="preserve"> 每天除“普扫”使用大扫帚外，其余时间全部使用小扫帚进行保洁。春夏季早“普扫”6:30前完成，秋冬季早“普扫”7:00前完成；下班时间春夏季22:00，秋冬季21:30。</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第十条</w:t>
      </w:r>
      <w:r>
        <w:rPr>
          <w:rFonts w:hint="eastAsia" w:ascii="仿宋_GB2312" w:hAnsi="仿宋_GB2312" w:eastAsia="仿宋_GB2312" w:cs="仿宋_GB2312"/>
          <w:color w:val="000000"/>
          <w:sz w:val="24"/>
          <w:szCs w:val="24"/>
        </w:rPr>
        <w:t xml:space="preserve"> 道路保洁实行巡查员负责制，每3-8条道路为一个巡查区域，设巡查人员1名。各类道路每名保洁员作业区为一个标段，对保洁员实行编号定位。</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第十一条</w:t>
      </w:r>
      <w:r>
        <w:rPr>
          <w:rFonts w:hint="eastAsia" w:ascii="仿宋_GB2312" w:hAnsi="仿宋_GB2312" w:eastAsia="仿宋_GB2312" w:cs="仿宋_GB2312"/>
          <w:color w:val="000000"/>
          <w:sz w:val="24"/>
          <w:szCs w:val="24"/>
        </w:rPr>
        <w:t xml:space="preserve"> 各单位应组建不少于10%的保洁轮休人员（含保洁应急队伍），以保证保洁人员轮休和快速解决区域范围内突发的影响市容环境卫生的事件。</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第十二条</w:t>
      </w:r>
      <w:r>
        <w:rPr>
          <w:rFonts w:hint="eastAsia" w:ascii="仿宋_GB2312" w:hAnsi="仿宋_GB2312" w:eastAsia="仿宋_GB2312" w:cs="仿宋_GB2312"/>
          <w:color w:val="000000"/>
          <w:sz w:val="24"/>
          <w:szCs w:val="24"/>
        </w:rPr>
        <w:t xml:space="preserve"> 保洁员在工作时间内应工服整洁，穿戴整齐，用语文明，不得乱躺和聚堆闲聊，无脱岗漏保，严禁从事与工作无关的事情。</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第十三条 </w:t>
      </w:r>
      <w:r>
        <w:rPr>
          <w:rFonts w:hint="eastAsia" w:ascii="仿宋_GB2312" w:hAnsi="仿宋_GB2312" w:eastAsia="仿宋_GB2312" w:cs="仿宋_GB2312"/>
          <w:color w:val="000000"/>
          <w:sz w:val="24"/>
          <w:szCs w:val="24"/>
        </w:rPr>
        <w:t>保洁员作业时严禁将尘土、杂物扫至下水井口，严禁将垃圾随意倾倒或焚烧，落叶季节严禁焚烧落叶。</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第十四条</w:t>
      </w:r>
      <w:r>
        <w:rPr>
          <w:rFonts w:hint="eastAsia" w:ascii="仿宋_GB2312" w:hAnsi="仿宋_GB2312" w:eastAsia="仿宋_GB2312" w:cs="仿宋_GB2312"/>
          <w:color w:val="000000"/>
          <w:sz w:val="24"/>
          <w:szCs w:val="24"/>
        </w:rPr>
        <w:t xml:space="preserve"> 保洁员上岗时必须着警示保洁服，普扫时逆车流方向作业，在前方50米处设置警示设施。冬季早、晚“普扫”时安排1人进行交通提示。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三、道路冲洗作业</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第十五条</w:t>
      </w:r>
      <w:r>
        <w:rPr>
          <w:rFonts w:hint="eastAsia" w:ascii="仿宋_GB2312" w:hAnsi="仿宋_GB2312" w:eastAsia="仿宋_GB2312" w:cs="仿宋_GB2312"/>
          <w:color w:val="000000"/>
          <w:sz w:val="24"/>
          <w:szCs w:val="24"/>
        </w:rPr>
        <w:t xml:space="preserve">  每日在6:30前对道路“灰带”（道路附着物下由于积尘造成的一种现象）及“带头”（道路、绿带间隔处道沿下的积尘）进行冲洗作业。</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第十六条</w:t>
      </w:r>
      <w:r>
        <w:rPr>
          <w:rFonts w:hint="eastAsia" w:ascii="仿宋_GB2312" w:hAnsi="仿宋_GB2312" w:eastAsia="仿宋_GB2312" w:cs="仿宋_GB2312"/>
          <w:color w:val="000000"/>
          <w:sz w:val="24"/>
          <w:szCs w:val="24"/>
        </w:rPr>
        <w:t xml:space="preserve"> 洒水车清晨、夜间作业时应打开提示灯，禁止鸣报任何信号，其余时间应鸣信号声提醒过路车辆及行人。</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第十七条 </w:t>
      </w:r>
      <w:r>
        <w:rPr>
          <w:rFonts w:hint="eastAsia" w:ascii="仿宋_GB2312" w:hAnsi="仿宋_GB2312" w:eastAsia="仿宋_GB2312" w:cs="仿宋_GB2312"/>
          <w:color w:val="000000"/>
          <w:sz w:val="24"/>
          <w:szCs w:val="24"/>
        </w:rPr>
        <w:t>气温在30℃以上、遇扬尘天气和重要活动及会议保障时增加2-4次洒水车雾喷频次。每日要加强生活垃圾通道的冲洗工作，小型冲洗车应对人行道、背街小巷、果皮箱底座、垃圾桶、下水井盖等进行冲洗。</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第十八条</w:t>
      </w:r>
      <w:r>
        <w:rPr>
          <w:rFonts w:hint="eastAsia" w:ascii="仿宋_GB2312" w:hAnsi="仿宋_GB2312" w:eastAsia="仿宋_GB2312" w:cs="仿宋_GB2312"/>
          <w:color w:val="000000"/>
          <w:sz w:val="24"/>
          <w:szCs w:val="24"/>
        </w:rPr>
        <w:t xml:space="preserve"> 加强十五条“渣土通道”、工地周边道路、城市出入口等灰带严重区域的冲洗作业，做到即时冲洗；洒水车应对一、二类道路每日雾喷不少于3次，三类道路每日不少于1次，确保市政道路做到“常湿润、显本色、不起尘”。</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第十九条</w:t>
      </w:r>
      <w:r>
        <w:rPr>
          <w:rFonts w:hint="eastAsia" w:ascii="仿宋_GB2312" w:hAnsi="仿宋_GB2312" w:eastAsia="仿宋_GB2312" w:cs="仿宋_GB2312"/>
          <w:color w:val="000000"/>
          <w:sz w:val="24"/>
          <w:szCs w:val="24"/>
        </w:rPr>
        <w:t xml:space="preserve"> 洒水车必须按照要求安装定位系统，洒水车应集中管理，出勤率必须达到75%以上。以上冲洗、雾喷作业时间要求均不含冬季结冰期，进入冬季后，气温在3℃以下不得进行任何冲洗、洒水作业。雨停后3小时内将路面积水清理干净。</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四、道路机械化清扫</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第二十条</w:t>
      </w:r>
      <w:r>
        <w:rPr>
          <w:rFonts w:hint="eastAsia" w:ascii="仿宋_GB2312" w:hAnsi="仿宋_GB2312" w:eastAsia="仿宋_GB2312" w:cs="仿宋_GB2312"/>
          <w:color w:val="000000"/>
          <w:sz w:val="24"/>
          <w:szCs w:val="24"/>
        </w:rPr>
        <w:t xml:space="preserve"> 作业范围是全县一、二类道路和重点区域适合机扫的路段，根据道路改造情况和扫路车增加数量，不断扩大机扫面积，道路机械化出勤率保持在85%以上，城市主干道机扫率不低于95%。</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第二十一条</w:t>
      </w:r>
      <w:r>
        <w:rPr>
          <w:rFonts w:hint="eastAsia" w:ascii="仿宋_GB2312" w:hAnsi="仿宋_GB2312" w:eastAsia="仿宋_GB2312" w:cs="仿宋_GB2312"/>
          <w:color w:val="000000"/>
          <w:sz w:val="24"/>
          <w:szCs w:val="24"/>
        </w:rPr>
        <w:t xml:space="preserve"> 每日作业4次，作业时间由各镇街、单位具体确定，必须避开上下班交通高峰时间段，如遇重大活动或突发事件时可适当调整。</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第二十二条</w:t>
      </w:r>
      <w:r>
        <w:rPr>
          <w:rFonts w:hint="eastAsia" w:ascii="仿宋_GB2312" w:hAnsi="仿宋_GB2312" w:eastAsia="仿宋_GB2312" w:cs="仿宋_GB2312"/>
          <w:color w:val="000000"/>
          <w:sz w:val="24"/>
          <w:szCs w:val="24"/>
        </w:rPr>
        <w:t xml:space="preserve"> 道路机械化清扫作业实行“四定”制度，即“定车辆、定时间、定路线、定责任”。</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第二十三条</w:t>
      </w:r>
      <w:r>
        <w:rPr>
          <w:rFonts w:hint="eastAsia" w:ascii="仿宋_GB2312" w:hAnsi="仿宋_GB2312" w:eastAsia="仿宋_GB2312" w:cs="仿宋_GB2312"/>
          <w:color w:val="000000"/>
          <w:sz w:val="24"/>
          <w:szCs w:val="24"/>
        </w:rPr>
        <w:t xml:space="preserve"> 扫路车作业时鸣报提示音乐和警示灯，开启喷水降尘设施，采取湿法作业，清扫速度不超过每小时10公里。无漏扫、不扬尘，车过地面净，清扫作业结束后必须将垃圾倒入指定收集点，早7:00前和晚22:00后作业应关闭提示音乐。</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第二十四条</w:t>
      </w:r>
      <w:r>
        <w:rPr>
          <w:rFonts w:hint="eastAsia" w:ascii="仿宋_GB2312" w:hAnsi="仿宋_GB2312" w:eastAsia="仿宋_GB2312" w:cs="仿宋_GB2312"/>
          <w:color w:val="000000"/>
          <w:sz w:val="24"/>
          <w:szCs w:val="24"/>
        </w:rPr>
        <w:t xml:space="preserve"> 机扫车必须按照要求安装定位系统，统一停放在专用停车场，集中管理，定时定点维护保养，扫刷等设备应及时更换。</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第二十五条</w:t>
      </w:r>
      <w:r>
        <w:rPr>
          <w:rFonts w:hint="eastAsia" w:ascii="仿宋_GB2312" w:hAnsi="仿宋_GB2312" w:eastAsia="仿宋_GB2312" w:cs="仿宋_GB2312"/>
          <w:color w:val="000000"/>
          <w:sz w:val="24"/>
          <w:szCs w:val="24"/>
        </w:rPr>
        <w:t xml:space="preserve"> 根据机械化清扫管理规范，驾驶员必须具有B类以上驾照，具备4年以上驾龄，身体健康；驾驶员经过专业培训，能熟练掌握专业车辆的操作方法、工作程序，以及车辆的日常维护技能；热爱市容环境卫生工作，工作期间着装整洁、行为规范，做到文明作业。</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第二十六条</w:t>
      </w:r>
      <w:r>
        <w:rPr>
          <w:rFonts w:hint="eastAsia" w:ascii="仿宋_GB2312" w:hAnsi="仿宋_GB2312" w:eastAsia="仿宋_GB2312" w:cs="仿宋_GB2312"/>
          <w:color w:val="000000"/>
          <w:sz w:val="24"/>
          <w:szCs w:val="24"/>
        </w:rPr>
        <w:t xml:space="preserve"> 遵守交通规则，文明行车，规范作业，防止各类事故发生。</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五、废弃物收集箱（果皮箱）设置与日常管护</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第二十七条</w:t>
      </w:r>
      <w:r>
        <w:rPr>
          <w:rFonts w:hint="eastAsia" w:ascii="仿宋_GB2312" w:hAnsi="仿宋_GB2312" w:eastAsia="仿宋_GB2312" w:cs="仿宋_GB2312"/>
          <w:color w:val="000000"/>
          <w:sz w:val="24"/>
          <w:szCs w:val="24"/>
        </w:rPr>
        <w:t xml:space="preserve"> 废弃物收集箱设置应美观、耐用、防雨、阻燃，与周边环境协调。具体设置标准按照《城镇环境卫生设施设置标准》（CJJ27-2012）执行。废物箱的设置间隔宜符合下列规定：商业、金融业街道：50～100m；主干路、次干路、有辅道的快速路：100～200m；支路、有人行道的快速路：200～400m。</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第二十八条</w:t>
      </w:r>
      <w:r>
        <w:rPr>
          <w:rFonts w:hint="eastAsia" w:ascii="仿宋_GB2312" w:hAnsi="仿宋_GB2312" w:eastAsia="仿宋_GB2312" w:cs="仿宋_GB2312"/>
          <w:color w:val="000000"/>
          <w:sz w:val="24"/>
          <w:szCs w:val="24"/>
        </w:rPr>
        <w:t xml:space="preserve"> 任何材质的废弃物收集箱若出现破损的随发现随维修或更换。</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第二十九条</w:t>
      </w:r>
      <w:r>
        <w:rPr>
          <w:rFonts w:hint="eastAsia" w:ascii="仿宋_GB2312" w:hAnsi="仿宋_GB2312" w:eastAsia="仿宋_GB2312" w:cs="仿宋_GB2312"/>
          <w:color w:val="000000"/>
          <w:sz w:val="24"/>
          <w:szCs w:val="24"/>
        </w:rPr>
        <w:t xml:space="preserve"> 废弃物收集箱每日擦洗2次，及时清掏，无垃圾落地和翻拾垃圾现象，箱体干净无污渍、无破损，摆放端正。</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第三十条</w:t>
      </w:r>
      <w:r>
        <w:rPr>
          <w:rFonts w:hint="eastAsia" w:ascii="仿宋_GB2312" w:hAnsi="仿宋_GB2312" w:eastAsia="仿宋_GB2312" w:cs="仿宋_GB2312"/>
          <w:color w:val="000000"/>
          <w:sz w:val="24"/>
          <w:szCs w:val="24"/>
        </w:rPr>
        <w:t xml:space="preserve"> 未经县城市管理局批准不得安装带有商业广告载体的果皮箱。</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六、非机动车停放站管理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第三十一条</w:t>
      </w:r>
      <w:r>
        <w:rPr>
          <w:rFonts w:hint="eastAsia" w:ascii="仿宋_GB2312" w:hAnsi="仿宋_GB2312" w:eastAsia="仿宋_GB2312" w:cs="仿宋_GB2312"/>
          <w:color w:val="000000"/>
          <w:sz w:val="24"/>
          <w:szCs w:val="24"/>
        </w:rPr>
        <w:t xml:space="preserve"> 非机动车停放站设置应合理规范，一、二类道路禁止设置，不得占用盲道，留足人行通道，不得擅自移位和扩大面积。</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第三十二条</w:t>
      </w:r>
      <w:r>
        <w:rPr>
          <w:rFonts w:hint="eastAsia" w:ascii="仿宋_GB2312" w:hAnsi="仿宋_GB2312" w:eastAsia="仿宋_GB2312" w:cs="仿宋_GB2312"/>
          <w:color w:val="000000"/>
          <w:sz w:val="24"/>
          <w:szCs w:val="24"/>
        </w:rPr>
        <w:t xml:space="preserve"> 由设置单位提出申请，并提交设置规划图，经区业务主管部门同意后方可设置，明确地点、面积及开放时间，同时上报县市管理局备案。收费按照市物价发[2008]88号文件执行。非机动车管理站未经批准不得非法设立。</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第三十三条 </w:t>
      </w:r>
      <w:r>
        <w:rPr>
          <w:rFonts w:hint="eastAsia" w:ascii="仿宋_GB2312" w:hAnsi="仿宋_GB2312" w:eastAsia="仿宋_GB2312" w:cs="仿宋_GB2312"/>
          <w:color w:val="000000"/>
          <w:sz w:val="24"/>
          <w:szCs w:val="24"/>
        </w:rPr>
        <w:t>非机动车停放站要以区为单位设置色调、规格统一的护栏，设置统一标识，悬挂收费公示牌，应做到管理间、收费柜、标志牌、工作服、胸卡“五统一”。</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第三十四条</w:t>
      </w:r>
      <w:r>
        <w:rPr>
          <w:rFonts w:hint="eastAsia" w:ascii="仿宋_GB2312" w:hAnsi="仿宋_GB2312" w:eastAsia="仿宋_GB2312" w:cs="仿宋_GB2312"/>
          <w:color w:val="000000"/>
          <w:sz w:val="24"/>
          <w:szCs w:val="24"/>
        </w:rPr>
        <w:t xml:space="preserve"> 非机动车停放必须干净整洁，车辆摆放整齐有序，不得随意摆放及用绳子、铁丝做围挡物，无各类“野广告”或垃圾杂物。有条件的应摆放花草，进行美化。</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第三十五条</w:t>
      </w:r>
      <w:r>
        <w:rPr>
          <w:rFonts w:hint="eastAsia" w:ascii="仿宋_GB2312" w:hAnsi="仿宋_GB2312" w:eastAsia="仿宋_GB2312" w:cs="仿宋_GB2312"/>
          <w:color w:val="000000"/>
          <w:sz w:val="24"/>
          <w:szCs w:val="24"/>
        </w:rPr>
        <w:t xml:space="preserve"> 非机动车停放站由设置单位负责管理，每站应配有专职管理人员，每日擦拭站内各类设施，负责日常保洁。</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七、生活垃圾收集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第三十六条</w:t>
      </w:r>
      <w:r>
        <w:rPr>
          <w:rFonts w:hint="eastAsia" w:ascii="仿宋_GB2312" w:hAnsi="仿宋_GB2312" w:eastAsia="仿宋_GB2312" w:cs="仿宋_GB2312"/>
          <w:color w:val="000000"/>
          <w:sz w:val="24"/>
          <w:szCs w:val="24"/>
        </w:rPr>
        <w:t xml:space="preserve"> 生活垃圾收集站点的设置应符合“合理规划、方便公众”的原则，每个镇街区域的垃圾压缩站数量和规划应按住建部的规划标准设置，垃圾桶、箱、台站及袋装收集点设置在背街小巷。</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第三十七条</w:t>
      </w:r>
      <w:r>
        <w:rPr>
          <w:rFonts w:hint="eastAsia" w:ascii="仿宋_GB2312" w:hAnsi="仿宋_GB2312" w:eastAsia="仿宋_GB2312" w:cs="仿宋_GB2312"/>
          <w:color w:val="000000"/>
          <w:sz w:val="24"/>
          <w:szCs w:val="24"/>
        </w:rPr>
        <w:t xml:space="preserve"> 垃圾压缩站配备管理人员2名以上，垃圾桶、箱、台站各配备1名。</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第三十八条</w:t>
      </w:r>
      <w:r>
        <w:rPr>
          <w:rFonts w:hint="eastAsia" w:ascii="仿宋_GB2312" w:hAnsi="仿宋_GB2312" w:eastAsia="仿宋_GB2312" w:cs="仿宋_GB2312"/>
          <w:color w:val="000000"/>
          <w:sz w:val="24"/>
          <w:szCs w:val="24"/>
        </w:rPr>
        <w:t xml:space="preserve"> 垃圾收集必须密闭化，定时喷洒药物，控制蚊蝇孳生，防止二次污染。垃圾压缩站应实行全天保洁，每次压缩作业后对地面冲洗1次，清运后药物消杀作业1次。垃圾桶、箱每日擦洗2次，夏秋季每日消杀作业2次，每周对周边地面冲洗2次。</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第三十九条</w:t>
      </w:r>
      <w:r>
        <w:rPr>
          <w:rFonts w:hint="eastAsia" w:ascii="仿宋_GB2312" w:hAnsi="仿宋_GB2312" w:eastAsia="仿宋_GB2312" w:cs="仿宋_GB2312"/>
          <w:color w:val="000000"/>
          <w:sz w:val="24"/>
          <w:szCs w:val="24"/>
        </w:rPr>
        <w:t xml:space="preserve"> 垃圾压缩站作业应安全规范，先压缩、后清运。灭蝇设施完好，悬挂4个以上灭蝇灯。每日开放时间为5:00-24:00，达到地面净、墙壁净、门窗净、灯具净、设备净、周边环境净，无垃圾散落、无积留污水、无扬尘恶臭，管理间干净整洁的标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第四十条</w:t>
      </w:r>
      <w:r>
        <w:rPr>
          <w:rFonts w:hint="eastAsia" w:ascii="仿宋_GB2312" w:hAnsi="仿宋_GB2312" w:eastAsia="仿宋_GB2312" w:cs="仿宋_GB2312"/>
          <w:color w:val="000000"/>
          <w:sz w:val="24"/>
          <w:szCs w:val="24"/>
        </w:rPr>
        <w:t xml:space="preserve"> 桶、箱、台站应摆放整齐，达到“三净、三无”的卫生标准，即：桶箱体净，无残缺破损；地面环境净，无冒尖溢满、垃圾落地；周边环境净，无乱堆乱放。垃圾台站立面整洁，通道流畅，无污水渗漏和堆尖冒顶。袋装收集点定时定点收集，车走地净。袋装垃圾收集站点应二次包装，在所有垃圾站点不能焚烧树叶垃圾。</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第四十一条</w:t>
      </w:r>
      <w:r>
        <w:rPr>
          <w:rFonts w:hint="eastAsia" w:ascii="仿宋_GB2312" w:hAnsi="仿宋_GB2312" w:eastAsia="仿宋_GB2312" w:cs="仿宋_GB2312"/>
          <w:color w:val="000000"/>
          <w:sz w:val="24"/>
          <w:szCs w:val="24"/>
        </w:rPr>
        <w:t xml:space="preserve"> 垃圾压缩站每半年应按照技术要求保养1次，各种车辆和设备应进行日常维护保养，按照相关规定进行大、中、小修，设备正常运转率达到90％以上；生活垃圾收集站、点应建立科学、规范的操作规程，建立日程设备运转记录。</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八、生活垃圾清运</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第四十二条</w:t>
      </w:r>
      <w:r>
        <w:rPr>
          <w:rFonts w:hint="eastAsia" w:ascii="仿宋_GB2312" w:hAnsi="仿宋_GB2312" w:eastAsia="仿宋_GB2312" w:cs="仿宋_GB2312"/>
          <w:color w:val="000000"/>
          <w:sz w:val="24"/>
          <w:szCs w:val="24"/>
        </w:rPr>
        <w:t xml:space="preserve"> 清运车辆配置标准应按实际运行车辆的1:1.5配置，车辆运行年限执行国家标准。车辆驾驶员按运行车辆1:1.5配备，使用人工装卸的车辆每车配备清运工2名。</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第四十三条</w:t>
      </w:r>
      <w:r>
        <w:rPr>
          <w:rFonts w:hint="eastAsia" w:ascii="仿宋_GB2312" w:hAnsi="仿宋_GB2312" w:eastAsia="仿宋_GB2312" w:cs="仿宋_GB2312"/>
          <w:color w:val="000000"/>
          <w:sz w:val="24"/>
          <w:szCs w:val="24"/>
        </w:rPr>
        <w:t xml:space="preserve"> 垃圾清运作业方案应科学合理，班次安排得当，垃圾收集站点与清运车辆衔接有序，实行定人、定车、定点、定时、定线路责任制，包日产日清。</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第四十四条</w:t>
      </w:r>
      <w:r>
        <w:rPr>
          <w:rFonts w:hint="eastAsia" w:ascii="仿宋_GB2312" w:hAnsi="仿宋_GB2312" w:eastAsia="仿宋_GB2312" w:cs="仿宋_GB2312"/>
          <w:color w:val="000000"/>
          <w:sz w:val="24"/>
          <w:szCs w:val="24"/>
        </w:rPr>
        <w:t xml:space="preserve"> 垃圾车进入垃圾场进行倾倒时应听从调度人员指挥，规范操作。垃圾清运过程中为防止扬、撒、拖挂、设备应密闭化，为防止污水洒漏，应保证装车无污水，有水无滴漏，所有防水及密闭设备全部完好。</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第四十五条</w:t>
      </w:r>
      <w:r>
        <w:rPr>
          <w:rFonts w:hint="eastAsia" w:ascii="仿宋_GB2312" w:hAnsi="仿宋_GB2312" w:eastAsia="仿宋_GB2312" w:cs="仿宋_GB2312"/>
          <w:color w:val="000000"/>
          <w:sz w:val="24"/>
          <w:szCs w:val="24"/>
        </w:rPr>
        <w:t xml:space="preserve"> 清运车应在环卫车场统一停放，每日作业回场后先进行冲洗，车体（内）外部无污物、灰垢，标志清晰，车容整洁，停放有序。</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第四十六条</w:t>
      </w:r>
      <w:r>
        <w:rPr>
          <w:rFonts w:hint="eastAsia" w:ascii="仿宋_GB2312" w:hAnsi="仿宋_GB2312" w:eastAsia="仿宋_GB2312" w:cs="仿宋_GB2312"/>
          <w:color w:val="000000"/>
          <w:sz w:val="24"/>
          <w:szCs w:val="24"/>
        </w:rPr>
        <w:t xml:space="preserve"> 建立车辆的使用、保养、修理及检验、监督、安全作业档案；每日出车前、收车后检查车辆，每周进行全面检查，每月进行一次保养，保持车况良好，保证安全生产。</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第四十七条</w:t>
      </w:r>
      <w:r>
        <w:rPr>
          <w:rFonts w:hint="eastAsia" w:ascii="仿宋_GB2312" w:hAnsi="仿宋_GB2312" w:eastAsia="仿宋_GB2312" w:cs="仿宋_GB2312"/>
          <w:color w:val="000000"/>
          <w:sz w:val="24"/>
          <w:szCs w:val="24"/>
        </w:rPr>
        <w:t xml:space="preserve"> 组建应急队伍，有效应对压缩设备故障和雨雪恶劣天气的影响，辖区无垃圾滞留。</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九、公共厕所管理</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第四十八条</w:t>
      </w:r>
      <w:r>
        <w:rPr>
          <w:rFonts w:hint="eastAsia" w:ascii="仿宋_GB2312" w:hAnsi="仿宋_GB2312" w:eastAsia="仿宋_GB2312" w:cs="仿宋_GB2312"/>
          <w:color w:val="000000"/>
          <w:sz w:val="24"/>
          <w:szCs w:val="24"/>
        </w:rPr>
        <w:t xml:space="preserve"> 全县由政府投资建设的公厕必须免费对外开放，开放时间公示并保证。除能全天24小时开放的公厕外，其余公厕春夏6:00-23:00，秋冬6:30-22:30开放，开放率达到100％。临时性停水、停电，应采取急措施保障正常开放；因大修等需正常关闭，应提前张贴告示，并明确恢复开放时间，管理员须坚守岗位。</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第四十九条</w:t>
      </w:r>
      <w:r>
        <w:rPr>
          <w:rFonts w:hint="eastAsia" w:ascii="仿宋_GB2312" w:hAnsi="仿宋_GB2312" w:eastAsia="仿宋_GB2312" w:cs="仿宋_GB2312"/>
          <w:color w:val="000000"/>
          <w:sz w:val="24"/>
          <w:szCs w:val="24"/>
        </w:rPr>
        <w:t xml:space="preserve"> 在公厕外50米左右设有标识醒目的公厕指示牌，公厕外墙有中英文对照标志牌，公厕内悬挂《管理规定》、《如厕须知》、《检查公示牌》、《管理员职责》和监督电话。</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第五十条</w:t>
      </w:r>
      <w:r>
        <w:rPr>
          <w:rFonts w:hint="eastAsia" w:ascii="仿宋_GB2312" w:hAnsi="仿宋_GB2312" w:eastAsia="仿宋_GB2312" w:cs="仿宋_GB2312"/>
          <w:color w:val="000000"/>
          <w:sz w:val="24"/>
          <w:szCs w:val="24"/>
        </w:rPr>
        <w:t xml:space="preserve"> 公厕管理人员应根据开放时间配备，一类道路或重点区域公厕实行3班制，其他公厕实行2班制，每班配备管理人员1名。</w:t>
      </w:r>
    </w:p>
    <w:p>
      <w:pPr>
        <w:keepNext w:val="0"/>
        <w:keepLines w:val="0"/>
        <w:pageBreakBefore w:val="0"/>
        <w:kinsoku/>
        <w:wordWrap/>
        <w:overflowPunct/>
        <w:topLinePunct w:val="0"/>
        <w:autoSpaceDE/>
        <w:autoSpaceDN/>
        <w:bidi w:val="0"/>
        <w:spacing w:line="240" w:lineRule="auto"/>
        <w:ind w:firstLine="241"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第五十一条</w:t>
      </w:r>
      <w:r>
        <w:rPr>
          <w:rFonts w:hint="eastAsia" w:ascii="仿宋_GB2312" w:hAnsi="仿宋_GB2312" w:eastAsia="仿宋_GB2312" w:cs="仿宋_GB2312"/>
          <w:color w:val="000000"/>
          <w:sz w:val="24"/>
          <w:szCs w:val="24"/>
        </w:rPr>
        <w:t xml:space="preserve"> 应实现全天不间断保洁，每日对室内环境冲洗2次，达到“地面净、墙壁净、门窗净、蹲位净、隔板净、便池净、洁具净、灯具净、牌匾净、周边环境净；墙面无污渍、墙角无灰网、便池无粪迹、立面无乱画、地面无杂物；管理间干净整洁无杂物。落实“三包”范围内的市容环境卫生责任。</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第五十二条</w:t>
      </w:r>
      <w:r>
        <w:rPr>
          <w:rFonts w:hint="eastAsia" w:ascii="仿宋_GB2312" w:hAnsi="仿宋_GB2312" w:eastAsia="仿宋_GB2312" w:cs="仿宋_GB2312"/>
          <w:color w:val="000000"/>
          <w:sz w:val="24"/>
          <w:szCs w:val="24"/>
        </w:rPr>
        <w:t xml:space="preserve"> 每年4-10月为蚊、蝇、蛆消杀期，每日早、中、晚三次定时药物消杀，公厕门口悬挂防蝇帘，每厕悬挂2个以上灭蝇灯，摆放2个以上灭鼠药饵盒，每月更换药饵1次。公厕内设置除臭设备及物品，室内通风良好，无恶臭。</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第五十三条</w:t>
      </w:r>
      <w:r>
        <w:rPr>
          <w:rFonts w:hint="eastAsia" w:ascii="仿宋_GB2312" w:hAnsi="仿宋_GB2312" w:eastAsia="仿宋_GB2312" w:cs="仿宋_GB2312"/>
          <w:color w:val="000000"/>
          <w:sz w:val="24"/>
          <w:szCs w:val="24"/>
        </w:rPr>
        <w:t xml:space="preserve"> 公厕维护经费专款专用，设施维修更换及时，水龙头、灯具、洗手器具损坏半个工作日内更换到位，冲水设备损坏、下水道堵塞1个工作日内修复，隔板、门窗、洁具等其他设备损坏2个工作日内修复。</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第五十四条 </w:t>
      </w:r>
      <w:r>
        <w:rPr>
          <w:rFonts w:hint="eastAsia" w:ascii="仿宋_GB2312" w:hAnsi="仿宋_GB2312" w:eastAsia="仿宋_GB2312" w:cs="仿宋_GB2312"/>
          <w:color w:val="000000"/>
          <w:sz w:val="24"/>
          <w:szCs w:val="24"/>
        </w:rPr>
        <w:t>管理员上岗应统一着装，佩戴胸牌，每日如实填写《公厕管理日志》，如实记录日常保洁、设施状态、消杀除臭等内容，按时交接班，不得脱岗、漏岗以及从事管理之外的其他活动。公厕开放服务时不允许变相收费。</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十、其他管理工作</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第五十五条</w:t>
      </w:r>
      <w:r>
        <w:rPr>
          <w:rFonts w:hint="eastAsia" w:ascii="仿宋_GB2312" w:hAnsi="仿宋_GB2312" w:eastAsia="仿宋_GB2312" w:cs="仿宋_GB2312"/>
          <w:color w:val="000000"/>
          <w:sz w:val="24"/>
          <w:szCs w:val="24"/>
        </w:rPr>
        <w:t xml:space="preserve"> 机动车辆清洗点开设应符合《西安市机动车辆清洗管理办法》和2010年西安市人民政府令第90号有关规定，城区在县城市管理局办理有关手续，各镇街机动车辆清洗点，在各镇街环卫管理部门办理有关手续，不得出现无证经营、占道擦洗车辆等违章洗车造成污水溢流影响周边环境卫生。</w:t>
      </w:r>
    </w:p>
    <w:p>
      <w:pPr>
        <w:keepNext w:val="0"/>
        <w:keepLines w:val="0"/>
        <w:pageBreakBefore w:val="0"/>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第五十六条</w:t>
      </w:r>
      <w:r>
        <w:rPr>
          <w:rFonts w:hint="eastAsia" w:ascii="仿宋_GB2312" w:hAnsi="仿宋_GB2312" w:eastAsia="仿宋_GB2312" w:cs="仿宋_GB2312"/>
          <w:color w:val="000000"/>
          <w:sz w:val="24"/>
          <w:szCs w:val="24"/>
        </w:rPr>
        <w:t xml:space="preserve"> 参照国家《机动车强制报废标准规定》有关规定，西安市环卫车辆报废年限定为8-10年。</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24"/>
          <w:szCs w:val="24"/>
        </w:rPr>
      </w:pPr>
      <w:r>
        <w:rPr>
          <w:rFonts w:hint="eastAsia" w:ascii="仿宋_GB2312" w:hAnsi="仿宋_GB2312" w:eastAsia="仿宋_GB2312" w:cs="仿宋_GB2312"/>
          <w:color w:val="000000"/>
          <w:sz w:val="24"/>
          <w:szCs w:val="24"/>
        </w:rPr>
        <w:t>在具体实施过程中，该《标准》将随着我县市容环境卫生管理工作的发展情况适时调整和完善。</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附件5</w:t>
      </w:r>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周至县生活垃圾清运管理考核办法</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加强我县生活垃圾清洁收运管理工作，提高生活垃圾清洁收运水平，减少二次污染，保障人民群众身体健康，根据《城市生活垃圾管理办法》、《西安市城市市容和环境卫生管理条例》和《西安市城市生活垃圾清洁收运工作实施方案》</w:t>
      </w:r>
      <w:r>
        <w:rPr>
          <w:rFonts w:hint="eastAsia" w:ascii="仿宋_GB2312" w:hAnsi="仿宋_GB2312" w:eastAsia="仿宋_GB2312" w:cs="仿宋_GB2312"/>
          <w:sz w:val="24"/>
          <w:szCs w:val="24"/>
          <w:lang w:eastAsia="zh-CN"/>
        </w:rPr>
        <w:t>、《西安市生活垃圾分类管理办法》</w:t>
      </w:r>
      <w:r>
        <w:rPr>
          <w:rFonts w:hint="eastAsia" w:ascii="仿宋_GB2312" w:hAnsi="仿宋_GB2312" w:eastAsia="仿宋_GB2312" w:cs="仿宋_GB2312"/>
          <w:sz w:val="24"/>
          <w:szCs w:val="24"/>
        </w:rPr>
        <w:t>等有关法律和规定要求，结合我县实际，制定本考核办法。</w:t>
      </w:r>
    </w:p>
    <w:p>
      <w:pPr>
        <w:keepNext w:val="0"/>
        <w:keepLines w:val="0"/>
        <w:pageBreakBefore w:val="0"/>
        <w:numPr>
          <w:ilvl w:val="0"/>
          <w:numId w:val="12"/>
        </w:numPr>
        <w:kinsoku/>
        <w:wordWrap/>
        <w:overflowPunct/>
        <w:topLinePunct w:val="0"/>
        <w:autoSpaceDE/>
        <w:autoSpaceDN/>
        <w:bidi w:val="0"/>
        <w:spacing w:line="240" w:lineRule="auto"/>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工作目标</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进一步创新城市生活垃圾管理机制，提高城市生活垃圾收集、清运管理水平，规范生活垃圾收集、清运工作流程，全面提高垃圾收集、清运对环境的第二次污染，满足人民群众对城市环境日益提高的要求，按照目标科学、管理常态、工作精细、清运规范的总要求，进一步明确职责，加大监管力度，进一步提升城市品位和文明程度。</w:t>
      </w:r>
    </w:p>
    <w:p>
      <w:pPr>
        <w:keepNext w:val="0"/>
        <w:keepLines w:val="0"/>
        <w:pageBreakBefore w:val="0"/>
        <w:numPr>
          <w:ilvl w:val="0"/>
          <w:numId w:val="12"/>
        </w:numPr>
        <w:kinsoku/>
        <w:wordWrap/>
        <w:overflowPunct/>
        <w:topLinePunct w:val="0"/>
        <w:autoSpaceDE/>
        <w:autoSpaceDN/>
        <w:bidi w:val="0"/>
        <w:spacing w:line="24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考核内容</w:t>
      </w:r>
    </w:p>
    <w:p>
      <w:pPr>
        <w:keepNext w:val="0"/>
        <w:keepLines w:val="0"/>
        <w:pageBreakBefore w:val="0"/>
        <w:numPr>
          <w:ilvl w:val="0"/>
          <w:numId w:val="13"/>
        </w:numPr>
        <w:kinsoku/>
        <w:wordWrap/>
        <w:overflowPunct/>
        <w:topLinePunct w:val="0"/>
        <w:autoSpaceDE/>
        <w:autoSpaceDN/>
        <w:bidi w:val="0"/>
        <w:spacing w:line="240" w:lineRule="auto"/>
        <w:ind w:firstLine="480" w:firstLineChars="20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清运设施设备</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1.收集车辆必须使用环保、密闭式车辆，并统一标识、编号等，以满足生活垃圾前段清洁收集的需要。</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2.收集车辆必须确保车容车貌干净整洁，每天对清运车辆进行1-2次的消杀，必须按照交通规范文明安全驾驶。</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3.清运车辆加装北斗定位系统，建立全县环卫运输北斗监控系统。</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4.对清运车辆定期检修、保养，及时更换损坏部件，对部分清运车辆加装收集槽，杜绝渗滤液在道路上抛洒滴漏。</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5.严禁私自挪移、更改、撤离现有生活垃圾收集箱（点）及位置，确保生活垃圾清运安全有序。</w:t>
      </w:r>
    </w:p>
    <w:p>
      <w:pPr>
        <w:pStyle w:val="24"/>
        <w:keepNext w:val="0"/>
        <w:keepLines w:val="0"/>
        <w:pageBreakBefore w:val="0"/>
        <w:kinsoku/>
        <w:wordWrap/>
        <w:overflowPunct/>
        <w:topLinePunct w:val="0"/>
        <w:autoSpaceDE/>
        <w:autoSpaceDN/>
        <w:bidi w:val="0"/>
        <w:spacing w:line="240" w:lineRule="auto"/>
        <w:textAlignment w:val="auto"/>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6.生活垃圾运输必须专车进行运输禁止混合运输。</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定期开展垃圾收集箱的擦洗，保持干净整洁。</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（二）垃圾压缩站运行管理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严格按照《生活垃圾压缩站运行维护技术规程》（CJJ109-2006）及其相关管理条例的规定，结合我县实际情况，切实有效的改善压缩站规范作业。</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1.严禁超负荷压缩箱体。定期对设备进行检测，对变形的箱体及时维修、更换。</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2.加强压缩站提升改造，对设备老化，环境脏乱的进行提升改造，及时维修液压设备，提升周边环境。</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3.做好压缩站的消杀、除臭等工作。</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（三）清运管理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1.生活垃圾清运必须做到日产日清，必须及时彻底的清理每个垃圾收集箱（点）的生活垃圾，确保全天生活垃圾收集箱无堆积、无溢箱。</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活垃圾清运应做到收运过程垃圾不落地，将整个收运环节垃圾裸露面积及时间降到最低，实现整个收运环节的高密封性、降低臭气外溢，杜绝运输过程“抛、冒、滴、漏、洒”现象，最大限度降低对环境的污染、预防运输过程中可能产生的二次污染。</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3.生活垃圾必须运送至生活垃圾处理中心和压缩站，严禁乱倒，在生活垃圾处理中心和压缩站必须服从现场调度人员的指挥，按指定区域倾倒。</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4.县城沿街（老城街全段、农商街全段）住户和商户采用流动车辆收集，每天收集2次，必须在7:00-11:00和17:00-21:00（冬季）、17:30-21：00（夏季）前收集清运完成。</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5.做好生活垃圾清运过程中的记录，并建立好台账。</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（四）加强教育与培训</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对新进入市容环卫管理人员和基层和工人进行岗前培训，使市容环卫行业的人员经过培训成为政治合格、业务精通、从业规范的专业人才，提升从业者的整体素质。</w:t>
      </w:r>
    </w:p>
    <w:p>
      <w:pPr>
        <w:keepNext w:val="0"/>
        <w:keepLines w:val="0"/>
        <w:pageBreakBefore w:val="0"/>
        <w:numPr>
          <w:ilvl w:val="0"/>
          <w:numId w:val="12"/>
        </w:numPr>
        <w:kinsoku/>
        <w:wordWrap/>
        <w:overflowPunct/>
        <w:topLinePunct w:val="0"/>
        <w:autoSpaceDE/>
        <w:autoSpaceDN/>
        <w:bidi w:val="0"/>
        <w:spacing w:line="24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评分标准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1.收集车辆车容车貌不整洁的每次扣0.2分。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2.不按规定对垃圾清运车辆进行消杀的每次扣0.2分。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3.在垃圾运输过程中有“抛、冒、滴、漏、洒”现象的每次扣0.2分。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4.私自挪移、更改、撤离现有生活垃圾收集箱（点）及位置每次扣除1分。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5.垃圾箱满后不及时清运垃圾的每次扣0.5分。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6.由于垃圾清运不及时造成群众投诉的每次扣2分。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7.由于垃圾清运不及时造成媒体曝光的每次扣5分。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8.因不按时开展垃圾箱擦洗的，造成垃圾箱体不干净的每次扣0.5分。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9.严禁超负荷压缩箱体每发现一次扣0.2分。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10.对在倾倒垃圾时不服从现场调度人员指挥的每次扣0.3分。</w:t>
      </w:r>
    </w:p>
    <w:p>
      <w:pPr>
        <w:keepNext w:val="0"/>
        <w:keepLines w:val="0"/>
        <w:pageBreakBefore w:val="0"/>
        <w:tabs>
          <w:tab w:val="left" w:pos="673"/>
        </w:tabs>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11.对不按时设置流动垃圾收集（点）或出动流动垃圾收集车的每次扣0.5分。</w:t>
      </w:r>
    </w:p>
    <w:p>
      <w:pPr>
        <w:pStyle w:val="24"/>
        <w:keepNext w:val="0"/>
        <w:keepLines w:val="0"/>
        <w:pageBreakBefore w:val="0"/>
        <w:kinsoku/>
        <w:wordWrap/>
        <w:overflowPunct/>
        <w:topLinePunct w:val="0"/>
        <w:autoSpaceDE/>
        <w:autoSpaceDN/>
        <w:bidi w:val="0"/>
        <w:spacing w:line="240" w:lineRule="auto"/>
        <w:textAlignment w:val="auto"/>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CN"/>
        </w:rPr>
        <w:t>对在运输过程中，混合运输的每车每次扣</w:t>
      </w:r>
      <w:r>
        <w:rPr>
          <w:rFonts w:hint="eastAsia" w:ascii="仿宋_GB2312" w:hAnsi="仿宋_GB2312" w:eastAsia="仿宋_GB2312" w:cs="仿宋_GB2312"/>
          <w:sz w:val="24"/>
          <w:szCs w:val="24"/>
          <w:lang w:val="en-US" w:eastAsia="zh-CN"/>
        </w:rPr>
        <w:t>2分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附件6</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 xml:space="preserve">西安市城镇公共厕所管理标准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第一条</w:t>
      </w:r>
      <w:r>
        <w:rPr>
          <w:rFonts w:hint="eastAsia" w:ascii="仿宋_GB2312" w:eastAsia="仿宋_GB2312"/>
          <w:sz w:val="24"/>
          <w:szCs w:val="24"/>
        </w:rPr>
        <w:t xml:space="preserve"> 为加强我市公共厕所管理,提高城镇公共厕所卫生水平,方便群众使用,根据《全国城市卫生检查评比标准》和建设部《城市环境卫生质量标准》及《西安市城市市容和环境卫生管理条例》,制定本标准。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第二条</w:t>
      </w:r>
      <w:r>
        <w:rPr>
          <w:rFonts w:hint="eastAsia" w:ascii="仿宋_GB2312" w:eastAsia="仿宋_GB2312"/>
          <w:sz w:val="24"/>
          <w:szCs w:val="24"/>
        </w:rPr>
        <w:t xml:space="preserve"> 本标准的城镇公共厕所是指供城市居民和流动人口共同使用的环卫公共厕所、公共场所配套公共厕所和社会对外开放公共厕所。适用范围包括园林、旅游、交通、铁路、卫生、商务等行业,涉及公园、旅游区(点)、旅游线路中旅游接待场所及各种旅游饭店、长途汽车首末站、轨道交通站、飞机场、火车站、医院、商场、超市等人员集散场所的公共厕所,以及公共建筑(如码头、商店、饭店、影剧院、体育场馆、展览馆、办公楼等)附设的公共厕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第三条</w:t>
      </w:r>
      <w:r>
        <w:rPr>
          <w:rFonts w:hint="eastAsia" w:ascii="仿宋_GB2312" w:eastAsia="仿宋_GB2312"/>
          <w:sz w:val="24"/>
          <w:szCs w:val="24"/>
        </w:rPr>
        <w:t xml:space="preserve"> 西安市环境卫生行政主管部门负责全市公共厕所管理的统一协调、监督管理工作。按照“谁设置,谁管理”的原则,市级各部门(发改委、交通、卫生、水务、教育、旅游、民政商务等有关部门)负责各行业内公共厕所的监督管理工作。各区(县)、开发区负责本辖区公共厕所的监督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第四条 </w:t>
      </w:r>
      <w:r>
        <w:rPr>
          <w:rFonts w:hint="eastAsia" w:ascii="仿宋_GB2312" w:eastAsia="仿宋_GB2312"/>
          <w:sz w:val="24"/>
          <w:szCs w:val="24"/>
        </w:rPr>
        <w:t>城镇公共厕所要有专人管理,管理人员要按时上岗,不得私自雇工顶岗或转包。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第五条 </w:t>
      </w:r>
      <w:r>
        <w:rPr>
          <w:rFonts w:hint="eastAsia" w:ascii="仿宋_GB2312" w:eastAsia="仿宋_GB2312"/>
          <w:sz w:val="24"/>
          <w:szCs w:val="24"/>
        </w:rPr>
        <w:t>城镇公共厕所实行免费开放,重点区域实行24小时免费开放,并切实加强管理。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第六条</w:t>
      </w:r>
      <w:r>
        <w:rPr>
          <w:rFonts w:hint="eastAsia" w:ascii="仿宋_GB2312" w:eastAsia="仿宋_GB2312"/>
          <w:sz w:val="24"/>
          <w:szCs w:val="24"/>
        </w:rPr>
        <w:t xml:space="preserve"> 如厕人员必须遵守公共厕所的各项管理制度,自觉维护公共厕所卫生：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（一）大便入坑,小便入池,手纸入笼；</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（二）禁止随地吐痰,随意乱刻乱画；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（三）大小便后即时冲水,严禁将其它废弃物丢入便池内；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（四）便后洗手后,即时关掉水龙头；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（五）要爱护公厕的设施、设备,如有损坏,照价赔偿。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第七条</w:t>
      </w:r>
      <w:r>
        <w:rPr>
          <w:rFonts w:hint="eastAsia" w:ascii="仿宋_GB2312" w:eastAsia="仿宋_GB2312"/>
          <w:sz w:val="24"/>
          <w:szCs w:val="24"/>
        </w:rPr>
        <w:t xml:space="preserve"> 公共厕所卫生标准和清扫保洁制度应上墙公布,各类标识规范、明显。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第八条</w:t>
      </w:r>
      <w:r>
        <w:rPr>
          <w:rFonts w:hint="eastAsia" w:ascii="仿宋_GB2312" w:eastAsia="仿宋_GB2312"/>
          <w:sz w:val="24"/>
          <w:szCs w:val="24"/>
        </w:rPr>
        <w:t xml:space="preserve"> 公共厕所设施应符合以下质量要求：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（一）内外墙壁无剥落,门窗、洗手池、照明灯具完好无损；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（二）一、二类公共厕所应有防蝇、防蚁和除臭设施或措施；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（三）屋面无漏雨,墙壁无痕迹；</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（四）地面、便池、便坑道槽、隔档完好,瓷片无脱落损坏；</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（五）上下水管道畅通,无跑冒滴漏,贮粪池有盖板;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（六）保持公共厕所化粪池畅通,防止沼气蓄积;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（七）漏水情况的维修不能超过2小时；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（八）小便器、大便器的维修更换不能超过24小时。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第九条</w:t>
      </w:r>
      <w:r>
        <w:rPr>
          <w:rFonts w:hint="eastAsia" w:ascii="仿宋_GB2312" w:eastAsia="仿宋_GB2312"/>
          <w:sz w:val="24"/>
          <w:szCs w:val="24"/>
        </w:rPr>
        <w:t xml:space="preserve"> 公共厕所保洁应符合下列规定：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（一）公共厕所内采光、照明和通风应良好,无明显臭味;</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（二）公共厕所内墙面、天花板、门窗和隔离板无积灰、污迹、蛛网，无乱涂乱画、无乱贴，墙面光洁，外墙面整洁；</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（三）公共厕所内地面光洁，无积水，无泥土、无粪便、无尿碱；</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（四）蹲位整洁，大便槽两侧无粪便污物，槽内无积粪，洁净见底；</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（五）小便槽（斗）无水锈、尿垢、垃圾，基本无臭，沟眼、管道保持畅通；</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（六）公共厕所内照明灯具、洗手器具、镜子、挂衣钩、烘手器、冲水设施完好，无积灰、污物，窗纱无尘埃、破损；</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（七）公共厕所外环境整洁，无乱堆杂物，保洁工具设置整齐，无乱搭建和拉绳，公厕四周3至5米范围内，无垃圾、粪便尿迹等污物；</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（八）蝇蚊孳生季节应定时喷洒蝇蚊药物或安装防蝇设备，有效控制蚊蝇；</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512" w:firstLineChars="200"/>
        <w:textAlignment w:val="auto"/>
        <w:rPr>
          <w:rFonts w:hint="eastAsia"/>
          <w:sz w:val="18"/>
          <w:szCs w:val="18"/>
        </w:rPr>
      </w:pPr>
      <w:r>
        <w:rPr>
          <w:rFonts w:hint="eastAsia" w:ascii="仿宋_GB2312" w:eastAsia="仿宋_GB2312"/>
          <w:color w:val="000000"/>
          <w:spacing w:val="8"/>
          <w:sz w:val="24"/>
          <w:szCs w:val="24"/>
          <w:shd w:val="clear" w:color="auto" w:fill="FFFFFF"/>
        </w:rPr>
        <w:t>（九）公共厕所环境卫生控制指标应符合下列规定：</w:t>
      </w:r>
    </w:p>
    <w:p>
      <w:pPr>
        <w:keepNext w:val="0"/>
        <w:keepLines w:val="0"/>
        <w:pageBreakBefore w:val="0"/>
        <w:kinsoku/>
        <w:wordWrap/>
        <w:overflowPunct/>
        <w:topLinePunct w:val="0"/>
        <w:autoSpaceDE/>
        <w:autoSpaceDN/>
        <w:bidi w:val="0"/>
        <w:adjustRightInd w:val="0"/>
        <w:snapToGrid w:val="0"/>
        <w:spacing w:line="240" w:lineRule="auto"/>
        <w:ind w:firstLine="480" w:firstLineChars="200"/>
        <w:jc w:val="center"/>
        <w:textAlignment w:val="auto"/>
        <w:rPr>
          <w:rFonts w:hint="eastAsia" w:ascii="黑体" w:hAnsi="黑体" w:eastAsia="黑体"/>
          <w:sz w:val="24"/>
          <w:szCs w:val="24"/>
        </w:rPr>
      </w:pPr>
      <w:r>
        <w:rPr>
          <w:rFonts w:hint="eastAsia" w:ascii="黑体" w:hAnsi="黑体" w:eastAsia="黑体"/>
          <w:sz w:val="24"/>
          <w:szCs w:val="24"/>
        </w:rPr>
        <w:t>城镇公共厕所环境卫生控制指标</w:t>
      </w:r>
    </w:p>
    <w:tbl>
      <w:tblPr>
        <w:tblStyle w:val="25"/>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66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cs="仿宋_GB2312"/>
                <w:sz w:val="18"/>
                <w:szCs w:val="18"/>
              </w:rPr>
            </w:pPr>
            <w:r>
              <w:rPr>
                <w:rFonts w:hint="eastAsia" w:ascii="黑体" w:hAnsi="黑体" w:eastAsia="黑体" w:cs="仿宋_GB2312"/>
                <w:sz w:val="18"/>
                <w:szCs w:val="21"/>
              </w:rPr>
              <w:t>编号</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cs="仿宋_GB2312"/>
                <w:sz w:val="18"/>
                <w:szCs w:val="18"/>
              </w:rPr>
            </w:pPr>
            <w:r>
              <w:rPr>
                <w:rFonts w:hint="eastAsia" w:ascii="黑体" w:hAnsi="黑体" w:eastAsia="黑体" w:cs="仿宋_GB2312"/>
                <w:sz w:val="18"/>
                <w:szCs w:val="21"/>
              </w:rPr>
              <w:t>卫生指标</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cs="仿宋_GB2312"/>
                <w:sz w:val="18"/>
                <w:szCs w:val="18"/>
              </w:rPr>
            </w:pPr>
            <w:r>
              <w:rPr>
                <w:rFonts w:hint="eastAsia" w:ascii="黑体" w:hAnsi="黑体" w:eastAsia="黑体" w:cs="仿宋_GB2312"/>
                <w:sz w:val="18"/>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1</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纸片(块)</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2</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烟蒂(个)</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3</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粪迹(处)</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4</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痰迹(处)</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5</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窗格积灰</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6</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蛛网</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7</w:t>
            </w:r>
          </w:p>
        </w:tc>
        <w:tc>
          <w:tcPr>
            <w:tcW w:w="1668"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成蝇(只)</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二类(含)以上公共厕所不应有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三类公共厕所不得多于3只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8</w:t>
            </w:r>
          </w:p>
        </w:tc>
        <w:tc>
          <w:tcPr>
            <w:tcW w:w="16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蝇蛆(尾)</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在厕室内的大小便器内外、地面和化(贮)</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粪池周围30-50厘米以内肉眼观察不到蝇蛆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9</w:t>
            </w:r>
          </w:p>
        </w:tc>
        <w:tc>
          <w:tcPr>
            <w:tcW w:w="1668" w:type="dxa"/>
            <w:vMerge w:val="restar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臭味强度</w:t>
            </w: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二类(含)以上公共厕所臭味强度为0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eastAsia="仿宋_GB2312"/>
                <w:sz w:val="18"/>
                <w:szCs w:val="18"/>
              </w:rPr>
            </w:pPr>
            <w:r>
              <w:rPr>
                <w:rFonts w:hint="eastAsia" w:ascii="仿宋_GB2312" w:eastAsia="仿宋_GB2312"/>
                <w:sz w:val="18"/>
                <w:szCs w:val="21"/>
              </w:rPr>
              <w:t>三类公共厕所臭味强度≤1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54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eastAsia="仿宋_GB2312"/>
                <w:sz w:val="18"/>
                <w:szCs w:val="18"/>
              </w:rPr>
            </w:pPr>
            <w:r>
              <w:rPr>
                <w:rFonts w:hint="eastAsia" w:ascii="仿宋_GB2312" w:eastAsia="仿宋_GB2312"/>
                <w:sz w:val="18"/>
                <w:szCs w:val="21"/>
              </w:rPr>
              <w:t>备注: 臭味强度指人们通过嗅觉感觉到的气味强弱程度。0级为无臭味;1级为勉强感觉臭味存在;2级为稍可感觉出的臭味;3级为极易感觉臭味存在;4级为强烈的气味;5级为无法忍受的极强气味。</w:t>
            </w:r>
          </w:p>
        </w:tc>
      </w:tr>
    </w:tbl>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第十条</w:t>
      </w:r>
      <w:r>
        <w:rPr>
          <w:rFonts w:hint="eastAsia" w:ascii="仿宋_GB2312" w:eastAsia="仿宋_GB2312"/>
          <w:sz w:val="24"/>
          <w:szCs w:val="24"/>
        </w:rPr>
        <w:t xml:space="preserve"> 公共厕所管理人员应遵守下列规定：</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（一）提前10分钟上岗,保持衣着整洁;</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（二）正点接班进行移交,查验设施、设备是否正常;</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（三）每天对设施、设备全面清洗一次,做到人离即保洁,并每天对公共厕所进行一次消毒除臭处理。</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第十一条</w:t>
      </w:r>
      <w:r>
        <w:rPr>
          <w:rFonts w:hint="eastAsia" w:ascii="仿宋_GB2312" w:eastAsia="仿宋_GB2312"/>
          <w:sz w:val="24"/>
          <w:szCs w:val="24"/>
        </w:rPr>
        <w:t xml:space="preserve"> 公共厕所管理人员不得从事与管理无关的经营活动;禁止在公共厕所内接水、接电、淘菜、洗衣等。</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第十二条</w:t>
      </w:r>
      <w:r>
        <w:rPr>
          <w:rFonts w:hint="eastAsia" w:ascii="仿宋_GB2312" w:eastAsia="仿宋_GB2312"/>
          <w:sz w:val="24"/>
          <w:szCs w:val="24"/>
        </w:rPr>
        <w:t xml:space="preserve"> 加强产权管理,确保城镇公共厕所数量不减少。任何单位和个人都不得侵占、损坏、拆除、迁移、封闭厕所。确因城市建设需要拆除的,建设单位必须事先提出拆迁方案,依照法规按“先建后拆”的原则负责重建,确有困难不能先建的,按市场价格交纳抵押金后并采取临时的过渡措施。拆除公共厕所必须向行业主管部门备案。</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4"/>
          <w:szCs w:val="24"/>
        </w:rPr>
      </w:pPr>
      <w:r>
        <w:rPr>
          <w:rFonts w:hint="eastAsia" w:ascii="黑体" w:hAnsi="仿宋_GB2312" w:eastAsia="黑体" w:cs="仿宋_GB2312"/>
          <w:sz w:val="24"/>
          <w:szCs w:val="24"/>
        </w:rPr>
        <w:t xml:space="preserve"> </w:t>
      </w: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黑体" w:hAnsi="黑体" w:eastAsia="黑体" w:cs="黑体"/>
          <w:color w:val="000000"/>
          <w:sz w:val="22"/>
          <w:szCs w:val="22"/>
        </w:rPr>
      </w:pP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黑体" w:hAnsi="黑体" w:eastAsia="黑体" w:cs="黑体"/>
          <w:color w:val="000000"/>
          <w:sz w:val="22"/>
          <w:szCs w:val="22"/>
        </w:rPr>
      </w:pPr>
    </w:p>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br w:type="page"/>
      </w:r>
      <w:r>
        <w:rPr>
          <w:rFonts w:hint="eastAsia" w:ascii="黑体" w:hAnsi="黑体" w:eastAsia="黑体" w:cs="黑体"/>
          <w:color w:val="000000"/>
          <w:sz w:val="22"/>
          <w:szCs w:val="22"/>
        </w:rPr>
        <w:t>附件7</w:t>
      </w:r>
    </w:p>
    <w:p>
      <w:pPr>
        <w:pStyle w:val="24"/>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28"/>
          <w:szCs w:val="28"/>
        </w:rPr>
        <w:t>周至县公共厕所管理考核评分标准</w:t>
      </w:r>
    </w:p>
    <w:tbl>
      <w:tblPr>
        <w:tblStyle w:val="25"/>
        <w:tblW w:w="8745" w:type="dxa"/>
        <w:jc w:val="center"/>
        <w:tblCellSpacing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
      <w:tblGrid>
        <w:gridCol w:w="589"/>
        <w:gridCol w:w="454"/>
        <w:gridCol w:w="6885"/>
        <w:gridCol w:w="390"/>
        <w:gridCol w:w="427"/>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序号</w:t>
            </w:r>
          </w:p>
        </w:tc>
        <w:tc>
          <w:tcPr>
            <w:tcW w:w="454"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内容</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评  分  标  准</w:t>
            </w:r>
          </w:p>
        </w:tc>
        <w:tc>
          <w:tcPr>
            <w:tcW w:w="390"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分值</w:t>
            </w:r>
          </w:p>
        </w:tc>
        <w:tc>
          <w:tcPr>
            <w:tcW w:w="427"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打分</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一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规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范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1、公厕免费按时开放，每厕定员管理，交接流畅，得5分，未做到的，每次扣1分。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2、公厕内设施、设备完好，无破损，得5分，未做到的每处扣1分。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3、公厕标识按标准设置，公厕内外制度牌、标示牌悬挂规范，得5分，标识设置不规范、悬挂不明显每项每处扣2分。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4、管理职责明确、卫生制度健全有效的，得5分；职责不明、管理松懈的不得分。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二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优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服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务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1、公厕管理人员坚守岗位，统一着装、挂牌上岗，开展诚信优质服务的，得5分，未做到的，每项每次扣1分；擅自离岗、脱岗、顶岗、转包的不得分。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2、服务管理文明、规范，无投诉事件的，得10分，凡有投诉事件并查实有责的，扣5分；凡被新闻媒体批评或曝光的，情况属实的，扣5分。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3、公厕保洁工具摆放整齐合理的，得5分，未做到的，每处扣0.5分。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三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卫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生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量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1、公厕内外环境、设施（备）经常性保持整洁卫生，无乱写乱画的，得10分，未做到的，每项每处扣1分。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2、大小便池无污物、无尿渍、无痰迹、无堵塞、无恶臭的，得10分，未做到的，每项每处扣1分。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做好厕所清洗保洁工作，厕内无积灰，见脏即扫，蹲位隔档无污迹（对出现的野广告按隔档本色覆盖）、无蛛网、无灰尘，地面无积水，镜面干净、洗手池干净整洁，得10分，未做到的，每项每处扣0.5分；蚊蝇孳生期要定时进行消杀，未做到的每次扣1分，蚊蝇超标的扣1分，有卫生死角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四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设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施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1、灯光照明、电器设备保持安全有效，得10分。出现损坏未及时维修更换的，每处扣2分。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2、洁具、门窗、隔档无损的，得5分。出现损坏未及时更换的，每处扣1分。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3、消毒设施、防蝇帘、纱窗齐全的，得5分。出现损坏未及时更换的，每处扣1分。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4、地面、墙壁完好的，得5分。出现损坏未及时维修的，每处扣1分。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79" w:hRule="atLeast"/>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5、上下水、冲水设施完整有效的，得5分。出现损坏未及时维修的，每处扣1分。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bl>
    <w:p>
      <w:pPr>
        <w:pStyle w:val="24"/>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color w:val="000000"/>
          <w:sz w:val="13"/>
          <w:szCs w:val="13"/>
        </w:rPr>
      </w:pPr>
    </w:p>
    <w:p>
      <w:pPr>
        <w:pStyle w:val="24"/>
        <w:rPr>
          <w:rFonts w:hint="eastAsia"/>
          <w:lang w:eastAsia="zh-CN"/>
        </w:rPr>
      </w:pPr>
    </w:p>
    <w:p>
      <w:pPr>
        <w:pStyle w:val="24"/>
        <w:spacing w:line="240" w:lineRule="auto"/>
        <w:ind w:left="0" w:leftChars="0" w:firstLine="0" w:firstLineChars="0"/>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rPr>
      </w:pPr>
      <w:r>
        <w:rPr>
          <w:rFonts w:hint="eastAsia" w:ascii="方正小标宋简体" w:hAnsi="新宋体" w:eastAsia="方正小标宋简体" w:cs="Times New Roman"/>
          <w:color w:val="000000"/>
          <w:sz w:val="36"/>
          <w:szCs w:val="36"/>
          <w:lang w:eastAsia="zh-CN"/>
        </w:rPr>
        <w:t>西安</w:t>
      </w:r>
      <w:r>
        <w:rPr>
          <w:rFonts w:hint="eastAsia" w:ascii="方正小标宋简体" w:hAnsi="新宋体" w:eastAsia="方正小标宋简体" w:cs="Times New Roman"/>
          <w:color w:val="000000"/>
          <w:sz w:val="36"/>
          <w:szCs w:val="36"/>
        </w:rPr>
        <w:t>市环卫保洁精细化作业</w:t>
      </w:r>
      <w:r>
        <w:rPr>
          <w:rFonts w:hint="eastAsia" w:ascii="方正小标宋简体" w:hAnsi="新宋体" w:eastAsia="方正小标宋简体" w:cs="Times New Roman"/>
          <w:color w:val="000000"/>
          <w:sz w:val="36"/>
          <w:szCs w:val="36"/>
          <w:lang w:val="en-US" w:eastAsia="zh-CN"/>
        </w:rPr>
        <w:t>指引</w:t>
      </w:r>
      <w:r>
        <w:rPr>
          <w:rFonts w:hint="eastAsia" w:ascii="方正小标宋简体" w:eastAsia="方正小标宋简体"/>
          <w:color w:val="000000"/>
          <w:sz w:val="36"/>
          <w:szCs w:val="36"/>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rPr>
        <w:t>为</w:t>
      </w:r>
      <w:r>
        <w:rPr>
          <w:rFonts w:hint="eastAsia" w:ascii="仿宋_GB2312" w:hAnsi="仿宋_GB2312" w:eastAsia="仿宋_GB2312" w:cs="仿宋_GB2312"/>
          <w:i w:val="0"/>
          <w:caps w:val="0"/>
          <w:color w:val="000000"/>
          <w:spacing w:val="0"/>
          <w:sz w:val="24"/>
          <w:szCs w:val="24"/>
          <w:shd w:val="clear" w:color="auto" w:fill="FFFFFF"/>
          <w:lang w:eastAsia="zh-CN"/>
        </w:rPr>
        <w:t>进一步</w:t>
      </w:r>
      <w:r>
        <w:rPr>
          <w:rFonts w:hint="eastAsia" w:ascii="仿宋_GB2312" w:hAnsi="仿宋_GB2312" w:eastAsia="仿宋_GB2312" w:cs="仿宋_GB2312"/>
          <w:i w:val="0"/>
          <w:caps w:val="0"/>
          <w:color w:val="000000"/>
          <w:spacing w:val="0"/>
          <w:sz w:val="24"/>
          <w:szCs w:val="24"/>
          <w:shd w:val="clear" w:color="auto" w:fill="FFFFFF"/>
        </w:rPr>
        <w:t>提高我市城市环境卫生水平，建立健全</w:t>
      </w:r>
      <w:r>
        <w:rPr>
          <w:rFonts w:hint="eastAsia" w:ascii="仿宋_GB2312" w:hAnsi="仿宋_GB2312" w:eastAsia="仿宋_GB2312" w:cs="仿宋_GB2312"/>
          <w:i w:val="0"/>
          <w:caps w:val="0"/>
          <w:color w:val="000000"/>
          <w:spacing w:val="0"/>
          <w:sz w:val="24"/>
          <w:szCs w:val="24"/>
          <w:shd w:val="clear" w:color="auto" w:fill="FFFFFF"/>
          <w:lang w:eastAsia="zh-CN"/>
        </w:rPr>
        <w:t>环卫保洁</w:t>
      </w:r>
      <w:r>
        <w:rPr>
          <w:rFonts w:hint="eastAsia" w:ascii="仿宋_GB2312" w:hAnsi="仿宋_GB2312" w:eastAsia="仿宋_GB2312" w:cs="仿宋_GB2312"/>
          <w:i w:val="0"/>
          <w:caps w:val="0"/>
          <w:color w:val="000000"/>
          <w:spacing w:val="0"/>
          <w:sz w:val="24"/>
          <w:szCs w:val="24"/>
          <w:shd w:val="clear" w:color="auto" w:fill="FFFFFF"/>
        </w:rPr>
        <w:t>工作科学化、规范化、</w:t>
      </w:r>
      <w:r>
        <w:rPr>
          <w:rFonts w:hint="eastAsia" w:ascii="仿宋_GB2312" w:hAnsi="仿宋_GB2312" w:eastAsia="仿宋_GB2312" w:cs="仿宋_GB2312"/>
          <w:i w:val="0"/>
          <w:caps w:val="0"/>
          <w:color w:val="000000"/>
          <w:spacing w:val="0"/>
          <w:sz w:val="24"/>
          <w:szCs w:val="24"/>
          <w:shd w:val="clear" w:color="auto" w:fill="FFFFFF"/>
          <w:lang w:eastAsia="zh-CN"/>
        </w:rPr>
        <w:t>常态</w:t>
      </w:r>
      <w:r>
        <w:rPr>
          <w:rFonts w:hint="eastAsia" w:ascii="仿宋_GB2312" w:hAnsi="仿宋_GB2312" w:eastAsia="仿宋_GB2312" w:cs="仿宋_GB2312"/>
          <w:i w:val="0"/>
          <w:caps w:val="0"/>
          <w:color w:val="000000"/>
          <w:spacing w:val="0"/>
          <w:sz w:val="24"/>
          <w:szCs w:val="24"/>
          <w:shd w:val="clear" w:color="auto" w:fill="FFFFFF"/>
        </w:rPr>
        <w:t>化管理机制，以“绣花”功夫推进环境卫生精细化、智能化管理，</w:t>
      </w:r>
      <w:r>
        <w:rPr>
          <w:rFonts w:hint="eastAsia" w:ascii="仿宋_GB2312" w:hAnsi="仿宋_GB2312" w:eastAsia="仿宋_GB2312" w:cs="仿宋_GB2312"/>
          <w:i w:val="0"/>
          <w:caps w:val="0"/>
          <w:color w:val="000000"/>
          <w:spacing w:val="0"/>
          <w:sz w:val="24"/>
          <w:szCs w:val="24"/>
          <w:shd w:val="clear" w:color="auto" w:fill="FFFFFF"/>
          <w:lang w:eastAsia="zh-CN"/>
        </w:rPr>
        <w:t>赶超</w:t>
      </w:r>
      <w:r>
        <w:rPr>
          <w:rFonts w:hint="eastAsia" w:ascii="仿宋_GB2312" w:hAnsi="仿宋_GB2312" w:eastAsia="仿宋_GB2312" w:cs="仿宋_GB2312"/>
          <w:i w:val="0"/>
          <w:caps w:val="0"/>
          <w:color w:val="000000"/>
          <w:spacing w:val="0"/>
          <w:sz w:val="24"/>
          <w:szCs w:val="24"/>
          <w:shd w:val="clear" w:color="auto" w:fill="FFFFFF"/>
        </w:rPr>
        <w:t>一流城市水平，根据</w:t>
      </w: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GB55013-2021</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和西安市《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T3057-2019</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等规定，结合我市工作实际，制定本</w:t>
      </w:r>
      <w:r>
        <w:rPr>
          <w:rFonts w:hint="eastAsia" w:ascii="仿宋_GB2312" w:hAnsi="仿宋_GB2312" w:eastAsia="仿宋_GB2312" w:cs="仿宋_GB2312"/>
          <w:i w:val="0"/>
          <w:caps w:val="0"/>
          <w:color w:val="000000"/>
          <w:spacing w:val="0"/>
          <w:sz w:val="24"/>
          <w:szCs w:val="24"/>
          <w:shd w:val="clear" w:color="auto" w:fill="FFFFFF"/>
          <w:lang w:val="en-US" w:eastAsia="zh-CN"/>
        </w:rPr>
        <w:t>指引</w:t>
      </w:r>
      <w:r>
        <w:rPr>
          <w:rFonts w:hint="eastAsia" w:ascii="仿宋_GB2312" w:hAnsi="仿宋_GB2312" w:eastAsia="仿宋_GB2312" w:cs="仿宋_GB2312"/>
          <w:i w:val="0"/>
          <w:caps w:val="0"/>
          <w:color w:val="000000"/>
          <w:spacing w:val="0"/>
          <w:sz w:val="24"/>
          <w:szCs w:val="24"/>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一、总则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（一）环卫保洁坚持“政府主导、</w:t>
      </w:r>
      <w:r>
        <w:rPr>
          <w:rFonts w:hint="eastAsia" w:ascii="仿宋_GB2312" w:hAnsi="仿宋_GB2312" w:eastAsia="仿宋_GB2312" w:cs="仿宋_GB2312"/>
          <w:sz w:val="24"/>
          <w:szCs w:val="24"/>
        </w:rPr>
        <w:t>企业</w:t>
      </w:r>
      <w:r>
        <w:rPr>
          <w:rFonts w:hint="eastAsia" w:ascii="仿宋_GB2312" w:hAnsi="仿宋_GB2312" w:eastAsia="仿宋_GB2312" w:cs="仿宋_GB2312"/>
          <w:color w:val="000000"/>
          <w:sz w:val="24"/>
          <w:szCs w:val="24"/>
          <w:lang w:val="en-US" w:eastAsia="zh-CN"/>
        </w:rPr>
        <w:t>运营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、区划为主”的原则，以规范化作业、标准化管理为路径，着力推进作业单位集团化、作业标段规模化、作业方式机械化。以“城市清洁行动”为抓手，持续开展“环卫保洁精细化”行动。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（二）</w:t>
      </w:r>
      <w:r>
        <w:rPr>
          <w:rFonts w:hint="eastAsia" w:ascii="仿宋_GB2312" w:hAnsi="仿宋_GB2312" w:eastAsia="仿宋_GB2312" w:cs="仿宋_GB2312"/>
          <w:i w:val="0"/>
          <w:caps w:val="0"/>
          <w:color w:val="000000"/>
          <w:spacing w:val="0"/>
          <w:sz w:val="24"/>
          <w:szCs w:val="24"/>
          <w:shd w:val="clear" w:color="auto" w:fill="FFFFFF"/>
          <w:lang w:val="en-US" w:eastAsia="zh-CN"/>
        </w:rPr>
        <w:t>本指引规定了城市和县城建成区道路清扫保洁作业、公共厕所保洁、其他环卫设施保洁、清扫保洁作业车辆管理、环卫作业人员行为规范、保障与应急环卫作业等环境卫生作业方面的具体要求。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三）大力推行环卫作业机械化，通过多种方式促进环卫企业加快改进更新环卫作业设施设备，增加机械化洗扫和重度污染清洗作业车辆，特别是适用于背街小巷、辅道和人行道作业的小型作业机具（小型扫地车、热水高压清洗机、吸尘机），扩大机械化作业范围，道路机械化清扫率达到省、市相关标准以上。同时，做好不同机械与人工替换率的测算，最大程度减少人工使用和降低环卫工人劳动强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lang w:val="en-US" w:eastAsia="zh-CN"/>
        </w:rPr>
        <w:t>（四）</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大力推行绿色环保、节能减排作业方式，持续推进环卫作业机具设备提档升级，使用新能源环卫作业车辆。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黑体" w:hAnsi="黑体" w:eastAsia="黑体" w:cs="黑体"/>
          <w:i w:val="0"/>
          <w:caps w:val="0"/>
          <w:color w:val="333333"/>
          <w:spacing w:val="0"/>
          <w:kern w:val="0"/>
          <w:sz w:val="21"/>
          <w:szCs w:val="21"/>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二、道路清扫保洁</w:t>
      </w:r>
      <w:r>
        <w:rPr>
          <w:rFonts w:hint="eastAsia" w:ascii="黑体" w:hAnsi="黑体" w:eastAsia="黑体" w:cs="黑体"/>
          <w:i w:val="0"/>
          <w:caps w:val="0"/>
          <w:color w:val="333333"/>
          <w:spacing w:val="0"/>
          <w:kern w:val="0"/>
          <w:sz w:val="21"/>
          <w:szCs w:val="21"/>
          <w:shd w:val="clear" w:color="auto" w:fill="FFFFFF"/>
          <w:lang w:val="en-US" w:eastAsia="zh-CN" w:bidi="ar"/>
        </w:rPr>
        <w:t>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（一）环卫保洁作业范围</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i w:val="0"/>
          <w:caps w:val="0"/>
          <w:color w:val="000000"/>
          <w:spacing w:val="0"/>
          <w:sz w:val="24"/>
          <w:szCs w:val="24"/>
          <w:shd w:val="clear" w:color="auto" w:fill="FFFFFF"/>
          <w:lang w:val="en-US" w:eastAsia="zh-CN"/>
        </w:rPr>
        <w:t>1.</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城市和县城建成区内市政道路的车行道、人行道、高架桥（快速路）、车行隧道、立交桥、人行过街天桥、公共广场等路面均属环卫清扫保洁作业范围。</w:t>
      </w:r>
      <w:r>
        <w:rPr>
          <w:rFonts w:hint="eastAsia" w:ascii="仿宋_GB2312" w:hAnsi="仿宋_GB2312" w:eastAsia="仿宋_GB2312" w:cs="仿宋_GB2312"/>
          <w:i w:val="0"/>
          <w:caps w:val="0"/>
          <w:color w:val="000000"/>
          <w:spacing w:val="0"/>
          <w:sz w:val="24"/>
          <w:szCs w:val="24"/>
          <w:shd w:val="clear" w:color="auto" w:fill="FFFFFF"/>
          <w:lang w:val="en-US" w:eastAsia="zh-CN"/>
        </w:rPr>
        <w:t>按照人流量、车流量、商业门店密度、重要场所分布等参数，以及主干道、次干道（连通道）、</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背街小巷道路分布，分为三个等级，具体划分为一级、二级、三级（见附件）。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sz w:val="24"/>
          <w:szCs w:val="24"/>
          <w:lang w:val="en-US" w:eastAsia="zh-CN"/>
        </w:rPr>
        <w:t>2.机动车道、立交桥、高架桥、跨线桥、非机动车道、人行道、人行天桥、广场及栏杆、隔离墩（桩、墙）等环卫清扫保洁，适合机械清扫的，应当以大、中、小型洗扫车或吸尘车作业为主；不适合机械清扫作业的，应匹配相应作业人员，实行人工清扫作业。人工清扫作业主要采用防尘软扫帚，避免产生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（二）道路清扫保洁作业质量标准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1.道路清扫保洁作业应做到车行道、高架桥和立交桥路面、人行道、下水道入水口、墙角、道牙石下等部位洁净无积尘、污水、污渍和废弃物，道路及两侧可视范围内无暴露垃圾。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2.道路清洗作业应做到车行道、高架桥和立交桥路面、人行道路面及交通护栏（如有移交）、隔离带下等道路附属设施洁净见本色，无泥沙、浮土、污水、灰带、扬尘。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3.车行隧道、人行过街天桥清扫保洁应做到路面干净、无积存污水和垃圾，达到与所连接道路高标准一侧相同的清扫保洁质量标准。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4.公共广场保洁标准：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（1）路面干净，无污垢及附着物、积水，人行道上无粘性物。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（2）广场各部位干净、整洁，无浮土、渣土、污水、烟头、纸屑、瓜果皮核、痰迹、粪便及其他污物。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（3）广场附属公共设施完好、表面清洁，无积尘、油迹、锈迹，标识清晰可见，无乱涂写、乱张贴、乱刻画。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（三）人工清扫保洁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所有等级道路执行“一普扫+全保”作业模式，每天除“普扫”使用大扫帚外，其余时间全部使用小扫帚或捡拾夹进行保洁。春夏季“普扫”6:30前完成，秋冬季“普扫”7:00前完成。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i w:val="0"/>
          <w:caps w:val="0"/>
          <w:color w:val="333333"/>
          <w:spacing w:val="0"/>
          <w:kern w:val="0"/>
          <w:sz w:val="21"/>
          <w:szCs w:val="21"/>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有道路实行全日制分班保洁作业。环卫保洁人员配备按一级道路2班制作业，每班次3000平方米配备1名保洁员；二级道路2班制作业，每班次3125平方米配备1名保洁员；三级道路2班制作业，每班次3800平方米配备1名保洁员。各作业单位应组建不少于10%的保洁轮休人员（含保洁应急队伍），以保证保洁人员轮休和快速解决市区范围内突发的市容环境卫生事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道路保洁实行巡查员负责制，每3-5个作业路段为一个巡查区域，设巡查人员1名。每个作业路段配备相应的小型密闭式垃圾收运车辆，各类道路每名保洁员作业区为一个作业段，对保洁员实行编号定位。每名保洁员配备大扫把1把、小扫帚1把、保洁簸箕1个，捡拾夹、“野广告”清理铲及其它保洁工具等，清扫和保洁工具手把及小型密闭式垃圾收运车辆后箱应贴涂反光标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（3）人工清扫应按照“七扫”的基本要求进行，即：头遍先普扫，面向车辆扫，有风顺风扫，商店门口轻轻扫，公交车站重点扫，沟底灰沙用力扫，窨井墙角不漏扫。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（4）人工清扫作业时注意以下规范：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①</w:t>
      </w:r>
      <w:r>
        <w:rPr>
          <w:rFonts w:hint="eastAsia" w:ascii="仿宋_GB2312" w:hAnsi="仿宋_GB2312" w:eastAsia="仿宋_GB2312" w:cs="仿宋_GB2312"/>
          <w:sz w:val="24"/>
          <w:szCs w:val="24"/>
          <w:lang w:val="en-US" w:eastAsia="zh-CN"/>
        </w:rPr>
        <w:t xml:space="preserve">在清扫中间护拦时要提高警觉，注意防范来往车辆。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②</w:t>
      </w:r>
      <w:r>
        <w:rPr>
          <w:rFonts w:hint="eastAsia" w:ascii="仿宋_GB2312" w:hAnsi="仿宋_GB2312" w:eastAsia="仿宋_GB2312" w:cs="仿宋_GB2312"/>
          <w:sz w:val="24"/>
          <w:szCs w:val="24"/>
          <w:lang w:val="en-US" w:eastAsia="zh-CN"/>
        </w:rPr>
        <w:t xml:space="preserve">保洁道牙边时要带扫1米宽的路面，将废弃物扫至沟边依次归堆，并应与窨井口保持1米以上的距离，避免垃圾落入窨井口内。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辅以机械洒水或清洗作业时，应先推水，后清扫。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行道树产生较多落叶时，要增加巡回保洁次数，并及时清运枯枝落叶。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（5）一级道路非机动车道、人行道、十字路口、人行天桥、绿化带花台、树池、工具箱、果皮箱、雨水篦、井盖表面等局部污渍清洗及零星垃圾，其巡回保洁和捡拾在15分钟内处理。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二级道路非机动车道、人行道、十字路口、人行天桥、绿化带花台、树池、工具箱、果皮箱、雨水篦、井盖表面等局部污渍清洗及零星垃圾，餐饮饭店、集贸市场、车站、医院等人流密集场所和建设工地周边，其巡回保洁和捡拾在20分钟内处理。三级道路其巡回保洁和捡拾在40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（7）一级道路设置的环卫设施擦洗每日不少于1次。二级、三级道路设置的环卫设施擦洗每两日不少于1次。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（8）清扫保洁产生的垃圾应及时收集转运，并达到以下作业要求：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清扫保洁垃圾应定时定点清理，做到工完场清，其中春夏季普扫垃圾应于每天 6:30 前清理完毕，秋冬季普扫垃圾应于每天 7:00 前清理完毕,严禁将垃圾裸露堆放路面。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不得往花坛绿地倾倒垃圾，不得将垃圾、泥沙扫入下水道进水篦，保持下水道井眼干净整洁无污物。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清扫保洁垃圾收集、运输过程中不得有撒落、飞扬、污水滴漏等现象。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清扫保洁垃圾收集容器应摆放整齐，容器周边无撒落。垃圾容器清理后，其内应无留存垃圾及污水、外观整洁，才能重新复位。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⑤</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清扫保洁作业人员不得将垃圾、落叶或泥渣直接清扫、倾倒至城市管网。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清扫保洁作业人员不得焚烧垃圾。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（9）雨停后及时清理下水道进水篦、井眼及其周边，并进行推水作业，防止路面积水、积泥和积污。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（10）对口香糖等粘性污渍，以及油污、乱涂乱写等顽固污渍，应使用铲刀、高压清洗机具以及必要的化学清洗制剂予以清除，并与底色保持一致。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（11）保洁作业结束后，作业工具应在规定地点摆放，不得在道路路面、墙角、绿化带、绿地中存放。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（四）机械化清扫保洁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级道路主、辅道机械洗扫作业每日不少于4次。每日05:00-07:00、20:00-22:00每条车道全覆盖作业；09:30-11:30、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二级道路机械洗扫作业每日不少于3次。每日05:00-07:00、10:00-17:00、20:00-22:00每条车道全覆盖作业,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3.三级道路机械洗扫作业每日不少于2次。每日05:00-07:00、20:00-22:00各作业1次；1月-3月，10月-12月适时增加作业次数，清理落叶和灰带。同时，根据道路情况也可采取人工清扫和冲洗作业相结合方式。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4.夏季气温超过35℃时，应当采取换班轮休等方式，缩短劳动者连续作业时间，日最高气温达到40℃以上时，应当停止人工作业，加强机械化作业。其他特殊天气作业时间和频次另行规定。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机械清扫作业时可根据路面污染情况，洗扫作业时行驶速度不超过8公里/小时，副机转速不低于2200转/分左右；保洁作业时行驶速度不超过15公里/小时，副机转速不低于1800转/分。作业时应严格按照放刷、喷水、调整箱体压力和刷盘转速、清扫的顺序进行操作；非特殊气候情况下，避免“干扫”；作业时禁止扫刷、吸盘不落地。作业完毕后应及时到指定场所排放污水和清、卸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（五）机械化道路冲洗除尘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1.作业要求：</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每年3月1日至11月1日执行“白天湿扫、夜间冲洗”道路的降尘作业模式，对所有道路实施夜间冲洗作业，冲洗作业为每日22:00－次日06:30进行。除道路污染应急处置、重大保障和重污染天气等特殊情况外，原则上不得白天作业。清晨、夜间作业时应打开警示灯、应急灯，禁止鸣报任何提示音乐，特殊情况确需白天作业时，要错开早晚交通高峰段（7:00-9:00，17:00-20:00），作业时要避让车辆和行人。建筑垃圾通道可根据实际情况适时开展道路冲洗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（2）秋冬季气温4℃及以下时，停止一切冲洒水作业；气温4℃以上时，每日上午10:00至下午16:00为道路冲洒水作业时段。重污染天气应急响应期间，道路冲洒水作业时间以市城管局通知为准。</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（3）雾喷洒水压尘作业要符合以下规定：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根据大气污染和臭氧防治应急响应机制要求，针对不同预警等级，分别按不同程度提高各时段洒水压尘频次。</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水要喷射成雾状，喷洒均匀，达到路面见潮不见水流的效果。作业覆盖宽度应与道路宽度适宜，做到应洒尽洒。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根据作业路段宽度、车辆作业宽度、道路交通条件，采取沿道路两侧、中央隔离带或中央黄线两侧适当位置与行车线相同方向进行压尘作业。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default"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车辆作业时，速度不应高于20km</w:t>
      </w:r>
      <w:r>
        <w:rPr>
          <w:rFonts w:hint="default" w:ascii="仿宋_GB2312" w:hAnsi="仿宋_GB2312" w:eastAsia="仿宋_GB2312" w:cs="仿宋_GB2312"/>
          <w:i w:val="0"/>
          <w:caps w:val="0"/>
          <w:color w:val="000000"/>
          <w:spacing w:val="0"/>
          <w:kern w:val="0"/>
          <w:sz w:val="24"/>
          <w:szCs w:val="24"/>
          <w:shd w:val="clear" w:color="auto" w:fill="FFFFFF"/>
          <w:lang w:val="en" w:eastAsia="zh-CN" w:bidi="ar"/>
        </w:rPr>
        <w:t>/h,</w:t>
      </w:r>
      <w:r>
        <w:rPr>
          <w:rFonts w:hint="eastAsia" w:ascii="仿宋_GB2312" w:hAnsi="仿宋_GB2312" w:eastAsia="仿宋_GB2312" w:cs="仿宋_GB2312"/>
          <w:i w:val="0"/>
          <w:caps w:val="0"/>
          <w:color w:val="000000"/>
          <w:spacing w:val="0"/>
          <w:kern w:val="0"/>
          <w:sz w:val="24"/>
          <w:szCs w:val="24"/>
          <w:shd w:val="clear" w:color="auto" w:fill="FFFFFF"/>
          <w:lang w:val="en" w:eastAsia="zh-CN" w:bidi="ar"/>
        </w:rPr>
        <w:t>洒水设备水压不应大于</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300kPa，喷雾设备水压应不大于15Mpa。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（4）雨后可开展机械高压冲洗除尘，同时进行路面积水清除作业。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w:t>
      </w:r>
      <w:r>
        <w:rPr>
          <w:rFonts w:hint="eastAsia" w:ascii="仿宋_GB2312" w:hAnsi="仿宋_GB2312" w:eastAsia="仿宋_GB2312" w:cs="仿宋_GB2312"/>
          <w:b w:val="0"/>
          <w:bCs w:val="0"/>
          <w:i w:val="0"/>
          <w:caps w:val="0"/>
          <w:color w:val="000000"/>
          <w:spacing w:val="0"/>
          <w:kern w:val="0"/>
          <w:sz w:val="24"/>
          <w:szCs w:val="24"/>
          <w:shd w:val="clear" w:color="auto" w:fill="FFFFFF"/>
          <w:lang w:val="en" w:eastAsia="zh-CN" w:bidi="ar"/>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冲洗除尘根据不同道路等级，制定清洗除尘方案。所有道路应以冲洗除尘为主，冲洗作业时车辆行驶速度为5-8公里/小时，出水口与地面之间角度调至最佳冲洗位置，压力不小于300kPa，夜间开启警示灯、应急灯、白天鸣放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冲洗除尘作业应当实行机械冲洗与机械化洗扫和人工辅助清扫相结合的方式，确保冲洗效果。建筑垃圾清运通道冲洗作业时，应先铲除路面泥饼，再冲洗、推水，建筑工地周边道路宜适当增加冲洗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（3）道路冲洗除尘实行定人、定车、定时、定标、定责“五定”制度。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高压清洗后，视路面清洁情况，可再用清洗车对路面进行一次冲刷，将污水、污渣彻底冲刷至道路两侧。清洗车紧邻道牙石作业时，应严格控制水压、水量，确保主水流在道牙石边缘前30厘米左右自然停下，避免污水、污物喷溅人行道或绿篱形成新的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（5）冲洗后及时采取有关措施进行推水作业，作业面应无泥沙、积水等。机械冲洗除尘时只可使用车辆前鸭嘴或高压冲洗架，不得采取对冲（地炮）式作业方式。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（6）车辆通行条件受限制的背街小巷，应采取人工清洗与小型机械清洗相结合的方式，作业流程按以下规定：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清洗作业前，对道路进行人工普扫或机械湿式普扫。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作业后，按从中央线向道路两侧的顺序，采用小型高压清洗车或洒水车单车分次巡回清洗，并视路面污染、积水情况安排洗扫收边。路面宽度允许时，可投入多车辆梯形一次性推进清洗。安装有交通护栏的路段优先清洗交通护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根据路面污染情况，可采用小型高压清洗车辆或人工方式对污染部位进行局部清洗。人行道采用小型高压清洗车对污染部位进行定点清洗。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白天至上半夜时段，原则上不进行背街小巷清洗作业，或仅用洒水车进行中小水量雾洒压尘，避免扰民。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（7）在道路突发污染事故（如车辆漏油、颜料污染等）、渣土严重污染、环境保障等情况下，需要进行应急或补救性道路清洗时，需向行业主管部门报告，经批准后实施。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根据污染情况、作业时限、作业数量和质量要求，确定作业方式、作业机械设备种类和数量，并统一集中调度，以便在规定的时间内保质保量完成清洗作业。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作业前，应先在来车方向 100 米处放置安全锥筒或其它合适的警示标志，以保证作业安全和道路通行安全。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渣土污染严重时，应先以人工方式铲除泥土，再用清洗车喷水浸泡和清洗路面污染，最后由洗扫车将污水污物收扫、吸干、运走。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油污、颜料、涂料等污染路面，应先在污染路面铺撒干沙，人工清扫让干沙充分吸污；污染严重时，应多次更换干沙，人工反复搓扫路面，让干沙充分吸收污物，再将污沙运走清除；然后用高压清洗车清洗受污染路面，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（1）冲洗除尘作业频次应根据路面尘土量、天气情况和空气质量确定。春夏季夜间作业时一级道路每周晚间冲洗5次以上；二级和三级道路每周晚间冲洗道路 3次以上；建筑垃圾清运通道每晚冲洗道路 2 次以上；人行道每周白天冲洗2次以上；集贸市场、早（夜）市及人流量较大区域的周边道路及人行道宜适当增加作业频次。秋冬季作业时对有大型货运车辆经过的道路每天白天最多可开展2次冲洗除尘作业，其它路段每两天开展1次道路冲洗除尘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（2）道路两侧下水井口周边油渍及其它污染物冲洗，应采用小型高压高温冲洗设备，做到“即见即洗”。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三、道路清扫保洁作业车辆管理</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（一）车容车貌要求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1.始终保持车容整洁，专用标志清晰、完整，专用设备、警示灯和指示板灵敏有效、无残缺，车尾应有反光标志（或加贴反光膜）。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2.出车前应对汽车玻璃、车身、轮胎外表进行全面擦拭，车体应干净整洁，无积灰积尘和杂物，车体外观无明显破损，非垃圾接触部位应无污渍、见本色。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3.作业时应保持车身无牵挂，车厢密封、遮盖良好，无垃圾外露、污水外溢等现象；垃圾接触部位，应保持视觉范围内无污物和明显污渍、无垃圾杂物暴露。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4.回场后应及时进行彻底清洗，并将清洗出的垃圾污物投放至指定容器，保持车辆清洗场地清洁，保证车体和车辆轮胎干净无污物，做到脏车不过夜。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5.车辆清洗完毕应做好例行保养工作，认真填写路单、例保簿、仔细检查车容车况，若发现故障，应及时填写小修记录单，最后将车辆按规定位置停放好。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6.车辆驾驶室内应干净整洁，并应按照交通法规要求，正确张贴审验标志，不乱张贴、放置其他与工作无关的物品。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7.车辆定期检查、按时维保，确保关键部件（作业部件、密封件、防滴漏件、警示灯、反光条、环卫标识、灭火器、应急锥筒）配件齐全，外观和功能完好，出现故障、破损、缺失后原则上 72 小时内完成修复更新。各区环卫作业车辆完好率应保持在 85%以上。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（二）维护保养要求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1.车辆完成作业后，必须停放至指定的场所，非工作需要不得动用。停车场地要有固定值班室，由专人看管，负责车辆停放后的安全保卫工作。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2.车辆驾驶员应按车辆技术要求做好日常检查工作，做好车容车况检查，确保车辆性能完好和车容整洁。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辆驾驶员应认真执行车辆一、二级维护保养制度，严格落实出车前检查、途中检查和回停车场后的保养工作，具体检查全车水、电、油、气有无滴、漏现象，清洗车辆外表和垃圾箱内外，加注各润滑点位润滑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4.做好每天车辆出车前、作业过程中和车辆回场后的车辆检查工作，确保环卫车辆安全行车，正常作业。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（三）车辆操作要求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1.应对机械化清扫保洁车辆进行定车、定员、定时、定路段管理，在遵守交规和保证安全、文明作业、文明行车前提下，完成当日清洗保洁任务。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2.出车前，驾驶员应做好车辆检查，特别是对油泵、扫刷、喷水嘴要调整适当，确保车况良好、操作规范、文明行车、文明作业、按规定线路和时间作业。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3.清扫保洁作业时，操作人员应按如下要求运行作业车辆：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（1）打开警示灯、应急灯（大车）、鸣放提示音乐（区县播放：《东方红》，开发区播放《歌唱祖国》）。22:00 时至次日 7:00 时，只开启警示灯、应急灯，暂停播放提示音乐或调低提示音乐音量，避免噪音扰民。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（2）遇前方有车辆、行人时，注意及时避让。中、高考等重要考试期间，洒水车途经考场周边道路时应及时关闭洒水提示音乐。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（3）根据路面污染程度、清扫保洁对象和作业条件，设定发动机转速、喷水、扫刷、风机等装置的初始状态，开启喷水降尘设备湿法作业，作业运行速度清扫保洁车辆不超过 8 公里/小时、高压清洗车辆不超过 15 公里/小时；作业时，使用高压小流量清洗，不得使用低压大流量冲水。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洗扫车主刷落地高度一般降至刷苗稍压地面为宜，吸盘箱调整到紧贴路面的位置，做到道牙根无浮土、无污物，作业过程不扬尘、不漏土、不扰民。扫刷、吸嘴胶轮磨损后要及时调整或更换，经常保持正常的扫刷触地压力和吸嘴离地间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（5）及时调整喷头位置与水压，保证路面清洗和洒水效果，保证不溅污、不扰民。涉水车辆要到指定地点加注水，并注意节约用水。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（6）遇到大块物（如砖块）、大面积垃圾（如纸板）、长树枝等杂物时，先用人工将其清除；遇见较大的障碍物或凹坑时不可强行通过，以免损坏机件。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（7）作业质量、效果下降或出现异常情况，应及时停机检查。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4.完成作业任务后，应按如下要求进行操作和管理：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（1）按规定的线路及时清收清洗保洁垃圾，并将垃圾运送指定的生活垃圾收集点，做到工完场清。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（2）不得往绿地花坛倾倒垃圾，不得将垃圾、泥沙扫入下水道进水篦，不堵塞下水道井眼。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（3）将作业车辆停放至指定场所，并进行清理和清洗，保持车容车貌。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（4）对车辆进行全面的维护保养，及时消除故障隐患，保证车辆出勤率，提高作业效率与质量。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5.恶劣天气情况下（五级以上大风及大雨、下雪），应暂停机械冲洗保洁作业。气温 4℃及以下应暂停涉水保洁作业。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6.遇有重大保障活动和道路突发污染事故，各类作业车辆应迅速到位，在交管部门的配合下于清理点位来车方向100米处设置路面警示标志，并有效配合其他人员和车辆快速处置，确保路面的干净整洁。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7.作业车辆涉水作业时，遇电线、电器应压低水头或调近喷射距离，避免水溅电线造成安全事故。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（四）新能源车辆操作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1.检修、维护高压部分维保人员必须取得行业主管部门颁发的电工作业许可证并由厂家培训合格后方可上岗。整车携带高压部分，非专业人员禁止拆卸、打开，防止漏电造成人身伤害。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2.严禁用水冲洗驱动电机、控制器、电池箱等高低压电器，以免器件损坏或发生触电危险。涉水行车时，路面积水深度应不超过电机下表面，控制车速不超过 10km/h。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3.充电作业由指定的专人进行，上岗前需培训。动力电池电量满足里程需求，回到充电站后不低于 20%，防止因电量不足导致抛锚。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4.行驶中尽量匀速驾驶，避免急加减速，多采用预见性制动。合理控制车辆行驶速度，控制最高车速，保证电机运转在高效区或高效区附近。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5.当车辆出现电机高温或故障时，应降低车辆动力输出，降低车速，报修处理。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6.当车辆需要拖车时，必须将传动轴或半轴拆掉，防止拖车过程中电机旋转发电，导致集成式电机控制器损坏。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7.车辆停放区域要远离热源和易燃、易爆等危险区域，不得停放在低洼的地方，防止下雨积水浸泡车辆导致车辆损坏。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8.车辆若长期存放超 1 个月，为防止纯电动车辆动力蓄电池活性降低，甚至导致动力蓄电池报废，应每间隔一个月充、放电维护一次。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四、公共厕所清扫保洁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（一）公共厕所基本要求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1.公共厕所应按规定的时间准时免费开放：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（1）火车站或高铁站、汽车站周边和其他全天候对外开放的窗口地带以及人流量较大的区域，公厕应实行 24 小时全天候开放、全天候保洁。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（2）其它沿街公厕开放时间应实行 16 小时开放和保洁，视情况可为 5:00-21:00 或 6:00-22:00。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（3）景区、社区、商场或相关单位内部对外开放的公厕，应根据所在场所开放时间、使用需求和时令季节变化等情况，适时调整开放时间。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2.城市化区域公厕应至少按照“一厕一人”专人负责制配置公厕管理人员，在此基础上应按照 8 小时/班次要求配备公厕管理人员，即 24 小时开放的定员 3 人，16 小时开放的定员 2 人，厕位较多的应按 10 个厕位配备一名公厕管理人员。定员 2 人及以上的公厕，应同时配备男性和女性公厕管理人员，方便清洁男女厕。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3.公共厕所应按相关标准设置指示和标识标志牌：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（1）在公共厕所周边50m-200m半径内的不同方向道路上，可按照“多杆合一”要求，各设置不少于2块指向牌，优先在岔路口设置，指示距离误差不超过±20米。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（2）在厕外醒目位置公示厕所编号、开放时间，在厕内醒目位置公示厕所管理制度、类别（一、二、三类，固定式或移动式）、管理单位名称、厕管人员名称和照片、监督投诉电话、文明如厕公约等信息。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（3）厕内应设置规范、醒目的男厕、女厕、残疾人、母婴、老年人等各类标识牌，注意阶梯、小心地滑等安全提示，文明如厕、禁止吸烟等文明提示，不得使用涂写、刻画等非正规标识牌形式。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（4）除残疾人间外，应在一定数量的蹲位内设置老年扶手，并在蹲位门上设置醒目的提示标识。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4.公共厕所各类附属设施完好、整洁，做到自来水通、照明电路通、排污管道通，在清扫保洁作业时必须悬挂作业提示牌。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内管线要定时检修，并保持干净完好；内外部照明灯具、标志、洗手器具、面镜、挂衣钩、烘手机、冲水设备无损伤；化粪池窨井盖丢失或损坏应及时补充维修，确保正常使用。公共厕所维修维护时，应悬挂提示标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6.定期开展化粪池清掏、疏通作业，每个化粪池每年至少清掏二次，并根据管道堵塞情况随时开展清掏，减少化粪池内的杂物、粪渣和沼气浓度，确保无粪便外溢：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（1）由专业队伍进行清掏作业，做好必要防护措施，确保作业安全。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（2）粪便收集和运输设备应具备良好密封性，确保无滴漏、无异味外泄。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（3）粪便清理时应保持作业场地清洁、无粪污遗撒。贮（化）粪池清掏作业结束后，应盖严清掏口并及时清理场地和清掏工具。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（4）对清掏产生的粪渣进行无害化处理或回收利用，避免造成环境污染。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（5）化粪池盖上应有“内有沼气、勿扔烟头、避免明火”等安全警示标识。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7.应确保在雨雪天气下内部地面干净、防滑，并注意保持通风设施运转良好，防止恶臭气体或易燃易爆气体聚集，保障如厕人员不会因此而发生意外伤害事件。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8.公厕管理人员不得擅自接水接电，应保证内部照明设施完好和照明强度足够，并应保持管理室内通风透气，确保清扫保洁和管理人员的人身安全。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9.公厕管理人员在公厕开放时间内不得无故离岗，确有正规原因必须离岗的，应在厕内公示离岗时间，且全天一般不得超过 1 小时。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10.公厕内应设置保洁服务日志，清扫保洁、设施排查、设施维护、病媒防治、化粪池清掏等工作均做好记录，随时备查。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11.公厕不得无故关闭封停，确因施工维修、待拆迁等原因需要封闭的，应在厕外醒目位置公示关闭理由及重新开放时间。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（二）公共厕所清扫保洁作业要求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1.公厕管理人员应每天在公厕开放前至少 10 分钟到岗，穿戴专门工作服、佩带胸牌，检查公厕内用水、用电、排水设施，对厕内及周边环境、大小便池、纸篓和垃圾容器等部位进行一次全面清理，确保干净、整洁、有序。发现设施缺失、破损、故障、管道堵塞，应在第一时间记录、上报和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2.公厕管理人员在每天上下班高峰时段来临前（早 7:00 前、晚 17:00前），对公厕内外责任区域进行一次全面清扫保洁。人流量较大期间，巡回保洁频次一般不超过 15 分钟；其他时段厕内巡回保洁频次一般不超过半小时，随时保持厕内外环境卫生达标。非 24 小时开放的公厕，公厕管理人员在夜间下班前应严格按照：备、冲、倒、洗、擦、拖、补、喷程序结束全天工作，关闭大门、窗户及其他通电、通水设备。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3.清扫保洁作业时，按以下流程和要求进行：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（1）设置清扫保洁作业提示标志；地面清扫保洁后，应设置防滑标志。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（2）依次涮洗便坑、马桶，做到便池无碱迹、痰迹，便器里外干净；用清洁剂刷洗面盆、云台表面，重点涮洗内侧壁，不留污渍、污迹；再把地面、蹲板积水清扫干净。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（3）用消毒液消毒面盆、马桶盖、马桶内壁，并保持马桶盖及座圈干燥卫生。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（4）用固定抹布擦拭手可触及墙、门隔板、墙上设备（应急灯、洗手液箱、烘干器等表面）。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（5）不得用水冲墙壁、窗纱和门等，应用干抹布擦拭干净，直到用手摸窗台、门窗等没有尘土为止。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（6）雨、雪天气应在厕内主要通道和阶梯处铺设防滑地毯；冬季厕内气温4℃以下时，不得用水冲洗地面及阶梯，确保地面不打滑、不积水、不结冰；在醒目位置设置“注意地滑”、“注意阶梯”等警示标语。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（7）应每天对公共厕所进行全面消毒杀菌 1 次。消杀时应对公共厕所开放区域全面喷洒消毒药剂，每天检查箱内毒饵情况，及时更新补充。有效控制各类病媒及“四害”。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4.公厕管理人员应熟练使用厕所设备，并主动向如厕人员介绍公厕设备的正确使用方法。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5.公厕管理人员进入异性厕所前，必须问清楚厕所内是否有人使用，确定厕所无人使用时，再进入清扫保洁，并在门口放置“正在作业”提示牌。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6.在清扫保洁作业进行时如有人用厕，不得把水溅洒到如厕人身上，避免与如厕人发生纠纷。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使用中，遇有管道堵塞、粪井满溢、设施损坏（老年扶手、脚踏板、蹲坑、座盆、门窗纱、井口、井盖、井圈、厕牌、宣传牌、瓷砖等）及水电问题，应及时上报有关部门，做到当天任务当天完成并在最短时间内解决，避免影响市民如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8.应定期擦拭公厕设置的各类标牌，保持其干净、整洁；管理间的清扫保洁工具应摆放有序、干净、整洁。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（三）公共厕所清扫保洁质量要求</w:t>
      </w:r>
      <w:r>
        <w:rPr>
          <w:rFonts w:hint="eastAsia" w:ascii="楷体_GB2312" w:hAnsi="楷体_GB2312" w:eastAsia="楷体_GB2312" w:cs="楷体_GB2312"/>
          <w:b w:val="0"/>
          <w:bCs w:val="0"/>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1.公共厕所内区域管理服务应达到以下要求：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（1）采光和通风条件应良好，按要求配置照明和排气除臭硬件设施，确保各类设施设备配置齐全、数量充足、效果良好、满足需要，厕内保持全天候无明显异味。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厕内地面、墙壁、天花板、门窗等部位，以及照明灯具、洗手台、面镜、隔板、冲水设备、灭蚊灯具、通风除臭设备及其他各类公厕硬件设施洁净且外观完好，无破损、锈迹、污垢、积尘、积水、蛛网、屎尿、废弃物，无乱涂写、乱刻画、乱张贴，无杂物乱堆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（3）大小便池及时冲洗，无屎尿等污物残留，无明显污渍污垢。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（4）纸篓和垃圾桶及时清理，无废弃物满溢。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（5）应配置厕位扶手、挂衣钩、置物架等服务设施，视条件提供厕纸、洗手液、烘手机、温水洗手、厕位引导等服务。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（6）拖把、水桶、抹布、扫把等作业工具应放置或晾晒于专门的工具间、工具架，或其他厕内外隐蔽位置，确保不影响观瞻。厕内主要通道、洗手台、厕位内不得放置作业工具和其他影响观瞻及通行的物品。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（7）基本无蚊蝇。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2.公共厕所周边 5 米以内公共区域（含花坛绿化带）的管理应达到以下要求：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（1）无垃圾、粪便、污水、污迹、杂草、蚊蝇孳生地。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（2）无杂物乱堆放、厕管人员衣物乱晾晒。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（3）保持道路清洁、畅通，贮粪池无满溢。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（4）无摆摊设点。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五、其他环卫设施</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（一）果皮箱</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1.作业标准：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果皮箱内的垃圾日产日清，无满溢现象，投放口周边整洁，无垃圾悬挂；箱体周围地面无撒落存留垃圾、无陈旧油污，箱体无破损、无锈迹、无污垢、无污渍，外观干净整洁。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2.作业时间及频次：</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二级道路（区域）果皮箱应当每日内部清掏、外部保洁，清掏和保洁每日不少于4次，即07:00-09:00、12:00-14:00、17:00-19:00、21:00-23:00。公交站台、小饮食店、繁华商业区等人口密集区域，应增加清掏、保洁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（2）三级道路（区域）果皮箱每日清掏和保洁不少于2次，即07:00-09:00、18:00-20:00；并根据箱体内垃圾存量随时清掏、保洁。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（1）果皮箱箱门、箱体等整洁无缺损、内壁整洁、标识清晰、配置垃圾袋方便投放，箱内垃圾积存不超过投放口；箱周围地面整洁。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（2）果皮箱的内桶应套装专用垃圾袋，清掏时扎口连袋收运，禁止将零散垃圾直接倒入收集车内。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（3）收集时应将可回收垃圾与其他垃圾进行分类分拣作业，对分类不正确的垃圾，进行二次分类后再行收集。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（4）连袋清掏垃圾后内桶重新套装专用垃圾袋，须将重新套好垃圾袋的内桶复位并关闭箱门，再对箱体及地面进行保洁。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（5）垃圾桶根据其形状、规格和尺寸，能够套袋的应套装垃圾袋，无法套袋的应将桶内及周边地面垃圾清理干净。</w:t>
      </w:r>
      <w:r>
        <w:rPr>
          <w:rFonts w:hint="eastAsia" w:ascii="仿宋_GB2312" w:hAnsi="仿宋_GB2312" w:eastAsia="仿宋_GB2312" w:cs="仿宋_GB2312"/>
          <w:i w:val="0"/>
          <w:caps w:val="0"/>
          <w:color w:val="FF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（二）环卫工具箱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1.环卫工具箱保持外表完好、整洁，无破损和锈蚀，无乱涂写、乱张贴、乱刻画；箱体文字、图片、标识清晰；上表面清洁，无积尘、油迹、锈迹。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2.保洁员工具箱常用尺寸为：长2.7*宽 0.5*高0.45m，也可根据需要定制尺寸。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3.保洁员工作箱应采用膨胀螺丝固定在地面上，以防被挪移，内部设箱体，用于储存物品和工具，侧面和正面都可以做门，需采用防盗锁。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（三）环卫工人作息室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1.环卫工人休息室位置原则上应保持隐蔽，不应设置于主次干道交叉路口附近，且不应对车辆、行人通行产生影响。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2.环卫工人休息室基本功能应齐全，满足环卫工人工间休息、更衣、纳凉、就餐，以及存放扫帚、铁锹、小扫帚、撮箕、拾捡器、小铲刀等清扫保洁作业工具需求，无人使用时应保持门、窗上锁。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3.环卫工人休息室应按要求配备灭火器等防火设施，小于50平方米，配备4kg的干粉灭火器不少于1具，并根据国家标准进行定期检测，确保灭火器在有效期内。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4.无环卫工人休息室的路段，不得将工具摆放在人行道上，要将工具存放在隐蔽位置，并摆放整齐，不影响观瞻。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环卫工人休息室内外应进行定期或不定期的清理，保持其内部及周边环境整洁、有序。禁止将作业工具随意摆放在环卫工人休息室外。存放在环卫工人休息室内的作业工具应定期进行清理、清洗、整饰，保持外观完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黑体" w:hAnsi="黑体" w:eastAsia="黑体" w:cs="黑体"/>
          <w:b w:val="0"/>
          <w:bCs w:val="0"/>
          <w:color w:val="000000"/>
          <w:kern w:val="0"/>
          <w:sz w:val="24"/>
          <w:szCs w:val="24"/>
          <w:lang w:val="en-US" w:eastAsia="zh-CN" w:bidi="ar"/>
        </w:rPr>
        <w:t>六、环卫作业人员管理</w:t>
      </w:r>
      <w:r>
        <w:rPr>
          <w:rFonts w:hint="eastAsia" w:ascii="仿宋_GB2312" w:hAnsi="仿宋_GB2312" w:eastAsia="仿宋_GB2312" w:cs="仿宋_GB2312"/>
          <w:b/>
          <w:bCs/>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（一）仪容仪表</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1.作业人员应统一着装，保持衣帽整齐，并佩戴工号牌，且有所属单位的明显标志、作业工种等标识。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2.作业人员着装应满足以下要求：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（1）工作帽帽沿应向正前方，不得歪戴帽。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（2）纽扣应扣齐，不得敞开外衣。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（3）非工作需要不得将衣袖、裤管卷起，作业时不得将衣服搭放在肩上。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（4）统一佩带工作牌，工作牌应佩戴在左胸襟处。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（5）非特殊情况不得穿背心、短裤、拖鞋、打赤脚作业。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（6）夜间和雾天作业时必须穿反光标志服（反光背心）；雨雪天气作业时应穿戴环卫标志雨衣，不允许打伞作业。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（二）文明作业</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1.服从领导与工作安排，相互支持、分工协作，发扬团队精神。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2.根据所辖路段的人流、车流情况，合理安排作业时间和方式，清扫机动车道中央分隔路面时要注意来往车辆，主动避开行人和车流高峰，以免发生意外。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3.上班时间不得与他人聊天，不得在岗上聚堆抽烟、吃零食；工作场合与他人同行时，不允许勾肩搭背，嬉戏打闹。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4.需要路人配合时，应使用“您好、请、对不起、让一让、谢谢”等文明用语，禁止使用“喂、走开点、让开”等命令式用语，尽量避免与路人发生矛盾。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5.清扫保洁作业时，作业人员行为要满足以下要求：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（1）认真做好各自管辖区域内的清扫保洁工作，作业期间不得坐岗、串岗、擅自离岗。特殊情况下需离岗时，应与邻近保洁员做好交接，离岗时间不得超过 10 分钟。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（2）注意行人和来往车辆，压低扫帚，不扬尘、不溅污、不扰民，礼貌待人；遇乱吐、乱扔、乱倒等不文明行为，应以文明、礼貌用语提醒劝阻。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（3）晨扫作业时，不得大声喧哗，以免影响居民休息。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（4）完工后，应将工具堆放整齐、冲洗污水处理干净，不对行人、周边环境和市民生活造成影响。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6.机械作业时，作业人员行为应达到以下要求：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（1）文明行车，严格遵守冲、洒水规范，遇行人密集处要减速慢行，控制音量，减少扰民。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（2）夜间收集垃圾时，应对作业车辆做到轻停放、轻开关门、轻上垃圾，尽量减少噪音。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（3）垃圾收集类车辆应外观干净整洁，不得有明显污渍、牵挂物，停放时应与道路呈平行方向；装载垃圾作业时，应避让行人视线。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7.公厕清扫保洁时，应避让来宾，尊重宾客的隐私，严禁与如厕人发生争吵。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8.发现求助信号时，应及时给予帮助，并协助相关人员处理善后事宜。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9.必须服从各级管理人员的管理，不得殴打、辱骂管理人员。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七、重大节假日、大型活动环卫应急保障</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（一）重大节假日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主要是指国家规定的政治生活或民俗生活中的社会喜庆、休息（闲）的非工作日或非工作时段，如国庆节、五一国际劳动节、元旦、春节、元宵节、端午节、中秋节、清明节等。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（二）进一步提高重点时段、重点地带的作业质量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1.主次干道全天候保持无暴露垃圾，保洁质量良好；无明显灰带，无渣土污染；容器清洁，随满随清；作业车辆整洁。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2.背街小巷内无暴露垃圾，垃圾点及时清运，保洁质量良好，容器整洁。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3.主次干道两侧公厕全天候管理人员值守，随时清洗，保持内外卫生整洁。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4.重大节假日道路环境保障按以下工作流程进行：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（1）普扫完成以后，进入全天候动态保洁阶段；洗扫车全天候于立交桥、主干道上作业；保洁人员不间断满覆盖作业；清运车辆高频率运转，保持随产随清。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（2）在非冬季节日里，洒水车上、下午各喷洒主干道一次。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（3）遇突发污染，高压冲洗车与人工配合及时清洗。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（4）公厕由值守管理人员动态清洁，保持厕内外卫生整洁。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（5）每个节假日之前，各责任单位对各自的作业车辆、容器进行一次彻底的清洗。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5.重大节假日道路环境保障应达到以下要求：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（1）增加保洁作业人员、清运车辆及技术人员配备，增加白天洗扫车或高压冲洗车值班作业，确保节日保障效果。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（2）各保障单位应组织节日应急保障队伍（以正常工作人员的10%配备），保持车辆及设备状况良好，以保证应对突发情况。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（3）公共厕所管理部门还应配备技术人员、作业车辆及相关设备，确保公共厕所正常使用，在人流密集区域，增加移动公厕数量。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（4）繁华路段、行人高峰时段、居民密集区实行重点保障，确保关键环节与薄弱环节环境卫生管理质量达标。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（5）各责任单位领导要带头值班、带班，电台或其他通讯设施通畅，做好全程合理调度与机动应急处理。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八、重大自然灾害及特殊天气环卫应急保障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（一）地震受灾环卫公厕应急保障作业基本要求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1.及时对公共厕所和化粪池进行逐个检查，彻底清扫、消毒、清掏粪液，防止粪便持续渗漏及外溢，污染环境和水源。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公共厕所严重受损及污水管网、粪便排放与处理设施不完善，或者严重受损的地区，以及在灾民聚集点，选择合适地点、合理布局，搭建临时公共厕所，并每日对厕所内部四壁、地面、便器等用10%漂白粉溶液喷洒消毒，同时喷洒灭蚊蝇药物，保持厕所内清洁卫生、无蛆蝇孳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按收运距离每50-70km配备1辆收运车进行粪便清运。粪便清运工具每日完成作业后，应进行冲洗和消毒处理。清运的粪便优先进入无害化处理设施或临时应急处理设施处置，并达到基本杀灭粪便中的病原菌和寄生虫卵的要求，避免居民区空气、土壤、水源的污染。粪便清运人员工作时穿隔离衣裤、长筒胶鞋，戴手套、口罩，并应对个人防护用品进行定期消毒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（二）暴雨洪水环卫作业应急保障基本要求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1.参与西安市政府组织的抗洪救灾工作，做好环境卫生紧急整治和控管工作。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2.暴雨过后，及时清除马路上的积水、淤泥、残渣、漂浮物等，垃圾车要加速加班转运，保证垃圾不在市内过夜。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3.遇到特大暴雨洪水灾害时，环卫工人要及时清除紧急避难场所及周边的垃圾，并配合做好防疫消毒工作。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4.洪灾过后，环卫工人应及时清理干净市民撤离后遗留的生活垃圾，做好环境卫生工作。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（三）大雾天气环卫应急保障作业基本要求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1.建立预警机制，提前掌握天气预报信息，做好安全防范与应急的各项准备工作。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2.清扫保洁作业时间段内出现大雾天气，只对人行道进行清扫保洁，待大雾散后再对车行道实施清扫保洁。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3.环卫工人应着反光标志服上岗，严禁在机动车道上作业；雾散后，在机动车道上作业应采取安全防护措施（安全警示牌、专人疏导车辆维护现场）。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（四）大风天气应急环卫作业保障基本要求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1.道路路面在秋冬大风季节会出现大面积、大量落叶与扬尘等，应及时进行清除。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2.进入秋季后，各环卫作业单位指定专人密切关注天气变化，提前做好应急人员及车辆的安排、部署。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3.重大活动、灾害性天气的落叶处置实行市城管部门总体调度，其他情况下由各区城管部门或保洁企业负责人现场调度。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4.采取洗扫车或吸尘车为主、人工为辅的作业办法清除落叶。遇有重大保障活动，应提前 1 小时完成清除落叶工作；遇有一般性保障活动，应提前半小时完成清除落叶工作。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（五）道路扫雪除冰应急保障基本要求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1.入冬前应根据有关规定，做好扫雪除冰的技术准备工作和应急预案，建立扫雪除冰作业指挥调度、网络系统，实行信息化管理，做好扫雪除冰机械设备的维修、保养和调试，机械设备完好率应大于90%。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2.根据道路的重要程度、交通流量、地理位置编排设计作业程序，并应以机械作业为主、人工作业为辅，合理使用环保型融雪剂，保护环境。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3.雨加雪时，应采用直接清扫的方法，将路面积雪、积水清扫干净，避免路面结冰。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4.扫雪除冰作业应做好行人、车辆的疏导和安全工作，作业人员应穿警示防护服。临时占道扫雪除冰作业时，应在作业路段设置符合交通标志要求的警示标志。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5.环保型融雪剂的选择与使用应达到以下要求：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（1）重要交通枢纽（含立交桥、高架桥和坡道）根据雪情预报，在降雪前、初时撒（洒）少量环保型融雪剂。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（2）环保型融雪剂使用时，应根据环境温度、积雪量选择种类，并严格控制施撒（洒）量。气温高于-5℃时，下雪前在引桥、立交桥等有坡度的道路上预施撒（洒）颗粒状环保型融雪剂的剂量不应大于10g/</w:t>
      </w:r>
      <w:r>
        <w:rPr>
          <w:rFonts w:hint="eastAsia" w:ascii="仿宋_GB2312" w:hAnsi="仿宋_GB2312" w:eastAsia="仿宋_GB2312" w:cs="仿宋_GB2312"/>
          <w:i w:val="0"/>
          <w:caps w:val="0"/>
          <w:color w:val="000000"/>
          <w:spacing w:val="0"/>
          <w:kern w:val="0"/>
          <w:sz w:val="22"/>
          <w:szCs w:val="22"/>
          <w:shd w:val="clear" w:color="auto" w:fill="FFFFFF"/>
          <w:lang w:val="en-US" w:eastAsia="zh-CN" w:bidi="ar"/>
        </w:rPr>
        <w:t>㎡</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中雪、大雪应先进行积雪清除，再根据路面剩余雪量，按规定使用量施撒（洒）环保型融雪剂；零星小雪和路面薄冰，可采取直接施撒（洒）环保型融雪剂的方式作业，人行便道交通设施不应使用氯化物类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（3）不含融雪剂的积雪，因地制宜就地处理；含有融雪剂的积雪，应单独收集、运输和处理，不应堆放在绿地、绿化带中。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sz w:val="24"/>
          <w:szCs w:val="24"/>
          <w:lang w:val="en-US" w:eastAsia="zh-CN"/>
        </w:rPr>
        <w:t>（六）</w:t>
      </w:r>
      <w:r>
        <w:rPr>
          <w:rFonts w:hint="eastAsia" w:ascii="楷体_GB2312" w:hAnsi="楷体_GB2312" w:eastAsia="楷体_GB2312" w:cs="楷体_GB2312"/>
          <w:sz w:val="24"/>
          <w:szCs w:val="24"/>
        </w:rPr>
        <w:t>泥土撒漏和路面污染</w:t>
      </w:r>
      <w:r>
        <w:rPr>
          <w:rFonts w:hint="eastAsia" w:ascii="楷体_GB2312" w:hAnsi="楷体_GB2312" w:eastAsia="楷体_GB2312" w:cs="楷体_GB2312"/>
          <w:sz w:val="24"/>
          <w:szCs w:val="24"/>
          <w:lang w:val="en-US" w:eastAsia="zh-CN"/>
        </w:rPr>
        <w:t>应急保障基本要求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一旦发现泥土撒漏或路面污染，</w:t>
      </w:r>
      <w:r>
        <w:rPr>
          <w:rFonts w:hint="eastAsia" w:ascii="仿宋_GB2312" w:hAnsi="仿宋_GB2312" w:eastAsia="仿宋_GB2312" w:cs="仿宋_GB2312"/>
          <w:sz w:val="24"/>
          <w:szCs w:val="24"/>
          <w:lang w:val="en-US" w:eastAsia="zh-CN"/>
        </w:rPr>
        <w:t>道路环卫保洁责任单位</w:t>
      </w:r>
      <w:r>
        <w:rPr>
          <w:rFonts w:hint="eastAsia" w:ascii="仿宋_GB2312" w:hAnsi="仿宋_GB2312" w:eastAsia="仿宋_GB2312" w:cs="仿宋_GB2312"/>
          <w:sz w:val="24"/>
          <w:szCs w:val="24"/>
        </w:rPr>
        <w:t>要迅速响应，及时采取行动。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人员能够快速赶到现场，开始清扫工作。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在进行泥土撒漏和路面污染清扫时，需要确保人员的安全。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人员需要佩戴必要的个人防护装备，如手套、口罩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并</w:t>
      </w:r>
      <w:r>
        <w:rPr>
          <w:rFonts w:hint="eastAsia" w:ascii="仿宋_GB2312" w:hAnsi="仿宋_GB2312" w:eastAsia="仿宋_GB2312" w:cs="仿宋_GB2312"/>
          <w:sz w:val="24"/>
          <w:szCs w:val="24"/>
        </w:rPr>
        <w:t>根据工作区域的大小和形状来确定摆放锥形桶的位置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确保锥形桶能够清晰标示出工作区域的范围，以提醒车辆注意避让。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清扫泥土撒漏和路面污染</w:t>
      </w:r>
      <w:r>
        <w:rPr>
          <w:rFonts w:hint="eastAsia" w:ascii="仿宋_GB2312" w:hAnsi="仿宋_GB2312" w:eastAsia="仿宋_GB2312" w:cs="仿宋_GB2312"/>
          <w:sz w:val="24"/>
          <w:szCs w:val="24"/>
          <w:lang w:val="en-US" w:eastAsia="zh-CN"/>
        </w:rPr>
        <w:t>时，</w:t>
      </w:r>
      <w:r>
        <w:rPr>
          <w:rFonts w:hint="eastAsia" w:ascii="仿宋_GB2312" w:hAnsi="仿宋_GB2312" w:eastAsia="仿宋_GB2312" w:cs="仿宋_GB2312"/>
          <w:sz w:val="24"/>
          <w:szCs w:val="24"/>
        </w:rPr>
        <w:t>需要使用专业的工具和设备，如</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扫帚、铲子、高压水枪等。</w:t>
      </w:r>
      <w:r>
        <w:rPr>
          <w:rFonts w:hint="eastAsia" w:ascii="仿宋_GB2312" w:hAnsi="仿宋_GB2312" w:eastAsia="仿宋_GB2312" w:cs="仿宋_GB2312"/>
          <w:sz w:val="24"/>
          <w:szCs w:val="24"/>
          <w:lang w:val="en-US" w:eastAsia="zh-CN"/>
        </w:rPr>
        <w:t>日常保养时</w:t>
      </w:r>
      <w:r>
        <w:rPr>
          <w:rFonts w:hint="eastAsia" w:ascii="仿宋_GB2312" w:hAnsi="仿宋_GB2312" w:eastAsia="仿宋_GB2312" w:cs="仿宋_GB2312"/>
          <w:sz w:val="24"/>
          <w:szCs w:val="24"/>
        </w:rPr>
        <w:t>需要确保这些工具和设备的良好工作状态。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废物处置：在清扫过程中产生的泥土和污染物需要妥善处理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道路环卫保洁责任单位应</w:t>
      </w:r>
      <w:r>
        <w:rPr>
          <w:rFonts w:hint="eastAsia" w:ascii="仿宋_GB2312" w:hAnsi="仿宋_GB2312" w:eastAsia="仿宋_GB2312" w:cs="仿宋_GB2312"/>
          <w:sz w:val="24"/>
          <w:szCs w:val="24"/>
        </w:rPr>
        <w:t>设立合适的废物处置点，并确保废物得到正确的处理。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参考文献：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 55013-2021</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《城市公厕卫生标准》GB 17217-1998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《生活垃圾分类标志》GB/T 19095-2019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《城镇市容环境卫生劳动定额》HLD47-101-2008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caps w:val="0"/>
          <w:color w:val="000000"/>
          <w:spacing w:val="0"/>
          <w:sz w:val="24"/>
          <w:szCs w:val="24"/>
          <w:shd w:val="clear" w:color="auto" w:fill="FFFFFF"/>
        </w:rPr>
      </w:pPr>
      <w:r>
        <w:rPr>
          <w:rFonts w:hint="eastAsia" w:ascii="仿宋_GB2312" w:hAnsi="仿宋_GB2312" w:eastAsia="仿宋_GB2312" w:cs="仿宋_GB2312"/>
          <w:sz w:val="24"/>
          <w:szCs w:val="24"/>
          <w:lang w:val="en-US" w:eastAsia="zh-CN"/>
        </w:rPr>
        <w:t>《城市市容市貌干净整洁有序安全标准（试行）》（2020）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《城镇环境卫生设施设置标准》CJJ27-2012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《城市公共厕所设计标准》CJJ14-2016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 3057-2019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w:t>
      </w:r>
      <w:r>
        <w:rPr>
          <w:rFonts w:hint="eastAsia" w:ascii="仿宋_GB2312" w:hAnsi="仿宋_GB2312" w:eastAsia="仿宋_GB2312" w:cs="仿宋_GB2312"/>
          <w:i w:val="0"/>
          <w:caps w:val="0"/>
          <w:color w:val="000000"/>
          <w:spacing w:val="0"/>
          <w:sz w:val="24"/>
          <w:szCs w:val="24"/>
          <w:shd w:val="clear" w:color="auto" w:fill="FFFFFF"/>
          <w:lang w:val="en-US" w:eastAsia="zh-CN"/>
        </w:rPr>
        <w:t>陕西省</w:t>
      </w:r>
      <w:r>
        <w:rPr>
          <w:rFonts w:hint="eastAsia" w:ascii="仿宋_GB2312" w:hAnsi="仿宋_GB2312" w:eastAsia="仿宋_GB2312" w:cs="仿宋_GB2312"/>
          <w:i w:val="0"/>
          <w:caps w:val="0"/>
          <w:color w:val="000000"/>
          <w:spacing w:val="0"/>
          <w:sz w:val="24"/>
          <w:szCs w:val="24"/>
          <w:shd w:val="clear" w:color="auto" w:fill="FFFFFF"/>
        </w:rPr>
        <w:t>城市市容环境卫生条例》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2010修订</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2017修正</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《西安市生活垃圾分类管理办法》（2019）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《全市城市家具整治提升工作方案》市政办函〔2019〕39号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p>
    <w:tbl>
      <w:tblPr>
        <w:tblStyle w:val="25"/>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16"/>
        <w:gridCol w:w="7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322" w:type="dxa"/>
            <w:gridSpan w:val="2"/>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西安</w:t>
            </w:r>
            <w:r>
              <w:rPr>
                <w:rFonts w:hint="default" w:ascii="仿宋_GB2312" w:hAnsi="Calibri" w:eastAsia="仿宋_GB2312" w:cs="仿宋_GB2312"/>
                <w:color w:val="000000"/>
                <w:kern w:val="0"/>
                <w:sz w:val="24"/>
                <w:szCs w:val="24"/>
                <w:lang w:val="en-US" w:eastAsia="zh-CN" w:bidi="ar"/>
              </w:rPr>
              <w:t>市环卫清扫保洁道路等级划分表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道路（区域）名称（范围）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6"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一级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（1）有关部门确定的重点区域的道路</w:t>
            </w:r>
            <w:r>
              <w:rPr>
                <w:rFonts w:hint="eastAsia" w:ascii="仿宋_GB2312" w:eastAsia="仿宋_GB2312" w:cs="仿宋_GB2312"/>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（2）重要商业、文化等公共场所周边的道路及广场；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3</w:t>
            </w:r>
            <w:r>
              <w:rPr>
                <w:rFonts w:hint="eastAsia" w:ascii="仿宋_GB2312" w:hAnsi="Calibri" w:eastAsia="仿宋_GB2312" w:cs="仿宋_GB2312"/>
                <w:color w:val="000000"/>
                <w:kern w:val="0"/>
                <w:sz w:val="24"/>
                <w:szCs w:val="24"/>
                <w:lang w:val="en-US" w:eastAsia="zh-CN" w:bidi="ar"/>
              </w:rPr>
              <w:t>）商业网点集中，道路旁商业店铺占道路长度 80%以上的繁华闹市路段；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4</w:t>
            </w:r>
            <w:r>
              <w:rPr>
                <w:rFonts w:hint="eastAsia" w:ascii="仿宋_GB2312" w:hAnsi="Calibri" w:eastAsia="仿宋_GB2312" w:cs="仿宋_GB2312"/>
                <w:color w:val="000000"/>
                <w:kern w:val="0"/>
                <w:sz w:val="24"/>
                <w:szCs w:val="24"/>
                <w:lang w:val="en-US" w:eastAsia="zh-CN" w:bidi="ar"/>
              </w:rPr>
              <w:t>）高峰期平均人流量为 100 人次/分钟以上和公共交通线路较多的路段；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5</w:t>
            </w:r>
            <w:r>
              <w:rPr>
                <w:rFonts w:hint="eastAsia" w:ascii="仿宋_GB2312" w:hAnsi="Calibri" w:eastAsia="仿宋_GB2312" w:cs="仿宋_GB2312"/>
                <w:color w:val="000000"/>
                <w:kern w:val="0"/>
                <w:sz w:val="24"/>
                <w:szCs w:val="24"/>
                <w:lang w:val="en-US" w:eastAsia="zh-CN" w:bidi="ar"/>
              </w:rPr>
              <w:t>）主要旅游点和进出机场、车站、港口的主干路及其所在地路段；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6</w:t>
            </w:r>
            <w:r>
              <w:rPr>
                <w:rFonts w:hint="eastAsia" w:ascii="仿宋_GB2312" w:hAnsi="Calibri" w:eastAsia="仿宋_GB2312" w:cs="仿宋_GB2312"/>
                <w:color w:val="000000"/>
                <w:kern w:val="0"/>
                <w:sz w:val="24"/>
                <w:szCs w:val="24"/>
                <w:lang w:val="en-US" w:eastAsia="zh-CN" w:bidi="ar"/>
              </w:rPr>
              <w:t>）历史文化街区、大型文化娱乐、步行街等主要公共场所所在路段。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二级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（1）商业网点较集中、占道路长度 60～80%的路段；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（2）高峰期平均人流量为 80～100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（3）城市主、次干路及其附近路段；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（4）道路宽度大于 40m 的城市干道。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0"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（1）商业网点较少的路段；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（2）高峰期平均人流量小于 80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（3）城郊结合部的主要交通路段；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（4）居民区和单位相间的路段。</w:t>
            </w:r>
          </w:p>
        </w:tc>
      </w:tr>
    </w:tbl>
    <w:p>
      <w:pPr>
        <w:pStyle w:val="24"/>
        <w:rPr>
          <w:rFonts w:hint="eastAsia"/>
          <w:lang w:eastAsia="zh-CN"/>
        </w:rPr>
        <w:sectPr>
          <w:footerReference r:id="rId8" w:type="default"/>
          <w:pgSz w:w="11906" w:h="16838"/>
          <w:pgMar w:top="1440" w:right="1701" w:bottom="1440" w:left="1701" w:header="851" w:footer="992" w:gutter="0"/>
          <w:pgNumType w:fmt="decimal"/>
          <w:cols w:space="720" w:num="1"/>
          <w:docGrid w:type="lines" w:linePitch="312" w:charSpace="0"/>
        </w:sectPr>
      </w:pPr>
    </w:p>
    <w:p>
      <w:pPr>
        <w:numPr>
          <w:ilvl w:val="0"/>
          <w:numId w:val="14"/>
        </w:numPr>
        <w:jc w:val="center"/>
        <w:outlineLvl w:val="0"/>
        <w:rPr>
          <w:rFonts w:hint="eastAsia" w:ascii="宋体" w:hAnsi="宋体" w:eastAsia="宋体" w:cs="宋体"/>
          <w:b w:val="0"/>
          <w:bCs w:val="0"/>
          <w:sz w:val="32"/>
          <w:szCs w:val="32"/>
        </w:rPr>
      </w:pPr>
      <w:bookmarkStart w:id="38" w:name="_Toc30575"/>
      <w:r>
        <w:rPr>
          <w:rFonts w:hint="eastAsia" w:ascii="宋体" w:hAnsi="宋体" w:eastAsia="宋体" w:cs="宋体"/>
          <w:b w:val="0"/>
          <w:bCs w:val="0"/>
          <w:sz w:val="32"/>
          <w:szCs w:val="32"/>
        </w:rPr>
        <w:t>采购内容和要求</w:t>
      </w:r>
      <w:bookmarkEnd w:id="38"/>
    </w:p>
    <w:p>
      <w:pPr>
        <w:pStyle w:val="17"/>
        <w:rPr>
          <w:rFonts w:hint="eastAsia" w:ascii="宋体" w:hAnsi="宋体" w:eastAsia="宋体" w:cs="宋体"/>
        </w:rPr>
      </w:pPr>
    </w:p>
    <w:p>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2024年</w:t>
      </w:r>
      <w:r>
        <w:rPr>
          <w:rFonts w:hint="eastAsia" w:ascii="宋体" w:hAnsi="宋体" w:eastAsia="宋体" w:cs="宋体"/>
          <w:b/>
          <w:sz w:val="28"/>
          <w:szCs w:val="28"/>
          <w:highlight w:val="none"/>
          <w:lang w:eastAsia="zh-CN"/>
        </w:rPr>
        <w:t>周至县道路清扫保洁、垃圾清运、绿化养护、公厕管理市场化运作项目</w:t>
      </w:r>
      <w:r>
        <w:rPr>
          <w:rFonts w:hint="eastAsia" w:ascii="宋体" w:hAnsi="宋体" w:eastAsia="宋体" w:cs="宋体"/>
          <w:b/>
          <w:sz w:val="28"/>
          <w:szCs w:val="28"/>
          <w:highlight w:val="none"/>
        </w:rPr>
        <w:t>技术要求及服务范围</w:t>
      </w:r>
    </w:p>
    <w:p>
      <w:pPr>
        <w:numPr>
          <w:ilvl w:val="0"/>
          <w:numId w:val="15"/>
        </w:num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项目概况</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采 购 人：周至县城市管理和综合执法局</w:t>
      </w:r>
    </w:p>
    <w:p>
      <w:pPr>
        <w:spacing w:line="50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2024年</w:t>
      </w:r>
      <w:r>
        <w:rPr>
          <w:rFonts w:hint="eastAsia" w:ascii="宋体" w:hAnsi="宋体" w:eastAsia="宋体" w:cs="宋体"/>
          <w:sz w:val="24"/>
          <w:szCs w:val="24"/>
          <w:highlight w:val="none"/>
          <w:lang w:eastAsia="zh-CN"/>
        </w:rPr>
        <w:t>周至县道路清扫保洁、垃圾清运、绿化养护、公厕管理市场化运作项目</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★服 务 期：</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年</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★服务标准</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符合国家标准、行业标准以及有关技术规范要求</w:t>
      </w:r>
    </w:p>
    <w:p>
      <w:pPr>
        <w:numPr>
          <w:ilvl w:val="0"/>
          <w:numId w:val="15"/>
        </w:numPr>
        <w:spacing w:line="500" w:lineRule="exac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招标内容</w:t>
      </w:r>
    </w:p>
    <w:p>
      <w:pPr>
        <w:spacing w:line="5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第二包：一类道路：180021.5平方米</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二类道路：109924.8平方米</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三类道路：58145平方米，公厕座数9座</w:t>
      </w:r>
      <w:r>
        <w:rPr>
          <w:rFonts w:hint="eastAsia" w:ascii="宋体" w:hAnsi="宋体" w:eastAsia="宋体" w:cs="宋体"/>
          <w:color w:val="auto"/>
          <w:sz w:val="24"/>
          <w:szCs w:val="24"/>
          <w:highlight w:val="none"/>
          <w:lang w:val="en-US" w:eastAsia="zh-CN"/>
        </w:rPr>
        <w:t>。</w:t>
      </w:r>
    </w:p>
    <w:p>
      <w:pPr>
        <w:pStyle w:val="24"/>
        <w:numPr>
          <w:ilvl w:val="0"/>
          <w:numId w:val="15"/>
        </w:numPr>
        <w:ind w:left="0" w:leftChars="0" w:firstLine="0" w:firstLineChars="0"/>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其他要求</w:t>
      </w:r>
    </w:p>
    <w:p>
      <w:pPr>
        <w:pStyle w:val="24"/>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★中标企业必须按照甲方要求配备相应的道路清扫作业车、扫雪除冰等设施设备。</w:t>
      </w:r>
    </w:p>
    <w:p>
      <w:pPr>
        <w:pStyle w:val="23"/>
        <w:rPr>
          <w:rFonts w:hint="eastAsia" w:ascii="宋体" w:hAnsi="宋体" w:eastAsia="宋体" w:cs="宋体"/>
          <w:color w:val="auto"/>
          <w:kern w:val="2"/>
          <w:sz w:val="24"/>
          <w:szCs w:val="24"/>
          <w:highlight w:val="none"/>
          <w:lang w:val="en-US" w:eastAsia="zh-CN" w:bidi="ar-SA"/>
        </w:rPr>
      </w:pPr>
    </w:p>
    <w:p>
      <w:pPr>
        <w:pStyle w:val="24"/>
        <w:rPr>
          <w:rFonts w:hint="eastAsia" w:ascii="宋体" w:hAnsi="宋体" w:eastAsia="宋体" w:cs="宋体"/>
          <w:color w:val="auto"/>
          <w:kern w:val="2"/>
          <w:sz w:val="24"/>
          <w:szCs w:val="24"/>
          <w:highlight w:val="none"/>
          <w:lang w:val="en-US"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471"/>
        <w:gridCol w:w="1517"/>
        <w:gridCol w:w="1123"/>
        <w:gridCol w:w="2994"/>
        <w:gridCol w:w="1426"/>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00" w:type="pct"/>
            <w:gridSpan w:val="7"/>
            <w:noWrap w:val="0"/>
            <w:vAlign w:val="top"/>
          </w:tcPr>
          <w:p>
            <w:pPr>
              <w:tabs>
                <w:tab w:val="left" w:pos="6147"/>
              </w:tabs>
              <w:bidi w:val="0"/>
              <w:jc w:val="center"/>
              <w:rPr>
                <w:rFonts w:hint="default" w:ascii="Calibri" w:hAnsi="Calibri" w:eastAsia="宋体" w:cs="Times New Roman"/>
                <w:kern w:val="2"/>
                <w:sz w:val="21"/>
                <w:szCs w:val="24"/>
                <w:lang w:val="en-US" w:eastAsia="zh-CN" w:bidi="ar-SA"/>
              </w:rPr>
            </w:pPr>
            <w:r>
              <w:rPr>
                <w:rFonts w:hint="eastAsia"/>
                <w:sz w:val="24"/>
                <w:szCs w:val="24"/>
                <w:lang w:val="en-US" w:eastAsia="zh-CN"/>
              </w:rPr>
              <w:t>第二包</w:t>
            </w:r>
            <w:r>
              <w:rPr>
                <w:rFonts w:hint="eastAsia"/>
                <w:sz w:val="24"/>
                <w:szCs w:val="24"/>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872"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35"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396"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056"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503"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1022"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教堂路-环沙路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41430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一类道路：180021.5平方米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二类道路：109924.8平方米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三类道路：58145平方米</w:t>
            </w:r>
          </w:p>
        </w:tc>
        <w:tc>
          <w:tcPr>
            <w:tcW w:w="503" w:type="pct"/>
            <w:vMerge w:val="restart"/>
            <w:noWrap w:val="0"/>
            <w:vAlign w:val="center"/>
          </w:tcPr>
          <w:p>
            <w:pPr>
              <w:bidi w:val="0"/>
              <w:jc w:val="both"/>
              <w:rPr>
                <w:rFonts w:hint="default"/>
                <w:sz w:val="24"/>
                <w:szCs w:val="24"/>
                <w:lang w:val="en-US" w:eastAsia="zh-CN"/>
              </w:rPr>
            </w:pPr>
            <w:r>
              <w:rPr>
                <w:rFonts w:hint="eastAsia"/>
                <w:sz w:val="24"/>
                <w:szCs w:val="24"/>
                <w:lang w:val="en-US" w:eastAsia="zh-CN"/>
              </w:rPr>
              <w:t>甲方指定的垃圾收集点</w:t>
            </w:r>
          </w:p>
        </w:tc>
        <w:tc>
          <w:tcPr>
            <w:tcW w:w="1022" w:type="pct"/>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乐天公园北公厕</w:t>
            </w:r>
          </w:p>
          <w:p>
            <w:pPr>
              <w:jc w:val="center"/>
              <w:rPr>
                <w:rFonts w:hint="eastAsia"/>
                <w:sz w:val="24"/>
                <w:szCs w:val="24"/>
                <w:vertAlign w:val="baseline"/>
                <w:lang w:val="en-US" w:eastAsia="zh-CN"/>
              </w:rPr>
            </w:pPr>
            <w:r>
              <w:rPr>
                <w:rFonts w:hint="eastAsia"/>
                <w:sz w:val="24"/>
                <w:szCs w:val="24"/>
                <w:vertAlign w:val="baseline"/>
                <w:lang w:val="en-US" w:eastAsia="zh-CN"/>
              </w:rPr>
              <w:t>乐天公园南公厕</w:t>
            </w:r>
          </w:p>
          <w:p>
            <w:pPr>
              <w:jc w:val="center"/>
              <w:rPr>
                <w:rFonts w:hint="eastAsia"/>
                <w:sz w:val="24"/>
                <w:szCs w:val="24"/>
                <w:vertAlign w:val="baseline"/>
                <w:lang w:val="en-US" w:eastAsia="zh-CN"/>
              </w:rPr>
            </w:pPr>
            <w:r>
              <w:rPr>
                <w:rFonts w:hint="eastAsia"/>
                <w:sz w:val="24"/>
                <w:szCs w:val="24"/>
                <w:vertAlign w:val="baseline"/>
                <w:lang w:val="en-US" w:eastAsia="zh-CN"/>
              </w:rPr>
              <w:t>壹号公馆公厕</w:t>
            </w:r>
          </w:p>
          <w:p>
            <w:pPr>
              <w:jc w:val="center"/>
              <w:rPr>
                <w:rFonts w:hint="eastAsia"/>
                <w:sz w:val="24"/>
                <w:szCs w:val="24"/>
                <w:vertAlign w:val="baseline"/>
                <w:lang w:val="en-US" w:eastAsia="zh-CN"/>
              </w:rPr>
            </w:pPr>
            <w:r>
              <w:rPr>
                <w:rFonts w:hint="eastAsia"/>
                <w:sz w:val="24"/>
                <w:szCs w:val="24"/>
                <w:vertAlign w:val="baseline"/>
                <w:lang w:val="en-US" w:eastAsia="zh-CN"/>
              </w:rPr>
              <w:t>体育场公厕</w:t>
            </w:r>
          </w:p>
          <w:p>
            <w:pPr>
              <w:jc w:val="center"/>
              <w:rPr>
                <w:rFonts w:hint="eastAsia"/>
                <w:sz w:val="24"/>
                <w:szCs w:val="24"/>
                <w:vertAlign w:val="baseline"/>
                <w:lang w:val="en-US" w:eastAsia="zh-CN"/>
              </w:rPr>
            </w:pPr>
            <w:r>
              <w:rPr>
                <w:rFonts w:hint="eastAsia"/>
                <w:sz w:val="24"/>
                <w:szCs w:val="24"/>
                <w:vertAlign w:val="baseline"/>
                <w:lang w:val="en-US" w:eastAsia="zh-CN"/>
              </w:rPr>
              <w:t>王婆寺东公厕</w:t>
            </w:r>
          </w:p>
          <w:p>
            <w:pPr>
              <w:jc w:val="center"/>
              <w:rPr>
                <w:rFonts w:hint="eastAsia"/>
                <w:sz w:val="24"/>
                <w:szCs w:val="24"/>
                <w:vertAlign w:val="baseline"/>
                <w:lang w:val="en-US" w:eastAsia="zh-CN"/>
              </w:rPr>
            </w:pPr>
            <w:r>
              <w:rPr>
                <w:rFonts w:hint="eastAsia"/>
                <w:sz w:val="24"/>
                <w:szCs w:val="24"/>
                <w:vertAlign w:val="baseline"/>
                <w:lang w:val="en-US" w:eastAsia="zh-CN"/>
              </w:rPr>
              <w:t>老沙河桥公厕</w:t>
            </w:r>
          </w:p>
          <w:p>
            <w:pPr>
              <w:jc w:val="center"/>
              <w:rPr>
                <w:rFonts w:hint="eastAsia"/>
                <w:sz w:val="24"/>
                <w:szCs w:val="24"/>
                <w:vertAlign w:val="baseline"/>
                <w:lang w:val="en-US" w:eastAsia="zh-CN"/>
              </w:rPr>
            </w:pPr>
            <w:r>
              <w:rPr>
                <w:rFonts w:hint="eastAsia"/>
                <w:sz w:val="24"/>
                <w:szCs w:val="24"/>
                <w:vertAlign w:val="baseline"/>
                <w:lang w:val="en-US" w:eastAsia="zh-CN"/>
              </w:rPr>
              <w:t>东商业街公厕</w:t>
            </w:r>
          </w:p>
          <w:p>
            <w:pPr>
              <w:jc w:val="center"/>
              <w:rPr>
                <w:rFonts w:hint="eastAsia"/>
                <w:sz w:val="24"/>
                <w:szCs w:val="24"/>
                <w:vertAlign w:val="baseline"/>
                <w:lang w:val="en-US" w:eastAsia="zh-CN"/>
              </w:rPr>
            </w:pPr>
            <w:r>
              <w:rPr>
                <w:rFonts w:hint="eastAsia"/>
                <w:sz w:val="24"/>
                <w:szCs w:val="24"/>
                <w:vertAlign w:val="baseline"/>
                <w:lang w:val="en-US" w:eastAsia="zh-CN"/>
              </w:rPr>
              <w:t>建材城公厕</w:t>
            </w:r>
          </w:p>
          <w:p>
            <w:pPr>
              <w:bidi w:val="0"/>
              <w:jc w:val="center"/>
              <w:rPr>
                <w:rFonts w:hint="default"/>
                <w:sz w:val="24"/>
                <w:szCs w:val="24"/>
                <w:lang w:val="en-US" w:eastAsia="zh-CN"/>
              </w:rPr>
            </w:pPr>
            <w:r>
              <w:rPr>
                <w:rFonts w:hint="eastAsia"/>
                <w:sz w:val="24"/>
                <w:szCs w:val="24"/>
                <w:vertAlign w:val="baseline"/>
                <w:lang w:val="en-US" w:eastAsia="zh-CN"/>
              </w:rPr>
              <w:t>沙河桥公厕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环沙路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北环路-农商街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23503</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紫瑞东苑</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农商街-工业路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1140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农商街-万寿路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31620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万寿路-纸厂路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31722</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和平路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16485</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环沙路-万寿路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13720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万寿路-老消防队</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11270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中心街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辛家寨十字-南大街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73479.5</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老沙河桥-北大街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31707</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万寿路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27339</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南北新街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11110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南北大街</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老街-农商街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11112</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影西路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农商街-中心街</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4296.8</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北泉巷</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老街-北环路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7957</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水岸东方路</w:t>
            </w:r>
          </w:p>
        </w:tc>
        <w:tc>
          <w:tcPr>
            <w:tcW w:w="872"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水岸东方东墙-环沙路</w:t>
            </w:r>
          </w:p>
        </w:tc>
        <w:tc>
          <w:tcPr>
            <w:tcW w:w="53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10200</w:t>
            </w:r>
          </w:p>
        </w:tc>
        <w:tc>
          <w:tcPr>
            <w:tcW w:w="396"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13"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872" w:type="pct"/>
            <w:noWrap w:val="0"/>
            <w:vAlign w:val="center"/>
          </w:tcPr>
          <w:p>
            <w:pPr>
              <w:jc w:val="center"/>
              <w:rPr>
                <w:rFonts w:hint="eastAsia"/>
                <w:sz w:val="24"/>
                <w:szCs w:val="24"/>
                <w:vertAlign w:val="baseline"/>
                <w:lang w:val="en-US" w:eastAsia="zh-CN"/>
              </w:rPr>
            </w:pPr>
          </w:p>
        </w:tc>
        <w:tc>
          <w:tcPr>
            <w:tcW w:w="535"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fldChar w:fldCharType="begin"/>
            </w:r>
            <w:r>
              <w:rPr>
                <w:rFonts w:hint="eastAsia"/>
                <w:sz w:val="24"/>
                <w:szCs w:val="24"/>
                <w:vertAlign w:val="baseline"/>
                <w:lang w:val="en-US" w:eastAsia="zh-CN"/>
              </w:rPr>
              <w:instrText xml:space="preserve"> = sum(C3:C18) \* MERGEFORMAT </w:instrText>
            </w:r>
            <w:r>
              <w:rPr>
                <w:rFonts w:hint="eastAsia"/>
                <w:sz w:val="24"/>
                <w:szCs w:val="24"/>
                <w:vertAlign w:val="baseline"/>
                <w:lang w:val="en-US" w:eastAsia="zh-CN"/>
              </w:rPr>
              <w:fldChar w:fldCharType="separate"/>
            </w:r>
            <w:r>
              <w:rPr>
                <w:rFonts w:hint="eastAsia"/>
                <w:sz w:val="24"/>
                <w:szCs w:val="24"/>
                <w:vertAlign w:val="baseline"/>
                <w:lang w:val="en-US" w:eastAsia="zh-CN"/>
              </w:rPr>
              <w:t>348091.3</w:t>
            </w:r>
            <w:r>
              <w:rPr>
                <w:rFonts w:hint="eastAsia"/>
                <w:sz w:val="24"/>
                <w:szCs w:val="24"/>
                <w:vertAlign w:val="baseline"/>
                <w:lang w:val="en-US" w:eastAsia="zh-CN"/>
              </w:rPr>
              <w:fldChar w:fldCharType="end"/>
            </w:r>
          </w:p>
        </w:tc>
        <w:tc>
          <w:tcPr>
            <w:tcW w:w="396" w:type="pct"/>
            <w:noWrap w:val="0"/>
            <w:vAlign w:val="center"/>
          </w:tcPr>
          <w:p>
            <w:pPr>
              <w:jc w:val="center"/>
              <w:rPr>
                <w:rFonts w:hint="eastAsia"/>
                <w:sz w:val="24"/>
                <w:szCs w:val="24"/>
                <w:vertAlign w:val="baseline"/>
                <w:lang w:val="en-US" w:eastAsia="zh-CN"/>
              </w:rPr>
            </w:pPr>
          </w:p>
        </w:tc>
        <w:tc>
          <w:tcPr>
            <w:tcW w:w="1056" w:type="pct"/>
            <w:vMerge w:val="continue"/>
            <w:noWrap w:val="0"/>
            <w:vAlign w:val="center"/>
          </w:tcPr>
          <w:p>
            <w:pPr>
              <w:jc w:val="center"/>
              <w:rPr>
                <w:rFonts w:hint="default"/>
                <w:sz w:val="24"/>
                <w:szCs w:val="24"/>
                <w:vertAlign w:val="baseline"/>
                <w:lang w:val="en-US" w:eastAsia="zh-CN"/>
              </w:rPr>
            </w:pPr>
          </w:p>
        </w:tc>
        <w:tc>
          <w:tcPr>
            <w:tcW w:w="503" w:type="pct"/>
            <w:vMerge w:val="continue"/>
            <w:noWrap w:val="0"/>
            <w:vAlign w:val="top"/>
          </w:tcPr>
          <w:p>
            <w:pPr>
              <w:jc w:val="center"/>
              <w:rPr>
                <w:rFonts w:hint="default"/>
                <w:sz w:val="24"/>
                <w:szCs w:val="24"/>
                <w:vertAlign w:val="baseline"/>
                <w:lang w:val="en-US" w:eastAsia="zh-CN"/>
              </w:rPr>
            </w:pPr>
          </w:p>
        </w:tc>
        <w:tc>
          <w:tcPr>
            <w:tcW w:w="1022" w:type="pct"/>
            <w:vMerge w:val="continue"/>
            <w:noWrap w:val="0"/>
            <w:vAlign w:val="top"/>
          </w:tcPr>
          <w:p>
            <w:pPr>
              <w:jc w:val="center"/>
              <w:rPr>
                <w:rFonts w:hint="default"/>
                <w:sz w:val="24"/>
                <w:szCs w:val="24"/>
                <w:vertAlign w:val="baseline"/>
                <w:lang w:val="en-US" w:eastAsia="zh-CN"/>
              </w:rPr>
            </w:pPr>
          </w:p>
        </w:tc>
      </w:tr>
    </w:tbl>
    <w:p>
      <w:pPr>
        <w:pStyle w:val="23"/>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jc w:val="center"/>
        <w:outlineLvl w:val="0"/>
        <w:rPr>
          <w:rFonts w:ascii="宋体" w:hAnsi="宋体" w:cs="宋体"/>
          <w:b/>
          <w:sz w:val="36"/>
          <w:szCs w:val="36"/>
        </w:rPr>
      </w:pPr>
      <w:bookmarkStart w:id="39" w:name="_Toc6910"/>
      <w:r>
        <w:rPr>
          <w:rFonts w:hint="eastAsia" w:ascii="宋体" w:hAnsi="宋体" w:cs="宋体"/>
          <w:b/>
          <w:sz w:val="36"/>
          <w:szCs w:val="36"/>
        </w:rPr>
        <w:t>第六章 投标文件格式</w:t>
      </w:r>
      <w:bookmarkEnd w:id="39"/>
    </w:p>
    <w:p>
      <w:pPr>
        <w:pStyle w:val="24"/>
        <w:ind w:left="0" w:leftChars="0" w:firstLine="529" w:firstLineChars="0"/>
        <w:rPr>
          <w:rFonts w:ascii="宋体" w:hAnsi="宋体"/>
          <w:b/>
          <w:sz w:val="30"/>
          <w:szCs w:val="30"/>
        </w:rPr>
      </w:pPr>
    </w:p>
    <w:p>
      <w:pPr>
        <w:pStyle w:val="24"/>
        <w:ind w:left="0" w:leftChars="0" w:firstLine="0" w:firstLineChars="0"/>
        <w:rPr>
          <w:rFonts w:ascii="宋体" w:hAnsi="宋体"/>
          <w:b/>
          <w:sz w:val="30"/>
          <w:szCs w:val="30"/>
        </w:rPr>
      </w:pPr>
    </w:p>
    <w:p>
      <w:pPr>
        <w:pStyle w:val="24"/>
        <w:ind w:left="0" w:leftChars="0" w:firstLine="0" w:firstLineChars="0"/>
        <w:rPr>
          <w:rFonts w:ascii="宋体" w:hAnsi="宋体"/>
          <w:b/>
          <w:sz w:val="30"/>
          <w:szCs w:val="30"/>
        </w:rPr>
        <w:sectPr>
          <w:headerReference r:id="rId10" w:type="default"/>
          <w:footerReference r:id="rId11" w:type="default"/>
          <w:pgSz w:w="11906" w:h="16838"/>
          <w:pgMar w:top="1418" w:right="1418" w:bottom="1418" w:left="1418" w:header="851" w:footer="992" w:gutter="0"/>
          <w:pgNumType w:fmt="decimal"/>
          <w:cols w:space="720" w:num="1"/>
          <w:docGrid w:linePitch="312" w:charSpace="0"/>
        </w:sectPr>
      </w:pPr>
    </w:p>
    <w:bookmarkEnd w:id="14"/>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TYRZ-2024-ZZ059-2</w:t>
      </w:r>
    </w:p>
    <w:p>
      <w:pPr>
        <w:spacing w:line="360" w:lineRule="auto"/>
        <w:rPr>
          <w:rFonts w:ascii="宋体" w:hAnsi="宋体" w:cs="宋体"/>
          <w:sz w:val="44"/>
          <w:szCs w:val="44"/>
        </w:rPr>
      </w:pPr>
    </w:p>
    <w:p>
      <w:pPr>
        <w:pStyle w:val="33"/>
        <w:rPr>
          <w:rFonts w:ascii="宋体" w:hAnsi="宋体" w:cs="宋体"/>
          <w:sz w:val="44"/>
          <w:szCs w:val="44"/>
        </w:rPr>
      </w:pPr>
    </w:p>
    <w:p>
      <w:pPr>
        <w:pStyle w:val="33"/>
        <w:rPr>
          <w:rFonts w:ascii="宋体" w:hAnsi="宋体" w:cs="宋体"/>
          <w:sz w:val="44"/>
          <w:szCs w:val="44"/>
        </w:rPr>
      </w:pPr>
    </w:p>
    <w:p>
      <w:pPr>
        <w:adjustRightInd w:val="0"/>
        <w:snapToGrid w:val="0"/>
        <w:spacing w:line="360" w:lineRule="auto"/>
        <w:jc w:val="center"/>
        <w:rPr>
          <w:rFonts w:hint="eastAsia" w:ascii="宋体" w:hAnsi="宋体" w:cs="宋体"/>
          <w:b/>
          <w:sz w:val="48"/>
          <w:szCs w:val="48"/>
          <w:shd w:val="clear" w:color="auto" w:fill="FFFFFF"/>
          <w:lang w:eastAsia="zh-CN"/>
        </w:rPr>
      </w:pPr>
      <w:r>
        <w:rPr>
          <w:rFonts w:hint="eastAsia" w:ascii="宋体" w:hAnsi="宋体" w:cs="宋体"/>
          <w:b/>
          <w:sz w:val="48"/>
          <w:szCs w:val="48"/>
          <w:shd w:val="clear" w:color="auto" w:fill="FFFFFF"/>
          <w:lang w:eastAsia="zh-CN"/>
        </w:rPr>
        <w:t>2024年周至县道路清扫保洁、垃圾清运、绿化养护、公厕管理市场化运作项目</w:t>
      </w:r>
    </w:p>
    <w:p>
      <w:pPr>
        <w:pStyle w:val="24"/>
        <w:ind w:left="0" w:leftChars="0" w:firstLine="0" w:firstLineChars="0"/>
        <w:jc w:val="center"/>
        <w:rPr>
          <w:rFonts w:hint="eastAsia"/>
          <w:lang w:eastAsia="zh-CN"/>
        </w:rPr>
      </w:pPr>
      <w:r>
        <w:rPr>
          <w:rFonts w:hint="eastAsia" w:ascii="宋体" w:hAnsi="宋体" w:cs="宋体"/>
          <w:b/>
          <w:sz w:val="48"/>
          <w:szCs w:val="48"/>
          <w:shd w:val="clear" w:color="auto" w:fill="FFFFFF"/>
          <w:lang w:eastAsia="zh-CN"/>
        </w:rPr>
        <w:t>（合同包 2 ）</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hint="eastAsia"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r>
        <w:br w:type="page"/>
      </w:r>
    </w:p>
    <w:p>
      <w:pPr>
        <w:spacing w:before="120" w:beforeLines="50" w:after="120" w:afterLines="50" w:line="360" w:lineRule="auto"/>
        <w:jc w:val="center"/>
        <w:rPr>
          <w:rFonts w:ascii="宋体" w:hAnsi="宋体"/>
          <w:b/>
          <w:bCs/>
          <w:spacing w:val="4"/>
          <w:sz w:val="32"/>
          <w:szCs w:val="32"/>
        </w:rPr>
      </w:pPr>
      <w:r>
        <w:rPr>
          <w:rFonts w:ascii="宋体" w:hAnsi="宋体"/>
          <w:b/>
          <w:bCs/>
          <w:spacing w:val="4"/>
          <w:sz w:val="32"/>
          <w:szCs w:val="32"/>
        </w:rPr>
        <w:t>目 录</w:t>
      </w:r>
    </w:p>
    <w:p>
      <w:pPr>
        <w:spacing w:line="480" w:lineRule="auto"/>
        <w:jc w:val="center"/>
        <w:rPr>
          <w:rFonts w:ascii="宋体" w:hAnsi="宋体"/>
          <w:spacing w:val="4"/>
          <w:sz w:val="30"/>
          <w:szCs w:val="30"/>
        </w:rPr>
      </w:pPr>
      <w:r>
        <w:rPr>
          <w:rFonts w:hint="eastAsia" w:ascii="宋体" w:hAnsi="宋体"/>
          <w:spacing w:val="4"/>
          <w:sz w:val="30"/>
          <w:szCs w:val="30"/>
        </w:rPr>
        <w:t>（格式自拟）</w:t>
      </w:r>
    </w:p>
    <w:p>
      <w:pPr>
        <w:numPr>
          <w:ilvl w:val="0"/>
          <w:numId w:val="0"/>
        </w:num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投标函</w:t>
      </w:r>
    </w:p>
    <w:p>
      <w:p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w:t>
      </w:r>
      <w:r>
        <w:rPr>
          <w:rFonts w:hint="eastAsia" w:ascii="宋体" w:hAnsi="宋体" w:eastAsia="宋体" w:cs="宋体"/>
          <w:b/>
          <w:sz w:val="28"/>
          <w:szCs w:val="28"/>
          <w:lang w:eastAsia="zh-CN"/>
        </w:rPr>
        <w:t>开标一览表</w:t>
      </w:r>
    </w:p>
    <w:p>
      <w:pPr>
        <w:tabs>
          <w:tab w:val="left" w:pos="3500"/>
          <w:tab w:val="left" w:pos="3700"/>
        </w:tabs>
        <w:spacing w:line="360" w:lineRule="auto"/>
        <w:jc w:val="left"/>
        <w:rPr>
          <w:rFonts w:hint="eastAsia" w:ascii="宋体" w:hAnsi="宋体" w:eastAsia="宋体" w:cs="宋体"/>
          <w:sz w:val="28"/>
          <w:szCs w:val="28"/>
          <w:highlight w:val="none"/>
        </w:rPr>
      </w:pPr>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p>
    <w:p>
      <w:pPr>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四、商务及合同条款偏离表</w:t>
      </w:r>
    </w:p>
    <w:p>
      <w:pPr>
        <w:jc w:val="left"/>
        <w:rPr>
          <w:rFonts w:hint="eastAsia" w:ascii="宋体" w:hAnsi="宋体" w:eastAsia="宋体" w:cs="宋体"/>
          <w:b/>
          <w:bCs/>
          <w:sz w:val="28"/>
          <w:szCs w:val="28"/>
          <w:highlight w:val="none"/>
          <w:lang w:val="en-US" w:eastAsia="zh-CN"/>
        </w:rPr>
      </w:pPr>
      <w:r>
        <w:rPr>
          <w:rFonts w:hint="eastAsia" w:ascii="宋体" w:hAnsi="宋体" w:eastAsia="宋体" w:cs="宋体"/>
          <w:b/>
          <w:sz w:val="28"/>
          <w:szCs w:val="28"/>
          <w:lang w:val="en-US" w:eastAsia="zh-CN"/>
        </w:rPr>
        <w:t>五、服务要求偏离表</w:t>
      </w:r>
    </w:p>
    <w:p>
      <w:pPr>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六、资格证明文件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七、</w:t>
      </w:r>
      <w:r>
        <w:rPr>
          <w:rFonts w:hint="eastAsia" w:ascii="宋体" w:hAnsi="宋体" w:eastAsia="宋体" w:cs="宋体"/>
          <w:b/>
          <w:kern w:val="2"/>
          <w:sz w:val="28"/>
          <w:szCs w:val="28"/>
          <w:lang w:val="en-US" w:eastAsia="zh-CN" w:bidi="ar-SA"/>
        </w:rPr>
        <w:t>供应商参加政府采购活动承诺书</w:t>
      </w:r>
    </w:p>
    <w:p>
      <w:pPr>
        <w:pStyle w:val="33"/>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八、投标方案</w:t>
      </w:r>
    </w:p>
    <w:p>
      <w:pPr>
        <w:rPr>
          <w:rFonts w:hint="eastAsia" w:ascii="宋体" w:hAnsi="宋体"/>
          <w:b/>
          <w:sz w:val="24"/>
          <w:szCs w:val="24"/>
          <w:lang w:eastAsia="zh-CN"/>
        </w:rPr>
      </w:pPr>
      <w:r>
        <w:rPr>
          <w:rFonts w:hint="eastAsia" w:ascii="宋体" w:hAnsi="宋体" w:eastAsia="宋体" w:cs="宋体"/>
          <w:b/>
          <w:bCs/>
          <w:sz w:val="28"/>
          <w:szCs w:val="28"/>
          <w:lang w:val="en-US" w:eastAsia="zh-CN"/>
        </w:rPr>
        <w:t>九、</w:t>
      </w:r>
      <w:r>
        <w:rPr>
          <w:rFonts w:hint="eastAsia" w:ascii="宋体" w:hAnsi="宋体" w:eastAsia="宋体" w:cs="宋体"/>
          <w:b/>
          <w:bCs/>
          <w:color w:val="000000"/>
          <w:sz w:val="28"/>
          <w:szCs w:val="28"/>
          <w:highlight w:val="none"/>
        </w:rPr>
        <w:t>中小企业</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auto"/>
          <w:sz w:val="28"/>
          <w:szCs w:val="28"/>
          <w:highlight w:val="none"/>
          <w:lang w:val="en-US" w:eastAsia="zh-CN"/>
        </w:rPr>
        <w:t>监狱企业、残疾人福利性单位声明函</w:t>
      </w:r>
      <w:r>
        <w:rPr>
          <w:rFonts w:hint="eastAsia" w:ascii="宋体" w:hAnsi="宋体"/>
          <w:b/>
          <w:sz w:val="24"/>
          <w:szCs w:val="24"/>
          <w:lang w:eastAsia="zh-CN"/>
        </w:rPr>
        <w:br w:type="page"/>
      </w:r>
    </w:p>
    <w:p>
      <w:pPr>
        <w:numPr>
          <w:ilvl w:val="0"/>
          <w:numId w:val="0"/>
        </w:numPr>
        <w:tabs>
          <w:tab w:val="left" w:pos="3500"/>
          <w:tab w:val="left" w:pos="3700"/>
        </w:tabs>
        <w:spacing w:line="360" w:lineRule="auto"/>
        <w:jc w:val="center"/>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投标函</w:t>
      </w:r>
    </w:p>
    <w:p>
      <w:pPr>
        <w:spacing w:line="300" w:lineRule="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sz w:val="21"/>
          <w:szCs w:val="21"/>
          <w:u w:val="single"/>
        </w:rPr>
        <w:t>天煜荣泽工程咨询有限公司</w:t>
      </w:r>
    </w:p>
    <w:p>
      <w:pPr>
        <w:autoSpaceDE w:val="0"/>
        <w:autoSpaceDN w:val="0"/>
        <w:adjustRightInd w:val="0"/>
        <w:snapToGrid w:val="0"/>
        <w:spacing w:line="300" w:lineRule="auto"/>
        <w:ind w:firstLine="630"/>
        <w:outlineLvl w:val="9"/>
        <w:rPr>
          <w:rFonts w:hint="eastAsia" w:ascii="宋体" w:hAnsi="宋体" w:eastAsia="宋体" w:cs="宋体"/>
          <w:color w:val="000000"/>
          <w:sz w:val="21"/>
          <w:szCs w:val="21"/>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我单位仔细研究了</w:t>
      </w:r>
      <w:r>
        <w:rPr>
          <w:rFonts w:hint="eastAsia" w:ascii="宋体" w:hAnsi="宋体" w:eastAsia="宋体" w:cs="宋体"/>
          <w:color w:val="000000"/>
          <w:sz w:val="21"/>
          <w:szCs w:val="21"/>
          <w:u w:val="single"/>
          <w:lang w:val="zh-CN"/>
        </w:rPr>
        <w:t xml:space="preserve"> </w:t>
      </w:r>
      <w:r>
        <w:rPr>
          <w:rFonts w:hint="eastAsia" w:hAnsi="宋体"/>
          <w:sz w:val="21"/>
          <w:szCs w:val="21"/>
          <w:u w:val="single"/>
          <w:lang w:eastAsia="zh-CN"/>
        </w:rPr>
        <w:t>2024年周至县道路清扫保洁、垃圾清运、绿化养护、公厕管理市场化运作项目（合同包</w:t>
      </w:r>
      <w:r>
        <w:rPr>
          <w:rFonts w:hint="eastAsia" w:hAnsi="宋体"/>
          <w:sz w:val="21"/>
          <w:szCs w:val="21"/>
          <w:u w:val="single"/>
          <w:lang w:val="en-US" w:eastAsia="zh-CN"/>
        </w:rPr>
        <w:t xml:space="preserve"> 2 </w:t>
      </w:r>
      <w:r>
        <w:rPr>
          <w:rFonts w:hint="eastAsia" w:hAnsi="宋体"/>
          <w:sz w:val="21"/>
          <w:szCs w:val="21"/>
          <w:u w:val="single"/>
          <w:lang w:eastAsia="zh-CN"/>
        </w:rPr>
        <w:t>）</w:t>
      </w:r>
      <w:r>
        <w:rPr>
          <w:rFonts w:hint="eastAsia" w:ascii="宋体" w:hAnsi="宋体" w:eastAsia="宋体" w:cs="宋体"/>
          <w:color w:val="000000"/>
          <w:sz w:val="21"/>
          <w:szCs w:val="21"/>
          <w:u w:val="single"/>
          <w:lang w:val="zh-CN"/>
        </w:rPr>
        <w:t xml:space="preserve"> </w:t>
      </w:r>
      <w:r>
        <w:rPr>
          <w:rFonts w:hint="eastAsia" w:ascii="宋体" w:hAnsi="宋体" w:eastAsia="宋体" w:cs="宋体"/>
          <w:color w:val="000000"/>
          <w:sz w:val="21"/>
          <w:szCs w:val="21"/>
          <w:lang w:val="zh-CN"/>
        </w:rPr>
        <w:t>项目</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文件（采购编号：</w:t>
      </w:r>
      <w:r>
        <w:rPr>
          <w:rFonts w:hint="eastAsia" w:ascii="宋体" w:hAnsi="宋体" w:eastAsia="宋体" w:cs="宋体"/>
          <w:color w:val="000000"/>
          <w:sz w:val="21"/>
          <w:szCs w:val="21"/>
          <w:u w:val="single"/>
          <w:lang w:val="zh-CN"/>
        </w:rPr>
        <w:t xml:space="preserve"> </w:t>
      </w:r>
      <w:r>
        <w:rPr>
          <w:rFonts w:hint="eastAsia" w:ascii="宋体" w:hAnsi="宋体" w:cs="宋体"/>
          <w:color w:val="000000"/>
          <w:sz w:val="21"/>
          <w:szCs w:val="21"/>
          <w:u w:val="single"/>
          <w:lang w:val="zh-CN"/>
        </w:rPr>
        <w:t>TYRZ-2024-ZZ059-2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zh-CN"/>
        </w:rPr>
        <w:t>），决定参加本次</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活动。为此，我方郑重声明以下诸点，并负法律责任。</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ascii="Calibri" w:hAnsi="Calibri" w:eastAsia="宋体" w:cs="Calibri"/>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、如我方中标，我方将</w:t>
      </w:r>
      <w:r>
        <w:rPr>
          <w:rFonts w:hint="eastAsia" w:ascii="宋体" w:hAnsi="宋体" w:cs="宋体"/>
          <w:color w:val="000000"/>
          <w:kern w:val="0"/>
          <w:sz w:val="21"/>
          <w:szCs w:val="21"/>
          <w:lang w:val="en-US" w:eastAsia="zh-CN" w:bidi="ar"/>
        </w:rPr>
        <w:t>无偿</w:t>
      </w:r>
      <w:r>
        <w:rPr>
          <w:rFonts w:hint="eastAsia" w:ascii="宋体" w:hAnsi="宋体" w:eastAsia="宋体" w:cs="宋体"/>
          <w:color w:val="000000"/>
          <w:kern w:val="0"/>
          <w:sz w:val="21"/>
          <w:szCs w:val="21"/>
          <w:lang w:val="en-US" w:eastAsia="zh-CN" w:bidi="ar"/>
        </w:rPr>
        <w:t>提交纸质投标文件正本壹份，副本贰份，电子文件壹份（</w:t>
      </w:r>
      <w:r>
        <w:rPr>
          <w:rFonts w:hint="default" w:ascii="Calibri" w:hAnsi="Calibri" w:eastAsia="宋体" w:cs="Calibri"/>
          <w:color w:val="000000"/>
          <w:kern w:val="0"/>
          <w:sz w:val="21"/>
          <w:szCs w:val="21"/>
          <w:lang w:val="en-US" w:eastAsia="zh-CN" w:bidi="ar"/>
        </w:rPr>
        <w:t xml:space="preserve">U </w:t>
      </w:r>
      <w:r>
        <w:rPr>
          <w:rFonts w:hint="eastAsia" w:ascii="宋体" w:hAnsi="宋体" w:eastAsia="宋体" w:cs="宋体"/>
          <w:color w:val="000000"/>
          <w:kern w:val="0"/>
          <w:sz w:val="21"/>
          <w:szCs w:val="21"/>
          <w:lang w:val="en-US" w:eastAsia="zh-CN" w:bidi="ar"/>
        </w:rPr>
        <w:t xml:space="preserve">盘一份）。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、我方投标总价为人民币（大写）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u w:val="single"/>
          <w:lang w:val="en-US"/>
        </w:rPr>
      </w:pPr>
      <w:r>
        <w:rPr>
          <w:rFonts w:hint="eastAsia" w:ascii="宋体" w:hAnsi="宋体" w:eastAsia="宋体" w:cs="宋体"/>
          <w:color w:val="000000"/>
          <w:kern w:val="0"/>
          <w:sz w:val="21"/>
          <w:szCs w:val="21"/>
          <w:lang w:val="en-US" w:eastAsia="zh-CN" w:bidi="ar"/>
        </w:rPr>
        <w:t>服务期：</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服务标准：</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该报价不受市场因素的影响。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、我方已详细审查全部招标文件，完全理解并同意放弃对这方面有不明及误解质疑的权力。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我方已悉知并及时关注了贵单位在陕西省政府采购网、全国公共资源交易平台（陕西省·西安市）上发布的关于本项目的有关变更公告（包括但不限于对招标文件做出的修改或澄清、答疑纪要，以及项目暂停、重启、延期、终止等）。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、我方同意按照要求提供投标有关的一切数据或资料。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、我方将按招标文件的规定履行合同责任和义务。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、我方完全理解最低报价不是中标的唯一条件。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、我方同意按招标文件规定，遵守贵方有关招标的各项规定。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、若我方中标，我方保证按有关规定向贵方支付招标服务费。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、投标有效期为自投标截止日起不少于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个日历日（包含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default" w:ascii="Calibri" w:hAnsi="Calibri" w:eastAsia="宋体" w:cs="Calibri"/>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、所有关于本项目的函电，请按下列地址联系</w:t>
      </w:r>
      <w:r>
        <w:rPr>
          <w:rFonts w:hint="eastAsia" w:ascii="宋体" w:hAnsi="宋体" w:eastAsia="宋体" w:cs="宋体"/>
          <w:color w:val="000000"/>
          <w:sz w:val="21"/>
          <w:szCs w:val="21"/>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全称（印章）：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地</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none"/>
          <w:lang w:eastAsia="zh-CN"/>
        </w:rPr>
        <w:t>邮</w:t>
      </w:r>
      <w:r>
        <w:rPr>
          <w:rFonts w:hint="eastAsia" w:ascii="宋体" w:hAnsi="宋体" w:cs="宋体"/>
          <w:color w:val="000000"/>
          <w:sz w:val="21"/>
          <w:szCs w:val="21"/>
          <w:u w:val="none"/>
          <w:lang w:val="en-US" w:eastAsia="zh-CN"/>
        </w:rPr>
        <w:t xml:space="preserve">    </w:t>
      </w:r>
      <w:r>
        <w:rPr>
          <w:rFonts w:hint="eastAsia" w:ascii="宋体" w:hAnsi="宋体" w:cs="宋体"/>
          <w:color w:val="000000"/>
          <w:sz w:val="21"/>
          <w:szCs w:val="21"/>
          <w:u w:val="none"/>
          <w:lang w:eastAsia="zh-CN"/>
        </w:rPr>
        <w:t>编：</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电</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lang w:val="zh-CN"/>
        </w:rPr>
        <w:t>传</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lang w:val="zh-CN"/>
        </w:rPr>
        <w:t>法定代表人或授权代表（签字或盖章）：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cs="宋体"/>
          <w:b/>
          <w:sz w:val="28"/>
          <w:szCs w:val="28"/>
        </w:rPr>
      </w:pP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期：</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年</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月</w:t>
      </w:r>
      <w:r>
        <w:rPr>
          <w:rFonts w:hint="eastAsia" w:ascii="宋体" w:hAnsi="宋体" w:eastAsia="宋体" w:cs="宋体"/>
          <w:color w:val="000000"/>
          <w:sz w:val="21"/>
          <w:szCs w:val="21"/>
        </w:rPr>
        <w:t>____</w:t>
      </w:r>
      <w:r>
        <w:rPr>
          <w:rFonts w:hint="eastAsia" w:ascii="宋体" w:hAnsi="宋体" w:cs="宋体"/>
          <w:color w:val="000000"/>
          <w:sz w:val="21"/>
          <w:szCs w:val="21"/>
          <w:lang w:eastAsia="zh-CN"/>
        </w:rPr>
        <w:t>日</w:t>
      </w:r>
      <w:r>
        <w:rPr>
          <w:rFonts w:hint="eastAsia" w:ascii="宋体" w:hAnsi="宋体" w:cs="宋体"/>
          <w:b/>
          <w:sz w:val="28"/>
          <w:szCs w:val="28"/>
        </w:rPr>
        <w:br w:type="page"/>
      </w:r>
    </w:p>
    <w:p>
      <w:pPr>
        <w:tabs>
          <w:tab w:val="left" w:pos="3500"/>
          <w:tab w:val="left" w:pos="3700"/>
        </w:tabs>
        <w:spacing w:line="360" w:lineRule="auto"/>
        <w:jc w:val="center"/>
        <w:rPr>
          <w:rFonts w:hint="eastAsia" w:ascii="宋体" w:hAnsi="宋体"/>
          <w:b/>
          <w:sz w:val="28"/>
          <w:szCs w:val="28"/>
        </w:rPr>
      </w:pPr>
      <w:r>
        <w:rPr>
          <w:rFonts w:hint="eastAsia" w:ascii="宋体" w:hAnsi="宋体" w:cs="宋体"/>
          <w:b/>
          <w:sz w:val="28"/>
          <w:szCs w:val="28"/>
          <w:lang w:eastAsia="zh-CN"/>
        </w:rPr>
        <w:t>二</w:t>
      </w:r>
      <w:r>
        <w:rPr>
          <w:rFonts w:hint="eastAsia" w:ascii="宋体" w:hAnsi="宋体" w:cs="宋体"/>
          <w:b/>
          <w:sz w:val="28"/>
          <w:szCs w:val="28"/>
        </w:rPr>
        <w:t>、</w:t>
      </w:r>
      <w:r>
        <w:rPr>
          <w:rFonts w:hint="eastAsia" w:ascii="宋体" w:hAnsi="宋体" w:cs="宋体"/>
          <w:b/>
          <w:sz w:val="28"/>
          <w:szCs w:val="28"/>
          <w:lang w:eastAsia="zh-CN"/>
        </w:rPr>
        <w:t>开标一览表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lang w:eastAsia="zh-CN"/>
        </w:rPr>
        <w:t>（</w:t>
      </w:r>
      <w:r>
        <w:rPr>
          <w:rFonts w:hint="eastAsia" w:hAnsi="宋体"/>
          <w:sz w:val="24"/>
          <w:szCs w:val="24"/>
          <w:u w:val="single"/>
          <w:lang w:eastAsia="zh-CN"/>
        </w:rPr>
        <w:t xml:space="preserve">合同包 2 </w:t>
      </w:r>
      <w:r>
        <w:rPr>
          <w:rFonts w:hint="eastAsia" w:hAnsi="宋体"/>
          <w:sz w:val="24"/>
          <w:szCs w:val="24"/>
          <w:lang w:eastAsia="zh-CN"/>
        </w:rPr>
        <w:t>）</w:t>
      </w:r>
    </w:p>
    <w:p>
      <w:pPr>
        <w:tabs>
          <w:tab w:val="left" w:pos="7192"/>
        </w:tabs>
        <w:kinsoku w:val="0"/>
        <w:spacing w:line="500" w:lineRule="exact"/>
        <w:rPr>
          <w:rFonts w:hint="eastAsia"/>
          <w:sz w:val="24"/>
          <w:lang w:eastAsia="zh-CN"/>
        </w:rPr>
      </w:pPr>
      <w:r>
        <w:rPr>
          <w:rFonts w:hint="eastAsia"/>
          <w:sz w:val="24"/>
        </w:rPr>
        <w:t>项目编号：</w:t>
      </w:r>
      <w:r>
        <w:rPr>
          <w:rFonts w:hint="eastAsia"/>
          <w:sz w:val="24"/>
          <w:lang w:eastAsia="zh-CN"/>
        </w:rPr>
        <w:t>TYRZ-2024-ZZ059-2</w:t>
      </w:r>
    </w:p>
    <w:p>
      <w:pPr>
        <w:tabs>
          <w:tab w:val="left" w:pos="7192"/>
        </w:tabs>
        <w:kinsoku w:val="0"/>
        <w:spacing w:line="500" w:lineRule="exact"/>
        <w:rPr>
          <w:rFonts w:hint="eastAsia"/>
          <w:sz w:val="24"/>
          <w:lang w:eastAsia="zh-CN"/>
        </w:rPr>
      </w:pPr>
      <w:r>
        <w:rPr>
          <w:rFonts w:hint="eastAsia"/>
          <w:sz w:val="24"/>
          <w:lang w:eastAsia="zh-CN"/>
        </w:rPr>
        <w:tab/>
      </w:r>
    </w:p>
    <w:tbl>
      <w:tblPr>
        <w:tblStyle w:val="25"/>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927" w:type="dxa"/>
            <w:noWrap w:val="0"/>
            <w:vAlign w:val="center"/>
          </w:tcPr>
          <w:p>
            <w:pPr>
              <w:spacing w:line="360" w:lineRule="auto"/>
              <w:jc w:val="center"/>
              <w:rPr>
                <w:rFonts w:ascii="宋体" w:hAnsi="宋体"/>
                <w:color w:val="auto"/>
                <w:szCs w:val="21"/>
              </w:rPr>
            </w:pPr>
            <w:r>
              <w:rPr>
                <w:rFonts w:hint="eastAsia" w:ascii="宋体" w:hAnsi="宋体"/>
                <w:color w:val="auto"/>
                <w:szCs w:val="21"/>
              </w:rPr>
              <w:t>投标总报价</w:t>
            </w:r>
          </w:p>
          <w:p>
            <w:pPr>
              <w:spacing w:line="360" w:lineRule="auto"/>
              <w:jc w:val="center"/>
              <w:rPr>
                <w:rFonts w:ascii="宋体" w:hAnsi="宋体"/>
                <w:sz w:val="24"/>
                <w:szCs w:val="24"/>
              </w:rPr>
            </w:pPr>
            <w:r>
              <w:rPr>
                <w:rFonts w:hint="eastAsia" w:ascii="宋体" w:hAnsi="宋体"/>
                <w:color w:val="auto"/>
                <w:szCs w:val="21"/>
              </w:rPr>
              <w:t>（人民币/元）</w:t>
            </w:r>
          </w:p>
        </w:tc>
        <w:tc>
          <w:tcPr>
            <w:tcW w:w="5014" w:type="dxa"/>
            <w:noWrap w:val="0"/>
            <w:vAlign w:val="center"/>
          </w:tcPr>
          <w:p>
            <w:pPr>
              <w:spacing w:line="360" w:lineRule="auto"/>
              <w:rPr>
                <w:rFonts w:ascii="宋体" w:hAnsi="宋体"/>
                <w:color w:val="auto"/>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 xml:space="preserve"> 元 </w:t>
            </w:r>
          </w:p>
          <w:p>
            <w:pPr>
              <w:spacing w:line="360" w:lineRule="auto"/>
              <w:rPr>
                <w:rFonts w:ascii="宋体" w:hAnsi="宋体"/>
                <w:sz w:val="24"/>
                <w:szCs w:val="24"/>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ascii="宋体" w:hAnsi="宋体"/>
                <w:sz w:val="24"/>
                <w:szCs w:val="24"/>
              </w:rPr>
            </w:pPr>
            <w:r>
              <w:rPr>
                <w:rFonts w:hint="eastAsia"/>
                <w:color w:val="auto"/>
                <w:szCs w:val="24"/>
              </w:rPr>
              <w:t>服务期限</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hint="eastAsia"/>
                <w:color w:val="auto"/>
                <w:szCs w:val="24"/>
              </w:rPr>
            </w:pPr>
            <w:r>
              <w:rPr>
                <w:rFonts w:hint="eastAsia" w:ascii="宋体" w:hAnsi="宋体" w:eastAsia="宋体" w:cs="宋体"/>
                <w:color w:val="000000"/>
                <w:kern w:val="0"/>
                <w:sz w:val="21"/>
                <w:szCs w:val="21"/>
                <w:lang w:val="en-US" w:eastAsia="zh-CN" w:bidi="ar"/>
              </w:rPr>
              <w:t>服务标准</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927" w:type="dxa"/>
            <w:noWrap w:val="0"/>
            <w:vAlign w:val="center"/>
          </w:tcPr>
          <w:p>
            <w:pPr>
              <w:spacing w:line="360" w:lineRule="auto"/>
              <w:jc w:val="center"/>
              <w:rPr>
                <w:rFonts w:hint="eastAsia" w:ascii="宋体" w:hAnsi="宋体"/>
                <w:sz w:val="24"/>
                <w:szCs w:val="24"/>
              </w:rPr>
            </w:pPr>
            <w:r>
              <w:rPr>
                <w:rFonts w:hint="eastAsia" w:ascii="宋体" w:hAnsi="宋体"/>
                <w:color w:val="auto"/>
                <w:szCs w:val="21"/>
              </w:rPr>
              <w:t>备注</w:t>
            </w:r>
          </w:p>
        </w:tc>
        <w:tc>
          <w:tcPr>
            <w:tcW w:w="5014" w:type="dxa"/>
            <w:noWrap w:val="0"/>
            <w:vAlign w:val="center"/>
          </w:tcPr>
          <w:p>
            <w:pPr>
              <w:spacing w:line="360" w:lineRule="auto"/>
              <w:rPr>
                <w:rFonts w:hint="default" w:ascii="宋体" w:hAnsi="宋体" w:eastAsia="宋体"/>
                <w:sz w:val="24"/>
                <w:szCs w:val="24"/>
                <w:u w:val="single"/>
                <w:lang w:val="en-US" w:eastAsia="zh-CN"/>
              </w:rPr>
            </w:pPr>
            <w:r>
              <w:rPr>
                <w:rFonts w:hint="eastAsia" w:ascii="宋体" w:hAnsi="宋体"/>
                <w:sz w:val="24"/>
                <w:szCs w:val="24"/>
                <w:u w:val="none"/>
                <w:lang w:val="en-US" w:eastAsia="zh-CN"/>
              </w:rPr>
              <w:t>本单位为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941" w:type="dxa"/>
            <w:gridSpan w:val="2"/>
            <w:noWrap w:val="0"/>
            <w:vAlign w:val="center"/>
          </w:tcPr>
          <w:p>
            <w:pPr>
              <w:spacing w:line="360" w:lineRule="auto"/>
              <w:jc w:val="left"/>
              <w:rPr>
                <w:color w:val="auto"/>
              </w:rPr>
            </w:pPr>
            <w:r>
              <w:rPr>
                <w:rFonts w:hint="eastAsia"/>
                <w:color w:val="auto"/>
              </w:rPr>
              <w:t>说明：1、</w:t>
            </w:r>
            <w:r>
              <w:rPr>
                <w:rFonts w:hint="eastAsia"/>
                <w:color w:val="auto"/>
                <w:lang w:eastAsia="zh-CN"/>
              </w:rPr>
              <w:t>投标</w:t>
            </w:r>
            <w:r>
              <w:rPr>
                <w:rFonts w:hint="eastAsia"/>
                <w:color w:val="auto"/>
              </w:rPr>
              <w:t>报价包含项目过程中（合同总金额包括人员工资、福利、社保（养老、医疗、工伤等保险）、劳保用品、融雪剂</w:t>
            </w:r>
            <w:r>
              <w:rPr>
                <w:rFonts w:hint="eastAsia"/>
                <w:b w:val="0"/>
                <w:bCs w:val="0"/>
                <w:color w:val="auto"/>
              </w:rPr>
              <w:t>、工具、车辆设备</w:t>
            </w:r>
            <w:r>
              <w:rPr>
                <w:rFonts w:hint="eastAsia"/>
                <w:b w:val="0"/>
                <w:bCs w:val="0"/>
                <w:color w:val="auto"/>
                <w:lang w:eastAsia="zh-CN"/>
              </w:rPr>
              <w:t>、</w:t>
            </w:r>
            <w:r>
              <w:rPr>
                <w:rFonts w:hint="eastAsia"/>
                <w:b w:val="0"/>
                <w:bCs w:val="0"/>
                <w:color w:val="auto"/>
              </w:rPr>
              <w:t>机械及其维修、工具房租用、迎检加班和突发处置费用、应急物资等作业成本以及适当的管理费用、</w:t>
            </w:r>
            <w:r>
              <w:rPr>
                <w:rFonts w:hint="eastAsia"/>
                <w:color w:val="auto"/>
              </w:rPr>
              <w:t>利润、税金、风险金（保险、处理一切意外伤亡事故等费用）办公用房的租赁等其他一切费用），以</w:t>
            </w:r>
            <w:r>
              <w:rPr>
                <w:rFonts w:hint="eastAsia"/>
                <w:color w:val="auto"/>
                <w:lang w:eastAsia="zh-CN"/>
              </w:rPr>
              <w:t>招标</w:t>
            </w:r>
            <w:r>
              <w:rPr>
                <w:rFonts w:hint="eastAsia"/>
                <w:color w:val="auto"/>
              </w:rPr>
              <w:t>文件的内容和要求作为依据；</w:t>
            </w:r>
          </w:p>
          <w:p>
            <w:pPr>
              <w:numPr>
                <w:ilvl w:val="0"/>
                <w:numId w:val="16"/>
              </w:numPr>
              <w:spacing w:line="360" w:lineRule="auto"/>
              <w:rPr>
                <w:rFonts w:hint="eastAsia" w:eastAsia="宋体"/>
                <w:lang w:val="en-US" w:eastAsia="zh-CN"/>
              </w:rPr>
            </w:pPr>
            <w:r>
              <w:rPr>
                <w:rFonts w:hint="eastAsia"/>
                <w:color w:val="auto"/>
              </w:rPr>
              <w:t>供应商报价不得高于最高限价：否则其投标文件将按无效文件处理</w:t>
            </w:r>
            <w:r>
              <w:rPr>
                <w:rFonts w:hint="eastAsia"/>
                <w:color w:val="auto"/>
                <w:lang w:eastAsia="zh-CN"/>
              </w:rPr>
              <w:t>；</w:t>
            </w:r>
          </w:p>
          <w:p>
            <w:pPr>
              <w:pStyle w:val="24"/>
              <w:ind w:left="0" w:leftChars="0" w:firstLine="0" w:firstLineChars="0"/>
              <w:rPr>
                <w:rFonts w:hint="default" w:eastAsia="仿宋_GB2312"/>
                <w:lang w:val="en-US" w:eastAsia="zh-CN"/>
              </w:rPr>
            </w:pPr>
            <w:r>
              <w:rPr>
                <w:rFonts w:hint="eastAsia" w:ascii="Times New Roman" w:hAnsi="Times New Roman" w:eastAsia="宋体" w:cs="Times New Roman"/>
                <w:color w:val="auto"/>
                <w:kern w:val="2"/>
                <w:sz w:val="21"/>
                <w:szCs w:val="22"/>
                <w:lang w:val="en-US" w:eastAsia="zh-CN" w:bidi="ar-SA"/>
              </w:rPr>
              <w:t>3、若投标人属于小型、微型企业、监狱企业、残疾人福利性单位，请在备注栏如实填写。</w:t>
            </w:r>
          </w:p>
        </w:tc>
      </w:tr>
    </w:tbl>
    <w:p>
      <w:pPr>
        <w:pStyle w:val="12"/>
        <w:rPr>
          <w:rFonts w:hint="eastAsia"/>
          <w:lang w:eastAsia="zh-CN"/>
        </w:rPr>
      </w:pPr>
    </w:p>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jc w:val="right"/>
        <w:rPr>
          <w:rFonts w:hint="eastAsia" w:ascii="宋体" w:hAnsi="宋体"/>
          <w:spacing w:val="4"/>
          <w:sz w:val="24"/>
          <w:szCs w:val="24"/>
          <w:u w:val="none"/>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tabs>
          <w:tab w:val="left" w:pos="3500"/>
          <w:tab w:val="left" w:pos="3700"/>
        </w:tabs>
        <w:spacing w:line="360" w:lineRule="auto"/>
        <w:jc w:val="center"/>
        <w:rPr>
          <w:rFonts w:hint="eastAsia"/>
          <w:highlight w:val="none"/>
        </w:rPr>
      </w:pPr>
      <w:bookmarkStart w:id="40" w:name="_Toc9840"/>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bookmarkEnd w:id="40"/>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 xml:space="preserve">合同包 2 </w:t>
      </w:r>
      <w:r>
        <w:rPr>
          <w:rFonts w:hint="eastAsia" w:hAnsi="宋体"/>
          <w:sz w:val="24"/>
          <w:lang w:eastAsia="zh-CN"/>
        </w:rPr>
        <w:t>）</w:t>
      </w:r>
    </w:p>
    <w:p>
      <w:pPr>
        <w:pStyle w:val="7"/>
        <w:numPr>
          <w:ilvl w:val="0"/>
          <w:numId w:val="0"/>
        </w:numPr>
        <w:rPr>
          <w:rFonts w:hint="default" w:ascii="Times New Roman" w:hAnsi="宋体" w:eastAsia="宋体" w:cs="Times New Roman"/>
          <w:kern w:val="2"/>
          <w:sz w:val="24"/>
          <w:szCs w:val="22"/>
          <w:lang w:val="en-US" w:eastAsia="zh-CN" w:bidi="ar-SA"/>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TYRZ-2024-ZZ059-2</w:t>
      </w:r>
      <w:r>
        <w:rPr>
          <w:rFonts w:hint="eastAsia" w:ascii="Times New Roman" w:hAnsi="宋体" w:eastAsia="宋体" w:cs="Times New Roman"/>
          <w:kern w:val="2"/>
          <w:sz w:val="24"/>
          <w:szCs w:val="22"/>
          <w:lang w:val="en-US" w:eastAsia="zh-CN" w:bidi="ar-SA"/>
        </w:rPr>
        <w:t xml:space="preserve">        </w:t>
      </w:r>
    </w:p>
    <w:tbl>
      <w:tblPr>
        <w:tblStyle w:val="2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498"/>
        <w:gridCol w:w="945"/>
        <w:gridCol w:w="1260"/>
        <w:gridCol w:w="9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b/>
                <w:i w:val="0"/>
                <w:color w:val="000000"/>
                <w:kern w:val="0"/>
                <w:sz w:val="24"/>
                <w:szCs w:val="24"/>
                <w:highlight w:val="none"/>
                <w:u w:val="none"/>
                <w:lang w:val="en-US" w:eastAsia="zh-CN"/>
              </w:rPr>
              <w:t>序号</w:t>
            </w:r>
          </w:p>
        </w:tc>
        <w:tc>
          <w:tcPr>
            <w:tcW w:w="3498"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rPr>
              <w:t>分项名称</w:t>
            </w:r>
          </w:p>
        </w:tc>
        <w:tc>
          <w:tcPr>
            <w:tcW w:w="945"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单位</w:t>
            </w:r>
          </w:p>
        </w:tc>
        <w:tc>
          <w:tcPr>
            <w:tcW w:w="126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单价（元）</w:t>
            </w:r>
          </w:p>
        </w:tc>
        <w:tc>
          <w:tcPr>
            <w:tcW w:w="93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数量</w:t>
            </w:r>
          </w:p>
        </w:tc>
        <w:tc>
          <w:tcPr>
            <w:tcW w:w="147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885" w:type="dxa"/>
            <w:gridSpan w:val="6"/>
            <w:noWrap w:val="0"/>
            <w:vAlign w:val="top"/>
          </w:tcPr>
          <w:p>
            <w:pPr>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lang w:eastAsia="zh-CN"/>
              </w:rPr>
              <w:t>总计</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说明：1.投标人必须按本</w:t>
      </w:r>
      <w:r>
        <w:rPr>
          <w:rFonts w:hint="eastAsia" w:ascii="微软雅黑" w:hAnsi="微软雅黑" w:eastAsia="微软雅黑" w:cs="微软雅黑"/>
          <w:bCs/>
          <w:color w:val="auto"/>
          <w:szCs w:val="21"/>
          <w:highlight w:val="none"/>
        </w:rPr>
        <w:t>表的格式</w:t>
      </w:r>
      <w:r>
        <w:rPr>
          <w:rFonts w:hint="eastAsia" w:ascii="微软雅黑" w:hAnsi="微软雅黑" w:eastAsia="微软雅黑" w:cs="微软雅黑"/>
          <w:color w:val="auto"/>
          <w:szCs w:val="21"/>
          <w:highlight w:val="none"/>
        </w:rPr>
        <w:t>详细报出投标总价的各个组成部分的报价，否则作无效投标处理；报价精确到小数点后两位；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w:t>
      </w:r>
      <w:r>
        <w:rPr>
          <w:rFonts w:hint="eastAsia" w:ascii="微软雅黑" w:hAnsi="微软雅黑" w:eastAsia="微软雅黑" w:cs="微软雅黑"/>
          <w:bCs/>
          <w:color w:val="auto"/>
          <w:szCs w:val="21"/>
          <w:highlight w:val="none"/>
        </w:rPr>
        <w:t>表各分项报价合计应当与“开标一览表”总报价相等；</w:t>
      </w:r>
      <w:r>
        <w:rPr>
          <w:rFonts w:hint="eastAsia" w:ascii="微软雅黑" w:hAnsi="微软雅黑" w:eastAsia="微软雅黑" w:cs="微软雅黑"/>
          <w:color w:val="auto"/>
          <w:szCs w:val="21"/>
          <w:highlight w:val="none"/>
        </w:rPr>
        <w:t>如果按单价计算的结果与报价不一致时，以单价为准修正报价与合计报价；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3.本表为多页的，每页均需由法定代表人或授权代表签名并盖投标人印章；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4.如本项目包括采购货物的，有投标产品属于节能、环境标志产品的、不填报的，在评标时不予加分；</w:t>
      </w:r>
    </w:p>
    <w:p>
      <w:pPr>
        <w:pStyle w:val="7"/>
        <w:keepNext w:val="0"/>
        <w:keepLines w:val="0"/>
        <w:pageBreakBefore w:val="0"/>
        <w:widowControl w:val="0"/>
        <w:kinsoku/>
        <w:wordWrap/>
        <w:overflowPunct/>
        <w:topLinePunct w:val="0"/>
        <w:autoSpaceDE/>
        <w:autoSpaceDN/>
        <w:bidi w:val="0"/>
        <w:spacing w:line="240" w:lineRule="auto"/>
        <w:ind w:left="0" w:leftChars="0"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w:t>
      </w:r>
      <w:r>
        <w:rPr>
          <w:rFonts w:hint="eastAsia" w:ascii="微软雅黑" w:hAnsi="微软雅黑" w:eastAsia="微软雅黑" w:cs="微软雅黑"/>
          <w:color w:val="auto"/>
          <w:highlight w:val="none"/>
        </w:rPr>
        <w:t>所属行业按招标文件明确的行业填报；类型指小型、微型、中型、大型企业；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rPr>
        <w:t>6.投标人提供了《中小企业声明函》的，服务商所属行业和类型与其不一致的，以《中小企业声明函》为准。</w:t>
      </w:r>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wordWrap w:val="0"/>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pStyle w:val="33"/>
        <w:jc w:val="center"/>
        <w:rPr>
          <w:rFonts w:hint="eastAsia" w:ascii="宋体" w:hAnsi="宋体"/>
          <w:b/>
          <w:sz w:val="28"/>
          <w:szCs w:val="28"/>
          <w:lang w:eastAsia="zh-CN"/>
        </w:rPr>
      </w:pPr>
    </w:p>
    <w:p>
      <w:pPr>
        <w:pStyle w:val="33"/>
        <w:jc w:val="center"/>
        <w:rPr>
          <w:rFonts w:hint="default" w:ascii="宋体" w:hAnsi="宋体"/>
          <w:b/>
          <w:sz w:val="28"/>
          <w:szCs w:val="28"/>
          <w:lang w:val="en-US" w:eastAsia="zh-CN"/>
        </w:rPr>
      </w:pPr>
    </w:p>
    <w:p>
      <w:pPr>
        <w:jc w:val="center"/>
        <w:rPr>
          <w:rFonts w:hint="eastAsia" w:ascii="微软雅黑" w:hAnsi="微软雅黑" w:eastAsia="微软雅黑" w:cs="微软雅黑"/>
          <w:b/>
          <w:bCs/>
          <w:sz w:val="32"/>
          <w:szCs w:val="32"/>
          <w:highlight w:val="none"/>
          <w:lang w:val="en-US" w:eastAsia="zh-CN"/>
        </w:rPr>
      </w:pPr>
      <w:bookmarkStart w:id="41" w:name="_Toc601"/>
      <w:r>
        <w:rPr>
          <w:rFonts w:hint="eastAsia" w:ascii="宋体" w:hAnsi="宋体" w:eastAsia="宋体" w:cs="宋体"/>
          <w:b/>
          <w:sz w:val="28"/>
          <w:szCs w:val="28"/>
          <w:lang w:val="en-US" w:eastAsia="zh-CN"/>
        </w:rPr>
        <w:t>四、</w:t>
      </w:r>
      <w:bookmarkEnd w:id="41"/>
      <w:r>
        <w:rPr>
          <w:rFonts w:hint="eastAsia" w:ascii="宋体" w:hAnsi="宋体" w:cs="宋体"/>
          <w:b/>
          <w:sz w:val="28"/>
          <w:szCs w:val="28"/>
          <w:lang w:val="en-US" w:eastAsia="zh-CN"/>
        </w:rPr>
        <w:t>技术、</w:t>
      </w:r>
      <w:r>
        <w:rPr>
          <w:rFonts w:hint="eastAsia" w:ascii="宋体" w:hAnsi="宋体" w:eastAsia="宋体" w:cs="宋体"/>
          <w:b/>
          <w:sz w:val="28"/>
          <w:szCs w:val="28"/>
          <w:lang w:val="en-US" w:eastAsia="zh-CN"/>
        </w:rPr>
        <w:t>商务及服务要求偏离表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2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TYRZ-2024-ZZ059-2</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88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招标文件技术、商务及服务要求条款</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投标技术、商务及服务要求响应条款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技术、商务及服务要求</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pStyle w:val="24"/>
        <w:jc w:val="right"/>
        <w:rPr>
          <w:rFonts w:hint="eastAsia" w:ascii="宋体" w:hAnsi="宋体" w:eastAsia="宋体" w:cs="宋体"/>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jc w:val="center"/>
        <w:rPr>
          <w:rFonts w:hint="eastAsia" w:ascii="微软雅黑" w:hAnsi="微软雅黑" w:eastAsia="微软雅黑" w:cs="微软雅黑"/>
          <w:b/>
          <w:bCs/>
          <w:sz w:val="32"/>
          <w:szCs w:val="32"/>
          <w:highlight w:val="none"/>
          <w:lang w:val="en-US" w:eastAsia="zh-CN"/>
        </w:rPr>
      </w:pPr>
      <w:r>
        <w:rPr>
          <w:rFonts w:hint="eastAsia" w:ascii="宋体" w:hAnsi="宋体" w:eastAsia="宋体" w:cs="宋体"/>
          <w:b/>
          <w:sz w:val="28"/>
          <w:szCs w:val="28"/>
          <w:lang w:val="en-US" w:eastAsia="zh-CN"/>
        </w:rPr>
        <w:t>五、合同条款偏离表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2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TYRZ-2024-ZZ059-2</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招标合同条款要求</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投标合同响应条款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合同条款</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jc w:val="right"/>
        <w:rPr>
          <w:rFonts w:hint="eastAsia" w:ascii="宋体" w:hAnsi="宋体"/>
          <w:b/>
          <w:sz w:val="28"/>
          <w:szCs w:val="28"/>
          <w:lang w:eastAsia="zh-CN"/>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六、资格证明文件</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rPr>
          <w:rFonts w:hint="eastAsia" w:ascii="宋体" w:hAnsi="宋体"/>
          <w:b/>
          <w:sz w:val="28"/>
          <w:szCs w:val="28"/>
          <w:lang w:eastAsia="zh-CN"/>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r>
        <w:rPr>
          <w:rFonts w:hint="eastAsia" w:ascii="宋体" w:hAnsi="宋体"/>
          <w:b/>
          <w:sz w:val="28"/>
          <w:szCs w:val="28"/>
          <w:lang w:eastAsia="zh-CN"/>
        </w:rPr>
        <w:br w:type="page"/>
      </w:r>
    </w:p>
    <w:p>
      <w:pPr>
        <w:spacing w:line="360" w:lineRule="auto"/>
        <w:jc w:val="both"/>
        <w:rPr>
          <w:rFonts w:ascii="宋体" w:hAnsi="宋体"/>
          <w:b/>
          <w:bCs/>
          <w:sz w:val="24"/>
          <w:szCs w:val="16"/>
        </w:rPr>
      </w:pPr>
      <w:r>
        <w:rPr>
          <w:rFonts w:hint="eastAsia" w:ascii="宋体" w:hAnsi="宋体"/>
          <w:b/>
          <w:bCs/>
          <w:sz w:val="24"/>
          <w:szCs w:val="16"/>
          <w:lang w:eastAsia="zh-CN"/>
        </w:rPr>
        <w:t>附件</w:t>
      </w:r>
      <w:r>
        <w:rPr>
          <w:rFonts w:hint="eastAsia" w:ascii="宋体" w:hAnsi="宋体"/>
          <w:b/>
          <w:bCs/>
          <w:sz w:val="24"/>
          <w:szCs w:val="16"/>
        </w:rPr>
        <w:t>一</w:t>
      </w:r>
      <w:r>
        <w:rPr>
          <w:rFonts w:hint="eastAsia" w:ascii="宋体" w:hAnsi="宋体"/>
          <w:b/>
          <w:bCs/>
          <w:sz w:val="24"/>
          <w:szCs w:val="16"/>
          <w:lang w:eastAsia="zh-CN"/>
        </w:rPr>
        <w:t>：</w:t>
      </w:r>
      <w:r>
        <w:rPr>
          <w:rFonts w:hint="eastAsia" w:ascii="宋体" w:hAnsi="宋体"/>
          <w:b/>
          <w:bCs/>
          <w:sz w:val="24"/>
          <w:szCs w:val="16"/>
        </w:rPr>
        <w:t>法定代表人证明书</w:t>
      </w:r>
    </w:p>
    <w:p>
      <w:pPr>
        <w:spacing w:line="500" w:lineRule="exact"/>
        <w:jc w:val="center"/>
        <w:rPr>
          <w:rFonts w:ascii="宋体" w:hAnsi="宋体"/>
          <w:sz w:val="24"/>
        </w:rPr>
      </w:pPr>
      <w:r>
        <w:rPr>
          <w:rFonts w:hint="eastAsia" w:ascii="宋体" w:hAnsi="宋体"/>
          <w:b/>
          <w:bCs/>
          <w:sz w:val="24"/>
          <w:szCs w:val="16"/>
        </w:rPr>
        <w:t>法定代表人证明书</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r>
        <w:rPr>
          <w:rFonts w:hAnsi="宋体"/>
          <w:sz w:val="24"/>
        </w:rPr>
        <w:t>附：法定代表人身份证复印件。（二代身份证正、反两面都需复印）</w:t>
      </w: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rPr>
          <w:rFonts w:hint="eastAsia" w:ascii="宋体" w:hAnsi="宋体" w:eastAsia="宋体"/>
          <w:b w:val="0"/>
          <w:bCs/>
          <w:sz w:val="24"/>
          <w:szCs w:val="24"/>
          <w:lang w:eastAsia="zh-CN"/>
        </w:rPr>
      </w:pPr>
    </w:p>
    <w:p>
      <w:pPr>
        <w:pStyle w:val="40"/>
        <w:spacing w:line="480" w:lineRule="exact"/>
        <w:ind w:firstLine="0" w:firstLineChars="0"/>
        <w:jc w:val="both"/>
        <w:rPr>
          <w:rFonts w:hint="eastAsia" w:ascii="宋体" w:hAnsi="宋体"/>
          <w:b/>
          <w:bCs/>
          <w:sz w:val="24"/>
          <w:szCs w:val="16"/>
        </w:rPr>
      </w:pPr>
      <w:r>
        <w:rPr>
          <w:rFonts w:hint="eastAsia" w:ascii="宋体" w:hAnsi="宋体"/>
          <w:b/>
          <w:bCs/>
          <w:sz w:val="32"/>
          <w:szCs w:val="20"/>
        </w:rPr>
        <w:br w:type="page"/>
      </w:r>
      <w:r>
        <w:rPr>
          <w:rFonts w:hint="eastAsia" w:ascii="宋体" w:hAnsi="宋体"/>
          <w:b/>
          <w:bCs/>
          <w:sz w:val="24"/>
          <w:szCs w:val="16"/>
          <w:lang w:eastAsia="zh-CN"/>
        </w:rPr>
        <w:t>附件</w:t>
      </w:r>
      <w:r>
        <w:rPr>
          <w:rFonts w:hint="eastAsia" w:ascii="宋体" w:hAnsi="宋体"/>
          <w:b/>
          <w:bCs/>
          <w:sz w:val="24"/>
          <w:szCs w:val="16"/>
        </w:rPr>
        <w:t>二</w:t>
      </w:r>
      <w:r>
        <w:rPr>
          <w:rFonts w:hint="eastAsia" w:ascii="宋体" w:hAnsi="宋体"/>
          <w:b/>
          <w:bCs/>
          <w:sz w:val="24"/>
          <w:szCs w:val="16"/>
          <w:lang w:eastAsia="zh-CN"/>
        </w:rPr>
        <w:t>：</w:t>
      </w:r>
      <w:r>
        <w:rPr>
          <w:rFonts w:hint="eastAsia" w:ascii="宋体" w:hAnsi="宋体"/>
          <w:b/>
          <w:bCs/>
          <w:sz w:val="24"/>
          <w:szCs w:val="16"/>
        </w:rPr>
        <w:t>法定代表人授权委托书</w:t>
      </w:r>
    </w:p>
    <w:p>
      <w:pPr>
        <w:pStyle w:val="40"/>
        <w:spacing w:line="480" w:lineRule="exact"/>
        <w:ind w:firstLine="0" w:firstLineChars="0"/>
        <w:jc w:val="center"/>
        <w:rPr>
          <w:rFonts w:ascii="宋体" w:hAnsi="宋体"/>
          <w:b/>
          <w:bCs/>
          <w:sz w:val="24"/>
          <w:szCs w:val="16"/>
        </w:rPr>
      </w:pPr>
      <w:r>
        <w:rPr>
          <w:rFonts w:hint="eastAsia" w:ascii="宋体" w:hAnsi="宋体"/>
          <w:b/>
          <w:bCs/>
          <w:sz w:val="24"/>
          <w:szCs w:val="16"/>
        </w:rPr>
        <w:t>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2024年周至县道路清扫保洁、垃圾清运、绿化养护、公厕管理市场化运作项目</w:t>
      </w:r>
      <w:r>
        <w:rPr>
          <w:rFonts w:hint="eastAsia" w:hAnsi="宋体"/>
          <w:sz w:val="24"/>
          <w:szCs w:val="24"/>
          <w:u w:val="single"/>
          <w:lang w:eastAsia="zh-CN"/>
        </w:rPr>
        <w:t>（合同包 2 ）</w:t>
      </w:r>
      <w:r>
        <w:rPr>
          <w:rFonts w:hint="eastAsia" w:hAnsi="宋体"/>
          <w:sz w:val="24"/>
          <w:u w:val="single"/>
        </w:rPr>
        <w:t xml:space="preserve"> </w:t>
      </w:r>
      <w:r>
        <w:rPr>
          <w:rFonts w:hAnsi="宋体"/>
          <w:sz w:val="24"/>
        </w:rPr>
        <w:t>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42" w:name="_Toc201637979"/>
      <w:bookmarkStart w:id="43"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42"/>
      <w:bookmarkEnd w:id="43"/>
      <w:r>
        <w:rPr>
          <w:rFonts w:hint="eastAsia" w:hAnsi="宋体"/>
          <w:sz w:val="24"/>
          <w:u w:val="single"/>
        </w:rPr>
        <w:t xml:space="preserve">           </w:t>
      </w:r>
    </w:p>
    <w:p>
      <w:pPr>
        <w:spacing w:line="500" w:lineRule="exact"/>
        <w:ind w:firstLine="480" w:firstLineChars="200"/>
        <w:rPr>
          <w:sz w:val="24"/>
          <w:u w:val="single"/>
        </w:rPr>
      </w:pPr>
      <w:bookmarkStart w:id="44" w:name="_Toc201637980"/>
      <w:bookmarkStart w:id="45" w:name="_Toc214090948"/>
      <w:r>
        <w:rPr>
          <w:rFonts w:hAnsi="宋体"/>
          <w:sz w:val="24"/>
        </w:rPr>
        <w:t>职务：</w:t>
      </w:r>
      <w:r>
        <w:rPr>
          <w:sz w:val="24"/>
          <w:u w:val="single"/>
        </w:rPr>
        <w:t xml:space="preserve">                     </w:t>
      </w:r>
      <w:bookmarkEnd w:id="44"/>
      <w:bookmarkEnd w:id="45"/>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46" w:name="_Toc201637981"/>
      <w:bookmarkStart w:id="47" w:name="_Toc214090949"/>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46"/>
      <w:bookmarkEnd w:id="47"/>
      <w:r>
        <w:rPr>
          <w:rFonts w:hint="eastAsia" w:hAnsi="宋体"/>
          <w:sz w:val="24"/>
          <w:u w:val="single"/>
        </w:rPr>
        <w:t xml:space="preserve">                        </w:t>
      </w:r>
    </w:p>
    <w:p>
      <w:pPr>
        <w:spacing w:line="500" w:lineRule="exact"/>
        <w:jc w:val="center"/>
        <w:rPr>
          <w:rFonts w:ascii="宋体" w:hAnsi="宋体"/>
          <w:b/>
        </w:rPr>
      </w:pPr>
      <w:bookmarkStart w:id="48" w:name="_Toc201637982"/>
      <w:bookmarkStart w:id="49" w:name="_Toc214090950"/>
      <w:r>
        <w:rPr>
          <w:rFonts w:hAnsi="宋体"/>
          <w:sz w:val="24"/>
        </w:rPr>
        <w:t>附：法定代表人、被授权人身份证复印件。（二代身份证正、反两面都需复印）</w:t>
      </w:r>
      <w:bookmarkEnd w:id="48"/>
      <w:bookmarkEnd w:id="49"/>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1"/>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r>
        <w:rPr>
          <w:rFonts w:hint="eastAsia" w:ascii="宋体" w:hAnsi="宋体"/>
          <w:b/>
          <w:sz w:val="28"/>
          <w:szCs w:val="28"/>
          <w:lang w:eastAsia="zh-CN"/>
        </w:rPr>
        <w:br w:type="page"/>
      </w:r>
    </w:p>
    <w:p>
      <w:pPr>
        <w:spacing w:line="360" w:lineRule="auto"/>
        <w:ind w:left="1"/>
        <w:jc w:val="both"/>
        <w:rPr>
          <w:rFonts w:ascii="宋体" w:hAnsi="宋体"/>
          <w:b w:val="0"/>
          <w:bCs/>
          <w:sz w:val="24"/>
          <w:szCs w:val="24"/>
        </w:rPr>
      </w:pPr>
      <w:r>
        <w:rPr>
          <w:rFonts w:hint="eastAsia" w:ascii="宋体" w:hAnsi="宋体"/>
          <w:b w:val="0"/>
          <w:bCs/>
          <w:sz w:val="24"/>
          <w:szCs w:val="24"/>
          <w:lang w:eastAsia="zh-CN"/>
        </w:rPr>
        <w:t>附件三：</w:t>
      </w:r>
      <w:r>
        <w:rPr>
          <w:rFonts w:hint="eastAsia" w:ascii="宋体" w:hAnsi="宋体"/>
          <w:b w:val="0"/>
          <w:bCs/>
          <w:sz w:val="24"/>
          <w:szCs w:val="24"/>
        </w:rPr>
        <w:t>投标人无重大违法记录的书面声明格式</w:t>
      </w:r>
    </w:p>
    <w:p>
      <w:pPr>
        <w:spacing w:line="360" w:lineRule="auto"/>
        <w:jc w:val="center"/>
        <w:rPr>
          <w:rFonts w:ascii="宋体" w:hAnsi="宋体"/>
          <w:b/>
          <w:bCs w:val="0"/>
          <w:spacing w:val="4"/>
          <w:sz w:val="30"/>
          <w:szCs w:val="30"/>
          <w:u w:val="single"/>
        </w:rPr>
      </w:pPr>
      <w:r>
        <w:rPr>
          <w:rFonts w:hint="eastAsia" w:ascii="宋体" w:hAnsi="宋体"/>
          <w:b/>
          <w:bCs w:val="0"/>
          <w:sz w:val="24"/>
          <w:szCs w:val="24"/>
        </w:rPr>
        <w:t>投标人无重大违法记录的书面声明格式</w:t>
      </w: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eastAsia="宋体" w:cs="宋体"/>
          <w:spacing w:val="4"/>
          <w:kern w:val="0"/>
          <w:sz w:val="24"/>
          <w:szCs w:val="24"/>
          <w:lang w:val="en-US" w:eastAsia="zh-CN" w:bidi="ar-SA"/>
        </w:rPr>
      </w:pPr>
      <w:r>
        <w:rPr>
          <w:rFonts w:hint="eastAsia"/>
          <w:lang w:eastAsia="zh-CN"/>
        </w:rPr>
        <w:br w:type="page"/>
      </w:r>
      <w:r>
        <w:rPr>
          <w:rFonts w:hint="eastAsia" w:ascii="宋体" w:hAnsi="宋体"/>
          <w:b w:val="0"/>
          <w:bCs/>
          <w:sz w:val="24"/>
          <w:szCs w:val="24"/>
          <w:lang w:eastAsia="zh-CN"/>
        </w:rPr>
        <w:t>附件四：</w:t>
      </w:r>
      <w:r>
        <w:rPr>
          <w:rFonts w:hint="eastAsia" w:ascii="宋体" w:hAnsi="宋体" w:eastAsia="宋体" w:cs="宋体"/>
          <w:spacing w:val="4"/>
          <w:kern w:val="0"/>
          <w:sz w:val="24"/>
          <w:szCs w:val="24"/>
          <w:lang w:val="en-US" w:eastAsia="zh-CN" w:bidi="ar-SA"/>
        </w:rPr>
        <w:t>书面声明</w:t>
      </w:r>
    </w:p>
    <w:p>
      <w:pPr>
        <w:spacing w:before="42"/>
        <w:ind w:left="172" w:right="132" w:firstLine="0"/>
        <w:jc w:val="center"/>
        <w:rPr>
          <w:b/>
          <w:sz w:val="28"/>
        </w:rPr>
      </w:pPr>
    </w:p>
    <w:p>
      <w:pPr>
        <w:spacing w:before="42"/>
        <w:ind w:left="172" w:right="132" w:firstLine="0"/>
        <w:jc w:val="center"/>
        <w:rPr>
          <w:b/>
          <w:sz w:val="28"/>
        </w:rPr>
      </w:pPr>
      <w:r>
        <w:rPr>
          <w:b/>
          <w:sz w:val="28"/>
        </w:rPr>
        <w:t>履行合同所必需的设备和专业技术能力的书面声明</w:t>
      </w:r>
    </w:p>
    <w:p>
      <w:pPr>
        <w:pStyle w:val="12"/>
        <w:keepNext w:val="0"/>
        <w:keepLines w:val="0"/>
        <w:pageBreakBefore w:val="0"/>
        <w:widowControl w:val="0"/>
        <w:kinsoku/>
        <w:wordWrap/>
        <w:overflowPunct/>
        <w:topLinePunct w:val="0"/>
        <w:autoSpaceDE/>
        <w:autoSpaceDN/>
        <w:bidi w:val="0"/>
        <w:adjustRightInd/>
        <w:snapToGrid/>
        <w:spacing w:after="0" w:line="480" w:lineRule="auto"/>
        <w:ind w:right="0"/>
        <w:textAlignment w:val="auto"/>
        <w:rPr>
          <w:sz w:val="24"/>
          <w:szCs w:val="24"/>
        </w:rPr>
      </w:pPr>
      <w:r>
        <w:rPr>
          <w:rFonts w:hint="eastAsia"/>
          <w:sz w:val="24"/>
          <w:szCs w:val="24"/>
        </w:rPr>
        <w:t xml:space="preserve">致： </w:t>
      </w:r>
      <w:r>
        <w:rPr>
          <w:rFonts w:hint="eastAsia"/>
          <w:sz w:val="24"/>
          <w:szCs w:val="24"/>
          <w:u w:val="single"/>
        </w:rPr>
        <w:t xml:space="preserve">天煜荣泽工程咨询有限公司 </w:t>
      </w:r>
    </w:p>
    <w:p>
      <w:pPr>
        <w:pStyle w:val="12"/>
        <w:keepNext w:val="0"/>
        <w:keepLines w:val="0"/>
        <w:pageBreakBefore w:val="0"/>
        <w:widowControl w:val="0"/>
        <w:tabs>
          <w:tab w:val="left" w:pos="1375"/>
          <w:tab w:val="left" w:pos="3788"/>
          <w:tab w:val="left" w:pos="9767"/>
        </w:tabs>
        <w:kinsoku/>
        <w:wordWrap/>
        <w:overflowPunct/>
        <w:topLinePunct w:val="0"/>
        <w:autoSpaceDE/>
        <w:autoSpaceDN/>
        <w:bidi w:val="0"/>
        <w:adjustRightInd/>
        <w:snapToGrid/>
        <w:spacing w:after="0" w:line="480" w:lineRule="auto"/>
        <w:ind w:left="0" w:right="0" w:firstLine="474" w:firstLineChars="200"/>
        <w:textAlignment w:val="auto"/>
        <w:rPr>
          <w:sz w:val="24"/>
          <w:szCs w:val="24"/>
        </w:rPr>
      </w:pPr>
      <w:r>
        <w:rPr>
          <w:rFonts w:ascii="Times New Roman" w:eastAsia="Times New Roman"/>
          <w:w w:val="99"/>
          <w:sz w:val="24"/>
          <w:szCs w:val="24"/>
          <w:u w:val="single"/>
        </w:rPr>
        <w:t xml:space="preserve"> </w:t>
      </w:r>
      <w:r>
        <w:rPr>
          <w:rFonts w:ascii="Times New Roman" w:eastAsia="Times New Roman"/>
          <w:sz w:val="24"/>
          <w:szCs w:val="24"/>
          <w:u w:val="single"/>
        </w:rPr>
        <w:tab/>
      </w:r>
      <w:r>
        <w:rPr>
          <w:spacing w:val="9"/>
          <w:sz w:val="24"/>
          <w:szCs w:val="24"/>
          <w:u w:val="single"/>
        </w:rPr>
        <w:t>（投</w:t>
      </w:r>
      <w:r>
        <w:rPr>
          <w:spacing w:val="7"/>
          <w:sz w:val="24"/>
          <w:szCs w:val="24"/>
          <w:u w:val="single"/>
        </w:rPr>
        <w:t>标</w:t>
      </w:r>
      <w:r>
        <w:rPr>
          <w:spacing w:val="9"/>
          <w:sz w:val="24"/>
          <w:szCs w:val="24"/>
          <w:u w:val="single"/>
        </w:rPr>
        <w:t>供应商名称</w:t>
      </w:r>
      <w:r>
        <w:rPr>
          <w:sz w:val="24"/>
          <w:szCs w:val="24"/>
          <w:u w:val="single"/>
        </w:rPr>
        <w:t>）</w:t>
      </w:r>
      <w:r>
        <w:rPr>
          <w:sz w:val="24"/>
          <w:szCs w:val="24"/>
          <w:u w:val="single"/>
        </w:rPr>
        <w:tab/>
      </w:r>
      <w:r>
        <w:rPr>
          <w:spacing w:val="8"/>
          <w:sz w:val="24"/>
          <w:szCs w:val="24"/>
        </w:rPr>
        <w:t>于</w:t>
      </w:r>
      <w:r>
        <w:rPr>
          <w:spacing w:val="113"/>
          <w:sz w:val="24"/>
          <w:szCs w:val="24"/>
          <w:u w:val="single"/>
        </w:rPr>
        <w:t xml:space="preserve"> </w:t>
      </w:r>
      <w:r>
        <w:rPr>
          <w:spacing w:val="8"/>
          <w:sz w:val="24"/>
          <w:szCs w:val="24"/>
        </w:rPr>
        <w:t>年</w:t>
      </w:r>
      <w:r>
        <w:rPr>
          <w:spacing w:val="113"/>
          <w:sz w:val="24"/>
          <w:szCs w:val="24"/>
          <w:u w:val="single"/>
        </w:rPr>
        <w:t xml:space="preserve"> </w:t>
      </w:r>
      <w:r>
        <w:rPr>
          <w:spacing w:val="8"/>
          <w:sz w:val="24"/>
          <w:szCs w:val="24"/>
        </w:rPr>
        <w:t>月</w:t>
      </w:r>
      <w:r>
        <w:rPr>
          <w:spacing w:val="114"/>
          <w:sz w:val="24"/>
          <w:szCs w:val="24"/>
          <w:u w:val="single"/>
        </w:rPr>
        <w:t xml:space="preserve"> </w:t>
      </w:r>
      <w:r>
        <w:rPr>
          <w:spacing w:val="9"/>
          <w:sz w:val="24"/>
          <w:szCs w:val="24"/>
        </w:rPr>
        <w:t>日在</w:t>
      </w:r>
      <w:r>
        <w:rPr>
          <w:spacing w:val="7"/>
          <w:sz w:val="24"/>
          <w:szCs w:val="24"/>
        </w:rPr>
        <w:t>中</w:t>
      </w:r>
      <w:r>
        <w:rPr>
          <w:spacing w:val="9"/>
          <w:sz w:val="24"/>
          <w:szCs w:val="24"/>
        </w:rPr>
        <w:t>华人民共和</w:t>
      </w:r>
      <w:r>
        <w:rPr>
          <w:spacing w:val="7"/>
          <w:sz w:val="24"/>
          <w:szCs w:val="24"/>
        </w:rPr>
        <w:t>国</w:t>
      </w:r>
      <w:r>
        <w:rPr>
          <w:spacing w:val="9"/>
          <w:sz w:val="24"/>
          <w:szCs w:val="24"/>
        </w:rPr>
        <w:t>境内</w:t>
      </w:r>
      <w:r>
        <w:rPr>
          <w:spacing w:val="9"/>
          <w:sz w:val="24"/>
          <w:szCs w:val="24"/>
          <w:u w:val="single"/>
        </w:rPr>
        <w:t>（详</w:t>
      </w:r>
      <w:r>
        <w:rPr>
          <w:spacing w:val="7"/>
          <w:sz w:val="24"/>
          <w:szCs w:val="24"/>
          <w:u w:val="single"/>
        </w:rPr>
        <w:t>细</w:t>
      </w:r>
      <w:r>
        <w:rPr>
          <w:spacing w:val="9"/>
          <w:sz w:val="24"/>
          <w:szCs w:val="24"/>
          <w:u w:val="single"/>
        </w:rPr>
        <w:t>注册地址</w:t>
      </w:r>
      <w:r>
        <w:rPr>
          <w:sz w:val="24"/>
          <w:szCs w:val="24"/>
          <w:u w:val="single"/>
        </w:rPr>
        <w:t>）</w:t>
      </w:r>
      <w:r>
        <w:rPr>
          <w:sz w:val="24"/>
          <w:szCs w:val="24"/>
          <w:u w:val="single"/>
        </w:rPr>
        <w:tab/>
      </w:r>
      <w:r>
        <w:rPr>
          <w:spacing w:val="9"/>
          <w:sz w:val="24"/>
          <w:szCs w:val="24"/>
        </w:rPr>
        <w:t>合法</w:t>
      </w:r>
      <w:r>
        <w:rPr>
          <w:spacing w:val="7"/>
          <w:sz w:val="24"/>
          <w:szCs w:val="24"/>
        </w:rPr>
        <w:t>注</w:t>
      </w:r>
      <w:r>
        <w:rPr>
          <w:spacing w:val="9"/>
          <w:sz w:val="24"/>
          <w:szCs w:val="24"/>
        </w:rPr>
        <w:t>册并经营，</w:t>
      </w:r>
      <w:r>
        <w:rPr>
          <w:spacing w:val="7"/>
          <w:sz w:val="24"/>
          <w:szCs w:val="24"/>
        </w:rPr>
        <w:t>公</w:t>
      </w:r>
      <w:r>
        <w:rPr>
          <w:spacing w:val="9"/>
          <w:sz w:val="24"/>
          <w:szCs w:val="24"/>
        </w:rPr>
        <w:t>司主营业务</w:t>
      </w:r>
      <w:r>
        <w:rPr>
          <w:spacing w:val="6"/>
          <w:sz w:val="24"/>
          <w:szCs w:val="24"/>
        </w:rPr>
        <w:t>为</w:t>
      </w:r>
      <w:r>
        <w:rPr>
          <w:spacing w:val="6"/>
          <w:sz w:val="24"/>
          <w:szCs w:val="24"/>
          <w:u w:val="single"/>
        </w:rPr>
        <w:t xml:space="preserve"> </w:t>
      </w:r>
      <w:r>
        <w:rPr>
          <w:spacing w:val="115"/>
          <w:sz w:val="24"/>
          <w:szCs w:val="24"/>
          <w:u w:val="single"/>
        </w:rPr>
        <w:t xml:space="preserve"> </w:t>
      </w:r>
      <w:r>
        <w:rPr>
          <w:spacing w:val="9"/>
          <w:sz w:val="24"/>
          <w:szCs w:val="24"/>
        </w:rPr>
        <w:t>，营</w:t>
      </w:r>
      <w:r>
        <w:rPr>
          <w:spacing w:val="7"/>
          <w:sz w:val="24"/>
          <w:szCs w:val="24"/>
        </w:rPr>
        <w:t>业</w:t>
      </w:r>
      <w:r>
        <w:rPr>
          <w:spacing w:val="9"/>
          <w:sz w:val="24"/>
          <w:szCs w:val="24"/>
        </w:rPr>
        <w:t>（生产经营</w:t>
      </w:r>
      <w:r>
        <w:rPr>
          <w:spacing w:val="7"/>
          <w:sz w:val="24"/>
          <w:szCs w:val="24"/>
        </w:rPr>
        <w:t>）</w:t>
      </w:r>
      <w:r>
        <w:rPr>
          <w:spacing w:val="9"/>
          <w:sz w:val="24"/>
          <w:szCs w:val="24"/>
        </w:rPr>
        <w:t>面积为</w:t>
      </w:r>
      <w:r>
        <w:rPr>
          <w:spacing w:val="9"/>
          <w:sz w:val="24"/>
          <w:szCs w:val="24"/>
          <w:u w:val="single"/>
        </w:rPr>
        <w:t xml:space="preserve"> </w:t>
      </w:r>
      <w:r>
        <w:rPr>
          <w:spacing w:val="109"/>
          <w:sz w:val="24"/>
          <w:szCs w:val="24"/>
          <w:u w:val="single"/>
        </w:rPr>
        <w:t xml:space="preserve"> </w:t>
      </w:r>
      <w:r>
        <w:rPr>
          <w:spacing w:val="9"/>
          <w:sz w:val="24"/>
          <w:szCs w:val="24"/>
        </w:rPr>
        <w:t>，现</w:t>
      </w:r>
      <w:r>
        <w:rPr>
          <w:spacing w:val="7"/>
          <w:sz w:val="24"/>
          <w:szCs w:val="24"/>
        </w:rPr>
        <w:t>有</w:t>
      </w:r>
      <w:r>
        <w:rPr>
          <w:spacing w:val="9"/>
          <w:sz w:val="24"/>
          <w:szCs w:val="24"/>
        </w:rPr>
        <w:t>员工数量</w:t>
      </w:r>
      <w:r>
        <w:rPr>
          <w:spacing w:val="6"/>
          <w:sz w:val="24"/>
          <w:szCs w:val="24"/>
        </w:rPr>
        <w:t>为</w:t>
      </w:r>
      <w:r>
        <w:rPr>
          <w:spacing w:val="6"/>
          <w:sz w:val="24"/>
          <w:szCs w:val="24"/>
          <w:u w:val="single"/>
        </w:rPr>
        <w:t xml:space="preserve"> </w:t>
      </w:r>
      <w:r>
        <w:rPr>
          <w:spacing w:val="112"/>
          <w:sz w:val="24"/>
          <w:szCs w:val="24"/>
          <w:u w:val="single"/>
        </w:rPr>
        <w:t xml:space="preserve"> </w:t>
      </w:r>
      <w:r>
        <w:rPr>
          <w:sz w:val="24"/>
          <w:szCs w:val="24"/>
        </w:rPr>
        <w:t xml:space="preserve">， </w:t>
      </w:r>
      <w:r>
        <w:rPr>
          <w:spacing w:val="9"/>
          <w:sz w:val="24"/>
          <w:szCs w:val="24"/>
        </w:rPr>
        <w:t>其中</w:t>
      </w:r>
      <w:r>
        <w:rPr>
          <w:spacing w:val="7"/>
          <w:sz w:val="24"/>
          <w:szCs w:val="24"/>
        </w:rPr>
        <w:t>与</w:t>
      </w:r>
      <w:r>
        <w:rPr>
          <w:spacing w:val="9"/>
          <w:sz w:val="24"/>
          <w:szCs w:val="24"/>
        </w:rPr>
        <w:t>履行本合同</w:t>
      </w:r>
      <w:r>
        <w:rPr>
          <w:spacing w:val="7"/>
          <w:sz w:val="24"/>
          <w:szCs w:val="24"/>
        </w:rPr>
        <w:t>相</w:t>
      </w:r>
      <w:r>
        <w:rPr>
          <w:spacing w:val="9"/>
          <w:sz w:val="24"/>
          <w:szCs w:val="24"/>
        </w:rPr>
        <w:t>关的专业技</w:t>
      </w:r>
      <w:r>
        <w:rPr>
          <w:spacing w:val="7"/>
          <w:sz w:val="24"/>
          <w:szCs w:val="24"/>
        </w:rPr>
        <w:t>术</w:t>
      </w:r>
      <w:r>
        <w:rPr>
          <w:spacing w:val="9"/>
          <w:sz w:val="24"/>
          <w:szCs w:val="24"/>
        </w:rPr>
        <w:t>人员</w:t>
      </w:r>
      <w:r>
        <w:rPr>
          <w:spacing w:val="-5"/>
          <w:sz w:val="24"/>
          <w:szCs w:val="24"/>
        </w:rPr>
        <w:t>有</w:t>
      </w:r>
      <w:r>
        <w:rPr>
          <w:spacing w:val="7"/>
          <w:sz w:val="24"/>
          <w:szCs w:val="24"/>
        </w:rPr>
        <w:t>（</w:t>
      </w:r>
      <w:r>
        <w:rPr>
          <w:spacing w:val="7"/>
          <w:sz w:val="24"/>
          <w:szCs w:val="24"/>
          <w:u w:val="single"/>
        </w:rPr>
        <w:t xml:space="preserve"> </w:t>
      </w:r>
      <w:r>
        <w:rPr>
          <w:spacing w:val="7"/>
          <w:sz w:val="24"/>
          <w:szCs w:val="24"/>
          <w:u w:val="single"/>
        </w:rPr>
        <w:tab/>
      </w:r>
      <w:r>
        <w:rPr>
          <w:spacing w:val="9"/>
          <w:sz w:val="24"/>
          <w:szCs w:val="24"/>
          <w:u w:val="single"/>
        </w:rPr>
        <w:t>专业</w:t>
      </w:r>
      <w:r>
        <w:rPr>
          <w:spacing w:val="7"/>
          <w:sz w:val="24"/>
          <w:szCs w:val="24"/>
          <w:u w:val="single"/>
        </w:rPr>
        <w:t>能</w:t>
      </w:r>
      <w:r>
        <w:rPr>
          <w:spacing w:val="9"/>
          <w:sz w:val="24"/>
          <w:szCs w:val="24"/>
          <w:u w:val="single"/>
        </w:rPr>
        <w:t>力</w:t>
      </w:r>
      <w:r>
        <w:rPr>
          <w:spacing w:val="-5"/>
          <w:sz w:val="24"/>
          <w:szCs w:val="24"/>
          <w:u w:val="single"/>
        </w:rPr>
        <w:t>、</w:t>
      </w:r>
      <w:r>
        <w:rPr>
          <w:spacing w:val="9"/>
          <w:sz w:val="24"/>
          <w:szCs w:val="24"/>
          <w:u w:val="single"/>
        </w:rPr>
        <w:t>数</w:t>
      </w:r>
      <w:r>
        <w:rPr>
          <w:sz w:val="24"/>
          <w:szCs w:val="24"/>
          <w:u w:val="single"/>
        </w:rPr>
        <w:t xml:space="preserve">量      </w:t>
      </w:r>
      <w:r>
        <w:rPr>
          <w:spacing w:val="60"/>
          <w:sz w:val="24"/>
          <w:szCs w:val="24"/>
          <w:u w:val="single"/>
        </w:rPr>
        <w:t xml:space="preserve"> </w:t>
      </w:r>
      <w:r>
        <w:rPr>
          <w:spacing w:val="-7"/>
          <w:sz w:val="24"/>
          <w:szCs w:val="24"/>
        </w:rPr>
        <w:t>），</w:t>
      </w:r>
      <w:r>
        <w:rPr>
          <w:spacing w:val="9"/>
          <w:sz w:val="24"/>
          <w:szCs w:val="24"/>
        </w:rPr>
        <w:t>本公</w:t>
      </w:r>
      <w:r>
        <w:rPr>
          <w:sz w:val="24"/>
          <w:szCs w:val="24"/>
        </w:rPr>
        <w:t>司</w:t>
      </w:r>
      <w:r>
        <w:rPr>
          <w:spacing w:val="9"/>
          <w:sz w:val="24"/>
          <w:szCs w:val="24"/>
        </w:rPr>
        <w:t>郑重</w:t>
      </w:r>
      <w:r>
        <w:rPr>
          <w:spacing w:val="7"/>
          <w:sz w:val="24"/>
          <w:szCs w:val="24"/>
        </w:rPr>
        <w:t>承</w:t>
      </w:r>
      <w:r>
        <w:rPr>
          <w:spacing w:val="9"/>
          <w:sz w:val="24"/>
          <w:szCs w:val="24"/>
        </w:rPr>
        <w:t>诺，具有履</w:t>
      </w:r>
      <w:r>
        <w:rPr>
          <w:spacing w:val="7"/>
          <w:sz w:val="24"/>
          <w:szCs w:val="24"/>
        </w:rPr>
        <w:t>行</w:t>
      </w:r>
      <w:r>
        <w:rPr>
          <w:spacing w:val="9"/>
          <w:sz w:val="24"/>
          <w:szCs w:val="24"/>
        </w:rPr>
        <w:t>本合同所必</w:t>
      </w:r>
      <w:r>
        <w:rPr>
          <w:spacing w:val="7"/>
          <w:sz w:val="24"/>
          <w:szCs w:val="24"/>
        </w:rPr>
        <w:t>需</w:t>
      </w:r>
      <w:r>
        <w:rPr>
          <w:spacing w:val="9"/>
          <w:sz w:val="24"/>
          <w:szCs w:val="24"/>
        </w:rPr>
        <w:t>的设备和专</w:t>
      </w:r>
      <w:r>
        <w:rPr>
          <w:spacing w:val="7"/>
          <w:sz w:val="24"/>
          <w:szCs w:val="24"/>
        </w:rPr>
        <w:t>业</w:t>
      </w:r>
      <w:r>
        <w:rPr>
          <w:spacing w:val="9"/>
          <w:sz w:val="24"/>
          <w:szCs w:val="24"/>
        </w:rPr>
        <w:t>技术能力</w:t>
      </w:r>
      <w:r>
        <w:rPr>
          <w:sz w:val="24"/>
          <w:szCs w:val="24"/>
        </w:rPr>
        <w:t>。</w:t>
      </w: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lang w:eastAsia="zh-CN"/>
        </w:rPr>
      </w:pPr>
    </w:p>
    <w:p>
      <w:pPr>
        <w:rPr>
          <w:rFonts w:hint="eastAsia"/>
          <w:lang w:eastAsia="zh-CN"/>
        </w:rPr>
      </w:pPr>
      <w:r>
        <w:rPr>
          <w:rFonts w:hint="eastAsia"/>
          <w:lang w:eastAsia="zh-CN"/>
        </w:rPr>
        <w:br w:type="page"/>
      </w:r>
    </w:p>
    <w:p>
      <w:pPr>
        <w:rPr>
          <w:sz w:val="24"/>
          <w:szCs w:val="24"/>
        </w:rPr>
      </w:pPr>
      <w:r>
        <w:rPr>
          <w:rFonts w:hint="eastAsia"/>
          <w:sz w:val="24"/>
          <w:szCs w:val="28"/>
          <w:lang w:eastAsia="zh-CN"/>
        </w:rPr>
        <w:t>附件五</w:t>
      </w:r>
      <w:r>
        <w:rPr>
          <w:rFonts w:hint="eastAsia"/>
          <w:sz w:val="24"/>
          <w:szCs w:val="24"/>
          <w:lang w:eastAsia="zh-CN"/>
        </w:rPr>
        <w:t>：</w:t>
      </w:r>
      <w:r>
        <w:rPr>
          <w:sz w:val="24"/>
          <w:szCs w:val="24"/>
        </w:rPr>
        <w:t>企业关系关联承诺书</w:t>
      </w:r>
    </w:p>
    <w:p>
      <w:pPr>
        <w:pStyle w:val="5"/>
        <w:ind w:left="170"/>
        <w:jc w:val="center"/>
        <w:rPr>
          <w:b/>
          <w:sz w:val="28"/>
        </w:rPr>
      </w:pPr>
      <w:r>
        <w:t>企业关系关联承诺书</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right="0" w:firstLine="420" w:firstLineChars="200"/>
        <w:textAlignment w:val="auto"/>
      </w:pPr>
      <w:r>
        <w:t>1、供应商在本项目投标中，不存在与其它供应商负责人为同一人，有控股、管理等关联关系承诺：</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1.1</w:t>
      </w:r>
      <w:r>
        <w:rPr>
          <w:sz w:val="21"/>
        </w:rPr>
        <w:t>管理关系说明：</w:t>
      </w:r>
    </w:p>
    <w:p>
      <w:pPr>
        <w:pStyle w:val="12"/>
        <w:keepNext w:val="0"/>
        <w:keepLines w:val="0"/>
        <w:pageBreakBefore w:val="0"/>
        <w:widowControl w:val="0"/>
        <w:tabs>
          <w:tab w:val="left" w:pos="5423"/>
          <w:tab w:val="left" w:pos="6892"/>
        </w:tabs>
        <w:kinsoku/>
        <w:wordWrap/>
        <w:overflowPunct/>
        <w:topLinePunct w:val="0"/>
        <w:autoSpaceDE/>
        <w:autoSpaceDN/>
        <w:bidi w:val="0"/>
        <w:adjustRightInd/>
        <w:snapToGrid/>
        <w:spacing w:after="0" w:line="360" w:lineRule="auto"/>
        <w:ind w:left="0" w:right="0" w:firstLine="420" w:firstLineChars="200"/>
        <w:textAlignment w:val="auto"/>
      </w:pPr>
      <w:r>
        <w:t>我单位管理的具有独立法人的下属单位有：</w:t>
      </w:r>
      <w:r>
        <w:rPr>
          <w:u w:val="single"/>
        </w:rPr>
        <w:t xml:space="preserve"> </w:t>
      </w:r>
      <w:r>
        <w:rPr>
          <w:u w:val="single"/>
        </w:rPr>
        <w:tab/>
      </w:r>
      <w:r>
        <w:rPr>
          <w:u w:val="single"/>
        </w:rPr>
        <w:tab/>
      </w:r>
      <w:r>
        <w:rPr>
          <w:spacing w:val="-17"/>
        </w:rPr>
        <w:t>。</w:t>
      </w:r>
      <w:r>
        <w:t>我单位的上级管理单位有：</w:t>
      </w:r>
      <w:r>
        <w:rPr>
          <w:u w:val="single"/>
        </w:rPr>
        <w:t xml:space="preserve"> </w:t>
      </w:r>
      <w:r>
        <w:rPr>
          <w:u w:val="single"/>
        </w:rPr>
        <w:tab/>
      </w:r>
      <w:r>
        <w:t>。</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1.2</w:t>
      </w:r>
      <w:r>
        <w:rPr>
          <w:sz w:val="21"/>
        </w:rPr>
        <w:t>股权关系说明：</w:t>
      </w:r>
    </w:p>
    <w:p>
      <w:pPr>
        <w:pStyle w:val="12"/>
        <w:keepNext w:val="0"/>
        <w:keepLines w:val="0"/>
        <w:pageBreakBefore w:val="0"/>
        <w:widowControl w:val="0"/>
        <w:tabs>
          <w:tab w:val="left" w:pos="3638"/>
          <w:tab w:val="left" w:pos="5003"/>
        </w:tabs>
        <w:kinsoku/>
        <w:wordWrap/>
        <w:overflowPunct/>
        <w:topLinePunct w:val="0"/>
        <w:autoSpaceDE/>
        <w:autoSpaceDN/>
        <w:bidi w:val="0"/>
        <w:adjustRightInd/>
        <w:snapToGrid/>
        <w:spacing w:after="0" w:line="360" w:lineRule="auto"/>
        <w:ind w:left="0" w:right="0" w:firstLine="420" w:firstLineChars="200"/>
        <w:textAlignment w:val="auto"/>
      </w:pPr>
      <w:r>
        <w:t>我单位控股的单位有：</w:t>
      </w:r>
      <w:r>
        <w:rPr>
          <w:u w:val="single"/>
        </w:rPr>
        <w:t xml:space="preserve"> </w:t>
      </w:r>
      <w:r>
        <w:rPr>
          <w:u w:val="single"/>
        </w:rPr>
        <w:tab/>
      </w:r>
      <w:r>
        <w:rPr>
          <w:u w:val="single"/>
        </w:rPr>
        <w:tab/>
      </w:r>
      <w:r>
        <w:rPr>
          <w:spacing w:val="-18"/>
        </w:rPr>
        <w:t>。</w:t>
      </w:r>
      <w:r>
        <w:t>我单位被</w:t>
      </w:r>
      <w:r>
        <w:rPr>
          <w:u w:val="single"/>
        </w:rPr>
        <w:t xml:space="preserve"> </w:t>
      </w:r>
      <w:r>
        <w:rPr>
          <w:rFonts w:hint="eastAsia"/>
          <w:u w:val="single"/>
          <w:lang w:val="en-US" w:eastAsia="zh-CN"/>
        </w:rPr>
        <w:t xml:space="preserve">        </w:t>
      </w:r>
      <w:r>
        <w:rPr>
          <w:u w:val="single"/>
        </w:rPr>
        <w:tab/>
      </w:r>
      <w:r>
        <w:t>单位控股。</w:t>
      </w:r>
    </w:p>
    <w:p>
      <w:pPr>
        <w:pStyle w:val="47"/>
        <w:keepNext w:val="0"/>
        <w:keepLines w:val="0"/>
        <w:pageBreakBefore w:val="0"/>
        <w:widowControl w:val="0"/>
        <w:numPr>
          <w:ilvl w:val="0"/>
          <w:numId w:val="0"/>
        </w:numPr>
        <w:tabs>
          <w:tab w:val="left" w:pos="1436"/>
          <w:tab w:val="left" w:pos="4687"/>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1.3</w:t>
      </w:r>
      <w:r>
        <w:rPr>
          <w:sz w:val="21"/>
        </w:rPr>
        <w:t>单位负责人：</w:t>
      </w:r>
      <w:r>
        <w:rPr>
          <w:sz w:val="21"/>
          <w:u w:val="single"/>
        </w:rPr>
        <w:t xml:space="preserve"> </w:t>
      </w:r>
      <w:r>
        <w:rPr>
          <w:sz w:val="21"/>
          <w:u w:val="single"/>
        </w:rPr>
        <w:tab/>
      </w:r>
      <w:r>
        <w:rPr>
          <w:sz w:val="21"/>
        </w:rPr>
        <w:t>。</w:t>
      </w:r>
    </w:p>
    <w:p>
      <w:pPr>
        <w:pStyle w:val="12"/>
        <w:keepNext w:val="0"/>
        <w:keepLines w:val="0"/>
        <w:pageBreakBefore w:val="0"/>
        <w:widowControl w:val="0"/>
        <w:tabs>
          <w:tab w:val="left" w:pos="2728"/>
        </w:tabs>
        <w:kinsoku/>
        <w:wordWrap/>
        <w:overflowPunct/>
        <w:topLinePunct w:val="0"/>
        <w:autoSpaceDE/>
        <w:autoSpaceDN/>
        <w:bidi w:val="0"/>
        <w:adjustRightInd/>
        <w:snapToGrid/>
        <w:spacing w:after="0" w:line="360" w:lineRule="auto"/>
        <w:ind w:left="0" w:right="0" w:firstLine="420" w:firstLineChars="200"/>
        <w:textAlignment w:val="auto"/>
      </w:pPr>
      <w:r>
        <w:t>3</w:t>
      </w:r>
      <w:r>
        <w:rPr>
          <w:spacing w:val="-34"/>
        </w:rPr>
        <w:t>、</w:t>
      </w:r>
      <w:r>
        <w:t>我方</w:t>
      </w:r>
      <w:r>
        <w:rPr>
          <w:u w:val="single"/>
        </w:rPr>
        <w:t xml:space="preserve"> </w:t>
      </w:r>
      <w:r>
        <w:rPr>
          <w:u w:val="single"/>
        </w:rPr>
        <w:tab/>
      </w:r>
      <w:r>
        <w:t>（属于或不属于）</w:t>
      </w:r>
      <w:r>
        <w:rPr>
          <w:spacing w:val="-47"/>
        </w:rPr>
        <w:t xml:space="preserve"> </w:t>
      </w:r>
      <w:r>
        <w:t>为采购项目提供整体设计</w:t>
      </w:r>
      <w:r>
        <w:rPr>
          <w:spacing w:val="-34"/>
        </w:rPr>
        <w:t>、</w:t>
      </w:r>
      <w:r>
        <w:t>规范编制或者项目管理</w:t>
      </w:r>
      <w:r>
        <w:rPr>
          <w:spacing w:val="-34"/>
        </w:rPr>
        <w:t>、</w:t>
      </w:r>
      <w:r>
        <w:t>监理、检测等服务的供应商。</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spacing w:val="-17"/>
        </w:rPr>
      </w:pPr>
      <w:r>
        <w:t>4、其他与本项目有关的利害关系说明：</w:t>
      </w:r>
      <w:r>
        <w:rPr>
          <w:u w:val="single"/>
        </w:rPr>
        <w:t xml:space="preserve"> </w:t>
      </w:r>
      <w:r>
        <w:rPr>
          <w:u w:val="single"/>
        </w:rPr>
        <w:tab/>
      </w:r>
      <w:r>
        <w:rPr>
          <w:rFonts w:hint="eastAsia"/>
          <w:u w:val="single"/>
          <w:lang w:val="en-US" w:eastAsia="zh-CN"/>
        </w:rPr>
        <w:t xml:space="preserve">       </w:t>
      </w:r>
      <w:r>
        <w:rPr>
          <w:spacing w:val="-17"/>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sz w:val="24"/>
          <w:szCs w:val="28"/>
          <w:lang w:eastAsia="zh-CN"/>
        </w:rPr>
      </w:pPr>
      <w:r>
        <w:t>我单位承诺以上说明真实有效，无虚假内容或隐瞒。</w:t>
      </w:r>
    </w:p>
    <w:p>
      <w:pPr>
        <w:spacing w:before="240" w:beforeLines="100" w:after="120" w:afterLines="50" w:line="360" w:lineRule="auto"/>
        <w:ind w:firstLine="3521" w:firstLineChars="1420"/>
        <w:jc w:val="left"/>
        <w:rPr>
          <w:rFonts w:hint="eastAsia"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jc w:val="right"/>
        <w:rPr>
          <w:rFonts w:hint="eastAsia"/>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3"/>
        <w:jc w:val="right"/>
        <w:rPr>
          <w:rFonts w:hint="eastAsia"/>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24"/>
        <w:rPr>
          <w:rFonts w:hint="eastAsia"/>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Times New Roman"/>
          <w:b/>
          <w:kern w:val="2"/>
          <w:sz w:val="28"/>
          <w:szCs w:val="28"/>
          <w:lang w:val="en-US" w:eastAsia="zh-CN" w:bidi="ar-SA"/>
        </w:rPr>
      </w:pPr>
      <w:r>
        <w:rPr>
          <w:rFonts w:hint="eastAsia" w:ascii="宋体" w:hAnsi="宋体"/>
          <w:b/>
          <w:sz w:val="28"/>
          <w:szCs w:val="28"/>
          <w:lang w:eastAsia="zh-CN"/>
        </w:rPr>
        <w:t>七、</w:t>
      </w:r>
      <w:r>
        <w:rPr>
          <w:rFonts w:hint="eastAsia" w:ascii="宋体" w:hAnsi="宋体" w:eastAsia="宋体" w:cs="Times New Roman"/>
          <w:b/>
          <w:kern w:val="2"/>
          <w:sz w:val="28"/>
          <w:szCs w:val="28"/>
          <w:lang w:val="en-US" w:eastAsia="zh-CN" w:bidi="ar-SA"/>
        </w:rPr>
        <w:t>供应商参加政府采购活动承诺书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八、投标方案</w:t>
      </w:r>
    </w:p>
    <w:p>
      <w:pPr>
        <w:pStyle w:val="33"/>
        <w:rPr>
          <w:rFonts w:hint="eastAsia" w:asciiTheme="majorEastAsia" w:hAnsiTheme="majorEastAsia" w:eastAsiaTheme="majorEastAsia" w:cstheme="majorEastAsia"/>
          <w:sz w:val="24"/>
          <w:szCs w:val="24"/>
          <w:lang w:val="zh-CN"/>
        </w:rPr>
      </w:pPr>
      <w:bookmarkStart w:id="50"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50"/>
    </w:p>
    <w:p>
      <w:pPr>
        <w:rPr>
          <w:rFonts w:hint="eastAsia" w:asciiTheme="majorEastAsia" w:hAnsiTheme="majorEastAsia" w:eastAsiaTheme="majorEastAsia" w:cstheme="majorEastAsia"/>
          <w:sz w:val="24"/>
          <w:szCs w:val="24"/>
          <w:lang w:val="zh-CN" w:eastAsia="zh-CN"/>
        </w:rPr>
      </w:pPr>
      <w:r>
        <w:rPr>
          <w:rFonts w:hint="eastAsia" w:asciiTheme="majorEastAsia" w:hAnsiTheme="majorEastAsia" w:eastAsiaTheme="majorEastAsia" w:cstheme="majorEastAsia"/>
          <w:sz w:val="24"/>
          <w:szCs w:val="24"/>
          <w:lang w:val="zh-CN" w:eastAsia="zh-CN"/>
        </w:rPr>
        <w:br w:type="page"/>
      </w:r>
    </w:p>
    <w:p>
      <w:pPr>
        <w:pStyle w:val="33"/>
        <w:rPr>
          <w:rFonts w:hint="eastAsia" w:asciiTheme="majorEastAsia" w:hAnsiTheme="majorEastAsia" w:eastAsiaTheme="majorEastAsia" w:cstheme="majorEastAsia"/>
          <w:sz w:val="24"/>
          <w:szCs w:val="24"/>
          <w:lang w:val="zh-CN" w:eastAsia="zh-CN"/>
        </w:rPr>
      </w:pPr>
    </w:p>
    <w:p>
      <w:pPr>
        <w:jc w:val="left"/>
        <w:outlineLvl w:val="9"/>
        <w:rPr>
          <w:rFonts w:hint="eastAsia" w:ascii="宋体" w:hAnsi="宋体" w:eastAsia="宋体" w:cs="宋体"/>
          <w:b/>
          <w:sz w:val="28"/>
          <w:szCs w:val="28"/>
          <w:lang w:eastAsia="zh-CN"/>
        </w:rPr>
      </w:pPr>
      <w:r>
        <w:rPr>
          <w:rFonts w:hint="eastAsia" w:ascii="宋体" w:hAnsi="宋体" w:eastAsia="宋体" w:cs="宋体"/>
          <w:b/>
          <w:sz w:val="24"/>
          <w:szCs w:val="24"/>
        </w:rPr>
        <w:t>附件</w:t>
      </w:r>
      <w:r>
        <w:rPr>
          <w:rFonts w:hint="eastAsia" w:ascii="宋体" w:hAnsi="宋体" w:cs="宋体"/>
          <w:b/>
          <w:sz w:val="24"/>
          <w:szCs w:val="24"/>
          <w:lang w:eastAsia="zh-CN"/>
        </w:rPr>
        <w:t>：</w:t>
      </w:r>
      <w:r>
        <w:rPr>
          <w:rFonts w:hint="eastAsia" w:ascii="宋体" w:hAnsi="宋体" w:eastAsia="宋体" w:cs="宋体"/>
          <w:b/>
          <w:sz w:val="24"/>
          <w:szCs w:val="24"/>
        </w:rPr>
        <w:t>近三年</w:t>
      </w:r>
      <w:r>
        <w:rPr>
          <w:rFonts w:hint="eastAsia" w:ascii="宋体" w:hAnsi="宋体" w:eastAsia="宋体" w:cs="宋体"/>
          <w:b/>
          <w:sz w:val="24"/>
          <w:szCs w:val="24"/>
          <w:lang w:eastAsia="zh-CN"/>
        </w:rPr>
        <w:t>业绩</w:t>
      </w:r>
      <w:r>
        <w:rPr>
          <w:rFonts w:hint="eastAsia" w:ascii="宋体" w:hAnsi="宋体" w:eastAsia="宋体" w:cs="宋体"/>
          <w:b/>
          <w:sz w:val="24"/>
          <w:szCs w:val="24"/>
        </w:rPr>
        <w:t>情况表</w:t>
      </w:r>
    </w:p>
    <w:p>
      <w:pPr>
        <w:pStyle w:val="24"/>
        <w:outlineLvl w:val="9"/>
        <w:rPr>
          <w:rFonts w:hint="eastAsia" w:ascii="宋体" w:hAnsi="宋体" w:eastAsia="宋体" w:cs="宋体"/>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7"/>
        <w:gridCol w:w="3750"/>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887"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合同签订时间</w:t>
            </w:r>
          </w:p>
        </w:tc>
        <w:tc>
          <w:tcPr>
            <w:tcW w:w="3750"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项目名称</w:t>
            </w:r>
          </w:p>
        </w:tc>
        <w:tc>
          <w:tcPr>
            <w:tcW w:w="1042" w:type="dxa"/>
            <w:noWrap w:val="0"/>
            <w:vAlign w:val="center"/>
          </w:tcPr>
          <w:p>
            <w:pPr>
              <w:jc w:val="center"/>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bl>
    <w:p>
      <w:pPr>
        <w:jc w:val="left"/>
        <w:outlineLvl w:val="9"/>
        <w:rPr>
          <w:rFonts w:hint="eastAsia" w:ascii="宋体" w:hAnsi="宋体" w:eastAsia="宋体" w:cs="宋体"/>
          <w:b/>
          <w:bCs/>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w:t>
      </w:r>
      <w:r>
        <w:rPr>
          <w:rFonts w:hint="eastAsia" w:ascii="宋体" w:hAnsi="宋体" w:cs="宋体"/>
          <w:sz w:val="24"/>
          <w:szCs w:val="24"/>
          <w:lang w:val="zh-CN"/>
        </w:rPr>
        <w:t>投标人</w:t>
      </w:r>
      <w:r>
        <w:rPr>
          <w:rFonts w:hint="eastAsia" w:ascii="宋体" w:hAnsi="宋体" w:eastAsia="宋体" w:cs="宋体"/>
          <w:sz w:val="24"/>
          <w:szCs w:val="24"/>
          <w:lang w:val="zh-CN"/>
        </w:rPr>
        <w:t>应如实列出以上情况，如有隐瞒，一经查实将导致其</w:t>
      </w:r>
      <w:r>
        <w:rPr>
          <w:rFonts w:hint="eastAsia" w:ascii="宋体" w:hAnsi="宋体" w:cs="宋体"/>
          <w:sz w:val="24"/>
          <w:szCs w:val="24"/>
          <w:lang w:val="zh-CN"/>
        </w:rPr>
        <w:t>招标投标文件</w:t>
      </w:r>
      <w:r>
        <w:rPr>
          <w:rFonts w:hint="eastAsia" w:ascii="宋体" w:hAnsi="宋体" w:eastAsia="宋体" w:cs="宋体"/>
          <w:sz w:val="24"/>
          <w:szCs w:val="24"/>
          <w:lang w:val="zh-CN"/>
        </w:rPr>
        <w:t>被拒绝。</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.未按上述要求提供、填写的，评审时不予以考虑。</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14"/>
          <w:kern w:val="0"/>
          <w:sz w:val="24"/>
        </w:rPr>
      </w:pPr>
      <w:r>
        <w:rPr>
          <w:rFonts w:hint="eastAsia" w:ascii="宋体" w:hAnsi="宋体" w:cs="宋体"/>
          <w:spacing w:val="4"/>
          <w:sz w:val="24"/>
          <w:lang w:eastAsia="zh-CN"/>
        </w:rPr>
        <w:t>投标人</w:t>
      </w:r>
      <w:r>
        <w:rPr>
          <w:rFonts w:hint="eastAsia" w:ascii="宋体" w:hAnsi="宋体" w:eastAsia="宋体" w:cs="宋体"/>
          <w:spacing w:val="4"/>
          <w:sz w:val="24"/>
        </w:rPr>
        <w:t>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pStyle w:val="33"/>
        <w:jc w:val="right"/>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rPr>
      </w:pPr>
      <w:r>
        <w:rPr>
          <w:rFonts w:hint="eastAsia" w:ascii="宋体" w:hAnsi="宋体" w:eastAsia="宋体" w:cs="宋体"/>
          <w:color w:val="000000"/>
          <w:sz w:val="24"/>
        </w:rPr>
        <w:br w:type="page"/>
      </w:r>
    </w:p>
    <w:p>
      <w:pPr>
        <w:tabs>
          <w:tab w:val="center" w:pos="4756"/>
          <w:tab w:val="right" w:pos="8969"/>
        </w:tabs>
        <w:spacing w:line="360" w:lineRule="auto"/>
        <w:ind w:firstLine="211"/>
        <w:jc w:val="center"/>
        <w:outlineLvl w:val="0"/>
        <w:rPr>
          <w:rFonts w:hint="eastAsia" w:ascii="黑体" w:hAnsi="宋体" w:eastAsia="仿宋"/>
          <w:sz w:val="28"/>
          <w:szCs w:val="28"/>
          <w:lang w:val="en-US" w:eastAsia="zh-CN"/>
        </w:rPr>
      </w:pPr>
      <w:r>
        <w:rPr>
          <w:rFonts w:hint="eastAsia" w:ascii="黑体" w:hAnsi="宋体" w:eastAsia="黑体"/>
          <w:sz w:val="28"/>
          <w:szCs w:val="28"/>
          <w:lang w:val="en-US" w:eastAsia="zh-CN"/>
        </w:rPr>
        <w:t>九、</w:t>
      </w:r>
      <w:r>
        <w:rPr>
          <w:rFonts w:hint="eastAsia" w:ascii="仿宋" w:hAnsi="仿宋" w:eastAsia="仿宋" w:cs="仿宋"/>
          <w:b/>
          <w:color w:val="000000"/>
          <w:sz w:val="32"/>
          <w:szCs w:val="32"/>
          <w:highlight w:val="none"/>
        </w:rPr>
        <w:t>中小企业</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auto"/>
          <w:sz w:val="28"/>
          <w:szCs w:val="28"/>
          <w:highlight w:val="none"/>
          <w:lang w:val="en-US" w:eastAsia="zh-CN"/>
        </w:rPr>
        <w:t>监狱企业、残疾人福利性单位声明函</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本公司（联合体）郑重声明，根据《政府采购促进中小企业发展管理办法》（财库﹝2020﹞46 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 xml:space="preserve">（项目名称）采购活动，服务全部由符合政策要求的中小企业承接。相关企业（含联合体中的中小企业、签订分包意向协议的中小企业）的具体情况如下：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spacing w:line="360" w:lineRule="auto"/>
        <w:jc w:val="left"/>
        <w:rPr>
          <w:rFonts w:hint="eastAsia" w:ascii="仿宋" w:hAnsi="仿宋" w:eastAsia="仿宋" w:cs="仿宋"/>
          <w:b/>
          <w:highlight w:val="none"/>
          <w:lang w:eastAsia="zh-CN"/>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pStyle w:val="24"/>
        <w:ind w:left="0" w:leftChars="0" w:firstLine="0" w:firstLineChars="0"/>
      </w:pPr>
    </w:p>
    <w:p>
      <w:pPr>
        <w:bidi w:val="0"/>
        <w:jc w:val="center"/>
        <w:rPr>
          <w:rFonts w:hint="eastAsia" w:ascii="仿宋" w:hAnsi="仿宋" w:eastAsia="仿宋" w:cs="仿宋"/>
          <w:b/>
          <w:bCs/>
          <w:color w:val="auto"/>
          <w:sz w:val="28"/>
          <w:szCs w:val="28"/>
          <w:highlight w:val="none"/>
          <w:lang w:val="en-US" w:eastAsia="zh-CN"/>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51" w:name="_Toc2120"/>
      <w:bookmarkStart w:id="52" w:name="_Toc17605"/>
      <w:bookmarkStart w:id="53" w:name="_Toc27316"/>
      <w:r>
        <w:rPr>
          <w:rFonts w:hint="eastAsia" w:ascii="仿宋" w:hAnsi="仿宋" w:eastAsia="仿宋" w:cs="仿宋"/>
          <w:b/>
          <w:bCs/>
          <w:color w:val="auto"/>
          <w:sz w:val="28"/>
          <w:szCs w:val="28"/>
          <w:highlight w:val="none"/>
          <w:lang w:val="en-US" w:eastAsia="zh-CN"/>
        </w:rPr>
        <w:t>监狱企业声明函（如有）</w:t>
      </w:r>
      <w:bookmarkEnd w:id="51"/>
      <w:bookmarkEnd w:id="52"/>
      <w:bookmarkEnd w:id="53"/>
    </w:p>
    <w:p>
      <w:pPr>
        <w:pStyle w:val="17"/>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17"/>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17"/>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17"/>
        <w:rPr>
          <w:rFonts w:hint="eastAsia"/>
        </w:rPr>
      </w:pP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17"/>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adjustRightInd w:val="0"/>
        <w:snapToGrid w:val="0"/>
        <w:spacing w:before="50" w:line="360" w:lineRule="auto"/>
        <w:jc w:val="center"/>
        <w:rPr>
          <w:rFonts w:ascii="宋体" w:hAnsi="宋体"/>
          <w:b/>
          <w:sz w:val="36"/>
          <w:szCs w:val="36"/>
        </w:rPr>
      </w:pPr>
    </w:p>
    <w:p/>
    <w:p/>
    <w:p>
      <w:pPr>
        <w:rPr>
          <w:rFonts w:hint="eastAsia" w:ascii="宋体" w:hAnsi="宋体"/>
          <w:b/>
          <w:sz w:val="28"/>
          <w:szCs w:val="28"/>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6D791"/>
    <w:multiLevelType w:val="singleLevel"/>
    <w:tmpl w:val="8816D791"/>
    <w:lvl w:ilvl="0" w:tentative="0">
      <w:start w:val="1"/>
      <w:numFmt w:val="chineseCounting"/>
      <w:suff w:val="nothing"/>
      <w:lvlText w:val="（%1）"/>
      <w:lvlJc w:val="left"/>
      <w:rPr>
        <w:rFonts w:hint="eastAsia"/>
      </w:rPr>
    </w:lvl>
  </w:abstractNum>
  <w:abstractNum w:abstractNumId="1">
    <w:nsid w:val="8F2242C1"/>
    <w:multiLevelType w:val="singleLevel"/>
    <w:tmpl w:val="8F2242C1"/>
    <w:lvl w:ilvl="0" w:tentative="0">
      <w:start w:val="5"/>
      <w:numFmt w:val="chineseCounting"/>
      <w:suff w:val="space"/>
      <w:lvlText w:val="第%1章"/>
      <w:lvlJc w:val="left"/>
      <w:rPr>
        <w:rFonts w:hint="eastAsia"/>
      </w:rPr>
    </w:lvl>
  </w:abstractNum>
  <w:abstractNum w:abstractNumId="2">
    <w:nsid w:val="9A0B3695"/>
    <w:multiLevelType w:val="singleLevel"/>
    <w:tmpl w:val="9A0B3695"/>
    <w:lvl w:ilvl="0" w:tentative="0">
      <w:start w:val="1"/>
      <w:numFmt w:val="chineseCounting"/>
      <w:suff w:val="nothing"/>
      <w:lvlText w:val="%1、"/>
      <w:lvlJc w:val="left"/>
      <w:rPr>
        <w:rFonts w:hint="eastAsia"/>
      </w:rPr>
    </w:lvl>
  </w:abstractNum>
  <w:abstractNum w:abstractNumId="3">
    <w:nsid w:val="A80711AF"/>
    <w:multiLevelType w:val="singleLevel"/>
    <w:tmpl w:val="A80711AF"/>
    <w:lvl w:ilvl="0" w:tentative="0">
      <w:start w:val="2"/>
      <w:numFmt w:val="chineseCounting"/>
      <w:suff w:val="space"/>
      <w:lvlText w:val="第%1章"/>
      <w:lvlJc w:val="left"/>
      <w:rPr>
        <w:rFonts w:hint="eastAsia"/>
      </w:rPr>
    </w:lvl>
  </w:abstractNum>
  <w:abstractNum w:abstractNumId="4">
    <w:nsid w:val="AB916F1B"/>
    <w:multiLevelType w:val="singleLevel"/>
    <w:tmpl w:val="AB916F1B"/>
    <w:lvl w:ilvl="0" w:tentative="0">
      <w:start w:val="1"/>
      <w:numFmt w:val="chineseCounting"/>
      <w:suff w:val="nothing"/>
      <w:lvlText w:val="%1、"/>
      <w:lvlJc w:val="left"/>
      <w:rPr>
        <w:rFonts w:hint="eastAsia"/>
      </w:rPr>
    </w:lvl>
  </w:abstractNum>
  <w:abstractNum w:abstractNumId="5">
    <w:nsid w:val="C220970B"/>
    <w:multiLevelType w:val="singleLevel"/>
    <w:tmpl w:val="C220970B"/>
    <w:lvl w:ilvl="0" w:tentative="0">
      <w:start w:val="2"/>
      <w:numFmt w:val="decimal"/>
      <w:suff w:val="nothing"/>
      <w:lvlText w:val="%1、"/>
      <w:lvlJc w:val="left"/>
    </w:lvl>
  </w:abstractNum>
  <w:abstractNum w:abstractNumId="6">
    <w:nsid w:val="0000000E"/>
    <w:multiLevelType w:val="singleLevel"/>
    <w:tmpl w:val="0000000E"/>
    <w:lvl w:ilvl="0" w:tentative="0">
      <w:start w:val="2"/>
      <w:numFmt w:val="decimal"/>
      <w:suff w:val="nothing"/>
      <w:lvlText w:val="%1）"/>
      <w:lvlJc w:val="left"/>
    </w:lvl>
  </w:abstractNum>
  <w:abstractNum w:abstractNumId="7">
    <w:nsid w:val="0000001F"/>
    <w:multiLevelType w:val="singleLevel"/>
    <w:tmpl w:val="0000001F"/>
    <w:lvl w:ilvl="0" w:tentative="0">
      <w:start w:val="1"/>
      <w:numFmt w:val="decimal"/>
      <w:pStyle w:val="41"/>
      <w:lvlText w:val="%1．"/>
      <w:lvlJc w:val="left"/>
      <w:pPr>
        <w:tabs>
          <w:tab w:val="left" w:pos="720"/>
        </w:tabs>
        <w:ind w:left="720" w:hanging="720"/>
      </w:pPr>
    </w:lvl>
  </w:abstractNum>
  <w:abstractNum w:abstractNumId="8">
    <w:nsid w:val="003A01C5"/>
    <w:multiLevelType w:val="singleLevel"/>
    <w:tmpl w:val="003A01C5"/>
    <w:lvl w:ilvl="0" w:tentative="0">
      <w:start w:val="2"/>
      <w:numFmt w:val="chineseCounting"/>
      <w:suff w:val="nothing"/>
      <w:lvlText w:val="（%1）"/>
      <w:lvlJc w:val="left"/>
      <w:rPr>
        <w:rFonts w:hint="eastAsia"/>
      </w:rPr>
    </w:lvl>
  </w:abstractNum>
  <w:abstractNum w:abstractNumId="9">
    <w:nsid w:val="34D9309C"/>
    <w:multiLevelType w:val="singleLevel"/>
    <w:tmpl w:val="34D9309C"/>
    <w:lvl w:ilvl="0" w:tentative="0">
      <w:start w:val="1"/>
      <w:numFmt w:val="decimal"/>
      <w:suff w:val="nothing"/>
      <w:lvlText w:val="%1、"/>
      <w:lvlJc w:val="left"/>
    </w:lvl>
  </w:abstractNum>
  <w:abstractNum w:abstractNumId="10">
    <w:nsid w:val="5A5C05C4"/>
    <w:multiLevelType w:val="singleLevel"/>
    <w:tmpl w:val="5A5C05C4"/>
    <w:lvl w:ilvl="0" w:tentative="0">
      <w:start w:val="1"/>
      <w:numFmt w:val="chineseCounting"/>
      <w:suff w:val="nothing"/>
      <w:lvlText w:val="%1、"/>
      <w:lvlJc w:val="left"/>
    </w:lvl>
  </w:abstractNum>
  <w:abstractNum w:abstractNumId="11">
    <w:nsid w:val="5A5C15F4"/>
    <w:multiLevelType w:val="singleLevel"/>
    <w:tmpl w:val="5A5C15F4"/>
    <w:lvl w:ilvl="0" w:tentative="0">
      <w:start w:val="1"/>
      <w:numFmt w:val="chineseCounting"/>
      <w:suff w:val="nothing"/>
      <w:lvlText w:val="（%1）"/>
      <w:lvlJc w:val="left"/>
    </w:lvl>
  </w:abstractNum>
  <w:abstractNum w:abstractNumId="12">
    <w:nsid w:val="5A5C1F4D"/>
    <w:multiLevelType w:val="singleLevel"/>
    <w:tmpl w:val="5A5C1F4D"/>
    <w:lvl w:ilvl="0" w:tentative="0">
      <w:start w:val="1"/>
      <w:numFmt w:val="chineseCounting"/>
      <w:suff w:val="nothing"/>
      <w:lvlText w:val="（%1）"/>
      <w:lvlJc w:val="left"/>
    </w:lvl>
  </w:abstractNum>
  <w:abstractNum w:abstractNumId="13">
    <w:nsid w:val="5A5D5740"/>
    <w:multiLevelType w:val="singleLevel"/>
    <w:tmpl w:val="5A5D5740"/>
    <w:lvl w:ilvl="0" w:tentative="0">
      <w:start w:val="1"/>
      <w:numFmt w:val="decimal"/>
      <w:suff w:val="nothing"/>
      <w:lvlText w:val="%1、"/>
      <w:lvlJc w:val="left"/>
    </w:lvl>
  </w:abstractNum>
  <w:abstractNum w:abstractNumId="14">
    <w:nsid w:val="5A5D6497"/>
    <w:multiLevelType w:val="singleLevel"/>
    <w:tmpl w:val="5A5D6497"/>
    <w:lvl w:ilvl="0" w:tentative="0">
      <w:start w:val="1"/>
      <w:numFmt w:val="chineseCounting"/>
      <w:suff w:val="nothing"/>
      <w:lvlText w:val="（%1）"/>
      <w:lvlJc w:val="left"/>
    </w:lvl>
  </w:abstractNum>
  <w:abstractNum w:abstractNumId="15">
    <w:nsid w:val="7D884B97"/>
    <w:multiLevelType w:val="singleLevel"/>
    <w:tmpl w:val="7D884B97"/>
    <w:lvl w:ilvl="0" w:tentative="0">
      <w:start w:val="1"/>
      <w:numFmt w:val="decimal"/>
      <w:suff w:val="nothing"/>
      <w:lvlText w:val="（%1）"/>
      <w:lvlJc w:val="left"/>
    </w:lvl>
  </w:abstractNum>
  <w:num w:numId="1">
    <w:abstractNumId w:val="7"/>
  </w:num>
  <w:num w:numId="2">
    <w:abstractNumId w:val="3"/>
  </w:num>
  <w:num w:numId="3">
    <w:abstractNumId w:val="9"/>
  </w:num>
  <w:num w:numId="4">
    <w:abstractNumId w:val="15"/>
  </w:num>
  <w:num w:numId="5">
    <w:abstractNumId w:val="8"/>
  </w:num>
  <w:num w:numId="6">
    <w:abstractNumId w:val="6"/>
  </w:num>
  <w:num w:numId="7">
    <w:abstractNumId w:val="10"/>
  </w:num>
  <w:num w:numId="8">
    <w:abstractNumId w:val="11"/>
  </w:num>
  <w:num w:numId="9">
    <w:abstractNumId w:val="12"/>
  </w:num>
  <w:num w:numId="10">
    <w:abstractNumId w:val="13"/>
  </w:num>
  <w:num w:numId="11">
    <w:abstractNumId w:val="14"/>
  </w:num>
  <w:num w:numId="12">
    <w:abstractNumId w:val="2"/>
  </w:num>
  <w:num w:numId="13">
    <w:abstractNumId w:val="0"/>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Y4M2YyYzU5Y2M4MzI3MWJkYTdjMjBhNGIxMjcifQ=="/>
  </w:docVars>
  <w:rsids>
    <w:rsidRoot w:val="00172A27"/>
    <w:rsid w:val="00172A27"/>
    <w:rsid w:val="00267055"/>
    <w:rsid w:val="003C6770"/>
    <w:rsid w:val="003F707F"/>
    <w:rsid w:val="00401F77"/>
    <w:rsid w:val="00435E0F"/>
    <w:rsid w:val="005B7163"/>
    <w:rsid w:val="00611A70"/>
    <w:rsid w:val="0095224A"/>
    <w:rsid w:val="00E36B8C"/>
    <w:rsid w:val="00E83E01"/>
    <w:rsid w:val="00FE3A99"/>
    <w:rsid w:val="012F3858"/>
    <w:rsid w:val="01472CC0"/>
    <w:rsid w:val="015B0367"/>
    <w:rsid w:val="017956BE"/>
    <w:rsid w:val="01B807CA"/>
    <w:rsid w:val="02652B70"/>
    <w:rsid w:val="028E21B9"/>
    <w:rsid w:val="02FF14A1"/>
    <w:rsid w:val="03381FC2"/>
    <w:rsid w:val="036D62EE"/>
    <w:rsid w:val="038F676A"/>
    <w:rsid w:val="03DA3D37"/>
    <w:rsid w:val="03F24B22"/>
    <w:rsid w:val="04011D9C"/>
    <w:rsid w:val="05182A48"/>
    <w:rsid w:val="05D02B81"/>
    <w:rsid w:val="05D55F76"/>
    <w:rsid w:val="068A4760"/>
    <w:rsid w:val="06E12694"/>
    <w:rsid w:val="06F113C0"/>
    <w:rsid w:val="07202074"/>
    <w:rsid w:val="078C7D61"/>
    <w:rsid w:val="07FA7EA1"/>
    <w:rsid w:val="087B32CA"/>
    <w:rsid w:val="09330589"/>
    <w:rsid w:val="09716CC1"/>
    <w:rsid w:val="0AF56A87"/>
    <w:rsid w:val="0B63416C"/>
    <w:rsid w:val="0C83280E"/>
    <w:rsid w:val="0E283D01"/>
    <w:rsid w:val="0ECC12D1"/>
    <w:rsid w:val="0F0772F5"/>
    <w:rsid w:val="0F381499"/>
    <w:rsid w:val="0F714502"/>
    <w:rsid w:val="0FAF2C1E"/>
    <w:rsid w:val="0FD50CBC"/>
    <w:rsid w:val="0FF81F3D"/>
    <w:rsid w:val="10632421"/>
    <w:rsid w:val="10662A09"/>
    <w:rsid w:val="113925FE"/>
    <w:rsid w:val="11C819F1"/>
    <w:rsid w:val="1251211F"/>
    <w:rsid w:val="133A133D"/>
    <w:rsid w:val="13402AAE"/>
    <w:rsid w:val="13C11660"/>
    <w:rsid w:val="143B4BF9"/>
    <w:rsid w:val="14AC4245"/>
    <w:rsid w:val="14B5624E"/>
    <w:rsid w:val="14D61F11"/>
    <w:rsid w:val="157306F8"/>
    <w:rsid w:val="15BB5BFB"/>
    <w:rsid w:val="15C97F83"/>
    <w:rsid w:val="17223588"/>
    <w:rsid w:val="17BE131D"/>
    <w:rsid w:val="18064C76"/>
    <w:rsid w:val="18963AB3"/>
    <w:rsid w:val="18AC61EB"/>
    <w:rsid w:val="199275A7"/>
    <w:rsid w:val="19EA713B"/>
    <w:rsid w:val="1B855047"/>
    <w:rsid w:val="1BDA5679"/>
    <w:rsid w:val="1D832D1B"/>
    <w:rsid w:val="1DB81756"/>
    <w:rsid w:val="1E2E11D5"/>
    <w:rsid w:val="1E851EC5"/>
    <w:rsid w:val="1F714F4F"/>
    <w:rsid w:val="1F723023"/>
    <w:rsid w:val="1F8519CE"/>
    <w:rsid w:val="1FAD0CAB"/>
    <w:rsid w:val="1FBF1FDE"/>
    <w:rsid w:val="1FEB7CE4"/>
    <w:rsid w:val="1FF61994"/>
    <w:rsid w:val="20963FD2"/>
    <w:rsid w:val="20A32951"/>
    <w:rsid w:val="22EE069E"/>
    <w:rsid w:val="22F321F6"/>
    <w:rsid w:val="23A6106C"/>
    <w:rsid w:val="23D8425C"/>
    <w:rsid w:val="240D391C"/>
    <w:rsid w:val="24654B8B"/>
    <w:rsid w:val="24C97FFB"/>
    <w:rsid w:val="24F36DF1"/>
    <w:rsid w:val="25654BF9"/>
    <w:rsid w:val="25CA2AC6"/>
    <w:rsid w:val="25E719CC"/>
    <w:rsid w:val="260F714C"/>
    <w:rsid w:val="26DA704E"/>
    <w:rsid w:val="27521E32"/>
    <w:rsid w:val="27546750"/>
    <w:rsid w:val="27EC0CAA"/>
    <w:rsid w:val="28BB6AFD"/>
    <w:rsid w:val="29CA2F90"/>
    <w:rsid w:val="29D95E78"/>
    <w:rsid w:val="2A2474E2"/>
    <w:rsid w:val="2A30713D"/>
    <w:rsid w:val="2A813D65"/>
    <w:rsid w:val="2AD96156"/>
    <w:rsid w:val="2B231E21"/>
    <w:rsid w:val="2BAD264D"/>
    <w:rsid w:val="2C53467C"/>
    <w:rsid w:val="2C6F15B0"/>
    <w:rsid w:val="2CA50CAA"/>
    <w:rsid w:val="2D093ED2"/>
    <w:rsid w:val="2DD24E04"/>
    <w:rsid w:val="2DE93A97"/>
    <w:rsid w:val="2E02660A"/>
    <w:rsid w:val="306D2CB5"/>
    <w:rsid w:val="308A63FF"/>
    <w:rsid w:val="30DD29F2"/>
    <w:rsid w:val="31274E1E"/>
    <w:rsid w:val="319318A7"/>
    <w:rsid w:val="31E92469"/>
    <w:rsid w:val="32A00F2D"/>
    <w:rsid w:val="32A66E23"/>
    <w:rsid w:val="32C768D4"/>
    <w:rsid w:val="33615BDC"/>
    <w:rsid w:val="33C51FF3"/>
    <w:rsid w:val="346D1752"/>
    <w:rsid w:val="34D862CC"/>
    <w:rsid w:val="351A24E7"/>
    <w:rsid w:val="35233101"/>
    <w:rsid w:val="35410B17"/>
    <w:rsid w:val="35543FAA"/>
    <w:rsid w:val="35B82AA8"/>
    <w:rsid w:val="35D356C0"/>
    <w:rsid w:val="35E96C3F"/>
    <w:rsid w:val="370A3BF4"/>
    <w:rsid w:val="37A60136"/>
    <w:rsid w:val="37D51ACE"/>
    <w:rsid w:val="39A10CAA"/>
    <w:rsid w:val="39B05B15"/>
    <w:rsid w:val="39C0439E"/>
    <w:rsid w:val="39D96C03"/>
    <w:rsid w:val="3A0642DB"/>
    <w:rsid w:val="3A5F76FE"/>
    <w:rsid w:val="3A881467"/>
    <w:rsid w:val="3AC014F0"/>
    <w:rsid w:val="3B0D4800"/>
    <w:rsid w:val="3B48618B"/>
    <w:rsid w:val="3B4E6DB7"/>
    <w:rsid w:val="3BF00D0C"/>
    <w:rsid w:val="3C612B89"/>
    <w:rsid w:val="3C681EFA"/>
    <w:rsid w:val="3CB23617"/>
    <w:rsid w:val="3CD16567"/>
    <w:rsid w:val="3CD67F5C"/>
    <w:rsid w:val="3D2B1EF0"/>
    <w:rsid w:val="3DAF5262"/>
    <w:rsid w:val="3DEA05ED"/>
    <w:rsid w:val="3E961EE4"/>
    <w:rsid w:val="3E9A1FA2"/>
    <w:rsid w:val="3ED40781"/>
    <w:rsid w:val="3F4978CC"/>
    <w:rsid w:val="40054222"/>
    <w:rsid w:val="403B26BF"/>
    <w:rsid w:val="40504184"/>
    <w:rsid w:val="407D3C89"/>
    <w:rsid w:val="409A2128"/>
    <w:rsid w:val="40F96549"/>
    <w:rsid w:val="41137ECB"/>
    <w:rsid w:val="41FF7485"/>
    <w:rsid w:val="424A0073"/>
    <w:rsid w:val="424F14CB"/>
    <w:rsid w:val="42882097"/>
    <w:rsid w:val="42DE4B54"/>
    <w:rsid w:val="43E216AD"/>
    <w:rsid w:val="443127FD"/>
    <w:rsid w:val="447A77FD"/>
    <w:rsid w:val="447E5BD1"/>
    <w:rsid w:val="447E7078"/>
    <w:rsid w:val="44A96429"/>
    <w:rsid w:val="44A972A3"/>
    <w:rsid w:val="44BB10C2"/>
    <w:rsid w:val="450114C5"/>
    <w:rsid w:val="45F0737F"/>
    <w:rsid w:val="46355B6B"/>
    <w:rsid w:val="47256702"/>
    <w:rsid w:val="4866689E"/>
    <w:rsid w:val="48717829"/>
    <w:rsid w:val="493C1ACD"/>
    <w:rsid w:val="4AAA72C4"/>
    <w:rsid w:val="4B8160ED"/>
    <w:rsid w:val="4BA72FB4"/>
    <w:rsid w:val="4C723FEC"/>
    <w:rsid w:val="4CA45AF7"/>
    <w:rsid w:val="4CAD0BAC"/>
    <w:rsid w:val="4D1B0752"/>
    <w:rsid w:val="4DA42E3E"/>
    <w:rsid w:val="4E1D0557"/>
    <w:rsid w:val="4E8E29F3"/>
    <w:rsid w:val="4EA2097E"/>
    <w:rsid w:val="4ED00884"/>
    <w:rsid w:val="4EEE1854"/>
    <w:rsid w:val="507903C6"/>
    <w:rsid w:val="50A6165E"/>
    <w:rsid w:val="50AB184B"/>
    <w:rsid w:val="51100F2D"/>
    <w:rsid w:val="513C50E8"/>
    <w:rsid w:val="51A800FD"/>
    <w:rsid w:val="51C05DF1"/>
    <w:rsid w:val="529D41C2"/>
    <w:rsid w:val="52CB4D9D"/>
    <w:rsid w:val="52DA3949"/>
    <w:rsid w:val="52F13991"/>
    <w:rsid w:val="52F90325"/>
    <w:rsid w:val="530230BE"/>
    <w:rsid w:val="530304D5"/>
    <w:rsid w:val="53BF1DED"/>
    <w:rsid w:val="53F658CF"/>
    <w:rsid w:val="54513AB7"/>
    <w:rsid w:val="54714599"/>
    <w:rsid w:val="54E34890"/>
    <w:rsid w:val="550610E6"/>
    <w:rsid w:val="5557649B"/>
    <w:rsid w:val="556B6A0E"/>
    <w:rsid w:val="55E55E95"/>
    <w:rsid w:val="56307F1D"/>
    <w:rsid w:val="566118CC"/>
    <w:rsid w:val="56887B71"/>
    <w:rsid w:val="578A6A3D"/>
    <w:rsid w:val="57AF4A2D"/>
    <w:rsid w:val="57BD712A"/>
    <w:rsid w:val="57E76427"/>
    <w:rsid w:val="58624313"/>
    <w:rsid w:val="589231AE"/>
    <w:rsid w:val="58984C08"/>
    <w:rsid w:val="58DD7B76"/>
    <w:rsid w:val="593171CA"/>
    <w:rsid w:val="59527A1D"/>
    <w:rsid w:val="596A073D"/>
    <w:rsid w:val="59BF0FEB"/>
    <w:rsid w:val="5A104D79"/>
    <w:rsid w:val="5A5217A5"/>
    <w:rsid w:val="5AA956E4"/>
    <w:rsid w:val="5B734B9C"/>
    <w:rsid w:val="5B8A5421"/>
    <w:rsid w:val="5C530A8C"/>
    <w:rsid w:val="5D0228D3"/>
    <w:rsid w:val="5DB03139"/>
    <w:rsid w:val="5DF27291"/>
    <w:rsid w:val="5DFF2579"/>
    <w:rsid w:val="5E0E0A85"/>
    <w:rsid w:val="5E590139"/>
    <w:rsid w:val="5ED370DF"/>
    <w:rsid w:val="5F8D4901"/>
    <w:rsid w:val="60664297"/>
    <w:rsid w:val="60BA74A1"/>
    <w:rsid w:val="61556623"/>
    <w:rsid w:val="616731FF"/>
    <w:rsid w:val="618C7D31"/>
    <w:rsid w:val="62380440"/>
    <w:rsid w:val="627F21E0"/>
    <w:rsid w:val="62B859AC"/>
    <w:rsid w:val="63AE4F8A"/>
    <w:rsid w:val="64651B65"/>
    <w:rsid w:val="64BA2A51"/>
    <w:rsid w:val="64E90691"/>
    <w:rsid w:val="65D5227D"/>
    <w:rsid w:val="65E54338"/>
    <w:rsid w:val="66FD56DB"/>
    <w:rsid w:val="678D2023"/>
    <w:rsid w:val="688C36E7"/>
    <w:rsid w:val="68C40040"/>
    <w:rsid w:val="698E526D"/>
    <w:rsid w:val="6A2F6DE1"/>
    <w:rsid w:val="6ACF6E07"/>
    <w:rsid w:val="6AF644FA"/>
    <w:rsid w:val="6B0C5BF9"/>
    <w:rsid w:val="6B233BB6"/>
    <w:rsid w:val="6B4E428B"/>
    <w:rsid w:val="6C0D10CA"/>
    <w:rsid w:val="6C16562E"/>
    <w:rsid w:val="6C6770DD"/>
    <w:rsid w:val="6CB423CE"/>
    <w:rsid w:val="6D196069"/>
    <w:rsid w:val="6D2C33FF"/>
    <w:rsid w:val="6D305EC5"/>
    <w:rsid w:val="6D3B3E5D"/>
    <w:rsid w:val="6D3C0118"/>
    <w:rsid w:val="6D4A2C62"/>
    <w:rsid w:val="6D9F6F50"/>
    <w:rsid w:val="6E7C32EF"/>
    <w:rsid w:val="6E96710E"/>
    <w:rsid w:val="6F1C2D0B"/>
    <w:rsid w:val="6F484F7F"/>
    <w:rsid w:val="6F7C326E"/>
    <w:rsid w:val="6F7C6609"/>
    <w:rsid w:val="6F875978"/>
    <w:rsid w:val="70B6742B"/>
    <w:rsid w:val="72083CFD"/>
    <w:rsid w:val="722F6C2A"/>
    <w:rsid w:val="725A21C1"/>
    <w:rsid w:val="72A22F46"/>
    <w:rsid w:val="73155B1C"/>
    <w:rsid w:val="73265870"/>
    <w:rsid w:val="73400906"/>
    <w:rsid w:val="73462BAB"/>
    <w:rsid w:val="73626CC3"/>
    <w:rsid w:val="73F05464"/>
    <w:rsid w:val="74E90663"/>
    <w:rsid w:val="75143C3F"/>
    <w:rsid w:val="751E663F"/>
    <w:rsid w:val="753C3F14"/>
    <w:rsid w:val="75986EAD"/>
    <w:rsid w:val="75E17EDC"/>
    <w:rsid w:val="765A17CC"/>
    <w:rsid w:val="77497F44"/>
    <w:rsid w:val="77EC39D3"/>
    <w:rsid w:val="77FE3990"/>
    <w:rsid w:val="791A3440"/>
    <w:rsid w:val="79B51ABF"/>
    <w:rsid w:val="7A1E696F"/>
    <w:rsid w:val="7A534C1E"/>
    <w:rsid w:val="7A58553D"/>
    <w:rsid w:val="7B61243E"/>
    <w:rsid w:val="7BF9233D"/>
    <w:rsid w:val="7C081039"/>
    <w:rsid w:val="7C7435A2"/>
    <w:rsid w:val="7CAF759C"/>
    <w:rsid w:val="7D52615C"/>
    <w:rsid w:val="7D735168"/>
    <w:rsid w:val="7DB00A54"/>
    <w:rsid w:val="7E0563F3"/>
    <w:rsid w:val="7E383460"/>
    <w:rsid w:val="7EE03EBA"/>
    <w:rsid w:val="7F466C9F"/>
    <w:rsid w:val="7F904CDA"/>
    <w:rsid w:val="7FE1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99"/>
    <w:pPr>
      <w:keepNext/>
      <w:keepLines/>
      <w:spacing w:before="120" w:after="120" w:line="360" w:lineRule="auto"/>
      <w:jc w:val="center"/>
      <w:outlineLvl w:val="1"/>
    </w:pPr>
    <w:rPr>
      <w:rFonts w:ascii="Arial" w:hAnsi="Arial"/>
      <w:b/>
      <w:bCs/>
      <w:sz w:val="36"/>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99"/>
    <w:pPr>
      <w:ind w:firstLine="420" w:firstLineChars="200"/>
    </w:pPr>
    <w:rPr>
      <w:rFonts w:ascii="仿宋_GB2312" w:eastAsia="仿宋_GB2312" w:cs="仿宋_GB2312"/>
    </w:rPr>
  </w:style>
  <w:style w:type="paragraph" w:styleId="8">
    <w:name w:val="toc 4"/>
    <w:basedOn w:val="1"/>
    <w:next w:val="1"/>
    <w:autoRedefine/>
    <w:qFormat/>
    <w:uiPriority w:val="0"/>
    <w:pPr>
      <w:ind w:left="1260" w:leftChars="600"/>
    </w:pPr>
    <w:rPr>
      <w:rFonts w:ascii="Times New Roman" w:hAnsi="Times New Roman" w:eastAsia="宋体" w:cs="Times New Roman"/>
    </w:rPr>
  </w:style>
  <w:style w:type="paragraph" w:styleId="9">
    <w:name w:val="Document Map"/>
    <w:basedOn w:val="1"/>
    <w:autoRedefine/>
    <w:qFormat/>
    <w:uiPriority w:val="0"/>
    <w:pPr>
      <w:shd w:val="clear" w:color="auto" w:fill="000080"/>
    </w:p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annotation text"/>
    <w:basedOn w:val="1"/>
    <w:link w:val="46"/>
    <w:autoRedefine/>
    <w:qFormat/>
    <w:uiPriority w:val="0"/>
    <w:pPr>
      <w:jc w:val="left"/>
    </w:pPr>
  </w:style>
  <w:style w:type="paragraph" w:styleId="12">
    <w:name w:val="Body Text"/>
    <w:basedOn w:val="1"/>
    <w:next w:val="1"/>
    <w:autoRedefine/>
    <w:unhideWhenUsed/>
    <w:qFormat/>
    <w:uiPriority w:val="1"/>
    <w:pPr>
      <w:spacing w:after="120"/>
    </w:pPr>
  </w:style>
  <w:style w:type="paragraph" w:styleId="13">
    <w:name w:val="Body Text Indent"/>
    <w:basedOn w:val="1"/>
    <w:autoRedefine/>
    <w:unhideWhenUsed/>
    <w:qFormat/>
    <w:uiPriority w:val="99"/>
    <w:pPr>
      <w:spacing w:after="120"/>
      <w:ind w:left="420" w:leftChars="200"/>
    </w:pPr>
  </w:style>
  <w:style w:type="paragraph" w:styleId="14">
    <w:name w:val="Block Text"/>
    <w:basedOn w:val="1"/>
    <w:autoRedefine/>
    <w:qFormat/>
    <w:uiPriority w:val="0"/>
    <w:pPr>
      <w:ind w:left="420" w:leftChars="200" w:right="-70" w:rightChars="-70" w:firstLine="560" w:firstLineChars="200"/>
    </w:pPr>
    <w:rPr>
      <w:rFonts w:ascii="楷体_GB2312" w:eastAsia="楷体_GB2312"/>
      <w:sz w:val="28"/>
      <w:szCs w:val="20"/>
    </w:rPr>
  </w:style>
  <w:style w:type="paragraph" w:styleId="15">
    <w:name w:val="Plain Text"/>
    <w:basedOn w:val="1"/>
    <w:autoRedefine/>
    <w:qFormat/>
    <w:uiPriority w:val="99"/>
    <w:rPr>
      <w:rFonts w:ascii="宋体" w:hAnsi="Courier New"/>
      <w:szCs w:val="21"/>
    </w:rPr>
  </w:style>
  <w:style w:type="paragraph" w:styleId="16">
    <w:name w:val="Balloon Text"/>
    <w:basedOn w:val="1"/>
    <w:link w:val="49"/>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Body Text Indent 3"/>
    <w:basedOn w:val="1"/>
    <w:autoRedefine/>
    <w:qFormat/>
    <w:uiPriority w:val="0"/>
    <w:pPr>
      <w:spacing w:line="410" w:lineRule="exact"/>
      <w:ind w:left="619" w:leftChars="295" w:firstLine="390" w:firstLineChars="179"/>
    </w:pPr>
    <w:rPr>
      <w:rFonts w:ascii="宋体" w:hAnsi="宋体"/>
      <w:spacing w:val="4"/>
      <w:kern w:val="0"/>
      <w:sz w:val="20"/>
      <w:szCs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autoRedefine/>
    <w:qFormat/>
    <w:uiPriority w:val="0"/>
    <w:pPr>
      <w:spacing w:before="240" w:after="60"/>
      <w:jc w:val="center"/>
      <w:outlineLvl w:val="0"/>
    </w:pPr>
    <w:rPr>
      <w:rFonts w:ascii="Cambria" w:hAnsi="Cambria"/>
      <w:b/>
      <w:sz w:val="32"/>
      <w:szCs w:val="20"/>
    </w:rPr>
  </w:style>
  <w:style w:type="paragraph" w:styleId="23">
    <w:name w:val="Body Text First Indent"/>
    <w:basedOn w:val="12"/>
    <w:next w:val="24"/>
    <w:autoRedefine/>
    <w:qFormat/>
    <w:uiPriority w:val="0"/>
    <w:pPr>
      <w:spacing w:line="360" w:lineRule="auto"/>
      <w:ind w:firstLine="420"/>
    </w:pPr>
    <w:rPr>
      <w:rFonts w:ascii="宋体" w:hAnsi="宋体"/>
      <w:sz w:val="24"/>
    </w:rPr>
  </w:style>
  <w:style w:type="paragraph" w:styleId="24">
    <w:name w:val="Body Text First Indent 2"/>
    <w:basedOn w:val="13"/>
    <w:next w:val="23"/>
    <w:autoRedefine/>
    <w:unhideWhenUsed/>
    <w:qFormat/>
    <w:uiPriority w:val="0"/>
    <w:pPr>
      <w:spacing w:line="360" w:lineRule="auto"/>
      <w:ind w:firstLine="420" w:firstLineChars="200"/>
    </w:pPr>
    <w:rPr>
      <w:rFonts w:eastAsia="仿宋_GB231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FollowedHyperlink"/>
    <w:basedOn w:val="27"/>
    <w:autoRedefine/>
    <w:qFormat/>
    <w:uiPriority w:val="0"/>
    <w:rPr>
      <w:color w:val="2D5D7D"/>
      <w:u w:val="none"/>
    </w:rPr>
  </w:style>
  <w:style w:type="character" w:styleId="30">
    <w:name w:val="Hyperlink"/>
    <w:basedOn w:val="27"/>
    <w:autoRedefine/>
    <w:qFormat/>
    <w:uiPriority w:val="0"/>
    <w:rPr>
      <w:color w:val="2D5D7D"/>
      <w:u w:val="none"/>
    </w:rPr>
  </w:style>
  <w:style w:type="character" w:styleId="31">
    <w:name w:val="annotation reference"/>
    <w:basedOn w:val="27"/>
    <w:autoRedefine/>
    <w:unhideWhenUsed/>
    <w:qFormat/>
    <w:uiPriority w:val="99"/>
    <w:rPr>
      <w:sz w:val="21"/>
      <w:szCs w:val="21"/>
    </w:rPr>
  </w:style>
  <w:style w:type="paragraph" w:customStyle="1" w:styleId="32">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33">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Heading4"/>
    <w:basedOn w:val="1"/>
    <w:next w:val="1"/>
    <w:autoRedefine/>
    <w:qFormat/>
    <w:uiPriority w:val="0"/>
    <w:pPr>
      <w:keepNext/>
      <w:jc w:val="both"/>
      <w:textAlignment w:val="baseline"/>
    </w:pPr>
    <w:rPr>
      <w:color w:val="FF0000"/>
      <w:kern w:val="2"/>
      <w:sz w:val="28"/>
      <w:u w:val="single"/>
      <w:lang w:val="en-US" w:eastAsia="zh-CN" w:bidi="ar-SA"/>
    </w:rPr>
  </w:style>
  <w:style w:type="paragraph" w:customStyle="1" w:styleId="35">
    <w:name w:val="HTML Preformatted1"/>
    <w:basedOn w:val="1"/>
    <w:autoRedefine/>
    <w:qFormat/>
    <w:uiPriority w:val="0"/>
    <w:rPr>
      <w:rFonts w:ascii="Courier New" w:hAnsi="Courier New"/>
      <w:sz w:val="20"/>
    </w:rPr>
  </w:style>
  <w:style w:type="paragraph" w:customStyle="1" w:styleId="36">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7">
    <w:name w:val="正文11"/>
    <w:autoRedefine/>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38">
    <w:name w:val="WPSOffice手动目录 1"/>
    <w:autoRedefine/>
    <w:qFormat/>
    <w:uiPriority w:val="0"/>
    <w:rPr>
      <w:rFonts w:ascii="Calibri" w:hAnsi="Calibri" w:eastAsia="宋体" w:cs="Times New Roman"/>
      <w:lang w:val="en-US" w:eastAsia="zh-CN" w:bidi="ar-SA"/>
    </w:rPr>
  </w:style>
  <w:style w:type="paragraph" w:customStyle="1" w:styleId="39">
    <w:name w:val="p15"/>
    <w:basedOn w:val="1"/>
    <w:autoRedefine/>
    <w:qFormat/>
    <w:uiPriority w:val="99"/>
    <w:pPr>
      <w:widowControl/>
    </w:pPr>
    <w:rPr>
      <w:kern w:val="0"/>
      <w:szCs w:val="21"/>
    </w:rPr>
  </w:style>
  <w:style w:type="paragraph" w:customStyle="1" w:styleId="40">
    <w:name w:val="列出段落1"/>
    <w:basedOn w:val="1"/>
    <w:autoRedefine/>
    <w:qFormat/>
    <w:uiPriority w:val="0"/>
    <w:pPr>
      <w:ind w:firstLine="420" w:firstLineChars="200"/>
    </w:pPr>
    <w:rPr>
      <w:rFonts w:ascii="Calibri" w:hAnsi="Calibri"/>
      <w:kern w:val="0"/>
      <w:sz w:val="20"/>
    </w:rPr>
  </w:style>
  <w:style w:type="paragraph" w:customStyle="1" w:styleId="41">
    <w:name w:val="Char"/>
    <w:basedOn w:val="9"/>
    <w:next w:val="4"/>
    <w:autoRedefine/>
    <w:qFormat/>
    <w:uiPriority w:val="0"/>
    <w:pPr>
      <w:numPr>
        <w:ilvl w:val="0"/>
        <w:numId w:val="1"/>
      </w:numPr>
      <w:tabs>
        <w:tab w:val="left" w:pos="1200"/>
        <w:tab w:val="clear" w:pos="720"/>
      </w:tabs>
      <w:ind w:left="1200" w:hanging="360"/>
    </w:pPr>
    <w:rPr>
      <w:sz w:val="24"/>
      <w:szCs w:val="24"/>
    </w:rPr>
  </w:style>
  <w:style w:type="paragraph" w:customStyle="1" w:styleId="42">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43">
    <w:name w:val="font01"/>
    <w:basedOn w:val="27"/>
    <w:autoRedefine/>
    <w:qFormat/>
    <w:uiPriority w:val="0"/>
    <w:rPr>
      <w:rFonts w:hint="eastAsia" w:ascii="宋体" w:hAnsi="宋体" w:eastAsia="宋体" w:cs="宋体"/>
      <w:b/>
      <w:bCs/>
      <w:color w:val="000000"/>
      <w:sz w:val="36"/>
      <w:szCs w:val="36"/>
      <w:u w:val="none"/>
    </w:rPr>
  </w:style>
  <w:style w:type="character" w:customStyle="1" w:styleId="44">
    <w:name w:val="item-name"/>
    <w:basedOn w:val="27"/>
    <w:autoRedefine/>
    <w:qFormat/>
    <w:uiPriority w:val="0"/>
  </w:style>
  <w:style w:type="character" w:customStyle="1" w:styleId="45">
    <w:name w:val="item-name1"/>
    <w:basedOn w:val="27"/>
    <w:autoRedefine/>
    <w:qFormat/>
    <w:uiPriority w:val="0"/>
  </w:style>
  <w:style w:type="character" w:customStyle="1" w:styleId="46">
    <w:name w:val="批注文字 字符"/>
    <w:basedOn w:val="27"/>
    <w:link w:val="11"/>
    <w:autoRedefine/>
    <w:qFormat/>
    <w:uiPriority w:val="0"/>
    <w:rPr>
      <w:kern w:val="2"/>
      <w:sz w:val="21"/>
      <w:szCs w:val="22"/>
    </w:rPr>
  </w:style>
  <w:style w:type="paragraph" w:styleId="47">
    <w:name w:val="List Paragraph"/>
    <w:basedOn w:val="1"/>
    <w:link w:val="48"/>
    <w:autoRedefine/>
    <w:qFormat/>
    <w:uiPriority w:val="34"/>
    <w:pPr>
      <w:spacing w:line="360" w:lineRule="auto"/>
      <w:ind w:firstLine="420" w:firstLineChars="200"/>
    </w:pPr>
    <w:rPr>
      <w:rFonts w:ascii="宋体" w:hAnsi="宋体" w:cs="宋体"/>
    </w:rPr>
  </w:style>
  <w:style w:type="character" w:customStyle="1" w:styleId="48">
    <w:name w:val="列出段落 字符"/>
    <w:link w:val="47"/>
    <w:autoRedefine/>
    <w:qFormat/>
    <w:uiPriority w:val="34"/>
    <w:rPr>
      <w:rFonts w:ascii="宋体" w:hAnsi="宋体" w:cs="宋体"/>
      <w:kern w:val="2"/>
      <w:sz w:val="21"/>
      <w:szCs w:val="22"/>
    </w:rPr>
  </w:style>
  <w:style w:type="character" w:customStyle="1" w:styleId="49">
    <w:name w:val="批注框文本 字符"/>
    <w:basedOn w:val="27"/>
    <w:link w:val="16"/>
    <w:autoRedefine/>
    <w:qFormat/>
    <w:uiPriority w:val="0"/>
    <w:rPr>
      <w:kern w:val="2"/>
      <w:sz w:val="18"/>
      <w:szCs w:val="18"/>
    </w:rPr>
  </w:style>
  <w:style w:type="paragraph" w:customStyle="1" w:styleId="5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文档正文"/>
    <w:basedOn w:val="1"/>
    <w:autoRedefine/>
    <w:qFormat/>
    <w:uiPriority w:val="0"/>
    <w:pPr>
      <w:wordWrap w:val="0"/>
      <w:spacing w:before="156" w:after="156" w:line="360" w:lineRule="auto"/>
      <w:ind w:firstLine="480" w:firstLineChars="200"/>
    </w:pPr>
    <w:rPr>
      <w:kern w:val="0"/>
      <w:sz w:val="24"/>
      <w:szCs w:val="20"/>
    </w:rPr>
  </w:style>
  <w:style w:type="paragraph" w:customStyle="1" w:styleId="52">
    <w:name w:val="样式2"/>
    <w:basedOn w:val="17"/>
    <w:autoRedefine/>
    <w:qFormat/>
    <w:uiPriority w:val="0"/>
    <w:pPr>
      <w:pBdr>
        <w:top w:val="single" w:color="auto" w:sz="4" w:space="1"/>
      </w:pBdr>
    </w:pPr>
    <w:rPr>
      <w:szCs w:val="18"/>
    </w:rPr>
  </w:style>
  <w:style w:type="paragraph" w:customStyle="1" w:styleId="53">
    <w:name w:val="！正文"/>
    <w:basedOn w:val="1"/>
    <w:autoRedefine/>
    <w:qFormat/>
    <w:uiPriority w:val="0"/>
    <w:pPr>
      <w:widowControl/>
      <w:spacing w:line="360" w:lineRule="auto"/>
      <w:ind w:firstLine="420" w:firstLineChars="200"/>
    </w:pPr>
    <w:rPr>
      <w:rFonts w:cs="宋体"/>
      <w:kern w:val="0"/>
      <w:szCs w:val="20"/>
    </w:rPr>
  </w:style>
  <w:style w:type="paragraph" w:customStyle="1" w:styleId="54">
    <w:name w:val="Table Paragraph"/>
    <w:basedOn w:val="1"/>
    <w:autoRedefine/>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85</Pages>
  <Words>48395</Words>
  <Characters>51337</Characters>
  <Lines>400</Lines>
  <Paragraphs>112</Paragraphs>
  <TotalTime>2</TotalTime>
  <ScaleCrop>false</ScaleCrop>
  <LinksUpToDate>false</LinksUpToDate>
  <CharactersWithSpaces>53957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张晋通</cp:lastModifiedBy>
  <cp:lastPrinted>2022-03-24T02:43:00Z</cp:lastPrinted>
  <dcterms:modified xsi:type="dcterms:W3CDTF">2024-01-08T06:21:06Z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6EEB0903459D48298D386AC0E26F1FB7_13</vt:lpwstr>
  </property>
</Properties>
</file>