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outlineLvl w:val="9"/>
        <w:rPr>
          <w:rFonts w:hint="eastAsia" w:ascii="宋体" w:hAnsi="宋体" w:eastAsia="宋体" w:cs="宋体"/>
        </w:rPr>
      </w:pPr>
    </w:p>
    <w:p>
      <w:pPr>
        <w:pageBreakBefore w:val="0"/>
        <w:kinsoku/>
        <w:overflowPunct/>
        <w:topLinePunct w:val="0"/>
        <w:bidi w:val="0"/>
        <w:spacing w:line="360" w:lineRule="auto"/>
        <w:jc w:val="both"/>
        <w:outlineLvl w:val="9"/>
        <w:rPr>
          <w:rFonts w:hint="default" w:ascii="宋体" w:hAnsi="宋体" w:eastAsia="宋体" w:cs="宋体"/>
          <w:b/>
          <w:sz w:val="28"/>
          <w:szCs w:val="28"/>
          <w:lang w:val="en-US" w:eastAsia="zh-CN"/>
        </w:rPr>
      </w:pPr>
      <w:r>
        <w:rPr>
          <w:rFonts w:hint="eastAsia" w:ascii="宋体" w:hAnsi="宋体" w:eastAsia="宋体" w:cs="宋体"/>
          <w:b/>
          <w:sz w:val="28"/>
          <w:szCs w:val="28"/>
        </w:rPr>
        <w:t>项目编号：</w:t>
      </w:r>
      <w:r>
        <w:rPr>
          <w:rFonts w:hint="eastAsia" w:ascii="宋体" w:hAnsi="宋体" w:cs="宋体"/>
          <w:sz w:val="24"/>
          <w:szCs w:val="24"/>
          <w:lang w:eastAsia="zh-CN"/>
        </w:rPr>
        <w:t>TYRZ-2024-ZZ059</w:t>
      </w:r>
    </w:p>
    <w:p>
      <w:pPr>
        <w:pageBreakBefore w:val="0"/>
        <w:kinsoku/>
        <w:overflowPunct/>
        <w:topLinePunct w:val="0"/>
        <w:bidi w:val="0"/>
        <w:spacing w:line="360" w:lineRule="auto"/>
        <w:jc w:val="center"/>
        <w:outlineLvl w:val="9"/>
        <w:rPr>
          <w:rFonts w:hint="eastAsia" w:ascii="宋体" w:hAnsi="宋体" w:eastAsia="宋体" w:cs="宋体"/>
          <w:b/>
          <w:sz w:val="40"/>
          <w:szCs w:val="32"/>
          <w:lang w:eastAsia="zh-CN"/>
        </w:rPr>
      </w:pPr>
    </w:p>
    <w:p>
      <w:pPr>
        <w:pStyle w:val="17"/>
        <w:jc w:val="center"/>
        <w:outlineLvl w:val="9"/>
        <w:rPr>
          <w:rFonts w:hint="default" w:ascii="宋体" w:hAnsi="宋体" w:eastAsia="宋体" w:cs="宋体"/>
          <w:b/>
          <w:color w:val="000000"/>
          <w:sz w:val="48"/>
          <w:szCs w:val="48"/>
          <w:lang w:eastAsia="zh-CN"/>
        </w:rPr>
      </w:pPr>
      <w:r>
        <w:rPr>
          <w:rFonts w:hint="eastAsia" w:ascii="宋体" w:hAnsi="宋体" w:cs="宋体"/>
          <w:b/>
          <w:bCs/>
          <w:sz w:val="48"/>
          <w:szCs w:val="48"/>
          <w:lang w:eastAsia="zh-CN"/>
        </w:rPr>
        <w:t>2024年周至县道路清扫保洁、垃圾清运、绿化养护、公厕管理市场化运作项目</w:t>
      </w:r>
    </w:p>
    <w:p>
      <w:pPr>
        <w:pStyle w:val="41"/>
        <w:jc w:val="center"/>
        <w:rPr>
          <w:rFonts w:hint="eastAsia" w:ascii="宋体" w:hAnsi="宋体" w:eastAsia="宋体" w:cs="宋体"/>
          <w:b/>
          <w:sz w:val="48"/>
          <w:szCs w:val="48"/>
          <w:lang w:eastAsia="zh-CN"/>
        </w:rPr>
      </w:pPr>
      <w:r>
        <w:rPr>
          <w:rFonts w:hint="eastAsia" w:hAnsi="宋体" w:cs="宋体"/>
          <w:b/>
          <w:sz w:val="48"/>
          <w:szCs w:val="48"/>
          <w:lang w:eastAsia="zh-CN"/>
        </w:rPr>
        <w:t>（合同包</w:t>
      </w:r>
      <w:r>
        <w:rPr>
          <w:rFonts w:hint="eastAsia" w:hAnsi="宋体" w:cs="宋体"/>
          <w:b/>
          <w:sz w:val="48"/>
          <w:szCs w:val="48"/>
          <w:u w:val="single"/>
          <w:lang w:val="en-US" w:eastAsia="zh-CN"/>
        </w:rPr>
        <w:t xml:space="preserve"> 1 </w:t>
      </w:r>
      <w:r>
        <w:rPr>
          <w:rFonts w:hint="eastAsia" w:hAnsi="宋体" w:cs="宋体"/>
          <w:b/>
          <w:sz w:val="48"/>
          <w:szCs w:val="48"/>
          <w:lang w:eastAsia="zh-CN"/>
        </w:rPr>
        <w:t>）</w:t>
      </w:r>
    </w:p>
    <w:p>
      <w:pPr>
        <w:pageBreakBefore w:val="0"/>
        <w:kinsoku/>
        <w:overflowPunct/>
        <w:topLinePunct w:val="0"/>
        <w:bidi w:val="0"/>
        <w:spacing w:line="360" w:lineRule="auto"/>
        <w:jc w:val="center"/>
        <w:outlineLvl w:val="9"/>
        <w:rPr>
          <w:rFonts w:hint="eastAsia" w:ascii="宋体" w:hAnsi="宋体" w:eastAsia="宋体" w:cs="宋体"/>
          <w:b/>
          <w:sz w:val="32"/>
          <w:szCs w:val="32"/>
        </w:rPr>
      </w:pPr>
    </w:p>
    <w:p>
      <w:pPr>
        <w:pageBreakBefore w:val="0"/>
        <w:kinsoku/>
        <w:overflowPunct/>
        <w:topLinePunct w:val="0"/>
        <w:bidi w:val="0"/>
        <w:spacing w:line="360" w:lineRule="auto"/>
        <w:jc w:val="center"/>
        <w:outlineLvl w:val="9"/>
        <w:rPr>
          <w:rFonts w:hint="eastAsia" w:ascii="宋体" w:hAnsi="宋体" w:eastAsia="宋体" w:cs="宋体"/>
          <w:b/>
          <w:sz w:val="72"/>
          <w:szCs w:val="72"/>
        </w:rPr>
      </w:pPr>
      <w:r>
        <w:rPr>
          <w:rFonts w:hint="eastAsia" w:ascii="宋体" w:hAnsi="宋体" w:eastAsia="宋体" w:cs="宋体"/>
          <w:b/>
          <w:sz w:val="72"/>
          <w:szCs w:val="72"/>
          <w:lang w:eastAsia="zh-CN"/>
        </w:rPr>
        <w:t>招标</w:t>
      </w:r>
      <w:r>
        <w:rPr>
          <w:rFonts w:hint="eastAsia" w:ascii="宋体" w:hAnsi="宋体" w:eastAsia="宋体" w:cs="宋体"/>
          <w:b/>
          <w:sz w:val="72"/>
          <w:szCs w:val="72"/>
        </w:rPr>
        <w:t>文件</w:t>
      </w:r>
    </w:p>
    <w:p>
      <w:pPr>
        <w:pStyle w:val="41"/>
        <w:rPr>
          <w:rFonts w:hint="eastAsia" w:ascii="宋体" w:hAnsi="宋体" w:eastAsia="宋体" w:cs="宋体"/>
          <w:b/>
          <w:sz w:val="72"/>
          <w:szCs w:val="72"/>
        </w:rPr>
      </w:pPr>
    </w:p>
    <w:p>
      <w:pPr>
        <w:pStyle w:val="41"/>
        <w:rPr>
          <w:rFonts w:hint="eastAsia"/>
        </w:rPr>
      </w:pPr>
    </w:p>
    <w:p>
      <w:pPr>
        <w:pageBreakBefore w:val="0"/>
        <w:kinsoku/>
        <w:overflowPunct/>
        <w:topLinePunct w:val="0"/>
        <w:bidi w:val="0"/>
        <w:spacing w:line="360" w:lineRule="auto"/>
        <w:jc w:val="center"/>
        <w:outlineLvl w:val="9"/>
        <w:rPr>
          <w:rFonts w:hint="eastAsia" w:ascii="宋体" w:hAnsi="宋体" w:eastAsia="宋体" w:cs="宋体"/>
          <w:b/>
          <w:sz w:val="32"/>
          <w:szCs w:val="32"/>
        </w:rPr>
      </w:pPr>
      <w:r>
        <w:rPr>
          <w:rFonts w:hint="eastAsia" w:ascii="宋体" w:hAnsi="宋体" w:eastAsia="宋体" w:cs="宋体"/>
          <w:b/>
          <w:color w:val="auto"/>
          <w:sz w:val="100"/>
          <w:szCs w:val="100"/>
          <w:lang w:eastAsia="zh-CN"/>
        </w:rPr>
        <w:drawing>
          <wp:anchor distT="0" distB="0" distL="114300" distR="114300" simplePos="0" relativeHeight="251661312" behindDoc="1" locked="0" layoutInCell="1" allowOverlap="1">
            <wp:simplePos x="0" y="0"/>
            <wp:positionH relativeFrom="column">
              <wp:posOffset>1659890</wp:posOffset>
            </wp:positionH>
            <wp:positionV relativeFrom="paragraph">
              <wp:posOffset>372110</wp:posOffset>
            </wp:positionV>
            <wp:extent cx="2481580" cy="2160270"/>
            <wp:effectExtent l="0" t="0" r="13970" b="11430"/>
            <wp:wrapTight wrapText="bothSides">
              <wp:wrapPolygon>
                <wp:start x="0" y="0"/>
                <wp:lineTo x="0" y="21333"/>
                <wp:lineTo x="21390" y="21333"/>
                <wp:lineTo x="21390" y="0"/>
                <wp:lineTo x="0" y="0"/>
              </wp:wrapPolygon>
            </wp:wrapTight>
            <wp:docPr id="5" name="图片 5" descr="39c263f54c6750a6983a8422dc5da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9c263f54c6750a6983a8422dc5dae8"/>
                    <pic:cNvPicPr>
                      <a:picLocks noChangeAspect="1"/>
                    </pic:cNvPicPr>
                  </pic:nvPicPr>
                  <pic:blipFill>
                    <a:blip r:embed="rId12"/>
                    <a:stretch>
                      <a:fillRect/>
                    </a:stretch>
                  </pic:blipFill>
                  <pic:spPr>
                    <a:xfrm>
                      <a:off x="0" y="0"/>
                      <a:ext cx="2481580" cy="2160270"/>
                    </a:xfrm>
                    <a:prstGeom prst="rect">
                      <a:avLst/>
                    </a:prstGeom>
                  </pic:spPr>
                </pic:pic>
              </a:graphicData>
            </a:graphic>
          </wp:anchor>
        </w:drawing>
      </w:r>
    </w:p>
    <w:p>
      <w:pPr>
        <w:pageBreakBefore w:val="0"/>
        <w:kinsoku/>
        <w:overflowPunct/>
        <w:topLinePunct w:val="0"/>
        <w:bidi w:val="0"/>
        <w:spacing w:line="360" w:lineRule="auto"/>
        <w:jc w:val="center"/>
        <w:outlineLvl w:val="9"/>
        <w:rPr>
          <w:rFonts w:hint="eastAsia" w:ascii="宋体" w:hAnsi="宋体" w:eastAsia="宋体" w:cs="宋体"/>
          <w:b/>
          <w:sz w:val="32"/>
          <w:szCs w:val="32"/>
        </w:rPr>
      </w:pPr>
    </w:p>
    <w:p>
      <w:pPr>
        <w:pageBreakBefore w:val="0"/>
        <w:kinsoku/>
        <w:overflowPunct/>
        <w:topLinePunct w:val="0"/>
        <w:bidi w:val="0"/>
        <w:spacing w:line="360" w:lineRule="auto"/>
        <w:jc w:val="center"/>
        <w:outlineLvl w:val="9"/>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 xml:space="preserve"> </w:t>
      </w:r>
    </w:p>
    <w:p>
      <w:pPr>
        <w:pageBreakBefore w:val="0"/>
        <w:kinsoku/>
        <w:overflowPunct/>
        <w:topLinePunct w:val="0"/>
        <w:bidi w:val="0"/>
        <w:spacing w:line="360" w:lineRule="auto"/>
        <w:jc w:val="center"/>
        <w:outlineLvl w:val="9"/>
        <w:rPr>
          <w:rFonts w:hint="eastAsia" w:ascii="宋体" w:hAnsi="宋体" w:eastAsia="宋体" w:cs="宋体"/>
          <w:b/>
          <w:sz w:val="32"/>
          <w:szCs w:val="32"/>
        </w:rPr>
      </w:pPr>
    </w:p>
    <w:p>
      <w:pPr>
        <w:pageBreakBefore w:val="0"/>
        <w:kinsoku/>
        <w:overflowPunct/>
        <w:topLinePunct w:val="0"/>
        <w:bidi w:val="0"/>
        <w:spacing w:line="360" w:lineRule="auto"/>
        <w:jc w:val="center"/>
        <w:outlineLvl w:val="9"/>
        <w:rPr>
          <w:rFonts w:hint="eastAsia" w:ascii="宋体" w:hAnsi="宋体" w:eastAsia="宋体" w:cs="宋体"/>
          <w:b/>
          <w:sz w:val="32"/>
          <w:szCs w:val="32"/>
        </w:rPr>
      </w:pPr>
    </w:p>
    <w:p>
      <w:pPr>
        <w:pageBreakBefore w:val="0"/>
        <w:kinsoku/>
        <w:overflowPunct/>
        <w:topLinePunct w:val="0"/>
        <w:bidi w:val="0"/>
        <w:spacing w:line="360" w:lineRule="auto"/>
        <w:jc w:val="center"/>
        <w:outlineLvl w:val="9"/>
        <w:rPr>
          <w:rFonts w:hint="eastAsia" w:ascii="宋体" w:hAnsi="宋体" w:eastAsia="宋体" w:cs="宋体"/>
          <w:b/>
          <w:sz w:val="32"/>
          <w:szCs w:val="32"/>
        </w:rPr>
      </w:pPr>
    </w:p>
    <w:p>
      <w:pPr>
        <w:pageBreakBefore w:val="0"/>
        <w:kinsoku/>
        <w:overflowPunct/>
        <w:topLinePunct w:val="0"/>
        <w:bidi w:val="0"/>
        <w:spacing w:line="360" w:lineRule="auto"/>
        <w:ind w:firstLine="1405" w:firstLineChars="500"/>
        <w:jc w:val="left"/>
        <w:outlineLvl w:val="9"/>
        <w:rPr>
          <w:rFonts w:hint="eastAsia" w:ascii="宋体" w:hAnsi="宋体" w:eastAsia="宋体" w:cs="宋体"/>
          <w:b/>
          <w:sz w:val="28"/>
          <w:szCs w:val="28"/>
        </w:rPr>
      </w:pPr>
    </w:p>
    <w:p>
      <w:pPr>
        <w:pageBreakBefore w:val="0"/>
        <w:kinsoku/>
        <w:overflowPunct/>
        <w:topLinePunct w:val="0"/>
        <w:bidi w:val="0"/>
        <w:spacing w:line="360" w:lineRule="auto"/>
        <w:ind w:firstLine="1405" w:firstLineChars="500"/>
        <w:jc w:val="left"/>
        <w:outlineLvl w:val="9"/>
        <w:rPr>
          <w:rFonts w:hint="eastAsia" w:ascii="宋体" w:hAnsi="宋体" w:eastAsia="宋体" w:cs="宋体"/>
          <w:b/>
          <w:sz w:val="28"/>
          <w:szCs w:val="28"/>
        </w:rPr>
      </w:pPr>
    </w:p>
    <w:p>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outlineLvl w:val="9"/>
        <w:rPr>
          <w:rFonts w:hint="default" w:ascii="宋体" w:hAnsi="宋体" w:eastAsia="宋体" w:cs="宋体"/>
          <w:b/>
          <w:bCs/>
          <w:sz w:val="32"/>
          <w:szCs w:val="32"/>
          <w:shd w:val="clear" w:color="auto" w:fill="FFFFFF"/>
          <w:lang w:val="en-US" w:eastAsia="zh-CN"/>
        </w:rPr>
      </w:pPr>
      <w:r>
        <w:rPr>
          <w:rFonts w:hint="eastAsia" w:ascii="宋体" w:hAnsi="宋体" w:cs="宋体"/>
          <w:b/>
          <w:bCs/>
          <w:sz w:val="32"/>
          <w:szCs w:val="32"/>
          <w:shd w:val="clear" w:color="auto" w:fill="FFFFFF"/>
          <w:lang w:val="en-US" w:eastAsia="zh-CN"/>
        </w:rPr>
        <w:t xml:space="preserve">      采   购   人：</w:t>
      </w:r>
      <w:r>
        <w:rPr>
          <w:rFonts w:hint="eastAsia" w:ascii="宋体" w:hAnsi="宋体" w:cs="宋体"/>
          <w:b/>
          <w:color w:val="auto"/>
          <w:spacing w:val="4"/>
          <w:sz w:val="32"/>
          <w:szCs w:val="32"/>
          <w:lang w:eastAsia="zh-CN"/>
        </w:rPr>
        <w:t>周至县城市管理和综合执法局</w:t>
      </w:r>
    </w:p>
    <w:p>
      <w:pPr>
        <w:pageBreakBefore w:val="0"/>
        <w:kinsoku/>
        <w:overflowPunct/>
        <w:topLinePunct w:val="0"/>
        <w:bidi w:val="0"/>
        <w:spacing w:line="360" w:lineRule="auto"/>
        <w:jc w:val="center"/>
        <w:outlineLvl w:val="9"/>
        <w:rPr>
          <w:rFonts w:hint="eastAsia" w:ascii="宋体" w:hAnsi="宋体" w:eastAsia="宋体" w:cs="宋体"/>
          <w:b/>
          <w:sz w:val="32"/>
          <w:szCs w:val="32"/>
        </w:rPr>
      </w:pPr>
      <w:r>
        <w:rPr>
          <w:rFonts w:hint="eastAsia" w:ascii="宋体" w:hAnsi="宋体" w:cs="宋体"/>
          <w:b/>
          <w:bCs/>
          <w:sz w:val="32"/>
          <w:szCs w:val="32"/>
          <w:shd w:val="clear" w:color="auto" w:fill="FFFFFF"/>
          <w:lang w:eastAsia="zh-CN"/>
        </w:rPr>
        <w:t>招标代理公司：</w:t>
      </w:r>
      <w:r>
        <w:rPr>
          <w:rFonts w:hint="eastAsia" w:ascii="宋体" w:hAnsi="宋体" w:eastAsia="宋体" w:cs="宋体"/>
          <w:b/>
          <w:bCs/>
          <w:sz w:val="32"/>
          <w:szCs w:val="32"/>
          <w:shd w:val="clear" w:color="auto" w:fill="FFFFFF"/>
        </w:rPr>
        <w:t>天煜荣泽工程咨询有限公司</w:t>
      </w:r>
    </w:p>
    <w:p>
      <w:pPr>
        <w:spacing w:line="480" w:lineRule="auto"/>
        <w:jc w:val="center"/>
        <w:rPr>
          <w:rFonts w:hint="eastAsia" w:ascii="宋体" w:hAnsi="宋体" w:eastAsia="宋体" w:cs="宋体"/>
          <w:b/>
          <w:color w:val="auto"/>
          <w:spacing w:val="4"/>
          <w:sz w:val="32"/>
          <w:szCs w:val="32"/>
        </w:rPr>
      </w:pPr>
      <w:r>
        <w:rPr>
          <w:rFonts w:hint="eastAsia" w:ascii="宋体" w:hAnsi="宋体" w:eastAsia="宋体" w:cs="宋体"/>
          <w:b/>
          <w:color w:val="auto"/>
          <w:spacing w:val="4"/>
          <w:sz w:val="32"/>
          <w:szCs w:val="32"/>
        </w:rPr>
        <w:t>二〇二</w:t>
      </w:r>
      <w:r>
        <w:rPr>
          <w:rFonts w:hint="eastAsia" w:ascii="宋体" w:hAnsi="宋体" w:cs="宋体"/>
          <w:b/>
          <w:color w:val="auto"/>
          <w:spacing w:val="4"/>
          <w:sz w:val="32"/>
          <w:szCs w:val="32"/>
          <w:lang w:eastAsia="zh-CN"/>
        </w:rPr>
        <w:t>四</w:t>
      </w:r>
      <w:r>
        <w:rPr>
          <w:rFonts w:hint="eastAsia" w:ascii="宋体" w:hAnsi="宋体" w:eastAsia="宋体" w:cs="宋体"/>
          <w:b/>
          <w:color w:val="auto"/>
          <w:spacing w:val="4"/>
          <w:sz w:val="32"/>
          <w:szCs w:val="32"/>
        </w:rPr>
        <w:t>年</w:t>
      </w:r>
      <w:r>
        <w:rPr>
          <w:rFonts w:hint="eastAsia" w:ascii="宋体" w:hAnsi="宋体" w:cs="宋体"/>
          <w:b/>
          <w:color w:val="auto"/>
          <w:spacing w:val="4"/>
          <w:sz w:val="32"/>
          <w:szCs w:val="32"/>
          <w:lang w:eastAsia="zh-CN"/>
        </w:rPr>
        <w:t>一</w:t>
      </w:r>
      <w:r>
        <w:rPr>
          <w:rFonts w:hint="eastAsia" w:ascii="宋体" w:hAnsi="宋体" w:eastAsia="宋体" w:cs="宋体"/>
          <w:b/>
          <w:color w:val="auto"/>
          <w:spacing w:val="4"/>
          <w:sz w:val="32"/>
          <w:szCs w:val="32"/>
        </w:rPr>
        <w:t>月</w:t>
      </w:r>
    </w:p>
    <w:p>
      <w:pPr>
        <w:spacing w:line="480" w:lineRule="auto"/>
        <w:jc w:val="center"/>
        <w:rPr>
          <w:rFonts w:ascii="宋体" w:hAnsi="宋体"/>
          <w:sz w:val="28"/>
          <w:szCs w:val="32"/>
        </w:rPr>
        <w:sectPr>
          <w:headerReference r:id="rId4" w:type="first"/>
          <w:headerReference r:id="rId3" w:type="default"/>
          <w:footerReference r:id="rId5" w:type="default"/>
          <w:pgSz w:w="11906" w:h="16838"/>
          <w:pgMar w:top="1247" w:right="1247" w:bottom="1247" w:left="1247" w:header="851" w:footer="964" w:gutter="0"/>
          <w:pgNumType w:fmt="numberInDash" w:start="1"/>
          <w:cols w:space="720" w:num="1"/>
          <w:docGrid w:linePitch="312" w:charSpace="0"/>
        </w:sectPr>
      </w:pPr>
    </w:p>
    <w:sdt>
      <w:sdtPr>
        <w:rPr>
          <w:rFonts w:ascii="宋体" w:hAnsi="宋体"/>
          <w:sz w:val="28"/>
          <w:szCs w:val="32"/>
        </w:rPr>
        <w:id w:val="147461704"/>
        <w15:color w:val="DBDBDB"/>
        <w:docPartObj>
          <w:docPartGallery w:val="Table of Contents"/>
          <w:docPartUnique/>
        </w:docPartObj>
      </w:sdtPr>
      <w:sdtEndPr>
        <w:rPr>
          <w:rFonts w:ascii="宋体" w:hAnsi="宋体"/>
          <w:sz w:val="24"/>
          <w:szCs w:val="24"/>
        </w:rPr>
      </w:sdtEndPr>
      <w:sdtContent>
        <w:p>
          <w:pPr>
            <w:spacing w:line="480" w:lineRule="auto"/>
            <w:jc w:val="center"/>
            <w:rPr>
              <w:rFonts w:ascii="宋体" w:hAnsi="宋体"/>
              <w:sz w:val="28"/>
              <w:szCs w:val="32"/>
            </w:rPr>
          </w:pPr>
        </w:p>
        <w:p>
          <w:pPr>
            <w:spacing w:line="480" w:lineRule="auto"/>
            <w:jc w:val="center"/>
            <w:rPr>
              <w:rFonts w:ascii="宋体" w:hAnsi="宋体"/>
              <w:sz w:val="28"/>
              <w:szCs w:val="32"/>
            </w:rPr>
          </w:pPr>
        </w:p>
        <w:p>
          <w:pPr>
            <w:spacing w:line="480" w:lineRule="auto"/>
            <w:jc w:val="center"/>
            <w:rPr>
              <w:sz w:val="28"/>
              <w:szCs w:val="32"/>
            </w:rPr>
          </w:pPr>
          <w:r>
            <w:rPr>
              <w:rFonts w:ascii="宋体" w:hAnsi="宋体"/>
              <w:sz w:val="28"/>
              <w:szCs w:val="32"/>
            </w:rPr>
            <w:t>目录</w:t>
          </w:r>
        </w:p>
        <w:p>
          <w:pPr>
            <w:pStyle w:val="19"/>
            <w:tabs>
              <w:tab w:val="right" w:leader="dot" w:pos="9412"/>
            </w:tabs>
            <w:spacing w:line="360" w:lineRule="auto"/>
            <w:rPr>
              <w:rFonts w:hint="eastAsia" w:ascii="宋体" w:hAnsi="宋体" w:eastAsia="宋体" w:cs="宋体"/>
              <w:sz w:val="32"/>
              <w:szCs w:val="36"/>
            </w:rPr>
          </w:pPr>
          <w:r>
            <w:rPr>
              <w:sz w:val="44"/>
              <w:szCs w:val="48"/>
            </w:rPr>
            <w:fldChar w:fldCharType="begin"/>
          </w:r>
          <w:r>
            <w:rPr>
              <w:sz w:val="44"/>
              <w:szCs w:val="48"/>
            </w:rPr>
            <w:instrText xml:space="preserve">TOC \o "1-1" \h \u </w:instrText>
          </w:r>
          <w:r>
            <w:rPr>
              <w:sz w:val="44"/>
              <w:szCs w:val="48"/>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"_Toc2779" </w:instrText>
          </w:r>
          <w:r>
            <w:rPr>
              <w:rFonts w:hint="eastAsia" w:ascii="宋体" w:hAnsi="宋体" w:eastAsia="宋体" w:cs="宋体"/>
            </w:rPr>
            <w:fldChar w:fldCharType="separate"/>
          </w:r>
          <w:r>
            <w:rPr>
              <w:rFonts w:hint="eastAsia" w:ascii="宋体" w:hAnsi="宋体" w:eastAsia="宋体" w:cs="宋体"/>
              <w:bCs/>
              <w:sz w:val="32"/>
              <w:szCs w:val="44"/>
            </w:rPr>
            <w:t>第一章 招标公告</w:t>
          </w:r>
          <w:r>
            <w:rPr>
              <w:rFonts w:hint="eastAsia" w:ascii="宋体" w:hAnsi="宋体" w:eastAsia="宋体" w:cs="宋体"/>
              <w:sz w:val="32"/>
              <w:szCs w:val="36"/>
            </w:rPr>
            <w:tab/>
          </w:r>
          <w:r>
            <w:rPr>
              <w:rFonts w:hint="eastAsia" w:ascii="宋体" w:hAnsi="宋体" w:eastAsia="宋体" w:cs="宋体"/>
              <w:sz w:val="32"/>
              <w:szCs w:val="36"/>
            </w:rPr>
            <w:fldChar w:fldCharType="begin"/>
          </w:r>
          <w:r>
            <w:rPr>
              <w:rFonts w:hint="eastAsia" w:ascii="宋体" w:hAnsi="宋体" w:eastAsia="宋体" w:cs="宋体"/>
              <w:sz w:val="32"/>
              <w:szCs w:val="36"/>
            </w:rPr>
            <w:instrText xml:space="preserve"> PAGEREF _Toc2779 \h </w:instrText>
          </w:r>
          <w:r>
            <w:rPr>
              <w:rFonts w:hint="eastAsia" w:ascii="宋体" w:hAnsi="宋体" w:eastAsia="宋体" w:cs="宋体"/>
              <w:sz w:val="32"/>
              <w:szCs w:val="36"/>
            </w:rPr>
            <w:fldChar w:fldCharType="separate"/>
          </w:r>
          <w:r>
            <w:rPr>
              <w:rFonts w:hint="eastAsia" w:ascii="宋体" w:hAnsi="宋体" w:eastAsia="宋体" w:cs="宋体"/>
              <w:sz w:val="32"/>
              <w:szCs w:val="36"/>
            </w:rPr>
            <w:t>1</w:t>
          </w:r>
          <w:r>
            <w:rPr>
              <w:rFonts w:hint="eastAsia" w:ascii="宋体" w:hAnsi="宋体" w:eastAsia="宋体" w:cs="宋体"/>
              <w:sz w:val="32"/>
              <w:szCs w:val="36"/>
            </w:rPr>
            <w:fldChar w:fldCharType="end"/>
          </w:r>
          <w:r>
            <w:rPr>
              <w:rFonts w:hint="eastAsia" w:ascii="宋体" w:hAnsi="宋体" w:eastAsia="宋体" w:cs="宋体"/>
              <w:sz w:val="32"/>
              <w:szCs w:val="36"/>
            </w:rPr>
            <w:fldChar w:fldCharType="end"/>
          </w:r>
        </w:p>
        <w:p>
          <w:pPr>
            <w:pStyle w:val="19"/>
            <w:tabs>
              <w:tab w:val="right" w:leader="dot" w:pos="9412"/>
            </w:tabs>
            <w:spacing w:line="360" w:lineRule="auto"/>
            <w:rPr>
              <w:rFonts w:hint="eastAsia" w:ascii="宋体" w:hAnsi="宋体" w:eastAsia="宋体" w:cs="宋体"/>
              <w:sz w:val="32"/>
              <w:szCs w:val="36"/>
            </w:rPr>
          </w:pPr>
          <w:r>
            <w:rPr>
              <w:rFonts w:hint="eastAsia" w:ascii="宋体" w:hAnsi="宋体" w:eastAsia="宋体" w:cs="宋体"/>
            </w:rPr>
            <w:fldChar w:fldCharType="begin"/>
          </w:r>
          <w:r>
            <w:rPr>
              <w:rFonts w:hint="eastAsia" w:ascii="宋体" w:hAnsi="宋体" w:eastAsia="宋体" w:cs="宋体"/>
            </w:rPr>
            <w:instrText xml:space="preserve"> HYPERLINK \l "_Toc14249" </w:instrText>
          </w:r>
          <w:r>
            <w:rPr>
              <w:rFonts w:hint="eastAsia" w:ascii="宋体" w:hAnsi="宋体" w:eastAsia="宋体" w:cs="宋体"/>
            </w:rPr>
            <w:fldChar w:fldCharType="separate"/>
          </w:r>
          <w:r>
            <w:rPr>
              <w:rFonts w:hint="eastAsia" w:ascii="宋体" w:hAnsi="宋体" w:eastAsia="宋体" w:cs="宋体"/>
              <w:bCs/>
              <w:sz w:val="32"/>
              <w:szCs w:val="48"/>
            </w:rPr>
            <w:t>第二章 投标人须知</w:t>
          </w:r>
          <w:r>
            <w:rPr>
              <w:rFonts w:hint="eastAsia" w:ascii="宋体" w:hAnsi="宋体" w:eastAsia="宋体" w:cs="宋体"/>
              <w:sz w:val="32"/>
              <w:szCs w:val="36"/>
            </w:rPr>
            <w:tab/>
          </w:r>
          <w:r>
            <w:rPr>
              <w:rFonts w:hint="eastAsia" w:ascii="宋体" w:hAnsi="宋体" w:eastAsia="宋体" w:cs="宋体"/>
              <w:sz w:val="32"/>
              <w:szCs w:val="36"/>
            </w:rPr>
            <w:fldChar w:fldCharType="begin"/>
          </w:r>
          <w:r>
            <w:rPr>
              <w:rFonts w:hint="eastAsia" w:ascii="宋体" w:hAnsi="宋体" w:eastAsia="宋体" w:cs="宋体"/>
              <w:sz w:val="32"/>
              <w:szCs w:val="36"/>
            </w:rPr>
            <w:instrText xml:space="preserve"> PAGEREF _Toc14249 \h </w:instrText>
          </w:r>
          <w:r>
            <w:rPr>
              <w:rFonts w:hint="eastAsia" w:ascii="宋体" w:hAnsi="宋体" w:eastAsia="宋体" w:cs="宋体"/>
              <w:sz w:val="32"/>
              <w:szCs w:val="36"/>
            </w:rPr>
            <w:fldChar w:fldCharType="separate"/>
          </w:r>
          <w:r>
            <w:rPr>
              <w:rFonts w:hint="eastAsia" w:ascii="宋体" w:hAnsi="宋体" w:eastAsia="宋体" w:cs="宋体"/>
              <w:sz w:val="32"/>
              <w:szCs w:val="36"/>
            </w:rPr>
            <w:t>7</w:t>
          </w:r>
          <w:r>
            <w:rPr>
              <w:rFonts w:hint="eastAsia" w:ascii="宋体" w:hAnsi="宋体" w:eastAsia="宋体" w:cs="宋体"/>
              <w:sz w:val="32"/>
              <w:szCs w:val="36"/>
            </w:rPr>
            <w:fldChar w:fldCharType="end"/>
          </w:r>
          <w:r>
            <w:rPr>
              <w:rFonts w:hint="eastAsia" w:ascii="宋体" w:hAnsi="宋体" w:eastAsia="宋体" w:cs="宋体"/>
              <w:sz w:val="32"/>
              <w:szCs w:val="36"/>
            </w:rPr>
            <w:fldChar w:fldCharType="end"/>
          </w:r>
        </w:p>
        <w:p>
          <w:pPr>
            <w:pStyle w:val="19"/>
            <w:tabs>
              <w:tab w:val="right" w:leader="dot" w:pos="9412"/>
            </w:tabs>
            <w:spacing w:line="360" w:lineRule="auto"/>
            <w:rPr>
              <w:rFonts w:hint="eastAsia" w:ascii="宋体" w:hAnsi="宋体" w:eastAsia="宋体" w:cs="宋体"/>
              <w:sz w:val="32"/>
              <w:szCs w:val="36"/>
            </w:rPr>
          </w:pPr>
          <w:r>
            <w:rPr>
              <w:rFonts w:hint="eastAsia" w:ascii="宋体" w:hAnsi="宋体" w:eastAsia="宋体" w:cs="宋体"/>
            </w:rPr>
            <w:fldChar w:fldCharType="begin"/>
          </w:r>
          <w:r>
            <w:rPr>
              <w:rFonts w:hint="eastAsia" w:ascii="宋体" w:hAnsi="宋体" w:eastAsia="宋体" w:cs="宋体"/>
            </w:rPr>
            <w:instrText xml:space="preserve"> HYPERLINK \l "_Toc11955" </w:instrText>
          </w:r>
          <w:r>
            <w:rPr>
              <w:rFonts w:hint="eastAsia" w:ascii="宋体" w:hAnsi="宋体" w:eastAsia="宋体" w:cs="宋体"/>
            </w:rPr>
            <w:fldChar w:fldCharType="separate"/>
          </w:r>
          <w:r>
            <w:rPr>
              <w:rFonts w:hint="eastAsia" w:ascii="宋体" w:hAnsi="宋体" w:eastAsia="宋体" w:cs="宋体"/>
              <w:bCs/>
              <w:sz w:val="32"/>
              <w:szCs w:val="48"/>
            </w:rPr>
            <w:t>第三章 评标办法</w:t>
          </w:r>
          <w:r>
            <w:rPr>
              <w:rFonts w:hint="eastAsia" w:ascii="宋体" w:hAnsi="宋体" w:eastAsia="宋体" w:cs="宋体"/>
              <w:sz w:val="32"/>
              <w:szCs w:val="36"/>
            </w:rPr>
            <w:tab/>
          </w:r>
          <w:r>
            <w:rPr>
              <w:rFonts w:hint="eastAsia" w:ascii="宋体" w:hAnsi="宋体" w:eastAsia="宋体" w:cs="宋体"/>
              <w:sz w:val="32"/>
              <w:szCs w:val="36"/>
            </w:rPr>
            <w:fldChar w:fldCharType="begin"/>
          </w:r>
          <w:r>
            <w:rPr>
              <w:rFonts w:hint="eastAsia" w:ascii="宋体" w:hAnsi="宋体" w:eastAsia="宋体" w:cs="宋体"/>
              <w:sz w:val="32"/>
              <w:szCs w:val="36"/>
            </w:rPr>
            <w:instrText xml:space="preserve"> PAGEREF _Toc11955 \h </w:instrText>
          </w:r>
          <w:r>
            <w:rPr>
              <w:rFonts w:hint="eastAsia" w:ascii="宋体" w:hAnsi="宋体" w:eastAsia="宋体" w:cs="宋体"/>
              <w:sz w:val="32"/>
              <w:szCs w:val="36"/>
            </w:rPr>
            <w:fldChar w:fldCharType="separate"/>
          </w:r>
          <w:r>
            <w:rPr>
              <w:rFonts w:hint="eastAsia" w:ascii="宋体" w:hAnsi="宋体" w:eastAsia="宋体" w:cs="宋体"/>
              <w:sz w:val="32"/>
              <w:szCs w:val="36"/>
            </w:rPr>
            <w:t>23</w:t>
          </w:r>
          <w:r>
            <w:rPr>
              <w:rFonts w:hint="eastAsia" w:ascii="宋体" w:hAnsi="宋体" w:eastAsia="宋体" w:cs="宋体"/>
              <w:sz w:val="32"/>
              <w:szCs w:val="36"/>
            </w:rPr>
            <w:fldChar w:fldCharType="end"/>
          </w:r>
          <w:r>
            <w:rPr>
              <w:rFonts w:hint="eastAsia" w:ascii="宋体" w:hAnsi="宋体" w:eastAsia="宋体" w:cs="宋体"/>
              <w:sz w:val="32"/>
              <w:szCs w:val="36"/>
            </w:rPr>
            <w:fldChar w:fldCharType="end"/>
          </w:r>
        </w:p>
        <w:p>
          <w:pPr>
            <w:pStyle w:val="19"/>
            <w:tabs>
              <w:tab w:val="right" w:leader="dot" w:pos="9412"/>
            </w:tabs>
            <w:spacing w:line="360" w:lineRule="auto"/>
            <w:rPr>
              <w:rFonts w:hint="eastAsia" w:ascii="宋体" w:hAnsi="宋体" w:eastAsia="宋体" w:cs="宋体"/>
              <w:sz w:val="32"/>
              <w:szCs w:val="36"/>
            </w:rPr>
          </w:pPr>
          <w:r>
            <w:rPr>
              <w:rFonts w:hint="eastAsia" w:ascii="宋体" w:hAnsi="宋体" w:eastAsia="宋体" w:cs="宋体"/>
            </w:rPr>
            <w:fldChar w:fldCharType="begin"/>
          </w:r>
          <w:r>
            <w:rPr>
              <w:rFonts w:hint="eastAsia" w:ascii="宋体" w:hAnsi="宋体" w:eastAsia="宋体" w:cs="宋体"/>
            </w:rPr>
            <w:instrText xml:space="preserve"> HYPERLINK \l "_Toc1430" </w:instrText>
          </w:r>
          <w:r>
            <w:rPr>
              <w:rFonts w:hint="eastAsia" w:ascii="宋体" w:hAnsi="宋体" w:eastAsia="宋体" w:cs="宋体"/>
            </w:rPr>
            <w:fldChar w:fldCharType="separate"/>
          </w:r>
          <w:r>
            <w:rPr>
              <w:rFonts w:hint="eastAsia" w:ascii="宋体" w:hAnsi="宋体" w:eastAsia="宋体" w:cs="宋体"/>
              <w:sz w:val="32"/>
              <w:szCs w:val="52"/>
            </w:rPr>
            <w:t>第四章 合同主要条款</w:t>
          </w:r>
          <w:r>
            <w:rPr>
              <w:rFonts w:hint="eastAsia" w:ascii="宋体" w:hAnsi="宋体" w:eastAsia="宋体" w:cs="宋体"/>
              <w:sz w:val="32"/>
              <w:szCs w:val="36"/>
            </w:rPr>
            <w:tab/>
          </w:r>
          <w:r>
            <w:rPr>
              <w:rFonts w:hint="eastAsia" w:ascii="宋体" w:hAnsi="宋体" w:eastAsia="宋体" w:cs="宋体"/>
              <w:sz w:val="32"/>
              <w:szCs w:val="36"/>
            </w:rPr>
            <w:fldChar w:fldCharType="begin"/>
          </w:r>
          <w:r>
            <w:rPr>
              <w:rFonts w:hint="eastAsia" w:ascii="宋体" w:hAnsi="宋体" w:eastAsia="宋体" w:cs="宋体"/>
              <w:sz w:val="32"/>
              <w:szCs w:val="36"/>
            </w:rPr>
            <w:instrText xml:space="preserve"> PAGEREF _Toc1430 \h </w:instrText>
          </w:r>
          <w:r>
            <w:rPr>
              <w:rFonts w:hint="eastAsia" w:ascii="宋体" w:hAnsi="宋体" w:eastAsia="宋体" w:cs="宋体"/>
              <w:sz w:val="32"/>
              <w:szCs w:val="36"/>
            </w:rPr>
            <w:fldChar w:fldCharType="separate"/>
          </w:r>
          <w:r>
            <w:rPr>
              <w:rFonts w:hint="eastAsia" w:ascii="宋体" w:hAnsi="宋体" w:eastAsia="宋体" w:cs="宋体"/>
              <w:sz w:val="32"/>
              <w:szCs w:val="36"/>
            </w:rPr>
            <w:t>29</w:t>
          </w:r>
          <w:r>
            <w:rPr>
              <w:rFonts w:hint="eastAsia" w:ascii="宋体" w:hAnsi="宋体" w:eastAsia="宋体" w:cs="宋体"/>
              <w:sz w:val="32"/>
              <w:szCs w:val="36"/>
            </w:rPr>
            <w:fldChar w:fldCharType="end"/>
          </w:r>
          <w:r>
            <w:rPr>
              <w:rFonts w:hint="eastAsia" w:ascii="宋体" w:hAnsi="宋体" w:eastAsia="宋体" w:cs="宋体"/>
              <w:sz w:val="32"/>
              <w:szCs w:val="36"/>
            </w:rPr>
            <w:fldChar w:fldCharType="end"/>
          </w:r>
        </w:p>
        <w:p>
          <w:pPr>
            <w:pStyle w:val="19"/>
            <w:tabs>
              <w:tab w:val="right" w:leader="dot" w:pos="9412"/>
            </w:tabs>
            <w:spacing w:line="360" w:lineRule="auto"/>
            <w:rPr>
              <w:rFonts w:hint="eastAsia" w:ascii="宋体" w:hAnsi="宋体" w:eastAsia="宋体" w:cs="宋体"/>
              <w:sz w:val="32"/>
              <w:szCs w:val="36"/>
            </w:rPr>
          </w:pPr>
          <w:r>
            <w:rPr>
              <w:rFonts w:hint="eastAsia" w:ascii="宋体" w:hAnsi="宋体" w:eastAsia="宋体" w:cs="宋体"/>
            </w:rPr>
            <w:fldChar w:fldCharType="begin"/>
          </w:r>
          <w:r>
            <w:rPr>
              <w:rFonts w:hint="eastAsia" w:ascii="宋体" w:hAnsi="宋体" w:eastAsia="宋体" w:cs="宋体"/>
            </w:rPr>
            <w:instrText xml:space="preserve"> HYPERLINK \l "_Toc30575" </w:instrText>
          </w:r>
          <w:r>
            <w:rPr>
              <w:rFonts w:hint="eastAsia" w:ascii="宋体" w:hAnsi="宋体" w:eastAsia="宋体" w:cs="宋体"/>
            </w:rPr>
            <w:fldChar w:fldCharType="separate"/>
          </w:r>
          <w:r>
            <w:rPr>
              <w:rFonts w:hint="eastAsia" w:ascii="宋体" w:hAnsi="宋体" w:eastAsia="宋体" w:cs="宋体"/>
              <w:sz w:val="32"/>
              <w:szCs w:val="44"/>
            </w:rPr>
            <w:t xml:space="preserve">第五章 </w:t>
          </w:r>
          <w:r>
            <w:rPr>
              <w:rFonts w:hint="eastAsia" w:ascii="宋体" w:hAnsi="宋体" w:eastAsia="宋体" w:cs="宋体"/>
              <w:bCs/>
              <w:sz w:val="32"/>
              <w:szCs w:val="44"/>
            </w:rPr>
            <w:t>采购内容</w:t>
          </w:r>
          <w:r>
            <w:rPr>
              <w:rFonts w:hint="eastAsia" w:ascii="宋体" w:hAnsi="宋体" w:eastAsia="宋体" w:cs="宋体"/>
              <w:sz w:val="32"/>
              <w:szCs w:val="44"/>
            </w:rPr>
            <w:t>和要求</w:t>
          </w:r>
          <w:r>
            <w:rPr>
              <w:rFonts w:hint="eastAsia" w:ascii="宋体" w:hAnsi="宋体" w:eastAsia="宋体" w:cs="宋体"/>
              <w:sz w:val="32"/>
              <w:szCs w:val="36"/>
            </w:rPr>
            <w:tab/>
          </w:r>
          <w:r>
            <w:rPr>
              <w:rFonts w:hint="eastAsia" w:ascii="宋体" w:hAnsi="宋体" w:eastAsia="宋体" w:cs="宋体"/>
              <w:sz w:val="32"/>
              <w:szCs w:val="36"/>
            </w:rPr>
            <w:fldChar w:fldCharType="begin"/>
          </w:r>
          <w:r>
            <w:rPr>
              <w:rFonts w:hint="eastAsia" w:ascii="宋体" w:hAnsi="宋体" w:eastAsia="宋体" w:cs="宋体"/>
              <w:sz w:val="32"/>
              <w:szCs w:val="36"/>
            </w:rPr>
            <w:instrText xml:space="preserve"> PAGEREF _Toc30575 \h </w:instrText>
          </w:r>
          <w:r>
            <w:rPr>
              <w:rFonts w:hint="eastAsia" w:ascii="宋体" w:hAnsi="宋体" w:eastAsia="宋体" w:cs="宋体"/>
              <w:sz w:val="32"/>
              <w:szCs w:val="36"/>
            </w:rPr>
            <w:fldChar w:fldCharType="separate"/>
          </w:r>
          <w:r>
            <w:rPr>
              <w:rFonts w:hint="eastAsia" w:ascii="宋体" w:hAnsi="宋体" w:eastAsia="宋体" w:cs="宋体"/>
              <w:sz w:val="32"/>
              <w:szCs w:val="36"/>
            </w:rPr>
            <w:t>65</w:t>
          </w:r>
          <w:r>
            <w:rPr>
              <w:rFonts w:hint="eastAsia" w:ascii="宋体" w:hAnsi="宋体" w:eastAsia="宋体" w:cs="宋体"/>
              <w:sz w:val="32"/>
              <w:szCs w:val="36"/>
            </w:rPr>
            <w:fldChar w:fldCharType="end"/>
          </w:r>
          <w:r>
            <w:rPr>
              <w:rFonts w:hint="eastAsia" w:ascii="宋体" w:hAnsi="宋体" w:eastAsia="宋体" w:cs="宋体"/>
              <w:sz w:val="32"/>
              <w:szCs w:val="36"/>
            </w:rPr>
            <w:fldChar w:fldCharType="end"/>
          </w:r>
        </w:p>
        <w:p>
          <w:pPr>
            <w:pStyle w:val="19"/>
            <w:tabs>
              <w:tab w:val="right" w:leader="dot" w:pos="9412"/>
            </w:tabs>
            <w:spacing w:line="360" w:lineRule="auto"/>
            <w:rPr>
              <w:sz w:val="32"/>
              <w:szCs w:val="36"/>
            </w:rPr>
          </w:pPr>
          <w:r>
            <w:rPr>
              <w:rFonts w:hint="eastAsia" w:ascii="宋体" w:hAnsi="宋体" w:eastAsia="宋体" w:cs="宋体"/>
            </w:rPr>
            <w:fldChar w:fldCharType="begin"/>
          </w:r>
          <w:r>
            <w:rPr>
              <w:rFonts w:hint="eastAsia" w:ascii="宋体" w:hAnsi="宋体" w:eastAsia="宋体" w:cs="宋体"/>
            </w:rPr>
            <w:instrText xml:space="preserve"> HYPERLINK \l "_Toc6910" </w:instrText>
          </w:r>
          <w:r>
            <w:rPr>
              <w:rFonts w:hint="eastAsia" w:ascii="宋体" w:hAnsi="宋体" w:eastAsia="宋体" w:cs="宋体"/>
            </w:rPr>
            <w:fldChar w:fldCharType="separate"/>
          </w:r>
          <w:r>
            <w:rPr>
              <w:rFonts w:hint="eastAsia" w:ascii="宋体" w:hAnsi="宋体" w:eastAsia="宋体" w:cs="宋体"/>
              <w:sz w:val="32"/>
              <w:szCs w:val="52"/>
            </w:rPr>
            <w:t>第六章 投标文件格式</w:t>
          </w:r>
          <w:r>
            <w:rPr>
              <w:rFonts w:hint="eastAsia" w:ascii="宋体" w:hAnsi="宋体" w:eastAsia="宋体" w:cs="宋体"/>
              <w:sz w:val="32"/>
              <w:szCs w:val="36"/>
            </w:rPr>
            <w:tab/>
          </w:r>
          <w:r>
            <w:rPr>
              <w:rFonts w:hint="eastAsia" w:ascii="宋体" w:hAnsi="宋体" w:eastAsia="宋体" w:cs="宋体"/>
              <w:sz w:val="32"/>
              <w:szCs w:val="36"/>
            </w:rPr>
            <w:fldChar w:fldCharType="begin"/>
          </w:r>
          <w:r>
            <w:rPr>
              <w:rFonts w:hint="eastAsia" w:ascii="宋体" w:hAnsi="宋体" w:eastAsia="宋体" w:cs="宋体"/>
              <w:sz w:val="32"/>
              <w:szCs w:val="36"/>
            </w:rPr>
            <w:instrText xml:space="preserve"> PAGEREF _Toc6910 \h </w:instrText>
          </w:r>
          <w:r>
            <w:rPr>
              <w:rFonts w:hint="eastAsia" w:ascii="宋体" w:hAnsi="宋体" w:eastAsia="宋体" w:cs="宋体"/>
              <w:sz w:val="32"/>
              <w:szCs w:val="36"/>
            </w:rPr>
            <w:fldChar w:fldCharType="separate"/>
          </w:r>
          <w:r>
            <w:rPr>
              <w:rFonts w:hint="eastAsia" w:ascii="宋体" w:hAnsi="宋体" w:eastAsia="宋体" w:cs="宋体"/>
              <w:sz w:val="32"/>
              <w:szCs w:val="36"/>
            </w:rPr>
            <w:t>67</w:t>
          </w:r>
          <w:r>
            <w:rPr>
              <w:rFonts w:hint="eastAsia" w:ascii="宋体" w:hAnsi="宋体" w:eastAsia="宋体" w:cs="宋体"/>
              <w:sz w:val="32"/>
              <w:szCs w:val="36"/>
            </w:rPr>
            <w:fldChar w:fldCharType="end"/>
          </w:r>
          <w:r>
            <w:rPr>
              <w:rFonts w:hint="eastAsia" w:ascii="宋体" w:hAnsi="宋体" w:eastAsia="宋体" w:cs="宋体"/>
              <w:sz w:val="32"/>
              <w:szCs w:val="36"/>
            </w:rPr>
            <w:fldChar w:fldCharType="end"/>
          </w:r>
        </w:p>
        <w:p>
          <w:pPr>
            <w:spacing w:line="360" w:lineRule="auto"/>
            <w:rPr>
              <w:sz w:val="24"/>
              <w:szCs w:val="24"/>
            </w:rPr>
          </w:pPr>
          <w:r>
            <w:rPr>
              <w:sz w:val="32"/>
              <w:szCs w:val="40"/>
            </w:rPr>
            <w:fldChar w:fldCharType="end"/>
          </w:r>
        </w:p>
      </w:sdtContent>
    </w:sdt>
    <w:p>
      <w:pPr>
        <w:autoSpaceDE w:val="0"/>
        <w:autoSpaceDN w:val="0"/>
        <w:spacing w:line="480" w:lineRule="auto"/>
        <w:jc w:val="left"/>
        <w:rPr>
          <w:rFonts w:ascii="宋体" w:hAnsi="宋体" w:cs="宋体"/>
          <w:b/>
          <w:bCs/>
          <w:kern w:val="0"/>
          <w:sz w:val="44"/>
          <w:szCs w:val="44"/>
        </w:rPr>
      </w:pPr>
    </w:p>
    <w:p>
      <w:pPr>
        <w:pStyle w:val="24"/>
      </w:pPr>
    </w:p>
    <w:p>
      <w:pPr>
        <w:pStyle w:val="24"/>
      </w:pPr>
    </w:p>
    <w:p>
      <w:pPr>
        <w:pStyle w:val="24"/>
      </w:pPr>
    </w:p>
    <w:p>
      <w:pPr>
        <w:pStyle w:val="24"/>
      </w:pPr>
    </w:p>
    <w:p>
      <w:pPr>
        <w:pStyle w:val="24"/>
      </w:pPr>
    </w:p>
    <w:p>
      <w:pPr>
        <w:pStyle w:val="24"/>
      </w:pPr>
    </w:p>
    <w:p>
      <w:pPr>
        <w:pStyle w:val="24"/>
        <w:sectPr>
          <w:footerReference r:id="rId6" w:type="default"/>
          <w:pgSz w:w="11906" w:h="16838"/>
          <w:pgMar w:top="1247" w:right="1247" w:bottom="1247" w:left="1247" w:header="851" w:footer="964" w:gutter="0"/>
          <w:pgNumType w:fmt="decimal" w:start="1"/>
          <w:cols w:space="720" w:num="1"/>
          <w:docGrid w:linePitch="312" w:charSpace="0"/>
        </w:sectPr>
      </w:pPr>
    </w:p>
    <w:p>
      <w:pPr>
        <w:spacing w:line="360" w:lineRule="auto"/>
        <w:jc w:val="center"/>
        <w:outlineLvl w:val="0"/>
        <w:rPr>
          <w:b/>
          <w:bCs/>
          <w:sz w:val="30"/>
          <w:szCs w:val="30"/>
        </w:rPr>
      </w:pPr>
      <w:bookmarkStart w:id="0" w:name="_Toc2779"/>
      <w:bookmarkStart w:id="1" w:name="_Toc10850_WPSOffice_Level1"/>
      <w:bookmarkStart w:id="2" w:name="_Toc20538"/>
      <w:bookmarkStart w:id="3" w:name="_Toc9483"/>
      <w:bookmarkStart w:id="4" w:name="_Toc356228413"/>
      <w:bookmarkStart w:id="5" w:name="_Toc388426294"/>
      <w:bookmarkStart w:id="6" w:name="_Toc92598699"/>
      <w:bookmarkStart w:id="7" w:name="_Toc13828_WPSOffice_Level2"/>
      <w:bookmarkStart w:id="8" w:name="_Toc22537_WPSOffice_Level1"/>
      <w:bookmarkStart w:id="9" w:name="_Toc2409"/>
      <w:r>
        <w:rPr>
          <w:rFonts w:hint="eastAsia"/>
          <w:b/>
          <w:bCs/>
          <w:sz w:val="30"/>
          <w:szCs w:val="30"/>
        </w:rPr>
        <w:t>第一章 招标公告</w:t>
      </w:r>
      <w:bookmarkEnd w:id="0"/>
      <w:bookmarkEnd w:id="1"/>
    </w:p>
    <w:p>
      <w:pPr>
        <w:widowControl/>
        <w:shd w:val="clear" w:color="auto" w:fill="FFFFFF"/>
        <w:spacing w:after="240" w:line="480" w:lineRule="atLeast"/>
        <w:jc w:val="center"/>
        <w:textAlignment w:val="baseline"/>
        <w:rPr>
          <w:rFonts w:ascii="宋体" w:hAnsi="宋体" w:cs="宋体"/>
          <w:b/>
          <w:bCs/>
          <w:color w:val="333333"/>
          <w:sz w:val="24"/>
          <w:szCs w:val="24"/>
        </w:rPr>
      </w:pPr>
      <w:bookmarkStart w:id="10" w:name="_Toc23946"/>
      <w:r>
        <w:rPr>
          <w:rFonts w:hint="eastAsia" w:ascii="宋体" w:hAnsi="宋体" w:cs="宋体"/>
          <w:b/>
          <w:bCs/>
          <w:color w:val="333333"/>
          <w:sz w:val="24"/>
          <w:szCs w:val="24"/>
          <w:shd w:val="clear" w:color="auto" w:fill="FFFFFF"/>
          <w:lang w:eastAsia="zh-CN"/>
        </w:rPr>
        <w:t>2024年周至县道路清扫保洁、垃圾清运、绿化养护、公厕管理市场化运作项目</w:t>
      </w:r>
      <w:r>
        <w:rPr>
          <w:rFonts w:hint="eastAsia" w:ascii="宋体" w:hAnsi="宋体" w:cs="宋体"/>
          <w:b/>
          <w:bCs/>
          <w:color w:val="333333"/>
          <w:sz w:val="24"/>
          <w:szCs w:val="24"/>
          <w:shd w:val="clear" w:color="auto" w:fill="FFFFFF"/>
        </w:rPr>
        <w:t>招标公告</w:t>
      </w:r>
      <w:bookmarkEnd w:id="10"/>
    </w:p>
    <w:p>
      <w:pPr>
        <w:pStyle w:val="6"/>
        <w:keepNext w:val="0"/>
        <w:keepLines w:val="0"/>
        <w:widowControl/>
        <w:wordWrap w:val="0"/>
        <w:spacing w:before="0" w:after="0" w:line="360" w:lineRule="auto"/>
        <w:ind w:firstLine="482" w:firstLineChars="200"/>
        <w:jc w:val="left"/>
        <w:textAlignment w:val="baseline"/>
        <w:rPr>
          <w:rFonts w:ascii="宋体" w:hAnsi="宋体" w:cs="宋体"/>
          <w:szCs w:val="24"/>
        </w:rPr>
      </w:pP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招标项目的潜在投标人应在</w:t>
      </w:r>
      <w:r>
        <w:rPr>
          <w:rFonts w:hint="eastAsia" w:ascii="宋体" w:hAnsi="宋体" w:eastAsia="宋体" w:cs="宋体"/>
          <w:color w:val="333333"/>
          <w:szCs w:val="24"/>
          <w:shd w:val="clear" w:color="auto" w:fill="FFFFFF"/>
          <w:lang w:eastAsia="zh-CN"/>
        </w:rPr>
        <w:t>全国公共资源交易平台（陕西省•西安市）网站〖首页〉电子交易平台〉陕西政府采购交易系统〉企业端〗</w:t>
      </w:r>
      <w:r>
        <w:rPr>
          <w:rFonts w:hint="eastAsia" w:ascii="宋体" w:hAnsi="宋体" w:cs="宋体"/>
          <w:color w:val="333333"/>
          <w:szCs w:val="24"/>
          <w:shd w:val="clear" w:color="auto" w:fill="FFFFFF"/>
        </w:rPr>
        <w:t>获取招标文件，并于202</w:t>
      </w:r>
      <w:r>
        <w:rPr>
          <w:rFonts w:hint="eastAsia" w:ascii="宋体" w:hAnsi="宋体" w:cs="宋体"/>
          <w:color w:val="333333"/>
          <w:szCs w:val="24"/>
          <w:shd w:val="clear" w:color="auto" w:fill="FFFFFF"/>
          <w:lang w:val="en-US" w:eastAsia="zh-CN"/>
        </w:rPr>
        <w:t>4</w:t>
      </w:r>
      <w:r>
        <w:rPr>
          <w:rFonts w:hint="eastAsia" w:ascii="宋体" w:hAnsi="宋体" w:cs="宋体"/>
          <w:color w:val="333333"/>
          <w:szCs w:val="24"/>
          <w:shd w:val="clear" w:color="auto" w:fill="FFFFFF"/>
        </w:rPr>
        <w:t>年</w:t>
      </w:r>
      <w:r>
        <w:rPr>
          <w:rFonts w:hint="eastAsia" w:ascii="宋体" w:hAnsi="宋体" w:cs="宋体"/>
          <w:color w:val="333333"/>
          <w:szCs w:val="24"/>
          <w:shd w:val="clear" w:color="auto" w:fill="FFFFFF"/>
          <w:lang w:val="en-US" w:eastAsia="zh-CN"/>
        </w:rPr>
        <w:t>01月30日09</w:t>
      </w:r>
      <w:r>
        <w:rPr>
          <w:rFonts w:hint="eastAsia" w:ascii="宋体" w:hAnsi="宋体" w:cs="宋体"/>
          <w:color w:val="333333"/>
          <w:szCs w:val="24"/>
          <w:shd w:val="clear" w:color="auto" w:fill="FFFFFF"/>
        </w:rPr>
        <w:t>时</w:t>
      </w:r>
      <w:r>
        <w:rPr>
          <w:rFonts w:hint="eastAsia" w:ascii="宋体" w:hAnsi="宋体" w:cs="宋体"/>
          <w:color w:val="333333"/>
          <w:szCs w:val="24"/>
          <w:shd w:val="clear" w:color="auto" w:fill="FFFFFF"/>
          <w:lang w:val="en-US" w:eastAsia="zh-CN"/>
        </w:rPr>
        <w:t>30</w:t>
      </w:r>
      <w:r>
        <w:rPr>
          <w:rFonts w:hint="eastAsia" w:ascii="宋体" w:hAnsi="宋体" w:cs="宋体"/>
          <w:color w:val="333333"/>
          <w:szCs w:val="24"/>
          <w:shd w:val="clear" w:color="auto" w:fill="FFFFFF"/>
        </w:rPr>
        <w:t>分 （北京时间）前递交投标文件。</w:t>
      </w:r>
    </w:p>
    <w:p>
      <w:pPr>
        <w:pStyle w:val="5"/>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sz w:val="24"/>
          <w:szCs w:val="24"/>
        </w:rPr>
      </w:pPr>
      <w:r>
        <w:rPr>
          <w:rStyle w:val="28"/>
          <w:rFonts w:hint="eastAsia" w:ascii="宋体" w:hAnsi="宋体" w:eastAsia="宋体" w:cs="宋体"/>
          <w:b/>
          <w:bCs/>
          <w:color w:val="333333"/>
          <w:sz w:val="24"/>
          <w:szCs w:val="24"/>
          <w:shd w:val="clear" w:color="auto" w:fill="FFFFFF"/>
        </w:rPr>
        <w:t>一、项目基本情况</w:t>
      </w:r>
    </w:p>
    <w:p>
      <w:pPr>
        <w:pStyle w:val="21"/>
        <w:widowControl/>
        <w:wordWrap w:val="0"/>
        <w:spacing w:before="0" w:beforeAutospacing="0" w:after="0" w:afterAutospacing="0" w:line="360" w:lineRule="auto"/>
        <w:ind w:firstLine="480" w:firstLineChars="200"/>
        <w:jc w:val="both"/>
        <w:textAlignment w:val="baseline"/>
        <w:rPr>
          <w:rFonts w:hint="default" w:ascii="宋体" w:hAnsi="宋体" w:eastAsia="宋体" w:cs="宋体"/>
          <w:szCs w:val="24"/>
          <w:lang w:val="en-US" w:eastAsia="zh-CN"/>
        </w:rPr>
      </w:pPr>
      <w:r>
        <w:rPr>
          <w:rFonts w:hint="eastAsia" w:ascii="宋体" w:hAnsi="宋体" w:cs="宋体"/>
          <w:color w:val="333333"/>
          <w:szCs w:val="24"/>
          <w:shd w:val="clear" w:color="auto" w:fill="FFFFFF"/>
        </w:rPr>
        <w:t>项目编号：</w:t>
      </w:r>
      <w:r>
        <w:rPr>
          <w:rFonts w:hint="eastAsia" w:ascii="宋体" w:hAnsi="宋体" w:cs="宋体"/>
          <w:color w:val="333333"/>
          <w:szCs w:val="24"/>
          <w:shd w:val="clear" w:color="auto" w:fill="FFFFFF"/>
          <w:lang w:eastAsia="zh-CN"/>
        </w:rPr>
        <w:t>TYRZ-2024-ZZ059</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szCs w:val="24"/>
          <w:lang w:eastAsia="zh-CN"/>
        </w:rPr>
      </w:pPr>
      <w:r>
        <w:rPr>
          <w:rFonts w:hint="eastAsia" w:ascii="宋体" w:hAnsi="宋体" w:cs="宋体"/>
          <w:color w:val="333333"/>
          <w:szCs w:val="24"/>
          <w:shd w:val="clear" w:color="auto" w:fill="FFFFFF"/>
        </w:rPr>
        <w:t>项目名称：</w:t>
      </w:r>
      <w:r>
        <w:rPr>
          <w:rFonts w:hint="eastAsia" w:ascii="宋体" w:hAnsi="宋体" w:cs="宋体"/>
          <w:color w:val="333333"/>
          <w:szCs w:val="24"/>
          <w:shd w:val="clear" w:color="auto" w:fill="FFFFFF"/>
          <w:lang w:eastAsia="zh-CN"/>
        </w:rPr>
        <w:t>2024年周至县道路清扫保洁、垃圾清运、绿化养护、公厕管理市场化运作项目</w:t>
      </w:r>
    </w:p>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采购方式：公开招标</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333333"/>
          <w:szCs w:val="24"/>
          <w:shd w:val="clear" w:color="auto" w:fill="FFFFFF"/>
        </w:rPr>
        <w:t>预算金额：</w:t>
      </w:r>
      <w:r>
        <w:rPr>
          <w:rFonts w:hint="eastAsia" w:ascii="宋体" w:hAnsi="宋体" w:cs="宋体"/>
          <w:color w:val="auto"/>
          <w:szCs w:val="24"/>
          <w:shd w:val="clear" w:color="auto" w:fill="FFFFFF"/>
          <w:lang w:val="en-US" w:eastAsia="zh-CN"/>
        </w:rPr>
        <w:t>24394616.80</w:t>
      </w:r>
      <w:r>
        <w:rPr>
          <w:rFonts w:hint="eastAsia" w:ascii="宋体" w:hAnsi="宋体" w:cs="宋体"/>
          <w:color w:val="auto"/>
          <w:szCs w:val="24"/>
          <w:shd w:val="clear" w:color="auto" w:fill="FFFFFF"/>
        </w:rPr>
        <w:t>元</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采购需求：</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lang w:eastAsia="zh-CN"/>
        </w:rPr>
        <w:t>合同包1</w:t>
      </w:r>
      <w:r>
        <w:rPr>
          <w:rFonts w:hint="eastAsia" w:ascii="宋体" w:hAnsi="宋体" w:cs="宋体"/>
          <w:color w:val="auto"/>
          <w:szCs w:val="24"/>
          <w:shd w:val="clear" w:color="auto" w:fill="FFFFFF"/>
        </w:rPr>
        <w:t>(</w:t>
      </w:r>
      <w:r>
        <w:rPr>
          <w:rFonts w:hint="eastAsia" w:ascii="宋体" w:hAnsi="宋体" w:cs="宋体"/>
          <w:color w:val="auto"/>
          <w:szCs w:val="24"/>
          <w:shd w:val="clear" w:color="auto" w:fill="FFFFFF"/>
          <w:lang w:eastAsia="zh-CN"/>
        </w:rPr>
        <w:t>2024年周至县道路清扫保洁、垃圾清运、绿化养护、公厕管理市场化运作项目</w:t>
      </w:r>
      <w:r>
        <w:rPr>
          <w:rFonts w:hint="eastAsia" w:ascii="宋体" w:hAnsi="宋体" w:cs="宋体"/>
          <w:color w:val="auto"/>
          <w:szCs w:val="24"/>
          <w:shd w:val="clear" w:color="auto" w:fill="FFFFFF"/>
        </w:rPr>
        <w:t>):</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合同包预算金额：</w:t>
      </w:r>
      <w:r>
        <w:rPr>
          <w:rFonts w:hint="eastAsia" w:ascii="宋体" w:hAnsi="宋体" w:cs="宋体"/>
          <w:i w:val="0"/>
          <w:iCs w:val="0"/>
          <w:color w:val="auto"/>
          <w:kern w:val="0"/>
          <w:sz w:val="24"/>
          <w:szCs w:val="24"/>
          <w:u w:val="none"/>
          <w:lang w:val="en-US" w:eastAsia="zh-CN" w:bidi="ar"/>
        </w:rPr>
        <w:t xml:space="preserve">7941554.69 </w:t>
      </w:r>
      <w:r>
        <w:rPr>
          <w:rFonts w:hint="eastAsia" w:ascii="宋体" w:hAnsi="宋体" w:cs="宋体"/>
          <w:color w:val="auto"/>
          <w:szCs w:val="24"/>
          <w:shd w:val="clear" w:color="auto" w:fill="FFFFFF"/>
        </w:rPr>
        <w:t>元</w:t>
      </w:r>
    </w:p>
    <w:tbl>
      <w:tblPr>
        <w:tblStyle w:val="25"/>
        <w:tblW w:w="9840" w:type="dxa"/>
        <w:tblInd w:w="-237" w:type="dxa"/>
        <w:tblLayout w:type="fixed"/>
        <w:tblCellMar>
          <w:top w:w="0" w:type="dxa"/>
          <w:left w:w="0" w:type="dxa"/>
          <w:bottom w:w="0" w:type="dxa"/>
          <w:right w:w="0" w:type="dxa"/>
        </w:tblCellMar>
      </w:tblPr>
      <w:tblGrid>
        <w:gridCol w:w="855"/>
        <w:gridCol w:w="1579"/>
        <w:gridCol w:w="1783"/>
        <w:gridCol w:w="1046"/>
        <w:gridCol w:w="1496"/>
        <w:gridCol w:w="1500"/>
        <w:gridCol w:w="1581"/>
      </w:tblGrid>
      <w:tr>
        <w:tblPrEx>
          <w:tblCellMar>
            <w:top w:w="0" w:type="dxa"/>
            <w:left w:w="0" w:type="dxa"/>
            <w:bottom w:w="0" w:type="dxa"/>
            <w:right w:w="0" w:type="dxa"/>
          </w:tblCellMar>
        </w:tblPrEx>
        <w:trPr>
          <w:trHeight w:val="1386" w:hRule="atLeast"/>
          <w:tblHeader/>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品目号</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品目名称</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采购标的</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数量（单位）</w:t>
            </w:r>
          </w:p>
        </w:tc>
        <w:tc>
          <w:tcPr>
            <w:tcW w:w="14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技术规格、参数及要求</w:t>
            </w:r>
          </w:p>
        </w:tc>
        <w:tc>
          <w:tcPr>
            <w:tcW w:w="15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品目预算(元)</w:t>
            </w:r>
          </w:p>
        </w:tc>
        <w:tc>
          <w:tcPr>
            <w:tcW w:w="158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最高限价(元)</w:t>
            </w:r>
          </w:p>
        </w:tc>
      </w:tr>
      <w:tr>
        <w:tblPrEx>
          <w:tblCellMar>
            <w:top w:w="0" w:type="dxa"/>
            <w:left w:w="0" w:type="dxa"/>
            <w:bottom w:w="0" w:type="dxa"/>
            <w:right w:w="0" w:type="dxa"/>
          </w:tblCellMar>
        </w:tblPrEx>
        <w:trPr>
          <w:trHeight w:val="90" w:hRule="atLeast"/>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1-1</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城市市容管理服务</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清扫保洁、垃圾清运、公厕管护</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1(项)</w:t>
            </w:r>
          </w:p>
        </w:tc>
        <w:tc>
          <w:tcPr>
            <w:tcW w:w="14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eastAsia="zh-CN" w:bidi="ar"/>
              </w:rPr>
              <w:t>详见采购文件</w:t>
            </w:r>
          </w:p>
        </w:tc>
        <w:tc>
          <w:tcPr>
            <w:tcW w:w="15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jc w:val="center"/>
              <w:textAlignment w:val="center"/>
              <w:rPr>
                <w:rFonts w:hint="default" w:ascii="宋体" w:hAnsi="宋体" w:cs="宋体"/>
                <w:color w:val="auto"/>
                <w:kern w:val="0"/>
                <w:sz w:val="24"/>
                <w:szCs w:val="24"/>
                <w:lang w:val="en-US" w:eastAsia="zh-CN" w:bidi="ar"/>
              </w:rPr>
            </w:pPr>
            <w:r>
              <w:rPr>
                <w:rFonts w:hint="eastAsia" w:ascii="宋体" w:hAnsi="宋体" w:cs="宋体"/>
                <w:i w:val="0"/>
                <w:iCs w:val="0"/>
                <w:color w:val="auto"/>
                <w:kern w:val="0"/>
                <w:sz w:val="24"/>
                <w:szCs w:val="24"/>
                <w:u w:val="none"/>
                <w:lang w:val="en-US" w:eastAsia="zh-CN" w:bidi="ar"/>
              </w:rPr>
              <w:t xml:space="preserve">7941554.69  </w:t>
            </w:r>
          </w:p>
        </w:tc>
        <w:tc>
          <w:tcPr>
            <w:tcW w:w="158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overflowPunct/>
              <w:topLinePunct w:val="0"/>
              <w:autoSpaceDE/>
              <w:autoSpaceDN/>
              <w:bidi w:val="0"/>
              <w:adjustRightInd/>
              <w:snapToGrid/>
              <w:spacing w:line="320" w:lineRule="exact"/>
              <w:jc w:val="right"/>
              <w:textAlignment w:val="center"/>
              <w:rPr>
                <w:rFonts w:ascii="宋体" w:hAnsi="宋体" w:cs="宋体"/>
                <w:color w:val="auto"/>
                <w:sz w:val="24"/>
                <w:szCs w:val="24"/>
              </w:rPr>
            </w:pPr>
            <w:r>
              <w:rPr>
                <w:rFonts w:hint="eastAsia" w:ascii="宋体" w:hAnsi="宋体" w:cs="宋体"/>
                <w:i w:val="0"/>
                <w:iCs w:val="0"/>
                <w:color w:val="auto"/>
                <w:kern w:val="0"/>
                <w:sz w:val="24"/>
                <w:szCs w:val="24"/>
                <w:u w:val="none"/>
                <w:lang w:val="en-US" w:eastAsia="zh-CN" w:bidi="ar"/>
              </w:rPr>
              <w:t>7941545.47</w:t>
            </w:r>
          </w:p>
        </w:tc>
      </w:tr>
    </w:tbl>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本合同包不接受联合体投标</w:t>
      </w:r>
    </w:p>
    <w:p>
      <w:pPr>
        <w:ind w:firstLine="480" w:firstLineChars="200"/>
        <w:rPr>
          <w:rFonts w:hint="eastAsia"/>
        </w:rPr>
      </w:pPr>
      <w:r>
        <w:rPr>
          <w:rFonts w:hint="eastAsia" w:ascii="宋体" w:hAnsi="宋体" w:eastAsia="宋体" w:cs="宋体"/>
          <w:color w:val="333333"/>
          <w:kern w:val="0"/>
          <w:sz w:val="24"/>
          <w:szCs w:val="24"/>
          <w:shd w:val="clear" w:color="auto" w:fill="FFFFFF"/>
          <w:lang w:val="en-US" w:eastAsia="zh-CN" w:bidi="ar-SA"/>
        </w:rPr>
        <w:t>合同履行期限：</w:t>
      </w:r>
      <w:r>
        <w:rPr>
          <w:rFonts w:hint="eastAsia" w:ascii="宋体" w:hAnsi="宋体" w:cs="宋体"/>
          <w:color w:val="333333"/>
          <w:kern w:val="0"/>
          <w:sz w:val="24"/>
          <w:szCs w:val="24"/>
          <w:shd w:val="clear" w:color="auto" w:fill="FFFFFF"/>
          <w:lang w:val="en-US" w:eastAsia="zh-CN" w:bidi="ar-SA"/>
        </w:rPr>
        <w:t>1年</w:t>
      </w:r>
      <w:r>
        <w:rPr>
          <w:rFonts w:hint="eastAsia" w:ascii="宋体" w:hAnsi="宋体" w:eastAsia="宋体" w:cs="宋体"/>
          <w:color w:val="333333"/>
          <w:kern w:val="0"/>
          <w:sz w:val="24"/>
          <w:szCs w:val="24"/>
          <w:shd w:val="clear" w:color="auto" w:fill="FFFFFF"/>
          <w:lang w:val="en-US" w:eastAsia="zh-CN" w:bidi="ar-SA"/>
        </w:rPr>
        <w:t>。</w:t>
      </w:r>
      <w:r>
        <w:rPr>
          <w:rFonts w:hint="eastAsia" w:ascii="仿宋_GB2312" w:eastAsia="仿宋_GB2312"/>
          <w:sz w:val="30"/>
          <w:szCs w:val="32"/>
        </w:rPr>
        <w:t xml:space="preserve"> </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w:t>
      </w:r>
      <w:r>
        <w:rPr>
          <w:rFonts w:hint="eastAsia" w:ascii="宋体" w:hAnsi="宋体" w:cs="宋体"/>
          <w:color w:val="auto"/>
          <w:szCs w:val="24"/>
          <w:shd w:val="clear" w:color="auto" w:fill="FFFFFF"/>
          <w:lang w:val="en-US" w:eastAsia="zh-CN"/>
        </w:rPr>
        <w:t>2</w:t>
      </w:r>
      <w:r>
        <w:rPr>
          <w:rFonts w:hint="eastAsia" w:ascii="宋体" w:hAnsi="宋体" w:cs="宋体"/>
          <w:color w:val="auto"/>
          <w:szCs w:val="24"/>
          <w:shd w:val="clear" w:color="auto" w:fill="FFFFFF"/>
        </w:rPr>
        <w:t>(</w:t>
      </w:r>
      <w:r>
        <w:rPr>
          <w:rFonts w:hint="eastAsia" w:ascii="宋体" w:hAnsi="宋体" w:cs="宋体"/>
          <w:color w:val="auto"/>
          <w:szCs w:val="24"/>
          <w:shd w:val="clear" w:color="auto" w:fill="FFFFFF"/>
          <w:lang w:eastAsia="zh-CN"/>
        </w:rPr>
        <w:t>2024年周至县道路清扫保洁、垃圾清运、绿化养护、公厕管理市场化运作项目</w:t>
      </w:r>
      <w:r>
        <w:rPr>
          <w:rFonts w:hint="eastAsia" w:ascii="宋体" w:hAnsi="宋体" w:cs="宋体"/>
          <w:color w:val="auto"/>
          <w:szCs w:val="24"/>
          <w:shd w:val="clear" w:color="auto" w:fill="FFFFFF"/>
        </w:rPr>
        <w:t>):</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合同包预算金额：</w:t>
      </w:r>
      <w:r>
        <w:rPr>
          <w:rFonts w:hint="eastAsia" w:ascii="宋体" w:hAnsi="宋体" w:cs="宋体"/>
          <w:i w:val="0"/>
          <w:iCs w:val="0"/>
          <w:color w:val="auto"/>
          <w:kern w:val="0"/>
          <w:sz w:val="24"/>
          <w:szCs w:val="24"/>
          <w:u w:val="none"/>
          <w:lang w:val="en-US" w:eastAsia="zh-CN" w:bidi="ar"/>
        </w:rPr>
        <w:t>4801792.92</w:t>
      </w:r>
      <w:r>
        <w:rPr>
          <w:rFonts w:hint="eastAsia" w:ascii="宋体" w:hAnsi="宋体" w:cs="宋体"/>
          <w:color w:val="auto"/>
          <w:szCs w:val="24"/>
          <w:shd w:val="clear" w:color="auto" w:fill="FFFFFF"/>
        </w:rPr>
        <w:t>元</w:t>
      </w:r>
    </w:p>
    <w:tbl>
      <w:tblPr>
        <w:tblStyle w:val="25"/>
        <w:tblW w:w="9840" w:type="dxa"/>
        <w:tblInd w:w="-237" w:type="dxa"/>
        <w:tblLayout w:type="fixed"/>
        <w:tblCellMar>
          <w:top w:w="0" w:type="dxa"/>
          <w:left w:w="0" w:type="dxa"/>
          <w:bottom w:w="0" w:type="dxa"/>
          <w:right w:w="0" w:type="dxa"/>
        </w:tblCellMar>
      </w:tblPr>
      <w:tblGrid>
        <w:gridCol w:w="855"/>
        <w:gridCol w:w="1579"/>
        <w:gridCol w:w="1783"/>
        <w:gridCol w:w="1046"/>
        <w:gridCol w:w="1511"/>
        <w:gridCol w:w="1470"/>
        <w:gridCol w:w="1596"/>
      </w:tblGrid>
      <w:tr>
        <w:tblPrEx>
          <w:tblCellMar>
            <w:top w:w="0" w:type="dxa"/>
            <w:left w:w="0" w:type="dxa"/>
            <w:bottom w:w="0" w:type="dxa"/>
            <w:right w:w="0" w:type="dxa"/>
          </w:tblCellMar>
        </w:tblPrEx>
        <w:trPr>
          <w:trHeight w:val="1386" w:hRule="atLeast"/>
          <w:tblHeader/>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品目号</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品目名称</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采购标的</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数量（单位）</w:t>
            </w:r>
          </w:p>
        </w:tc>
        <w:tc>
          <w:tcPr>
            <w:tcW w:w="1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技术规格、参数及要求</w:t>
            </w:r>
          </w:p>
        </w:tc>
        <w:tc>
          <w:tcPr>
            <w:tcW w:w="147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品目预算(元)</w:t>
            </w:r>
          </w:p>
        </w:tc>
        <w:tc>
          <w:tcPr>
            <w:tcW w:w="15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最高限价(元)</w:t>
            </w:r>
          </w:p>
        </w:tc>
      </w:tr>
      <w:tr>
        <w:tblPrEx>
          <w:tblCellMar>
            <w:top w:w="0" w:type="dxa"/>
            <w:left w:w="0" w:type="dxa"/>
            <w:bottom w:w="0" w:type="dxa"/>
            <w:right w:w="0" w:type="dxa"/>
          </w:tblCellMar>
        </w:tblPrEx>
        <w:trPr>
          <w:trHeight w:val="624" w:hRule="atLeast"/>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4"/>
                <w:szCs w:val="24"/>
                <w:lang w:eastAsia="zh-CN" w:bidi="ar"/>
              </w:rPr>
            </w:pPr>
            <w:r>
              <w:rPr>
                <w:rFonts w:hint="eastAsia" w:ascii="宋体" w:hAnsi="宋体" w:cs="宋体"/>
                <w:color w:val="auto"/>
                <w:kern w:val="0"/>
                <w:sz w:val="24"/>
                <w:szCs w:val="24"/>
                <w:lang w:bidi="ar"/>
              </w:rPr>
              <w:t>1-</w:t>
            </w:r>
            <w:r>
              <w:rPr>
                <w:rFonts w:hint="eastAsia" w:ascii="宋体" w:hAnsi="宋体" w:cs="宋体"/>
                <w:color w:val="auto"/>
                <w:kern w:val="0"/>
                <w:sz w:val="24"/>
                <w:szCs w:val="24"/>
                <w:lang w:val="en-US" w:eastAsia="zh-CN" w:bidi="ar"/>
              </w:rPr>
              <w:t>2</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城市市容管理服务</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清扫保洁、公厕管护</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1(项)</w:t>
            </w:r>
          </w:p>
        </w:tc>
        <w:tc>
          <w:tcPr>
            <w:tcW w:w="1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详见采购文件</w:t>
            </w:r>
          </w:p>
        </w:tc>
        <w:tc>
          <w:tcPr>
            <w:tcW w:w="147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jc w:val="center"/>
              <w:textAlignment w:val="center"/>
              <w:rPr>
                <w:rFonts w:hint="eastAsia" w:ascii="宋体" w:hAnsi="宋体" w:cs="宋体"/>
                <w:color w:val="auto"/>
                <w:kern w:val="0"/>
                <w:sz w:val="24"/>
                <w:szCs w:val="24"/>
                <w:lang w:val="en-US" w:eastAsia="zh-CN" w:bidi="ar"/>
              </w:rPr>
            </w:pPr>
            <w:r>
              <w:rPr>
                <w:rFonts w:hint="eastAsia" w:ascii="宋体" w:hAnsi="宋体" w:cs="宋体"/>
                <w:i w:val="0"/>
                <w:iCs w:val="0"/>
                <w:color w:val="auto"/>
                <w:kern w:val="0"/>
                <w:sz w:val="24"/>
                <w:szCs w:val="24"/>
                <w:u w:val="none"/>
                <w:lang w:val="en-US" w:eastAsia="zh-CN" w:bidi="ar"/>
              </w:rPr>
              <w:t>4801792.92</w:t>
            </w:r>
          </w:p>
        </w:tc>
        <w:tc>
          <w:tcPr>
            <w:tcW w:w="15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overflowPunct/>
              <w:topLinePunct w:val="0"/>
              <w:autoSpaceDE/>
              <w:autoSpaceDN/>
              <w:bidi w:val="0"/>
              <w:adjustRightInd/>
              <w:snapToGrid/>
              <w:spacing w:line="320" w:lineRule="exact"/>
              <w:jc w:val="right"/>
              <w:textAlignment w:val="center"/>
              <w:rPr>
                <w:rFonts w:hint="eastAsia" w:ascii="宋体" w:hAnsi="宋体" w:cs="宋体"/>
                <w:color w:val="auto"/>
                <w:kern w:val="0"/>
                <w:sz w:val="24"/>
                <w:szCs w:val="24"/>
                <w:lang w:bidi="ar"/>
              </w:rPr>
            </w:pPr>
            <w:r>
              <w:rPr>
                <w:rFonts w:hint="eastAsia" w:ascii="宋体" w:hAnsi="宋体" w:cs="宋体"/>
                <w:i w:val="0"/>
                <w:iCs w:val="0"/>
                <w:color w:val="auto"/>
                <w:kern w:val="0"/>
                <w:sz w:val="24"/>
                <w:szCs w:val="24"/>
                <w:u w:val="none"/>
                <w:lang w:val="en-US" w:eastAsia="zh-CN" w:bidi="ar"/>
              </w:rPr>
              <w:t>4801792.92</w:t>
            </w:r>
          </w:p>
        </w:tc>
      </w:tr>
    </w:tbl>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本合同包不接受联合体投标</w:t>
      </w:r>
    </w:p>
    <w:p>
      <w:pPr>
        <w:ind w:firstLine="480" w:firstLineChars="200"/>
        <w:rPr>
          <w:rFonts w:hint="eastAsia"/>
        </w:rPr>
      </w:pPr>
      <w:r>
        <w:rPr>
          <w:rFonts w:hint="eastAsia" w:ascii="宋体" w:hAnsi="宋体" w:eastAsia="宋体" w:cs="宋体"/>
          <w:color w:val="333333"/>
          <w:kern w:val="0"/>
          <w:sz w:val="24"/>
          <w:szCs w:val="24"/>
          <w:shd w:val="clear" w:color="auto" w:fill="FFFFFF"/>
          <w:lang w:val="en-US" w:eastAsia="zh-CN" w:bidi="ar-SA"/>
        </w:rPr>
        <w:t>合同履行期限：</w:t>
      </w:r>
      <w:r>
        <w:rPr>
          <w:rFonts w:hint="eastAsia" w:ascii="宋体" w:hAnsi="宋体" w:cs="宋体"/>
          <w:color w:val="333333"/>
          <w:kern w:val="0"/>
          <w:sz w:val="24"/>
          <w:szCs w:val="24"/>
          <w:shd w:val="clear" w:color="auto" w:fill="FFFFFF"/>
          <w:lang w:val="en-US" w:eastAsia="zh-CN" w:bidi="ar-SA"/>
        </w:rPr>
        <w:t>1年</w:t>
      </w:r>
      <w:r>
        <w:rPr>
          <w:rFonts w:hint="eastAsia" w:ascii="宋体" w:hAnsi="宋体" w:eastAsia="宋体" w:cs="宋体"/>
          <w:color w:val="333333"/>
          <w:kern w:val="0"/>
          <w:sz w:val="24"/>
          <w:szCs w:val="24"/>
          <w:shd w:val="clear" w:color="auto" w:fill="FFFFFF"/>
          <w:lang w:val="en-US" w:eastAsia="zh-CN" w:bidi="ar-SA"/>
        </w:rPr>
        <w:t>。</w:t>
      </w:r>
      <w:r>
        <w:rPr>
          <w:rFonts w:hint="eastAsia" w:ascii="仿宋_GB2312" w:eastAsia="仿宋_GB2312"/>
          <w:sz w:val="30"/>
          <w:szCs w:val="32"/>
        </w:rPr>
        <w:t xml:space="preserve"> </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w:t>
      </w:r>
      <w:r>
        <w:rPr>
          <w:rFonts w:hint="eastAsia" w:ascii="宋体" w:hAnsi="宋体" w:cs="宋体"/>
          <w:color w:val="auto"/>
          <w:szCs w:val="24"/>
          <w:shd w:val="clear" w:color="auto" w:fill="FFFFFF"/>
          <w:lang w:val="en-US" w:eastAsia="zh-CN"/>
        </w:rPr>
        <w:t>3</w:t>
      </w:r>
      <w:r>
        <w:rPr>
          <w:rFonts w:hint="eastAsia" w:ascii="宋体" w:hAnsi="宋体" w:cs="宋体"/>
          <w:color w:val="auto"/>
          <w:szCs w:val="24"/>
          <w:shd w:val="clear" w:color="auto" w:fill="FFFFFF"/>
        </w:rPr>
        <w:t>(</w:t>
      </w:r>
      <w:r>
        <w:rPr>
          <w:rFonts w:hint="eastAsia" w:ascii="宋体" w:hAnsi="宋体" w:cs="宋体"/>
          <w:color w:val="auto"/>
          <w:szCs w:val="24"/>
          <w:shd w:val="clear" w:color="auto" w:fill="FFFFFF"/>
          <w:lang w:eastAsia="zh-CN"/>
        </w:rPr>
        <w:t>2024年周至县道路清扫保洁、垃圾清运、绿化养护、公厕管理市场化运作项目</w:t>
      </w:r>
      <w:r>
        <w:rPr>
          <w:rFonts w:hint="eastAsia" w:ascii="宋体" w:hAnsi="宋体" w:cs="宋体"/>
          <w:color w:val="auto"/>
          <w:szCs w:val="24"/>
          <w:shd w:val="clear" w:color="auto" w:fill="FFFFFF"/>
        </w:rPr>
        <w:t>):</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合同包预算金额：</w:t>
      </w:r>
      <w:r>
        <w:rPr>
          <w:rFonts w:hint="eastAsia" w:ascii="宋体" w:hAnsi="宋体" w:cs="宋体"/>
          <w:i w:val="0"/>
          <w:iCs w:val="0"/>
          <w:color w:val="auto"/>
          <w:kern w:val="0"/>
          <w:sz w:val="24"/>
          <w:szCs w:val="24"/>
          <w:u w:val="none"/>
          <w:lang w:val="en-US" w:eastAsia="zh-CN" w:bidi="ar"/>
        </w:rPr>
        <w:t>4527237.65</w:t>
      </w:r>
      <w:r>
        <w:rPr>
          <w:rFonts w:hint="eastAsia" w:ascii="宋体" w:hAnsi="宋体" w:cs="宋体"/>
          <w:color w:val="auto"/>
          <w:szCs w:val="24"/>
          <w:shd w:val="clear" w:color="auto" w:fill="FFFFFF"/>
        </w:rPr>
        <w:t>元</w:t>
      </w:r>
    </w:p>
    <w:tbl>
      <w:tblPr>
        <w:tblStyle w:val="25"/>
        <w:tblW w:w="9840" w:type="dxa"/>
        <w:tblInd w:w="-237" w:type="dxa"/>
        <w:tblLayout w:type="fixed"/>
        <w:tblCellMar>
          <w:top w:w="0" w:type="dxa"/>
          <w:left w:w="0" w:type="dxa"/>
          <w:bottom w:w="0" w:type="dxa"/>
          <w:right w:w="0" w:type="dxa"/>
        </w:tblCellMar>
      </w:tblPr>
      <w:tblGrid>
        <w:gridCol w:w="855"/>
        <w:gridCol w:w="1579"/>
        <w:gridCol w:w="1783"/>
        <w:gridCol w:w="1046"/>
        <w:gridCol w:w="1511"/>
        <w:gridCol w:w="1470"/>
        <w:gridCol w:w="1596"/>
      </w:tblGrid>
      <w:tr>
        <w:tblPrEx>
          <w:tblCellMar>
            <w:top w:w="0" w:type="dxa"/>
            <w:left w:w="0" w:type="dxa"/>
            <w:bottom w:w="0" w:type="dxa"/>
            <w:right w:w="0" w:type="dxa"/>
          </w:tblCellMar>
        </w:tblPrEx>
        <w:trPr>
          <w:trHeight w:val="1386" w:hRule="atLeast"/>
          <w:tblHeader/>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品目号</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品目名称</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采购标的</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数量（单位）</w:t>
            </w:r>
          </w:p>
        </w:tc>
        <w:tc>
          <w:tcPr>
            <w:tcW w:w="1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技术规格、参数及要求</w:t>
            </w:r>
          </w:p>
        </w:tc>
        <w:tc>
          <w:tcPr>
            <w:tcW w:w="147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品目预算(元)</w:t>
            </w:r>
          </w:p>
        </w:tc>
        <w:tc>
          <w:tcPr>
            <w:tcW w:w="15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最高限价(元)</w:t>
            </w:r>
          </w:p>
        </w:tc>
      </w:tr>
      <w:tr>
        <w:tblPrEx>
          <w:tblCellMar>
            <w:top w:w="0" w:type="dxa"/>
            <w:left w:w="0" w:type="dxa"/>
            <w:bottom w:w="0" w:type="dxa"/>
            <w:right w:w="0" w:type="dxa"/>
          </w:tblCellMar>
        </w:tblPrEx>
        <w:trPr>
          <w:trHeight w:val="909" w:hRule="atLeast"/>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4"/>
                <w:szCs w:val="24"/>
                <w:lang w:eastAsia="zh-CN" w:bidi="ar"/>
              </w:rPr>
            </w:pPr>
            <w:r>
              <w:rPr>
                <w:rFonts w:hint="eastAsia" w:ascii="宋体" w:hAnsi="宋体" w:cs="宋体"/>
                <w:color w:val="auto"/>
                <w:kern w:val="0"/>
                <w:sz w:val="24"/>
                <w:szCs w:val="24"/>
                <w:lang w:bidi="ar"/>
              </w:rPr>
              <w:t>1-</w:t>
            </w:r>
            <w:r>
              <w:rPr>
                <w:rFonts w:hint="eastAsia" w:ascii="宋体" w:hAnsi="宋体" w:cs="宋体"/>
                <w:color w:val="auto"/>
                <w:kern w:val="0"/>
                <w:sz w:val="24"/>
                <w:szCs w:val="24"/>
                <w:lang w:val="en-US" w:eastAsia="zh-CN" w:bidi="ar"/>
              </w:rPr>
              <w:t>3</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城市市容管理服务</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清扫保洁、公厕管护</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1(项)</w:t>
            </w:r>
          </w:p>
        </w:tc>
        <w:tc>
          <w:tcPr>
            <w:tcW w:w="1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详见采购文件</w:t>
            </w:r>
          </w:p>
        </w:tc>
        <w:tc>
          <w:tcPr>
            <w:tcW w:w="147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jc w:val="center"/>
              <w:textAlignment w:val="center"/>
              <w:rPr>
                <w:rFonts w:hint="eastAsia" w:ascii="宋体" w:hAnsi="宋体" w:cs="宋体"/>
                <w:color w:val="auto"/>
                <w:kern w:val="0"/>
                <w:sz w:val="24"/>
                <w:szCs w:val="24"/>
                <w:lang w:val="en-US" w:eastAsia="zh-CN" w:bidi="ar"/>
              </w:rPr>
            </w:pPr>
            <w:r>
              <w:rPr>
                <w:rFonts w:hint="eastAsia" w:ascii="宋体" w:hAnsi="宋体" w:cs="宋体"/>
                <w:i w:val="0"/>
                <w:iCs w:val="0"/>
                <w:color w:val="auto"/>
                <w:kern w:val="0"/>
                <w:sz w:val="24"/>
                <w:szCs w:val="24"/>
                <w:u w:val="none"/>
                <w:lang w:val="en-US" w:eastAsia="zh-CN" w:bidi="ar"/>
              </w:rPr>
              <w:t>4527237.65</w:t>
            </w:r>
          </w:p>
        </w:tc>
        <w:tc>
          <w:tcPr>
            <w:tcW w:w="15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overflowPunct/>
              <w:topLinePunct w:val="0"/>
              <w:autoSpaceDE/>
              <w:autoSpaceDN/>
              <w:bidi w:val="0"/>
              <w:adjustRightInd/>
              <w:snapToGrid/>
              <w:spacing w:line="320" w:lineRule="exact"/>
              <w:jc w:val="right"/>
              <w:textAlignment w:val="center"/>
              <w:rPr>
                <w:rFonts w:hint="eastAsia" w:ascii="宋体" w:hAnsi="宋体" w:cs="宋体"/>
                <w:color w:val="auto"/>
                <w:kern w:val="0"/>
                <w:sz w:val="24"/>
                <w:szCs w:val="24"/>
                <w:lang w:bidi="ar"/>
              </w:rPr>
            </w:pPr>
            <w:r>
              <w:rPr>
                <w:rFonts w:hint="eastAsia" w:ascii="宋体" w:hAnsi="宋体" w:cs="宋体"/>
                <w:i w:val="0"/>
                <w:iCs w:val="0"/>
                <w:color w:val="auto"/>
                <w:kern w:val="0"/>
                <w:sz w:val="24"/>
                <w:szCs w:val="24"/>
                <w:u w:val="none"/>
                <w:lang w:val="en-US" w:eastAsia="zh-CN" w:bidi="ar"/>
              </w:rPr>
              <w:t>4527237.65</w:t>
            </w:r>
          </w:p>
        </w:tc>
      </w:tr>
    </w:tbl>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本合同包不接受联合体投标</w:t>
      </w:r>
    </w:p>
    <w:p>
      <w:pPr>
        <w:ind w:firstLine="480" w:firstLineChars="200"/>
        <w:rPr>
          <w:rFonts w:hint="eastAsia" w:ascii="仿宋_GB2312" w:eastAsia="仿宋_GB2312"/>
          <w:sz w:val="30"/>
          <w:szCs w:val="32"/>
        </w:rPr>
      </w:pPr>
      <w:r>
        <w:rPr>
          <w:rFonts w:hint="eastAsia" w:ascii="宋体" w:hAnsi="宋体" w:eastAsia="宋体" w:cs="宋体"/>
          <w:color w:val="333333"/>
          <w:kern w:val="0"/>
          <w:sz w:val="24"/>
          <w:szCs w:val="24"/>
          <w:shd w:val="clear" w:color="auto" w:fill="FFFFFF"/>
          <w:lang w:val="en-US" w:eastAsia="zh-CN" w:bidi="ar-SA"/>
        </w:rPr>
        <w:t>合同履行期限：</w:t>
      </w:r>
      <w:r>
        <w:rPr>
          <w:rFonts w:hint="eastAsia" w:ascii="宋体" w:hAnsi="宋体" w:cs="宋体"/>
          <w:color w:val="333333"/>
          <w:kern w:val="0"/>
          <w:sz w:val="24"/>
          <w:szCs w:val="24"/>
          <w:shd w:val="clear" w:color="auto" w:fill="FFFFFF"/>
          <w:lang w:val="en-US" w:eastAsia="zh-CN" w:bidi="ar-SA"/>
        </w:rPr>
        <w:t>1年</w:t>
      </w:r>
      <w:r>
        <w:rPr>
          <w:rFonts w:hint="eastAsia" w:ascii="宋体" w:hAnsi="宋体" w:eastAsia="宋体" w:cs="宋体"/>
          <w:color w:val="333333"/>
          <w:kern w:val="0"/>
          <w:sz w:val="24"/>
          <w:szCs w:val="24"/>
          <w:shd w:val="clear" w:color="auto" w:fill="FFFFFF"/>
          <w:lang w:val="en-US" w:eastAsia="zh-CN" w:bidi="ar-SA"/>
        </w:rPr>
        <w:t>。</w:t>
      </w:r>
      <w:r>
        <w:rPr>
          <w:rFonts w:hint="eastAsia" w:ascii="仿宋_GB2312" w:eastAsia="仿宋_GB2312"/>
          <w:sz w:val="30"/>
          <w:szCs w:val="32"/>
        </w:rPr>
        <w:t xml:space="preserve"> </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w:t>
      </w:r>
      <w:r>
        <w:rPr>
          <w:rFonts w:hint="eastAsia" w:ascii="宋体" w:hAnsi="宋体" w:cs="宋体"/>
          <w:color w:val="auto"/>
          <w:szCs w:val="24"/>
          <w:shd w:val="clear" w:color="auto" w:fill="FFFFFF"/>
          <w:lang w:val="en-US" w:eastAsia="zh-CN"/>
        </w:rPr>
        <w:t>4</w:t>
      </w:r>
      <w:r>
        <w:rPr>
          <w:rFonts w:hint="eastAsia" w:ascii="宋体" w:hAnsi="宋体" w:cs="宋体"/>
          <w:color w:val="auto"/>
          <w:szCs w:val="24"/>
          <w:shd w:val="clear" w:color="auto" w:fill="FFFFFF"/>
        </w:rPr>
        <w:t>(</w:t>
      </w:r>
      <w:r>
        <w:rPr>
          <w:rFonts w:hint="eastAsia" w:ascii="宋体" w:hAnsi="宋体" w:cs="宋体"/>
          <w:color w:val="auto"/>
          <w:szCs w:val="24"/>
          <w:shd w:val="clear" w:color="auto" w:fill="FFFFFF"/>
          <w:lang w:eastAsia="zh-CN"/>
        </w:rPr>
        <w:t>2024年周至县道路清扫保洁、垃圾清运、绿化养护、公厕管理市场化运作项目</w:t>
      </w:r>
      <w:r>
        <w:rPr>
          <w:rFonts w:hint="eastAsia" w:ascii="宋体" w:hAnsi="宋体" w:cs="宋体"/>
          <w:color w:val="auto"/>
          <w:szCs w:val="24"/>
          <w:shd w:val="clear" w:color="auto" w:fill="FFFFFF"/>
        </w:rPr>
        <w:t>):</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合同包预算金额：</w:t>
      </w:r>
      <w:r>
        <w:rPr>
          <w:rFonts w:hint="eastAsia" w:ascii="宋体" w:hAnsi="宋体" w:cs="宋体"/>
          <w:i w:val="0"/>
          <w:iCs w:val="0"/>
          <w:color w:val="auto"/>
          <w:kern w:val="0"/>
          <w:sz w:val="24"/>
          <w:szCs w:val="24"/>
          <w:u w:val="none"/>
          <w:lang w:val="en-US" w:eastAsia="zh-CN" w:bidi="ar"/>
        </w:rPr>
        <w:t>4448888.82</w:t>
      </w:r>
      <w:r>
        <w:rPr>
          <w:rFonts w:hint="eastAsia" w:ascii="宋体" w:hAnsi="宋体" w:cs="宋体"/>
          <w:color w:val="auto"/>
          <w:szCs w:val="24"/>
          <w:shd w:val="clear" w:color="auto" w:fill="FFFFFF"/>
        </w:rPr>
        <w:t>元</w:t>
      </w:r>
    </w:p>
    <w:tbl>
      <w:tblPr>
        <w:tblStyle w:val="25"/>
        <w:tblW w:w="9840" w:type="dxa"/>
        <w:tblInd w:w="-237" w:type="dxa"/>
        <w:tblLayout w:type="fixed"/>
        <w:tblCellMar>
          <w:top w:w="0" w:type="dxa"/>
          <w:left w:w="0" w:type="dxa"/>
          <w:bottom w:w="0" w:type="dxa"/>
          <w:right w:w="0" w:type="dxa"/>
        </w:tblCellMar>
      </w:tblPr>
      <w:tblGrid>
        <w:gridCol w:w="855"/>
        <w:gridCol w:w="1579"/>
        <w:gridCol w:w="1783"/>
        <w:gridCol w:w="1046"/>
        <w:gridCol w:w="1511"/>
        <w:gridCol w:w="1455"/>
        <w:gridCol w:w="1611"/>
      </w:tblGrid>
      <w:tr>
        <w:tblPrEx>
          <w:tblCellMar>
            <w:top w:w="0" w:type="dxa"/>
            <w:left w:w="0" w:type="dxa"/>
            <w:bottom w:w="0" w:type="dxa"/>
            <w:right w:w="0" w:type="dxa"/>
          </w:tblCellMar>
        </w:tblPrEx>
        <w:trPr>
          <w:trHeight w:val="1386" w:hRule="atLeast"/>
          <w:tblHeader/>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品目号</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品目名称</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采购标的</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数量（单位）</w:t>
            </w:r>
          </w:p>
        </w:tc>
        <w:tc>
          <w:tcPr>
            <w:tcW w:w="1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技术规格、参数及要求</w:t>
            </w:r>
          </w:p>
        </w:tc>
        <w:tc>
          <w:tcPr>
            <w:tcW w:w="14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品目预算(元)</w:t>
            </w:r>
          </w:p>
        </w:tc>
        <w:tc>
          <w:tcPr>
            <w:tcW w:w="16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最高限价(元)</w:t>
            </w:r>
          </w:p>
        </w:tc>
      </w:tr>
      <w:tr>
        <w:tblPrEx>
          <w:tblCellMar>
            <w:top w:w="0" w:type="dxa"/>
            <w:left w:w="0" w:type="dxa"/>
            <w:bottom w:w="0" w:type="dxa"/>
            <w:right w:w="0" w:type="dxa"/>
          </w:tblCellMar>
        </w:tblPrEx>
        <w:trPr>
          <w:trHeight w:val="609" w:hRule="atLeast"/>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4"/>
                <w:szCs w:val="24"/>
                <w:lang w:eastAsia="zh-CN" w:bidi="ar"/>
              </w:rPr>
            </w:pPr>
            <w:r>
              <w:rPr>
                <w:rFonts w:hint="eastAsia" w:ascii="宋体" w:hAnsi="宋体" w:cs="宋体"/>
                <w:color w:val="auto"/>
                <w:kern w:val="0"/>
                <w:sz w:val="24"/>
                <w:szCs w:val="24"/>
                <w:lang w:bidi="ar"/>
              </w:rPr>
              <w:t>1-</w:t>
            </w:r>
            <w:r>
              <w:rPr>
                <w:rFonts w:hint="eastAsia" w:ascii="宋体" w:hAnsi="宋体" w:cs="宋体"/>
                <w:color w:val="auto"/>
                <w:kern w:val="0"/>
                <w:sz w:val="24"/>
                <w:szCs w:val="24"/>
                <w:lang w:val="en-US" w:eastAsia="zh-CN" w:bidi="ar"/>
              </w:rPr>
              <w:t>4</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城市市容管理服务</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清扫保洁、公厕管护</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1(项)</w:t>
            </w:r>
          </w:p>
        </w:tc>
        <w:tc>
          <w:tcPr>
            <w:tcW w:w="1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详见采购文件</w:t>
            </w:r>
          </w:p>
        </w:tc>
        <w:tc>
          <w:tcPr>
            <w:tcW w:w="14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jc w:val="center"/>
              <w:textAlignment w:val="center"/>
              <w:rPr>
                <w:rFonts w:hint="default" w:ascii="宋体" w:hAnsi="宋体" w:cs="宋体"/>
                <w:color w:val="auto"/>
                <w:kern w:val="0"/>
                <w:sz w:val="24"/>
                <w:szCs w:val="24"/>
                <w:lang w:val="en-US" w:eastAsia="zh-CN" w:bidi="ar"/>
              </w:rPr>
            </w:pPr>
            <w:r>
              <w:rPr>
                <w:rFonts w:hint="eastAsia" w:ascii="宋体" w:hAnsi="宋体" w:cs="宋体"/>
                <w:i w:val="0"/>
                <w:iCs w:val="0"/>
                <w:color w:val="auto"/>
                <w:kern w:val="0"/>
                <w:sz w:val="24"/>
                <w:szCs w:val="24"/>
                <w:u w:val="none"/>
                <w:lang w:val="en-US" w:eastAsia="zh-CN" w:bidi="ar"/>
              </w:rPr>
              <w:t>4448888.82</w:t>
            </w:r>
          </w:p>
        </w:tc>
        <w:tc>
          <w:tcPr>
            <w:tcW w:w="16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overflowPunct/>
              <w:topLinePunct w:val="0"/>
              <w:autoSpaceDE/>
              <w:autoSpaceDN/>
              <w:bidi w:val="0"/>
              <w:adjustRightInd/>
              <w:snapToGrid/>
              <w:spacing w:line="320" w:lineRule="exact"/>
              <w:jc w:val="right"/>
              <w:textAlignment w:val="center"/>
              <w:rPr>
                <w:rFonts w:hint="eastAsia" w:ascii="宋体" w:hAnsi="宋体" w:cs="宋体"/>
                <w:color w:val="auto"/>
                <w:kern w:val="0"/>
                <w:sz w:val="24"/>
                <w:szCs w:val="24"/>
                <w:lang w:bidi="ar"/>
              </w:rPr>
            </w:pPr>
            <w:r>
              <w:rPr>
                <w:rFonts w:hint="eastAsia" w:ascii="宋体" w:hAnsi="宋体" w:cs="宋体"/>
                <w:i w:val="0"/>
                <w:iCs w:val="0"/>
                <w:color w:val="auto"/>
                <w:kern w:val="0"/>
                <w:sz w:val="24"/>
                <w:szCs w:val="24"/>
                <w:u w:val="none"/>
                <w:lang w:val="en-US" w:eastAsia="zh-CN" w:bidi="ar"/>
              </w:rPr>
              <w:t>4448888.82</w:t>
            </w:r>
          </w:p>
        </w:tc>
      </w:tr>
    </w:tbl>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本合同包不接受联合体投标</w:t>
      </w:r>
    </w:p>
    <w:p>
      <w:pPr>
        <w:ind w:firstLine="480" w:firstLineChars="200"/>
        <w:rPr>
          <w:rFonts w:hint="eastAsia" w:ascii="仿宋_GB2312" w:eastAsia="仿宋_GB2312"/>
          <w:sz w:val="30"/>
          <w:szCs w:val="32"/>
        </w:rPr>
      </w:pPr>
      <w:r>
        <w:rPr>
          <w:rFonts w:hint="eastAsia" w:ascii="宋体" w:hAnsi="宋体" w:eastAsia="宋体" w:cs="宋体"/>
          <w:color w:val="333333"/>
          <w:kern w:val="0"/>
          <w:sz w:val="24"/>
          <w:szCs w:val="24"/>
          <w:shd w:val="clear" w:color="auto" w:fill="FFFFFF"/>
          <w:lang w:val="en-US" w:eastAsia="zh-CN" w:bidi="ar-SA"/>
        </w:rPr>
        <w:t>合同履行期限：</w:t>
      </w:r>
      <w:r>
        <w:rPr>
          <w:rFonts w:hint="eastAsia" w:ascii="宋体" w:hAnsi="宋体" w:cs="宋体"/>
          <w:color w:val="333333"/>
          <w:kern w:val="0"/>
          <w:sz w:val="24"/>
          <w:szCs w:val="24"/>
          <w:shd w:val="clear" w:color="auto" w:fill="FFFFFF"/>
          <w:lang w:val="en-US" w:eastAsia="zh-CN" w:bidi="ar-SA"/>
        </w:rPr>
        <w:t>1年</w:t>
      </w:r>
      <w:r>
        <w:rPr>
          <w:rFonts w:hint="eastAsia" w:ascii="宋体" w:hAnsi="宋体" w:eastAsia="宋体" w:cs="宋体"/>
          <w:color w:val="333333"/>
          <w:kern w:val="0"/>
          <w:sz w:val="24"/>
          <w:szCs w:val="24"/>
          <w:shd w:val="clear" w:color="auto" w:fill="FFFFFF"/>
          <w:lang w:val="en-US" w:eastAsia="zh-CN" w:bidi="ar-SA"/>
        </w:rPr>
        <w:t>。</w:t>
      </w:r>
      <w:r>
        <w:rPr>
          <w:rFonts w:hint="eastAsia" w:ascii="仿宋_GB2312" w:eastAsia="仿宋_GB2312"/>
          <w:sz w:val="30"/>
          <w:szCs w:val="32"/>
        </w:rPr>
        <w:t xml:space="preserve"> </w:t>
      </w:r>
    </w:p>
    <w:p>
      <w:pPr>
        <w:pStyle w:val="24"/>
        <w:rPr>
          <w:rFonts w:hint="eastAsia"/>
        </w:rPr>
      </w:pP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w:t>
      </w:r>
      <w:r>
        <w:rPr>
          <w:rFonts w:hint="eastAsia" w:ascii="宋体" w:hAnsi="宋体" w:cs="宋体"/>
          <w:color w:val="auto"/>
          <w:szCs w:val="24"/>
          <w:shd w:val="clear" w:color="auto" w:fill="FFFFFF"/>
          <w:lang w:val="en-US" w:eastAsia="zh-CN"/>
        </w:rPr>
        <w:t>5</w:t>
      </w:r>
      <w:r>
        <w:rPr>
          <w:rFonts w:hint="eastAsia" w:ascii="宋体" w:hAnsi="宋体" w:cs="宋体"/>
          <w:color w:val="auto"/>
          <w:szCs w:val="24"/>
          <w:shd w:val="clear" w:color="auto" w:fill="FFFFFF"/>
        </w:rPr>
        <w:t>(</w:t>
      </w:r>
      <w:r>
        <w:rPr>
          <w:rFonts w:hint="eastAsia" w:ascii="宋体" w:hAnsi="宋体" w:cs="宋体"/>
          <w:color w:val="auto"/>
          <w:szCs w:val="24"/>
          <w:shd w:val="clear" w:color="auto" w:fill="FFFFFF"/>
          <w:lang w:eastAsia="zh-CN"/>
        </w:rPr>
        <w:t>2024年周至县道路清扫保洁、垃圾清运、绿化养护、公厕管理市场化运作项目</w:t>
      </w:r>
      <w:r>
        <w:rPr>
          <w:rFonts w:hint="eastAsia" w:ascii="宋体" w:hAnsi="宋体" w:cs="宋体"/>
          <w:color w:val="auto"/>
          <w:szCs w:val="24"/>
          <w:shd w:val="clear" w:color="auto" w:fill="FFFFFF"/>
        </w:rPr>
        <w:t>):</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合同包预算金额：</w:t>
      </w:r>
      <w:r>
        <w:rPr>
          <w:rFonts w:hint="eastAsia" w:ascii="宋体" w:hAnsi="宋体" w:cs="宋体"/>
          <w:i w:val="0"/>
          <w:iCs w:val="0"/>
          <w:color w:val="auto"/>
          <w:kern w:val="0"/>
          <w:sz w:val="24"/>
          <w:szCs w:val="24"/>
          <w:u w:val="none"/>
          <w:lang w:val="en-US" w:eastAsia="zh-CN" w:bidi="ar"/>
        </w:rPr>
        <w:t>2675142.72</w:t>
      </w:r>
      <w:r>
        <w:rPr>
          <w:rFonts w:hint="eastAsia" w:ascii="宋体" w:hAnsi="宋体" w:cs="宋体"/>
          <w:color w:val="auto"/>
          <w:szCs w:val="24"/>
          <w:shd w:val="clear" w:color="auto" w:fill="FFFFFF"/>
        </w:rPr>
        <w:t>元</w:t>
      </w:r>
    </w:p>
    <w:tbl>
      <w:tblPr>
        <w:tblStyle w:val="25"/>
        <w:tblW w:w="9840" w:type="dxa"/>
        <w:tblInd w:w="-237" w:type="dxa"/>
        <w:tblLayout w:type="fixed"/>
        <w:tblCellMar>
          <w:top w:w="0" w:type="dxa"/>
          <w:left w:w="0" w:type="dxa"/>
          <w:bottom w:w="0" w:type="dxa"/>
          <w:right w:w="0" w:type="dxa"/>
        </w:tblCellMar>
      </w:tblPr>
      <w:tblGrid>
        <w:gridCol w:w="855"/>
        <w:gridCol w:w="1579"/>
        <w:gridCol w:w="1783"/>
        <w:gridCol w:w="1046"/>
        <w:gridCol w:w="1511"/>
        <w:gridCol w:w="1470"/>
        <w:gridCol w:w="1596"/>
      </w:tblGrid>
      <w:tr>
        <w:tblPrEx>
          <w:tblCellMar>
            <w:top w:w="0" w:type="dxa"/>
            <w:left w:w="0" w:type="dxa"/>
            <w:bottom w:w="0" w:type="dxa"/>
            <w:right w:w="0" w:type="dxa"/>
          </w:tblCellMar>
        </w:tblPrEx>
        <w:trPr>
          <w:trHeight w:val="1386" w:hRule="atLeast"/>
          <w:tblHeader/>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品目号</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品目名称</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采购标的</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数量（单位）</w:t>
            </w:r>
          </w:p>
        </w:tc>
        <w:tc>
          <w:tcPr>
            <w:tcW w:w="1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技术规格、参数及要求</w:t>
            </w:r>
          </w:p>
        </w:tc>
        <w:tc>
          <w:tcPr>
            <w:tcW w:w="147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品目预算(元)</w:t>
            </w:r>
          </w:p>
        </w:tc>
        <w:tc>
          <w:tcPr>
            <w:tcW w:w="15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最高限价(元)</w:t>
            </w:r>
          </w:p>
        </w:tc>
      </w:tr>
      <w:tr>
        <w:tblPrEx>
          <w:tblCellMar>
            <w:top w:w="0" w:type="dxa"/>
            <w:left w:w="0" w:type="dxa"/>
            <w:bottom w:w="0" w:type="dxa"/>
            <w:right w:w="0" w:type="dxa"/>
          </w:tblCellMar>
        </w:tblPrEx>
        <w:trPr>
          <w:trHeight w:val="810" w:hRule="atLeast"/>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4"/>
                <w:szCs w:val="24"/>
                <w:lang w:eastAsia="zh-CN" w:bidi="ar"/>
              </w:rPr>
            </w:pPr>
            <w:r>
              <w:rPr>
                <w:rFonts w:hint="eastAsia" w:ascii="宋体" w:hAnsi="宋体" w:cs="宋体"/>
                <w:color w:val="auto"/>
                <w:kern w:val="0"/>
                <w:sz w:val="24"/>
                <w:szCs w:val="24"/>
                <w:lang w:bidi="ar"/>
              </w:rPr>
              <w:t>1</w:t>
            </w:r>
            <w:r>
              <w:rPr>
                <w:rFonts w:hint="eastAsia" w:ascii="宋体" w:hAnsi="宋体" w:cs="宋体"/>
                <w:color w:val="auto"/>
                <w:kern w:val="0"/>
                <w:sz w:val="24"/>
                <w:szCs w:val="24"/>
                <w:lang w:val="en-US" w:eastAsia="zh-CN" w:bidi="ar"/>
              </w:rPr>
              <w:t>-5</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城市市容管理服务</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微软雅黑" w:hAnsi="微软雅黑" w:eastAsia="微软雅黑" w:cs="微软雅黑"/>
                <w:i w:val="0"/>
                <w:iCs w:val="0"/>
                <w:caps w:val="0"/>
                <w:color w:val="auto"/>
                <w:spacing w:val="0"/>
                <w:sz w:val="21"/>
                <w:szCs w:val="21"/>
                <w:shd w:val="clear" w:fill="FFFFFF"/>
              </w:rPr>
              <w:t>城区公园广场绿地养护及城区行道树养护</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1(项)</w:t>
            </w:r>
          </w:p>
        </w:tc>
        <w:tc>
          <w:tcPr>
            <w:tcW w:w="1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详见采购文件</w:t>
            </w:r>
          </w:p>
        </w:tc>
        <w:tc>
          <w:tcPr>
            <w:tcW w:w="147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jc w:val="center"/>
              <w:textAlignment w:val="center"/>
              <w:rPr>
                <w:rFonts w:hint="eastAsia" w:ascii="宋体" w:hAnsi="宋体" w:cs="宋体"/>
                <w:color w:val="auto"/>
                <w:kern w:val="0"/>
                <w:sz w:val="24"/>
                <w:szCs w:val="24"/>
                <w:lang w:val="en-US" w:eastAsia="zh-CN" w:bidi="ar"/>
              </w:rPr>
            </w:pPr>
            <w:r>
              <w:rPr>
                <w:rFonts w:hint="eastAsia" w:ascii="宋体" w:hAnsi="宋体" w:cs="宋体"/>
                <w:i w:val="0"/>
                <w:iCs w:val="0"/>
                <w:color w:val="auto"/>
                <w:kern w:val="0"/>
                <w:sz w:val="24"/>
                <w:szCs w:val="24"/>
                <w:u w:val="none"/>
                <w:lang w:val="en-US" w:eastAsia="zh-CN" w:bidi="ar"/>
              </w:rPr>
              <w:t>2675142.72</w:t>
            </w:r>
          </w:p>
        </w:tc>
        <w:tc>
          <w:tcPr>
            <w:tcW w:w="15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overflowPunct/>
              <w:topLinePunct w:val="0"/>
              <w:autoSpaceDE/>
              <w:autoSpaceDN/>
              <w:bidi w:val="0"/>
              <w:adjustRightInd/>
              <w:snapToGrid/>
              <w:spacing w:line="320" w:lineRule="exact"/>
              <w:jc w:val="right"/>
              <w:textAlignment w:val="center"/>
              <w:rPr>
                <w:rFonts w:hint="eastAsia" w:ascii="宋体" w:hAnsi="宋体" w:cs="宋体"/>
                <w:color w:val="auto"/>
                <w:kern w:val="0"/>
                <w:sz w:val="24"/>
                <w:szCs w:val="24"/>
                <w:lang w:bidi="ar"/>
              </w:rPr>
            </w:pPr>
            <w:r>
              <w:rPr>
                <w:rFonts w:hint="eastAsia" w:ascii="宋体" w:hAnsi="宋体" w:cs="宋体"/>
                <w:i w:val="0"/>
                <w:iCs w:val="0"/>
                <w:color w:val="auto"/>
                <w:kern w:val="0"/>
                <w:sz w:val="24"/>
                <w:szCs w:val="24"/>
                <w:u w:val="none"/>
                <w:lang w:val="en-US" w:eastAsia="zh-CN" w:bidi="ar"/>
              </w:rPr>
              <w:t>2675142.72</w:t>
            </w:r>
          </w:p>
        </w:tc>
      </w:tr>
    </w:tbl>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本合同包不接受联合体投标</w:t>
      </w:r>
    </w:p>
    <w:p>
      <w:pPr>
        <w:pStyle w:val="5"/>
        <w:keepNext w:val="0"/>
        <w:keepLines w:val="0"/>
        <w:widowControl/>
        <w:wordWrap w:val="0"/>
        <w:adjustRightInd/>
        <w:spacing w:before="0" w:after="0" w:line="360" w:lineRule="auto"/>
        <w:ind w:firstLine="480" w:firstLineChars="200"/>
        <w:jc w:val="left"/>
        <w:textAlignment w:val="baseline"/>
        <w:rPr>
          <w:rFonts w:hint="eastAsia" w:ascii="宋体" w:hAnsi="宋体" w:eastAsia="宋体" w:cs="宋体"/>
          <w:b w:val="0"/>
          <w:color w:val="333333"/>
          <w:kern w:val="0"/>
          <w:sz w:val="24"/>
          <w:szCs w:val="24"/>
          <w:shd w:val="clear" w:color="auto" w:fill="FFFFFF"/>
          <w:lang w:val="en-US" w:eastAsia="zh-CN" w:bidi="ar-SA"/>
        </w:rPr>
      </w:pPr>
      <w:r>
        <w:rPr>
          <w:rFonts w:hint="eastAsia" w:ascii="宋体" w:hAnsi="宋体" w:eastAsia="宋体" w:cs="宋体"/>
          <w:b w:val="0"/>
          <w:color w:val="333333"/>
          <w:kern w:val="0"/>
          <w:sz w:val="24"/>
          <w:szCs w:val="24"/>
          <w:shd w:val="clear" w:color="auto" w:fill="FFFFFF"/>
          <w:lang w:val="en-US" w:eastAsia="zh-CN" w:bidi="ar-SA"/>
        </w:rPr>
        <w:t>合同履行期限：1年。</w:t>
      </w:r>
    </w:p>
    <w:p>
      <w:pPr>
        <w:pStyle w:val="5"/>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sz w:val="24"/>
          <w:szCs w:val="24"/>
        </w:rPr>
      </w:pPr>
      <w:r>
        <w:rPr>
          <w:rStyle w:val="28"/>
          <w:rFonts w:hint="eastAsia" w:ascii="宋体" w:hAnsi="宋体" w:eastAsia="宋体" w:cs="宋体"/>
          <w:b/>
          <w:bCs/>
          <w:color w:val="333333"/>
          <w:sz w:val="24"/>
          <w:szCs w:val="24"/>
          <w:shd w:val="clear" w:color="auto" w:fill="FFFFFF"/>
        </w:rPr>
        <w:t>二、申请人的资格要求：</w:t>
      </w:r>
    </w:p>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1.满足《中华人民共和国政府釆购法》第二十二条规定;</w:t>
      </w:r>
    </w:p>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2.落实政府采购政策需满足的资格要求：</w:t>
      </w:r>
    </w:p>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lang w:eastAsia="zh-CN"/>
        </w:rPr>
        <w:t>合同包1</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)落实政府采购政策需满足的资格要求如下:</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lang w:val="en-US" w:eastAsia="zh-CN"/>
        </w:rPr>
      </w:pPr>
      <w:r>
        <w:rPr>
          <w:rFonts w:hint="eastAsia" w:ascii="宋体" w:hAnsi="宋体" w:cs="宋体"/>
          <w:color w:val="333333"/>
          <w:szCs w:val="24"/>
          <w:shd w:val="clear" w:color="auto" w:fill="FFFFFF"/>
        </w:rPr>
        <w:t>落实政府采购政策需满足的资格要求：</w:t>
      </w:r>
      <w:r>
        <w:rPr>
          <w:rFonts w:hint="eastAsia" w:ascii="宋体" w:hAnsi="宋体" w:cs="宋体"/>
          <w:color w:val="333333"/>
          <w:szCs w:val="24"/>
          <w:shd w:val="clear" w:color="auto" w:fill="FFFFFF"/>
          <w:lang w:val="en-US" w:eastAsia="zh-CN"/>
        </w:rPr>
        <w:t>本项目为（非专门）面向中小企业的项目。</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lang w:eastAsia="zh-CN"/>
        </w:rPr>
      </w:pPr>
      <w:r>
        <w:rPr>
          <w:rFonts w:hint="eastAsia" w:ascii="宋体" w:hAnsi="宋体" w:cs="宋体"/>
          <w:color w:val="333333"/>
          <w:szCs w:val="24"/>
          <w:shd w:val="clear" w:color="auto" w:fill="FFFFFF"/>
        </w:rPr>
        <w:t>合同包</w:t>
      </w:r>
      <w:r>
        <w:rPr>
          <w:rFonts w:hint="eastAsia" w:ascii="宋体" w:hAnsi="宋体" w:cs="宋体"/>
          <w:color w:val="333333"/>
          <w:szCs w:val="24"/>
          <w:shd w:val="clear" w:color="auto" w:fill="FFFFFF"/>
          <w:lang w:val="en-US" w:eastAsia="zh-CN"/>
        </w:rPr>
        <w:t>2</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)落实政府采购政策需满足的资格要求如下</w:t>
      </w:r>
      <w:r>
        <w:rPr>
          <w:rFonts w:hint="eastAsia" w:ascii="宋体" w:hAnsi="宋体" w:cs="宋体"/>
          <w:color w:val="333333"/>
          <w:szCs w:val="24"/>
          <w:shd w:val="clear" w:color="auto" w:fill="FFFFFF"/>
          <w:lang w:eastAsia="zh-CN"/>
        </w:rPr>
        <w:t>：</w:t>
      </w:r>
    </w:p>
    <w:p>
      <w:pPr>
        <w:pStyle w:val="21"/>
        <w:widowControl/>
        <w:wordWrap w:val="0"/>
        <w:spacing w:before="0" w:beforeAutospacing="0" w:after="0" w:afterAutospacing="0" w:line="360" w:lineRule="auto"/>
        <w:ind w:firstLine="480" w:firstLineChars="200"/>
        <w:jc w:val="both"/>
        <w:textAlignment w:val="baseline"/>
        <w:rPr>
          <w:rFonts w:hint="default" w:ascii="宋体" w:hAnsi="宋体" w:cs="宋体"/>
          <w:color w:val="333333"/>
          <w:szCs w:val="24"/>
          <w:shd w:val="clear" w:color="auto" w:fill="FFFFFF"/>
          <w:lang w:val="en-US" w:eastAsia="zh-CN"/>
        </w:rPr>
      </w:pPr>
      <w:r>
        <w:rPr>
          <w:rFonts w:hint="eastAsia" w:ascii="宋体" w:hAnsi="宋体" w:cs="宋体"/>
          <w:color w:val="333333"/>
          <w:szCs w:val="24"/>
          <w:shd w:val="clear" w:color="auto" w:fill="FFFFFF"/>
          <w:lang w:eastAsia="zh-CN"/>
        </w:rPr>
        <w:t>同合同包1</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lang w:eastAsia="zh-CN"/>
        </w:rPr>
      </w:pPr>
      <w:r>
        <w:rPr>
          <w:rFonts w:hint="eastAsia" w:ascii="宋体" w:hAnsi="宋体" w:cs="宋体"/>
          <w:color w:val="333333"/>
          <w:szCs w:val="24"/>
          <w:shd w:val="clear" w:color="auto" w:fill="FFFFFF"/>
        </w:rPr>
        <w:t>合同包</w:t>
      </w:r>
      <w:r>
        <w:rPr>
          <w:rFonts w:hint="eastAsia" w:ascii="宋体" w:hAnsi="宋体" w:cs="宋体"/>
          <w:color w:val="333333"/>
          <w:szCs w:val="24"/>
          <w:shd w:val="clear" w:color="auto" w:fill="FFFFFF"/>
          <w:lang w:val="en-US" w:eastAsia="zh-CN"/>
        </w:rPr>
        <w:t>3</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)落实政府采购政策需满足的资格要求如下</w:t>
      </w:r>
      <w:r>
        <w:rPr>
          <w:rFonts w:hint="eastAsia" w:ascii="宋体" w:hAnsi="宋体" w:cs="宋体"/>
          <w:color w:val="333333"/>
          <w:szCs w:val="24"/>
          <w:shd w:val="clear" w:color="auto" w:fill="FFFFFF"/>
          <w:lang w:eastAsia="zh-CN"/>
        </w:rPr>
        <w:t>：</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lang w:eastAsia="zh-CN"/>
        </w:rPr>
        <w:t>同合同包1</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lang w:eastAsia="zh-CN"/>
        </w:rPr>
      </w:pPr>
      <w:r>
        <w:rPr>
          <w:rFonts w:hint="eastAsia" w:ascii="宋体" w:hAnsi="宋体" w:cs="宋体"/>
          <w:color w:val="333333"/>
          <w:szCs w:val="24"/>
          <w:shd w:val="clear" w:color="auto" w:fill="FFFFFF"/>
        </w:rPr>
        <w:t>合同包</w:t>
      </w:r>
      <w:r>
        <w:rPr>
          <w:rFonts w:hint="eastAsia" w:ascii="宋体" w:hAnsi="宋体" w:cs="宋体"/>
          <w:color w:val="333333"/>
          <w:szCs w:val="24"/>
          <w:shd w:val="clear" w:color="auto" w:fill="FFFFFF"/>
          <w:lang w:val="en-US" w:eastAsia="zh-CN"/>
        </w:rPr>
        <w:t>4</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)落实政府采购政策需满足的资格要求如下</w:t>
      </w:r>
      <w:r>
        <w:rPr>
          <w:rFonts w:hint="eastAsia" w:ascii="宋体" w:hAnsi="宋体" w:cs="宋体"/>
          <w:color w:val="333333"/>
          <w:szCs w:val="24"/>
          <w:shd w:val="clear" w:color="auto" w:fill="FFFFFF"/>
          <w:lang w:eastAsia="zh-CN"/>
        </w:rPr>
        <w:t>：</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lang w:eastAsia="zh-CN"/>
        </w:rPr>
        <w:t>同合同包1</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lang w:eastAsia="zh-CN"/>
        </w:rPr>
      </w:pPr>
      <w:r>
        <w:rPr>
          <w:rFonts w:hint="eastAsia" w:ascii="宋体" w:hAnsi="宋体" w:cs="宋体"/>
          <w:color w:val="333333"/>
          <w:szCs w:val="24"/>
          <w:shd w:val="clear" w:color="auto" w:fill="FFFFFF"/>
        </w:rPr>
        <w:t>合同包</w:t>
      </w:r>
      <w:r>
        <w:rPr>
          <w:rFonts w:hint="eastAsia" w:ascii="宋体" w:hAnsi="宋体" w:cs="宋体"/>
          <w:color w:val="333333"/>
          <w:szCs w:val="24"/>
          <w:shd w:val="clear" w:color="auto" w:fill="FFFFFF"/>
          <w:lang w:val="en-US" w:eastAsia="zh-CN"/>
        </w:rPr>
        <w:t>5</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)落实政府采购政策需满足的资格要求如下</w:t>
      </w:r>
      <w:r>
        <w:rPr>
          <w:rFonts w:hint="eastAsia" w:ascii="宋体" w:hAnsi="宋体" w:cs="宋体"/>
          <w:color w:val="333333"/>
          <w:szCs w:val="24"/>
          <w:shd w:val="clear" w:color="auto" w:fill="FFFFFF"/>
          <w:lang w:eastAsia="zh-CN"/>
        </w:rPr>
        <w:t>：</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lang w:val="en-US" w:eastAsia="zh-CN"/>
        </w:rPr>
      </w:pPr>
      <w:r>
        <w:rPr>
          <w:rFonts w:hint="eastAsia" w:ascii="宋体" w:hAnsi="宋体" w:cs="宋体"/>
          <w:color w:val="333333"/>
          <w:szCs w:val="24"/>
          <w:shd w:val="clear" w:color="auto" w:fill="FFFFFF"/>
          <w:lang w:eastAsia="zh-CN"/>
        </w:rPr>
        <w:t>同合同包1</w:t>
      </w:r>
    </w:p>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3.本项目的特定资格要求：</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rPr>
      </w:pPr>
      <w:r>
        <w:rPr>
          <w:rFonts w:hint="eastAsia" w:ascii="宋体" w:hAnsi="宋体" w:cs="宋体"/>
          <w:color w:val="333333"/>
          <w:szCs w:val="24"/>
          <w:shd w:val="clear" w:color="auto" w:fill="FFFFFF"/>
          <w:lang w:eastAsia="zh-CN"/>
        </w:rPr>
        <w:t>合同包1</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)特定资格要求如下:</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1</w:t>
      </w:r>
      <w:r>
        <w:rPr>
          <w:rFonts w:hint="eastAsia" w:ascii="宋体" w:hAnsi="宋体" w:eastAsia="宋体" w:cs="宋体"/>
          <w:spacing w:val="4"/>
          <w:kern w:val="0"/>
          <w:sz w:val="24"/>
          <w:szCs w:val="24"/>
          <w:lang w:val="en-US" w:eastAsia="zh-CN" w:bidi="ar-SA"/>
        </w:rPr>
        <w:t>）与投标人不存在利害关系</w:t>
      </w:r>
      <w:r>
        <w:rPr>
          <w:rFonts w:hint="eastAsia" w:ascii="宋体" w:hAnsi="宋体" w:cs="宋体"/>
          <w:spacing w:val="4"/>
          <w:kern w:val="0"/>
          <w:sz w:val="24"/>
          <w:szCs w:val="24"/>
          <w:lang w:val="en-US" w:eastAsia="zh-CN" w:bidi="ar-SA"/>
        </w:rPr>
        <w:t>：与招标人存在利害关系可能影响公开招标公正性的单位不得参加本项目投标；</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2</w:t>
      </w:r>
      <w:r>
        <w:rPr>
          <w:rFonts w:hint="eastAsia" w:ascii="宋体" w:hAnsi="宋体" w:eastAsia="宋体" w:cs="宋体"/>
          <w:spacing w:val="4"/>
          <w:kern w:val="0"/>
          <w:sz w:val="24"/>
          <w:szCs w:val="24"/>
          <w:lang w:val="en-US" w:eastAsia="zh-CN" w:bidi="ar-SA"/>
        </w:rPr>
        <w:t>）投标人合法身份</w:t>
      </w:r>
      <w:r>
        <w:rPr>
          <w:rFonts w:hint="eastAsia" w:ascii="宋体" w:hAnsi="宋体" w:cs="宋体"/>
          <w:spacing w:val="4"/>
          <w:kern w:val="0"/>
          <w:sz w:val="24"/>
          <w:szCs w:val="24"/>
          <w:lang w:val="en-US" w:eastAsia="zh-CN" w:bidi="ar-SA"/>
        </w:rPr>
        <w:t>：</w:t>
      </w:r>
      <w:r>
        <w:rPr>
          <w:rFonts w:hint="eastAsia" w:ascii="宋体" w:hAnsi="宋体" w:eastAsia="宋体" w:cs="宋体"/>
          <w:spacing w:val="4"/>
          <w:kern w:val="0"/>
          <w:sz w:val="24"/>
          <w:szCs w:val="24"/>
          <w:lang w:val="en-US" w:eastAsia="zh-CN" w:bidi="ar-SA"/>
        </w:rPr>
        <w:t>法定代表人授权委托书：法定代表人参加投标的，须提供本人身份证复印件（附在资格证明文件中）；法定代表人授权他人参加投标的，须提供法定代表人授权委托书</w:t>
      </w:r>
      <w:r>
        <w:rPr>
          <w:rFonts w:hint="eastAsia" w:ascii="宋体" w:hAnsi="宋体" w:cs="宋体"/>
          <w:spacing w:val="4"/>
          <w:kern w:val="0"/>
          <w:sz w:val="24"/>
          <w:szCs w:val="24"/>
          <w:lang w:val="en-US" w:eastAsia="zh-CN" w:bidi="ar-SA"/>
        </w:rPr>
        <w:t>；</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333333"/>
          <w:szCs w:val="24"/>
          <w:shd w:val="clear" w:color="auto" w:fill="FFFFFF"/>
          <w:lang w:eastAsia="zh-CN"/>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3</w:t>
      </w:r>
      <w:r>
        <w:rPr>
          <w:rFonts w:hint="eastAsia" w:ascii="宋体" w:hAnsi="宋体" w:eastAsia="宋体" w:cs="宋体"/>
          <w:spacing w:val="4"/>
          <w:kern w:val="0"/>
          <w:sz w:val="24"/>
          <w:szCs w:val="24"/>
          <w:lang w:val="en-US" w:eastAsia="zh-CN" w:bidi="ar-SA"/>
        </w:rPr>
        <w:t>）本项目不接受联合体</w:t>
      </w:r>
      <w:r>
        <w:rPr>
          <w:rFonts w:hint="eastAsia" w:ascii="宋体" w:hAnsi="宋体" w:cs="宋体"/>
          <w:color w:val="333333"/>
          <w:szCs w:val="24"/>
          <w:shd w:val="clear" w:color="auto" w:fill="FFFFFF"/>
          <w:lang w:eastAsia="zh-CN"/>
        </w:rPr>
        <w:t>。</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lang w:eastAsia="zh-CN"/>
        </w:rPr>
      </w:pPr>
      <w:r>
        <w:rPr>
          <w:rFonts w:hint="eastAsia" w:ascii="宋体" w:hAnsi="宋体" w:cs="宋体"/>
          <w:color w:val="333333"/>
          <w:szCs w:val="24"/>
          <w:shd w:val="clear" w:color="auto" w:fill="FFFFFF"/>
        </w:rPr>
        <w:t>合同包</w:t>
      </w:r>
      <w:r>
        <w:rPr>
          <w:rFonts w:hint="eastAsia" w:ascii="宋体" w:hAnsi="宋体" w:cs="宋体"/>
          <w:color w:val="333333"/>
          <w:szCs w:val="24"/>
          <w:shd w:val="clear" w:color="auto" w:fill="FFFFFF"/>
          <w:lang w:val="en-US" w:eastAsia="zh-CN"/>
        </w:rPr>
        <w:t>2</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)特定资格要求如下:</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rPr>
      </w:pPr>
      <w:r>
        <w:rPr>
          <w:rFonts w:hint="eastAsia" w:ascii="宋体" w:hAnsi="宋体" w:cs="宋体"/>
          <w:color w:val="333333"/>
          <w:szCs w:val="24"/>
          <w:shd w:val="clear" w:color="auto" w:fill="FFFFFF"/>
          <w:lang w:eastAsia="zh-CN"/>
        </w:rPr>
        <w:t>同合同包1</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lang w:eastAsia="zh-CN"/>
        </w:rPr>
      </w:pPr>
      <w:r>
        <w:rPr>
          <w:rFonts w:hint="eastAsia" w:ascii="宋体" w:hAnsi="宋体" w:cs="宋体"/>
          <w:color w:val="333333"/>
          <w:szCs w:val="24"/>
          <w:shd w:val="clear" w:color="auto" w:fill="FFFFFF"/>
        </w:rPr>
        <w:t>合同包</w:t>
      </w:r>
      <w:r>
        <w:rPr>
          <w:rFonts w:hint="eastAsia" w:ascii="宋体" w:hAnsi="宋体" w:cs="宋体"/>
          <w:color w:val="333333"/>
          <w:szCs w:val="24"/>
          <w:shd w:val="clear" w:color="auto" w:fill="FFFFFF"/>
          <w:lang w:val="en-US" w:eastAsia="zh-CN"/>
        </w:rPr>
        <w:t>3</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)特定资格要求如下:</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rPr>
      </w:pPr>
      <w:r>
        <w:rPr>
          <w:rFonts w:hint="eastAsia" w:ascii="宋体" w:hAnsi="宋体" w:cs="宋体"/>
          <w:color w:val="333333"/>
          <w:szCs w:val="24"/>
          <w:shd w:val="clear" w:color="auto" w:fill="FFFFFF"/>
          <w:lang w:eastAsia="zh-CN"/>
        </w:rPr>
        <w:t>同合同包1</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lang w:eastAsia="zh-CN"/>
        </w:rPr>
      </w:pPr>
      <w:r>
        <w:rPr>
          <w:rFonts w:hint="eastAsia" w:ascii="宋体" w:hAnsi="宋体" w:cs="宋体"/>
          <w:color w:val="333333"/>
          <w:szCs w:val="24"/>
          <w:shd w:val="clear" w:color="auto" w:fill="FFFFFF"/>
        </w:rPr>
        <w:t>合同包</w:t>
      </w:r>
      <w:r>
        <w:rPr>
          <w:rFonts w:hint="eastAsia" w:ascii="宋体" w:hAnsi="宋体" w:cs="宋体"/>
          <w:color w:val="333333"/>
          <w:szCs w:val="24"/>
          <w:shd w:val="clear" w:color="auto" w:fill="FFFFFF"/>
          <w:lang w:val="en-US" w:eastAsia="zh-CN"/>
        </w:rPr>
        <w:t>4</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)特定资格要求如下:</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rPr>
      </w:pPr>
      <w:r>
        <w:rPr>
          <w:rFonts w:hint="eastAsia" w:ascii="宋体" w:hAnsi="宋体" w:cs="宋体"/>
          <w:color w:val="333333"/>
          <w:szCs w:val="24"/>
          <w:shd w:val="clear" w:color="auto" w:fill="FFFFFF"/>
          <w:lang w:eastAsia="zh-CN"/>
        </w:rPr>
        <w:t>同合同包1</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lang w:eastAsia="zh-CN"/>
        </w:rPr>
      </w:pPr>
      <w:r>
        <w:rPr>
          <w:rFonts w:hint="eastAsia" w:ascii="宋体" w:hAnsi="宋体" w:cs="宋体"/>
          <w:color w:val="333333"/>
          <w:szCs w:val="24"/>
          <w:shd w:val="clear" w:color="auto" w:fill="FFFFFF"/>
        </w:rPr>
        <w:t>合同包</w:t>
      </w:r>
      <w:r>
        <w:rPr>
          <w:rFonts w:hint="eastAsia" w:ascii="宋体" w:hAnsi="宋体" w:cs="宋体"/>
          <w:color w:val="333333"/>
          <w:szCs w:val="24"/>
          <w:shd w:val="clear" w:color="auto" w:fill="FFFFFF"/>
          <w:lang w:val="en-US" w:eastAsia="zh-CN"/>
        </w:rPr>
        <w:t>5</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)特定资格要求如下:</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rPr>
      </w:pPr>
      <w:r>
        <w:rPr>
          <w:rFonts w:hint="eastAsia" w:ascii="宋体" w:hAnsi="宋体" w:cs="宋体"/>
          <w:color w:val="333333"/>
          <w:szCs w:val="24"/>
          <w:shd w:val="clear" w:color="auto" w:fill="FFFFFF"/>
          <w:lang w:eastAsia="zh-CN"/>
        </w:rPr>
        <w:t>同合同包1</w:t>
      </w:r>
    </w:p>
    <w:p>
      <w:pPr>
        <w:pStyle w:val="5"/>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color w:val="000000" w:themeColor="text1"/>
          <w:sz w:val="24"/>
          <w:szCs w:val="24"/>
          <w14:textFill>
            <w14:solidFill>
              <w14:schemeClr w14:val="tx1"/>
            </w14:solidFill>
          </w14:textFill>
        </w:rPr>
      </w:pPr>
      <w:r>
        <w:rPr>
          <w:rStyle w:val="28"/>
          <w:rFonts w:hint="eastAsia" w:ascii="宋体" w:hAnsi="宋体" w:eastAsia="宋体" w:cs="宋体"/>
          <w:b/>
          <w:bCs/>
          <w:color w:val="000000" w:themeColor="text1"/>
          <w:sz w:val="24"/>
          <w:szCs w:val="24"/>
          <w:shd w:val="clear" w:color="auto" w:fill="FFFFFF"/>
          <w14:textFill>
            <w14:solidFill>
              <w14:schemeClr w14:val="tx1"/>
            </w14:solidFill>
          </w14:textFill>
        </w:rPr>
        <w:t>三、获取招标文件</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000000" w:themeColor="text1"/>
          <w:szCs w:val="24"/>
          <w:shd w:val="clear" w:color="auto" w:fill="FFFFFF"/>
          <w:lang w:eastAsia="zh-CN"/>
          <w14:textFill>
            <w14:solidFill>
              <w14:schemeClr w14:val="tx1"/>
            </w14:solidFill>
          </w14:textFill>
        </w:rPr>
      </w:pPr>
      <w:r>
        <w:rPr>
          <w:rFonts w:hint="eastAsia" w:ascii="宋体" w:hAnsi="宋体" w:eastAsia="宋体" w:cs="宋体"/>
          <w:color w:val="000000" w:themeColor="text1"/>
          <w:szCs w:val="24"/>
          <w:shd w:val="clear" w:color="auto" w:fill="FFFFFF"/>
          <w:lang w:eastAsia="zh-CN"/>
          <w14:textFill>
            <w14:solidFill>
              <w14:schemeClr w14:val="tx1"/>
            </w14:solidFill>
          </w14:textFill>
        </w:rPr>
        <w:t>时间：</w:t>
      </w:r>
      <w:r>
        <w:rPr>
          <w:rFonts w:hint="eastAsia" w:ascii="宋体" w:hAnsi="宋体" w:cs="宋体"/>
          <w:color w:val="000000" w:themeColor="text1"/>
          <w:szCs w:val="24"/>
          <w:shd w:val="clear" w:color="auto" w:fill="FFFFFF"/>
          <w:lang w:eastAsia="zh-CN"/>
          <w14:textFill>
            <w14:solidFill>
              <w14:schemeClr w14:val="tx1"/>
            </w14:solidFill>
          </w14:textFill>
        </w:rPr>
        <w:t>即日起至2024年01月15日</w:t>
      </w:r>
      <w:r>
        <w:rPr>
          <w:rFonts w:hint="eastAsia" w:ascii="宋体" w:hAnsi="宋体" w:eastAsia="宋体" w:cs="宋体"/>
          <w:color w:val="000000" w:themeColor="text1"/>
          <w:szCs w:val="24"/>
          <w:shd w:val="clear" w:color="auto" w:fill="FFFFFF"/>
          <w:lang w:eastAsia="zh-CN"/>
          <w14:textFill>
            <w14:solidFill>
              <w14:schemeClr w14:val="tx1"/>
            </w14:solidFill>
          </w14:textFill>
        </w:rPr>
        <w:t>，每天上午</w:t>
      </w:r>
      <w:r>
        <w:rPr>
          <w:rFonts w:hint="eastAsia" w:ascii="宋体" w:hAnsi="宋体" w:cs="宋体"/>
          <w:color w:val="000000" w:themeColor="text1"/>
          <w:szCs w:val="24"/>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4"/>
          <w:shd w:val="clear" w:color="auto" w:fill="FFFFFF"/>
          <w:lang w:eastAsia="zh-CN"/>
          <w14:textFill>
            <w14:solidFill>
              <w14:schemeClr w14:val="tx1"/>
            </w14:solidFill>
          </w14:textFill>
        </w:rPr>
        <w:t>:00:00至12:00:00，下午</w:t>
      </w:r>
      <w:r>
        <w:rPr>
          <w:rFonts w:hint="eastAsia" w:ascii="宋体" w:hAnsi="宋体" w:cs="宋体"/>
          <w:color w:val="000000" w:themeColor="text1"/>
          <w:szCs w:val="24"/>
          <w:shd w:val="clear" w:color="auto" w:fill="FFFFFF"/>
          <w:lang w:val="en-US" w:eastAsia="zh-CN"/>
          <w14:textFill>
            <w14:solidFill>
              <w14:schemeClr w14:val="tx1"/>
            </w14:solidFill>
          </w14:textFill>
        </w:rPr>
        <w:t>12</w:t>
      </w:r>
      <w:r>
        <w:rPr>
          <w:rFonts w:hint="eastAsia" w:ascii="宋体" w:hAnsi="宋体" w:eastAsia="宋体" w:cs="宋体"/>
          <w:color w:val="000000" w:themeColor="text1"/>
          <w:szCs w:val="24"/>
          <w:shd w:val="clear" w:color="auto" w:fill="FFFFFF"/>
          <w:lang w:eastAsia="zh-CN"/>
          <w14:textFill>
            <w14:solidFill>
              <w14:schemeClr w14:val="tx1"/>
            </w14:solidFill>
          </w14:textFill>
        </w:rPr>
        <w:t>:00:00至23:59:59（北京时间）</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000000" w:themeColor="text1"/>
          <w:szCs w:val="24"/>
          <w:shd w:val="clear" w:color="auto" w:fill="FFFFFF"/>
          <w:lang w:eastAsia="zh-CN"/>
          <w14:textFill>
            <w14:solidFill>
              <w14:schemeClr w14:val="tx1"/>
            </w14:solidFill>
          </w14:textFill>
        </w:rPr>
      </w:pPr>
      <w:r>
        <w:rPr>
          <w:rFonts w:hint="eastAsia" w:ascii="宋体" w:hAnsi="宋体" w:eastAsia="宋体" w:cs="宋体"/>
          <w:color w:val="000000" w:themeColor="text1"/>
          <w:szCs w:val="24"/>
          <w:shd w:val="clear" w:color="auto" w:fill="FFFFFF"/>
          <w:lang w:eastAsia="zh-CN"/>
          <w14:textFill>
            <w14:solidFill>
              <w14:schemeClr w14:val="tx1"/>
            </w14:solidFill>
          </w14:textFill>
        </w:rPr>
        <w:t>途径：全国公共资源交易平台（陕西省•西安市）网站〖首页〉电子交易平台〉陕西政府采购交易系统〉企业端〗</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000000" w:themeColor="text1"/>
          <w:szCs w:val="24"/>
          <w:shd w:val="clear" w:color="auto" w:fill="FFFFFF"/>
          <w:lang w:eastAsia="zh-CN"/>
          <w14:textFill>
            <w14:solidFill>
              <w14:schemeClr w14:val="tx1"/>
            </w14:solidFill>
          </w14:textFill>
        </w:rPr>
      </w:pPr>
      <w:r>
        <w:rPr>
          <w:rFonts w:hint="eastAsia" w:ascii="宋体" w:hAnsi="宋体" w:eastAsia="宋体" w:cs="宋体"/>
          <w:color w:val="000000" w:themeColor="text1"/>
          <w:szCs w:val="24"/>
          <w:shd w:val="clear" w:color="auto" w:fill="FFFFFF"/>
          <w:lang w:eastAsia="zh-CN"/>
          <w14:textFill>
            <w14:solidFill>
              <w14:schemeClr w14:val="tx1"/>
            </w14:solidFill>
          </w14:textFill>
        </w:rPr>
        <w:t>方式：在线获取</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000000" w:themeColor="text1"/>
          <w:szCs w:val="24"/>
          <w:shd w:val="clear" w:color="auto" w:fill="FFFFFF"/>
          <w:lang w:eastAsia="zh-CN"/>
          <w14:textFill>
            <w14:solidFill>
              <w14:schemeClr w14:val="tx1"/>
            </w14:solidFill>
          </w14:textFill>
        </w:rPr>
      </w:pPr>
      <w:r>
        <w:rPr>
          <w:rFonts w:hint="eastAsia" w:ascii="宋体" w:hAnsi="宋体" w:eastAsia="宋体" w:cs="宋体"/>
          <w:color w:val="000000" w:themeColor="text1"/>
          <w:szCs w:val="24"/>
          <w:shd w:val="clear" w:color="auto" w:fill="FFFFFF"/>
          <w:lang w:eastAsia="zh-CN"/>
          <w14:textFill>
            <w14:solidFill>
              <w14:schemeClr w14:val="tx1"/>
            </w14:solidFill>
          </w14:textFill>
        </w:rPr>
        <w:t>售价：</w:t>
      </w:r>
      <w:r>
        <w:rPr>
          <w:rFonts w:hint="eastAsia" w:ascii="宋体" w:hAnsi="宋体" w:cs="宋体"/>
          <w:color w:val="000000" w:themeColor="text1"/>
          <w:szCs w:val="24"/>
          <w:shd w:val="clear" w:color="auto" w:fill="FFFFFF"/>
          <w:lang w:val="en-US" w:eastAsia="zh-CN"/>
          <w14:textFill>
            <w14:solidFill>
              <w14:schemeClr w14:val="tx1"/>
            </w14:solidFill>
          </w14:textFill>
        </w:rPr>
        <w:t>免费获取</w:t>
      </w:r>
    </w:p>
    <w:p>
      <w:pPr>
        <w:pStyle w:val="5"/>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color w:val="000000" w:themeColor="text1"/>
          <w:sz w:val="24"/>
          <w:szCs w:val="24"/>
          <w14:textFill>
            <w14:solidFill>
              <w14:schemeClr w14:val="tx1"/>
            </w14:solidFill>
          </w14:textFill>
        </w:rPr>
      </w:pPr>
      <w:r>
        <w:rPr>
          <w:rStyle w:val="28"/>
          <w:rFonts w:hint="eastAsia" w:ascii="宋体" w:hAnsi="宋体" w:eastAsia="宋体" w:cs="宋体"/>
          <w:b/>
          <w:bCs/>
          <w:color w:val="000000" w:themeColor="text1"/>
          <w:sz w:val="24"/>
          <w:szCs w:val="24"/>
          <w:shd w:val="clear" w:color="auto" w:fill="FFFFFF"/>
          <w14:textFill>
            <w14:solidFill>
              <w14:schemeClr w14:val="tx1"/>
            </w14:solidFill>
          </w14:textFill>
        </w:rPr>
        <w:t>四、提交投标文件截止时间、开标时间和地点</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000000" w:themeColor="text1"/>
          <w:szCs w:val="24"/>
          <w:shd w:val="clear" w:color="auto" w:fill="FFFFFF"/>
          <w:lang w:eastAsia="zh-CN"/>
          <w14:textFill>
            <w14:solidFill>
              <w14:schemeClr w14:val="tx1"/>
            </w14:solidFill>
          </w14:textFill>
        </w:rPr>
      </w:pPr>
      <w:r>
        <w:rPr>
          <w:rFonts w:hint="eastAsia" w:ascii="宋体" w:hAnsi="宋体" w:eastAsia="宋体" w:cs="宋体"/>
          <w:color w:val="000000" w:themeColor="text1"/>
          <w:szCs w:val="24"/>
          <w:shd w:val="clear" w:color="auto" w:fill="FFFFFF"/>
          <w:lang w:eastAsia="zh-CN"/>
          <w14:textFill>
            <w14:solidFill>
              <w14:schemeClr w14:val="tx1"/>
            </w14:solidFill>
          </w14:textFill>
        </w:rPr>
        <w:t>时间：</w:t>
      </w:r>
      <w:r>
        <w:rPr>
          <w:rFonts w:hint="eastAsia" w:asciiTheme="minorEastAsia" w:hAnsiTheme="minorEastAsia" w:eastAsiaTheme="minorEastAsia" w:cstheme="minorEastAsia"/>
          <w:color w:val="000000" w:themeColor="text1"/>
          <w:kern w:val="0"/>
          <w:sz w:val="24"/>
          <w:szCs w:val="24"/>
          <w:shd w:val="clear" w:color="auto" w:fill="FFFFFF"/>
          <w:lang w:val="en-US" w:eastAsia="zh-CN" w:bidi="ar-SA"/>
          <w14:textFill>
            <w14:solidFill>
              <w14:schemeClr w14:val="tx1"/>
            </w14:solidFill>
          </w14:textFill>
        </w:rPr>
        <w:t>2024年01月30日09时30分00秒</w:t>
      </w:r>
      <w:r>
        <w:rPr>
          <w:rFonts w:hint="eastAsia" w:ascii="宋体" w:hAnsi="宋体" w:eastAsia="宋体" w:cs="宋体"/>
          <w:color w:val="000000" w:themeColor="text1"/>
          <w:szCs w:val="24"/>
          <w:shd w:val="clear" w:color="auto" w:fill="FFFFFF"/>
          <w:lang w:eastAsia="zh-CN"/>
          <w14:textFill>
            <w14:solidFill>
              <w14:schemeClr w14:val="tx1"/>
            </w14:solidFill>
          </w14:textFill>
        </w:rPr>
        <w:t>（北京时间）</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333333"/>
          <w:szCs w:val="24"/>
          <w:shd w:val="clear" w:color="auto" w:fill="FFFFFF"/>
          <w:lang w:eastAsia="zh-CN"/>
        </w:rPr>
      </w:pPr>
      <w:r>
        <w:rPr>
          <w:rFonts w:hint="eastAsia" w:ascii="宋体" w:hAnsi="宋体" w:eastAsia="宋体" w:cs="宋体"/>
          <w:color w:val="333333"/>
          <w:szCs w:val="24"/>
          <w:shd w:val="clear" w:color="auto" w:fill="FFFFFF"/>
          <w:lang w:eastAsia="zh-CN"/>
        </w:rPr>
        <w:t>提交投标文件地点：全国公共资源交易平台（陕西省·西安市）网站〖首页〉电子交易平台〉陕西政府采购交易系统〉企业端〗，在线提交</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333333"/>
          <w:szCs w:val="24"/>
          <w:shd w:val="clear" w:color="auto" w:fill="FFFFFF"/>
          <w:lang w:eastAsia="zh-CN"/>
        </w:rPr>
      </w:pPr>
      <w:r>
        <w:rPr>
          <w:rFonts w:hint="eastAsia" w:ascii="宋体" w:hAnsi="宋体" w:eastAsia="宋体" w:cs="宋体"/>
          <w:color w:val="333333"/>
          <w:szCs w:val="24"/>
          <w:shd w:val="clear" w:color="auto" w:fill="FFFFFF"/>
          <w:lang w:eastAsia="zh-CN"/>
        </w:rPr>
        <w:t>开标地点：全国公共资源交易平台（陕西省·西安市）不见面开标大厅</w:t>
      </w:r>
    </w:p>
    <w:p>
      <w:pPr>
        <w:pStyle w:val="5"/>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sz w:val="24"/>
          <w:szCs w:val="24"/>
        </w:rPr>
      </w:pPr>
      <w:r>
        <w:rPr>
          <w:rStyle w:val="28"/>
          <w:rFonts w:hint="eastAsia" w:ascii="宋体" w:hAnsi="宋体" w:eastAsia="宋体" w:cs="宋体"/>
          <w:b/>
          <w:bCs/>
          <w:color w:val="333333"/>
          <w:sz w:val="24"/>
          <w:szCs w:val="24"/>
          <w:shd w:val="clear" w:color="auto" w:fill="FFFFFF"/>
        </w:rPr>
        <w:t>五、公告期限</w:t>
      </w:r>
    </w:p>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自本公告发布之日起5个工作日。</w:t>
      </w:r>
    </w:p>
    <w:p>
      <w:pPr>
        <w:pStyle w:val="5"/>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sz w:val="24"/>
          <w:szCs w:val="24"/>
        </w:rPr>
      </w:pPr>
      <w:r>
        <w:rPr>
          <w:rStyle w:val="28"/>
          <w:rFonts w:hint="eastAsia" w:ascii="宋体" w:hAnsi="宋体" w:eastAsia="宋体" w:cs="宋体"/>
          <w:b/>
          <w:bCs/>
          <w:color w:val="333333"/>
          <w:sz w:val="24"/>
          <w:szCs w:val="24"/>
          <w:shd w:val="clear" w:color="auto" w:fill="FFFFFF"/>
        </w:rPr>
        <w:t>六、其他补充事宜</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lang w:val="en-US" w:eastAsia="zh-CN"/>
        </w:rPr>
        <w:t>1、</w:t>
      </w:r>
      <w:r>
        <w:rPr>
          <w:rFonts w:hint="eastAsia" w:ascii="宋体" w:hAnsi="宋体" w:eastAsia="宋体" w:cs="宋体"/>
          <w:color w:val="333333"/>
          <w:szCs w:val="24"/>
          <w:shd w:val="clear" w:color="auto" w:fill="FFFFFF"/>
          <w:lang w:eastAsia="zh-CN"/>
        </w:rPr>
        <w:t>获取方式：打开【全国公共资源交易平台（陕西省·西安市）】网站（简称西安市公共资源交易平台，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投标人须在获取招标文件时限内，下载获取电子采购文件并做好备份，逾期下载通道将关闭，未及时下载招标文件将会影响后续开评标活动。</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lang w:val="en-US" w:eastAsia="zh-CN"/>
        </w:rPr>
        <w:t>2、</w:t>
      </w:r>
      <w:r>
        <w:rPr>
          <w:rFonts w:hint="eastAsia" w:ascii="宋体" w:hAnsi="宋体" w:eastAsia="宋体" w:cs="宋体"/>
          <w:color w:val="333333"/>
          <w:szCs w:val="24"/>
          <w:shd w:val="clear" w:color="auto" w:fill="FFFFFF"/>
          <w:lang w:eastAsia="zh-CN"/>
        </w:rPr>
        <w:t>本项目为电子化政府采购项目，供应商初次登录西安市公共资源交易平台前应先完成诚信入库登记、CA认证和企业信息绑定。详见西安市公共资源交易平台〖首页·〉服务指南·〉下载专区〗中的《西安市市级单位电子化政府采购项目投标指南》。</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lang w:val="en-US" w:eastAsia="zh-CN"/>
        </w:rPr>
        <w:t>3、</w:t>
      </w:r>
      <w:r>
        <w:rPr>
          <w:rFonts w:hint="eastAsia" w:ascii="宋体" w:hAnsi="宋体" w:eastAsia="宋体" w:cs="宋体"/>
          <w:color w:val="333333"/>
          <w:szCs w:val="24"/>
          <w:shd w:val="clear" w:color="auto" w:fill="FFFFFF"/>
          <w:lang w:eastAsia="zh-CN"/>
        </w:rPr>
        <w:t>办理CA认证:电子交易平台现已接入陕西 CA、深圳 CA、西部 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both"/>
        <w:textAlignment w:val="baseline"/>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lang w:val="en-US" w:eastAsia="zh-CN"/>
        </w:rPr>
        <w:t>4、</w:t>
      </w:r>
      <w:r>
        <w:rPr>
          <w:rFonts w:hint="eastAsia" w:ascii="宋体" w:hAnsi="宋体" w:eastAsia="宋体" w:cs="宋体"/>
          <w:color w:val="333333"/>
          <w:szCs w:val="24"/>
          <w:shd w:val="clear" w:color="auto" w:fill="FFFFFF"/>
          <w:lang w:eastAsia="zh-CN"/>
        </w:rPr>
        <w:t>制作电子投标文件（*.SXSTF）需要使用专用制作工具。软件下载及操作说明详见西安市公共资源交易平台〖首页·〉服务指南·〉下载专区〗中的《政府采购项目投标文件制作软件及操作手册》。</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both"/>
        <w:textAlignment w:val="baseline"/>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lang w:val="en-US" w:eastAsia="zh-CN"/>
        </w:rPr>
        <w:t>5、</w:t>
      </w:r>
      <w:r>
        <w:rPr>
          <w:rFonts w:hint="eastAsia" w:ascii="宋体" w:hAnsi="宋体" w:eastAsia="宋体" w:cs="宋体"/>
          <w:color w:val="333333"/>
          <w:szCs w:val="24"/>
          <w:shd w:val="clear" w:color="auto" w:fill="FFFFFF"/>
          <w:lang w:eastAsia="zh-CN"/>
        </w:rPr>
        <w:t>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lang w:val="en-US" w:eastAsia="zh-CN"/>
        </w:rPr>
        <w:t>6、</w:t>
      </w:r>
      <w:r>
        <w:rPr>
          <w:rFonts w:hint="eastAsia" w:ascii="宋体" w:hAnsi="宋体" w:eastAsia="宋体" w:cs="宋体"/>
          <w:color w:val="333333"/>
          <w:szCs w:val="24"/>
          <w:shd w:val="clear" w:color="auto" w:fill="FFFFFF"/>
          <w:lang w:eastAsia="zh-CN"/>
        </w:rPr>
        <w:t>因投标人自身设施故障或自身原因导致无法完成签到、解密或投标的，由投标人自行承担后果。</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default" w:ascii="宋体" w:hAnsi="宋体" w:eastAsia="宋体" w:cs="宋体"/>
          <w:color w:val="333333"/>
          <w:szCs w:val="24"/>
          <w:shd w:val="clear" w:color="auto" w:fill="FFFFFF"/>
          <w:lang w:val="en-US" w:eastAsia="zh-CN"/>
        </w:rPr>
      </w:pPr>
      <w:r>
        <w:rPr>
          <w:rFonts w:hint="eastAsia" w:ascii="宋体" w:hAnsi="宋体" w:cs="宋体"/>
          <w:color w:val="333333"/>
          <w:szCs w:val="24"/>
          <w:shd w:val="clear" w:color="auto" w:fill="FFFFFF"/>
          <w:lang w:val="en-US" w:eastAsia="zh-CN"/>
        </w:rPr>
        <w:t>7、</w:t>
      </w:r>
      <w:r>
        <w:rPr>
          <w:rFonts w:hint="eastAsia" w:ascii="宋体" w:hAnsi="宋体" w:eastAsia="宋体" w:cs="宋体"/>
          <w:color w:val="333333"/>
          <w:szCs w:val="24"/>
          <w:shd w:val="clear" w:color="auto" w:fill="FFFFFF"/>
          <w:lang w:val="en-US" w:eastAsia="zh-CN"/>
        </w:rPr>
        <w:t>（1）《政府采购促进中小企业发展管理办法》（财库〔2020〕46号）；（2）《财政部司法部关于政府采购支持监狱企业发展有关问题的通知》（财库〔2014〕68号）；（3）《政府采购非招标采购方式管理办法》（财政部令74号）；（4）《国务院办公厅关于建立政府强制采购节能产品制度的通知》（国办发〔2007〕51号）；（5）《财政部关于促进政府采购公平竞争优化营商环境的通知》财库〔2019〕38号；（6）《节能产品政府采购实施意见》（财库〔2004〕185号）；（7）《关于落实降低企业杠杆率税收支持政策的通知》财税〔2016〕125号；（8）《环境标志产品政府采购实施的意见》（财库〔2006〕90号）；（9）《关于促进残疾人就业政府采购政策的通知》财库〔2017〕141号；（10）《财政部 发展改革委 生态环境部 市场监管总局关于调整优化节能产品、环境标志产品政府采购执行机制的通知》（财库〔2019〕9号）；（11）《财政部 国务院扶贫办关于运用政府采购政策支持脱贫攻坚的通知》（财库〔2019〕27号）；（12）《政府采购质疑和投诉办法》（财政部第94号令）；(13)《陕西省中小企业政府采购信用融资办法》（陕财办采〔2018〕23号）；（14）《财政部关于进一步加大政府采购支持中小企业力度的通知》（财库〔2022〕19号）。（15）如有最新颁布的政府采购政策，按最新的文件执行；</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2" w:firstLineChars="200"/>
        <w:jc w:val="both"/>
        <w:textAlignment w:val="baseline"/>
        <w:rPr>
          <w:rFonts w:ascii="宋体" w:hAnsi="宋体" w:eastAsia="宋体" w:cs="宋体"/>
          <w:b w:val="0"/>
          <w:sz w:val="24"/>
          <w:szCs w:val="24"/>
        </w:rPr>
      </w:pPr>
      <w:r>
        <w:rPr>
          <w:rStyle w:val="28"/>
          <w:rFonts w:hint="eastAsia" w:ascii="宋体" w:hAnsi="宋体" w:eastAsia="宋体" w:cs="宋体"/>
          <w:b/>
          <w:bCs/>
          <w:color w:val="333333"/>
          <w:sz w:val="24"/>
          <w:szCs w:val="24"/>
          <w:shd w:val="clear" w:color="auto" w:fill="FFFFFF"/>
        </w:rPr>
        <w:t>七、对本次招标提出询问，请按以下方式联系。</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ascii="宋体" w:hAnsi="宋体" w:cs="宋体"/>
          <w:b w:val="0"/>
          <w:bCs w:val="0"/>
          <w:color w:val="333333"/>
          <w:szCs w:val="24"/>
          <w:shd w:val="clear" w:color="auto" w:fill="FFFFFF"/>
        </w:rPr>
      </w:pPr>
      <w:r>
        <w:rPr>
          <w:rFonts w:hint="eastAsia" w:ascii="宋体" w:hAnsi="宋体" w:cs="宋体"/>
          <w:b w:val="0"/>
          <w:bCs w:val="0"/>
          <w:color w:val="333333"/>
          <w:szCs w:val="24"/>
          <w:shd w:val="clear" w:color="auto" w:fill="FFFFFF"/>
        </w:rPr>
        <w:t>1.采购人信息：西安市周至县城市管理局（本级）</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ascii="宋体" w:hAnsi="宋体" w:cs="宋体"/>
          <w:b w:val="0"/>
          <w:bCs w:val="0"/>
          <w:color w:val="333333"/>
          <w:szCs w:val="24"/>
          <w:shd w:val="clear" w:color="auto" w:fill="FFFFFF"/>
        </w:rPr>
      </w:pPr>
      <w:r>
        <w:rPr>
          <w:rFonts w:hint="eastAsia" w:ascii="宋体" w:hAnsi="宋体" w:cs="宋体"/>
          <w:b w:val="0"/>
          <w:bCs w:val="0"/>
          <w:color w:val="333333"/>
          <w:szCs w:val="24"/>
          <w:shd w:val="clear" w:color="auto" w:fill="FFFFFF"/>
        </w:rPr>
        <w:t>联系人：刘主任</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ascii="宋体" w:hAnsi="宋体" w:cs="宋体"/>
          <w:b w:val="0"/>
          <w:bCs w:val="0"/>
          <w:color w:val="333333"/>
          <w:szCs w:val="24"/>
          <w:shd w:val="clear" w:color="auto" w:fill="FFFFFF"/>
        </w:rPr>
      </w:pPr>
      <w:r>
        <w:rPr>
          <w:rFonts w:hint="eastAsia" w:ascii="宋体" w:hAnsi="宋体" w:cs="宋体"/>
          <w:b w:val="0"/>
          <w:bCs w:val="0"/>
          <w:color w:val="333333"/>
          <w:szCs w:val="24"/>
          <w:shd w:val="clear" w:color="auto" w:fill="FFFFFF"/>
        </w:rPr>
        <w:t>联系地址：西安市周至县太白南路居民一区</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ascii="宋体" w:hAnsi="宋体" w:cs="宋体"/>
          <w:szCs w:val="24"/>
        </w:rPr>
      </w:pPr>
      <w:r>
        <w:rPr>
          <w:rFonts w:hint="eastAsia" w:ascii="宋体" w:hAnsi="宋体" w:cs="宋体"/>
          <w:b w:val="0"/>
          <w:bCs w:val="0"/>
          <w:color w:val="333333"/>
          <w:szCs w:val="24"/>
          <w:shd w:val="clear" w:color="auto" w:fill="FFFFFF"/>
        </w:rPr>
        <w:t>联系电话：02987156636</w:t>
      </w:r>
    </w:p>
    <w:p>
      <w:pPr>
        <w:pStyle w:val="6"/>
        <w:keepNext w:val="0"/>
        <w:keepLines w:val="0"/>
        <w:pageBreakBefore w:val="0"/>
        <w:widowControl/>
        <w:kinsoku/>
        <w:wordWrap w:val="0"/>
        <w:overflowPunct/>
        <w:topLinePunct w:val="0"/>
        <w:autoSpaceDE/>
        <w:autoSpaceDN/>
        <w:bidi w:val="0"/>
        <w:adjustRightInd/>
        <w:snapToGrid/>
        <w:spacing w:before="0" w:after="0" w:line="400" w:lineRule="exact"/>
        <w:ind w:firstLine="480" w:firstLineChars="200"/>
        <w:jc w:val="left"/>
        <w:textAlignment w:val="baseline"/>
        <w:rPr>
          <w:rFonts w:ascii="宋体" w:hAnsi="宋体" w:cs="宋体"/>
          <w:b w:val="0"/>
          <w:bCs w:val="0"/>
          <w:szCs w:val="24"/>
        </w:rPr>
      </w:pPr>
      <w:r>
        <w:rPr>
          <w:rFonts w:hint="eastAsia" w:ascii="宋体" w:hAnsi="宋体" w:cs="宋体"/>
          <w:b w:val="0"/>
          <w:bCs w:val="0"/>
          <w:color w:val="333333"/>
          <w:szCs w:val="24"/>
          <w:shd w:val="clear" w:color="auto" w:fill="FFFFFF"/>
        </w:rPr>
        <w:t>2.釆购代理机构信息</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ascii="宋体" w:hAnsi="宋体" w:cs="宋体"/>
          <w:color w:val="auto"/>
          <w:szCs w:val="24"/>
          <w:highlight w:val="none"/>
        </w:rPr>
      </w:pPr>
      <w:r>
        <w:rPr>
          <w:rFonts w:hint="eastAsia" w:ascii="宋体" w:hAnsi="宋体" w:cs="宋体"/>
          <w:color w:val="auto"/>
          <w:szCs w:val="24"/>
          <w:highlight w:val="none"/>
          <w:shd w:val="clear" w:color="auto" w:fill="FFFFFF"/>
        </w:rPr>
        <w:t>名称：天煜荣泽工程咨询有限公司</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ascii="宋体" w:hAnsi="宋体" w:cs="宋体"/>
          <w:color w:val="auto"/>
          <w:szCs w:val="24"/>
          <w:highlight w:val="none"/>
        </w:rPr>
      </w:pPr>
      <w:r>
        <w:rPr>
          <w:rFonts w:hint="eastAsia" w:ascii="宋体" w:hAnsi="宋体" w:cs="宋体"/>
          <w:color w:val="auto"/>
          <w:szCs w:val="24"/>
          <w:highlight w:val="none"/>
          <w:shd w:val="clear" w:color="auto" w:fill="FFFFFF"/>
        </w:rPr>
        <w:t>地址：周至县北大街周至教区总堂斜对面向北10米天煜荣泽2层</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ascii="宋体" w:hAnsi="宋体" w:cs="宋体"/>
          <w:szCs w:val="24"/>
          <w:highlight w:val="green"/>
        </w:rPr>
      </w:pPr>
      <w:r>
        <w:rPr>
          <w:rFonts w:hint="eastAsia" w:ascii="宋体" w:hAnsi="宋体" w:cs="宋体"/>
          <w:color w:val="auto"/>
          <w:szCs w:val="24"/>
          <w:highlight w:val="none"/>
          <w:shd w:val="clear" w:color="auto" w:fill="FFFFFF"/>
        </w:rPr>
        <w:t>联系方式：17719</w:t>
      </w:r>
      <w:r>
        <w:rPr>
          <w:rFonts w:hint="eastAsia" w:ascii="宋体" w:hAnsi="宋体" w:cs="宋体"/>
          <w:color w:val="333333"/>
          <w:szCs w:val="24"/>
          <w:shd w:val="clear" w:color="auto" w:fill="FFFFFF"/>
        </w:rPr>
        <w:t>501789</w:t>
      </w:r>
    </w:p>
    <w:p>
      <w:pPr>
        <w:pStyle w:val="6"/>
        <w:keepNext w:val="0"/>
        <w:keepLines w:val="0"/>
        <w:pageBreakBefore w:val="0"/>
        <w:widowControl/>
        <w:kinsoku/>
        <w:wordWrap w:val="0"/>
        <w:overflowPunct/>
        <w:topLinePunct w:val="0"/>
        <w:autoSpaceDE/>
        <w:autoSpaceDN/>
        <w:bidi w:val="0"/>
        <w:adjustRightInd/>
        <w:snapToGrid/>
        <w:spacing w:before="0" w:after="0" w:line="400" w:lineRule="exact"/>
        <w:ind w:firstLine="480" w:firstLineChars="200"/>
        <w:jc w:val="left"/>
        <w:textAlignment w:val="baseline"/>
        <w:rPr>
          <w:rFonts w:ascii="宋体" w:hAnsi="宋体" w:cs="宋体"/>
          <w:b w:val="0"/>
          <w:bCs w:val="0"/>
          <w:szCs w:val="24"/>
        </w:rPr>
      </w:pPr>
      <w:r>
        <w:rPr>
          <w:rFonts w:hint="eastAsia" w:ascii="宋体" w:hAnsi="宋体" w:cs="宋体"/>
          <w:b w:val="0"/>
          <w:bCs w:val="0"/>
          <w:color w:val="333333"/>
          <w:szCs w:val="24"/>
          <w:shd w:val="clear" w:color="auto" w:fill="FFFFFF"/>
        </w:rPr>
        <w:t>3.项目联系方式</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项目联系人：张工</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电话：17719501789</w:t>
      </w:r>
    </w:p>
    <w:p>
      <w:pPr>
        <w:pStyle w:val="21"/>
        <w:widowControl/>
        <w:wordWrap/>
        <w:spacing w:before="0" w:beforeAutospacing="0" w:after="0" w:afterAutospacing="0" w:line="360" w:lineRule="auto"/>
        <w:ind w:firstLine="480" w:firstLineChars="200"/>
        <w:jc w:val="right"/>
        <w:textAlignment w:val="baseline"/>
        <w:rPr>
          <w:rFonts w:hint="eastAsia" w:ascii="宋体" w:hAnsi="宋体" w:cs="宋体"/>
          <w:color w:val="333333"/>
          <w:szCs w:val="24"/>
          <w:shd w:val="clear" w:color="auto" w:fill="FFFFFF"/>
        </w:rPr>
      </w:pPr>
    </w:p>
    <w:p>
      <w:pPr>
        <w:pStyle w:val="21"/>
        <w:widowControl/>
        <w:wordWrap/>
        <w:spacing w:before="0" w:beforeAutospacing="0" w:after="0" w:afterAutospacing="0" w:line="360" w:lineRule="auto"/>
        <w:ind w:firstLine="480" w:firstLineChars="200"/>
        <w:jc w:val="right"/>
        <w:textAlignment w:val="baseline"/>
        <w:rPr>
          <w:rFonts w:hint="eastAsia" w:ascii="宋体" w:hAnsi="宋体" w:cs="宋体"/>
          <w:color w:val="333333"/>
          <w:szCs w:val="24"/>
          <w:shd w:val="clear" w:color="auto" w:fill="FFFFFF"/>
        </w:rPr>
      </w:pPr>
    </w:p>
    <w:p>
      <w:pPr>
        <w:numPr>
          <w:ilvl w:val="0"/>
          <w:numId w:val="2"/>
        </w:numPr>
        <w:jc w:val="center"/>
        <w:outlineLvl w:val="0"/>
        <w:rPr>
          <w:rFonts w:ascii="宋体" w:hAnsi="宋体" w:cs="宋体"/>
          <w:b/>
          <w:bCs/>
          <w:sz w:val="32"/>
          <w:szCs w:val="32"/>
        </w:rPr>
      </w:pPr>
      <w:bookmarkStart w:id="11" w:name="_Toc14249"/>
      <w:r>
        <w:rPr>
          <w:rFonts w:hint="eastAsia" w:ascii="宋体" w:hAnsi="宋体" w:cs="宋体"/>
          <w:b/>
          <w:bCs/>
          <w:sz w:val="32"/>
          <w:szCs w:val="32"/>
        </w:rPr>
        <w:t>投标人须知</w:t>
      </w:r>
      <w:bookmarkEnd w:id="11"/>
    </w:p>
    <w:p>
      <w:pPr>
        <w:rPr>
          <w:rFonts w:ascii="宋体" w:hAnsi="宋体" w:cs="宋体"/>
          <w:b/>
          <w:sz w:val="24"/>
          <w:szCs w:val="24"/>
        </w:rPr>
      </w:pPr>
      <w:r>
        <w:rPr>
          <w:rFonts w:hint="eastAsia" w:ascii="宋体" w:hAnsi="宋体" w:cs="宋体"/>
          <w:b/>
          <w:sz w:val="24"/>
          <w:szCs w:val="24"/>
        </w:rPr>
        <w:t>投标人须知前附表</w:t>
      </w:r>
      <w:bookmarkEnd w:id="2"/>
      <w:bookmarkEnd w:id="3"/>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773"/>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序号</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内容</w:t>
            </w:r>
          </w:p>
        </w:tc>
        <w:tc>
          <w:tcPr>
            <w:tcW w:w="5984"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项目名称</w:t>
            </w:r>
          </w:p>
        </w:tc>
        <w:tc>
          <w:tcPr>
            <w:tcW w:w="5984" w:type="dxa"/>
          </w:tcPr>
          <w:p>
            <w:pPr>
              <w:keepNext w:val="0"/>
              <w:keepLines w:val="0"/>
              <w:pageBreakBefore w:val="0"/>
              <w:kinsoku/>
              <w:overflowPunct/>
              <w:topLinePunct w:val="0"/>
              <w:autoSpaceDE/>
              <w:autoSpaceDN/>
              <w:bidi w:val="0"/>
              <w:adjustRightInd/>
              <w:snapToGrid/>
              <w:spacing w:line="400" w:lineRule="exact"/>
              <w:rPr>
                <w:sz w:val="24"/>
                <w:szCs w:val="24"/>
                <w:vertAlign w:val="baseline"/>
              </w:rPr>
            </w:pPr>
            <w:r>
              <w:rPr>
                <w:rFonts w:hint="eastAsia" w:asciiTheme="minorEastAsia" w:hAnsiTheme="minorEastAsia" w:eastAsiaTheme="minorEastAsia" w:cstheme="minorEastAsia"/>
                <w:sz w:val="24"/>
                <w:szCs w:val="24"/>
                <w:shd w:val="clear" w:color="auto" w:fill="FFFFFF"/>
                <w:lang w:eastAsia="zh-CN"/>
              </w:rPr>
              <w:t>2024年周至县道路清扫保洁、垃圾清运、绿化养护、公厕管理市场化运作项目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项目编号</w:t>
            </w:r>
          </w:p>
        </w:tc>
        <w:tc>
          <w:tcPr>
            <w:tcW w:w="5984" w:type="dxa"/>
          </w:tcPr>
          <w:p>
            <w:pPr>
              <w:keepNext w:val="0"/>
              <w:keepLines w:val="0"/>
              <w:pageBreakBefore w:val="0"/>
              <w:kinsoku/>
              <w:overflowPunct/>
              <w:topLinePunct w:val="0"/>
              <w:autoSpaceDE/>
              <w:autoSpaceDN/>
              <w:bidi w:val="0"/>
              <w:adjustRightInd/>
              <w:snapToGrid/>
              <w:spacing w:line="400" w:lineRule="exact"/>
              <w:jc w:val="left"/>
              <w:rPr>
                <w:color w:val="000000" w:themeColor="text1"/>
                <w:sz w:val="24"/>
                <w:szCs w:val="24"/>
                <w:vertAlign w:val="baseline"/>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TYRZ-2024-ZZ059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预算执行书编号</w:t>
            </w:r>
          </w:p>
        </w:tc>
        <w:tc>
          <w:tcPr>
            <w:tcW w:w="5984" w:type="dxa"/>
          </w:tcPr>
          <w:p>
            <w:pPr>
              <w:keepNext w:val="0"/>
              <w:keepLines w:val="0"/>
              <w:pageBreakBefore w:val="0"/>
              <w:kinsoku/>
              <w:overflowPunct/>
              <w:topLinePunct w:val="0"/>
              <w:autoSpaceDE/>
              <w:autoSpaceDN/>
              <w:bidi w:val="0"/>
              <w:adjustRightInd/>
              <w:snapToGrid/>
              <w:spacing w:line="400" w:lineRule="exact"/>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YS-周至县-2024-00004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765" w:type="dxa"/>
            <w:vMerge w:val="restart"/>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预算金额</w:t>
            </w:r>
          </w:p>
        </w:tc>
        <w:tc>
          <w:tcPr>
            <w:tcW w:w="5984" w:type="dxa"/>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eastAsia="zh-CN"/>
              </w:rPr>
              <w:t>总预算：24394616.80</w:t>
            </w:r>
            <w:r>
              <w:rPr>
                <w:rFonts w:hint="eastAsia" w:asciiTheme="majorEastAsia" w:hAnsiTheme="majorEastAsia" w:eastAsiaTheme="majorEastAsia" w:cstheme="majorEastAsia"/>
                <w:color w:val="auto"/>
                <w:sz w:val="24"/>
                <w:szCs w:val="24"/>
              </w:rPr>
              <w:t xml:space="preserve"> 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eastAsia="zh-CN"/>
              </w:rPr>
              <w:t xml:space="preserve">合同包1：7941554.69 </w:t>
            </w:r>
            <w:r>
              <w:rPr>
                <w:rFonts w:hint="eastAsia" w:asciiTheme="majorEastAsia" w:hAnsiTheme="majorEastAsia" w:eastAsiaTheme="majorEastAsia" w:cstheme="majorEastAsia"/>
                <w:color w:val="auto"/>
                <w:sz w:val="24"/>
                <w:szCs w:val="24"/>
                <w:lang w:val="en-US" w:eastAsia="zh-CN"/>
              </w:rPr>
              <w:t>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合同包2：4801792.92</w:t>
            </w:r>
            <w:r>
              <w:rPr>
                <w:rFonts w:hint="eastAsia" w:asciiTheme="majorEastAsia" w:hAnsiTheme="majorEastAsia" w:eastAsiaTheme="majorEastAsia" w:cstheme="majorEastAsia"/>
                <w:color w:val="auto"/>
                <w:sz w:val="24"/>
                <w:szCs w:val="24"/>
                <w:lang w:val="en-US" w:eastAsia="zh-CN"/>
              </w:rPr>
              <w:t>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合同包3：4527237.65</w:t>
            </w:r>
            <w:r>
              <w:rPr>
                <w:rFonts w:hint="eastAsia" w:asciiTheme="majorEastAsia" w:hAnsiTheme="majorEastAsia" w:eastAsiaTheme="majorEastAsia" w:cstheme="majorEastAsia"/>
                <w:color w:val="auto"/>
                <w:sz w:val="24"/>
                <w:szCs w:val="24"/>
                <w:lang w:val="en-US" w:eastAsia="zh-CN"/>
              </w:rPr>
              <w:t>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合同包4：4448888.82</w:t>
            </w:r>
            <w:r>
              <w:rPr>
                <w:rFonts w:hint="eastAsia" w:asciiTheme="majorEastAsia" w:hAnsiTheme="majorEastAsia" w:eastAsiaTheme="majorEastAsia" w:cstheme="majorEastAsia"/>
                <w:color w:val="auto"/>
                <w:sz w:val="24"/>
                <w:szCs w:val="24"/>
                <w:lang w:val="en-US" w:eastAsia="zh-CN"/>
              </w:rPr>
              <w:t>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color w:val="auto"/>
                <w:lang w:eastAsia="zh-CN"/>
              </w:rPr>
            </w:pPr>
            <w:r>
              <w:rPr>
                <w:rFonts w:hint="eastAsia" w:asciiTheme="majorEastAsia" w:hAnsiTheme="majorEastAsia" w:eastAsiaTheme="majorEastAsia" w:cstheme="majorEastAsia"/>
                <w:color w:val="auto"/>
                <w:sz w:val="24"/>
                <w:szCs w:val="24"/>
                <w:lang w:eastAsia="zh-CN"/>
              </w:rPr>
              <w:t>合同包5：2675142.72</w:t>
            </w:r>
            <w:r>
              <w:rPr>
                <w:rFonts w:hint="eastAsia" w:asciiTheme="majorEastAsia" w:hAnsiTheme="majorEastAsia" w:eastAsiaTheme="majorEastAsia" w:cstheme="majorEastAsia"/>
                <w:color w:val="auto"/>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65" w:type="dxa"/>
            <w:vMerge w:val="continue"/>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最高限价</w:t>
            </w:r>
          </w:p>
        </w:tc>
        <w:tc>
          <w:tcPr>
            <w:tcW w:w="5984" w:type="dxa"/>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eastAsia="zh-CN"/>
              </w:rPr>
              <w:t>合同包1：7941545.47</w:t>
            </w:r>
            <w:r>
              <w:rPr>
                <w:rFonts w:hint="eastAsia" w:asciiTheme="majorEastAsia" w:hAnsiTheme="majorEastAsia" w:eastAsiaTheme="majorEastAsia" w:cstheme="majorEastAsia"/>
                <w:color w:val="auto"/>
                <w:sz w:val="24"/>
                <w:szCs w:val="24"/>
                <w:lang w:val="en-US" w:eastAsia="zh-CN"/>
              </w:rPr>
              <w:t>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合同包2：4801792.92</w:t>
            </w:r>
            <w:r>
              <w:rPr>
                <w:rFonts w:hint="eastAsia" w:asciiTheme="majorEastAsia" w:hAnsiTheme="majorEastAsia" w:eastAsiaTheme="majorEastAsia" w:cstheme="majorEastAsia"/>
                <w:color w:val="auto"/>
                <w:sz w:val="24"/>
                <w:szCs w:val="24"/>
                <w:lang w:val="en-US" w:eastAsia="zh-CN"/>
              </w:rPr>
              <w:t>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合同包3：4527237.65</w:t>
            </w:r>
            <w:r>
              <w:rPr>
                <w:rFonts w:hint="eastAsia" w:asciiTheme="majorEastAsia" w:hAnsiTheme="majorEastAsia" w:eastAsiaTheme="majorEastAsia" w:cstheme="majorEastAsia"/>
                <w:color w:val="auto"/>
                <w:sz w:val="24"/>
                <w:szCs w:val="24"/>
                <w:lang w:val="en-US" w:eastAsia="zh-CN"/>
              </w:rPr>
              <w:t>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合同包4：4448888.82</w:t>
            </w:r>
            <w:r>
              <w:rPr>
                <w:rFonts w:hint="eastAsia" w:asciiTheme="majorEastAsia" w:hAnsiTheme="majorEastAsia" w:eastAsiaTheme="majorEastAsia" w:cstheme="majorEastAsia"/>
                <w:color w:val="auto"/>
                <w:sz w:val="24"/>
                <w:szCs w:val="24"/>
                <w:lang w:val="en-US" w:eastAsia="zh-CN"/>
              </w:rPr>
              <w:t>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eastAsia="zh-CN"/>
              </w:rPr>
              <w:t>合同包5：2675142.72</w:t>
            </w:r>
            <w:r>
              <w:rPr>
                <w:rFonts w:hint="eastAsia" w:asciiTheme="majorEastAsia" w:hAnsiTheme="majorEastAsia" w:eastAsiaTheme="majorEastAsia" w:cstheme="majorEastAsia"/>
                <w:color w:val="auto"/>
                <w:sz w:val="24"/>
                <w:szCs w:val="24"/>
                <w:lang w:val="en-US" w:eastAsia="zh-CN"/>
              </w:rPr>
              <w:t>元</w:t>
            </w:r>
          </w:p>
          <w:p>
            <w:pPr>
              <w:pStyle w:val="23"/>
              <w:spacing w:line="240" w:lineRule="auto"/>
              <w:ind w:left="0" w:leftChars="0" w:firstLine="0" w:firstLineChars="0"/>
              <w:rPr>
                <w:rFonts w:hint="eastAsia"/>
                <w:color w:val="auto"/>
                <w:lang w:eastAsia="zh-CN"/>
              </w:rPr>
            </w:pPr>
            <w:r>
              <w:rPr>
                <w:rFonts w:hint="eastAsia"/>
                <w:color w:val="auto"/>
                <w:lang w:eastAsia="zh-CN"/>
              </w:rPr>
              <w:t>分项限价</w:t>
            </w:r>
          </w:p>
          <w:p>
            <w:pPr>
              <w:pStyle w:val="23"/>
              <w:spacing w:line="240" w:lineRule="auto"/>
              <w:ind w:left="0" w:leftChars="0" w:firstLine="0" w:firstLineChars="0"/>
              <w:rPr>
                <w:rFonts w:hint="eastAsia"/>
                <w:color w:val="auto"/>
                <w:lang w:eastAsia="zh-CN"/>
              </w:rPr>
            </w:pPr>
            <w:r>
              <w:rPr>
                <w:rFonts w:hint="eastAsia"/>
                <w:color w:val="auto"/>
                <w:lang w:eastAsia="zh-CN"/>
              </w:rPr>
              <w:t>一类道路最高限价：</w:t>
            </w:r>
            <w:r>
              <w:rPr>
                <w:rFonts w:hint="eastAsia"/>
                <w:color w:val="auto"/>
                <w:lang w:val="en-US" w:eastAsia="zh-CN"/>
              </w:rPr>
              <w:t>12.50</w:t>
            </w:r>
            <w:r>
              <w:rPr>
                <w:rFonts w:hint="eastAsia"/>
                <w:color w:val="auto"/>
                <w:lang w:eastAsia="zh-CN"/>
              </w:rPr>
              <w:t>元/㎡</w:t>
            </w:r>
          </w:p>
          <w:p>
            <w:pPr>
              <w:pStyle w:val="23"/>
              <w:spacing w:line="240" w:lineRule="auto"/>
              <w:ind w:left="0" w:leftChars="0" w:firstLine="0" w:firstLineChars="0"/>
              <w:rPr>
                <w:rFonts w:hint="eastAsia"/>
                <w:color w:val="auto"/>
                <w:lang w:eastAsia="zh-CN"/>
              </w:rPr>
            </w:pPr>
            <w:r>
              <w:rPr>
                <w:rFonts w:hint="eastAsia"/>
                <w:color w:val="auto"/>
                <w:lang w:eastAsia="zh-CN"/>
              </w:rPr>
              <w:t>二类道路最高限价：12</w:t>
            </w:r>
            <w:r>
              <w:rPr>
                <w:rFonts w:hint="eastAsia"/>
                <w:color w:val="auto"/>
                <w:lang w:val="en-US" w:eastAsia="zh-CN"/>
              </w:rPr>
              <w:t>.17</w:t>
            </w:r>
            <w:r>
              <w:rPr>
                <w:rFonts w:hint="eastAsia"/>
                <w:color w:val="auto"/>
                <w:lang w:eastAsia="zh-CN"/>
              </w:rPr>
              <w:t>元/㎡</w:t>
            </w:r>
          </w:p>
          <w:p>
            <w:pPr>
              <w:pStyle w:val="23"/>
              <w:spacing w:line="240" w:lineRule="auto"/>
              <w:ind w:left="0" w:leftChars="0" w:firstLine="0" w:firstLineChars="0"/>
              <w:rPr>
                <w:rFonts w:hint="eastAsia"/>
                <w:color w:val="auto"/>
                <w:lang w:eastAsia="zh-CN"/>
              </w:rPr>
            </w:pPr>
            <w:r>
              <w:rPr>
                <w:rFonts w:hint="eastAsia"/>
                <w:color w:val="auto"/>
                <w:lang w:eastAsia="zh-CN"/>
              </w:rPr>
              <w:t>三类道路最高限价：11.0</w:t>
            </w:r>
            <w:r>
              <w:rPr>
                <w:rFonts w:hint="eastAsia"/>
                <w:color w:val="auto"/>
                <w:lang w:val="en-US" w:eastAsia="zh-CN"/>
              </w:rPr>
              <w:t>3</w:t>
            </w:r>
            <w:r>
              <w:rPr>
                <w:rFonts w:hint="eastAsia"/>
                <w:color w:val="auto"/>
                <w:lang w:eastAsia="zh-CN"/>
              </w:rPr>
              <w:t>元/㎡</w:t>
            </w:r>
          </w:p>
          <w:p>
            <w:pPr>
              <w:pStyle w:val="23"/>
              <w:spacing w:line="240" w:lineRule="auto"/>
              <w:ind w:left="0" w:leftChars="0" w:firstLine="0" w:firstLineChars="0"/>
              <w:rPr>
                <w:rFonts w:hint="eastAsia"/>
                <w:color w:val="auto"/>
                <w:lang w:eastAsia="zh-CN"/>
              </w:rPr>
            </w:pPr>
            <w:r>
              <w:rPr>
                <w:rFonts w:hint="eastAsia"/>
                <w:color w:val="auto"/>
                <w:lang w:eastAsia="zh-CN"/>
              </w:rPr>
              <w:t>公厕管护最高限价：</w:t>
            </w:r>
            <w:r>
              <w:rPr>
                <w:rFonts w:hint="eastAsia"/>
                <w:color w:val="auto"/>
                <w:lang w:val="en-US" w:eastAsia="zh-CN"/>
              </w:rPr>
              <w:t>63600</w:t>
            </w:r>
            <w:r>
              <w:rPr>
                <w:rFonts w:hint="eastAsia"/>
                <w:color w:val="auto"/>
                <w:lang w:eastAsia="zh-CN"/>
              </w:rPr>
              <w:t>元/座</w:t>
            </w:r>
          </w:p>
          <w:p>
            <w:pPr>
              <w:pStyle w:val="24"/>
              <w:spacing w:line="240" w:lineRule="auto"/>
              <w:ind w:left="0" w:leftChars="0" w:firstLine="0" w:firstLineChars="0"/>
              <w:rPr>
                <w:rFonts w:hint="default"/>
                <w:lang w:val="en-US" w:eastAsia="zh-CN"/>
              </w:rPr>
            </w:pPr>
            <w:r>
              <w:rPr>
                <w:rFonts w:hint="eastAsia" w:ascii="宋体" w:hAnsi="宋体" w:eastAsia="宋体" w:cs="Times New Roman"/>
                <w:color w:val="auto"/>
                <w:kern w:val="2"/>
                <w:sz w:val="24"/>
                <w:szCs w:val="22"/>
                <w:lang w:val="en-US" w:eastAsia="zh-CN" w:bidi="ar-SA"/>
              </w:rPr>
              <w:t>垃</w:t>
            </w:r>
            <w:bookmarkStart w:id="54" w:name="_GoBack"/>
            <w:bookmarkEnd w:id="54"/>
            <w:r>
              <w:rPr>
                <w:rFonts w:hint="eastAsia" w:ascii="宋体" w:hAnsi="宋体" w:eastAsia="宋体" w:cs="Times New Roman"/>
                <w:color w:val="auto"/>
                <w:kern w:val="2"/>
                <w:sz w:val="24"/>
                <w:szCs w:val="22"/>
                <w:lang w:val="en-US" w:eastAsia="zh-CN" w:bidi="ar-SA"/>
              </w:rPr>
              <w:t>圾清运最高限价：3161689.99元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是否接受联合体</w:t>
            </w:r>
          </w:p>
        </w:tc>
        <w:tc>
          <w:tcPr>
            <w:tcW w:w="5984" w:type="dxa"/>
          </w:tcPr>
          <w:p>
            <w:pPr>
              <w:keepNext w:val="0"/>
              <w:keepLines w:val="0"/>
              <w:pageBreakBefore w:val="0"/>
              <w:kinsoku/>
              <w:overflowPunct/>
              <w:topLinePunct w:val="0"/>
              <w:autoSpaceDE/>
              <w:autoSpaceDN/>
              <w:bidi w:val="0"/>
              <w:adjustRightInd/>
              <w:snapToGrid/>
              <w:spacing w:line="400" w:lineRule="exact"/>
              <w:rPr>
                <w:rFonts w:hint="eastAsia" w:eastAsiaTheme="minorEastAsia"/>
                <w:sz w:val="24"/>
                <w:szCs w:val="24"/>
                <w:vertAlign w:val="baseline"/>
                <w:lang w:eastAsia="zh-CN"/>
              </w:rPr>
            </w:pPr>
            <w:r>
              <w:rPr>
                <w:rFonts w:hint="eastAsia"/>
                <w:sz w:val="24"/>
                <w:szCs w:val="24"/>
                <w:vertAlign w:val="baseli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投标保证金</w:t>
            </w:r>
          </w:p>
        </w:tc>
        <w:tc>
          <w:tcPr>
            <w:tcW w:w="5984" w:type="dxa"/>
          </w:tcPr>
          <w:p>
            <w:pPr>
              <w:keepNext w:val="0"/>
              <w:keepLines w:val="0"/>
              <w:pageBreakBefore w:val="0"/>
              <w:kinsoku/>
              <w:overflowPunct/>
              <w:topLinePunct w:val="0"/>
              <w:autoSpaceDE/>
              <w:autoSpaceDN/>
              <w:bidi w:val="0"/>
              <w:adjustRightInd/>
              <w:snapToGrid/>
              <w:spacing w:line="400" w:lineRule="exact"/>
              <w:rPr>
                <w:sz w:val="24"/>
                <w:szCs w:val="24"/>
                <w:vertAlign w:val="baseline"/>
              </w:rPr>
            </w:pPr>
            <w:r>
              <w:rPr>
                <w:rFonts w:hint="eastAsia"/>
                <w:sz w:val="24"/>
                <w:szCs w:val="24"/>
                <w:vertAlign w:val="baseline"/>
              </w:rPr>
              <w:t>为响应《西安市财政局关于促进政府采购公平竞争优化营商环境的通知》市财函【2020】617 号文件精神，本项目无需缴纳投标保证金。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采购人</w:t>
            </w:r>
          </w:p>
        </w:tc>
        <w:tc>
          <w:tcPr>
            <w:tcW w:w="5984" w:type="dxa"/>
          </w:tcPr>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both"/>
              <w:textAlignment w:val="baseline"/>
              <w:rPr>
                <w:rFonts w:hint="eastAsia"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采购人信息：西安市周至县城市管理局（本级）</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both"/>
              <w:textAlignment w:val="baseline"/>
              <w:rPr>
                <w:rFonts w:hint="eastAsia"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联系人：刘主任</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both"/>
              <w:textAlignment w:val="baseline"/>
              <w:rPr>
                <w:rFonts w:hint="eastAsia"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联系地址：西安市周至县太白南路居民一区</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both"/>
              <w:textAlignment w:val="baseline"/>
              <w:rPr>
                <w:sz w:val="24"/>
                <w:szCs w:val="24"/>
                <w:vertAlign w:val="baseline"/>
              </w:rPr>
            </w:pPr>
            <w:r>
              <w:rPr>
                <w:rFonts w:hint="eastAsia" w:asciiTheme="minorEastAsia" w:hAnsiTheme="minorEastAsia" w:eastAsiaTheme="minorEastAsia" w:cstheme="minorEastAsia"/>
                <w:szCs w:val="24"/>
                <w:shd w:val="clear" w:color="auto" w:fill="FFFFFF"/>
              </w:rPr>
              <w:t>联系电话：02987156636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采购代理机构</w:t>
            </w:r>
          </w:p>
        </w:tc>
        <w:tc>
          <w:tcPr>
            <w:tcW w:w="5984" w:type="dxa"/>
          </w:tcPr>
          <w:p>
            <w:pPr>
              <w:pStyle w:val="21"/>
              <w:keepNext w:val="0"/>
              <w:keepLines w:val="0"/>
              <w:pageBreakBefore w:val="0"/>
              <w:widowControl/>
              <w:kinsoku/>
              <w:overflowPunct/>
              <w:topLinePunct w:val="0"/>
              <w:autoSpaceDE/>
              <w:autoSpaceDN/>
              <w:bidi w:val="0"/>
              <w:adjustRightInd/>
              <w:snapToGrid/>
              <w:spacing w:before="0" w:beforeAutospacing="0" w:after="0" w:afterAutospacing="0" w:line="400" w:lineRule="exact"/>
              <w:rPr>
                <w:rFonts w:ascii="宋体" w:hAnsi="宋体" w:cs="宋体"/>
                <w:szCs w:val="24"/>
                <w:shd w:val="clear" w:color="auto" w:fill="FFFFFF"/>
              </w:rPr>
            </w:pPr>
            <w:r>
              <w:rPr>
                <w:rFonts w:hint="eastAsia" w:ascii="宋体" w:hAnsi="宋体" w:cs="宋体"/>
                <w:szCs w:val="24"/>
                <w:shd w:val="clear" w:color="auto" w:fill="FFFFFF"/>
              </w:rPr>
              <w:t>名  称：天煜荣泽工程咨询有限公司</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both"/>
              <w:textAlignment w:val="baseline"/>
              <w:rPr>
                <w:rFonts w:ascii="宋体" w:hAnsi="宋体" w:cs="宋体"/>
                <w:color w:val="auto"/>
                <w:szCs w:val="24"/>
                <w:highlight w:val="none"/>
              </w:rPr>
            </w:pPr>
            <w:r>
              <w:rPr>
                <w:rFonts w:hint="eastAsia" w:ascii="宋体" w:hAnsi="宋体"/>
                <w:szCs w:val="24"/>
              </w:rPr>
              <w:t>地  址：</w:t>
            </w:r>
            <w:r>
              <w:rPr>
                <w:rFonts w:hint="eastAsia" w:ascii="宋体" w:hAnsi="宋体" w:cs="宋体"/>
                <w:color w:val="auto"/>
                <w:szCs w:val="24"/>
                <w:highlight w:val="none"/>
                <w:shd w:val="clear" w:color="auto" w:fill="FFFFFF"/>
              </w:rPr>
              <w:t>周至县北大街周至教区总堂斜对面向北10米天煜荣泽2层</w:t>
            </w:r>
          </w:p>
          <w:p>
            <w:pPr>
              <w:pStyle w:val="21"/>
              <w:keepNext w:val="0"/>
              <w:keepLines w:val="0"/>
              <w:pageBreakBefore w:val="0"/>
              <w:widowControl/>
              <w:kinsoku/>
              <w:overflowPunct/>
              <w:topLinePunct w:val="0"/>
              <w:autoSpaceDE/>
              <w:autoSpaceDN/>
              <w:bidi w:val="0"/>
              <w:adjustRightInd/>
              <w:snapToGrid/>
              <w:spacing w:before="0" w:beforeAutospacing="0" w:after="0" w:afterAutospacing="0" w:line="400" w:lineRule="exact"/>
              <w:rPr>
                <w:rFonts w:ascii="宋体" w:hAnsi="宋体" w:cs="宋体"/>
                <w:szCs w:val="24"/>
                <w:shd w:val="clear" w:color="auto" w:fill="FFFFFF"/>
              </w:rPr>
            </w:pPr>
            <w:r>
              <w:rPr>
                <w:rFonts w:hint="eastAsia" w:ascii="宋体" w:hAnsi="宋体" w:cs="宋体"/>
                <w:szCs w:val="24"/>
                <w:shd w:val="clear" w:color="auto" w:fill="FFFFFF"/>
              </w:rPr>
              <w:t>联系人：张工</w:t>
            </w:r>
          </w:p>
          <w:p>
            <w:pPr>
              <w:keepNext w:val="0"/>
              <w:keepLines w:val="0"/>
              <w:pageBreakBefore w:val="0"/>
              <w:kinsoku/>
              <w:overflowPunct/>
              <w:topLinePunct w:val="0"/>
              <w:autoSpaceDE/>
              <w:autoSpaceDN/>
              <w:bidi w:val="0"/>
              <w:adjustRightInd/>
              <w:snapToGrid/>
              <w:spacing w:line="400" w:lineRule="exact"/>
              <w:rPr>
                <w:sz w:val="24"/>
                <w:szCs w:val="24"/>
                <w:vertAlign w:val="baseline"/>
              </w:rPr>
            </w:pPr>
            <w:r>
              <w:rPr>
                <w:rFonts w:hint="eastAsia" w:ascii="宋体" w:hAnsi="宋体" w:cs="宋体"/>
                <w:sz w:val="24"/>
                <w:szCs w:val="24"/>
                <w:shd w:val="clear" w:color="auto" w:fill="FFFFFF"/>
              </w:rPr>
              <w:t>联系方式：17719501789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项目实施地点</w:t>
            </w:r>
          </w:p>
        </w:tc>
        <w:tc>
          <w:tcPr>
            <w:tcW w:w="5984" w:type="dxa"/>
          </w:tcPr>
          <w:p>
            <w:pPr>
              <w:keepNext w:val="0"/>
              <w:keepLines w:val="0"/>
              <w:pageBreakBefore w:val="0"/>
              <w:kinsoku/>
              <w:overflowPunct/>
              <w:topLinePunct w:val="0"/>
              <w:autoSpaceDE/>
              <w:autoSpaceDN/>
              <w:bidi w:val="0"/>
              <w:adjustRightInd/>
              <w:snapToGrid/>
              <w:spacing w:line="400" w:lineRule="exact"/>
              <w:rPr>
                <w:rFonts w:hint="eastAsia" w:eastAsiaTheme="minorEastAsia"/>
                <w:sz w:val="24"/>
                <w:szCs w:val="24"/>
                <w:vertAlign w:val="baseline"/>
                <w:lang w:eastAsia="zh-CN"/>
              </w:rPr>
            </w:pPr>
            <w:r>
              <w:rPr>
                <w:rFonts w:hint="eastAsia"/>
                <w:sz w:val="24"/>
                <w:szCs w:val="24"/>
                <w:vertAlign w:val="baseline"/>
                <w:lang w:eastAsia="zh-CN"/>
              </w:rPr>
              <w:t>周至县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资金来源</w:t>
            </w:r>
          </w:p>
        </w:tc>
        <w:tc>
          <w:tcPr>
            <w:tcW w:w="5984" w:type="dxa"/>
          </w:tcPr>
          <w:p>
            <w:pPr>
              <w:keepNext w:val="0"/>
              <w:keepLines w:val="0"/>
              <w:pageBreakBefore w:val="0"/>
              <w:kinsoku/>
              <w:overflowPunct/>
              <w:topLinePunct w:val="0"/>
              <w:autoSpaceDE/>
              <w:autoSpaceDN/>
              <w:bidi w:val="0"/>
              <w:adjustRightInd/>
              <w:snapToGrid/>
              <w:spacing w:line="400" w:lineRule="exact"/>
              <w:rPr>
                <w:rFonts w:hint="eastAsia" w:eastAsiaTheme="minorEastAsia"/>
                <w:sz w:val="24"/>
                <w:szCs w:val="24"/>
                <w:vertAlign w:val="baseline"/>
                <w:lang w:eastAsia="zh-CN"/>
              </w:rPr>
            </w:pPr>
            <w:r>
              <w:rPr>
                <w:rFonts w:hint="eastAsia"/>
                <w:sz w:val="24"/>
                <w:szCs w:val="24"/>
                <w:vertAlign w:val="baseline"/>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出资比例</w:t>
            </w:r>
          </w:p>
        </w:tc>
        <w:tc>
          <w:tcPr>
            <w:tcW w:w="5984" w:type="dxa"/>
          </w:tcPr>
          <w:p>
            <w:pPr>
              <w:keepNext w:val="0"/>
              <w:keepLines w:val="0"/>
              <w:pageBreakBefore w:val="0"/>
              <w:kinsoku/>
              <w:overflowPunct/>
              <w:topLinePunct w:val="0"/>
              <w:autoSpaceDE/>
              <w:autoSpaceDN/>
              <w:bidi w:val="0"/>
              <w:adjustRightInd/>
              <w:snapToGrid/>
              <w:spacing w:line="400" w:lineRule="exact"/>
              <w:rPr>
                <w:rFonts w:hint="default" w:eastAsiaTheme="minorEastAsia"/>
                <w:sz w:val="24"/>
                <w:szCs w:val="24"/>
                <w:vertAlign w:val="baseline"/>
                <w:lang w:val="en-US" w:eastAsia="zh-CN"/>
              </w:rPr>
            </w:pPr>
            <w:r>
              <w:rPr>
                <w:rFonts w:hint="eastAsia"/>
                <w:sz w:val="24"/>
                <w:szCs w:val="24"/>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资金落实情况</w:t>
            </w:r>
          </w:p>
        </w:tc>
        <w:tc>
          <w:tcPr>
            <w:tcW w:w="5984" w:type="dxa"/>
          </w:tcPr>
          <w:p>
            <w:pPr>
              <w:keepNext w:val="0"/>
              <w:keepLines w:val="0"/>
              <w:pageBreakBefore w:val="0"/>
              <w:kinsoku/>
              <w:overflowPunct/>
              <w:topLinePunct w:val="0"/>
              <w:autoSpaceDE/>
              <w:autoSpaceDN/>
              <w:bidi w:val="0"/>
              <w:adjustRightInd/>
              <w:snapToGrid/>
              <w:spacing w:line="400" w:lineRule="exact"/>
              <w:rPr>
                <w:rFonts w:hint="eastAsia" w:eastAsiaTheme="minorEastAsia"/>
                <w:sz w:val="24"/>
                <w:szCs w:val="24"/>
                <w:vertAlign w:val="baseline"/>
                <w:lang w:eastAsia="zh-CN"/>
              </w:rPr>
            </w:pPr>
            <w:r>
              <w:rPr>
                <w:rFonts w:hint="eastAsia"/>
                <w:sz w:val="24"/>
                <w:szCs w:val="24"/>
                <w:vertAlign w:val="baseline"/>
                <w:lang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采购内容及采购范围</w:t>
            </w:r>
          </w:p>
        </w:tc>
        <w:tc>
          <w:tcPr>
            <w:tcW w:w="5984" w:type="dxa"/>
          </w:tcPr>
          <w:p>
            <w:pPr>
              <w:keepNext w:val="0"/>
              <w:keepLines w:val="0"/>
              <w:pageBreakBefore w:val="0"/>
              <w:kinsoku/>
              <w:overflowPunct/>
              <w:topLinePunct w:val="0"/>
              <w:autoSpaceDE/>
              <w:autoSpaceDN/>
              <w:bidi w:val="0"/>
              <w:adjustRightInd/>
              <w:snapToGrid/>
              <w:spacing w:line="400" w:lineRule="exact"/>
              <w:rPr>
                <w:sz w:val="24"/>
                <w:szCs w:val="24"/>
                <w:vertAlign w:val="baseline"/>
              </w:rPr>
            </w:pPr>
            <w:r>
              <w:rPr>
                <w:rFonts w:hint="eastAsia" w:ascii="宋体" w:hAnsi="宋体" w:cs="宋体"/>
                <w:sz w:val="24"/>
                <w:szCs w:val="24"/>
              </w:rPr>
              <w:t>详见技术标准和要求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14</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服务期</w:t>
            </w:r>
          </w:p>
        </w:tc>
        <w:tc>
          <w:tcPr>
            <w:tcW w:w="5984" w:type="dxa"/>
          </w:tcPr>
          <w:p>
            <w:pPr>
              <w:keepNext w:val="0"/>
              <w:keepLines w:val="0"/>
              <w:pageBreakBefore w:val="0"/>
              <w:kinsoku/>
              <w:overflowPunct/>
              <w:topLinePunct w:val="0"/>
              <w:autoSpaceDE/>
              <w:autoSpaceDN/>
              <w:bidi w:val="0"/>
              <w:adjustRightInd/>
              <w:snapToGrid/>
              <w:spacing w:line="400" w:lineRule="exact"/>
              <w:rPr>
                <w:color w:val="auto"/>
                <w:sz w:val="24"/>
                <w:szCs w:val="24"/>
                <w:vertAlign w:val="baseline"/>
              </w:rPr>
            </w:pPr>
            <w:r>
              <w:rPr>
                <w:rFonts w:hint="eastAsia" w:ascii="宋体" w:hAnsi="宋体" w:cs="宋体"/>
                <w:color w:val="auto"/>
                <w:sz w:val="24"/>
                <w:szCs w:val="24"/>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color w:val="000000"/>
                <w:kern w:val="0"/>
                <w:sz w:val="24"/>
                <w:szCs w:val="24"/>
                <w:lang w:val="en-US" w:eastAsia="zh-CN" w:bidi="ar"/>
              </w:rPr>
              <w:t>服务标准</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符合国家标准、行业标准以及有关技术规范要求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投标人资格条件、能力和信誉等要求</w:t>
            </w:r>
          </w:p>
        </w:tc>
        <w:tc>
          <w:tcPr>
            <w:tcW w:w="5984" w:type="dxa"/>
          </w:tcPr>
          <w:p>
            <w:pPr>
              <w:pStyle w:val="21"/>
              <w:keepNext w:val="0"/>
              <w:keepLines w:val="0"/>
              <w:pageBreakBefore w:val="0"/>
              <w:widowControl/>
              <w:kinsoku/>
              <w:overflowPunct/>
              <w:topLinePunct w:val="0"/>
              <w:autoSpaceDE/>
              <w:autoSpaceDN/>
              <w:bidi w:val="0"/>
              <w:adjustRightInd/>
              <w:snapToGrid/>
              <w:spacing w:before="0" w:beforeAutospacing="0" w:after="0" w:afterAutospacing="0" w:line="400" w:lineRule="exact"/>
              <w:rPr>
                <w:rFonts w:hint="eastAsia"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1、满足《中华人民共和国政府采购法》第二十二条规定。</w:t>
            </w:r>
          </w:p>
          <w:p>
            <w:pPr>
              <w:pStyle w:val="21"/>
              <w:keepNext w:val="0"/>
              <w:keepLines w:val="0"/>
              <w:pageBreakBefore w:val="0"/>
              <w:widowControl/>
              <w:kinsoku/>
              <w:overflowPunct/>
              <w:topLinePunct w:val="0"/>
              <w:autoSpaceDE/>
              <w:autoSpaceDN/>
              <w:bidi w:val="0"/>
              <w:adjustRightInd/>
              <w:snapToGrid/>
              <w:spacing w:before="0" w:beforeAutospacing="0" w:after="0" w:afterAutospacing="0" w:line="400" w:lineRule="exact"/>
              <w:rPr>
                <w:rFonts w:hint="eastAsia"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2、落实政府采购政策需满足的资格要求：</w:t>
            </w:r>
            <w:r>
              <w:rPr>
                <w:rFonts w:hint="eastAsia" w:ascii="宋体" w:hAnsi="宋体" w:eastAsia="宋体" w:cs="宋体"/>
                <w:color w:val="333333"/>
                <w:szCs w:val="24"/>
                <w:shd w:val="clear" w:color="auto" w:fill="FFFFFF"/>
                <w:lang w:val="en-US" w:eastAsia="zh-CN"/>
              </w:rPr>
              <w:t>（1）《政府采购促进中小企业发展管理办法》（财库〔2020〕46号）；（2）《财政部司法部关于政府采购支持监狱企业发展有关问题的通知》（财库〔2014〕68号）；（3）《政府采购非招标采购方式管理办法》（财政部令74号）；（4）《国务院办公厅关于建立政府强制采购节能产品制度的通知》（国办发〔2007〕51号）；（5）《财政部关于促进政府采购公平竞争优化营商环境的通知》财库〔2019〕38号；（6）《节能产品政府采购实施意见》（财库〔2004〕185号）；（7）《关于落实降低企业杠杆率税收支持政策的通知》财税〔2016〕125号；（8）《环境标志产品政府采购实施的意见》（财库〔2006〕90号）；（9）《关于促进残疾人就业政府采购政策的通知》财库〔2017〕141号；（10）《财政部 发展改革委 生态环境部 市场监管总局关于调整优化节能产品、环境标志产品政府采购执行机制的通知》（财库〔2019〕9号）；（11）《财政部 国务院扶贫办关于运用政府采购政策支持脱贫攻坚的通知》（财库〔2019〕27号）；（12）《政府采购质疑和投诉办法》（财政部第94号令）；(13)《陕西省中小企业政府采购信用融资办法》（陕财办采〔2018〕23号）；（14）《财政部关于进一步加大政府采购支持中小企业力度的通知》（财库〔2022〕19号）。（15）如有最新颁布的政府采购政策，按最新的文件执行；</w:t>
            </w:r>
          </w:p>
          <w:p>
            <w:pPr>
              <w:pStyle w:val="21"/>
              <w:keepNext w:val="0"/>
              <w:keepLines w:val="0"/>
              <w:pageBreakBefore w:val="0"/>
              <w:widowControl/>
              <w:kinsoku/>
              <w:overflowPunct/>
              <w:topLinePunct w:val="0"/>
              <w:autoSpaceDE/>
              <w:autoSpaceDN/>
              <w:bidi w:val="0"/>
              <w:adjustRightInd/>
              <w:snapToGrid/>
              <w:spacing w:before="0" w:beforeAutospacing="0" w:after="0" w:afterAutospacing="0" w:line="400" w:lineRule="exact"/>
              <w:rPr>
                <w:rFonts w:hint="eastAsia"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3、本项目的特定资格要求：</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1</w:t>
            </w:r>
            <w:r>
              <w:rPr>
                <w:rFonts w:hint="eastAsia" w:ascii="宋体" w:hAnsi="宋体" w:eastAsia="宋体" w:cs="宋体"/>
                <w:spacing w:val="4"/>
                <w:kern w:val="0"/>
                <w:sz w:val="24"/>
                <w:szCs w:val="24"/>
                <w:lang w:val="en-US" w:eastAsia="zh-CN" w:bidi="ar-SA"/>
              </w:rPr>
              <w:t>）与投标人不存在利害关系</w:t>
            </w:r>
            <w:r>
              <w:rPr>
                <w:rFonts w:hint="eastAsia" w:ascii="宋体" w:hAnsi="宋体" w:cs="宋体"/>
                <w:spacing w:val="4"/>
                <w:kern w:val="0"/>
                <w:sz w:val="24"/>
                <w:szCs w:val="24"/>
                <w:lang w:val="en-US" w:eastAsia="zh-CN" w:bidi="ar-SA"/>
              </w:rPr>
              <w:t>：与招标人存在利害关系可能影响公开招标公正性的单位不得参加本项目投标；</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2</w:t>
            </w:r>
            <w:r>
              <w:rPr>
                <w:rFonts w:hint="eastAsia" w:ascii="宋体" w:hAnsi="宋体" w:eastAsia="宋体" w:cs="宋体"/>
                <w:spacing w:val="4"/>
                <w:kern w:val="0"/>
                <w:sz w:val="24"/>
                <w:szCs w:val="24"/>
                <w:lang w:val="en-US" w:eastAsia="zh-CN" w:bidi="ar-SA"/>
              </w:rPr>
              <w:t>）投标人合法身份</w:t>
            </w:r>
            <w:r>
              <w:rPr>
                <w:rFonts w:hint="eastAsia" w:ascii="宋体" w:hAnsi="宋体" w:cs="宋体"/>
                <w:spacing w:val="4"/>
                <w:kern w:val="0"/>
                <w:sz w:val="24"/>
                <w:szCs w:val="24"/>
                <w:lang w:val="en-US" w:eastAsia="zh-CN" w:bidi="ar-SA"/>
              </w:rPr>
              <w:t>：</w:t>
            </w:r>
            <w:r>
              <w:rPr>
                <w:rFonts w:hint="eastAsia" w:ascii="宋体" w:hAnsi="宋体" w:eastAsia="宋体" w:cs="宋体"/>
                <w:spacing w:val="4"/>
                <w:kern w:val="0"/>
                <w:sz w:val="24"/>
                <w:szCs w:val="24"/>
                <w:lang w:val="en-US" w:eastAsia="zh-CN" w:bidi="ar-SA"/>
              </w:rPr>
              <w:t>法定代表人授权委托书：法定代表人参加投标的，须提供本人身份证复印件（附在资格证明文件中）；法定代表人授权他人参加投标的，须提供法定代表人授权委托书</w:t>
            </w:r>
            <w:r>
              <w:rPr>
                <w:rFonts w:hint="eastAsia" w:ascii="宋体" w:hAnsi="宋体" w:cs="宋体"/>
                <w:spacing w:val="4"/>
                <w:kern w:val="0"/>
                <w:sz w:val="24"/>
                <w:szCs w:val="24"/>
                <w:lang w:val="en-US" w:eastAsia="zh-CN" w:bidi="ar-SA"/>
              </w:rPr>
              <w:t>；</w:t>
            </w:r>
          </w:p>
          <w:p>
            <w:pPr>
              <w:pStyle w:val="21"/>
              <w:widowControl/>
              <w:wordWrap w:val="0"/>
              <w:spacing w:before="0" w:beforeAutospacing="0" w:after="0" w:afterAutospacing="0" w:line="360" w:lineRule="auto"/>
              <w:jc w:val="both"/>
              <w:textAlignment w:val="baseline"/>
              <w:rPr>
                <w:sz w:val="24"/>
                <w:szCs w:val="24"/>
                <w:vertAlign w:val="baseline"/>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3</w:t>
            </w:r>
            <w:r>
              <w:rPr>
                <w:rFonts w:hint="eastAsia" w:ascii="宋体" w:hAnsi="宋体" w:eastAsia="宋体" w:cs="宋体"/>
                <w:spacing w:val="4"/>
                <w:kern w:val="0"/>
                <w:sz w:val="24"/>
                <w:szCs w:val="24"/>
                <w:lang w:val="en-US" w:eastAsia="zh-CN" w:bidi="ar-SA"/>
              </w:rPr>
              <w:t>）本项目不接受联合体</w:t>
            </w:r>
            <w:r>
              <w:rPr>
                <w:rFonts w:hint="eastAsia" w:ascii="宋体" w:hAnsi="宋体" w:cs="宋体"/>
                <w:color w:val="333333"/>
                <w:szCs w:val="24"/>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踏勘现场</w:t>
            </w:r>
          </w:p>
        </w:tc>
        <w:tc>
          <w:tcPr>
            <w:tcW w:w="5984" w:type="dxa"/>
          </w:tcPr>
          <w:p>
            <w:pPr>
              <w:keepNext w:val="0"/>
              <w:keepLines w:val="0"/>
              <w:pageBreakBefore w:val="0"/>
              <w:kinsoku/>
              <w:overflowPunct/>
              <w:topLinePunct w:val="0"/>
              <w:autoSpaceDE/>
              <w:autoSpaceDN/>
              <w:bidi w:val="0"/>
              <w:adjustRightInd/>
              <w:snapToGrid/>
              <w:spacing w:line="400" w:lineRule="exact"/>
              <w:rPr>
                <w:sz w:val="24"/>
                <w:szCs w:val="24"/>
                <w:vertAlign w:val="baseline"/>
              </w:rPr>
            </w:pPr>
            <w:r>
              <w:rPr>
                <w:rFonts w:hint="eastAsia" w:asciiTheme="minorEastAsia" w:hAnsiTheme="minorEastAsia" w:eastAsiaTheme="minorEastAsia" w:cstheme="minorEastAsia"/>
                <w:kern w:val="0"/>
                <w:sz w:val="24"/>
                <w:szCs w:val="24"/>
                <w:shd w:val="clear" w:color="auto" w:fill="FFFFFF"/>
                <w:lang w:val="en-US" w:eastAsia="zh-CN" w:bidi="ar-SA"/>
              </w:rPr>
              <w:t>不组织，投标单位自行勘察。（一切费用自理）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投标预备会</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不召开。相关事宜以招标答疑方式进行。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分包</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偏离</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投标文件不允许负偏离招标文件的实质性要求和条件。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询问和质疑</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见公告中的“联系方式”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招标文件的澄清和修改</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采购人或者采购代理机构可以对已发出的招标文件进行必要的澄清或者修改。澄清或者修改的内容可能影响投标文件编制的，采购人或者采购代理机构应当在投标截止时间至少 15 日前，以书面形式通知所有获取招标文件的潜在投标人；不足 15 日的，采购人或者采购代 理机构应当顺延提交投标文件的截止时间。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投标人确认收到招标文件澄清和修改的时间</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采购人发出澄清和修改文件后 24 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投标有效期</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自递交投标文件截止之日起 90 日历天，中标投标人的投标文件有效期自动延长至项目质保期结束。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投标文件份数</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正本一套，副本贰套，电子文件（U 盘）一份。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投标文件的编制</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编制投标文件时，应使用最新发布的电子招标文件及专用制作工具进行编制。并使用 CA（数字认证证书）对电子投标文件进行签署、加密、及开标时解密等相关操作。</w:t>
            </w:r>
          </w:p>
          <w:p>
            <w:pPr>
              <w:keepNext w:val="0"/>
              <w:keepLines w:val="0"/>
              <w:pageBreakBefore w:val="0"/>
              <w:widowControl/>
              <w:numPr>
                <w:ilvl w:val="0"/>
                <w:numId w:val="3"/>
              </w:numPr>
              <w:suppressLineNumbers w:val="0"/>
              <w:kinsoku/>
              <w:overflowPunct/>
              <w:topLinePunct w:val="0"/>
              <w:autoSpaceDE/>
              <w:autoSpaceDN/>
              <w:bidi w:val="0"/>
              <w:adjustRightInd/>
              <w:snapToGrid/>
              <w:spacing w:line="400" w:lineRule="exact"/>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电子招标文件获取方式：投标人登录〖西安市公共资源交易平台·〉 首页·〉电子交易平台·〉企业端〗后，在〖招标公告/出让公告〗模块中选 择有意向的项目点击“我要投标”，成功后点击“我的项目·〉项目流程·〉 交易文件下载”免费下载电子招标文件（*.SXSZF）。</w:t>
            </w:r>
          </w:p>
          <w:p>
            <w:pPr>
              <w:keepNext w:val="0"/>
              <w:keepLines w:val="0"/>
              <w:pageBreakBefore w:val="0"/>
              <w:widowControl/>
              <w:numPr>
                <w:ilvl w:val="0"/>
                <w:numId w:val="0"/>
              </w:numPr>
              <w:suppressLineNumbers w:val="0"/>
              <w:kinsoku/>
              <w:overflowPunct/>
              <w:topLinePunct w:val="0"/>
              <w:autoSpaceDE/>
              <w:autoSpaceDN/>
              <w:bidi w:val="0"/>
              <w:adjustRightInd/>
              <w:snapToGrid/>
              <w:spacing w:line="400" w:lineRule="exact"/>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注意：①正常下载电子招标文件后，“交易文件下载”按钮前的图标将变为“</w:t>
            </w:r>
            <w:r>
              <w:rPr>
                <w:rFonts w:ascii="MS Gothic" w:hAnsi="MS Gothic" w:eastAsia="MS Gothic" w:cs="MS Gothic"/>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”，未正常下载或从其他途径获取招标文件的，将无法上传电子投标文件；②投标人应随时留意可能发布的变更公告，变更公告是招标文件的组 成部分。变更内容影响投标文件编制时，集采机构将同时发布答疑文件， 此时投标人应从“项目流程〉答疑文件下载”下载更新后的电子招标文件（*. SXSCF），使 用 旧 版 电 子 招 标 文 件 制 作 的 电 子 投 标 文 件（*.SXSTF），系统将拒绝接收。</w:t>
            </w:r>
          </w:p>
          <w:p>
            <w:pPr>
              <w:keepNext w:val="0"/>
              <w:keepLines w:val="0"/>
              <w:pageBreakBefore w:val="0"/>
              <w:widowControl/>
              <w:numPr>
                <w:ilvl w:val="0"/>
                <w:numId w:val="3"/>
              </w:numPr>
              <w:suppressLineNumbers w:val="0"/>
              <w:kinsoku/>
              <w:overflowPunct/>
              <w:topLinePunct w:val="0"/>
              <w:autoSpaceDE/>
              <w:autoSpaceDN/>
              <w:bidi w:val="0"/>
              <w:adjustRightInd/>
              <w:snapToGrid/>
              <w:spacing w:line="400" w:lineRule="exact"/>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电子招标文件需要使用专用软件打开、浏览。软件下载地址及操作 手册详见〖西安市公共资源交易平台·〉首页·〉服务指南·〉下载专区〗中的《政府采购项目投标文件制作软件及操作手册》。</w:t>
            </w:r>
          </w:p>
          <w:p>
            <w:pPr>
              <w:keepNext w:val="0"/>
              <w:keepLines w:val="0"/>
              <w:pageBreakBefore w:val="0"/>
              <w:widowControl/>
              <w:numPr>
                <w:ilvl w:val="0"/>
                <w:numId w:val="3"/>
              </w:numPr>
              <w:suppressLineNumbers w:val="0"/>
              <w:kinsoku/>
              <w:overflowPunct/>
              <w:topLinePunct w:val="0"/>
              <w:autoSpaceDE/>
              <w:autoSpaceDN/>
              <w:bidi w:val="0"/>
              <w:adjustRightInd/>
              <w:snapToGrid/>
              <w:spacing w:line="400" w:lineRule="exact"/>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电子投标文件中需要法定代表人签字或盖章的地方，请使用“法人 CA”进行签章；需要加盖投标人公章的地方，请使用“企业 CA”进行盖章。 加密和解密应当使用同一 CA，否则将会导致解密失败。</w:t>
            </w:r>
          </w:p>
          <w:p>
            <w:pPr>
              <w:keepNext w:val="0"/>
              <w:keepLines w:val="0"/>
              <w:pageBreakBefore w:val="0"/>
              <w:widowControl/>
              <w:numPr>
                <w:ilvl w:val="0"/>
                <w:numId w:val="3"/>
              </w:numPr>
              <w:suppressLineNumbers w:val="0"/>
              <w:kinsoku/>
              <w:overflowPunct/>
              <w:topLinePunct w:val="0"/>
              <w:autoSpaceDE/>
              <w:autoSpaceDN/>
              <w:bidi w:val="0"/>
              <w:adjustRightInd/>
              <w:snapToGrid/>
              <w:spacing w:line="400" w:lineRule="exact"/>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电子投标文件同样需要使用上述专用软件进行编制。若电子投标文件签章后，导出的 PDF 文件里看不到签章，请尝试使用查看投标文件工具打开未加密的电子投标文件重新导出。在编制过程中，如有其他技术性问题，请先翻阅操作手册，或致电软件开发商：</w:t>
            </w:r>
          </w:p>
          <w:p>
            <w:pPr>
              <w:keepNext w:val="0"/>
              <w:keepLines w:val="0"/>
              <w:pageBreakBefore w:val="0"/>
              <w:widowControl/>
              <w:numPr>
                <w:ilvl w:val="0"/>
                <w:numId w:val="4"/>
              </w:numPr>
              <w:suppressLineNumbers w:val="0"/>
              <w:kinsoku/>
              <w:overflowPunct/>
              <w:topLinePunct w:val="0"/>
              <w:autoSpaceDE/>
              <w:autoSpaceDN/>
              <w:bidi w:val="0"/>
              <w:adjustRightInd/>
              <w:snapToGrid/>
              <w:spacing w:line="400" w:lineRule="exact"/>
              <w:ind w:left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技术支持热线：400-998-0000 </w:t>
            </w:r>
          </w:p>
          <w:p>
            <w:pPr>
              <w:keepNext w:val="0"/>
              <w:keepLines w:val="0"/>
              <w:pageBreakBefore w:val="0"/>
              <w:widowControl/>
              <w:numPr>
                <w:ilvl w:val="0"/>
                <w:numId w:val="4"/>
              </w:numPr>
              <w:suppressLineNumbers w:val="0"/>
              <w:kinsoku/>
              <w:overflowPunct/>
              <w:topLinePunct w:val="0"/>
              <w:autoSpaceDE/>
              <w:autoSpaceDN/>
              <w:bidi w:val="0"/>
              <w:adjustRightInd/>
              <w:snapToGrid/>
              <w:spacing w:line="400" w:lineRule="exact"/>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驻场技术人员：029-86510166/86510167 人工转80310</w:t>
            </w:r>
          </w:p>
          <w:p>
            <w:pPr>
              <w:keepNext w:val="0"/>
              <w:keepLines w:val="0"/>
              <w:pageBreakBefore w:val="0"/>
              <w:widowControl/>
              <w:numPr>
                <w:ilvl w:val="0"/>
                <w:numId w:val="5"/>
              </w:numPr>
              <w:suppressLineNumbers w:val="0"/>
              <w:kinsoku/>
              <w:overflowPunct/>
              <w:topLinePunct w:val="0"/>
              <w:autoSpaceDE/>
              <w:autoSpaceDN/>
              <w:bidi w:val="0"/>
              <w:adjustRightInd/>
              <w:snapToGrid/>
              <w:spacing w:line="400" w:lineRule="exact"/>
              <w:ind w:left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纸质投标文件开标时投标投标人无需提交纸质投标文件，项目中标后由中标投标人在领取中标通知书时提供一正两副纸质投标文件及电子版投标文件一份用于备案。</w:t>
            </w:r>
          </w:p>
          <w:p>
            <w:pPr>
              <w:keepNext w:val="0"/>
              <w:keepLines w:val="0"/>
              <w:pageBreakBefore w:val="0"/>
              <w:widowControl/>
              <w:numPr>
                <w:ilvl w:val="0"/>
                <w:numId w:val="0"/>
              </w:numPr>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采用电子化评审系统的采购项目，其纸质投标文件应从政府采购项目投标文件制作软件中导出。并按规定的纸质投标文件份数要求进行印刷， 其正本及各副本分别装订成册。项目分标段的，应按所投标段分别准备投标文件。电子版投标文件应包括最终生成加密上传的投标格式文件及对应的 PDF 格式文件等全部资料。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签字或盖章要求</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投标文件应在需要盖公章处应加盖投标人单位公章，需要法定代表人或其授权代表签字或盖章处应由投标人的法定代表人或其授权代表签字或盖章。由授权代表签字或盖章的，应在投标文件中须附有效的法定代表人授权委托书。投标人为自然人的，应在投标文件的需要签字处由本人签字并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28</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投标截止时间</w:t>
            </w:r>
          </w:p>
        </w:tc>
        <w:tc>
          <w:tcPr>
            <w:tcW w:w="5984" w:type="dxa"/>
          </w:tcPr>
          <w:p>
            <w:pPr>
              <w:keepNext w:val="0"/>
              <w:keepLines w:val="0"/>
              <w:pageBreakBefore w:val="0"/>
              <w:kinsoku/>
              <w:overflowPunct/>
              <w:topLinePunct w:val="0"/>
              <w:autoSpaceDE/>
              <w:autoSpaceDN/>
              <w:bidi w:val="0"/>
              <w:adjustRightInd/>
              <w:snapToGrid/>
              <w:spacing w:line="400" w:lineRule="exact"/>
              <w:rPr>
                <w:color w:val="000000" w:themeColor="text1"/>
                <w:sz w:val="24"/>
                <w:szCs w:val="24"/>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color="auto" w:fill="FFFFFF"/>
                <w:lang w:val="en-US" w:eastAsia="zh-CN" w:bidi="ar-SA"/>
                <w14:textFill>
                  <w14:solidFill>
                    <w14:schemeClr w14:val="tx1"/>
                  </w14:solidFill>
                </w14:textFill>
              </w:rPr>
              <w:t>2024年01月30日09时30分00秒（北京时间）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递交投标文件地点</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地点：全国公共资源交易平台（陕西省·西安市）网站〖首页〉电子交易平台〉陕西政府采购交易系统〉企业端〗，在线提交；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是否退还</w:t>
            </w:r>
          </w:p>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投标文件</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31</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开标形式</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rFonts w:hint="eastAsia" w:ascii="宋体" w:hAnsi="宋体" w:eastAsia="宋体" w:cs="宋体"/>
                <w:color w:val="000000"/>
                <w:kern w:val="0"/>
                <w:sz w:val="24"/>
                <w:szCs w:val="24"/>
                <w:lang w:val="en-US" w:eastAsia="zh-CN" w:bidi="ar"/>
              </w:rPr>
            </w:pPr>
            <w:r>
              <w:rPr>
                <w:rFonts w:ascii="MS Gothic" w:hAnsi="MS Gothic" w:eastAsia="MS Gothic" w:cs="MS Gothic"/>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不见面开标</w:t>
            </w:r>
            <w:r>
              <w:rPr>
                <w:rFonts w:hint="eastAsia" w:ascii="MS Gothic" w:hAnsi="MS Gothic" w:eastAsia="MS Gothic" w:cs="MS Gothic"/>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见面开标</w:t>
            </w:r>
          </w:p>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详见本章“开标程序”有关内容。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32</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开标时间和地点</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开标时间：同投标截止时间</w:t>
            </w:r>
          </w:p>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开标地点：</w:t>
            </w:r>
            <w:r>
              <w:rPr>
                <w:rFonts w:hint="eastAsia" w:asciiTheme="minorEastAsia" w:hAnsiTheme="minorEastAsia" w:eastAsiaTheme="minorEastAsia" w:cstheme="minorEastAsia"/>
                <w:kern w:val="0"/>
                <w:sz w:val="24"/>
                <w:szCs w:val="24"/>
                <w:shd w:val="clear" w:color="auto" w:fill="FFFFFF"/>
                <w:lang w:val="en-US" w:eastAsia="zh-CN" w:bidi="ar-SA"/>
              </w:rPr>
              <w:t>全国公共资源交易平台（陕西省·西安市）网站〖首页〉电子交易平台</w:t>
            </w:r>
            <w:r>
              <w:rPr>
                <w:rFonts w:hint="eastAsia" w:ascii="宋体" w:hAnsi="宋体" w:eastAsia="宋体" w:cs="宋体"/>
                <w:color w:val="000000"/>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投标文件的递交</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本项目采用“不见面开标”方式，各投标人登录全国公共资源交易平台（陕西省·西安市）下载操作手册,并在投标文件递交截止时间前通过全国公共资源交易平台（陕西省·西安市）递交加密版电子投标文件。</w:t>
            </w:r>
          </w:p>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投标人按包递交加密版电子投标文件。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34</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投标签到</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投标人在开标前 60 分钟内用制作投标文件的CA锁登录不见面开标大厅，并及时签到（开标前60分钟开始签到），及时关注右侧公告及互动栏目信息，并做出响应。为顺利实现本项目开评标的远程交互，建议投标人配置的硬件设施有：高配置电脑、高速稳定的网络、电源（不间断）、CA 锁、音视频设备（话筒、耳麦、高清摄像头、音响），浏览器建议使用 IE11 浏览器，且电脑已经正确安装了陕西省公共资源交易平台多 CA 互认系统。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评标委员会的组建</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rFonts w:hint="default"/>
                <w:sz w:val="24"/>
                <w:szCs w:val="24"/>
                <w:vertAlign w:val="baseline"/>
                <w:lang w:val="en-US"/>
              </w:rPr>
            </w:pPr>
            <w:r>
              <w:rPr>
                <w:rFonts w:hint="eastAsia" w:ascii="宋体" w:hAnsi="宋体" w:eastAsia="宋体" w:cs="宋体"/>
                <w:color w:val="000000"/>
                <w:kern w:val="0"/>
                <w:sz w:val="24"/>
                <w:szCs w:val="24"/>
                <w:lang w:val="en-US" w:eastAsia="zh-CN" w:bidi="ar"/>
              </w:rPr>
              <w:t>评标委员会构成：</w:t>
            </w:r>
            <w:r>
              <w:rPr>
                <w:rFonts w:hint="eastAsia" w:ascii="宋体" w:hAnsi="宋体" w:cs="宋体"/>
                <w:color w:val="000000"/>
                <w:kern w:val="0"/>
                <w:sz w:val="24"/>
                <w:szCs w:val="24"/>
                <w:u w:val="single"/>
                <w:lang w:val="en-US" w:eastAsia="zh-CN" w:bidi="ar"/>
              </w:rPr>
              <w:t xml:space="preserve"> 7</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人；</w:t>
            </w:r>
            <w:r>
              <w:rPr>
                <w:rFonts w:hint="eastAsia" w:ascii="宋体" w:hAnsi="宋体" w:cs="宋体"/>
                <w:color w:val="000000"/>
                <w:kern w:val="0"/>
                <w:sz w:val="24"/>
                <w:szCs w:val="24"/>
                <w:lang w:val="en-US" w:eastAsia="zh-CN" w:bidi="ar"/>
              </w:rPr>
              <w:t>其中采购人代表</w:t>
            </w:r>
            <w:r>
              <w:rPr>
                <w:rFonts w:hint="eastAsia" w:ascii="宋体" w:hAnsi="宋体" w:cs="宋体"/>
                <w:color w:val="000000"/>
                <w:kern w:val="0"/>
                <w:sz w:val="24"/>
                <w:szCs w:val="24"/>
                <w:u w:val="single"/>
                <w:lang w:val="en-US" w:eastAsia="zh-CN" w:bidi="ar"/>
              </w:rPr>
              <w:t xml:space="preserve"> 2 </w:t>
            </w:r>
            <w:r>
              <w:rPr>
                <w:rFonts w:hint="eastAsia" w:ascii="宋体" w:hAnsi="宋体" w:cs="宋体"/>
                <w:color w:val="000000"/>
                <w:kern w:val="0"/>
                <w:sz w:val="24"/>
                <w:szCs w:val="24"/>
                <w:lang w:val="en-US" w:eastAsia="zh-CN" w:bidi="ar"/>
              </w:rPr>
              <w:t>人，专家</w:t>
            </w:r>
            <w:r>
              <w:rPr>
                <w:rFonts w:hint="eastAsia" w:ascii="宋体" w:hAnsi="宋体" w:cs="宋体"/>
                <w:color w:val="000000"/>
                <w:kern w:val="0"/>
                <w:sz w:val="24"/>
                <w:szCs w:val="24"/>
                <w:u w:val="single"/>
                <w:lang w:val="en-US" w:eastAsia="zh-CN" w:bidi="ar"/>
              </w:rPr>
              <w:t xml:space="preserve"> 5  </w:t>
            </w:r>
            <w:r>
              <w:rPr>
                <w:rFonts w:hint="eastAsia" w:ascii="宋体" w:hAnsi="宋体" w:cs="宋体"/>
                <w:color w:val="000000"/>
                <w:kern w:val="0"/>
                <w:sz w:val="24"/>
                <w:szCs w:val="24"/>
                <w:lang w:val="en-US" w:eastAsia="zh-CN" w:bidi="ar"/>
              </w:rPr>
              <w:t>人.专家确定方式：依法从相应评标专家库中随机抽取。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36</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履约担保</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本项目不要求提供履约担保。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招标代理服务费</w:t>
            </w:r>
          </w:p>
        </w:tc>
        <w:tc>
          <w:tcPr>
            <w:tcW w:w="5984" w:type="dxa"/>
          </w:tcPr>
          <w:p>
            <w:pPr>
              <w:keepNext w:val="0"/>
              <w:keepLines w:val="0"/>
              <w:pageBreakBefore w:val="0"/>
              <w:kinsoku/>
              <w:overflowPunct/>
              <w:topLinePunct w:val="0"/>
              <w:autoSpaceDE/>
              <w:autoSpaceDN/>
              <w:bidi w:val="0"/>
              <w:adjustRightInd/>
              <w:snapToGrid/>
              <w:spacing w:line="400" w:lineRule="exact"/>
              <w:rPr>
                <w:rFonts w:ascii="宋体" w:hAnsi="宋体" w:cs="宋体"/>
                <w:b w:val="0"/>
                <w:bCs w:val="0"/>
                <w:sz w:val="24"/>
                <w:szCs w:val="24"/>
              </w:rPr>
            </w:pPr>
            <w:r>
              <w:rPr>
                <w:rFonts w:hint="eastAsia" w:ascii="宋体" w:hAnsi="宋体" w:cs="宋体"/>
                <w:b w:val="0"/>
                <w:bCs w:val="0"/>
                <w:sz w:val="24"/>
                <w:szCs w:val="24"/>
              </w:rPr>
              <w:t>1.招标代理服务费用：按国家计委计价格[2002]1980号《招标代理服务收费管理暂行办法》所规定的收费标准收取；</w:t>
            </w:r>
          </w:p>
          <w:p>
            <w:pPr>
              <w:keepNext w:val="0"/>
              <w:keepLines w:val="0"/>
              <w:pageBreakBefore w:val="0"/>
              <w:kinsoku/>
              <w:overflowPunct/>
              <w:topLinePunct w:val="0"/>
              <w:autoSpaceDE/>
              <w:autoSpaceDN/>
              <w:bidi w:val="0"/>
              <w:adjustRightInd/>
              <w:snapToGrid/>
              <w:spacing w:line="400" w:lineRule="exact"/>
              <w:rPr>
                <w:rFonts w:ascii="宋体" w:hAnsi="宋体" w:cs="宋体"/>
                <w:b w:val="0"/>
                <w:bCs w:val="0"/>
                <w:sz w:val="24"/>
                <w:szCs w:val="24"/>
              </w:rPr>
            </w:pPr>
            <w:r>
              <w:rPr>
                <w:rFonts w:hint="eastAsia" w:ascii="宋体" w:hAnsi="宋体" w:cs="宋体"/>
                <w:b w:val="0"/>
                <w:bCs w:val="0"/>
                <w:sz w:val="24"/>
                <w:szCs w:val="24"/>
              </w:rPr>
              <w:t>2.上述费用由</w:t>
            </w:r>
            <w:r>
              <w:rPr>
                <w:rFonts w:hint="eastAsia" w:ascii="宋体" w:hAnsi="宋体" w:cs="宋体"/>
                <w:b w:val="0"/>
                <w:bCs w:val="0"/>
                <w:sz w:val="24"/>
                <w:szCs w:val="24"/>
                <w:u w:val="single"/>
              </w:rPr>
              <w:t xml:space="preserve">  中标人  </w:t>
            </w:r>
            <w:r>
              <w:rPr>
                <w:rFonts w:hint="eastAsia" w:ascii="宋体" w:hAnsi="宋体" w:cs="宋体"/>
                <w:b w:val="0"/>
                <w:bCs w:val="0"/>
                <w:sz w:val="24"/>
                <w:szCs w:val="24"/>
              </w:rPr>
              <w:t>在领取中标通知书前向招标代理机构一次性付清。</w:t>
            </w:r>
          </w:p>
          <w:p>
            <w:pPr>
              <w:keepNext w:val="0"/>
              <w:keepLines w:val="0"/>
              <w:pageBreakBefore w:val="0"/>
              <w:kinsoku/>
              <w:overflowPunct/>
              <w:topLinePunct w:val="0"/>
              <w:autoSpaceDE/>
              <w:autoSpaceDN/>
              <w:bidi w:val="0"/>
              <w:adjustRightInd/>
              <w:snapToGrid/>
              <w:spacing w:line="400" w:lineRule="exact"/>
              <w:rPr>
                <w:rFonts w:hint="eastAsia" w:ascii="宋体" w:hAnsi="宋体" w:cs="宋体"/>
                <w:b w:val="0"/>
                <w:bCs w:val="0"/>
                <w:sz w:val="24"/>
                <w:szCs w:val="24"/>
              </w:rPr>
            </w:pPr>
            <w:r>
              <w:rPr>
                <w:rFonts w:hint="eastAsia" w:ascii="宋体" w:hAnsi="宋体" w:cs="宋体"/>
                <w:b w:val="0"/>
                <w:bCs w:val="0"/>
                <w:sz w:val="24"/>
                <w:szCs w:val="24"/>
              </w:rPr>
              <w:t>3、代理服务费缴纳账户信息：</w:t>
            </w:r>
          </w:p>
          <w:p>
            <w:pPr>
              <w:keepNext w:val="0"/>
              <w:keepLines w:val="0"/>
              <w:pageBreakBefore w:val="0"/>
              <w:kinsoku/>
              <w:overflowPunct/>
              <w:topLinePunct w:val="0"/>
              <w:autoSpaceDE/>
              <w:autoSpaceDN/>
              <w:bidi w:val="0"/>
              <w:adjustRightInd/>
              <w:snapToGrid/>
              <w:spacing w:line="400" w:lineRule="exact"/>
              <w:rPr>
                <w:rFonts w:hint="eastAsia" w:ascii="宋体" w:hAnsi="宋体" w:cs="宋体"/>
                <w:b w:val="0"/>
                <w:bCs w:val="0"/>
                <w:sz w:val="24"/>
                <w:szCs w:val="24"/>
              </w:rPr>
            </w:pPr>
            <w:r>
              <w:rPr>
                <w:rFonts w:hint="eastAsia" w:ascii="宋体" w:hAnsi="宋体" w:cs="宋体"/>
                <w:b w:val="0"/>
                <w:bCs w:val="0"/>
                <w:sz w:val="24"/>
                <w:szCs w:val="24"/>
              </w:rPr>
              <w:t>开户行名称:中国建设银行股份有限公司西安云顶园小区支行</w:t>
            </w:r>
          </w:p>
          <w:p>
            <w:pPr>
              <w:keepNext w:val="0"/>
              <w:keepLines w:val="0"/>
              <w:pageBreakBefore w:val="0"/>
              <w:kinsoku/>
              <w:overflowPunct/>
              <w:topLinePunct w:val="0"/>
              <w:autoSpaceDE/>
              <w:autoSpaceDN/>
              <w:bidi w:val="0"/>
              <w:adjustRightInd/>
              <w:snapToGrid/>
              <w:spacing w:line="400" w:lineRule="exact"/>
              <w:rPr>
                <w:rFonts w:hint="eastAsia" w:ascii="宋体" w:hAnsi="宋体" w:cs="宋体"/>
                <w:b w:val="0"/>
                <w:bCs w:val="0"/>
                <w:sz w:val="24"/>
                <w:szCs w:val="24"/>
              </w:rPr>
            </w:pPr>
            <w:r>
              <w:rPr>
                <w:rFonts w:hint="eastAsia" w:ascii="宋体" w:hAnsi="宋体" w:cs="宋体"/>
                <w:b w:val="0"/>
                <w:bCs w:val="0"/>
                <w:sz w:val="24"/>
                <w:szCs w:val="24"/>
              </w:rPr>
              <w:t>开户名称：天煜荣泽工程咨询有限公司西安高新分公司</w:t>
            </w:r>
          </w:p>
          <w:p>
            <w:pPr>
              <w:keepNext w:val="0"/>
              <w:keepLines w:val="0"/>
              <w:pageBreakBefore w:val="0"/>
              <w:kinsoku/>
              <w:overflowPunct/>
              <w:topLinePunct w:val="0"/>
              <w:autoSpaceDE/>
              <w:autoSpaceDN/>
              <w:bidi w:val="0"/>
              <w:adjustRightInd/>
              <w:snapToGrid/>
              <w:spacing w:line="400" w:lineRule="exact"/>
              <w:rPr>
                <w:sz w:val="24"/>
                <w:szCs w:val="24"/>
                <w:vertAlign w:val="baseline"/>
              </w:rPr>
            </w:pPr>
            <w:r>
              <w:rPr>
                <w:rFonts w:hint="eastAsia" w:ascii="宋体" w:hAnsi="宋体" w:cs="宋体"/>
                <w:b w:val="0"/>
                <w:bCs w:val="0"/>
                <w:sz w:val="24"/>
                <w:szCs w:val="24"/>
              </w:rPr>
              <w:t>账    号：61050172004200000952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38</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注意事项</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rFonts w:hint="eastAsia"/>
                <w:sz w:val="24"/>
                <w:szCs w:val="28"/>
                <w:lang w:val="en-US" w:eastAsia="zh-CN"/>
              </w:rPr>
            </w:pPr>
            <w:r>
              <w:rPr>
                <w:rFonts w:hint="eastAsia"/>
                <w:sz w:val="24"/>
                <w:szCs w:val="28"/>
                <w:lang w:val="en-US" w:eastAsia="zh-CN"/>
              </w:rPr>
              <w:t>请各投标人获取招标文件后，按照陕西省财政厅《关于政府采投标人注册登记有关事项的通知》要求，通过陕西省政府采购网注册登记加入陕西省政府采购投标人库。</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both"/>
              <w:textAlignment w:val="baseline"/>
              <w:rPr>
                <w:rFonts w:hint="eastAsia"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兼投不兼中规则：</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供应商可以同时参加本项目所有标包招标。每个供应商最多只能成交一个标包。但所投每个标包必须分开制作响应文件，并分别递交</w:t>
            </w:r>
            <w:r>
              <w:rPr>
                <w:rFonts w:hint="eastAsia" w:cs="Times New Roman"/>
                <w:kern w:val="2"/>
                <w:sz w:val="24"/>
                <w:szCs w:val="28"/>
                <w:lang w:val="en-US" w:eastAsia="zh-CN" w:bidi="ar-SA"/>
              </w:rPr>
              <w:t>。</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pPr>
            <w:r>
              <w:rPr>
                <w:rFonts w:hint="eastAsia" w:ascii="Times New Roman" w:hAnsi="Times New Roman" w:eastAsia="宋体" w:cs="Times New Roman"/>
                <w:kern w:val="2"/>
                <w:sz w:val="24"/>
                <w:szCs w:val="28"/>
                <w:lang w:val="en-US" w:eastAsia="zh-CN" w:bidi="ar-SA"/>
              </w:rPr>
              <w:t>招标分为</w:t>
            </w:r>
            <w:r>
              <w:rPr>
                <w:rFonts w:hint="eastAsia" w:cs="Times New Roman"/>
                <w:kern w:val="2"/>
                <w:sz w:val="24"/>
                <w:szCs w:val="28"/>
                <w:lang w:val="en-US" w:eastAsia="zh-CN" w:bidi="ar-SA"/>
              </w:rPr>
              <w:t>合同包1</w:t>
            </w:r>
            <w:r>
              <w:rPr>
                <w:rFonts w:hint="eastAsia" w:ascii="Times New Roman" w:hAnsi="Times New Roman" w:eastAsia="宋体" w:cs="Times New Roman"/>
                <w:kern w:val="2"/>
                <w:sz w:val="24"/>
                <w:szCs w:val="28"/>
                <w:lang w:val="en-US" w:eastAsia="zh-CN" w:bidi="ar-SA"/>
              </w:rPr>
              <w:t>、</w:t>
            </w:r>
            <w:r>
              <w:rPr>
                <w:rFonts w:hint="eastAsia" w:cs="Times New Roman"/>
                <w:kern w:val="2"/>
                <w:sz w:val="24"/>
                <w:szCs w:val="28"/>
                <w:lang w:val="en-US" w:eastAsia="zh-CN" w:bidi="ar-SA"/>
              </w:rPr>
              <w:t>合同包2</w:t>
            </w:r>
            <w:r>
              <w:rPr>
                <w:rFonts w:hint="eastAsia" w:ascii="Times New Roman" w:hAnsi="Times New Roman" w:eastAsia="宋体" w:cs="Times New Roman"/>
                <w:kern w:val="2"/>
                <w:sz w:val="24"/>
                <w:szCs w:val="28"/>
                <w:lang w:val="en-US" w:eastAsia="zh-CN" w:bidi="ar-SA"/>
              </w:rPr>
              <w:t>、</w:t>
            </w:r>
            <w:r>
              <w:rPr>
                <w:rFonts w:hint="eastAsia" w:cs="Times New Roman"/>
                <w:kern w:val="2"/>
                <w:sz w:val="24"/>
                <w:szCs w:val="28"/>
                <w:lang w:val="en-US" w:eastAsia="zh-CN" w:bidi="ar-SA"/>
              </w:rPr>
              <w:t>合同包3</w:t>
            </w:r>
            <w:r>
              <w:rPr>
                <w:rFonts w:hint="eastAsia" w:ascii="Times New Roman" w:hAnsi="Times New Roman" w:eastAsia="宋体" w:cs="Times New Roman"/>
                <w:kern w:val="2"/>
                <w:sz w:val="24"/>
                <w:szCs w:val="28"/>
                <w:lang w:val="en-US" w:eastAsia="zh-CN" w:bidi="ar-SA"/>
              </w:rPr>
              <w:t>、</w:t>
            </w:r>
            <w:r>
              <w:rPr>
                <w:rFonts w:hint="eastAsia" w:cs="Times New Roman"/>
                <w:kern w:val="2"/>
                <w:sz w:val="24"/>
                <w:szCs w:val="28"/>
                <w:lang w:val="en-US" w:eastAsia="zh-CN" w:bidi="ar-SA"/>
              </w:rPr>
              <w:t>合同包4</w:t>
            </w:r>
            <w:r>
              <w:rPr>
                <w:rFonts w:hint="eastAsia" w:ascii="Times New Roman" w:hAnsi="Times New Roman" w:eastAsia="宋体" w:cs="Times New Roman"/>
                <w:kern w:val="2"/>
                <w:sz w:val="24"/>
                <w:szCs w:val="28"/>
                <w:lang w:val="en-US" w:eastAsia="zh-CN" w:bidi="ar-SA"/>
              </w:rPr>
              <w:t>，</w:t>
            </w:r>
            <w:r>
              <w:rPr>
                <w:rFonts w:hint="eastAsia" w:cs="Times New Roman"/>
                <w:kern w:val="2"/>
                <w:sz w:val="24"/>
                <w:szCs w:val="28"/>
                <w:lang w:val="en-US" w:eastAsia="zh-CN" w:bidi="ar-SA"/>
              </w:rPr>
              <w:t>合同包5</w:t>
            </w:r>
            <w:r>
              <w:rPr>
                <w:rFonts w:hint="eastAsia" w:ascii="Times New Roman" w:hAnsi="Times New Roman" w:eastAsia="宋体" w:cs="Times New Roman"/>
                <w:kern w:val="2"/>
                <w:sz w:val="24"/>
                <w:szCs w:val="28"/>
                <w:lang w:val="en-US" w:eastAsia="zh-CN" w:bidi="ar-SA"/>
              </w:rPr>
              <w:t>、五个</w:t>
            </w:r>
            <w:r>
              <w:rPr>
                <w:rFonts w:hint="eastAsia" w:cs="Times New Roman"/>
                <w:kern w:val="2"/>
                <w:sz w:val="24"/>
                <w:szCs w:val="28"/>
                <w:lang w:val="en-US" w:eastAsia="zh-CN" w:bidi="ar-SA"/>
              </w:rPr>
              <w:t>合同包</w:t>
            </w:r>
            <w:r>
              <w:rPr>
                <w:rFonts w:hint="eastAsia" w:ascii="Times New Roman" w:hAnsi="Times New Roman" w:eastAsia="宋体" w:cs="Times New Roman"/>
                <w:kern w:val="2"/>
                <w:sz w:val="24"/>
                <w:szCs w:val="28"/>
                <w:lang w:val="en-US" w:eastAsia="zh-CN" w:bidi="ar-SA"/>
              </w:rPr>
              <w:t>，采取兼投不兼中原则，评标顺序为</w:t>
            </w:r>
            <w:r>
              <w:rPr>
                <w:rFonts w:hint="eastAsia" w:cs="Times New Roman"/>
                <w:kern w:val="2"/>
                <w:sz w:val="24"/>
                <w:szCs w:val="28"/>
                <w:lang w:val="en-US" w:eastAsia="zh-CN" w:bidi="ar-SA"/>
              </w:rPr>
              <w:t>合同包1</w:t>
            </w:r>
            <w:r>
              <w:rPr>
                <w:rFonts w:hint="eastAsia" w:ascii="Times New Roman" w:hAnsi="Times New Roman" w:eastAsia="宋体" w:cs="Times New Roman"/>
                <w:kern w:val="2"/>
                <w:sz w:val="24"/>
                <w:szCs w:val="28"/>
                <w:lang w:val="en-US" w:eastAsia="zh-CN" w:bidi="ar-SA"/>
              </w:rPr>
              <w:t>、</w:t>
            </w:r>
            <w:r>
              <w:rPr>
                <w:rFonts w:hint="eastAsia" w:cs="Times New Roman"/>
                <w:kern w:val="2"/>
                <w:sz w:val="24"/>
                <w:szCs w:val="28"/>
                <w:lang w:val="en-US" w:eastAsia="zh-CN" w:bidi="ar-SA"/>
              </w:rPr>
              <w:t>合同包2</w:t>
            </w:r>
            <w:r>
              <w:rPr>
                <w:rFonts w:hint="eastAsia" w:ascii="Times New Roman" w:hAnsi="Times New Roman" w:eastAsia="宋体" w:cs="Times New Roman"/>
                <w:kern w:val="2"/>
                <w:sz w:val="24"/>
                <w:szCs w:val="28"/>
                <w:lang w:val="en-US" w:eastAsia="zh-CN" w:bidi="ar-SA"/>
              </w:rPr>
              <w:t>、</w:t>
            </w:r>
            <w:r>
              <w:rPr>
                <w:rFonts w:hint="eastAsia" w:cs="Times New Roman"/>
                <w:kern w:val="2"/>
                <w:sz w:val="24"/>
                <w:szCs w:val="28"/>
                <w:lang w:val="en-US" w:eastAsia="zh-CN" w:bidi="ar-SA"/>
              </w:rPr>
              <w:t>合同包3</w:t>
            </w:r>
            <w:r>
              <w:rPr>
                <w:rFonts w:hint="eastAsia" w:ascii="Times New Roman" w:hAnsi="Times New Roman" w:eastAsia="宋体" w:cs="Times New Roman"/>
                <w:kern w:val="2"/>
                <w:sz w:val="24"/>
                <w:szCs w:val="28"/>
                <w:lang w:val="en-US" w:eastAsia="zh-CN" w:bidi="ar-SA"/>
              </w:rPr>
              <w:t>、</w:t>
            </w:r>
            <w:r>
              <w:rPr>
                <w:rFonts w:hint="eastAsia" w:cs="Times New Roman"/>
                <w:kern w:val="2"/>
                <w:sz w:val="24"/>
                <w:szCs w:val="28"/>
                <w:lang w:val="en-US" w:eastAsia="zh-CN" w:bidi="ar-SA"/>
              </w:rPr>
              <w:t>合同包4</w:t>
            </w:r>
            <w:r>
              <w:rPr>
                <w:rFonts w:hint="eastAsia" w:ascii="Times New Roman" w:hAnsi="Times New Roman" w:eastAsia="宋体" w:cs="Times New Roman"/>
                <w:kern w:val="2"/>
                <w:sz w:val="24"/>
                <w:szCs w:val="28"/>
                <w:lang w:val="en-US" w:eastAsia="zh-CN" w:bidi="ar-SA"/>
              </w:rPr>
              <w:t>，</w:t>
            </w:r>
            <w:r>
              <w:rPr>
                <w:rFonts w:hint="eastAsia" w:cs="Times New Roman"/>
                <w:kern w:val="2"/>
                <w:sz w:val="24"/>
                <w:szCs w:val="28"/>
                <w:lang w:val="en-US" w:eastAsia="zh-CN" w:bidi="ar-SA"/>
              </w:rPr>
              <w:t>合同包5，如</w:t>
            </w:r>
            <w:r>
              <w:rPr>
                <w:rFonts w:hint="eastAsia" w:ascii="Times New Roman" w:hAnsi="Times New Roman" w:eastAsia="宋体" w:cs="Times New Roman"/>
                <w:kern w:val="2"/>
                <w:sz w:val="24"/>
                <w:szCs w:val="28"/>
                <w:lang w:val="en-US" w:eastAsia="zh-CN" w:bidi="ar-SA"/>
              </w:rPr>
              <w:t>在</w:t>
            </w:r>
            <w:r>
              <w:rPr>
                <w:rFonts w:hint="eastAsia" w:cs="Times New Roman"/>
                <w:kern w:val="2"/>
                <w:sz w:val="24"/>
                <w:szCs w:val="28"/>
                <w:lang w:val="en-US" w:eastAsia="zh-CN" w:bidi="ar-SA"/>
              </w:rPr>
              <w:t>合同包1</w:t>
            </w:r>
            <w:r>
              <w:rPr>
                <w:rFonts w:hint="eastAsia" w:ascii="Times New Roman" w:hAnsi="Times New Roman" w:eastAsia="宋体" w:cs="Times New Roman"/>
                <w:kern w:val="2"/>
                <w:sz w:val="24"/>
                <w:szCs w:val="28"/>
                <w:lang w:val="en-US" w:eastAsia="zh-CN" w:bidi="ar-SA"/>
              </w:rPr>
              <w:t>中被推荐为第一中标候选人的单位不参与</w:t>
            </w:r>
            <w:r>
              <w:rPr>
                <w:rFonts w:hint="eastAsia" w:cs="Times New Roman"/>
                <w:kern w:val="2"/>
                <w:sz w:val="24"/>
                <w:szCs w:val="28"/>
                <w:lang w:val="en-US" w:eastAsia="zh-CN" w:bidi="ar-SA"/>
              </w:rPr>
              <w:t>后续合同包</w:t>
            </w:r>
            <w:r>
              <w:rPr>
                <w:rFonts w:hint="eastAsia" w:ascii="Times New Roman" w:hAnsi="Times New Roman" w:eastAsia="宋体" w:cs="Times New Roman"/>
                <w:kern w:val="2"/>
                <w:sz w:val="24"/>
                <w:szCs w:val="28"/>
                <w:lang w:val="en-US" w:eastAsia="zh-CN" w:bidi="ar-SA"/>
              </w:rPr>
              <w:t>评标，不得成为</w:t>
            </w:r>
            <w:r>
              <w:rPr>
                <w:rFonts w:hint="eastAsia" w:cs="Times New Roman"/>
                <w:kern w:val="2"/>
                <w:sz w:val="24"/>
                <w:szCs w:val="28"/>
                <w:lang w:val="en-US" w:eastAsia="zh-CN" w:bidi="ar-SA"/>
              </w:rPr>
              <w:t>后续合同包</w:t>
            </w:r>
            <w:r>
              <w:rPr>
                <w:rFonts w:hint="eastAsia" w:ascii="Times New Roman" w:hAnsi="Times New Roman" w:eastAsia="宋体" w:cs="Times New Roman"/>
                <w:kern w:val="2"/>
                <w:sz w:val="24"/>
                <w:szCs w:val="28"/>
                <w:lang w:val="en-US" w:eastAsia="zh-CN" w:bidi="ar-SA"/>
              </w:rPr>
              <w:t>推荐中标候选人。以此类推。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39</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政府采购信息发布媒体（采购公告、采购结果公告、变更公告）</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陕西省政府采购网：仅提供项目公告，官网地址：</w:t>
            </w: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color w:val="000000"/>
                <w:kern w:val="0"/>
                <w:sz w:val="24"/>
                <w:szCs w:val="24"/>
                <w:lang w:val="en-US" w:eastAsia="zh-CN" w:bidi="ar"/>
              </w:rPr>
              <w:instrText xml:space="preserve"> HYPERLINK "http://ccgp-shaanxi.gov.cn/。" </w:instrText>
            </w:r>
            <w:r>
              <w:rPr>
                <w:rFonts w:hint="eastAsia" w:ascii="宋体" w:hAnsi="宋体" w:eastAsia="宋体" w:cs="宋体"/>
                <w:color w:val="000000"/>
                <w:kern w:val="0"/>
                <w:sz w:val="24"/>
                <w:szCs w:val="24"/>
                <w:lang w:val="en-US" w:eastAsia="zh-CN" w:bidi="ar"/>
              </w:rPr>
              <w:fldChar w:fldCharType="separate"/>
            </w:r>
            <w:r>
              <w:rPr>
                <w:rStyle w:val="35"/>
                <w:rFonts w:hint="eastAsia" w:ascii="宋体" w:hAnsi="宋体" w:eastAsia="宋体" w:cs="宋体"/>
                <w:kern w:val="0"/>
                <w:sz w:val="24"/>
                <w:szCs w:val="24"/>
                <w:lang w:val="en-US" w:eastAsia="zh-CN" w:bidi="ar"/>
              </w:rPr>
              <w:t>http://ccgp-shaanxi.gov.cn/。</w:t>
            </w:r>
            <w:r>
              <w:rPr>
                <w:rFonts w:hint="eastAsia" w:ascii="宋体" w:hAnsi="宋体" w:eastAsia="宋体" w:cs="宋体"/>
                <w:color w:val="000000"/>
                <w:kern w:val="0"/>
                <w:sz w:val="24"/>
                <w:szCs w:val="24"/>
                <w:lang w:val="en-US" w:eastAsia="zh-CN" w:bidi="ar"/>
              </w:rPr>
              <w:fldChar w:fldCharType="end"/>
            </w:r>
          </w:p>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全国公共资源交易平台（陕西省·西安市）：即西安市 公共资源交易平台，提供项目公告和采购文件下载。官网地址：http://sxggzyjy.xa.gov.cn/</w:t>
            </w:r>
          </w:p>
        </w:tc>
      </w:tr>
    </w:tbl>
    <w:p>
      <w:r>
        <w:rPr>
          <w:rFonts w:hint="eastAsia" w:ascii="宋体" w:hAnsi="宋体" w:cs="宋体"/>
          <w:kern w:val="0"/>
          <w:sz w:val="24"/>
          <w:szCs w:val="24"/>
        </w:rPr>
        <w:t>注：本表内容与投标单位须知内容不一致的，以本表内容为准。</w:t>
      </w:r>
    </w:p>
    <w:p>
      <w:pPr>
        <w:spacing w:line="360" w:lineRule="auto"/>
        <w:jc w:val="center"/>
        <w:rPr>
          <w:rFonts w:ascii="宋体" w:hAnsi="宋体" w:cs="宋体"/>
          <w:b/>
          <w:sz w:val="24"/>
          <w:szCs w:val="24"/>
        </w:rPr>
      </w:pPr>
    </w:p>
    <w:bookmarkEnd w:id="4"/>
    <w:bookmarkEnd w:id="5"/>
    <w:bookmarkEnd w:id="6"/>
    <w:bookmarkEnd w:id="7"/>
    <w:bookmarkEnd w:id="8"/>
    <w:bookmarkEnd w:id="9"/>
    <w:p>
      <w:pPr>
        <w:tabs>
          <w:tab w:val="center" w:pos="4706"/>
        </w:tabs>
        <w:spacing w:line="360" w:lineRule="auto"/>
        <w:outlineLvl w:val="9"/>
        <w:rPr>
          <w:rFonts w:hint="eastAsia" w:ascii="宋体" w:hAnsi="宋体" w:cs="宋体"/>
          <w:sz w:val="28"/>
          <w:szCs w:val="28"/>
        </w:rPr>
      </w:pPr>
      <w:bookmarkStart w:id="12" w:name="_Toc524712813"/>
      <w:bookmarkStart w:id="13" w:name="_Toc29158_WPSOffice_Level2"/>
      <w:bookmarkStart w:id="14" w:name="_Toc524712818"/>
      <w:r>
        <w:rPr>
          <w:rFonts w:hint="eastAsia" w:ascii="宋体" w:hAnsi="宋体" w:cs="宋体"/>
          <w:sz w:val="28"/>
          <w:szCs w:val="28"/>
          <w:lang w:eastAsia="zh-CN"/>
        </w:rPr>
        <w:t>第一节、</w:t>
      </w:r>
      <w:r>
        <w:rPr>
          <w:rFonts w:hint="eastAsia" w:ascii="宋体" w:hAnsi="宋体" w:cs="宋体"/>
          <w:sz w:val="28"/>
          <w:szCs w:val="28"/>
        </w:rPr>
        <w:t>总则</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1.1 项目概况</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1.1.1 根据《中华人民共和国</w:t>
      </w:r>
      <w:r>
        <w:rPr>
          <w:rFonts w:hint="eastAsia" w:ascii="宋体" w:hAnsi="宋体" w:cs="宋体"/>
          <w:sz w:val="24"/>
          <w:szCs w:val="24"/>
          <w:lang w:eastAsia="zh-CN"/>
        </w:rPr>
        <w:t>政府采购法</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rPr>
        <w:t>《中华人民共和国</w:t>
      </w:r>
      <w:r>
        <w:rPr>
          <w:rFonts w:hint="eastAsia" w:ascii="宋体" w:hAnsi="宋体" w:cs="宋体"/>
          <w:sz w:val="24"/>
          <w:szCs w:val="24"/>
          <w:lang w:eastAsia="zh-CN"/>
        </w:rPr>
        <w:t>政府采购法</w:t>
      </w:r>
      <w:r>
        <w:rPr>
          <w:rFonts w:hint="eastAsia" w:ascii="宋体" w:hAnsi="宋体" w:cs="宋体"/>
          <w:sz w:val="24"/>
          <w:szCs w:val="24"/>
        </w:rPr>
        <w:t>实施条例》 等有关法律、法规和规章的规定，本招标项目己具备招标条件，现对本招标项目进行</w:t>
      </w:r>
      <w:r>
        <w:rPr>
          <w:rFonts w:hint="eastAsia" w:ascii="宋体" w:hAnsi="宋体" w:cs="宋体"/>
          <w:sz w:val="24"/>
          <w:szCs w:val="24"/>
          <w:lang w:eastAsia="zh-CN"/>
        </w:rPr>
        <w:t>公开</w:t>
      </w:r>
      <w:r>
        <w:rPr>
          <w:rFonts w:hint="eastAsia" w:ascii="宋体" w:hAnsi="宋体" w:cs="宋体"/>
          <w:sz w:val="24"/>
          <w:szCs w:val="24"/>
        </w:rPr>
        <w:t>招标。</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1.1.2 本招标项目</w:t>
      </w:r>
      <w:r>
        <w:rPr>
          <w:rFonts w:hint="eastAsia" w:ascii="宋体" w:hAnsi="宋体" w:cs="宋体"/>
          <w:sz w:val="24"/>
          <w:szCs w:val="24"/>
          <w:lang w:eastAsia="zh-CN"/>
        </w:rPr>
        <w:t>招标</w:t>
      </w:r>
      <w:r>
        <w:rPr>
          <w:rFonts w:hint="eastAsia" w:ascii="宋体" w:hAnsi="宋体" w:cs="宋体"/>
          <w:sz w:val="24"/>
          <w:szCs w:val="24"/>
        </w:rPr>
        <w:t>人：见</w:t>
      </w:r>
      <w:r>
        <w:rPr>
          <w:rFonts w:hint="eastAsia" w:ascii="宋体" w:hAnsi="宋体" w:cs="宋体"/>
          <w:sz w:val="24"/>
          <w:szCs w:val="24"/>
          <w:lang w:eastAsia="zh-CN"/>
        </w:rPr>
        <w:t>投标人</w:t>
      </w:r>
      <w:r>
        <w:rPr>
          <w:rFonts w:hint="eastAsia" w:ascii="宋体" w:hAnsi="宋体" w:cs="宋体"/>
          <w:sz w:val="24"/>
          <w:szCs w:val="24"/>
        </w:rPr>
        <w:t>须知前附表。</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1.1.3 本招标项目</w:t>
      </w:r>
      <w:r>
        <w:rPr>
          <w:rFonts w:hint="eastAsia" w:ascii="宋体" w:hAnsi="宋体" w:cs="宋体"/>
          <w:sz w:val="24"/>
          <w:szCs w:val="24"/>
          <w:lang w:eastAsia="zh-CN"/>
        </w:rPr>
        <w:t>招标</w:t>
      </w:r>
      <w:r>
        <w:rPr>
          <w:rFonts w:hint="eastAsia" w:ascii="宋体" w:hAnsi="宋体" w:cs="宋体"/>
          <w:sz w:val="24"/>
          <w:szCs w:val="24"/>
        </w:rPr>
        <w:t>代理机构：见</w:t>
      </w:r>
      <w:r>
        <w:rPr>
          <w:rFonts w:hint="eastAsia" w:ascii="宋体" w:hAnsi="宋体" w:cs="宋体"/>
          <w:sz w:val="24"/>
          <w:szCs w:val="24"/>
          <w:lang w:eastAsia="zh-CN"/>
        </w:rPr>
        <w:t>投标人</w:t>
      </w:r>
      <w:r>
        <w:rPr>
          <w:rFonts w:hint="eastAsia" w:ascii="宋体" w:hAnsi="宋体" w:cs="宋体"/>
          <w:sz w:val="24"/>
          <w:szCs w:val="24"/>
        </w:rPr>
        <w:t>须知前附表。</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1.1.4 本招标项目名称：见</w:t>
      </w:r>
      <w:r>
        <w:rPr>
          <w:rFonts w:hint="eastAsia" w:ascii="宋体" w:hAnsi="宋体" w:cs="宋体"/>
          <w:sz w:val="24"/>
          <w:szCs w:val="24"/>
          <w:lang w:eastAsia="zh-CN"/>
        </w:rPr>
        <w:t>投标人</w:t>
      </w:r>
      <w:r>
        <w:rPr>
          <w:rFonts w:hint="eastAsia" w:ascii="宋体" w:hAnsi="宋体" w:cs="宋体"/>
          <w:sz w:val="24"/>
          <w:szCs w:val="24"/>
        </w:rPr>
        <w:t>须知前附表。</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1.2 资金来源和落实情况</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1.2.1 本招标项目的资金来源：见</w:t>
      </w:r>
      <w:r>
        <w:rPr>
          <w:rFonts w:hint="eastAsia" w:ascii="宋体" w:hAnsi="宋体" w:cs="宋体"/>
          <w:sz w:val="24"/>
          <w:szCs w:val="24"/>
          <w:lang w:eastAsia="zh-CN"/>
        </w:rPr>
        <w:t>投标人</w:t>
      </w:r>
      <w:r>
        <w:rPr>
          <w:rFonts w:hint="eastAsia" w:ascii="宋体" w:hAnsi="宋体" w:cs="宋体"/>
          <w:sz w:val="24"/>
          <w:szCs w:val="24"/>
        </w:rPr>
        <w:t>须知前附表。</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1.2.2 本招标项目的资金落实情况：见</w:t>
      </w:r>
      <w:r>
        <w:rPr>
          <w:rFonts w:hint="eastAsia" w:ascii="宋体" w:hAnsi="宋体" w:cs="宋体"/>
          <w:sz w:val="24"/>
          <w:szCs w:val="24"/>
          <w:lang w:eastAsia="zh-CN"/>
        </w:rPr>
        <w:t>投标人</w:t>
      </w:r>
      <w:r>
        <w:rPr>
          <w:rFonts w:hint="eastAsia" w:ascii="宋体" w:hAnsi="宋体" w:cs="宋体"/>
          <w:sz w:val="24"/>
          <w:szCs w:val="24"/>
        </w:rPr>
        <w:t>须知前附表。</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 xml:space="preserve">1.3 </w:t>
      </w:r>
      <w:r>
        <w:rPr>
          <w:rFonts w:hint="eastAsia" w:ascii="宋体" w:hAnsi="宋体" w:cs="宋体"/>
          <w:b/>
          <w:bCs/>
          <w:sz w:val="24"/>
          <w:szCs w:val="24"/>
          <w:lang w:eastAsia="zh-CN"/>
        </w:rPr>
        <w:t>投标人</w:t>
      </w:r>
      <w:r>
        <w:rPr>
          <w:rFonts w:hint="eastAsia" w:ascii="宋体" w:hAnsi="宋体" w:cs="宋体"/>
          <w:b/>
          <w:bCs/>
          <w:sz w:val="24"/>
          <w:szCs w:val="24"/>
        </w:rPr>
        <w:t>资格要求：见</w:t>
      </w:r>
      <w:r>
        <w:rPr>
          <w:rFonts w:hint="eastAsia" w:ascii="宋体" w:hAnsi="宋体" w:cs="宋体"/>
          <w:b/>
          <w:bCs/>
          <w:sz w:val="24"/>
          <w:szCs w:val="24"/>
          <w:lang w:eastAsia="zh-CN"/>
        </w:rPr>
        <w:t>投标人</w:t>
      </w:r>
      <w:r>
        <w:rPr>
          <w:rFonts w:hint="eastAsia" w:ascii="宋体" w:hAnsi="宋体" w:cs="宋体"/>
          <w:b/>
          <w:bCs/>
          <w:sz w:val="24"/>
          <w:szCs w:val="24"/>
        </w:rPr>
        <w:t>须知前附表</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1.4 费用承担</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lang w:eastAsia="zh-CN"/>
        </w:rPr>
        <w:t>投标人</w:t>
      </w:r>
      <w:r>
        <w:rPr>
          <w:rFonts w:hint="eastAsia" w:ascii="宋体" w:hAnsi="宋体" w:cs="宋体"/>
          <w:sz w:val="24"/>
          <w:szCs w:val="24"/>
        </w:rPr>
        <w:t>准备和参加投标活动发生的一切费用自理。</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1.5 保密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参与招标投标活动的各方应对招标文件和投标文件中的商业和技术等秘密保密，违者应对由此造成的后果承担法律责任。</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1.6 语言文字</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除专用术语外，与招标投标有关的语言均使用中文。必要时专用术语应附有中文注释。</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1.7 计量单位</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所有计量均采用中华人民共和国法定计量单位。</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8</w:t>
      </w:r>
      <w:r>
        <w:rPr>
          <w:rFonts w:hint="eastAsia" w:ascii="宋体" w:hAnsi="宋体" w:cs="宋体"/>
          <w:b/>
          <w:bCs/>
          <w:sz w:val="24"/>
          <w:szCs w:val="24"/>
        </w:rPr>
        <w:t xml:space="preserve"> 分包 </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本项目不允许分包。</w:t>
      </w:r>
    </w:p>
    <w:p>
      <w:pPr>
        <w:pStyle w:val="7"/>
        <w:spacing w:line="360" w:lineRule="auto"/>
        <w:ind w:firstLine="482"/>
        <w:outlineLvl w:val="9"/>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偏离</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本项目不允许偏离。</w:t>
      </w:r>
    </w:p>
    <w:p>
      <w:pPr>
        <w:pStyle w:val="7"/>
        <w:spacing w:line="360" w:lineRule="auto"/>
        <w:ind w:firstLine="482"/>
        <w:outlineLvl w:val="9"/>
        <w:rPr>
          <w:rFonts w:hAnsi="宋体"/>
          <w:b/>
          <w:sz w:val="24"/>
        </w:rPr>
      </w:pPr>
    </w:p>
    <w:p>
      <w:pPr>
        <w:keepNext w:val="0"/>
        <w:keepLines w:val="0"/>
        <w:pageBreakBefore w:val="0"/>
        <w:widowControl w:val="0"/>
        <w:kinsoku/>
        <w:wordWrap/>
        <w:overflowPunct/>
        <w:topLinePunct w:val="0"/>
        <w:autoSpaceDE/>
        <w:autoSpaceDN/>
        <w:bidi w:val="0"/>
        <w:adjustRightInd/>
        <w:snapToGrid/>
        <w:spacing w:after="313" w:afterLines="100" w:line="360" w:lineRule="auto"/>
        <w:jc w:val="left"/>
        <w:textAlignment w:val="auto"/>
        <w:outlineLvl w:val="9"/>
        <w:rPr>
          <w:rFonts w:hint="eastAsia" w:ascii="宋体" w:hAnsi="宋体" w:cs="宋体"/>
          <w:b/>
          <w:sz w:val="28"/>
          <w:szCs w:val="28"/>
        </w:rPr>
      </w:pPr>
      <w:bookmarkStart w:id="15" w:name="_Toc9630_WPSOffice_Level1"/>
      <w:bookmarkStart w:id="16" w:name="_Toc22897_WPSOffice_Level2"/>
      <w:r>
        <w:rPr>
          <w:rFonts w:hint="eastAsia" w:ascii="宋体" w:hAnsi="宋体" w:cs="宋体"/>
          <w:b/>
          <w:sz w:val="28"/>
          <w:szCs w:val="28"/>
          <w:lang w:eastAsia="zh-CN"/>
        </w:rPr>
        <w:t>第二节、</w:t>
      </w:r>
      <w:r>
        <w:rPr>
          <w:rFonts w:hint="eastAsia" w:ascii="宋体" w:hAnsi="宋体" w:cs="宋体"/>
          <w:b/>
          <w:sz w:val="28"/>
          <w:szCs w:val="28"/>
        </w:rPr>
        <w:t>招标文件</w:t>
      </w:r>
      <w:bookmarkEnd w:id="15"/>
      <w:bookmarkEnd w:id="16"/>
    </w:p>
    <w:p>
      <w:pPr>
        <w:spacing w:line="360" w:lineRule="auto"/>
        <w:ind w:firstLine="472" w:firstLineChars="196"/>
        <w:outlineLvl w:val="9"/>
        <w:rPr>
          <w:rFonts w:hint="eastAsia" w:ascii="宋体" w:hAnsi="宋体" w:cs="宋体"/>
          <w:b/>
          <w:bCs/>
          <w:sz w:val="24"/>
          <w:szCs w:val="24"/>
        </w:rPr>
      </w:pPr>
      <w:bookmarkStart w:id="17" w:name="_Toc92598701"/>
      <w:r>
        <w:rPr>
          <w:rFonts w:hint="eastAsia" w:ascii="宋体" w:hAnsi="宋体" w:cs="宋体"/>
          <w:b/>
          <w:bCs/>
          <w:sz w:val="24"/>
          <w:szCs w:val="24"/>
        </w:rPr>
        <w:t>2.1 招标文件的组成</w:t>
      </w:r>
    </w:p>
    <w:p>
      <w:pPr>
        <w:tabs>
          <w:tab w:val="left" w:pos="6246"/>
        </w:tabs>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本招标文件包括：</w:t>
      </w:r>
    </w:p>
    <w:p>
      <w:pPr>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 xml:space="preserve">(1) 招标公告 </w:t>
      </w:r>
    </w:p>
    <w:p>
      <w:pPr>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 xml:space="preserve">(2) </w:t>
      </w:r>
      <w:r>
        <w:rPr>
          <w:rFonts w:hint="eastAsia" w:ascii="宋体" w:hAnsi="宋体" w:cs="宋体"/>
          <w:color w:val="auto"/>
          <w:sz w:val="24"/>
          <w:szCs w:val="24"/>
          <w:lang w:eastAsia="zh-CN"/>
        </w:rPr>
        <w:t>投标人</w:t>
      </w:r>
      <w:r>
        <w:rPr>
          <w:rFonts w:hint="eastAsia" w:ascii="宋体" w:hAnsi="宋体" w:cs="宋体"/>
          <w:color w:val="auto"/>
          <w:sz w:val="24"/>
          <w:szCs w:val="24"/>
        </w:rPr>
        <w:t xml:space="preserve">须知 </w:t>
      </w:r>
    </w:p>
    <w:p>
      <w:pPr>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 xml:space="preserve">(3) 评标办法 </w:t>
      </w:r>
    </w:p>
    <w:p>
      <w:pPr>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cs="宋体"/>
          <w:color w:val="auto"/>
          <w:sz w:val="24"/>
          <w:szCs w:val="24"/>
        </w:rPr>
        <w:t xml:space="preserve">(4) </w:t>
      </w:r>
      <w:r>
        <w:rPr>
          <w:rFonts w:hint="eastAsia" w:ascii="宋体" w:hAnsi="宋体" w:cs="宋体"/>
          <w:color w:val="auto"/>
          <w:sz w:val="24"/>
          <w:szCs w:val="24"/>
          <w:lang w:eastAsia="zh-CN"/>
        </w:rPr>
        <w:t>合同主要条款</w:t>
      </w:r>
    </w:p>
    <w:p>
      <w:pPr>
        <w:spacing w:line="360" w:lineRule="auto"/>
        <w:ind w:left="479" w:leftChars="228"/>
        <w:outlineLvl w:val="9"/>
        <w:rPr>
          <w:rFonts w:hint="eastAsia" w:ascii="宋体" w:hAnsi="宋体" w:eastAsia="宋体" w:cs="宋体"/>
          <w:color w:val="auto"/>
          <w:sz w:val="24"/>
          <w:szCs w:val="24"/>
          <w:lang w:eastAsia="zh-CN"/>
        </w:rPr>
      </w:pPr>
      <w:r>
        <w:rPr>
          <w:rFonts w:hint="eastAsia" w:ascii="宋体" w:hAnsi="宋体" w:cs="宋体"/>
          <w:color w:val="auto"/>
          <w:sz w:val="24"/>
          <w:szCs w:val="24"/>
        </w:rPr>
        <w:t xml:space="preserve">(5) </w:t>
      </w:r>
      <w:r>
        <w:rPr>
          <w:rFonts w:hint="eastAsia" w:ascii="宋体" w:hAnsi="宋体" w:cs="宋体"/>
          <w:color w:val="auto"/>
          <w:sz w:val="24"/>
          <w:szCs w:val="24"/>
          <w:lang w:eastAsia="zh-CN"/>
        </w:rPr>
        <w:t>采购内容和要求</w:t>
      </w:r>
    </w:p>
    <w:p>
      <w:pPr>
        <w:spacing w:line="360" w:lineRule="auto"/>
        <w:ind w:firstLine="360" w:firstLineChars="150"/>
        <w:outlineLvl w:val="9"/>
        <w:rPr>
          <w:rFonts w:hint="eastAsia" w:ascii="宋体" w:hAnsi="宋体" w:cs="宋体"/>
          <w:color w:val="auto"/>
          <w:sz w:val="24"/>
          <w:szCs w:val="24"/>
        </w:rPr>
      </w:pPr>
      <w:r>
        <w:rPr>
          <w:rFonts w:hint="eastAsia" w:ascii="宋体" w:hAnsi="宋体" w:cs="宋体"/>
          <w:color w:val="auto"/>
          <w:sz w:val="24"/>
          <w:szCs w:val="24"/>
        </w:rPr>
        <w:t xml:space="preserve"> (6) 投标文件格式 </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根据本章第2.2 款对招标文件所作的澄清、修改，构成招标文件的组成部分。</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2.2 招标文件的澄清及修改</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2.2.1</w:t>
      </w:r>
      <w:r>
        <w:rPr>
          <w:rFonts w:hint="eastAsia" w:ascii="宋体" w:hAnsi="宋体" w:cs="宋体"/>
          <w:sz w:val="24"/>
          <w:szCs w:val="24"/>
          <w:lang w:eastAsia="zh-CN"/>
        </w:rPr>
        <w:t>招标</w:t>
      </w:r>
      <w:r>
        <w:rPr>
          <w:rFonts w:hint="eastAsia" w:ascii="宋体" w:hAnsi="宋体" w:cs="宋体"/>
          <w:sz w:val="24"/>
          <w:szCs w:val="24"/>
        </w:rPr>
        <w:t>代理机构可对已发出的招标文件进行必要的澄清或者修改，澄清或者修改的内容作为招标文件的组成部分。澄清和修改的内容可能影响投标文件编制的，</w:t>
      </w:r>
      <w:r>
        <w:rPr>
          <w:rFonts w:hint="eastAsia" w:ascii="宋体" w:hAnsi="宋体" w:cs="宋体"/>
          <w:sz w:val="24"/>
          <w:szCs w:val="24"/>
          <w:lang w:eastAsia="zh-CN"/>
        </w:rPr>
        <w:t>招标</w:t>
      </w:r>
      <w:r>
        <w:rPr>
          <w:rFonts w:hint="eastAsia" w:ascii="宋体" w:hAnsi="宋体" w:cs="宋体"/>
          <w:sz w:val="24"/>
          <w:szCs w:val="24"/>
        </w:rPr>
        <w:t>代理机构应当在投标文件截止时间至少十五日前，以书面形式通知所有获取招标文件的潜在</w:t>
      </w:r>
      <w:r>
        <w:rPr>
          <w:rFonts w:hint="eastAsia" w:ascii="宋体" w:hAnsi="宋体" w:cs="宋体"/>
          <w:sz w:val="24"/>
          <w:szCs w:val="24"/>
          <w:lang w:eastAsia="zh-CN"/>
        </w:rPr>
        <w:t>投标人</w:t>
      </w:r>
      <w:r>
        <w:rPr>
          <w:rFonts w:hint="eastAsia" w:ascii="宋体" w:hAnsi="宋体" w:cs="宋体"/>
          <w:sz w:val="24"/>
          <w:szCs w:val="24"/>
          <w:lang w:val="zh-CN"/>
        </w:rPr>
        <w:t>，并对投标人具有约束力。投标人在收到上述通知后，</w:t>
      </w:r>
      <w:r>
        <w:rPr>
          <w:rFonts w:hint="eastAsia" w:ascii="宋体" w:hAnsi="宋体" w:cs="宋体"/>
          <w:sz w:val="24"/>
          <w:szCs w:val="24"/>
        </w:rPr>
        <w:t>应当立即以书面形式向</w:t>
      </w:r>
      <w:r>
        <w:rPr>
          <w:rFonts w:hint="eastAsia" w:ascii="宋体" w:hAnsi="宋体" w:cs="宋体"/>
          <w:sz w:val="24"/>
          <w:szCs w:val="24"/>
          <w:lang w:eastAsia="zh-CN"/>
        </w:rPr>
        <w:t>招标</w:t>
      </w:r>
      <w:r>
        <w:rPr>
          <w:rFonts w:hint="eastAsia" w:ascii="宋体" w:hAnsi="宋体" w:cs="宋体"/>
          <w:sz w:val="24"/>
          <w:szCs w:val="24"/>
        </w:rPr>
        <w:t>代理机构确认；不足十五日的，</w:t>
      </w:r>
      <w:r>
        <w:rPr>
          <w:rFonts w:hint="eastAsia" w:ascii="宋体" w:hAnsi="宋体" w:cs="宋体"/>
          <w:sz w:val="24"/>
          <w:szCs w:val="24"/>
          <w:lang w:eastAsia="zh-CN"/>
        </w:rPr>
        <w:t>招标</w:t>
      </w:r>
      <w:r>
        <w:rPr>
          <w:rFonts w:hint="eastAsia" w:ascii="宋体" w:hAnsi="宋体" w:cs="宋体"/>
          <w:sz w:val="24"/>
          <w:szCs w:val="24"/>
        </w:rPr>
        <w:t>代理机构应当顺延提交投标文件的截止时间。</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 xml:space="preserve">2.2.2 </w:t>
      </w:r>
      <w:r>
        <w:rPr>
          <w:rFonts w:hint="eastAsia" w:ascii="宋体" w:hAnsi="宋体" w:cs="宋体"/>
          <w:sz w:val="24"/>
          <w:szCs w:val="24"/>
          <w:lang w:eastAsia="zh-CN"/>
        </w:rPr>
        <w:t>投标人</w:t>
      </w:r>
      <w:r>
        <w:rPr>
          <w:rFonts w:hint="eastAsia" w:ascii="宋体" w:hAnsi="宋体" w:cs="宋体"/>
          <w:sz w:val="24"/>
          <w:szCs w:val="24"/>
        </w:rPr>
        <w:t>在收到澄清或修改后，应在24小时内以书面形式通知</w:t>
      </w:r>
      <w:r>
        <w:rPr>
          <w:rFonts w:hint="eastAsia" w:ascii="宋体" w:hAnsi="宋体" w:cs="宋体"/>
          <w:sz w:val="24"/>
          <w:szCs w:val="24"/>
          <w:lang w:eastAsia="zh-CN"/>
        </w:rPr>
        <w:t>招标</w:t>
      </w:r>
      <w:r>
        <w:rPr>
          <w:rFonts w:hint="eastAsia" w:ascii="宋体" w:hAnsi="宋体" w:cs="宋体"/>
          <w:sz w:val="24"/>
          <w:szCs w:val="24"/>
        </w:rPr>
        <w:t>代理机构，确认己收到该澄清。</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2.3招标文件的</w:t>
      </w:r>
      <w:r>
        <w:rPr>
          <w:rFonts w:hint="eastAsia" w:ascii="宋体" w:hAnsi="宋体" w:cs="宋体"/>
          <w:b/>
          <w:bCs/>
          <w:sz w:val="24"/>
          <w:szCs w:val="24"/>
          <w:lang w:eastAsia="zh-CN"/>
        </w:rPr>
        <w:t>获取</w:t>
      </w:r>
      <w:r>
        <w:rPr>
          <w:rFonts w:hint="eastAsia" w:ascii="宋体" w:hAnsi="宋体" w:cs="宋体"/>
          <w:b/>
          <w:bCs/>
          <w:sz w:val="24"/>
          <w:szCs w:val="24"/>
        </w:rPr>
        <w:t>：</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招标公告发布后，</w:t>
      </w:r>
      <w:r>
        <w:rPr>
          <w:rFonts w:hint="eastAsia" w:ascii="宋体" w:hAnsi="宋体" w:cs="宋体"/>
          <w:sz w:val="24"/>
          <w:szCs w:val="24"/>
          <w:lang w:eastAsia="zh-CN"/>
        </w:rPr>
        <w:t>投标人</w:t>
      </w:r>
      <w:r>
        <w:rPr>
          <w:rFonts w:hint="eastAsia" w:ascii="宋体" w:hAnsi="宋体" w:cs="宋体"/>
          <w:sz w:val="24"/>
          <w:szCs w:val="24"/>
        </w:rPr>
        <w:t>应从</w:t>
      </w:r>
      <w:r>
        <w:rPr>
          <w:rFonts w:hint="eastAsia" w:ascii="宋体" w:hAnsi="宋体" w:cs="宋体"/>
          <w:sz w:val="24"/>
          <w:szCs w:val="24"/>
          <w:lang w:eastAsia="zh-CN"/>
        </w:rPr>
        <w:t>招标</w:t>
      </w:r>
      <w:r>
        <w:rPr>
          <w:rFonts w:hint="eastAsia" w:ascii="宋体" w:hAnsi="宋体" w:cs="宋体"/>
          <w:sz w:val="24"/>
          <w:szCs w:val="24"/>
        </w:rPr>
        <w:t>代理机构</w:t>
      </w:r>
      <w:r>
        <w:rPr>
          <w:rFonts w:hint="eastAsia" w:ascii="宋体" w:hAnsi="宋体" w:cs="宋体"/>
          <w:sz w:val="24"/>
          <w:szCs w:val="24"/>
          <w:lang w:eastAsia="zh-CN"/>
        </w:rPr>
        <w:t>获取</w:t>
      </w:r>
      <w:r>
        <w:rPr>
          <w:rFonts w:hint="eastAsia" w:ascii="宋体" w:hAnsi="宋体" w:cs="宋体"/>
          <w:sz w:val="24"/>
          <w:szCs w:val="24"/>
        </w:rPr>
        <w:t>招标文件，</w:t>
      </w:r>
      <w:r>
        <w:rPr>
          <w:rFonts w:hint="eastAsia" w:ascii="宋体" w:hAnsi="宋体" w:cs="宋体"/>
          <w:sz w:val="24"/>
          <w:szCs w:val="24"/>
          <w:lang w:eastAsia="zh-CN"/>
        </w:rPr>
        <w:t>投标人</w:t>
      </w:r>
      <w:r>
        <w:rPr>
          <w:rFonts w:hint="eastAsia" w:ascii="宋体" w:hAnsi="宋体" w:cs="宋体"/>
          <w:sz w:val="24"/>
          <w:szCs w:val="24"/>
        </w:rPr>
        <w:t>自行转让或复制的招标文件视为无效招标文件；招标文件仅作为本次招标使用。</w:t>
      </w:r>
    </w:p>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2.4评标的处理依据</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评标委员会有权对在开标、评标过程中出现的一切问题，根据《中华人民共和国政府采购法》和《中华人民共和国政府采购法实施条例》等相关法律、法规的条款，本着公开、公平、公正的原则进行处理。</w:t>
      </w:r>
    </w:p>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2.5解释权归属</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本招标文件的解释权归</w:t>
      </w:r>
      <w:r>
        <w:rPr>
          <w:rFonts w:hint="eastAsia" w:ascii="宋体" w:hAnsi="宋体" w:cs="宋体"/>
          <w:sz w:val="24"/>
          <w:szCs w:val="24"/>
          <w:lang w:eastAsia="zh-CN"/>
        </w:rPr>
        <w:t>招标</w:t>
      </w:r>
      <w:r>
        <w:rPr>
          <w:rFonts w:hint="eastAsia" w:ascii="宋体" w:hAnsi="宋体" w:cs="宋体"/>
          <w:sz w:val="24"/>
          <w:szCs w:val="24"/>
        </w:rPr>
        <w:t>代理机构。</w:t>
      </w:r>
    </w:p>
    <w:bookmarkEnd w:id="17"/>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2.6投标文件的编制：</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投标文件必须根据招标文件提供的内容及格式编制，并对招标文件做出实质性响应。</w:t>
      </w:r>
    </w:p>
    <w:p>
      <w:pPr>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2.6.1投标文件应包括下列内容</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投标文件必须根据招标文件提供的内容及格式编制，并对招标文件做出实质性响应。</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2.6.1投标文件应包括下列内容</w:t>
      </w:r>
    </w:p>
    <w:p>
      <w:pPr>
        <w:keepNext w:val="0"/>
        <w:keepLines w:val="0"/>
        <w:pageBreakBefore w:val="0"/>
        <w:numPr>
          <w:ilvl w:val="0"/>
          <w:numId w:val="0"/>
        </w:numPr>
        <w:tabs>
          <w:tab w:val="left" w:pos="3500"/>
          <w:tab w:val="left" w:pos="370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一、</w:t>
      </w:r>
      <w:r>
        <w:rPr>
          <w:rFonts w:hint="eastAsia" w:ascii="宋体" w:hAnsi="宋体" w:eastAsia="宋体" w:cs="宋体"/>
          <w:b w:val="0"/>
          <w:bCs/>
          <w:sz w:val="24"/>
          <w:szCs w:val="24"/>
        </w:rPr>
        <w:t>投标函</w:t>
      </w:r>
    </w:p>
    <w:p>
      <w:pPr>
        <w:keepNext w:val="0"/>
        <w:keepLines w:val="0"/>
        <w:pageBreakBefore w:val="0"/>
        <w:tabs>
          <w:tab w:val="left" w:pos="3500"/>
          <w:tab w:val="left" w:pos="370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二</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开标一览表</w:t>
      </w:r>
    </w:p>
    <w:p>
      <w:pPr>
        <w:keepNext w:val="0"/>
        <w:keepLines w:val="0"/>
        <w:pageBreakBefore w:val="0"/>
        <w:tabs>
          <w:tab w:val="left" w:pos="3500"/>
          <w:tab w:val="left" w:pos="370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lang w:eastAsia="zh-CN"/>
        </w:rPr>
        <w:t>三、</w:t>
      </w:r>
      <w:r>
        <w:rPr>
          <w:rFonts w:hint="eastAsia" w:ascii="宋体" w:hAnsi="宋体" w:eastAsia="宋体" w:cs="宋体"/>
          <w:b w:val="0"/>
          <w:bCs/>
          <w:sz w:val="24"/>
          <w:szCs w:val="24"/>
        </w:rPr>
        <w:t>分项报价表</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四、商务及合同条款偏离表</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lang w:val="en-US" w:eastAsia="zh-CN"/>
        </w:rPr>
        <w:t>五、服务要求偏离表</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六、资格证明文件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七、</w:t>
      </w:r>
      <w:r>
        <w:rPr>
          <w:rFonts w:hint="eastAsia" w:ascii="宋体" w:hAnsi="宋体" w:eastAsia="宋体" w:cs="宋体"/>
          <w:b w:val="0"/>
          <w:bCs/>
          <w:kern w:val="2"/>
          <w:sz w:val="24"/>
          <w:szCs w:val="24"/>
          <w:lang w:val="en-US" w:eastAsia="zh-CN" w:bidi="ar-SA"/>
        </w:rPr>
        <w:t>供应商参加政府采购活动承诺书</w:t>
      </w:r>
    </w:p>
    <w:p>
      <w:pPr>
        <w:pStyle w:val="42"/>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八、投标方案</w:t>
      </w:r>
    </w:p>
    <w:p>
      <w:pPr>
        <w:pStyle w:val="42"/>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九、中小企业、监狱企业、残疾人福利性单位声明函</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2.6.2投标报价：</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（1）各投标人应在投标文件中的投标报价一览表上标明投标总价等项，任何有选择的报价，将不予接受。</w:t>
      </w:r>
    </w:p>
    <w:p>
      <w:pPr>
        <w:spacing w:line="360" w:lineRule="auto"/>
        <w:ind w:firstLine="480" w:firstLineChars="200"/>
        <w:outlineLvl w:val="9"/>
        <w:rPr>
          <w:rFonts w:hint="eastAsia" w:ascii="宋体" w:hAnsi="宋体" w:cs="宋体"/>
          <w:bCs/>
          <w:sz w:val="24"/>
          <w:szCs w:val="24"/>
        </w:rPr>
      </w:pPr>
      <w:r>
        <w:rPr>
          <w:rFonts w:hint="eastAsia" w:ascii="宋体" w:hAnsi="宋体" w:cs="宋体"/>
          <w:bCs/>
          <w:sz w:val="24"/>
          <w:szCs w:val="24"/>
        </w:rPr>
        <w:t>（2）凡因投标人对招标文件阅读不深、理解不透、误解、疏漏、漏项或因市场行情了解不清造成的后果和风险均由投标人自负。</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2.6.3投标报价一览表为在开标会上唱标的内容，按要求格式填写不允许在投标文件中出现两个报价。</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2.7投标文件的计量单位</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投标文件中所使用的计量单位，除有特殊要求外，均采用国家法定计量单位。</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2.8投标报价</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2.8.1投标货币：人民币    单位：元。</w:t>
      </w:r>
    </w:p>
    <w:p>
      <w:pPr>
        <w:spacing w:line="360" w:lineRule="auto"/>
        <w:ind w:firstLine="480" w:firstLineChars="200"/>
        <w:outlineLvl w:val="9"/>
        <w:rPr>
          <w:rFonts w:hint="eastAsia" w:ascii="宋体" w:hAnsi="宋体" w:cs="宋体"/>
          <w:bCs/>
          <w:sz w:val="24"/>
          <w:szCs w:val="24"/>
        </w:rPr>
      </w:pPr>
      <w:r>
        <w:rPr>
          <w:rFonts w:hint="eastAsia" w:ascii="宋体" w:hAnsi="宋体" w:cs="宋体"/>
          <w:bCs/>
          <w:sz w:val="24"/>
          <w:szCs w:val="24"/>
        </w:rPr>
        <w:t>2.8.2报价</w:t>
      </w:r>
    </w:p>
    <w:p>
      <w:pPr>
        <w:spacing w:line="360" w:lineRule="auto"/>
        <w:ind w:firstLine="480" w:firstLineChars="200"/>
        <w:outlineLvl w:val="9"/>
        <w:rPr>
          <w:rFonts w:hint="eastAsia" w:ascii="宋体" w:hAnsi="宋体"/>
          <w:sz w:val="24"/>
        </w:rPr>
      </w:pP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投标报价应包括完成招标文件规定的招标范围全部内容所需的全部费用及招标代理服务费。</w:t>
      </w:r>
      <w:r>
        <w:rPr>
          <w:rFonts w:hint="eastAsia" w:ascii="宋体" w:hAnsi="宋体" w:cs="宋体"/>
          <w:sz w:val="24"/>
        </w:rPr>
        <w:t>凡本招标文件要求（或允许）及</w:t>
      </w:r>
      <w:r>
        <w:rPr>
          <w:rFonts w:hint="eastAsia" w:ascii="宋体" w:hAnsi="宋体" w:cs="宋体"/>
          <w:sz w:val="24"/>
          <w:lang w:eastAsia="zh-CN"/>
        </w:rPr>
        <w:t>投标人</w:t>
      </w:r>
      <w:r>
        <w:rPr>
          <w:rFonts w:hint="eastAsia" w:ascii="宋体" w:hAnsi="宋体" w:cs="宋体"/>
          <w:sz w:val="24"/>
        </w:rPr>
        <w:t>认为需要进行投标报价的各项费用项目，若报价时未报或未在招标文件中予以说明，</w:t>
      </w:r>
      <w:r>
        <w:rPr>
          <w:rFonts w:hint="eastAsia" w:ascii="宋体" w:hAnsi="宋体" w:cs="宋体"/>
          <w:sz w:val="24"/>
          <w:lang w:eastAsia="zh-CN"/>
        </w:rPr>
        <w:t>招标人</w:t>
      </w:r>
      <w:r>
        <w:rPr>
          <w:rFonts w:hint="eastAsia" w:ascii="宋体" w:hAnsi="宋体" w:cs="宋体"/>
          <w:sz w:val="24"/>
        </w:rPr>
        <w:t>将认为这些费用</w:t>
      </w:r>
      <w:r>
        <w:rPr>
          <w:rFonts w:hint="eastAsia" w:ascii="宋体" w:hAnsi="宋体" w:cs="宋体"/>
          <w:sz w:val="24"/>
          <w:lang w:eastAsia="zh-CN"/>
        </w:rPr>
        <w:t>投标人</w:t>
      </w:r>
      <w:r>
        <w:rPr>
          <w:rFonts w:hint="eastAsia" w:ascii="宋体" w:hAnsi="宋体" w:cs="宋体"/>
          <w:sz w:val="24"/>
        </w:rPr>
        <w:t>已计取，并包含在总报价中</w:t>
      </w:r>
      <w:r>
        <w:rPr>
          <w:rFonts w:hint="eastAsia" w:ascii="宋体" w:hAnsi="宋体"/>
          <w:sz w:val="24"/>
        </w:rPr>
        <w:t>。</w:t>
      </w:r>
    </w:p>
    <w:p>
      <w:pPr>
        <w:spacing w:line="360" w:lineRule="auto"/>
        <w:ind w:firstLine="480" w:firstLineChars="200"/>
        <w:outlineLvl w:val="9"/>
        <w:rPr>
          <w:rFonts w:hint="eastAsia"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）投标报价一览表（唱标报告）</w:t>
      </w:r>
      <w:r>
        <w:rPr>
          <w:rFonts w:hint="eastAsia" w:ascii="宋体" w:hAnsi="宋体"/>
          <w:sz w:val="24"/>
        </w:rPr>
        <w:t>中标明的价格在合同执行过程中是固定不变的，不得以任何理由予以变更。</w:t>
      </w:r>
    </w:p>
    <w:p>
      <w:pPr>
        <w:spacing w:line="360" w:lineRule="auto"/>
        <w:ind w:firstLine="480" w:firstLineChars="200"/>
        <w:outlineLvl w:val="9"/>
        <w:rPr>
          <w:rFonts w:hint="eastAsia" w:ascii="宋体" w:hAnsi="宋体"/>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）招标人</w:t>
      </w:r>
      <w:r>
        <w:rPr>
          <w:rFonts w:hint="eastAsia" w:ascii="宋体" w:hAnsi="宋体"/>
          <w:sz w:val="24"/>
        </w:rPr>
        <w:t>不接受任何有选择性的报价。</w:t>
      </w:r>
    </w:p>
    <w:p>
      <w:pPr>
        <w:spacing w:line="360" w:lineRule="auto"/>
        <w:ind w:firstLine="480" w:firstLineChars="200"/>
        <w:outlineLvl w:val="9"/>
        <w:rPr>
          <w:rFonts w:hint="eastAsia" w:ascii="宋体" w:hAnsi="宋体"/>
          <w:sz w:val="24"/>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lang w:eastAsia="zh-CN"/>
        </w:rPr>
        <w:t>）</w:t>
      </w:r>
      <w:r>
        <w:rPr>
          <w:rFonts w:hint="eastAsia" w:ascii="宋体" w:hAnsi="宋体"/>
          <w:sz w:val="24"/>
        </w:rPr>
        <w:t>凡因投标单位对招标文件阅读不深、理解不透、误解、疏漏、或因市场行情了解不清造成的后果和风险均由投标单位自负。</w:t>
      </w:r>
    </w:p>
    <w:p>
      <w:pPr>
        <w:spacing w:line="360" w:lineRule="auto"/>
        <w:ind w:firstLine="480"/>
        <w:outlineLvl w:val="9"/>
        <w:rPr>
          <w:rFonts w:hint="eastAsia" w:ascii="宋体" w:hAnsi="宋体" w:cs="宋体"/>
          <w:sz w:val="24"/>
          <w:szCs w:val="24"/>
        </w:rPr>
      </w:pPr>
      <w:r>
        <w:rPr>
          <w:rFonts w:hint="eastAsia" w:ascii="宋体" w:hAnsi="宋体"/>
          <w:sz w:val="24"/>
          <w:lang w:eastAsia="zh-CN"/>
        </w:rPr>
        <w:t>（</w:t>
      </w:r>
      <w:r>
        <w:rPr>
          <w:rFonts w:hint="eastAsia" w:ascii="宋体" w:hAnsi="宋体"/>
          <w:sz w:val="24"/>
          <w:lang w:val="en-US" w:eastAsia="zh-CN"/>
        </w:rPr>
        <w:t>5</w:t>
      </w:r>
      <w:r>
        <w:rPr>
          <w:rFonts w:hint="eastAsia" w:ascii="宋体" w:hAnsi="宋体"/>
          <w:sz w:val="24"/>
          <w:lang w:eastAsia="zh-CN"/>
        </w:rPr>
        <w:t>）</w:t>
      </w:r>
      <w:r>
        <w:rPr>
          <w:rFonts w:hint="eastAsia" w:ascii="宋体" w:hAnsi="宋体"/>
          <w:sz w:val="24"/>
        </w:rPr>
        <w:t>最低报价不是中标的唯一依据。</w:t>
      </w:r>
    </w:p>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2.9投标期间一切费用自理。</w:t>
      </w:r>
    </w:p>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2.10投标文件的制作</w:t>
      </w:r>
    </w:p>
    <w:p>
      <w:pPr>
        <w:spacing w:line="360" w:lineRule="auto"/>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见前附表</w:t>
      </w:r>
    </w:p>
    <w:p>
      <w:pPr>
        <w:spacing w:line="360" w:lineRule="auto"/>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2.11质疑提出与答复</w:t>
      </w:r>
    </w:p>
    <w:p>
      <w:pPr>
        <w:pStyle w:val="21"/>
        <w:spacing w:before="0" w:beforeAutospacing="0" w:after="0" w:afterAutospacing="0" w:line="360" w:lineRule="auto"/>
        <w:ind w:firstLine="360" w:firstLineChars="150"/>
        <w:rPr>
          <w:rFonts w:hint="eastAsia"/>
          <w:color w:val="auto"/>
          <w:kern w:val="2"/>
          <w:highlight w:val="none"/>
        </w:rPr>
      </w:pPr>
      <w:r>
        <w:rPr>
          <w:rFonts w:hint="eastAsia"/>
          <w:color w:val="auto"/>
          <w:highlight w:val="none"/>
        </w:rPr>
        <w:t>（</w:t>
      </w:r>
      <w:r>
        <w:rPr>
          <w:color w:val="auto"/>
          <w:highlight w:val="none"/>
        </w:rPr>
        <w:t>1</w:t>
      </w:r>
      <w:r>
        <w:rPr>
          <w:rFonts w:hint="eastAsia"/>
          <w:color w:val="auto"/>
          <w:highlight w:val="none"/>
        </w:rPr>
        <w:t>）</w:t>
      </w:r>
      <w:r>
        <w:rPr>
          <w:rFonts w:hint="eastAsia"/>
          <w:color w:val="auto"/>
          <w:highlight w:val="none"/>
          <w:lang w:eastAsia="zh-CN"/>
        </w:rPr>
        <w:t>供应商</w:t>
      </w:r>
      <w:r>
        <w:rPr>
          <w:color w:val="auto"/>
          <w:highlight w:val="none"/>
        </w:rPr>
        <w:t>认为采购文件、采购过程</w:t>
      </w:r>
      <w:r>
        <w:rPr>
          <w:rFonts w:hint="eastAsia"/>
          <w:color w:val="auto"/>
          <w:highlight w:val="none"/>
          <w:lang w:eastAsia="zh-CN"/>
        </w:rPr>
        <w:t>和</w:t>
      </w:r>
      <w:r>
        <w:rPr>
          <w:color w:val="auto"/>
          <w:highlight w:val="none"/>
        </w:rPr>
        <w:t>中标</w:t>
      </w:r>
      <w:r>
        <w:rPr>
          <w:rFonts w:hint="eastAsia"/>
          <w:color w:val="auto"/>
          <w:highlight w:val="none"/>
          <w:lang w:eastAsia="zh-CN"/>
        </w:rPr>
        <w:t>、成交</w:t>
      </w:r>
      <w:r>
        <w:rPr>
          <w:color w:val="auto"/>
          <w:highlight w:val="none"/>
        </w:rPr>
        <w:t>结果使自己的权益受到损害的，</w:t>
      </w:r>
      <w:r>
        <w:rPr>
          <w:rFonts w:hint="eastAsia"/>
          <w:color w:val="auto"/>
          <w:highlight w:val="none"/>
        </w:rPr>
        <w:t>可以</w:t>
      </w:r>
      <w:r>
        <w:rPr>
          <w:color w:val="auto"/>
          <w:highlight w:val="none"/>
        </w:rPr>
        <w:t>在知道或者应知其权益受到损害之日起七个工作日内，</w:t>
      </w:r>
      <w:r>
        <w:rPr>
          <w:rFonts w:hint="eastAsia"/>
          <w:color w:val="auto"/>
          <w:kern w:val="2"/>
          <w:highlight w:val="none"/>
        </w:rPr>
        <w:t xml:space="preserve">以书面形式向采购代理机构提出。 </w:t>
      </w:r>
    </w:p>
    <w:p>
      <w:pPr>
        <w:pStyle w:val="21"/>
        <w:spacing w:before="0" w:beforeAutospacing="0" w:after="0" w:afterAutospacing="0" w:line="360" w:lineRule="auto"/>
        <w:ind w:firstLine="360" w:firstLineChars="150"/>
        <w:rPr>
          <w:rFonts w:hint="eastAsia"/>
          <w:color w:val="auto"/>
          <w:kern w:val="2"/>
          <w:highlight w:val="none"/>
        </w:rPr>
      </w:pPr>
      <w:r>
        <w:rPr>
          <w:rFonts w:hint="eastAsia"/>
          <w:color w:val="auto"/>
          <w:highlight w:val="none"/>
        </w:rPr>
        <w:t>（2）质疑供应商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质疑函应当包括下列内容：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投标人</w:t>
      </w:r>
      <w:r>
        <w:rPr>
          <w:rFonts w:hint="eastAsia" w:ascii="宋体" w:hAnsi="宋体" w:eastAsia="宋体" w:cs="宋体"/>
          <w:sz w:val="24"/>
          <w:szCs w:val="24"/>
        </w:rPr>
        <w:t>的姓名或者名称、地址、邮编、联系人及联系电话；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2、质疑项目的名称、编号；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3、具体、明确的质疑事项和与质疑事项相关的请求；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4、事实依据；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5、必要的法律依据；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6、提出质疑的日期。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val="zh-CN"/>
        </w:rPr>
        <w:t>投标人</w:t>
      </w:r>
      <w:r>
        <w:rPr>
          <w:rFonts w:hint="eastAsia" w:ascii="宋体" w:hAnsi="宋体" w:eastAsia="宋体" w:cs="宋体"/>
          <w:sz w:val="24"/>
          <w:szCs w:val="24"/>
        </w:rPr>
        <w:t>须在法定质疑期内一次性提出针对同一采购程序环节的质疑。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（3）质疑有以下情形之一的，采购代理机构不予受理：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1、未按规定程序和渠道提出质疑的；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2、超过法定质疑期限的；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3、书面质疑的形式和内容不符合上述要求的；</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书面质疑</w:t>
      </w:r>
      <w:r>
        <w:rPr>
          <w:rFonts w:hint="eastAsia" w:ascii="宋体" w:hAnsi="宋体" w:eastAsia="宋体" w:cs="宋体"/>
          <w:sz w:val="24"/>
          <w:szCs w:val="24"/>
          <w:lang w:eastAsia="zh-CN"/>
        </w:rPr>
        <w:t>缺乏事实依据或没有</w:t>
      </w:r>
      <w:r>
        <w:rPr>
          <w:rFonts w:hint="eastAsia" w:ascii="宋体" w:hAnsi="宋体" w:eastAsia="宋体" w:cs="宋体"/>
          <w:sz w:val="24"/>
          <w:szCs w:val="24"/>
        </w:rPr>
        <w:t>必要的法律依据</w:t>
      </w:r>
      <w:r>
        <w:rPr>
          <w:rFonts w:hint="eastAsia" w:ascii="宋体" w:hAnsi="宋体" w:eastAsia="宋体" w:cs="宋体"/>
          <w:sz w:val="24"/>
          <w:szCs w:val="24"/>
          <w:lang w:eastAsia="zh-CN"/>
        </w:rPr>
        <w:t>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、提出的质疑事项已经明确答复的；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、法律法规规定的其他不予受理的条件。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（4）采购代理机构应当在收到质疑函后七个工作日内做出书面答复。答复内容同时通知与处理结果有关的投标人，但答复内容不得涉及投标人的商业秘密。</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质疑函接收联系人</w:t>
      </w:r>
      <w:r>
        <w:rPr>
          <w:rFonts w:hint="eastAsia" w:ascii="宋体" w:hAnsi="宋体" w:eastAsia="宋体" w:cs="宋体"/>
          <w:sz w:val="24"/>
          <w:szCs w:val="24"/>
          <w:lang w:eastAsia="zh-CN"/>
        </w:rPr>
        <w:t>：张工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17719501789</w:t>
      </w:r>
    </w:p>
    <w:p>
      <w:pPr>
        <w:pStyle w:val="21"/>
        <w:spacing w:before="0" w:beforeAutospacing="0" w:after="0" w:afterAutospacing="0" w:line="360" w:lineRule="auto"/>
        <w:ind w:firstLine="360" w:firstLineChars="150"/>
        <w:rPr>
          <w:rFonts w:hint="eastAsia"/>
        </w:rPr>
      </w:pPr>
      <w:r>
        <w:rPr>
          <w:rFonts w:hint="eastAsia"/>
          <w:color w:val="auto"/>
          <w:kern w:val="2"/>
          <w:highlight w:val="none"/>
        </w:rPr>
        <w:t>通讯地址</w:t>
      </w:r>
      <w:r>
        <w:rPr>
          <w:rFonts w:hint="eastAsia"/>
          <w:color w:val="auto"/>
          <w:kern w:val="2"/>
          <w:highlight w:val="none"/>
          <w:lang w:eastAsia="zh-CN"/>
        </w:rPr>
        <w:t>：</w:t>
      </w:r>
      <w:r>
        <w:rPr>
          <w:rFonts w:hint="eastAsia" w:ascii="宋体" w:hAnsi="宋体" w:cs="宋体"/>
          <w:i w:val="0"/>
          <w:caps w:val="0"/>
          <w:color w:val="333333"/>
          <w:spacing w:val="0"/>
          <w:sz w:val="24"/>
          <w:szCs w:val="24"/>
          <w:shd w:val="clear" w:color="auto" w:fill="FFFFFF"/>
          <w:lang w:eastAsia="zh-CN"/>
        </w:rPr>
        <w:t>周至县北大街周至教区总堂斜对面向北10米天煜荣泽2层</w:t>
      </w:r>
    </w:p>
    <w:p>
      <w:pPr>
        <w:spacing w:line="360" w:lineRule="auto"/>
        <w:jc w:val="both"/>
        <w:outlineLvl w:val="9"/>
        <w:rPr>
          <w:rFonts w:hint="eastAsia" w:ascii="宋体" w:hAnsi="宋体" w:cs="宋体"/>
          <w:b/>
          <w:sz w:val="28"/>
          <w:szCs w:val="28"/>
        </w:rPr>
      </w:pPr>
      <w:bookmarkStart w:id="18" w:name="_Toc8458_WPSOffice_Level1"/>
      <w:bookmarkStart w:id="19" w:name="_Toc25679_WPSOffice_Level2"/>
      <w:r>
        <w:rPr>
          <w:rFonts w:hint="eastAsia" w:ascii="宋体" w:hAnsi="宋体" w:cs="宋体"/>
          <w:b/>
          <w:sz w:val="28"/>
          <w:szCs w:val="28"/>
        </w:rPr>
        <w:t>第三节 投标</w:t>
      </w:r>
      <w:bookmarkEnd w:id="18"/>
      <w:bookmarkEnd w:id="19"/>
    </w:p>
    <w:p>
      <w:pPr>
        <w:spacing w:line="360" w:lineRule="auto"/>
        <w:ind w:firstLine="472"/>
        <w:outlineLvl w:val="9"/>
        <w:rPr>
          <w:rFonts w:hint="eastAsia" w:eastAsia="宋体"/>
          <w:lang w:eastAsia="zh-CN"/>
        </w:rPr>
      </w:pPr>
      <w:r>
        <w:rPr>
          <w:rFonts w:hint="eastAsia" w:ascii="宋体" w:hAnsi="宋体" w:cs="宋体"/>
          <w:b/>
          <w:sz w:val="24"/>
          <w:szCs w:val="24"/>
          <w:lang w:val="en-US" w:eastAsia="zh-CN"/>
        </w:rPr>
        <w:t>1</w:t>
      </w:r>
      <w:r>
        <w:rPr>
          <w:rFonts w:hint="eastAsia" w:ascii="宋体" w:hAnsi="宋体" w:cs="宋体"/>
          <w:b/>
          <w:sz w:val="24"/>
          <w:szCs w:val="24"/>
        </w:rPr>
        <w:t>.</w:t>
      </w:r>
      <w:r>
        <w:rPr>
          <w:rFonts w:hint="eastAsia" w:ascii="宋体" w:hAnsi="宋体" w:cs="宋体"/>
          <w:b/>
          <w:sz w:val="24"/>
          <w:szCs w:val="24"/>
          <w:lang w:eastAsia="zh-CN"/>
        </w:rPr>
        <w:t>一般要求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 投标人应仔细阅读招标文件的所有内容，按招标文件的要求的内容编制投标文件，并保证所提供的全部资料的真实性，以使其投标文件对招标文件做出实质性的响应。</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1.2 投标人提交的投标文件及投标人与招标人或招标代理机构、评标委员会就有关投标的所有来往函电必须使用中文。投标人可以提交其他语言的资料，但应附有中文注释，有差异时以中文为准。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1.3 除技术要求另有规定外，本文件所要求使用的计量单位均采用国家法定的度、量、衡标准单位计量。未列明时亦默认为我国法定计量单位。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1.4 投标人应当按招标文件中提供的投标文件内容进行填写。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 投标文件应采用书面形式，招标文件中要求提供电子版的，必须按要求提供。</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9"/>
      </w:pPr>
      <w:r>
        <w:rPr>
          <w:rFonts w:hint="eastAsia" w:ascii="宋体" w:hAnsi="宋体" w:cs="宋体"/>
          <w:b/>
          <w:sz w:val="24"/>
          <w:szCs w:val="24"/>
          <w:lang w:val="en-US" w:eastAsia="zh-CN"/>
        </w:rPr>
        <w:t>2</w:t>
      </w:r>
      <w:r>
        <w:rPr>
          <w:rFonts w:hint="eastAsia" w:ascii="宋体" w:hAnsi="宋体" w:cs="宋体"/>
          <w:b/>
          <w:sz w:val="24"/>
          <w:szCs w:val="24"/>
        </w:rPr>
        <w:t>.投标截止时间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pPr>
      <w:r>
        <w:rPr>
          <w:rFonts w:hint="eastAsia" w:ascii="宋体" w:hAnsi="宋体" w:cs="宋体"/>
          <w:sz w:val="24"/>
          <w:szCs w:val="24"/>
          <w:lang w:val="en-US" w:eastAsia="zh-CN"/>
        </w:rPr>
        <w:t>2</w:t>
      </w:r>
      <w:r>
        <w:rPr>
          <w:rFonts w:hint="eastAsia" w:ascii="宋体" w:hAnsi="宋体" w:cs="宋体"/>
          <w:sz w:val="24"/>
          <w:szCs w:val="24"/>
        </w:rPr>
        <w:t>.1招标方推迟投标截止时间时，应以书面或传真的形式通知所有</w:t>
      </w:r>
      <w:r>
        <w:rPr>
          <w:rFonts w:hint="eastAsia" w:ascii="宋体" w:hAnsi="宋体" w:cs="宋体"/>
          <w:sz w:val="24"/>
          <w:szCs w:val="24"/>
          <w:lang w:eastAsia="zh-CN"/>
        </w:rPr>
        <w:t>投标人</w:t>
      </w:r>
      <w:r>
        <w:rPr>
          <w:rFonts w:hint="eastAsia" w:ascii="宋体" w:hAnsi="宋体" w:cs="宋体"/>
          <w:sz w:val="24"/>
          <w:szCs w:val="24"/>
        </w:rPr>
        <w:t>，招标方和</w:t>
      </w:r>
      <w:r>
        <w:rPr>
          <w:rFonts w:hint="eastAsia" w:ascii="宋体" w:hAnsi="宋体" w:cs="宋体"/>
          <w:sz w:val="24"/>
          <w:szCs w:val="24"/>
          <w:lang w:eastAsia="zh-CN"/>
        </w:rPr>
        <w:t>投标人</w:t>
      </w:r>
      <w:r>
        <w:rPr>
          <w:rFonts w:hint="eastAsia" w:ascii="宋体" w:hAnsi="宋体" w:cs="宋体"/>
          <w:sz w:val="24"/>
          <w:szCs w:val="24"/>
        </w:rPr>
        <w:t>的权利和义务将受到新的截止期的约束；</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pPr>
      <w:r>
        <w:rPr>
          <w:rFonts w:hint="eastAsia" w:ascii="宋体" w:hAnsi="宋体" w:cs="宋体"/>
          <w:sz w:val="24"/>
          <w:szCs w:val="24"/>
          <w:lang w:val="en-US" w:eastAsia="zh-CN"/>
        </w:rPr>
        <w:t>2</w:t>
      </w:r>
      <w:r>
        <w:rPr>
          <w:rFonts w:hint="eastAsia" w:ascii="宋体" w:hAnsi="宋体" w:cs="宋体"/>
          <w:sz w:val="24"/>
          <w:szCs w:val="24"/>
        </w:rPr>
        <w:t>.2投标截止时间以后送达的投标文件，招标方拒绝接收。</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9"/>
      </w:pPr>
      <w:r>
        <w:rPr>
          <w:rFonts w:hint="eastAsia" w:ascii="宋体" w:hAnsi="宋体" w:cs="宋体"/>
          <w:b/>
          <w:sz w:val="24"/>
          <w:szCs w:val="24"/>
          <w:lang w:val="en-US" w:eastAsia="zh-CN"/>
        </w:rPr>
        <w:t>3</w:t>
      </w:r>
      <w:r>
        <w:rPr>
          <w:rFonts w:hint="eastAsia" w:ascii="宋体" w:hAnsi="宋体" w:cs="宋体"/>
          <w:b/>
          <w:sz w:val="24"/>
          <w:szCs w:val="24"/>
        </w:rPr>
        <w:t>.投标文件的修改和撤回</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pPr>
      <w:r>
        <w:rPr>
          <w:rFonts w:hint="eastAsia" w:ascii="宋体" w:hAnsi="宋体" w:cs="宋体"/>
          <w:sz w:val="24"/>
          <w:szCs w:val="24"/>
          <w:lang w:val="en-US" w:eastAsia="zh-CN"/>
        </w:rPr>
        <w:t>3</w:t>
      </w:r>
      <w:r>
        <w:rPr>
          <w:rFonts w:hint="eastAsia" w:ascii="宋体" w:hAnsi="宋体" w:cs="宋体"/>
          <w:sz w:val="24"/>
          <w:szCs w:val="24"/>
        </w:rPr>
        <w:t>.1</w:t>
      </w:r>
      <w:r>
        <w:rPr>
          <w:rFonts w:hint="eastAsia" w:ascii="宋体" w:hAnsi="宋体" w:eastAsia="宋体" w:cs="宋体"/>
          <w:color w:val="000000"/>
          <w:kern w:val="0"/>
          <w:sz w:val="24"/>
          <w:szCs w:val="24"/>
          <w:lang w:val="en-US" w:eastAsia="zh-CN" w:bidi="ar"/>
        </w:rPr>
        <w:t xml:space="preserve"> 在投标人须知前附表规定的投标截止时间前，投标人可以修改或撤回已递交的投标文件。投标人对已提交的电子投标文件进行补充、修改的，应先从电子交易平台上撤回旧文件，再重新提交新文件。投标人对已提交的电子投标文件进行撤回的，直接从电子交易平台撤回投标文件即可。在投标截止时间之后，投标人将无法对其提交的投标文件做任何修改或者撤回投标。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pPr>
      <w:r>
        <w:rPr>
          <w:rFonts w:hint="eastAsia" w:ascii="宋体" w:hAnsi="宋体" w:cs="宋体"/>
          <w:sz w:val="24"/>
          <w:szCs w:val="24"/>
          <w:lang w:val="en-US" w:eastAsia="zh-CN"/>
        </w:rPr>
        <w:t>3</w:t>
      </w:r>
      <w:r>
        <w:rPr>
          <w:rFonts w:hint="eastAsia" w:ascii="宋体" w:hAnsi="宋体" w:cs="宋体"/>
          <w:sz w:val="24"/>
          <w:szCs w:val="24"/>
        </w:rPr>
        <w:t>.2撤回投标应以书面或传真的形式通知</w:t>
      </w:r>
      <w:r>
        <w:rPr>
          <w:rFonts w:hint="eastAsia" w:ascii="宋体" w:hAnsi="宋体" w:cs="宋体"/>
          <w:sz w:val="24"/>
          <w:szCs w:val="24"/>
          <w:lang w:eastAsia="zh-CN"/>
        </w:rPr>
        <w:t>天煜荣泽工程咨询有限公司</w:t>
      </w:r>
      <w:r>
        <w:rPr>
          <w:rFonts w:hint="eastAsia" w:ascii="宋体" w:hAnsi="宋体" w:cs="宋体"/>
          <w:sz w:val="24"/>
          <w:szCs w:val="24"/>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.3如采取传真形式撤回投标，随后必须补充有法人代表或授权代表签署的要求撤回投标的正式文件。撤回投标的时间以送达</w:t>
      </w:r>
      <w:r>
        <w:rPr>
          <w:rFonts w:hint="eastAsia" w:ascii="宋体" w:hAnsi="宋体" w:cs="宋体"/>
          <w:sz w:val="24"/>
          <w:szCs w:val="24"/>
          <w:lang w:eastAsia="zh-CN"/>
        </w:rPr>
        <w:t>天煜荣泽工程咨询有限公司</w:t>
      </w:r>
      <w:r>
        <w:rPr>
          <w:rFonts w:hint="eastAsia" w:ascii="宋体" w:hAnsi="宋体" w:cs="宋体"/>
          <w:sz w:val="24"/>
          <w:szCs w:val="24"/>
        </w:rPr>
        <w:t>为准。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4.投标文件的递交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4.1 投标人根据投标人须知前附表规定提交投标文件。本项目采用不见面开标模式，采用电子化投标文件，投标人不需要提供纸质投标文件。投标人应在投标截止时间前登录投标文件载明的“不见面开标大厅”网址，按系统提示完成投标流程。因投标人自身设施故障或自身原因导致无法完成投标的，由投标人自行承担后果。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4.2 投标人须在全国公共资源交易平台（陕西省·西安市）登记企业信息，然后使用数字认证 CA 锁获取公开招标文件及其他文件。投标人应使用电子投标书制作工具制作、加密投标文件，并在规定时间上传经过数字证书加密的电子投标文件（投标文件为.SXSTF 格式）。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4.3 因投标人自身原因造成电子投标文件在规定的时间内无法解密或无法现场报价的，按无效响应文件对待。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4.4 其他需要说明的事项：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4.4.1 本项目招标所使用的交易平台为全国公共资源交易平台（陕西省·西安市）(http://sxggzyjy.xa.gov.cn/）不见面开标系统，如有疑问，请及时与招标代理机构联系。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4.4.2 在线参与公开招标的方式：打开全国公共资源交易平台（陕西省·西安市）（http://sxggzyjy.xa.gov.cn/），点击【不见面开标系统】进入不见面开标大厅登陆首页。在我的项目里面找到等待开标的项目，点击进入不见面开标会议室。投标人阅读开标流程，并完成在线签到。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不见面开标注意事项：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为顺利实现本项目公开招标的远程交互，建议投标人提前调试好硬件设备。</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（2）建议投标人在投标文件递交截止时间前 60 分钟内登录不见面开标大厅，并及时签到（投标文件递交截止时间前 60 分钟开始签到），否则将无法参与不见面投标。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（3）投标人需注意 CA 锁一定要提前准备好，并确保 CA 锁为制作投标文件的 CA 锁。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（4）及时关注右侧公告及互动栏目信息，并尽快做出响应。</w:t>
      </w:r>
    </w:p>
    <w:p>
      <w:pPr>
        <w:spacing w:line="360" w:lineRule="auto"/>
        <w:jc w:val="both"/>
        <w:outlineLvl w:val="9"/>
        <w:rPr>
          <w:rFonts w:hint="eastAsia" w:ascii="宋体" w:hAnsi="宋体" w:cs="宋体"/>
          <w:b/>
          <w:bCs/>
          <w:sz w:val="28"/>
          <w:szCs w:val="28"/>
        </w:rPr>
      </w:pPr>
      <w:r>
        <w:rPr>
          <w:rFonts w:hint="eastAsia" w:ascii="宋体" w:hAnsi="宋体" w:cs="宋体"/>
          <w:b/>
          <w:bCs/>
          <w:sz w:val="28"/>
          <w:szCs w:val="28"/>
        </w:rPr>
        <w:t>第四节 开标、评标、定标</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1、开标</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（1）招标代理机构按招标文件规定的时间、地点组织公开开标；开标大会由招标代理机构主持，招标人参会人员、投标人代表及有关工作人员参加，参加开标的代表应签名报到，以证明其出席；</w:t>
      </w:r>
    </w:p>
    <w:p>
      <w:pPr>
        <w:spacing w:line="360" w:lineRule="auto"/>
        <w:ind w:firstLine="480" w:firstLineChars="200"/>
        <w:outlineLvl w:val="9"/>
        <w:rPr>
          <w:rFonts w:hint="eastAsia" w:ascii="宋体" w:hAnsi="宋体" w:eastAsia="宋体" w:cs="宋体"/>
          <w:sz w:val="24"/>
          <w:szCs w:val="24"/>
          <w:lang w:eastAsia="zh-CN"/>
        </w:rPr>
      </w:pPr>
      <w:r>
        <w:rPr>
          <w:rFonts w:hint="eastAsia" w:ascii="宋体" w:hAnsi="宋体" w:cs="宋体"/>
          <w:sz w:val="24"/>
          <w:szCs w:val="24"/>
        </w:rPr>
        <w:t>（2）为确保评标工作公开、公平、公正，依法成立评标委员会。评标委员会由</w:t>
      </w:r>
      <w:r>
        <w:rPr>
          <w:rFonts w:hint="eastAsia" w:ascii="宋体" w:hAnsi="宋体" w:cs="宋体"/>
          <w:sz w:val="24"/>
          <w:szCs w:val="24"/>
          <w:lang w:eastAsia="zh-CN"/>
        </w:rPr>
        <w:t>采购</w:t>
      </w:r>
      <w:r>
        <w:rPr>
          <w:rFonts w:hint="eastAsia" w:ascii="宋体" w:hAnsi="宋体" w:cs="宋体"/>
          <w:sz w:val="24"/>
          <w:szCs w:val="24"/>
        </w:rPr>
        <w:t>人代表及评审专家组成，成员人数</w:t>
      </w:r>
      <w:r>
        <w:rPr>
          <w:rFonts w:hint="eastAsia" w:ascii="宋体" w:hAnsi="宋体" w:cs="宋体"/>
          <w:sz w:val="24"/>
          <w:szCs w:val="24"/>
          <w:lang w:eastAsia="zh-CN"/>
        </w:rPr>
        <w:t>由七人组成</w:t>
      </w:r>
      <w:r>
        <w:rPr>
          <w:rFonts w:hint="eastAsia" w:ascii="宋体" w:hAnsi="宋体" w:cs="宋体"/>
          <w:sz w:val="24"/>
          <w:szCs w:val="24"/>
        </w:rPr>
        <w:t>，其中评审专家</w:t>
      </w:r>
      <w:r>
        <w:rPr>
          <w:rFonts w:hint="eastAsia" w:ascii="宋体" w:hAnsi="宋体" w:cs="宋体"/>
          <w:sz w:val="24"/>
          <w:szCs w:val="24"/>
          <w:lang w:eastAsia="zh-CN"/>
        </w:rPr>
        <w:t>五人，采购人代表二人</w:t>
      </w:r>
      <w:r>
        <w:rPr>
          <w:rFonts w:hint="eastAsia" w:ascii="宋体" w:hAnsi="宋体" w:cs="宋体"/>
          <w:sz w:val="24"/>
          <w:szCs w:val="24"/>
        </w:rPr>
        <w:t>，专家名单由有关人员</w:t>
      </w:r>
      <w:r>
        <w:rPr>
          <w:rFonts w:hint="eastAsia" w:ascii="宋体" w:hAnsi="宋体" w:eastAsia="宋体" w:cs="宋体"/>
          <w:sz w:val="24"/>
        </w:rPr>
        <w:t>依法从相应评标专家库中抽取</w:t>
      </w:r>
      <w:r>
        <w:rPr>
          <w:rFonts w:hint="eastAsia" w:ascii="宋体" w:hAnsi="宋体" w:cs="宋体"/>
          <w:sz w:val="24"/>
          <w:szCs w:val="24"/>
        </w:rPr>
        <w:t>，评标委员会成员应当遵守并履行下列责任和义务</w:t>
      </w:r>
      <w:r>
        <w:rPr>
          <w:rFonts w:hint="eastAsia" w:ascii="宋体" w:hAnsi="宋体" w:cs="宋体"/>
          <w:sz w:val="24"/>
          <w:szCs w:val="24"/>
          <w:lang w:eastAsia="zh-CN"/>
        </w:rPr>
        <w:t>；</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A、要严格遵守政府采购相关法律制度，依法履行各自职责，公正、客观地组织和参与评审工作；</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B、审查、评价投标文件是否符合招标文件的商务、技术等实质性要求；</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C、要求投标人对投标文件有关事项作出澄清或说明；</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D、按招标文件规定的评审方法和标准，对投标文件进行比较和评价；</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E、要依法独立评审，按照招标文件的要求和评标标准进行评标，推荐中标候选人名单；</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 xml:space="preserve">F、存在争议的，按照少数服从多数的原则做出结论。持不同意见的评审委员会成员应当在评审报告上签署不同意见并说明理由，否则视为同意； </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G、对评审情况以及在评审过程中获悉的国家秘密、商业秘密负有保密责任；</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H、向招标人、招标代理机构或者有关部门报告评标中发现的违法行为；</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I、配合招标人、招标代理机构答复投标人提出的质疑；</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J、配合财政部门处理投诉工作。</w:t>
      </w:r>
    </w:p>
    <w:p>
      <w:pPr>
        <w:spacing w:line="360" w:lineRule="auto"/>
        <w:ind w:firstLine="360" w:firstLineChars="150"/>
        <w:outlineLvl w:val="9"/>
        <w:rPr>
          <w:rFonts w:hint="eastAsia" w:ascii="宋体" w:hAnsi="宋体" w:cs="宋体"/>
          <w:sz w:val="24"/>
          <w:szCs w:val="24"/>
        </w:rPr>
      </w:pPr>
      <w:r>
        <w:rPr>
          <w:rFonts w:hint="eastAsia" w:ascii="宋体" w:hAnsi="宋体" w:cs="宋体"/>
          <w:sz w:val="24"/>
          <w:szCs w:val="24"/>
        </w:rPr>
        <w:t>（3）开标时，由投标人或者其推选的代表检查投标文件的密封情况，经确认无误后，由招标代理机构工作人员当众拆封，以公开唱价的形式将开标报价一览表（报价表）的内容公布，宣布投标人名称、投标价格和招标文件中规定的需要宣布的其他内容，招标代理机构指定专人负责记录，由参加开标的各投标人代表和相关工作人员签字确认后并存档备案。</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（4）开标时，投标文件中出现下列情况，修正原则为：</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A、投标文件中开标报价一览表（报价表）内容与投标文件中相应内容不一致的，以开标报价一览表（报价表）为准；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B、大写金额和小写金额不一致的，以大写金额为准；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C、总价金额与按单价汇总金额不一致的，以单价金额计算结果为准；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E、投标文件正本与副本不一致的，以正本为准；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F、多处内容交叉不符的，以评标委员会评审结果为准；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G、文字与图表不符的，以文字为准。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同时出现两种以上不一致的，按照前款规定的顺序修正。按上述修正错误的原则及方法调整或修正投标文件的报价和内容，投标人同意后签字确认，调整后的报价和内容对</w:t>
      </w:r>
      <w:r>
        <w:rPr>
          <w:rFonts w:hint="eastAsia" w:ascii="宋体" w:hAnsi="宋体" w:cs="宋体"/>
          <w:sz w:val="24"/>
          <w:szCs w:val="24"/>
          <w:lang w:eastAsia="zh-CN"/>
        </w:rPr>
        <w:t>投标人</w:t>
      </w:r>
      <w:r>
        <w:rPr>
          <w:rFonts w:hint="eastAsia" w:ascii="宋体" w:hAnsi="宋体" w:cs="宋体"/>
          <w:sz w:val="24"/>
          <w:szCs w:val="24"/>
        </w:rPr>
        <w:t>起约束作用。如果投标人不接受修正后的报价和内容，则其投标无效。</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（5）公开开标后，直到向中标的投标人授予合同为止，凡审查、澄清、评价和比较投标的有关资料和内容，评标委员会成员均不得向投标人及与评标无关的其他人透露。</w:t>
      </w:r>
    </w:p>
    <w:p>
      <w:pPr>
        <w:spacing w:line="360" w:lineRule="auto"/>
        <w:outlineLvl w:val="9"/>
        <w:rPr>
          <w:rFonts w:hint="eastAsia" w:ascii="宋体" w:hAnsi="宋体" w:cs="宋体"/>
          <w:b/>
          <w:sz w:val="24"/>
          <w:szCs w:val="24"/>
        </w:rPr>
      </w:pPr>
      <w:r>
        <w:rPr>
          <w:rFonts w:hint="eastAsia" w:ascii="宋体" w:hAnsi="宋体" w:cs="宋体"/>
          <w:b/>
          <w:sz w:val="24"/>
          <w:szCs w:val="24"/>
        </w:rPr>
        <w:t>2、投标文件的初审</w:t>
      </w:r>
    </w:p>
    <w:p>
      <w:pPr>
        <w:spacing w:line="360" w:lineRule="auto"/>
        <w:ind w:firstLine="360" w:firstLineChars="150"/>
        <w:outlineLvl w:val="9"/>
        <w:rPr>
          <w:rFonts w:hint="eastAsia" w:ascii="宋体" w:hAnsi="宋体" w:cs="宋体"/>
          <w:sz w:val="24"/>
          <w:szCs w:val="24"/>
        </w:rPr>
      </w:pPr>
      <w:r>
        <w:rPr>
          <w:rFonts w:hint="eastAsia" w:ascii="宋体" w:hAnsi="宋体" w:cs="宋体"/>
          <w:sz w:val="24"/>
          <w:szCs w:val="24"/>
        </w:rPr>
        <w:t>（1）初审内容为投标文件是否符合招标文件的要求，对各投标人投标文件中的资质证明文件等进行审查，以确定投标人是否具备投标资格；</w:t>
      </w:r>
    </w:p>
    <w:p>
      <w:pPr>
        <w:spacing w:line="360" w:lineRule="auto"/>
        <w:ind w:firstLine="360" w:firstLineChars="150"/>
        <w:outlineLvl w:val="9"/>
        <w:rPr>
          <w:rFonts w:hint="eastAsia" w:ascii="宋体" w:hAnsi="宋体" w:cs="宋体"/>
          <w:sz w:val="24"/>
          <w:szCs w:val="24"/>
        </w:rPr>
      </w:pPr>
      <w:r>
        <w:rPr>
          <w:rFonts w:hint="eastAsia" w:ascii="宋体" w:hAnsi="宋体" w:cs="宋体"/>
          <w:sz w:val="24"/>
          <w:szCs w:val="24"/>
        </w:rPr>
        <w:t>（2）对投标人及投标文件有效性审查，出现下列情况之一者（但不限于），按无效文件处理：</w:t>
      </w:r>
    </w:p>
    <w:p>
      <w:pPr>
        <w:kinsoku w:val="0"/>
        <w:spacing w:line="360" w:lineRule="auto"/>
        <w:ind w:firstLine="600" w:firstLineChars="250"/>
        <w:outlineLvl w:val="9"/>
        <w:rPr>
          <w:rFonts w:hint="eastAsia" w:ascii="宋体" w:hAnsi="宋体" w:cs="宋体"/>
          <w:sz w:val="24"/>
          <w:szCs w:val="24"/>
        </w:rPr>
      </w:pPr>
      <w:r>
        <w:rPr>
          <w:rFonts w:hint="eastAsia" w:ascii="宋体" w:hAnsi="宋体" w:cs="宋体"/>
          <w:sz w:val="24"/>
          <w:szCs w:val="24"/>
        </w:rPr>
        <w:t>A、投标人的投标报价超过采购</w:t>
      </w:r>
      <w:r>
        <w:rPr>
          <w:rFonts w:hint="eastAsia" w:ascii="宋体" w:hAnsi="宋体" w:cs="宋体"/>
          <w:sz w:val="24"/>
          <w:szCs w:val="24"/>
          <w:lang w:eastAsia="zh-CN"/>
        </w:rPr>
        <w:t>预算</w:t>
      </w:r>
      <w:r>
        <w:rPr>
          <w:rFonts w:hint="eastAsia" w:ascii="宋体" w:hAnsi="宋体" w:cs="宋体"/>
          <w:sz w:val="24"/>
          <w:szCs w:val="24"/>
        </w:rPr>
        <w:t>的；</w:t>
      </w:r>
    </w:p>
    <w:p>
      <w:pPr>
        <w:kinsoku w:val="0"/>
        <w:spacing w:line="360" w:lineRule="auto"/>
        <w:ind w:firstLine="600" w:firstLineChars="250"/>
        <w:outlineLvl w:val="9"/>
        <w:rPr>
          <w:rFonts w:hint="eastAsia" w:ascii="宋体" w:hAnsi="宋体" w:cs="宋体"/>
          <w:sz w:val="24"/>
          <w:szCs w:val="24"/>
        </w:rPr>
      </w:pPr>
      <w:r>
        <w:rPr>
          <w:rFonts w:hint="eastAsia" w:ascii="宋体" w:hAnsi="宋体" w:cs="宋体"/>
          <w:sz w:val="24"/>
          <w:szCs w:val="24"/>
        </w:rPr>
        <w:t>B、投标人未经过正常渠道</w:t>
      </w:r>
      <w:r>
        <w:rPr>
          <w:rFonts w:hint="eastAsia" w:ascii="宋体" w:hAnsi="宋体" w:cs="宋体"/>
          <w:sz w:val="24"/>
          <w:szCs w:val="24"/>
          <w:lang w:eastAsia="zh-CN"/>
        </w:rPr>
        <w:t>领取</w:t>
      </w:r>
      <w:r>
        <w:rPr>
          <w:rFonts w:hint="eastAsia" w:ascii="宋体" w:hAnsi="宋体" w:cs="宋体"/>
          <w:sz w:val="24"/>
          <w:szCs w:val="24"/>
        </w:rPr>
        <w:t>招标文件，或投标人名称与</w:t>
      </w:r>
      <w:r>
        <w:rPr>
          <w:rFonts w:hint="eastAsia" w:ascii="宋体" w:hAnsi="宋体" w:cs="宋体"/>
          <w:sz w:val="24"/>
          <w:szCs w:val="24"/>
          <w:lang w:eastAsia="zh-CN"/>
        </w:rPr>
        <w:t>领取</w:t>
      </w:r>
      <w:r>
        <w:rPr>
          <w:rFonts w:hint="eastAsia" w:ascii="宋体" w:hAnsi="宋体" w:cs="宋体"/>
          <w:sz w:val="24"/>
          <w:szCs w:val="24"/>
        </w:rPr>
        <w:t>招标文件时登记的投标人名称不符的；</w:t>
      </w:r>
    </w:p>
    <w:p>
      <w:pPr>
        <w:pStyle w:val="21"/>
        <w:widowControl/>
        <w:spacing w:before="0" w:beforeAutospacing="0" w:after="0" w:afterAutospacing="0" w:line="360" w:lineRule="auto"/>
        <w:ind w:firstLine="480" w:firstLineChars="200"/>
        <w:outlineLvl w:val="9"/>
        <w:rPr>
          <w:rFonts w:hint="eastAsia" w:ascii="宋体" w:hAnsi="宋体" w:cs="宋体"/>
          <w:sz w:val="24"/>
          <w:szCs w:val="40"/>
        </w:rPr>
      </w:pPr>
      <w:r>
        <w:rPr>
          <w:rFonts w:hint="eastAsia" w:ascii="宋体" w:hAnsi="宋体" w:cs="宋体"/>
          <w:sz w:val="24"/>
          <w:szCs w:val="40"/>
        </w:rPr>
        <w:t>C、</w:t>
      </w:r>
      <w:r>
        <w:rPr>
          <w:rFonts w:hint="eastAsia" w:ascii="宋体" w:hAnsi="宋体" w:cs="宋体"/>
          <w:sz w:val="24"/>
          <w:szCs w:val="40"/>
          <w:shd w:val="clear" w:color="auto" w:fill="FFFFFF"/>
        </w:rPr>
        <w:t>与招标人存在利害关系可能影响招标公正性的、</w:t>
      </w:r>
      <w:r>
        <w:rPr>
          <w:rFonts w:hint="eastAsia" w:ascii="宋体" w:hAnsi="宋体" w:cs="宋体"/>
          <w:sz w:val="24"/>
          <w:szCs w:val="40"/>
        </w:rPr>
        <w:t xml:space="preserve">不同投标人单位负责人为同一人或者存在控股、管理关系的； </w:t>
      </w:r>
    </w:p>
    <w:p>
      <w:pPr>
        <w:kinsoku w:val="0"/>
        <w:spacing w:line="360" w:lineRule="auto"/>
        <w:ind w:firstLine="600" w:firstLineChars="250"/>
        <w:outlineLvl w:val="9"/>
        <w:rPr>
          <w:rFonts w:hint="eastAsia" w:ascii="宋体" w:hAnsi="宋体" w:cs="宋体"/>
          <w:sz w:val="24"/>
          <w:szCs w:val="24"/>
        </w:rPr>
      </w:pPr>
      <w:r>
        <w:rPr>
          <w:rFonts w:hint="eastAsia" w:ascii="宋体" w:hAnsi="宋体" w:cs="宋体"/>
          <w:sz w:val="24"/>
          <w:szCs w:val="24"/>
        </w:rPr>
        <w:t>D、必备资质的有效性和符合性不符合要求的；</w:t>
      </w:r>
    </w:p>
    <w:p>
      <w:pPr>
        <w:kinsoku w:val="0"/>
        <w:spacing w:line="360" w:lineRule="auto"/>
        <w:ind w:firstLine="600" w:firstLineChars="250"/>
        <w:outlineLvl w:val="9"/>
        <w:rPr>
          <w:rFonts w:hint="eastAsia" w:ascii="宋体" w:hAnsi="宋体" w:cs="宋体"/>
          <w:sz w:val="24"/>
          <w:szCs w:val="24"/>
        </w:rPr>
      </w:pPr>
      <w:r>
        <w:rPr>
          <w:rFonts w:hint="eastAsia" w:ascii="宋体" w:hAnsi="宋体" w:cs="宋体"/>
          <w:sz w:val="24"/>
          <w:szCs w:val="24"/>
        </w:rPr>
        <w:t>E、投标文件未按招标文件要求</w:t>
      </w:r>
      <w:r>
        <w:rPr>
          <w:rFonts w:hint="eastAsia" w:ascii="宋体" w:hAnsi="宋体" w:cs="宋体"/>
          <w:spacing w:val="-6"/>
          <w:sz w:val="24"/>
          <w:szCs w:val="24"/>
        </w:rPr>
        <w:t>签字或加盖公章，</w:t>
      </w:r>
      <w:r>
        <w:rPr>
          <w:rFonts w:hint="eastAsia" w:ascii="宋体" w:hAnsi="宋体" w:cs="宋体"/>
          <w:sz w:val="24"/>
          <w:szCs w:val="24"/>
        </w:rPr>
        <w:t>无投标有效期或有效期</w:t>
      </w:r>
      <w:r>
        <w:rPr>
          <w:rFonts w:hint="eastAsia" w:ascii="宋体" w:hAnsi="宋体" w:cs="宋体"/>
          <w:sz w:val="24"/>
          <w:szCs w:val="24"/>
          <w:lang w:eastAsia="zh-CN"/>
        </w:rPr>
        <w:t>不满足</w:t>
      </w:r>
      <w:r>
        <w:rPr>
          <w:rFonts w:hint="eastAsia" w:ascii="宋体" w:hAnsi="宋体" w:cs="宋体"/>
          <w:sz w:val="24"/>
          <w:szCs w:val="24"/>
        </w:rPr>
        <w:t>招标文件要求的；</w:t>
      </w:r>
    </w:p>
    <w:p>
      <w:pPr>
        <w:kinsoku w:val="0"/>
        <w:spacing w:line="360" w:lineRule="auto"/>
        <w:ind w:firstLine="600" w:firstLineChars="250"/>
        <w:outlineLvl w:val="9"/>
        <w:rPr>
          <w:rFonts w:hint="eastAsia" w:ascii="宋体" w:hAnsi="宋体" w:cs="宋体"/>
          <w:sz w:val="24"/>
          <w:szCs w:val="24"/>
        </w:rPr>
      </w:pPr>
      <w:r>
        <w:rPr>
          <w:rFonts w:hint="eastAsia" w:ascii="宋体" w:hAnsi="宋体" w:cs="宋体"/>
          <w:sz w:val="24"/>
          <w:szCs w:val="24"/>
        </w:rPr>
        <w:t>F、投标人针对同一项目递交两份或多份内容不同的投标文件；</w:t>
      </w:r>
    </w:p>
    <w:p>
      <w:pPr>
        <w:kinsoku w:val="0"/>
        <w:spacing w:line="360" w:lineRule="auto"/>
        <w:ind w:firstLine="600" w:firstLineChars="250"/>
        <w:outlineLvl w:val="9"/>
        <w:rPr>
          <w:rFonts w:hint="eastAsia" w:ascii="宋体" w:hAnsi="宋体" w:cs="宋体"/>
          <w:sz w:val="24"/>
          <w:szCs w:val="24"/>
        </w:rPr>
      </w:pPr>
      <w:r>
        <w:rPr>
          <w:rFonts w:hint="eastAsia" w:ascii="宋体" w:hAnsi="宋体" w:cs="宋体"/>
          <w:sz w:val="24"/>
          <w:szCs w:val="24"/>
        </w:rPr>
        <w:t>G、投标人有串通投标、弄虚作假（包括但不限于虚假资质、虚假证明、虚假应答等）、行贿等违法行为的；</w:t>
      </w:r>
    </w:p>
    <w:p>
      <w:pPr>
        <w:kinsoku w:val="0"/>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H、投标文件附加了招标人难以接受的条件或条款的；</w:t>
      </w:r>
    </w:p>
    <w:p>
      <w:pPr>
        <w:kinsoku w:val="0"/>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I、在政府采购或其它重大项目履约过程中有不良记录，未能按期履约的；</w:t>
      </w:r>
    </w:p>
    <w:p>
      <w:pPr>
        <w:spacing w:line="360" w:lineRule="auto"/>
        <w:ind w:firstLine="480" w:firstLineChars="200"/>
        <w:outlineLvl w:val="9"/>
        <w:rPr>
          <w:rFonts w:hint="eastAsia" w:ascii="宋体" w:hAnsi="宋体" w:eastAsia="宋体" w:cs="宋体"/>
          <w:sz w:val="24"/>
          <w:szCs w:val="24"/>
          <w:lang w:eastAsia="zh-CN"/>
        </w:rPr>
      </w:pPr>
      <w:r>
        <w:rPr>
          <w:rFonts w:hint="eastAsia" w:ascii="宋体" w:hAnsi="宋体" w:cs="宋体"/>
          <w:sz w:val="24"/>
          <w:szCs w:val="24"/>
          <w:lang w:val="en-US" w:eastAsia="zh-CN"/>
        </w:rPr>
        <w:t>J</w:t>
      </w:r>
      <w:r>
        <w:rPr>
          <w:rFonts w:hint="eastAsia" w:ascii="宋体" w:hAnsi="宋体" w:cs="宋体"/>
          <w:sz w:val="24"/>
          <w:szCs w:val="24"/>
        </w:rPr>
        <w:t>、投标文件未实质性响应招标文件要求的,未按本招标文件2.10条要求制作的；</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（3）有下列情形之一的，视为投标人串通投标，评标委员会应当认定其投标无效：</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A、不同投标人的投标文件由同一单位或者个人编制；</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B、不同投标人委托同一单位或者个人办理投标事宜；</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C、不同投标人的投标文件载明的项目管理成员或者联系人员为同一人；</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D、不同投标人的投标文件异常一致或者投标报价呈规律性差异；</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E、不同投标人的投标文件相互混装；</w:t>
      </w:r>
    </w:p>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3．询标</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（1）评标委员会有权就投标文件中</w:t>
      </w:r>
      <w:r>
        <w:rPr>
          <w:rFonts w:hint="eastAsia" w:ascii="宋体" w:hAnsi="宋体" w:cs="宋体"/>
          <w:sz w:val="24"/>
          <w:szCs w:val="24"/>
          <w:lang w:eastAsia="zh-CN"/>
        </w:rPr>
        <w:t>模糊不清、前后不一致</w:t>
      </w:r>
      <w:r>
        <w:rPr>
          <w:rFonts w:hint="eastAsia" w:ascii="宋体" w:hAnsi="宋体" w:cs="宋体"/>
          <w:sz w:val="24"/>
          <w:szCs w:val="24"/>
        </w:rPr>
        <w:t>；要求投标人将有关询标澄清、补正、说明的内容应以书面形式提交；</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）投标人对投标文件的澄清不得改变投标价格及实质内容。</w:t>
      </w:r>
    </w:p>
    <w:p>
      <w:pPr>
        <w:spacing w:line="360" w:lineRule="auto"/>
        <w:ind w:firstLine="472" w:firstLineChars="196"/>
        <w:outlineLvl w:val="9"/>
        <w:rPr>
          <w:rFonts w:hint="eastAsia" w:ascii="宋体" w:hAnsi="宋体" w:cs="宋体"/>
          <w:sz w:val="24"/>
          <w:szCs w:val="24"/>
        </w:rPr>
      </w:pPr>
      <w:r>
        <w:rPr>
          <w:rFonts w:hint="eastAsia" w:ascii="宋体" w:hAnsi="宋体" w:cs="宋体"/>
          <w:b/>
          <w:sz w:val="24"/>
          <w:szCs w:val="24"/>
        </w:rPr>
        <w:t>4、评标办法（详见本招标文件第三章）</w:t>
      </w:r>
    </w:p>
    <w:p>
      <w:pPr>
        <w:spacing w:line="360" w:lineRule="auto"/>
        <w:ind w:firstLine="472" w:firstLineChars="196"/>
        <w:outlineLvl w:val="9"/>
        <w:rPr>
          <w:rFonts w:hint="eastAsia" w:ascii="宋体" w:hAnsi="宋体" w:cs="宋体"/>
          <w:b/>
          <w:sz w:val="24"/>
          <w:szCs w:val="24"/>
        </w:rPr>
      </w:pPr>
      <w:r>
        <w:rPr>
          <w:rFonts w:hint="eastAsia" w:ascii="宋体" w:hAnsi="宋体" w:cs="宋体"/>
          <w:b/>
          <w:sz w:val="24"/>
          <w:szCs w:val="24"/>
          <w:lang w:val="en-US" w:eastAsia="zh-CN"/>
        </w:rPr>
        <w:t>5</w:t>
      </w:r>
      <w:r>
        <w:rPr>
          <w:rFonts w:hint="eastAsia" w:ascii="宋体" w:hAnsi="宋体" w:cs="宋体"/>
          <w:b/>
          <w:sz w:val="24"/>
          <w:szCs w:val="24"/>
        </w:rPr>
        <w:t>、签订合同</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1、定标后，中标人在收到</w:t>
      </w:r>
      <w:r>
        <w:rPr>
          <w:rFonts w:hint="eastAsia" w:ascii="宋体" w:hAnsi="宋体" w:cs="宋体"/>
          <w:sz w:val="24"/>
          <w:szCs w:val="24"/>
          <w:lang w:eastAsia="zh-CN"/>
        </w:rPr>
        <w:t>入选通知书</w:t>
      </w:r>
      <w:r>
        <w:rPr>
          <w:rFonts w:hint="eastAsia" w:ascii="宋体" w:hAnsi="宋体" w:cs="宋体"/>
          <w:sz w:val="24"/>
          <w:szCs w:val="24"/>
        </w:rPr>
        <w:t>后三十（30）个日历日内，应按招标文件的要求与招标人洽谈合同条款，并签订合同，同时送监督机构备案，招标文件及招标投标人投标文件均作为合同的组成部分；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2、合同履行中，招标人需追加与合同标的相同的货物、工程或者服务的，在不改变合同其他条款的前提下，可以与中标</w:t>
      </w:r>
      <w:r>
        <w:rPr>
          <w:rFonts w:hint="eastAsia" w:ascii="宋体" w:hAnsi="宋体" w:cs="宋体"/>
          <w:sz w:val="24"/>
          <w:szCs w:val="24"/>
          <w:lang w:eastAsia="zh-CN"/>
        </w:rPr>
        <w:t>候选</w:t>
      </w:r>
      <w:r>
        <w:rPr>
          <w:rFonts w:hint="eastAsia" w:ascii="宋体" w:hAnsi="宋体" w:cs="宋体"/>
          <w:sz w:val="24"/>
          <w:szCs w:val="24"/>
        </w:rPr>
        <w:t>人协商签订补充合同，但所有补充合同的采购金额不得超过原合同采购金额的百分之十；</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3、根据需要，招标代理机构可同</w:t>
      </w:r>
      <w:r>
        <w:rPr>
          <w:rFonts w:hint="eastAsia" w:ascii="宋体" w:hAnsi="宋体" w:cs="宋体"/>
          <w:sz w:val="24"/>
          <w:szCs w:val="24"/>
          <w:lang w:eastAsia="zh-CN"/>
        </w:rPr>
        <w:t>招标人</w:t>
      </w:r>
      <w:r>
        <w:rPr>
          <w:rFonts w:hint="eastAsia" w:ascii="宋体" w:hAnsi="宋体" w:cs="宋体"/>
          <w:sz w:val="24"/>
          <w:szCs w:val="24"/>
        </w:rPr>
        <w:t>负责监督、协调和处理履约过程中出现的问题；</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4、政府采购管理部门在合同履行期间以及履行期后，可以随时检查项目的执行情况，对采购标准、采购内容进行调查核实，并对发现的问题进行处理。</w:t>
      </w:r>
    </w:p>
    <w:p>
      <w:pPr>
        <w:spacing w:line="360" w:lineRule="auto"/>
        <w:ind w:firstLine="472" w:firstLineChars="196"/>
        <w:outlineLvl w:val="9"/>
        <w:rPr>
          <w:rFonts w:hint="eastAsia" w:ascii="宋体" w:hAnsi="宋体" w:eastAsia="宋体" w:cs="宋体"/>
          <w:b/>
          <w:sz w:val="24"/>
          <w:szCs w:val="24"/>
          <w:lang w:eastAsia="zh-CN"/>
        </w:rPr>
      </w:pPr>
      <w:r>
        <w:rPr>
          <w:rFonts w:hint="eastAsia" w:ascii="宋体" w:hAnsi="宋体" w:cs="宋体"/>
          <w:b/>
          <w:sz w:val="24"/>
          <w:szCs w:val="24"/>
          <w:lang w:val="en-US" w:eastAsia="zh-CN"/>
        </w:rPr>
        <w:t>6</w:t>
      </w:r>
      <w:r>
        <w:rPr>
          <w:rFonts w:hint="eastAsia" w:ascii="宋体" w:hAnsi="宋体" w:cs="宋体"/>
          <w:b/>
          <w:sz w:val="24"/>
          <w:szCs w:val="24"/>
        </w:rPr>
        <w:t>、</w:t>
      </w:r>
      <w:r>
        <w:rPr>
          <w:rFonts w:hint="eastAsia" w:ascii="宋体" w:hAnsi="宋体" w:cs="宋体"/>
          <w:b/>
          <w:sz w:val="24"/>
          <w:szCs w:val="24"/>
          <w:lang w:eastAsia="zh-CN"/>
        </w:rPr>
        <w:t>代理服务费</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1、领取</w:t>
      </w:r>
      <w:r>
        <w:rPr>
          <w:rFonts w:hint="eastAsia" w:ascii="宋体" w:hAnsi="宋体" w:cs="宋体"/>
          <w:sz w:val="24"/>
          <w:szCs w:val="24"/>
          <w:lang w:eastAsia="zh-CN"/>
        </w:rPr>
        <w:t>中标通知书</w:t>
      </w:r>
      <w:r>
        <w:rPr>
          <w:rFonts w:hint="eastAsia" w:ascii="宋体" w:hAnsi="宋体" w:cs="宋体"/>
          <w:sz w:val="24"/>
          <w:szCs w:val="24"/>
          <w:lang w:val="en-US" w:eastAsia="zh-CN"/>
        </w:rPr>
        <w:t>之前</w:t>
      </w:r>
      <w:r>
        <w:rPr>
          <w:rFonts w:hint="eastAsia" w:ascii="宋体" w:hAnsi="宋体" w:cs="宋体"/>
          <w:sz w:val="24"/>
          <w:szCs w:val="24"/>
        </w:rPr>
        <w:t>，</w:t>
      </w:r>
      <w:r>
        <w:rPr>
          <w:rFonts w:hint="eastAsia" w:ascii="宋体" w:hAnsi="宋体" w:cs="宋体"/>
          <w:sz w:val="24"/>
          <w:szCs w:val="24"/>
          <w:lang w:val="en-US" w:eastAsia="zh-CN"/>
        </w:rPr>
        <w:t>中标人</w:t>
      </w:r>
      <w:r>
        <w:rPr>
          <w:rFonts w:hint="eastAsia" w:ascii="宋体" w:hAnsi="宋体" w:cs="宋体"/>
          <w:sz w:val="24"/>
          <w:szCs w:val="24"/>
        </w:rPr>
        <w:t>须向招标代理机构一次性支付全额</w:t>
      </w:r>
      <w:r>
        <w:rPr>
          <w:rFonts w:hint="eastAsia" w:ascii="宋体" w:hAnsi="宋体" w:cs="宋体"/>
          <w:sz w:val="24"/>
          <w:szCs w:val="24"/>
          <w:lang w:eastAsia="zh-CN"/>
        </w:rPr>
        <w:t>代理服务费</w:t>
      </w:r>
      <w:r>
        <w:rPr>
          <w:rFonts w:hint="eastAsia" w:ascii="宋体" w:hAnsi="宋体" w:cs="宋体"/>
          <w:sz w:val="24"/>
          <w:szCs w:val="24"/>
        </w:rPr>
        <w:t>。</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代理服务费</w:t>
      </w:r>
      <w:r>
        <w:rPr>
          <w:rFonts w:hint="eastAsia" w:ascii="宋体" w:hAnsi="宋体" w:cs="宋体"/>
          <w:sz w:val="24"/>
          <w:szCs w:val="24"/>
        </w:rPr>
        <w:t>依据《招标代理服务收费管理暂行办法》计价格[2002]1980号文及《国家发展改革委关于降低部分建设项目收费标准规范收费行为等有关问题的通知》发改价格[2011]534号文，按标准取代理服务费。</w:t>
      </w:r>
    </w:p>
    <w:p/>
    <w:p>
      <w:pPr>
        <w:rPr>
          <w:rFonts w:hint="eastAsia"/>
        </w:rPr>
      </w:pPr>
      <w:r>
        <w:rPr>
          <w:rFonts w:hint="eastAsia" w:ascii="宋体" w:hAnsi="宋体" w:eastAsia="宋体" w:cs="宋体"/>
          <w:color w:val="000000" w:themeColor="text1"/>
          <w:sz w:val="24"/>
          <w14:textFill>
            <w14:solidFill>
              <w14:schemeClr w14:val="tx1"/>
            </w14:solidFill>
          </w14:textFill>
        </w:rPr>
        <w:br w:type="page"/>
      </w:r>
    </w:p>
    <w:bookmarkEnd w:id="12"/>
    <w:p>
      <w:pPr>
        <w:ind w:firstLine="3213" w:firstLineChars="1000"/>
        <w:outlineLvl w:val="0"/>
        <w:rPr>
          <w:rFonts w:ascii="宋体" w:hAnsi="宋体" w:cs="宋体"/>
          <w:b/>
          <w:bCs/>
          <w:color w:val="000000" w:themeColor="text1"/>
          <w:sz w:val="32"/>
          <w:szCs w:val="32"/>
          <w14:textFill>
            <w14:solidFill>
              <w14:schemeClr w14:val="tx1"/>
            </w14:solidFill>
          </w14:textFill>
        </w:rPr>
      </w:pPr>
      <w:bookmarkStart w:id="20" w:name="_Toc11955"/>
      <w:r>
        <w:rPr>
          <w:rFonts w:hint="eastAsia" w:ascii="宋体" w:hAnsi="宋体" w:cs="宋体"/>
          <w:b/>
          <w:bCs/>
          <w:color w:val="000000" w:themeColor="text1"/>
          <w:sz w:val="32"/>
          <w:szCs w:val="32"/>
          <w14:textFill>
            <w14:solidFill>
              <w14:schemeClr w14:val="tx1"/>
            </w14:solidFill>
          </w14:textFill>
        </w:rPr>
        <w:t>第三章 评标办法</w:t>
      </w:r>
      <w:bookmarkEnd w:id="20"/>
    </w:p>
    <w:p>
      <w:pPr>
        <w:pStyle w:val="12"/>
        <w:jc w:val="center"/>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w:t>
      </w:r>
      <w:r>
        <w:rPr>
          <w:rFonts w:hint="eastAsia" w:ascii="宋体" w:hAnsi="宋体" w:cs="宋体"/>
          <w:b/>
          <w:bCs/>
          <w:color w:val="000000" w:themeColor="text1"/>
          <w:kern w:val="2"/>
          <w:sz w:val="32"/>
          <w:szCs w:val="32"/>
          <w:lang w:val="en-US" w:eastAsia="zh-CN" w:bidi="ar-SA"/>
          <w14:textFill>
            <w14:solidFill>
              <w14:schemeClr w14:val="tx1"/>
            </w14:solidFill>
          </w14:textFill>
        </w:rPr>
        <w:t>合同包</w:t>
      </w:r>
      <w:r>
        <w:rPr>
          <w:rFonts w:hint="eastAsia" w:ascii="宋体" w:hAnsi="宋体" w:cs="宋体"/>
          <w:b/>
          <w:bCs/>
          <w:color w:val="000000" w:themeColor="text1"/>
          <w:kern w:val="2"/>
          <w:sz w:val="32"/>
          <w:szCs w:val="32"/>
          <w:u w:val="single"/>
          <w:lang w:val="en-US" w:eastAsia="zh-CN" w:bidi="ar-SA"/>
          <w14:textFill>
            <w14:solidFill>
              <w14:schemeClr w14:val="tx1"/>
            </w14:solidFill>
          </w14:textFill>
        </w:rPr>
        <w:t xml:space="preserve"> 1 </w:t>
      </w: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w:t>
      </w:r>
    </w:p>
    <w:p>
      <w:pPr>
        <w:keepNext w:val="0"/>
        <w:keepLines w:val="0"/>
        <w:pageBreakBefore w:val="0"/>
        <w:kinsoku/>
        <w:overflowPunct/>
        <w:topLinePunct w:val="0"/>
        <w:autoSpaceDE/>
        <w:autoSpaceDN/>
        <w:bidi w:val="0"/>
        <w:adjustRightInd/>
        <w:snapToGrid/>
        <w:spacing w:line="360" w:lineRule="auto"/>
        <w:rPr>
          <w:rFonts w:ascii="宋体" w:hAnsi="宋体" w:cs="宋体"/>
          <w:b/>
          <w:sz w:val="24"/>
          <w:szCs w:val="24"/>
        </w:rPr>
      </w:pPr>
      <w:bookmarkStart w:id="21" w:name="_Toc30806_WPSOffice_Level2"/>
      <w:r>
        <w:rPr>
          <w:rFonts w:hint="eastAsia" w:ascii="宋体" w:hAnsi="宋体" w:cs="宋体"/>
          <w:b/>
          <w:sz w:val="24"/>
          <w:szCs w:val="24"/>
        </w:rPr>
        <w:t>一、评审方法：</w:t>
      </w:r>
      <w:bookmarkEnd w:id="21"/>
    </w:p>
    <w:p>
      <w:pPr>
        <w:keepNext w:val="0"/>
        <w:keepLines w:val="0"/>
        <w:pageBreakBefore w:val="0"/>
        <w:kinsoku/>
        <w:overflowPunct/>
        <w:topLinePunct w:val="0"/>
        <w:autoSpaceDE/>
        <w:autoSpaceDN/>
        <w:bidi w:val="0"/>
        <w:adjustRightInd/>
        <w:snapToGrid/>
        <w:spacing w:line="360" w:lineRule="auto"/>
        <w:ind w:firstLine="538" w:firstLineChars="217"/>
        <w:rPr>
          <w:rFonts w:ascii="宋体" w:hAnsi="宋体" w:cs="宋体"/>
          <w:spacing w:val="4"/>
          <w:sz w:val="24"/>
          <w:szCs w:val="24"/>
        </w:rPr>
      </w:pPr>
      <w:r>
        <w:rPr>
          <w:rFonts w:hint="eastAsia" w:ascii="宋体" w:hAnsi="宋体" w:cs="宋体"/>
          <w:spacing w:val="4"/>
          <w:sz w:val="24"/>
          <w:szCs w:val="24"/>
        </w:rPr>
        <w:t>根据《中华人民共和国政府采购法》、《中华人民共和国政府采购法实施条例》的规定，依法组建评标委员会。本次评标采用综合评分法，即在最大限度地满足招标文件实质性要求前提下，按照招标文件中规定的各项因素和相应的权重分值进行综合评审后，以总得分最高的招标人作为中标候选投标人并依次排序。</w:t>
      </w:r>
    </w:p>
    <w:p>
      <w:pPr>
        <w:keepNext w:val="0"/>
        <w:keepLines w:val="0"/>
        <w:pageBreakBefore w:val="0"/>
        <w:kinsoku/>
        <w:overflowPunct/>
        <w:topLinePunct w:val="0"/>
        <w:autoSpaceDE/>
        <w:autoSpaceDN/>
        <w:bidi w:val="0"/>
        <w:adjustRightInd/>
        <w:snapToGrid/>
        <w:spacing w:line="360" w:lineRule="auto"/>
        <w:jc w:val="left"/>
        <w:rPr>
          <w:rFonts w:ascii="宋体" w:hAnsi="宋体" w:cs="宋体"/>
          <w:b/>
          <w:sz w:val="24"/>
          <w:szCs w:val="24"/>
        </w:rPr>
      </w:pPr>
      <w:bookmarkStart w:id="22" w:name="_Toc29770_WPSOffice_Level2"/>
      <w:r>
        <w:rPr>
          <w:rFonts w:hint="eastAsia" w:ascii="宋体" w:hAnsi="宋体" w:cs="宋体"/>
          <w:b/>
          <w:sz w:val="24"/>
          <w:szCs w:val="24"/>
        </w:rPr>
        <w:t>二、评审程序：</w:t>
      </w:r>
      <w:bookmarkEnd w:id="22"/>
    </w:p>
    <w:p>
      <w:pPr>
        <w:pStyle w:val="20"/>
        <w:keepNext w:val="0"/>
        <w:keepLines w:val="0"/>
        <w:pageBreakBefore w:val="0"/>
        <w:kinsoku/>
        <w:overflowPunct/>
        <w:topLinePunct w:val="0"/>
        <w:autoSpaceDE/>
        <w:autoSpaceDN/>
        <w:bidi w:val="0"/>
        <w:adjustRightInd/>
        <w:snapToGrid/>
        <w:spacing w:line="360" w:lineRule="auto"/>
        <w:ind w:left="0" w:leftChars="0" w:firstLine="496" w:firstLineChars="200"/>
        <w:rPr>
          <w:rFonts w:cs="宋体"/>
          <w:sz w:val="24"/>
          <w:szCs w:val="24"/>
        </w:rPr>
      </w:pPr>
      <w:r>
        <w:rPr>
          <w:rFonts w:hint="eastAsia" w:cs="宋体"/>
          <w:sz w:val="24"/>
          <w:szCs w:val="24"/>
        </w:rPr>
        <w:t>按照投标人资格性审查、投标文件响应性审查、澄清有关问题、比较与详细评审、推荐中标候选投标人名单的工作程序进行评审。在上一步评审中被认定为无效投标者，不进入下一步的评审。</w:t>
      </w:r>
    </w:p>
    <w:p>
      <w:pPr>
        <w:keepNext w:val="0"/>
        <w:keepLines w:val="0"/>
        <w:pageBreakBefore w:val="0"/>
        <w:kinsoku/>
        <w:overflowPunct/>
        <w:topLinePunct w:val="0"/>
        <w:autoSpaceDE/>
        <w:autoSpaceDN/>
        <w:bidi w:val="0"/>
        <w:adjustRightInd/>
        <w:snapToGrid/>
        <w:spacing w:line="360" w:lineRule="auto"/>
        <w:rPr>
          <w:rFonts w:hint="eastAsia" w:ascii="宋体" w:hAnsi="宋体" w:eastAsia="宋体" w:cs="宋体"/>
          <w:spacing w:val="4"/>
          <w:kern w:val="0"/>
          <w:sz w:val="24"/>
          <w:szCs w:val="24"/>
          <w:lang w:val="en-US" w:eastAsia="zh-CN" w:bidi="ar-SA"/>
        </w:rPr>
      </w:pPr>
      <w:r>
        <w:rPr>
          <w:rFonts w:hint="eastAsia" w:ascii="宋体" w:hAnsi="宋体" w:cs="宋体"/>
          <w:spacing w:val="4"/>
          <w:kern w:val="0"/>
          <w:sz w:val="24"/>
          <w:szCs w:val="24"/>
          <w:lang w:val="en-US" w:eastAsia="zh-CN" w:bidi="ar-SA"/>
        </w:rPr>
        <w:t>（一）</w:t>
      </w:r>
      <w:r>
        <w:rPr>
          <w:rFonts w:hint="eastAsia" w:ascii="宋体" w:hAnsi="宋体" w:cs="宋体"/>
          <w:sz w:val="24"/>
          <w:szCs w:val="24"/>
        </w:rPr>
        <w:t>资格性审查：依据招标文件的规定，</w:t>
      </w:r>
      <w:r>
        <w:rPr>
          <w:rFonts w:hint="eastAsia" w:ascii="宋体" w:hAnsi="宋体" w:cs="宋体"/>
          <w:color w:val="auto"/>
          <w:sz w:val="24"/>
          <w:szCs w:val="24"/>
          <w:lang w:eastAsia="zh-CN"/>
        </w:rPr>
        <w:t>由采购人</w:t>
      </w:r>
      <w:r>
        <w:rPr>
          <w:rFonts w:hint="eastAsia" w:ascii="宋体" w:hAnsi="宋体" w:cs="宋体"/>
          <w:sz w:val="24"/>
          <w:szCs w:val="24"/>
        </w:rPr>
        <w:t>对投标人的资格证明文件进行审查，以确定投标人是否具备投标资格。</w:t>
      </w:r>
    </w:p>
    <w:p>
      <w:pPr>
        <w:pStyle w:val="24"/>
        <w:keepNext w:val="0"/>
        <w:keepLines w:val="0"/>
        <w:pageBreakBefore w:val="0"/>
        <w:kinsoku/>
        <w:overflowPunct/>
        <w:topLinePunct w:val="0"/>
        <w:autoSpaceDE/>
        <w:autoSpaceDN/>
        <w:bidi w:val="0"/>
        <w:adjustRightInd/>
        <w:snapToGrid/>
        <w:spacing w:after="0"/>
        <w:ind w:left="0" w:leftChars="0" w:firstLine="0" w:firstLineChars="0"/>
        <w:rPr>
          <w:rFonts w:hint="eastAsia" w:ascii="宋体" w:hAnsi="宋体" w:eastAsia="宋体" w:cs="宋体"/>
          <w:color w:val="333333"/>
          <w:kern w:val="2"/>
          <w:sz w:val="24"/>
          <w:szCs w:val="24"/>
          <w:shd w:val="clear" w:color="auto" w:fill="FFFFFF"/>
          <w:lang w:val="en-US" w:eastAsia="zh-CN" w:bidi="ar-SA"/>
        </w:rPr>
      </w:pPr>
      <w:r>
        <w:rPr>
          <w:rFonts w:hint="eastAsia" w:ascii="宋体" w:hAnsi="宋体" w:eastAsia="宋体" w:cs="宋体"/>
          <w:color w:val="333333"/>
          <w:kern w:val="2"/>
          <w:sz w:val="24"/>
          <w:szCs w:val="24"/>
          <w:shd w:val="clear" w:color="auto" w:fill="FFFFFF"/>
          <w:lang w:val="en-US" w:eastAsia="zh-CN" w:bidi="ar-SA"/>
        </w:rPr>
        <w:t>1、满足《中华人民共和国政府釆购法》第二十二条规定</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1）有效的主体资格证明：在中华人民共和国境内注册，并有效存续的营业执照/事业单位法人证书/非企业专业服务机构执业许可证/民办非企业单位登记证书、税务登记证、组织机构代码证，或“三证合一”后的注册登记证。</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（2）财务状况报告：</w:t>
      </w:r>
      <w:r>
        <w:rPr>
          <w:rFonts w:hint="eastAsia" w:ascii="宋体" w:hAnsi="宋体" w:cs="宋体"/>
          <w:spacing w:val="4"/>
          <w:kern w:val="0"/>
          <w:sz w:val="24"/>
          <w:szCs w:val="24"/>
          <w:lang w:val="en-US" w:eastAsia="zh-CN" w:bidi="ar-SA"/>
        </w:rPr>
        <w:t>提供2021年度或2022年度经审计的财务审计报告</w:t>
      </w:r>
      <w:r>
        <w:rPr>
          <w:rFonts w:hint="eastAsia" w:ascii="宋体" w:hAnsi="宋体" w:eastAsia="宋体" w:cs="宋体"/>
          <w:spacing w:val="4"/>
          <w:kern w:val="0"/>
          <w:sz w:val="24"/>
          <w:szCs w:val="24"/>
          <w:lang w:val="en-US" w:eastAsia="zh-CN" w:bidi="ar-SA"/>
        </w:rPr>
        <w:t>，或其开标前三个月内基本存款账户开户银行出具的资信证明，或信用担保机构出具的投标担保函。</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（3）社保缴纳证明：提供已缴存的</w:t>
      </w:r>
      <w:r>
        <w:rPr>
          <w:rFonts w:hint="eastAsia" w:ascii="宋体" w:hAnsi="宋体" w:cs="宋体"/>
          <w:spacing w:val="4"/>
          <w:kern w:val="0"/>
          <w:sz w:val="24"/>
          <w:szCs w:val="24"/>
          <w:lang w:val="en-US" w:eastAsia="zh-CN" w:bidi="ar-SA"/>
        </w:rPr>
        <w:t>2023年1月1日</w:t>
      </w:r>
      <w:r>
        <w:rPr>
          <w:rFonts w:hint="eastAsia" w:ascii="宋体" w:hAnsi="宋体" w:eastAsia="宋体" w:cs="宋体"/>
          <w:spacing w:val="4"/>
          <w:kern w:val="0"/>
          <w:sz w:val="24"/>
          <w:szCs w:val="24"/>
          <w:lang w:val="en-US" w:eastAsia="zh-CN" w:bidi="ar-SA"/>
        </w:rPr>
        <w:t>以来至少一个月的社会保障资金缴存单据或社保机构开具的社会保险参保缴费情况证明。依法不需要缴纳社会保障资金的投标人应提供相关文件证明。</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（4）税收缴纳证明：</w:t>
      </w:r>
      <w:r>
        <w:rPr>
          <w:rFonts w:hint="eastAsia" w:ascii="宋体" w:hAnsi="宋体" w:cs="宋体"/>
          <w:spacing w:val="4"/>
          <w:kern w:val="0"/>
          <w:sz w:val="24"/>
          <w:szCs w:val="24"/>
          <w:lang w:val="en-US" w:eastAsia="zh-CN" w:bidi="ar-SA"/>
        </w:rPr>
        <w:t>提供已缴纳的2023年1月1日以来至少一个月的纳税证明或完税证明</w:t>
      </w:r>
      <w:r>
        <w:rPr>
          <w:rFonts w:hint="eastAsia" w:ascii="宋体" w:hAnsi="宋体" w:eastAsia="宋体" w:cs="宋体"/>
          <w:spacing w:val="4"/>
          <w:kern w:val="0"/>
          <w:sz w:val="24"/>
          <w:szCs w:val="24"/>
          <w:lang w:val="en-US" w:eastAsia="zh-CN" w:bidi="ar-SA"/>
        </w:rPr>
        <w:t>，纳税证明或完税证明上应有代收机构或税务机关的公章或业务专用章。依法免税的投标人应提供相关文件证明。</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（5）无重大违法记录声明</w:t>
      </w:r>
      <w:r>
        <w:rPr>
          <w:rFonts w:hint="eastAsia" w:ascii="宋体" w:hAnsi="宋体" w:cs="宋体"/>
          <w:spacing w:val="4"/>
          <w:kern w:val="0"/>
          <w:sz w:val="24"/>
          <w:szCs w:val="24"/>
          <w:lang w:val="en-US" w:eastAsia="zh-CN" w:bidi="ar-SA"/>
        </w:rPr>
        <w:t>：参加本次政府采购活动前3年内在经营活动中没有重大违法记录，投标人不得被列入中国执行信息公开网（http://zxgk.court.gov.cn）失信被执行人、信用中国（www.creditchina.gov.cn）重大税收违法失信主体、在中国政府采购网（www.ccgp.gov.cn）没有严重违法失信行为记录名单、以查询结果为准，提供网站截图</w:t>
      </w:r>
      <w:r>
        <w:rPr>
          <w:rFonts w:hint="eastAsia" w:ascii="宋体" w:hAnsi="宋体" w:eastAsia="宋体" w:cs="宋体"/>
          <w:spacing w:val="4"/>
          <w:kern w:val="0"/>
          <w:sz w:val="24"/>
          <w:szCs w:val="24"/>
          <w:lang w:val="en-US" w:eastAsia="zh-CN" w:bidi="ar-SA"/>
        </w:rPr>
        <w:t>；</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6</w:t>
      </w:r>
      <w:r>
        <w:rPr>
          <w:rFonts w:hint="eastAsia" w:ascii="宋体" w:hAnsi="宋体" w:eastAsia="宋体" w:cs="宋体"/>
          <w:spacing w:val="4"/>
          <w:kern w:val="0"/>
          <w:sz w:val="24"/>
          <w:szCs w:val="24"/>
          <w:lang w:val="en-US" w:eastAsia="zh-CN" w:bidi="ar-SA"/>
        </w:rPr>
        <w:t>）书面声明：提供书面声明，包括声明具有履行合同所必需的设备和专业技术能力</w:t>
      </w:r>
      <w:r>
        <w:rPr>
          <w:rFonts w:hint="eastAsia" w:ascii="宋体" w:hAnsi="宋体" w:cs="宋体"/>
          <w:spacing w:val="4"/>
          <w:kern w:val="0"/>
          <w:sz w:val="24"/>
          <w:szCs w:val="24"/>
          <w:lang w:val="en-US" w:eastAsia="zh-CN" w:bidi="ar-SA"/>
        </w:rPr>
        <w:t>。</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cs="宋体"/>
          <w:color w:val="333333"/>
          <w:szCs w:val="24"/>
          <w:shd w:val="clear" w:color="auto" w:fill="FFFFFF"/>
        </w:rPr>
      </w:pPr>
      <w:r>
        <w:rPr>
          <w:rFonts w:hint="eastAsia" w:cs="宋体"/>
          <w:color w:val="333333"/>
          <w:szCs w:val="24"/>
          <w:shd w:val="clear" w:color="auto" w:fill="FFFFFF"/>
          <w:lang w:val="en-US" w:eastAsia="zh-CN"/>
        </w:rPr>
        <w:t>2</w:t>
      </w:r>
      <w:r>
        <w:rPr>
          <w:rFonts w:hint="eastAsia" w:cs="宋体"/>
          <w:color w:val="333333"/>
          <w:szCs w:val="24"/>
          <w:shd w:val="clear" w:color="auto" w:fill="FFFFFF"/>
          <w:lang w:eastAsia="zh-CN"/>
        </w:rPr>
        <w:t>、</w:t>
      </w:r>
      <w:r>
        <w:rPr>
          <w:rFonts w:hint="eastAsia" w:ascii="宋体" w:hAnsi="宋体" w:cs="宋体"/>
          <w:color w:val="333333"/>
          <w:szCs w:val="24"/>
          <w:shd w:val="clear" w:color="auto" w:fill="FFFFFF"/>
        </w:rPr>
        <w:t>本项目的特定资格要求</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1</w:t>
      </w:r>
      <w:r>
        <w:rPr>
          <w:rFonts w:hint="eastAsia" w:ascii="宋体" w:hAnsi="宋体" w:eastAsia="宋体" w:cs="宋体"/>
          <w:spacing w:val="4"/>
          <w:kern w:val="0"/>
          <w:sz w:val="24"/>
          <w:szCs w:val="24"/>
          <w:lang w:val="en-US" w:eastAsia="zh-CN" w:bidi="ar-SA"/>
        </w:rPr>
        <w:t>）与投标人不存在利害关系</w:t>
      </w:r>
      <w:r>
        <w:rPr>
          <w:rFonts w:hint="eastAsia" w:ascii="宋体" w:hAnsi="宋体" w:cs="宋体"/>
          <w:spacing w:val="4"/>
          <w:kern w:val="0"/>
          <w:sz w:val="24"/>
          <w:szCs w:val="24"/>
          <w:lang w:val="en-US" w:eastAsia="zh-CN" w:bidi="ar-SA"/>
        </w:rPr>
        <w:t>：与招标人存在利害关系可能影响公开招标公正性的单位不得参加本项目投标；</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2</w:t>
      </w:r>
      <w:r>
        <w:rPr>
          <w:rFonts w:hint="eastAsia" w:ascii="宋体" w:hAnsi="宋体" w:eastAsia="宋体" w:cs="宋体"/>
          <w:spacing w:val="4"/>
          <w:kern w:val="0"/>
          <w:sz w:val="24"/>
          <w:szCs w:val="24"/>
          <w:lang w:val="en-US" w:eastAsia="zh-CN" w:bidi="ar-SA"/>
        </w:rPr>
        <w:t>）投标人合法身份</w:t>
      </w:r>
      <w:r>
        <w:rPr>
          <w:rFonts w:hint="eastAsia" w:ascii="宋体" w:hAnsi="宋体" w:cs="宋体"/>
          <w:spacing w:val="4"/>
          <w:kern w:val="0"/>
          <w:sz w:val="24"/>
          <w:szCs w:val="24"/>
          <w:lang w:val="en-US" w:eastAsia="zh-CN" w:bidi="ar-SA"/>
        </w:rPr>
        <w:t>：</w:t>
      </w:r>
      <w:r>
        <w:rPr>
          <w:rFonts w:hint="eastAsia" w:ascii="宋体" w:hAnsi="宋体" w:eastAsia="宋体" w:cs="宋体"/>
          <w:spacing w:val="4"/>
          <w:kern w:val="0"/>
          <w:sz w:val="24"/>
          <w:szCs w:val="24"/>
          <w:lang w:val="en-US" w:eastAsia="zh-CN" w:bidi="ar-SA"/>
        </w:rPr>
        <w:t>法定代表人授权委托书：法定代表人参加投标的，须提供本人身份证复印件（附在资格证明文件中）；法定代表人授权他人参加投标的，须提供法定代表人授权委托书</w:t>
      </w:r>
      <w:r>
        <w:rPr>
          <w:rFonts w:hint="eastAsia" w:ascii="宋体" w:hAnsi="宋体" w:cs="宋体"/>
          <w:spacing w:val="4"/>
          <w:kern w:val="0"/>
          <w:sz w:val="24"/>
          <w:szCs w:val="24"/>
          <w:lang w:val="en-US" w:eastAsia="zh-CN" w:bidi="ar-SA"/>
        </w:rPr>
        <w:t>；</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cs="宋体"/>
          <w:spacing w:val="4"/>
          <w:kern w:val="0"/>
          <w:sz w:val="24"/>
          <w:szCs w:val="24"/>
          <w:lang w:val="en-US" w:eastAsia="zh-CN" w:bidi="ar-SA"/>
        </w:rPr>
        <w:t>3</w:t>
      </w:r>
      <w:r>
        <w:rPr>
          <w:rFonts w:hint="eastAsia" w:ascii="宋体" w:hAnsi="宋体" w:eastAsia="宋体" w:cs="宋体"/>
          <w:spacing w:val="4"/>
          <w:kern w:val="0"/>
          <w:sz w:val="24"/>
          <w:szCs w:val="24"/>
          <w:lang w:val="en-US" w:eastAsia="zh-CN" w:bidi="ar-SA"/>
        </w:rPr>
        <w:t>）本项目不接受联合体</w:t>
      </w:r>
      <w:r>
        <w:rPr>
          <w:rFonts w:hint="eastAsia" w:cs="宋体"/>
          <w:spacing w:val="4"/>
          <w:kern w:val="0"/>
          <w:sz w:val="24"/>
          <w:szCs w:val="24"/>
          <w:lang w:val="en-US" w:eastAsia="zh-CN" w:bidi="ar-SA"/>
        </w:rPr>
        <w:t>。</w:t>
      </w:r>
    </w:p>
    <w:p>
      <w:pPr>
        <w:spacing w:line="360" w:lineRule="auto"/>
        <w:rPr>
          <w:rFonts w:hint="eastAsia" w:ascii="宋体" w:hAnsi="宋体"/>
          <w:sz w:val="24"/>
        </w:rPr>
      </w:pPr>
      <w:r>
        <w:rPr>
          <w:rFonts w:hint="eastAsia" w:ascii="宋体" w:hAnsi="宋体"/>
          <w:sz w:val="24"/>
          <w:lang w:eastAsia="zh-CN"/>
        </w:rPr>
        <w:t>（二）</w:t>
      </w:r>
      <w:r>
        <w:rPr>
          <w:rFonts w:hint="eastAsia" w:ascii="宋体" w:hAnsi="宋体"/>
          <w:sz w:val="24"/>
        </w:rPr>
        <w:t>符合性审查：依据招标文件规定，从投标文件的有效性、完整性和对招标文件的响应程度进行审查。下列情况有一项不满足者（但不限于），不进入下一轮评审：</w:t>
      </w:r>
    </w:p>
    <w:tbl>
      <w:tblPr>
        <w:tblStyle w:val="25"/>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8"/>
        <w:gridCol w:w="5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3318" w:type="dxa"/>
            <w:vAlign w:val="center"/>
          </w:tcPr>
          <w:p>
            <w:pPr>
              <w:spacing w:line="360" w:lineRule="auto"/>
              <w:jc w:val="center"/>
              <w:outlineLvl w:val="9"/>
              <w:rPr>
                <w:rFonts w:hint="eastAsia" w:ascii="宋体" w:hAnsi="宋体" w:eastAsia="宋体" w:cs="宋体"/>
                <w:b/>
                <w:bCs/>
                <w:sz w:val="24"/>
                <w:highlight w:val="none"/>
              </w:rPr>
            </w:pPr>
            <w:r>
              <w:rPr>
                <w:rFonts w:hint="eastAsia" w:ascii="宋体" w:hAnsi="宋体" w:eastAsia="宋体" w:cs="宋体"/>
                <w:b/>
                <w:bCs/>
                <w:sz w:val="24"/>
                <w:highlight w:val="none"/>
              </w:rPr>
              <w:t>评审因素</w:t>
            </w:r>
          </w:p>
        </w:tc>
        <w:tc>
          <w:tcPr>
            <w:tcW w:w="5621" w:type="dxa"/>
            <w:vAlign w:val="center"/>
          </w:tcPr>
          <w:p>
            <w:pPr>
              <w:spacing w:line="360" w:lineRule="auto"/>
              <w:jc w:val="center"/>
              <w:outlineLvl w:val="9"/>
              <w:rPr>
                <w:rFonts w:hint="eastAsia" w:ascii="宋体" w:hAnsi="宋体" w:eastAsia="宋体" w:cs="宋体"/>
                <w:b/>
                <w:bCs/>
                <w:sz w:val="24"/>
                <w:highlight w:val="none"/>
              </w:rPr>
            </w:pPr>
            <w:r>
              <w:rPr>
                <w:rFonts w:hint="eastAsia" w:ascii="宋体" w:hAnsi="宋体" w:eastAsia="宋体" w:cs="宋体"/>
                <w:b/>
                <w:bCs/>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318" w:type="dxa"/>
            <w:vAlign w:val="center"/>
          </w:tcPr>
          <w:p>
            <w:pPr>
              <w:spacing w:line="360" w:lineRule="auto"/>
              <w:jc w:val="center"/>
              <w:outlineLvl w:val="9"/>
              <w:rPr>
                <w:rFonts w:hint="eastAsia" w:ascii="宋体" w:hAnsi="宋体" w:eastAsia="宋体" w:cs="宋体"/>
                <w:sz w:val="24"/>
                <w:highlight w:val="none"/>
              </w:rPr>
            </w:pPr>
            <w:r>
              <w:rPr>
                <w:rFonts w:hint="eastAsia" w:ascii="宋体" w:hAnsi="宋体" w:cs="宋体"/>
                <w:sz w:val="24"/>
                <w:highlight w:val="none"/>
                <w:lang w:eastAsia="zh-CN"/>
              </w:rPr>
              <w:t>投标文件项目名称、项目编号、包号</w:t>
            </w:r>
          </w:p>
        </w:tc>
        <w:tc>
          <w:tcPr>
            <w:tcW w:w="5621"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投标文件以下三处的项目名称、项目编号、</w:t>
            </w:r>
            <w:r>
              <w:rPr>
                <w:rFonts w:hint="eastAsia" w:ascii="宋体" w:hAnsi="宋体" w:cs="宋体"/>
                <w:sz w:val="24"/>
                <w:highlight w:val="none"/>
                <w:lang w:eastAsia="zh-CN"/>
              </w:rPr>
              <w:t>包号</w:t>
            </w:r>
            <w:r>
              <w:rPr>
                <w:rFonts w:hint="eastAsia" w:ascii="宋体" w:hAnsi="宋体" w:eastAsia="宋体" w:cs="宋体"/>
                <w:sz w:val="24"/>
                <w:highlight w:val="none"/>
              </w:rPr>
              <w:t>与本项目完全一致，且无遗漏：</w:t>
            </w:r>
          </w:p>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（1）封面；</w:t>
            </w:r>
          </w:p>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（2）投标函；</w:t>
            </w:r>
          </w:p>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（3）法定代表人委托授权书。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318" w:type="dxa"/>
            <w:vAlign w:val="center"/>
          </w:tcPr>
          <w:p>
            <w:pPr>
              <w:spacing w:line="360" w:lineRule="auto"/>
              <w:jc w:val="center"/>
              <w:outlineLvl w:val="9"/>
              <w:rPr>
                <w:rFonts w:hint="eastAsia" w:ascii="宋体" w:hAnsi="宋体" w:eastAsia="宋体" w:cs="宋体"/>
                <w:sz w:val="24"/>
                <w:highlight w:val="none"/>
              </w:rPr>
            </w:pPr>
            <w:r>
              <w:rPr>
                <w:rFonts w:hint="eastAsia" w:ascii="宋体" w:hAnsi="宋体" w:eastAsia="宋体" w:cs="宋体"/>
                <w:sz w:val="24"/>
                <w:highlight w:val="none"/>
              </w:rPr>
              <w:t>投标文件组成</w:t>
            </w:r>
          </w:p>
        </w:tc>
        <w:tc>
          <w:tcPr>
            <w:tcW w:w="5621" w:type="dxa"/>
            <w:vAlign w:val="center"/>
          </w:tcPr>
          <w:p>
            <w:pPr>
              <w:spacing w:line="360" w:lineRule="auto"/>
              <w:jc w:val="left"/>
              <w:outlineLvl w:val="9"/>
              <w:rPr>
                <w:rFonts w:hint="eastAsia" w:ascii="宋体" w:hAnsi="宋体" w:eastAsia="宋体" w:cs="宋体"/>
                <w:sz w:val="24"/>
                <w:highlight w:val="none"/>
                <w:lang w:eastAsia="zh-CN"/>
              </w:rPr>
            </w:pPr>
            <w:r>
              <w:rPr>
                <w:rFonts w:hint="eastAsia" w:ascii="宋体" w:hAnsi="宋体" w:eastAsia="宋体" w:cs="宋体"/>
                <w:sz w:val="24"/>
                <w:highlight w:val="none"/>
              </w:rPr>
              <w:t>符合“</w:t>
            </w:r>
            <w:r>
              <w:rPr>
                <w:rFonts w:hint="eastAsia" w:ascii="宋体" w:hAnsi="宋体" w:cs="宋体"/>
                <w:sz w:val="24"/>
                <w:highlight w:val="none"/>
                <w:lang w:eastAsia="zh-CN"/>
              </w:rPr>
              <w:t>招标投标文件</w:t>
            </w:r>
            <w:r>
              <w:rPr>
                <w:rFonts w:hint="eastAsia" w:ascii="宋体" w:hAnsi="宋体" w:eastAsia="宋体" w:cs="宋体"/>
                <w:sz w:val="24"/>
                <w:highlight w:val="none"/>
              </w:rPr>
              <w:t>格式”的要求</w:t>
            </w:r>
            <w:r>
              <w:rPr>
                <w:rFonts w:hint="eastAsia" w:ascii="宋体" w:hAnsi="宋体" w:cs="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318" w:type="dxa"/>
            <w:vAlign w:val="center"/>
          </w:tcPr>
          <w:p>
            <w:pPr>
              <w:spacing w:line="360" w:lineRule="auto"/>
              <w:jc w:val="center"/>
              <w:outlineLvl w:val="9"/>
              <w:rPr>
                <w:rFonts w:hint="eastAsia" w:ascii="宋体" w:hAnsi="宋体" w:eastAsia="宋体" w:cs="宋体"/>
                <w:sz w:val="24"/>
                <w:highlight w:val="none"/>
              </w:rPr>
            </w:pPr>
            <w:r>
              <w:rPr>
                <w:rFonts w:hint="eastAsia" w:ascii="宋体" w:hAnsi="宋体" w:cs="宋体"/>
                <w:sz w:val="24"/>
                <w:highlight w:val="none"/>
                <w:lang w:eastAsia="zh-CN"/>
              </w:rPr>
              <w:t>投标文件的签署、盖章</w:t>
            </w:r>
          </w:p>
        </w:tc>
        <w:tc>
          <w:tcPr>
            <w:tcW w:w="5621"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签署、盖章均符合招标文件要求，且无遗漏。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318" w:type="dxa"/>
            <w:vAlign w:val="center"/>
          </w:tcPr>
          <w:p>
            <w:pPr>
              <w:spacing w:line="360" w:lineRule="auto"/>
              <w:jc w:val="center"/>
              <w:outlineLvl w:val="9"/>
              <w:rPr>
                <w:rFonts w:hint="eastAsia" w:ascii="宋体" w:hAnsi="宋体" w:eastAsia="宋体" w:cs="宋体"/>
                <w:sz w:val="24"/>
                <w:highlight w:val="none"/>
              </w:rPr>
            </w:pPr>
            <w:r>
              <w:rPr>
                <w:rFonts w:hint="eastAsia" w:ascii="宋体" w:hAnsi="宋体" w:cs="宋体"/>
                <w:sz w:val="24"/>
                <w:highlight w:val="none"/>
                <w:lang w:eastAsia="zh-CN"/>
              </w:rPr>
              <w:t>投标文件的语言及计量单位</w:t>
            </w:r>
          </w:p>
        </w:tc>
        <w:tc>
          <w:tcPr>
            <w:tcW w:w="5621"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均符合招标文件的要求。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318" w:type="dxa"/>
            <w:vAlign w:val="center"/>
          </w:tcPr>
          <w:p>
            <w:pPr>
              <w:spacing w:line="360" w:lineRule="auto"/>
              <w:jc w:val="center"/>
              <w:outlineLvl w:val="9"/>
              <w:rPr>
                <w:rFonts w:hint="eastAsia" w:ascii="宋体" w:hAnsi="宋体" w:eastAsia="宋体" w:cs="宋体"/>
                <w:sz w:val="24"/>
                <w:highlight w:val="none"/>
              </w:rPr>
            </w:pPr>
            <w:r>
              <w:rPr>
                <w:rFonts w:hint="eastAsia" w:ascii="宋体" w:hAnsi="宋体" w:cs="宋体"/>
                <w:sz w:val="24"/>
                <w:highlight w:val="none"/>
                <w:lang w:eastAsia="zh-CN"/>
              </w:rPr>
              <w:t>投标有效期</w:t>
            </w:r>
          </w:p>
        </w:tc>
        <w:tc>
          <w:tcPr>
            <w:tcW w:w="5621"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318" w:type="dxa"/>
            <w:vAlign w:val="center"/>
          </w:tcPr>
          <w:p>
            <w:pPr>
              <w:spacing w:line="360" w:lineRule="auto"/>
              <w:jc w:val="center"/>
              <w:outlineLvl w:val="9"/>
              <w:rPr>
                <w:rFonts w:hint="eastAsia" w:ascii="宋体" w:hAnsi="宋体" w:eastAsia="宋体" w:cs="宋体"/>
                <w:sz w:val="24"/>
                <w:highlight w:val="none"/>
                <w:lang w:eastAsia="zh-CN"/>
              </w:rPr>
            </w:pPr>
            <w:r>
              <w:rPr>
                <w:rFonts w:hint="eastAsia" w:ascii="宋体" w:hAnsi="宋体" w:cs="宋体"/>
                <w:sz w:val="24"/>
                <w:highlight w:val="none"/>
                <w:lang w:val="en-US" w:eastAsia="zh-CN"/>
              </w:rPr>
              <w:t>投标报价</w:t>
            </w:r>
          </w:p>
        </w:tc>
        <w:tc>
          <w:tcPr>
            <w:tcW w:w="5621"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同时满足以下条款：</w:t>
            </w:r>
          </w:p>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（1）投标报价符合唯一性要求；</w:t>
            </w:r>
          </w:p>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（2）开标一览表填写符合要求；</w:t>
            </w:r>
          </w:p>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（3）报价货币符合招标文件要求；</w:t>
            </w:r>
          </w:p>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（4）未超出采购预算或招标文件规定的最高限价；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318" w:type="dxa"/>
            <w:vAlign w:val="center"/>
          </w:tcPr>
          <w:p>
            <w:pPr>
              <w:spacing w:line="360" w:lineRule="auto"/>
              <w:jc w:val="center"/>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rPr>
              <w:t>实质性条款响应</w:t>
            </w:r>
          </w:p>
        </w:tc>
        <w:tc>
          <w:tcPr>
            <w:tcW w:w="5621"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完全响应招标文件要求的各项技术/服务/商务实质性条款。（实质性条款以★标识，未设置实质性条款时可忽略此项）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318" w:type="dxa"/>
            <w:vAlign w:val="center"/>
          </w:tcPr>
          <w:p>
            <w:pPr>
              <w:spacing w:line="360" w:lineRule="auto"/>
              <w:jc w:val="center"/>
              <w:outlineLvl w:val="9"/>
              <w:rPr>
                <w:rFonts w:hint="eastAsia" w:ascii="宋体" w:hAnsi="宋体" w:eastAsia="宋体" w:cs="宋体"/>
                <w:sz w:val="24"/>
                <w:highlight w:val="none"/>
              </w:rPr>
            </w:pPr>
            <w:r>
              <w:rPr>
                <w:rFonts w:hint="eastAsia" w:ascii="宋体" w:hAnsi="宋体" w:eastAsia="宋体" w:cs="宋体"/>
                <w:sz w:val="24"/>
                <w:highlight w:val="none"/>
              </w:rPr>
              <w:t>合同文本</w:t>
            </w:r>
          </w:p>
        </w:tc>
        <w:tc>
          <w:tcPr>
            <w:tcW w:w="5621"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完全理解并接受招标文件合同基本条款的要求。</w:t>
            </w:r>
          </w:p>
        </w:tc>
      </w:tr>
    </w:tbl>
    <w:p>
      <w:pPr>
        <w:pStyle w:val="17"/>
        <w:ind w:firstLine="360" w:firstLineChars="200"/>
      </w:pPr>
    </w:p>
    <w:p>
      <w:pPr>
        <w:pStyle w:val="20"/>
        <w:spacing w:line="360" w:lineRule="auto"/>
        <w:ind w:left="0" w:leftChars="0" w:firstLine="0" w:firstLineChars="0"/>
        <w:rPr>
          <w:rFonts w:hint="eastAsia" w:ascii="宋体" w:hAnsi="宋体" w:cs="宋体"/>
          <w:b/>
          <w:sz w:val="24"/>
          <w:szCs w:val="24"/>
        </w:rPr>
      </w:pPr>
      <w:r>
        <w:rPr>
          <w:rFonts w:hint="eastAsia" w:cs="宋体"/>
          <w:sz w:val="24"/>
          <w:szCs w:val="24"/>
          <w:lang w:eastAsia="zh-CN"/>
        </w:rPr>
        <w:t>（三）</w:t>
      </w:r>
      <w:r>
        <w:rPr>
          <w:rFonts w:hint="eastAsia" w:cs="宋体"/>
          <w:sz w:val="24"/>
          <w:szCs w:val="24"/>
        </w:rPr>
        <w:t>详细评审</w:t>
      </w:r>
      <w:r>
        <w:rPr>
          <w:rFonts w:hint="eastAsia" w:cs="宋体"/>
          <w:b/>
          <w:sz w:val="24"/>
          <w:szCs w:val="24"/>
        </w:rPr>
        <w:t>（总分100分）</w:t>
      </w:r>
      <w:r>
        <w:rPr>
          <w:rFonts w:hint="eastAsia" w:cs="宋体"/>
          <w:sz w:val="24"/>
          <w:szCs w:val="24"/>
        </w:rPr>
        <w:t>：对投标文件响应性评审通过的所有投标人，由评标</w:t>
      </w:r>
      <w:r>
        <w:rPr>
          <w:rFonts w:hint="eastAsia" w:cs="宋体"/>
          <w:spacing w:val="-4"/>
          <w:sz w:val="24"/>
          <w:szCs w:val="24"/>
        </w:rPr>
        <w:t>委员会</w:t>
      </w:r>
      <w:r>
        <w:rPr>
          <w:rFonts w:hint="eastAsia" w:cs="宋体"/>
          <w:sz w:val="24"/>
          <w:szCs w:val="24"/>
        </w:rPr>
        <w:t>各成员依据招标文件，按照下列《评标要素和分值分解表》规定的内容对投标文件独立进行综合评价、比较打分，然后汇总每个投标人的得分，从高到低依次排序，推荐前三名为中标候选人。</w:t>
      </w:r>
    </w:p>
    <w:p>
      <w:pPr>
        <w:spacing w:line="360" w:lineRule="auto"/>
        <w:jc w:val="center"/>
        <w:rPr>
          <w:rFonts w:hint="eastAsia" w:ascii="宋体" w:hAnsi="宋体" w:cs="宋体"/>
          <w:b/>
          <w:sz w:val="24"/>
          <w:szCs w:val="24"/>
        </w:rPr>
      </w:pPr>
      <w:r>
        <w:rPr>
          <w:rFonts w:hint="eastAsia" w:ascii="宋体" w:hAnsi="宋体" w:cs="宋体"/>
          <w:b/>
          <w:sz w:val="24"/>
          <w:szCs w:val="24"/>
        </w:rPr>
        <w:t>评标要素和分值分解表</w:t>
      </w:r>
    </w:p>
    <w:tbl>
      <w:tblPr>
        <w:tblStyle w:val="25"/>
        <w:tblpPr w:leftFromText="180" w:rightFromText="180" w:vertAnchor="text" w:horzAnchor="page" w:tblpX="1845" w:tblpY="473"/>
        <w:tblOverlap w:val="never"/>
        <w:tblW w:w="8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336"/>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1" w:type="dxa"/>
            <w:noWrap w:val="0"/>
            <w:vAlign w:val="center"/>
          </w:tcPr>
          <w:p>
            <w:pPr>
              <w:pStyle w:val="13"/>
              <w:keepNext w:val="0"/>
              <w:keepLines w:val="0"/>
              <w:pageBreakBefore w:val="0"/>
              <w:widowControl w:val="0"/>
              <w:tabs>
                <w:tab w:val="left" w:pos="600"/>
              </w:tabs>
              <w:kinsoku/>
              <w:wordWrap/>
              <w:overflowPunct/>
              <w:topLinePunct w:val="0"/>
              <w:autoSpaceDE/>
              <w:autoSpaceDN/>
              <w:bidi w:val="0"/>
              <w:adjustRightInd/>
              <w:snapToGrid/>
              <w:spacing w:after="0" w:line="240" w:lineRule="auto"/>
              <w:ind w:left="0" w:leftChars="0" w:firstLine="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评审因素</w:t>
            </w:r>
          </w:p>
        </w:tc>
        <w:tc>
          <w:tcPr>
            <w:tcW w:w="7568" w:type="dxa"/>
            <w:gridSpan w:val="2"/>
            <w:noWrap w:val="0"/>
            <w:vAlign w:val="center"/>
          </w:tcPr>
          <w:p>
            <w:pPr>
              <w:pStyle w:val="13"/>
              <w:tabs>
                <w:tab w:val="left" w:pos="600"/>
              </w:tabs>
              <w:spacing w:line="240" w:lineRule="auto"/>
              <w:ind w:firstLine="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评审标准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1" w:type="dxa"/>
            <w:noWrap w:val="0"/>
            <w:vAlign w:val="center"/>
          </w:tcPr>
          <w:p>
            <w:pPr>
              <w:pStyle w:val="13"/>
              <w:tabs>
                <w:tab w:val="left" w:pos="600"/>
              </w:tabs>
              <w:spacing w:line="240" w:lineRule="auto"/>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投标报价</w:t>
            </w:r>
          </w:p>
          <w:p>
            <w:pPr>
              <w:pStyle w:val="13"/>
              <w:tabs>
                <w:tab w:val="left" w:pos="600"/>
              </w:tabs>
              <w:spacing w:line="240" w:lineRule="auto"/>
              <w:ind w:left="0" w:leftChars="0" w:firstLine="0" w:firstLineChars="0"/>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10分</w:t>
            </w:r>
            <w:r>
              <w:rPr>
                <w:rFonts w:hint="eastAsia" w:ascii="宋体" w:hAnsi="宋体" w:cs="宋体"/>
                <w:sz w:val="24"/>
                <w:szCs w:val="24"/>
                <w:highlight w:val="none"/>
                <w:lang w:eastAsia="zh-CN"/>
              </w:rPr>
              <w:t>）</w:t>
            </w:r>
          </w:p>
        </w:tc>
        <w:tc>
          <w:tcPr>
            <w:tcW w:w="7568" w:type="dxa"/>
            <w:gridSpan w:val="2"/>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textAlignment w:val="auto"/>
              <w:rPr>
                <w:rFonts w:hint="eastAsia"/>
                <w:sz w:val="24"/>
                <w:szCs w:val="24"/>
              </w:rPr>
            </w:pPr>
            <w:r>
              <w:rPr>
                <w:rFonts w:hint="eastAsia"/>
                <w:sz w:val="24"/>
                <w:szCs w:val="24"/>
              </w:rPr>
              <w:t>1.经初审合格的投标文件，其投标报价为有效投标报价，并对有效投标报价进行政策性扣减，并依据扣减后的价格（评审价格）进行价格评审。</w:t>
            </w:r>
          </w:p>
          <w:p>
            <w:pPr>
              <w:keepNext w:val="0"/>
              <w:keepLines w:val="0"/>
              <w:pageBreakBefore w:val="0"/>
              <w:widowControl w:val="0"/>
              <w:kinsoku/>
              <w:wordWrap/>
              <w:overflowPunct w:val="0"/>
              <w:topLinePunct w:val="0"/>
              <w:autoSpaceDE/>
              <w:autoSpaceDN/>
              <w:bidi w:val="0"/>
              <w:adjustRightInd w:val="0"/>
              <w:snapToGrid w:val="0"/>
              <w:spacing w:line="240" w:lineRule="auto"/>
              <w:ind w:left="0"/>
              <w:textAlignment w:val="auto"/>
              <w:rPr>
                <w:rFonts w:hint="eastAsia"/>
                <w:sz w:val="24"/>
                <w:szCs w:val="24"/>
              </w:rPr>
            </w:pPr>
            <w:r>
              <w:rPr>
                <w:rFonts w:hint="eastAsia"/>
                <w:sz w:val="24"/>
                <w:szCs w:val="24"/>
              </w:rPr>
              <w:t>2.满足招标文件实质性要求且最终报价最低的投标人的价格为投标基准价，其价格分为满分</w:t>
            </w:r>
            <w:r>
              <w:rPr>
                <w:rFonts w:hint="eastAsia"/>
                <w:sz w:val="24"/>
                <w:szCs w:val="24"/>
                <w:lang w:val="en-US" w:eastAsia="zh-CN"/>
              </w:rPr>
              <w:t>10</w:t>
            </w:r>
            <w:r>
              <w:rPr>
                <w:rFonts w:hint="eastAsia"/>
                <w:sz w:val="24"/>
                <w:szCs w:val="24"/>
              </w:rPr>
              <w:t>分。</w:t>
            </w:r>
          </w:p>
          <w:p>
            <w:pPr>
              <w:keepNext w:val="0"/>
              <w:keepLines w:val="0"/>
              <w:pageBreakBefore w:val="0"/>
              <w:widowControl w:val="0"/>
              <w:kinsoku/>
              <w:wordWrap/>
              <w:overflowPunct w:val="0"/>
              <w:topLinePunct w:val="0"/>
              <w:autoSpaceDE/>
              <w:autoSpaceDN/>
              <w:bidi w:val="0"/>
              <w:adjustRightInd w:val="0"/>
              <w:snapToGrid w:val="0"/>
              <w:spacing w:line="240" w:lineRule="auto"/>
              <w:ind w:left="0"/>
              <w:textAlignment w:val="auto"/>
              <w:rPr>
                <w:rFonts w:hint="eastAsia"/>
                <w:sz w:val="24"/>
                <w:szCs w:val="24"/>
              </w:rPr>
            </w:pPr>
            <w:r>
              <w:rPr>
                <w:rFonts w:hint="eastAsia"/>
                <w:sz w:val="24"/>
                <w:szCs w:val="24"/>
              </w:rPr>
              <w:t>3.投标报价得分=（投标基准价/投标报价）×</w:t>
            </w:r>
            <w:r>
              <w:rPr>
                <w:rFonts w:hint="eastAsia"/>
                <w:sz w:val="24"/>
                <w:szCs w:val="24"/>
                <w:lang w:val="en-US" w:eastAsia="zh-CN"/>
              </w:rPr>
              <w:t>10</w:t>
            </w:r>
            <w:r>
              <w:rPr>
                <w:rFonts w:hint="eastAsia"/>
                <w:sz w:val="24"/>
                <w:szCs w:val="24"/>
              </w:rPr>
              <w:t>的公式计算得分。</w:t>
            </w:r>
          </w:p>
          <w:p>
            <w:pPr>
              <w:pStyle w:val="41"/>
              <w:ind w:left="0" w:leftChars="0" w:firstLine="0" w:firstLineChars="0"/>
              <w:rPr>
                <w:rFonts w:hint="eastAsia" w:eastAsia="宋体"/>
                <w:lang w:eastAsia="zh-CN"/>
              </w:rPr>
            </w:pPr>
            <w:r>
              <w:rPr>
                <w:rFonts w:hint="eastAsia"/>
                <w:sz w:val="24"/>
                <w:szCs w:val="24"/>
              </w:rPr>
              <w:t>对小型、微型企业</w:t>
            </w:r>
            <w:r>
              <w:rPr>
                <w:rFonts w:hint="eastAsia"/>
                <w:sz w:val="24"/>
                <w:szCs w:val="24"/>
                <w:lang w:eastAsia="zh-CN"/>
              </w:rPr>
              <w:t>、</w:t>
            </w:r>
            <w:r>
              <w:rPr>
                <w:rFonts w:hint="eastAsia"/>
                <w:sz w:val="24"/>
                <w:szCs w:val="24"/>
              </w:rPr>
              <w:t>监狱企业</w:t>
            </w:r>
            <w:r>
              <w:rPr>
                <w:rFonts w:hint="eastAsia"/>
                <w:sz w:val="24"/>
                <w:szCs w:val="24"/>
                <w:lang w:eastAsia="zh-CN"/>
              </w:rPr>
              <w:t>、</w:t>
            </w:r>
            <w:r>
              <w:rPr>
                <w:rFonts w:hint="eastAsia"/>
                <w:sz w:val="24"/>
                <w:szCs w:val="24"/>
              </w:rPr>
              <w:t xml:space="preserve">残疾人福利性单位提供服务的投标价格给予 </w:t>
            </w:r>
            <w:r>
              <w:rPr>
                <w:rFonts w:hint="eastAsia"/>
                <w:sz w:val="24"/>
                <w:szCs w:val="24"/>
                <w:lang w:val="en-US" w:eastAsia="zh-CN"/>
              </w:rPr>
              <w:t>10</w:t>
            </w:r>
            <w:r>
              <w:rPr>
                <w:rFonts w:hint="eastAsia"/>
                <w:sz w:val="24"/>
                <w:szCs w:val="24"/>
              </w:rPr>
              <w:t xml:space="preserve"> %的折扣。</w:t>
            </w:r>
            <w:r>
              <w:rPr>
                <w:rFonts w:hint="eastAsia"/>
                <w:sz w:val="24"/>
                <w:szCs w:val="24"/>
                <w:lang w:eastAsia="zh-CN"/>
              </w:rPr>
              <w:t>（</w:t>
            </w:r>
            <w:r>
              <w:rPr>
                <w:rFonts w:hint="eastAsia"/>
                <w:sz w:val="24"/>
                <w:szCs w:val="24"/>
                <w:lang w:val="en-US" w:eastAsia="zh-CN"/>
              </w:rPr>
              <w:t>同时满足多个条件不重复扣减</w:t>
            </w:r>
            <w:r>
              <w:rPr>
                <w:rFonts w:hint="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21" w:type="dxa"/>
            <w:vMerge w:val="restart"/>
            <w:noWrap w:val="0"/>
            <w:vAlign w:val="center"/>
          </w:tcPr>
          <w:p>
            <w:pPr>
              <w:pStyle w:val="13"/>
              <w:tabs>
                <w:tab w:val="left" w:pos="600"/>
              </w:tabs>
              <w:spacing w:line="240" w:lineRule="auto"/>
              <w:ind w:left="0" w:leftChars="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技术方案</w:t>
            </w:r>
          </w:p>
          <w:p>
            <w:pPr>
              <w:pStyle w:val="13"/>
              <w:tabs>
                <w:tab w:val="left" w:pos="600"/>
              </w:tabs>
              <w:spacing w:line="240" w:lineRule="auto"/>
              <w:ind w:left="0" w:leftChars="0" w:firstLine="0" w:firstLineChars="0"/>
              <w:jc w:val="center"/>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60分</w:t>
            </w:r>
            <w:r>
              <w:rPr>
                <w:rFonts w:hint="eastAsia" w:ascii="宋体" w:hAnsi="宋体" w:cs="宋体"/>
                <w:sz w:val="24"/>
                <w:szCs w:val="24"/>
                <w:highlight w:val="none"/>
                <w:lang w:eastAsia="zh-CN"/>
              </w:rPr>
              <w:t>）</w:t>
            </w:r>
          </w:p>
        </w:tc>
        <w:tc>
          <w:tcPr>
            <w:tcW w:w="1336" w:type="dxa"/>
            <w:noWrap w:val="0"/>
            <w:vAlign w:val="center"/>
          </w:tcPr>
          <w:p>
            <w:pPr>
              <w:pStyle w:val="13"/>
              <w:tabs>
                <w:tab w:val="left" w:pos="600"/>
              </w:tabs>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环卫作业工作方案</w:t>
            </w:r>
          </w:p>
          <w:p>
            <w:pPr>
              <w:pStyle w:val="13"/>
              <w:tabs>
                <w:tab w:val="left" w:pos="600"/>
              </w:tabs>
              <w:spacing w:line="24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（10分）</w:t>
            </w:r>
          </w:p>
        </w:tc>
        <w:tc>
          <w:tcPr>
            <w:tcW w:w="6232" w:type="dxa"/>
            <w:noWrap w:val="0"/>
            <w:vAlign w:val="top"/>
          </w:tcPr>
          <w:p>
            <w:pPr>
              <w:pStyle w:val="13"/>
              <w:keepNext w:val="0"/>
              <w:keepLines w:val="0"/>
              <w:pageBreakBefore w:val="0"/>
              <w:numPr>
                <w:ilvl w:val="0"/>
                <w:numId w:val="0"/>
              </w:numPr>
              <w:tabs>
                <w:tab w:val="left" w:pos="600"/>
              </w:tabs>
              <w:kinsoku/>
              <w:wordWrap/>
              <w:overflowPunct/>
              <w:topLinePunct w:val="0"/>
              <w:autoSpaceDE/>
              <w:autoSpaceDN/>
              <w:bidi w:val="0"/>
              <w:adjustRightInd/>
              <w:snapToGrid/>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1、环卫作业工作方案（10分）。</w:t>
            </w:r>
          </w:p>
          <w:p>
            <w:pPr>
              <w:pStyle w:val="13"/>
              <w:keepNext w:val="0"/>
              <w:keepLines w:val="0"/>
              <w:pageBreakBefore w:val="0"/>
              <w:numPr>
                <w:ilvl w:val="0"/>
                <w:numId w:val="0"/>
              </w:numPr>
              <w:tabs>
                <w:tab w:val="left" w:pos="600"/>
              </w:tabs>
              <w:kinsoku/>
              <w:wordWrap/>
              <w:overflowPunct/>
              <w:topLinePunct w:val="0"/>
              <w:autoSpaceDE/>
              <w:autoSpaceDN/>
              <w:bidi w:val="0"/>
              <w:adjustRightInd/>
              <w:snapToGrid/>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针对本项目的环卫作业工作方案</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①方案详细具体、切实可行计[</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 xml:space="preserve">-10]分；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②方案简要，基本可行计[3-</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③方案简陋，操作性差计（0-3）；</w:t>
            </w:r>
          </w:p>
          <w:p>
            <w:pPr>
              <w:pStyle w:val="13"/>
              <w:numPr>
                <w:ilvl w:val="0"/>
                <w:numId w:val="0"/>
              </w:numPr>
              <w:tabs>
                <w:tab w:val="left" w:pos="600"/>
              </w:tabs>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未进行说明计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21" w:type="dxa"/>
            <w:vMerge w:val="continue"/>
            <w:noWrap w:val="0"/>
            <w:vAlign w:val="center"/>
          </w:tcPr>
          <w:p>
            <w:pPr>
              <w:pStyle w:val="13"/>
              <w:tabs>
                <w:tab w:val="left" w:pos="600"/>
              </w:tabs>
              <w:spacing w:line="240" w:lineRule="auto"/>
              <w:ind w:firstLine="0"/>
              <w:jc w:val="center"/>
              <w:rPr>
                <w:rFonts w:hint="eastAsia" w:ascii="宋体" w:hAnsi="宋体" w:eastAsia="宋体" w:cs="宋体"/>
                <w:color w:val="000000"/>
                <w:sz w:val="24"/>
                <w:szCs w:val="24"/>
                <w:highlight w:val="none"/>
              </w:rPr>
            </w:pPr>
          </w:p>
        </w:tc>
        <w:tc>
          <w:tcPr>
            <w:tcW w:w="1336" w:type="dxa"/>
            <w:noWrap w:val="0"/>
            <w:vAlign w:val="center"/>
          </w:tcPr>
          <w:p>
            <w:pPr>
              <w:pStyle w:val="13"/>
              <w:tabs>
                <w:tab w:val="left" w:pos="600"/>
              </w:tabs>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环卫服务质量自检及整改措施</w:t>
            </w:r>
          </w:p>
          <w:p>
            <w:pPr>
              <w:pStyle w:val="13"/>
              <w:tabs>
                <w:tab w:val="left" w:pos="600"/>
              </w:tabs>
              <w:spacing w:line="24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tc>
        <w:tc>
          <w:tcPr>
            <w:tcW w:w="6232" w:type="dxa"/>
            <w:noWrap w:val="0"/>
            <w:vAlign w:val="top"/>
          </w:tcPr>
          <w:p>
            <w:pPr>
              <w:pStyle w:val="13"/>
              <w:keepNext w:val="0"/>
              <w:keepLines w:val="0"/>
              <w:pageBreakBefore w:val="0"/>
              <w:numPr>
                <w:ilvl w:val="0"/>
                <w:numId w:val="0"/>
              </w:numPr>
              <w:tabs>
                <w:tab w:val="left" w:pos="600"/>
              </w:tabs>
              <w:kinsoku/>
              <w:wordWrap/>
              <w:overflowPunct/>
              <w:topLinePunct w:val="0"/>
              <w:autoSpaceDE/>
              <w:autoSpaceDN/>
              <w:bidi w:val="0"/>
              <w:adjustRightInd/>
              <w:snapToGrid/>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2、环卫服务质量自检及整改措施（</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p>
            <w:pPr>
              <w:pStyle w:val="13"/>
              <w:keepNext w:val="0"/>
              <w:keepLines w:val="0"/>
              <w:pageBreakBefore w:val="0"/>
              <w:numPr>
                <w:ilvl w:val="0"/>
                <w:numId w:val="0"/>
              </w:numPr>
              <w:tabs>
                <w:tab w:val="left" w:pos="600"/>
              </w:tabs>
              <w:kinsoku/>
              <w:wordWrap/>
              <w:overflowPunct/>
              <w:topLinePunct w:val="0"/>
              <w:autoSpaceDE/>
              <w:autoSpaceDN/>
              <w:bidi w:val="0"/>
              <w:adjustRightInd/>
              <w:snapToGrid/>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针对本项目的环卫服务质量自检及整改措施</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①方案详细具体、切实可行计[</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 xml:space="preserve">]分；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②方案简要，基本可行计[2-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③方案简陋，操作性差 计（0-2）；</w:t>
            </w:r>
          </w:p>
          <w:p>
            <w:pPr>
              <w:pStyle w:val="13"/>
              <w:numPr>
                <w:ilvl w:val="0"/>
                <w:numId w:val="0"/>
              </w:numPr>
              <w:tabs>
                <w:tab w:val="left" w:pos="600"/>
              </w:tabs>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未进行说明计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1" w:type="dxa"/>
            <w:vMerge w:val="continue"/>
            <w:noWrap w:val="0"/>
            <w:vAlign w:val="center"/>
          </w:tcPr>
          <w:p>
            <w:pPr>
              <w:pStyle w:val="13"/>
              <w:tabs>
                <w:tab w:val="left" w:pos="600"/>
              </w:tabs>
              <w:spacing w:line="240" w:lineRule="auto"/>
              <w:ind w:firstLine="0"/>
              <w:jc w:val="center"/>
              <w:rPr>
                <w:rFonts w:hint="eastAsia" w:ascii="宋体" w:hAnsi="宋体" w:eastAsia="宋体" w:cs="宋体"/>
                <w:color w:val="000000"/>
                <w:sz w:val="24"/>
                <w:szCs w:val="24"/>
                <w:highlight w:val="none"/>
              </w:rPr>
            </w:pPr>
          </w:p>
        </w:tc>
        <w:tc>
          <w:tcPr>
            <w:tcW w:w="1336" w:type="dxa"/>
            <w:noWrap w:val="0"/>
            <w:vAlign w:val="center"/>
          </w:tcPr>
          <w:p>
            <w:pPr>
              <w:pStyle w:val="13"/>
              <w:numPr>
                <w:ilvl w:val="0"/>
                <w:numId w:val="0"/>
              </w:numPr>
              <w:tabs>
                <w:tab w:val="left" w:pos="600"/>
              </w:tabs>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服务人员作业安全措施（</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分）</w:t>
            </w:r>
          </w:p>
          <w:p>
            <w:pPr>
              <w:pStyle w:val="13"/>
              <w:tabs>
                <w:tab w:val="left" w:pos="600"/>
              </w:tabs>
              <w:spacing w:line="240" w:lineRule="auto"/>
              <w:ind w:left="0" w:leftChars="0" w:firstLine="0" w:firstLineChars="0"/>
              <w:jc w:val="center"/>
              <w:rPr>
                <w:rFonts w:hint="eastAsia" w:ascii="宋体" w:hAnsi="宋体" w:eastAsia="宋体" w:cs="宋体"/>
                <w:sz w:val="24"/>
                <w:szCs w:val="24"/>
                <w:highlight w:val="none"/>
                <w:lang w:val="en-US" w:eastAsia="zh-CN"/>
              </w:rPr>
            </w:pPr>
          </w:p>
        </w:tc>
        <w:tc>
          <w:tcPr>
            <w:tcW w:w="6232" w:type="dxa"/>
            <w:noWrap w:val="0"/>
            <w:vAlign w:val="top"/>
          </w:tcPr>
          <w:p>
            <w:pPr>
              <w:pStyle w:val="13"/>
              <w:keepNext w:val="0"/>
              <w:keepLines w:val="0"/>
              <w:pageBreakBefore w:val="0"/>
              <w:numPr>
                <w:ilvl w:val="0"/>
                <w:numId w:val="0"/>
              </w:numPr>
              <w:tabs>
                <w:tab w:val="left" w:pos="600"/>
              </w:tabs>
              <w:kinsoku/>
              <w:wordWrap/>
              <w:overflowPunct/>
              <w:topLinePunct w:val="0"/>
              <w:autoSpaceDE/>
              <w:autoSpaceDN/>
              <w:bidi w:val="0"/>
              <w:adjustRightInd/>
              <w:snapToGrid/>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3、服务人员作业安全措施（</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分）。</w:t>
            </w:r>
          </w:p>
          <w:p>
            <w:pPr>
              <w:pStyle w:val="13"/>
              <w:keepNext w:val="0"/>
              <w:keepLines w:val="0"/>
              <w:pageBreakBefore w:val="0"/>
              <w:numPr>
                <w:ilvl w:val="0"/>
                <w:numId w:val="0"/>
              </w:numPr>
              <w:tabs>
                <w:tab w:val="left" w:pos="600"/>
              </w:tabs>
              <w:kinsoku/>
              <w:wordWrap/>
              <w:overflowPunct/>
              <w:topLinePunct w:val="0"/>
              <w:autoSpaceDE/>
              <w:autoSpaceDN/>
              <w:bidi w:val="0"/>
              <w:adjustRightInd/>
              <w:snapToGrid/>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针对本项目的服务人员作业安全措施</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①方案详细具体、切实可行计[</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 xml:space="preserve">-10]分；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②方案简要，基本可行计[3-</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③方案简陋，操作性差计（0-3）；</w:t>
            </w:r>
          </w:p>
          <w:p>
            <w:pPr>
              <w:pStyle w:val="13"/>
              <w:numPr>
                <w:ilvl w:val="0"/>
                <w:numId w:val="0"/>
              </w:numPr>
              <w:tabs>
                <w:tab w:val="left" w:pos="600"/>
              </w:tabs>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未进行说明计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121" w:type="dxa"/>
            <w:vMerge w:val="continue"/>
            <w:noWrap w:val="0"/>
            <w:vAlign w:val="center"/>
          </w:tcPr>
          <w:p>
            <w:pPr>
              <w:pStyle w:val="13"/>
              <w:tabs>
                <w:tab w:val="left" w:pos="600"/>
              </w:tabs>
              <w:spacing w:line="240" w:lineRule="auto"/>
              <w:ind w:firstLine="0"/>
              <w:jc w:val="center"/>
              <w:rPr>
                <w:rFonts w:hint="eastAsia" w:ascii="宋体" w:hAnsi="宋体" w:eastAsia="宋体" w:cs="宋体"/>
                <w:color w:val="000000"/>
                <w:sz w:val="24"/>
                <w:szCs w:val="24"/>
                <w:highlight w:val="none"/>
              </w:rPr>
            </w:pPr>
          </w:p>
        </w:tc>
        <w:tc>
          <w:tcPr>
            <w:tcW w:w="1336" w:type="dxa"/>
            <w:noWrap w:val="0"/>
            <w:vAlign w:val="center"/>
          </w:tcPr>
          <w:p>
            <w:pPr>
              <w:pStyle w:val="13"/>
              <w:tabs>
                <w:tab w:val="left" w:pos="600"/>
              </w:tabs>
              <w:spacing w:line="24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管理制度和培训方案（</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tc>
        <w:tc>
          <w:tcPr>
            <w:tcW w:w="6232" w:type="dxa"/>
            <w:noWrap w:val="0"/>
            <w:vAlign w:val="top"/>
          </w:tcPr>
          <w:p>
            <w:pPr>
              <w:pStyle w:val="13"/>
              <w:keepNext w:val="0"/>
              <w:keepLines w:val="0"/>
              <w:pageBreakBefore w:val="0"/>
              <w:numPr>
                <w:ilvl w:val="0"/>
                <w:numId w:val="0"/>
              </w:numPr>
              <w:tabs>
                <w:tab w:val="left" w:pos="600"/>
              </w:tabs>
              <w:kinsoku/>
              <w:wordWrap/>
              <w:overflowPunct/>
              <w:topLinePunct w:val="0"/>
              <w:autoSpaceDE/>
              <w:autoSpaceDN/>
              <w:bidi w:val="0"/>
              <w:adjustRightInd/>
              <w:snapToGrid/>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4、管理制度和培训方案（</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p>
            <w:pPr>
              <w:pStyle w:val="13"/>
              <w:keepNext w:val="0"/>
              <w:keepLines w:val="0"/>
              <w:pageBreakBefore w:val="0"/>
              <w:numPr>
                <w:ilvl w:val="0"/>
                <w:numId w:val="0"/>
              </w:numPr>
              <w:tabs>
                <w:tab w:val="left" w:pos="600"/>
              </w:tabs>
              <w:kinsoku/>
              <w:wordWrap/>
              <w:overflowPunct/>
              <w:topLinePunct w:val="0"/>
              <w:autoSpaceDE/>
              <w:autoSpaceDN/>
              <w:bidi w:val="0"/>
              <w:adjustRightInd/>
              <w:snapToGrid/>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针对本项目的管理制度和培训方案根据供应商内部管理架构、管理理念、作业人员考核制度及人员培训方案是否科学合理。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①方案详细具体、切实可行计[</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 xml:space="preserve">]分；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②方案简要，基本可行计[2-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③方案简陋，操作性差 计（0-2）；</w:t>
            </w:r>
          </w:p>
          <w:p>
            <w:pPr>
              <w:pStyle w:val="13"/>
              <w:keepNext w:val="0"/>
              <w:keepLines w:val="0"/>
              <w:pageBreakBefore w:val="0"/>
              <w:numPr>
                <w:ilvl w:val="0"/>
                <w:numId w:val="0"/>
              </w:numPr>
              <w:tabs>
                <w:tab w:val="left" w:pos="600"/>
              </w:tabs>
              <w:kinsoku/>
              <w:wordWrap/>
              <w:overflowPunct/>
              <w:topLinePunct w:val="0"/>
              <w:autoSpaceDE/>
              <w:autoSpaceDN/>
              <w:bidi w:val="0"/>
              <w:adjustRightInd/>
              <w:snapToGrid/>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未进行说明计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121" w:type="dxa"/>
            <w:vMerge w:val="continue"/>
            <w:noWrap w:val="0"/>
            <w:vAlign w:val="center"/>
          </w:tcPr>
          <w:p>
            <w:pPr>
              <w:pStyle w:val="13"/>
              <w:tabs>
                <w:tab w:val="left" w:pos="600"/>
              </w:tabs>
              <w:spacing w:line="240" w:lineRule="auto"/>
              <w:ind w:firstLine="0"/>
              <w:jc w:val="center"/>
              <w:rPr>
                <w:rFonts w:hint="eastAsia" w:ascii="宋体" w:hAnsi="宋体" w:eastAsia="宋体" w:cs="宋体"/>
                <w:color w:val="000000"/>
                <w:sz w:val="24"/>
                <w:szCs w:val="24"/>
                <w:highlight w:val="none"/>
              </w:rPr>
            </w:pPr>
          </w:p>
        </w:tc>
        <w:tc>
          <w:tcPr>
            <w:tcW w:w="1336" w:type="dxa"/>
            <w:noWrap w:val="0"/>
            <w:vAlign w:val="center"/>
          </w:tcPr>
          <w:p>
            <w:pPr>
              <w:pStyle w:val="13"/>
              <w:tabs>
                <w:tab w:val="left" w:pos="600"/>
              </w:tabs>
              <w:spacing w:line="24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cs="宋体"/>
                <w:sz w:val="24"/>
                <w:szCs w:val="24"/>
                <w:lang w:val="en-US" w:eastAsia="zh-CN"/>
              </w:rPr>
              <w:t>贯彻落实国家相应政策</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tc>
        <w:tc>
          <w:tcPr>
            <w:tcW w:w="6232" w:type="dxa"/>
            <w:noWrap w:val="0"/>
            <w:vAlign w:val="top"/>
          </w:tcPr>
          <w:p>
            <w:pPr>
              <w:pStyle w:val="13"/>
              <w:keepNext w:val="0"/>
              <w:keepLines w:val="0"/>
              <w:pageBreakBefore w:val="0"/>
              <w:numPr>
                <w:ilvl w:val="0"/>
                <w:numId w:val="0"/>
              </w:numPr>
              <w:tabs>
                <w:tab w:val="left" w:pos="600"/>
              </w:tabs>
              <w:kinsoku/>
              <w:wordWrap/>
              <w:overflowPunct/>
              <w:topLinePunct w:val="0"/>
              <w:bidi w:val="0"/>
              <w:snapToGrid/>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贯彻落实国家相应政策</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贯彻落实“厕所革命”、“效能革命”、“以克论净深度保洁”、“治污减霾”等工作的相关要求的措施</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①方案详细具体、切实可行计[</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 xml:space="preserve">]分； </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②方案简要，基本可行计[2-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）分；</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③方案简陋，操作性差 计（0-2）；</w:t>
            </w:r>
          </w:p>
          <w:p>
            <w:pPr>
              <w:pStyle w:val="13"/>
              <w:keepNext w:val="0"/>
              <w:keepLines w:val="0"/>
              <w:pageBreakBefore w:val="0"/>
              <w:numPr>
                <w:ilvl w:val="0"/>
                <w:numId w:val="0"/>
              </w:numPr>
              <w:tabs>
                <w:tab w:val="left" w:pos="600"/>
              </w:tabs>
              <w:kinsoku/>
              <w:wordWrap/>
              <w:overflowPunct/>
              <w:topLinePunct w:val="0"/>
              <w:bidi w:val="0"/>
              <w:snapToGrid/>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未进行说明计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121" w:type="dxa"/>
            <w:vMerge w:val="continue"/>
            <w:noWrap w:val="0"/>
            <w:vAlign w:val="center"/>
          </w:tcPr>
          <w:p>
            <w:pPr>
              <w:pStyle w:val="13"/>
              <w:tabs>
                <w:tab w:val="left" w:pos="600"/>
              </w:tabs>
              <w:spacing w:line="240" w:lineRule="auto"/>
              <w:ind w:firstLine="0"/>
              <w:jc w:val="center"/>
              <w:rPr>
                <w:rFonts w:hint="eastAsia" w:ascii="宋体" w:hAnsi="宋体" w:eastAsia="宋体" w:cs="宋体"/>
                <w:color w:val="000000"/>
                <w:sz w:val="24"/>
                <w:szCs w:val="24"/>
                <w:highlight w:val="none"/>
              </w:rPr>
            </w:pPr>
          </w:p>
        </w:tc>
        <w:tc>
          <w:tcPr>
            <w:tcW w:w="1336" w:type="dxa"/>
            <w:noWrap w:val="0"/>
            <w:vAlign w:val="center"/>
          </w:tcPr>
          <w:p>
            <w:pPr>
              <w:pStyle w:val="13"/>
              <w:tabs>
                <w:tab w:val="left" w:pos="600"/>
              </w:tabs>
              <w:spacing w:line="24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管理方案（</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tc>
        <w:tc>
          <w:tcPr>
            <w:tcW w:w="6232" w:type="dxa"/>
            <w:noWrap w:val="0"/>
            <w:vAlign w:val="top"/>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6、管理方案（</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根据本项目使用特点提出合理日常清扫保洁服务、垃圾清运、厕所管护等管理方案，投标供应商的管理模式能够切合实际，具体可行。</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①方案详细具体、切实可行计[</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 xml:space="preserve">]分； </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②方案简要，基本可行计[2-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）分；</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③方案简陋，操作性差 计（0-2）；</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未进行说明计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1121" w:type="dxa"/>
            <w:vMerge w:val="continue"/>
            <w:noWrap w:val="0"/>
            <w:vAlign w:val="center"/>
          </w:tcPr>
          <w:p>
            <w:pPr>
              <w:pStyle w:val="13"/>
              <w:tabs>
                <w:tab w:val="left" w:pos="600"/>
              </w:tabs>
              <w:spacing w:line="240" w:lineRule="auto"/>
              <w:ind w:firstLine="0"/>
              <w:jc w:val="center"/>
              <w:rPr>
                <w:rFonts w:hint="eastAsia" w:ascii="宋体" w:hAnsi="宋体" w:eastAsia="宋体" w:cs="宋体"/>
                <w:color w:val="000000"/>
                <w:sz w:val="24"/>
                <w:szCs w:val="24"/>
                <w:highlight w:val="none"/>
              </w:rPr>
            </w:pPr>
          </w:p>
        </w:tc>
        <w:tc>
          <w:tcPr>
            <w:tcW w:w="1336" w:type="dxa"/>
            <w:noWrap w:val="0"/>
            <w:vAlign w:val="center"/>
          </w:tcPr>
          <w:p>
            <w:pPr>
              <w:pStyle w:val="13"/>
              <w:tabs>
                <w:tab w:val="left" w:pos="600"/>
              </w:tabs>
              <w:spacing w:line="24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合同交接过渡期配合方案（</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tc>
        <w:tc>
          <w:tcPr>
            <w:tcW w:w="6232"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7、合同交接过渡期配合方案（</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right="0" w:rightChars="0"/>
              <w:jc w:val="both"/>
              <w:textAlignment w:val="auto"/>
              <w:outlineLvl w:val="9"/>
              <w:rPr>
                <w:rFonts w:hint="eastAsia"/>
                <w:lang w:val="en-US" w:eastAsia="zh-CN"/>
              </w:rPr>
            </w:pPr>
            <w:r>
              <w:rPr>
                <w:rFonts w:hint="eastAsia" w:ascii="宋体" w:hAnsi="宋体" w:eastAsia="宋体" w:cs="宋体"/>
                <w:sz w:val="24"/>
                <w:szCs w:val="24"/>
                <w:lang w:val="en-US" w:eastAsia="zh-CN"/>
              </w:rPr>
              <w:t>合同交接过渡期(含合同始、止两个交接期)配合方案，内容包含但不限于本项目原有人员的接收及安置、设备的采购及工作交接。</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①方案详细具体、切实可行计[</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 xml:space="preserve">]分； </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②方案简要，基本可行计[2-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）分；</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③方案简陋，操作性差 计（0-2）；</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未进行说明计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21" w:type="dxa"/>
            <w:vMerge w:val="restart"/>
            <w:noWrap w:val="0"/>
            <w:vAlign w:val="center"/>
          </w:tcPr>
          <w:p>
            <w:pPr>
              <w:spacing w:line="240" w:lineRule="auto"/>
              <w:ind w:firstLine="28"/>
              <w:jc w:val="center"/>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履约能力</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10分</w:t>
            </w:r>
            <w:r>
              <w:rPr>
                <w:rFonts w:hint="eastAsia" w:ascii="宋体" w:hAnsi="宋体" w:cs="宋体"/>
                <w:sz w:val="24"/>
                <w:szCs w:val="24"/>
                <w:highlight w:val="none"/>
                <w:lang w:eastAsia="zh-CN"/>
              </w:rPr>
              <w:t>）</w:t>
            </w:r>
          </w:p>
        </w:tc>
        <w:tc>
          <w:tcPr>
            <w:tcW w:w="1336" w:type="dxa"/>
            <w:noWrap w:val="0"/>
            <w:vAlign w:val="center"/>
          </w:tcPr>
          <w:p>
            <w:pPr>
              <w:spacing w:line="240" w:lineRule="auto"/>
              <w:ind w:firstLine="28"/>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针对本项目人员的配备方案</w:t>
            </w:r>
            <w:r>
              <w:rPr>
                <w:rFonts w:hint="eastAsia" w:ascii="宋体" w:hAnsi="宋体" w:cs="宋体"/>
                <w:color w:val="auto"/>
                <w:kern w:val="2"/>
                <w:sz w:val="24"/>
                <w:szCs w:val="24"/>
                <w:highlight w:val="none"/>
                <w:lang w:val="en-US" w:eastAsia="zh-CN" w:bidi="ar-SA"/>
              </w:rPr>
              <w:t>（5分）</w:t>
            </w:r>
          </w:p>
        </w:tc>
        <w:tc>
          <w:tcPr>
            <w:tcW w:w="6232"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1、针对本项目人员的配备方案</w:t>
            </w:r>
            <w:r>
              <w:rPr>
                <w:rFonts w:hint="eastAsia" w:ascii="宋体" w:hAnsi="宋体" w:cs="宋体"/>
                <w:color w:val="auto"/>
                <w:kern w:val="2"/>
                <w:sz w:val="24"/>
                <w:szCs w:val="24"/>
                <w:highlight w:val="none"/>
                <w:lang w:val="en-US" w:eastAsia="zh-CN" w:bidi="ar-SA"/>
              </w:rPr>
              <w:t>（5分）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对本项目拟派管理人员与作业人员配置数量和素质、自有人员和待聘续调人员的配置方案是否合理全面供应商投入人员数量及专业程度。</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lang w:val="en-US" w:eastAsia="zh-CN" w:bidi="ar"/>
              </w:rPr>
              <w:t>①</w:t>
            </w:r>
            <w:r>
              <w:rPr>
                <w:rFonts w:hint="eastAsia" w:ascii="宋体" w:hAnsi="宋体" w:eastAsia="宋体" w:cs="宋体"/>
                <w:color w:val="auto"/>
                <w:kern w:val="2"/>
                <w:sz w:val="24"/>
                <w:szCs w:val="24"/>
                <w:highlight w:val="none"/>
                <w:lang w:val="en-US" w:eastAsia="zh-CN" w:bidi="ar-SA"/>
              </w:rPr>
              <w:t>方案完善，切实可行</w:t>
            </w:r>
            <w:r>
              <w:rPr>
                <w:rFonts w:hint="eastAsia" w:ascii="宋体" w:hAnsi="宋体" w:eastAsia="宋体" w:cs="宋体"/>
                <w:color w:val="auto"/>
                <w:sz w:val="24"/>
                <w:szCs w:val="24"/>
                <w:lang w:val="en-US" w:eastAsia="zh-CN"/>
              </w:rPr>
              <w:t>计[</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eastAsia="宋体" w:cs="宋体"/>
                <w:color w:val="auto"/>
                <w:kern w:val="2"/>
                <w:sz w:val="24"/>
                <w:szCs w:val="24"/>
                <w:highlight w:val="none"/>
                <w:lang w:val="en-US" w:eastAsia="zh-CN" w:bidi="ar-SA"/>
              </w:rPr>
              <w:t>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lang w:val="en-US" w:eastAsia="zh-CN" w:bidi="ar"/>
              </w:rPr>
              <w:t>②</w:t>
            </w:r>
            <w:r>
              <w:rPr>
                <w:rFonts w:hint="eastAsia" w:ascii="宋体" w:hAnsi="宋体" w:eastAsia="宋体" w:cs="宋体"/>
                <w:color w:val="auto"/>
                <w:kern w:val="2"/>
                <w:sz w:val="24"/>
                <w:szCs w:val="24"/>
                <w:highlight w:val="none"/>
                <w:lang w:val="en-US" w:eastAsia="zh-CN" w:bidi="ar-SA"/>
              </w:rPr>
              <w:t>方案一般，基本可行</w:t>
            </w:r>
            <w:r>
              <w:rPr>
                <w:rFonts w:hint="eastAsia" w:ascii="宋体" w:hAnsi="宋体" w:eastAsia="宋体" w:cs="宋体"/>
                <w:color w:val="auto"/>
                <w:sz w:val="24"/>
                <w:szCs w:val="24"/>
                <w:lang w:val="en-US" w:eastAsia="zh-CN"/>
              </w:rPr>
              <w:t>计[</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eastAsia="宋体" w:cs="宋体"/>
                <w:color w:val="auto"/>
                <w:kern w:val="2"/>
                <w:sz w:val="24"/>
                <w:szCs w:val="24"/>
                <w:highlight w:val="none"/>
                <w:lang w:val="en-US" w:eastAsia="zh-CN" w:bidi="ar-SA"/>
              </w:rPr>
              <w:t>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无方案内容</w:t>
            </w:r>
            <w:r>
              <w:rPr>
                <w:rFonts w:hint="eastAsia" w:ascii="宋体" w:hAnsi="宋体" w:eastAsia="宋体" w:cs="宋体"/>
                <w:color w:val="auto"/>
                <w:sz w:val="24"/>
                <w:szCs w:val="24"/>
                <w:lang w:val="en-US" w:eastAsia="zh-CN"/>
              </w:rPr>
              <w:t>计</w:t>
            </w:r>
            <w:r>
              <w:rPr>
                <w:rFonts w:hint="eastAsia" w:ascii="宋体" w:hAnsi="宋体" w:eastAsia="宋体" w:cs="宋体"/>
                <w:color w:val="auto"/>
                <w:kern w:val="2"/>
                <w:sz w:val="24"/>
                <w:szCs w:val="24"/>
                <w:highlight w:val="none"/>
                <w:lang w:val="en-US" w:eastAsia="zh-CN" w:bidi="ar-S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121" w:type="dxa"/>
            <w:vMerge w:val="continue"/>
            <w:noWrap w:val="0"/>
            <w:vAlign w:val="center"/>
          </w:tcPr>
          <w:p>
            <w:pPr>
              <w:spacing w:line="240" w:lineRule="auto"/>
              <w:ind w:firstLine="28"/>
              <w:jc w:val="center"/>
              <w:rPr>
                <w:rFonts w:hint="eastAsia" w:ascii="宋体" w:hAnsi="宋体" w:eastAsia="宋体" w:cs="宋体"/>
                <w:color w:val="000000"/>
                <w:kern w:val="2"/>
                <w:sz w:val="24"/>
                <w:szCs w:val="24"/>
                <w:highlight w:val="none"/>
                <w:lang w:val="en-US" w:eastAsia="zh-CN" w:bidi="ar-SA"/>
              </w:rPr>
            </w:pPr>
          </w:p>
        </w:tc>
        <w:tc>
          <w:tcPr>
            <w:tcW w:w="1336" w:type="dxa"/>
            <w:noWrap w:val="0"/>
            <w:vAlign w:val="center"/>
          </w:tcPr>
          <w:p>
            <w:pPr>
              <w:spacing w:line="240" w:lineRule="auto"/>
              <w:ind w:firstLine="28"/>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作业配套设备工具、车辆投入情况</w:t>
            </w:r>
          </w:p>
          <w:p>
            <w:pPr>
              <w:spacing w:line="240" w:lineRule="auto"/>
              <w:ind w:firstLine="28"/>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（5分）</w:t>
            </w:r>
          </w:p>
        </w:tc>
        <w:tc>
          <w:tcPr>
            <w:tcW w:w="6232"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2、作业配套设备工具、车辆投入情况</w:t>
            </w:r>
            <w:r>
              <w:rPr>
                <w:rFonts w:hint="eastAsia" w:ascii="宋体" w:hAnsi="宋体" w:cs="宋体"/>
                <w:color w:val="auto"/>
                <w:kern w:val="2"/>
                <w:sz w:val="24"/>
                <w:szCs w:val="24"/>
                <w:highlight w:val="none"/>
                <w:lang w:val="en-US" w:eastAsia="zh-CN" w:bidi="ar-SA"/>
              </w:rPr>
              <w:t>（5分）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制定作业配套设备工具、车辆配备方案、存放车辆能力情况(根据本项目工作内容的需求，投入的设备、车辆)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lang w:val="en-US" w:eastAsia="zh-CN" w:bidi="ar"/>
              </w:rPr>
              <w:t>①</w:t>
            </w:r>
            <w:r>
              <w:rPr>
                <w:rFonts w:hint="eastAsia" w:ascii="宋体" w:hAnsi="宋体" w:eastAsia="宋体" w:cs="宋体"/>
                <w:color w:val="auto"/>
                <w:kern w:val="2"/>
                <w:sz w:val="24"/>
                <w:szCs w:val="24"/>
                <w:highlight w:val="none"/>
                <w:lang w:val="en-US" w:eastAsia="zh-CN" w:bidi="ar-SA"/>
              </w:rPr>
              <w:t>方案完善，切实可行</w:t>
            </w:r>
            <w:r>
              <w:rPr>
                <w:rFonts w:hint="eastAsia" w:ascii="宋体" w:hAnsi="宋体" w:eastAsia="宋体" w:cs="宋体"/>
                <w:color w:val="auto"/>
                <w:sz w:val="24"/>
                <w:szCs w:val="24"/>
                <w:lang w:val="en-US" w:eastAsia="zh-CN"/>
              </w:rPr>
              <w:t>计[</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eastAsia="宋体" w:cs="宋体"/>
                <w:color w:val="auto"/>
                <w:kern w:val="2"/>
                <w:sz w:val="24"/>
                <w:szCs w:val="24"/>
                <w:highlight w:val="none"/>
                <w:lang w:val="en-US" w:eastAsia="zh-CN" w:bidi="ar-SA"/>
              </w:rPr>
              <w:t>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lang w:val="en-US" w:eastAsia="zh-CN" w:bidi="ar"/>
              </w:rPr>
              <w:t>②</w:t>
            </w:r>
            <w:r>
              <w:rPr>
                <w:rFonts w:hint="eastAsia" w:ascii="宋体" w:hAnsi="宋体" w:eastAsia="宋体" w:cs="宋体"/>
                <w:color w:val="auto"/>
                <w:kern w:val="2"/>
                <w:sz w:val="24"/>
                <w:szCs w:val="24"/>
                <w:highlight w:val="none"/>
                <w:lang w:val="en-US" w:eastAsia="zh-CN" w:bidi="ar-SA"/>
              </w:rPr>
              <w:t>方案一般，基本可行</w:t>
            </w:r>
            <w:r>
              <w:rPr>
                <w:rFonts w:hint="eastAsia" w:ascii="宋体" w:hAnsi="宋体" w:eastAsia="宋体" w:cs="宋体"/>
                <w:color w:val="auto"/>
                <w:sz w:val="24"/>
                <w:szCs w:val="24"/>
                <w:lang w:val="en-US" w:eastAsia="zh-CN"/>
              </w:rPr>
              <w:t>计[</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eastAsia="宋体" w:cs="宋体"/>
                <w:color w:val="auto"/>
                <w:kern w:val="2"/>
                <w:sz w:val="24"/>
                <w:szCs w:val="24"/>
                <w:highlight w:val="none"/>
                <w:lang w:val="en-US" w:eastAsia="zh-CN" w:bidi="ar-SA"/>
              </w:rPr>
              <w:t>分；</w:t>
            </w:r>
          </w:p>
          <w:p>
            <w:pPr>
              <w:pStyle w:val="24"/>
              <w:ind w:left="0" w:leftChars="0" w:firstLine="0" w:firstLineChars="0"/>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无方案内容</w:t>
            </w:r>
            <w:r>
              <w:rPr>
                <w:rFonts w:hint="eastAsia" w:ascii="宋体" w:hAnsi="宋体" w:eastAsia="宋体" w:cs="宋体"/>
                <w:color w:val="auto"/>
                <w:sz w:val="24"/>
                <w:szCs w:val="24"/>
                <w:lang w:val="en-US" w:eastAsia="zh-CN"/>
              </w:rPr>
              <w:t>计</w:t>
            </w:r>
            <w:r>
              <w:rPr>
                <w:rFonts w:hint="eastAsia" w:ascii="宋体" w:hAnsi="宋体" w:eastAsia="宋体" w:cs="宋体"/>
                <w:color w:val="auto"/>
                <w:kern w:val="2"/>
                <w:sz w:val="24"/>
                <w:szCs w:val="24"/>
                <w:highlight w:val="none"/>
                <w:lang w:val="en-US" w:eastAsia="zh-CN" w:bidi="ar-S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121" w:type="dxa"/>
            <w:vMerge w:val="restart"/>
            <w:noWrap w:val="0"/>
            <w:vAlign w:val="center"/>
          </w:tcPr>
          <w:p>
            <w:pPr>
              <w:spacing w:line="240" w:lineRule="auto"/>
              <w:ind w:firstLine="28"/>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承诺、应急预案及迎检方案</w:t>
            </w:r>
          </w:p>
          <w:p>
            <w:pPr>
              <w:spacing w:line="240" w:lineRule="auto"/>
              <w:ind w:firstLine="28"/>
              <w:jc w:val="center"/>
              <w:rPr>
                <w:rFonts w:hint="eastAsia" w:ascii="宋体" w:hAnsi="宋体" w:eastAsia="宋体" w:cs="宋体"/>
                <w:color w:val="000000"/>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10分</w:t>
            </w:r>
            <w:r>
              <w:rPr>
                <w:rFonts w:hint="eastAsia" w:ascii="宋体" w:hAnsi="宋体" w:cs="宋体"/>
                <w:sz w:val="24"/>
                <w:szCs w:val="24"/>
                <w:highlight w:val="none"/>
                <w:lang w:eastAsia="zh-CN"/>
              </w:rPr>
              <w:t>）</w:t>
            </w:r>
          </w:p>
        </w:tc>
        <w:tc>
          <w:tcPr>
            <w:tcW w:w="1336" w:type="dxa"/>
            <w:noWrap w:val="0"/>
            <w:vAlign w:val="center"/>
          </w:tcPr>
          <w:p>
            <w:pPr>
              <w:spacing w:line="240" w:lineRule="auto"/>
              <w:ind w:firstLine="28"/>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供应商承诺</w:t>
            </w:r>
          </w:p>
          <w:p>
            <w:pPr>
              <w:spacing w:line="240" w:lineRule="auto"/>
              <w:ind w:firstLine="28"/>
              <w:jc w:val="center"/>
              <w:rPr>
                <w:rFonts w:hint="eastAsia" w:ascii="宋体" w:hAnsi="宋体" w:cs="宋体"/>
                <w:color w:val="auto"/>
                <w:sz w:val="24"/>
                <w:szCs w:val="24"/>
                <w:highlight w:val="none"/>
                <w:lang w:eastAsia="zh-CN"/>
              </w:rPr>
            </w:pPr>
            <w:r>
              <w:rPr>
                <w:rFonts w:hint="eastAsia" w:ascii="宋体" w:hAnsi="宋体" w:cs="宋体"/>
                <w:color w:val="auto"/>
                <w:kern w:val="2"/>
                <w:sz w:val="24"/>
                <w:szCs w:val="24"/>
                <w:highlight w:val="none"/>
                <w:lang w:val="en-US" w:eastAsia="zh-CN" w:bidi="ar-SA"/>
              </w:rPr>
              <w:t>（5分）</w:t>
            </w:r>
          </w:p>
        </w:tc>
        <w:tc>
          <w:tcPr>
            <w:tcW w:w="6232"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color w:val="auto"/>
                <w:lang w:val="en-US" w:eastAsia="zh-CN"/>
              </w:rPr>
            </w:pPr>
            <w:r>
              <w:rPr>
                <w:rFonts w:hint="eastAsia" w:ascii="宋体" w:hAnsi="宋体" w:eastAsia="宋体" w:cs="宋体"/>
                <w:color w:val="auto"/>
                <w:kern w:val="2"/>
                <w:sz w:val="24"/>
                <w:szCs w:val="24"/>
                <w:highlight w:val="none"/>
                <w:lang w:val="en-US" w:eastAsia="zh-CN" w:bidi="ar-SA"/>
              </w:rPr>
              <w:t>1、供应商根据招标文件要求和采购需求，对本项目做出的承诺</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lang w:val="en-US" w:eastAsia="zh-CN" w:bidi="ar"/>
              </w:rPr>
              <w:t>①</w:t>
            </w:r>
            <w:r>
              <w:rPr>
                <w:rFonts w:hint="eastAsia" w:ascii="宋体" w:hAnsi="宋体" w:cs="宋体"/>
                <w:color w:val="auto"/>
                <w:kern w:val="2"/>
                <w:sz w:val="24"/>
                <w:szCs w:val="24"/>
                <w:highlight w:val="none"/>
                <w:lang w:val="en-US" w:eastAsia="zh-CN" w:bidi="ar-SA"/>
              </w:rPr>
              <w:t>承诺</w:t>
            </w:r>
            <w:r>
              <w:rPr>
                <w:rFonts w:hint="eastAsia" w:ascii="宋体" w:hAnsi="宋体" w:eastAsia="宋体" w:cs="宋体"/>
                <w:color w:val="auto"/>
                <w:kern w:val="2"/>
                <w:sz w:val="24"/>
                <w:szCs w:val="24"/>
                <w:highlight w:val="none"/>
                <w:lang w:val="en-US" w:eastAsia="zh-CN" w:bidi="ar-SA"/>
              </w:rPr>
              <w:t>完善，切实可行</w:t>
            </w:r>
            <w:r>
              <w:rPr>
                <w:rFonts w:hint="eastAsia" w:ascii="宋体" w:hAnsi="宋体" w:eastAsia="宋体" w:cs="宋体"/>
                <w:color w:val="auto"/>
                <w:sz w:val="24"/>
                <w:szCs w:val="24"/>
                <w:lang w:val="en-US" w:eastAsia="zh-CN"/>
              </w:rPr>
              <w:t>计[</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eastAsia="宋体" w:cs="宋体"/>
                <w:color w:val="auto"/>
                <w:kern w:val="2"/>
                <w:sz w:val="24"/>
                <w:szCs w:val="24"/>
                <w:highlight w:val="none"/>
                <w:lang w:val="en-US" w:eastAsia="zh-CN" w:bidi="ar-SA"/>
              </w:rPr>
              <w:t>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lang w:val="en-US" w:eastAsia="zh-CN" w:bidi="ar"/>
              </w:rPr>
              <w:t>②</w:t>
            </w:r>
            <w:r>
              <w:rPr>
                <w:rFonts w:hint="eastAsia" w:ascii="宋体" w:hAnsi="宋体" w:cs="宋体"/>
                <w:color w:val="auto"/>
                <w:kern w:val="2"/>
                <w:sz w:val="24"/>
                <w:szCs w:val="24"/>
                <w:highlight w:val="none"/>
                <w:lang w:val="en-US" w:eastAsia="zh-CN" w:bidi="ar-SA"/>
              </w:rPr>
              <w:t>承诺</w:t>
            </w:r>
            <w:r>
              <w:rPr>
                <w:rFonts w:hint="eastAsia" w:ascii="宋体" w:hAnsi="宋体" w:eastAsia="宋体" w:cs="宋体"/>
                <w:color w:val="auto"/>
                <w:kern w:val="2"/>
                <w:sz w:val="24"/>
                <w:szCs w:val="24"/>
                <w:highlight w:val="none"/>
                <w:lang w:val="en-US" w:eastAsia="zh-CN" w:bidi="ar-SA"/>
              </w:rPr>
              <w:t>一般，基本可行</w:t>
            </w:r>
            <w:r>
              <w:rPr>
                <w:rFonts w:hint="eastAsia" w:ascii="宋体" w:hAnsi="宋体" w:eastAsia="宋体" w:cs="宋体"/>
                <w:color w:val="auto"/>
                <w:sz w:val="24"/>
                <w:szCs w:val="24"/>
                <w:lang w:val="en-US" w:eastAsia="zh-CN"/>
              </w:rPr>
              <w:t>计[</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eastAsia="宋体" w:cs="宋体"/>
                <w:color w:val="auto"/>
                <w:kern w:val="2"/>
                <w:sz w:val="24"/>
                <w:szCs w:val="24"/>
                <w:highlight w:val="none"/>
                <w:lang w:val="en-US" w:eastAsia="zh-CN" w:bidi="ar-SA"/>
              </w:rPr>
              <w:t>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无方案内容</w:t>
            </w:r>
            <w:r>
              <w:rPr>
                <w:rFonts w:hint="eastAsia" w:ascii="宋体" w:hAnsi="宋体" w:eastAsia="宋体" w:cs="宋体"/>
                <w:color w:val="auto"/>
                <w:sz w:val="24"/>
                <w:szCs w:val="24"/>
                <w:lang w:val="en-US" w:eastAsia="zh-CN"/>
              </w:rPr>
              <w:t>计</w:t>
            </w:r>
            <w:r>
              <w:rPr>
                <w:rFonts w:hint="eastAsia" w:ascii="宋体" w:hAnsi="宋体" w:eastAsia="宋体" w:cs="宋体"/>
                <w:color w:val="auto"/>
                <w:kern w:val="2"/>
                <w:sz w:val="24"/>
                <w:szCs w:val="24"/>
                <w:highlight w:val="none"/>
                <w:lang w:val="en-US" w:eastAsia="zh-CN" w:bidi="ar-S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121" w:type="dxa"/>
            <w:vMerge w:val="continue"/>
            <w:noWrap w:val="0"/>
            <w:vAlign w:val="center"/>
          </w:tcPr>
          <w:p>
            <w:pPr>
              <w:spacing w:line="240" w:lineRule="auto"/>
              <w:ind w:firstLine="28"/>
              <w:jc w:val="center"/>
              <w:rPr>
                <w:rFonts w:hint="eastAsia" w:ascii="宋体" w:hAnsi="宋体" w:cs="宋体"/>
                <w:sz w:val="24"/>
                <w:szCs w:val="24"/>
                <w:highlight w:val="none"/>
                <w:lang w:eastAsia="zh-CN"/>
              </w:rPr>
            </w:pPr>
          </w:p>
        </w:tc>
        <w:tc>
          <w:tcPr>
            <w:tcW w:w="1336"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突发事件应急保障措施及迎检方案（5分）</w:t>
            </w:r>
          </w:p>
        </w:tc>
        <w:tc>
          <w:tcPr>
            <w:tcW w:w="6232"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2、供应商针对突发事件应急保障措施及迎检方案(包含恶劣天气影响、自然灾害、重大节假日等特殊情况制定应急处置方案等)</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①方案完善，切实可行计[3-5]分；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②方案一般，基本可行计[0-3）分；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无方案内容计0分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2457" w:type="dxa"/>
            <w:gridSpan w:val="2"/>
            <w:noWrap w:val="0"/>
            <w:vAlign w:val="center"/>
          </w:tcPr>
          <w:p>
            <w:pPr>
              <w:autoSpaceDE w:val="0"/>
              <w:autoSpaceDN w:val="0"/>
              <w:adjustRightInd w:val="0"/>
              <w:spacing w:line="240" w:lineRule="auto"/>
              <w:ind w:firstLine="240" w:firstLineChars="1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合理化建议</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5分</w:t>
            </w:r>
            <w:r>
              <w:rPr>
                <w:rFonts w:hint="eastAsia" w:ascii="宋体" w:hAnsi="宋体" w:cs="宋体"/>
                <w:sz w:val="24"/>
                <w:szCs w:val="24"/>
                <w:highlight w:val="none"/>
                <w:lang w:eastAsia="zh-CN"/>
              </w:rPr>
              <w:t>）</w:t>
            </w:r>
          </w:p>
        </w:tc>
        <w:tc>
          <w:tcPr>
            <w:tcW w:w="6232"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针对本项目提出有利于采购人的合理化建议。</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分）</w:t>
            </w:r>
            <w:r>
              <w:rPr>
                <w:rFonts w:hint="eastAsia" w:ascii="宋体" w:hAnsi="宋体" w:eastAsia="宋体" w:cs="宋体"/>
                <w:kern w:val="2"/>
                <w:sz w:val="24"/>
                <w:szCs w:val="24"/>
                <w:highlight w:val="none"/>
                <w:lang w:val="en-US" w:eastAsia="zh-CN" w:bidi="ar-SA"/>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lang w:val="en-US" w:eastAsia="zh-CN" w:bidi="ar"/>
              </w:rPr>
              <w:t>①</w:t>
            </w:r>
            <w:r>
              <w:rPr>
                <w:rFonts w:hint="eastAsia" w:ascii="宋体" w:hAnsi="宋体" w:eastAsia="宋体" w:cs="宋体"/>
                <w:kern w:val="2"/>
                <w:sz w:val="24"/>
                <w:szCs w:val="24"/>
                <w:highlight w:val="none"/>
                <w:lang w:val="en-US" w:eastAsia="zh-CN" w:bidi="ar-SA"/>
              </w:rPr>
              <w:t>方案完善，切实可行</w:t>
            </w:r>
            <w:r>
              <w:rPr>
                <w:rFonts w:hint="eastAsia" w:ascii="宋体" w:hAnsi="宋体" w:eastAsia="宋体" w:cs="宋体"/>
                <w:sz w:val="24"/>
                <w:szCs w:val="24"/>
                <w:lang w:val="en-US" w:eastAsia="zh-CN"/>
              </w:rPr>
              <w:t>计[</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eastAsia="宋体" w:cs="宋体"/>
                <w:kern w:val="2"/>
                <w:sz w:val="24"/>
                <w:szCs w:val="24"/>
                <w:highlight w:val="none"/>
                <w:lang w:val="en-US" w:eastAsia="zh-CN" w:bidi="ar-SA"/>
              </w:rPr>
              <w:t>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lang w:val="en-US" w:eastAsia="zh-CN" w:bidi="ar"/>
              </w:rPr>
              <w:t>②</w:t>
            </w:r>
            <w:r>
              <w:rPr>
                <w:rFonts w:hint="eastAsia" w:ascii="宋体" w:hAnsi="宋体" w:eastAsia="宋体" w:cs="宋体"/>
                <w:kern w:val="2"/>
                <w:sz w:val="24"/>
                <w:szCs w:val="24"/>
                <w:highlight w:val="none"/>
                <w:lang w:val="en-US" w:eastAsia="zh-CN" w:bidi="ar-SA"/>
              </w:rPr>
              <w:t>方案一般，基本可行</w:t>
            </w:r>
            <w:r>
              <w:rPr>
                <w:rFonts w:hint="eastAsia" w:ascii="宋体" w:hAnsi="宋体" w:eastAsia="宋体" w:cs="宋体"/>
                <w:sz w:val="24"/>
                <w:szCs w:val="24"/>
                <w:lang w:val="en-US" w:eastAsia="zh-CN"/>
              </w:rPr>
              <w:t>计[</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kern w:val="2"/>
                <w:sz w:val="24"/>
                <w:szCs w:val="24"/>
                <w:highlight w:val="none"/>
                <w:lang w:val="en-US" w:eastAsia="zh-CN" w:bidi="ar-SA"/>
              </w:rPr>
              <w:t>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kern w:val="2"/>
                <w:sz w:val="24"/>
                <w:szCs w:val="24"/>
                <w:highlight w:val="none"/>
                <w:lang w:val="en-US" w:eastAsia="zh-CN" w:bidi="ar-SA"/>
              </w:rPr>
              <w:t>无方案内容</w:t>
            </w:r>
            <w:r>
              <w:rPr>
                <w:rFonts w:hint="eastAsia" w:ascii="宋体" w:hAnsi="宋体" w:eastAsia="宋体" w:cs="宋体"/>
                <w:sz w:val="24"/>
                <w:szCs w:val="24"/>
                <w:lang w:val="en-US" w:eastAsia="zh-CN"/>
              </w:rPr>
              <w:t>计</w:t>
            </w:r>
            <w:r>
              <w:rPr>
                <w:rFonts w:hint="eastAsia" w:ascii="宋体" w:hAnsi="宋体" w:eastAsia="宋体" w:cs="宋体"/>
                <w:kern w:val="2"/>
                <w:sz w:val="24"/>
                <w:szCs w:val="24"/>
                <w:highlight w:val="none"/>
                <w:lang w:val="en-US" w:eastAsia="zh-CN" w:bidi="ar-S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7" w:type="dxa"/>
            <w:gridSpan w:val="2"/>
            <w:noWrap w:val="0"/>
            <w:vAlign w:val="center"/>
          </w:tcPr>
          <w:p>
            <w:pPr>
              <w:autoSpaceDE w:val="0"/>
              <w:autoSpaceDN w:val="0"/>
              <w:adjustRightInd w:val="0"/>
              <w:spacing w:line="240" w:lineRule="auto"/>
              <w:ind w:firstLine="240" w:firstLineChars="1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业绩</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5分</w:t>
            </w:r>
            <w:r>
              <w:rPr>
                <w:rFonts w:hint="eastAsia" w:ascii="宋体" w:hAnsi="宋体" w:cs="宋体"/>
                <w:sz w:val="24"/>
                <w:szCs w:val="24"/>
                <w:highlight w:val="none"/>
                <w:lang w:eastAsia="zh-CN"/>
              </w:rPr>
              <w:t>）</w:t>
            </w:r>
          </w:p>
        </w:tc>
        <w:tc>
          <w:tcPr>
            <w:tcW w:w="6232"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供应商近年类似项目业绩（以合同或中标通知书形式提供,合同签订时间或中标(成交)通知书发放时间在20</w:t>
            </w:r>
            <w:r>
              <w:rPr>
                <w:rFonts w:hint="eastAsia" w:ascii="宋体" w:hAnsi="宋体" w:cs="宋体"/>
                <w:color w:val="000000"/>
                <w:kern w:val="2"/>
                <w:sz w:val="24"/>
                <w:szCs w:val="24"/>
                <w:highlight w:val="none"/>
                <w:lang w:val="en-US" w:eastAsia="zh-CN" w:bidi="ar-SA"/>
              </w:rPr>
              <w:t>21</w:t>
            </w:r>
            <w:r>
              <w:rPr>
                <w:rFonts w:hint="eastAsia" w:ascii="宋体" w:hAnsi="宋体" w:eastAsia="宋体" w:cs="宋体"/>
                <w:color w:val="000000"/>
                <w:kern w:val="2"/>
                <w:sz w:val="24"/>
                <w:szCs w:val="24"/>
                <w:highlight w:val="none"/>
                <w:lang w:val="en-US" w:eastAsia="zh-CN" w:bidi="ar-SA"/>
              </w:rPr>
              <w:t>年</w:t>
            </w:r>
            <w:r>
              <w:rPr>
                <w:rFonts w:hint="eastAsia" w:ascii="宋体" w:hAnsi="宋体" w:cs="宋体"/>
                <w:color w:val="000000"/>
                <w:kern w:val="2"/>
                <w:sz w:val="24"/>
                <w:szCs w:val="24"/>
                <w:highlight w:val="none"/>
                <w:lang w:val="en-US" w:eastAsia="zh-CN" w:bidi="ar-SA"/>
              </w:rPr>
              <w:t>1</w:t>
            </w:r>
            <w:r>
              <w:rPr>
                <w:rFonts w:hint="eastAsia" w:ascii="宋体" w:hAnsi="宋体" w:eastAsia="宋体" w:cs="宋体"/>
                <w:color w:val="000000"/>
                <w:kern w:val="2"/>
                <w:sz w:val="24"/>
                <w:szCs w:val="24"/>
                <w:highlight w:val="none"/>
                <w:lang w:val="en-US" w:eastAsia="zh-CN" w:bidi="ar-SA"/>
              </w:rPr>
              <w:t>月1日以后），每具有一个类似项目业绩得1分，最高得5分。（提供合同或中标通知书加盖单位公章的复印件）</w:t>
            </w:r>
          </w:p>
        </w:tc>
      </w:tr>
    </w:tbl>
    <w:p>
      <w:pPr>
        <w:pStyle w:val="17"/>
        <w:rPr>
          <w:rFonts w:hint="eastAsia"/>
        </w:rPr>
      </w:pPr>
    </w:p>
    <w:p>
      <w:pPr>
        <w:pageBreakBefore w:val="0"/>
        <w:kinsoku/>
        <w:overflowPunct/>
        <w:topLinePunct w:val="0"/>
        <w:bidi w:val="0"/>
        <w:spacing w:line="360" w:lineRule="auto"/>
        <w:rPr>
          <w:rFonts w:hint="eastAsia" w:ascii="宋体" w:hAnsi="宋体" w:cs="宋体"/>
          <w:sz w:val="24"/>
          <w:szCs w:val="24"/>
        </w:rPr>
      </w:pPr>
      <w:r>
        <w:rPr>
          <w:rFonts w:hint="eastAsia" w:ascii="宋体" w:hAnsi="宋体" w:cs="宋体"/>
          <w:sz w:val="24"/>
          <w:szCs w:val="24"/>
        </w:rPr>
        <w:t>注：1）评委打分超过得分界限或未按本方法赋分时，该评委的打分视为无效分。</w:t>
      </w:r>
    </w:p>
    <w:p>
      <w:pPr>
        <w:pageBreakBefore w:val="0"/>
        <w:numPr>
          <w:ilvl w:val="0"/>
          <w:numId w:val="6"/>
        </w:numPr>
        <w:kinsoku/>
        <w:overflowPunct/>
        <w:topLinePunct w:val="0"/>
        <w:bidi w:val="0"/>
        <w:spacing w:line="360" w:lineRule="auto"/>
        <w:ind w:firstLine="480" w:firstLineChars="200"/>
        <w:outlineLvl w:val="1"/>
        <w:rPr>
          <w:rFonts w:hint="eastAsia" w:ascii="宋体" w:hAnsi="宋体" w:cs="宋体"/>
          <w:sz w:val="24"/>
          <w:szCs w:val="24"/>
        </w:rPr>
      </w:pPr>
      <w:r>
        <w:rPr>
          <w:rFonts w:hint="eastAsia" w:ascii="宋体" w:hAnsi="宋体" w:cs="宋体"/>
          <w:sz w:val="24"/>
          <w:szCs w:val="24"/>
        </w:rPr>
        <w:t xml:space="preserve">各种计算数字均保留两位小数，第三位“四舍五入”。 </w:t>
      </w:r>
    </w:p>
    <w:p>
      <w:pPr>
        <w:pageBreakBefore w:val="0"/>
        <w:kinsoku/>
        <w:overflowPunct/>
        <w:topLinePunct w:val="0"/>
        <w:bidi w:val="0"/>
        <w:spacing w:line="360" w:lineRule="auto"/>
        <w:ind w:firstLine="480" w:firstLineChars="200"/>
        <w:outlineLvl w:val="1"/>
        <w:rPr>
          <w:rFonts w:hint="eastAsia" w:ascii="宋体" w:hAnsi="宋体" w:cs="宋体"/>
          <w:sz w:val="24"/>
          <w:szCs w:val="24"/>
        </w:rPr>
      </w:pPr>
      <w:r>
        <w:rPr>
          <w:rFonts w:hint="eastAsia" w:ascii="宋体" w:hAnsi="宋体" w:cs="宋体"/>
          <w:sz w:val="24"/>
          <w:szCs w:val="24"/>
        </w:rPr>
        <w:t>3）特殊情况处理</w:t>
      </w:r>
    </w:p>
    <w:p>
      <w:pPr>
        <w:pageBreakBefore w:val="0"/>
        <w:kinsoku/>
        <w:overflowPunct/>
        <w:topLinePunct w:val="0"/>
        <w:bidi w:val="0"/>
        <w:spacing w:line="360" w:lineRule="auto"/>
        <w:ind w:firstLine="480" w:firstLineChars="200"/>
        <w:rPr>
          <w:rFonts w:hint="eastAsia" w:ascii="宋体" w:hAnsi="宋体" w:cs="宋体"/>
          <w:sz w:val="24"/>
          <w:szCs w:val="24"/>
        </w:rPr>
      </w:pPr>
      <w:r>
        <w:rPr>
          <w:rFonts w:hint="eastAsia" w:ascii="宋体" w:hAnsi="宋体" w:cs="宋体"/>
          <w:sz w:val="24"/>
          <w:szCs w:val="24"/>
        </w:rPr>
        <w:t>a、若出现综合得分并列时，投标报价得分高者为第一中标候选人，若投标报价的得分相同，技术</w:t>
      </w:r>
      <w:r>
        <w:rPr>
          <w:rFonts w:hint="eastAsia" w:ascii="宋体" w:hAnsi="宋体" w:cs="宋体"/>
          <w:sz w:val="24"/>
          <w:szCs w:val="24"/>
          <w:lang w:eastAsia="zh-CN"/>
        </w:rPr>
        <w:t>部分评审</w:t>
      </w:r>
      <w:r>
        <w:rPr>
          <w:rFonts w:hint="eastAsia" w:ascii="宋体" w:hAnsi="宋体" w:cs="宋体"/>
          <w:sz w:val="24"/>
          <w:szCs w:val="24"/>
        </w:rPr>
        <w:t>得分高者为第一中标候选人，若上述两项得分相同，则由全体评标委员会成员无记名投票，得票高者为第一中标候选人。</w:t>
      </w:r>
    </w:p>
    <w:p>
      <w:pPr>
        <w:pageBreakBefore w:val="0"/>
        <w:kinsoku/>
        <w:overflowPunct/>
        <w:topLinePunct w:val="0"/>
        <w:bidi w:val="0"/>
        <w:spacing w:line="360" w:lineRule="auto"/>
        <w:ind w:firstLine="480" w:firstLineChars="200"/>
        <w:rPr>
          <w:rFonts w:hint="eastAsia" w:ascii="宋体" w:hAnsi="宋体" w:cs="宋体"/>
          <w:sz w:val="24"/>
          <w:szCs w:val="24"/>
        </w:rPr>
      </w:pPr>
      <w:r>
        <w:rPr>
          <w:rFonts w:hint="eastAsia" w:ascii="宋体" w:hAnsi="宋体" w:cs="宋体"/>
          <w:sz w:val="24"/>
          <w:szCs w:val="24"/>
        </w:rPr>
        <w:t>b、当</w:t>
      </w:r>
      <w:r>
        <w:rPr>
          <w:rFonts w:hint="eastAsia" w:ascii="宋体" w:hAnsi="宋体" w:cs="宋体"/>
          <w:sz w:val="24"/>
          <w:szCs w:val="24"/>
          <w:lang w:eastAsia="zh-CN"/>
        </w:rPr>
        <w:t>供应商</w:t>
      </w:r>
      <w:r>
        <w:rPr>
          <w:rFonts w:hint="eastAsia" w:ascii="宋体" w:hAnsi="宋体" w:cs="宋体"/>
          <w:sz w:val="24"/>
          <w:szCs w:val="24"/>
        </w:rPr>
        <w:t>某评分项出现未报、漏报或零报价时，该分项得零分。</w:t>
      </w:r>
    </w:p>
    <w:p>
      <w:pPr>
        <w:pageBreakBefore w:val="0"/>
        <w:kinsoku/>
        <w:overflowPunct/>
        <w:topLinePunct w:val="0"/>
        <w:bidi w:val="0"/>
        <w:spacing w:line="360" w:lineRule="auto"/>
        <w:ind w:firstLine="480" w:firstLineChars="200"/>
        <w:rPr>
          <w:rFonts w:hint="eastAsia"/>
        </w:rPr>
      </w:pPr>
      <w:r>
        <w:rPr>
          <w:rFonts w:hint="eastAsia" w:ascii="宋体" w:hAnsi="宋体" w:cs="宋体"/>
          <w:sz w:val="24"/>
          <w:szCs w:val="24"/>
        </w:rPr>
        <w:t>c、评标过程中，若出现本评标方法以外的特殊情况时，将暂停评标，待评委商榷后再进行复会。</w:t>
      </w:r>
    </w:p>
    <w:p>
      <w:pPr>
        <w:spacing w:line="360" w:lineRule="auto"/>
        <w:rPr>
          <w:rFonts w:ascii="宋体" w:hAnsi="宋体" w:cs="宋体"/>
          <w:b/>
          <w:sz w:val="24"/>
          <w:szCs w:val="24"/>
        </w:rPr>
      </w:pPr>
      <w:bookmarkStart w:id="23" w:name="_Toc10642_WPSOffice_Level2"/>
      <w:bookmarkStart w:id="24" w:name="_Toc524712817"/>
      <w:r>
        <w:rPr>
          <w:rFonts w:hint="eastAsia" w:ascii="宋体" w:hAnsi="宋体" w:cs="宋体"/>
          <w:b/>
          <w:sz w:val="24"/>
          <w:szCs w:val="24"/>
        </w:rPr>
        <w:t>五、定标</w:t>
      </w:r>
      <w:bookmarkEnd w:id="23"/>
    </w:p>
    <w:p>
      <w:pPr>
        <w:spacing w:line="360" w:lineRule="auto"/>
        <w:ind w:firstLine="480" w:firstLineChars="200"/>
        <w:rPr>
          <w:rFonts w:ascii="宋体" w:hAnsi="宋体" w:cs="宋体"/>
          <w:sz w:val="24"/>
          <w:szCs w:val="24"/>
        </w:rPr>
      </w:pPr>
      <w:r>
        <w:rPr>
          <w:rFonts w:hint="eastAsia" w:ascii="宋体" w:hAnsi="宋体" w:cs="宋体"/>
          <w:sz w:val="24"/>
          <w:szCs w:val="24"/>
        </w:rPr>
        <w:t>（1）招标人在收到评标结果报告后5个工作日内，按照评标结果报告中推荐的中标候选人顺序确定中标投标人，同时书面复函招标代理机构；</w:t>
      </w:r>
    </w:p>
    <w:p>
      <w:pPr>
        <w:spacing w:line="360" w:lineRule="auto"/>
        <w:ind w:firstLine="480" w:firstLineChars="200"/>
        <w:jc w:val="left"/>
        <w:rPr>
          <w:rFonts w:ascii="宋体" w:hAnsi="宋体" w:cs="宋体"/>
          <w:b/>
          <w:sz w:val="36"/>
          <w:szCs w:val="36"/>
        </w:rPr>
      </w:pPr>
      <w:r>
        <w:rPr>
          <w:rFonts w:hint="eastAsia" w:ascii="宋体" w:hAnsi="宋体" w:cs="宋体"/>
          <w:sz w:val="24"/>
          <w:szCs w:val="24"/>
        </w:rPr>
        <w:t>（2）招标代理机构收到招标人“</w:t>
      </w:r>
      <w:r>
        <w:rPr>
          <w:rFonts w:hint="eastAsia" w:ascii="宋体" w:hAnsi="宋体" w:cs="宋体"/>
          <w:sz w:val="24"/>
          <w:szCs w:val="24"/>
          <w:lang w:eastAsia="zh-CN"/>
        </w:rPr>
        <w:t>中标</w:t>
      </w:r>
      <w:r>
        <w:rPr>
          <w:rFonts w:hint="eastAsia" w:ascii="宋体" w:hAnsi="宋体" w:cs="宋体"/>
          <w:sz w:val="24"/>
          <w:szCs w:val="24"/>
        </w:rPr>
        <w:t>复函”后2个工作日内，在财政部门指定的政府采购信息媒体上发布公告，同时向中标人发出《中标通知书》。</w:t>
      </w:r>
      <w:bookmarkEnd w:id="24"/>
      <w:bookmarkStart w:id="25" w:name="_Toc4289_WPSOffice_Level1"/>
      <w:bookmarkStart w:id="26" w:name="_Toc25731_WPSOffice_Level1"/>
      <w:bookmarkStart w:id="27" w:name="_Toc351203494"/>
      <w:bookmarkStart w:id="28" w:name="_Toc25992_WPSOffice_Level1"/>
      <w:bookmarkStart w:id="29" w:name="_Toc310_WPSOffice_Level1"/>
      <w:bookmarkStart w:id="30" w:name="_Toc3647_WPSOffice_Level1"/>
    </w:p>
    <w:p>
      <w:pPr>
        <w:rPr>
          <w:rFonts w:hint="eastAsia" w:ascii="宋体" w:hAnsi="宋体" w:cs="宋体"/>
          <w:b/>
          <w:sz w:val="36"/>
          <w:szCs w:val="36"/>
        </w:rPr>
      </w:pPr>
      <w:bookmarkStart w:id="31" w:name="_Toc1430"/>
      <w:r>
        <w:rPr>
          <w:rFonts w:hint="eastAsia" w:ascii="宋体" w:hAnsi="宋体" w:cs="宋体"/>
          <w:b/>
          <w:sz w:val="36"/>
          <w:szCs w:val="36"/>
        </w:rPr>
        <w:br w:type="page"/>
      </w:r>
    </w:p>
    <w:p>
      <w:pPr>
        <w:jc w:val="center"/>
        <w:outlineLvl w:val="0"/>
        <w:rPr>
          <w:rFonts w:ascii="宋体" w:hAnsi="宋体" w:cs="宋体"/>
          <w:b/>
          <w:sz w:val="44"/>
          <w:szCs w:val="44"/>
        </w:rPr>
      </w:pPr>
      <w:r>
        <w:rPr>
          <w:rFonts w:hint="eastAsia" w:ascii="宋体" w:hAnsi="宋体" w:cs="宋体"/>
          <w:b/>
          <w:sz w:val="36"/>
          <w:szCs w:val="36"/>
        </w:rPr>
        <w:t xml:space="preserve">第四章 </w:t>
      </w:r>
      <w:bookmarkEnd w:id="25"/>
      <w:r>
        <w:rPr>
          <w:rFonts w:hint="eastAsia" w:ascii="宋体" w:hAnsi="宋体" w:cs="宋体"/>
          <w:b/>
          <w:sz w:val="36"/>
          <w:szCs w:val="36"/>
        </w:rPr>
        <w:t>合同主要条款</w:t>
      </w:r>
      <w:bookmarkEnd w:id="31"/>
    </w:p>
    <w:bookmarkEnd w:id="13"/>
    <w:bookmarkEnd w:id="26"/>
    <w:bookmarkEnd w:id="27"/>
    <w:bookmarkEnd w:id="28"/>
    <w:bookmarkEnd w:id="29"/>
    <w:bookmarkEnd w:id="30"/>
    <w:p>
      <w:pPr>
        <w:jc w:val="center"/>
        <w:outlineLvl w:val="0"/>
        <w:rPr>
          <w:rFonts w:eastAsia="华文中宋"/>
          <w:b/>
          <w:sz w:val="72"/>
          <w:szCs w:val="52"/>
        </w:rPr>
      </w:pPr>
      <w:bookmarkStart w:id="32" w:name="_Toc29085_WPSOffice_Level1"/>
    </w:p>
    <w:p>
      <w:pPr>
        <w:jc w:val="center"/>
        <w:outlineLvl w:val="0"/>
        <w:rPr>
          <w:rFonts w:eastAsia="华文中宋"/>
          <w:b/>
          <w:sz w:val="72"/>
          <w:szCs w:val="52"/>
        </w:rPr>
      </w:pPr>
    </w:p>
    <w:p>
      <w:pPr>
        <w:jc w:val="center"/>
        <w:outlineLvl w:val="0"/>
        <w:rPr>
          <w:rFonts w:eastAsia="华文中宋"/>
          <w:b/>
          <w:sz w:val="52"/>
          <w:szCs w:val="52"/>
        </w:rPr>
      </w:pPr>
      <w:bookmarkStart w:id="33" w:name="_Toc10330"/>
      <w:r>
        <w:rPr>
          <w:rFonts w:eastAsia="华文中宋"/>
          <w:b/>
          <w:sz w:val="52"/>
          <w:szCs w:val="52"/>
        </w:rPr>
        <w:t>（示范文本）</w:t>
      </w:r>
      <w:bookmarkEnd w:id="32"/>
      <w:bookmarkEnd w:id="33"/>
    </w:p>
    <w:p>
      <w:pPr>
        <w:jc w:val="center"/>
        <w:rPr>
          <w:rFonts w:eastAsia="华文中宋"/>
          <w:b/>
          <w:sz w:val="52"/>
          <w:szCs w:val="52"/>
        </w:rPr>
      </w:pPr>
    </w:p>
    <w:p>
      <w:pPr>
        <w:jc w:val="center"/>
        <w:rPr>
          <w:rFonts w:eastAsia="黑体"/>
          <w:b/>
          <w:sz w:val="72"/>
          <w:szCs w:val="72"/>
        </w:rPr>
      </w:pPr>
    </w:p>
    <w:p>
      <w:pPr>
        <w:jc w:val="center"/>
        <w:rPr>
          <w:rFonts w:eastAsia="楷体_GB2312"/>
          <w:b/>
          <w:sz w:val="72"/>
          <w:szCs w:val="72"/>
        </w:rPr>
      </w:pPr>
    </w:p>
    <w:p>
      <w:pPr>
        <w:jc w:val="center"/>
        <w:rPr>
          <w:rFonts w:eastAsia="黑体"/>
          <w:b/>
          <w:sz w:val="52"/>
          <w:szCs w:val="52"/>
        </w:rPr>
      </w:pPr>
    </w:p>
    <w:p>
      <w:pPr>
        <w:rPr>
          <w:b/>
          <w:sz w:val="28"/>
          <w:szCs w:val="28"/>
        </w:rPr>
      </w:pPr>
      <w:r>
        <w:rPr>
          <w:b/>
          <w:sz w:val="28"/>
          <w:szCs w:val="28"/>
        </w:rPr>
        <w:br w:type="page"/>
      </w:r>
    </w:p>
    <w:p>
      <w:pPr>
        <w:spacing w:line="240" w:lineRule="auto"/>
        <w:jc w:val="center"/>
        <w:rPr>
          <w:rFonts w:hint="eastAsia"/>
          <w:sz w:val="18"/>
          <w:szCs w:val="21"/>
        </w:rPr>
      </w:pPr>
      <w:r>
        <w:rPr>
          <w:rFonts w:hint="eastAsia" w:ascii="方正大标宋简体" w:hAnsi="方正大标宋简体" w:eastAsia="方正大标宋简体" w:cs="方正大标宋简体"/>
          <w:color w:val="000000"/>
          <w:sz w:val="36"/>
          <w:szCs w:val="36"/>
        </w:rPr>
        <w:t>周至县道路清扫保洁垃圾清运公厕管理市场化运作服务合同</w:t>
      </w:r>
    </w:p>
    <w:p>
      <w:pPr>
        <w:spacing w:line="240" w:lineRule="auto"/>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合同包1</w:t>
      </w:r>
      <w:r>
        <w:rPr>
          <w:rFonts w:hint="eastAsia" w:ascii="仿宋_GB2312" w:hAnsi="仿宋_GB2312" w:eastAsia="仿宋_GB2312" w:cs="仿宋_GB2312"/>
          <w:color w:val="000000"/>
          <w:sz w:val="24"/>
          <w:szCs w:val="24"/>
          <w:lang w:eastAsia="zh-CN"/>
        </w:rPr>
        <w:t>）</w:t>
      </w:r>
    </w:p>
    <w:p>
      <w:pPr>
        <w:pStyle w:val="24"/>
        <w:spacing w:line="240" w:lineRule="auto"/>
        <w:rPr>
          <w:rFonts w:hint="eastAsia"/>
          <w:sz w:val="18"/>
          <w:szCs w:val="21"/>
        </w:rPr>
      </w:pPr>
    </w:p>
    <w:p>
      <w:pPr>
        <w:keepNext w:val="0"/>
        <w:keepLines w:val="0"/>
        <w:pageBreakBefore w:val="0"/>
        <w:kinsoku/>
        <w:wordWrap/>
        <w:overflowPunct/>
        <w:topLinePunct w:val="0"/>
        <w:autoSpaceDE/>
        <w:autoSpaceDN/>
        <w:bidi w:val="0"/>
        <w:adjustRightInd/>
        <w:snapToGrid/>
        <w:spacing w:line="240" w:lineRule="auto"/>
        <w:ind w:firstLine="482" w:firstLineChars="200"/>
        <w:textAlignment w:val="auto"/>
        <w:outlineLvl w:val="9"/>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rPr>
        <w:t>甲方（招标人）：</w:t>
      </w:r>
      <w:r>
        <w:rPr>
          <w:rFonts w:hint="eastAsia" w:ascii="仿宋_GB2312" w:hAnsi="仿宋_GB2312" w:eastAsia="仿宋_GB2312" w:cs="仿宋_GB2312"/>
          <w:b/>
          <w:bCs/>
          <w:color w:val="000000"/>
          <w:sz w:val="24"/>
          <w:szCs w:val="24"/>
          <w:lang w:val="en-US" w:eastAsia="zh-CN"/>
        </w:rPr>
        <w:t xml:space="preserve">周至县城市管理和综合执法局 </w:t>
      </w:r>
    </w:p>
    <w:p>
      <w:pPr>
        <w:keepNext w:val="0"/>
        <w:keepLines w:val="0"/>
        <w:pageBreakBefore w:val="0"/>
        <w:kinsoku/>
        <w:wordWrap/>
        <w:overflowPunct/>
        <w:topLinePunct w:val="0"/>
        <w:autoSpaceDE/>
        <w:autoSpaceDN/>
        <w:bidi w:val="0"/>
        <w:adjustRightInd/>
        <w:snapToGrid/>
        <w:spacing w:line="240" w:lineRule="auto"/>
        <w:ind w:firstLine="482" w:firstLineChars="200"/>
        <w:textAlignment w:val="auto"/>
        <w:outlineLvl w:val="9"/>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rPr>
        <w:t>乙方（中标人）</w:t>
      </w:r>
      <w:r>
        <w:rPr>
          <w:rFonts w:hint="eastAsia" w:ascii="仿宋_GB2312" w:hAnsi="仿宋_GB2312" w:eastAsia="仿宋_GB2312" w:cs="仿宋_GB2312"/>
          <w:b/>
          <w:bCs/>
          <w:color w:val="000000"/>
          <w:sz w:val="24"/>
          <w:szCs w:val="24"/>
          <w:lang w:eastAsia="zh-CN"/>
        </w:rPr>
        <w:t>：</w:t>
      </w:r>
    </w:p>
    <w:p>
      <w:pPr>
        <w:keepNext w:val="0"/>
        <w:keepLines w:val="0"/>
        <w:pageBreakBefore w:val="0"/>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签定地点</w:t>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b/>
          <w:bCs/>
          <w:color w:val="000000"/>
          <w:sz w:val="24"/>
          <w:szCs w:val="24"/>
          <w:lang w:val="en-US" w:eastAsia="zh-CN"/>
        </w:rPr>
        <w:t>周至县城市管理和综合执法局</w:t>
      </w:r>
      <w:r>
        <w:rPr>
          <w:rFonts w:hint="eastAsia" w:ascii="仿宋_GB2312" w:hAnsi="仿宋_GB2312" w:eastAsia="仿宋_GB2312" w:cs="仿宋_GB2312"/>
          <w:b/>
          <w:bCs/>
          <w:color w:val="000000"/>
          <w:sz w:val="24"/>
          <w:szCs w:val="24"/>
        </w:rPr>
        <w:t xml:space="preserve"> </w:t>
      </w:r>
    </w:p>
    <w:p>
      <w:pPr>
        <w:keepNext w:val="0"/>
        <w:keepLines w:val="0"/>
        <w:pageBreakBefore w:val="0"/>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rPr>
        <w:t>签定日期：</w:t>
      </w:r>
      <w:r>
        <w:rPr>
          <w:rFonts w:hint="eastAsia" w:ascii="仿宋_GB2312" w:hAnsi="仿宋_GB2312" w:eastAsia="仿宋_GB2312" w:cs="仿宋_GB2312"/>
          <w:b/>
          <w:bCs/>
          <w:color w:val="000000"/>
          <w:sz w:val="24"/>
          <w:szCs w:val="24"/>
          <w:u w:val="single"/>
          <w:lang w:val="en-US" w:eastAsia="zh-CN"/>
        </w:rPr>
        <w:t xml:space="preserve">    </w:t>
      </w:r>
      <w:r>
        <w:rPr>
          <w:rFonts w:hint="eastAsia" w:ascii="仿宋_GB2312" w:hAnsi="仿宋_GB2312" w:eastAsia="仿宋_GB2312" w:cs="仿宋_GB2312"/>
          <w:b/>
          <w:bCs/>
          <w:color w:val="000000"/>
          <w:sz w:val="24"/>
          <w:szCs w:val="24"/>
          <w:lang w:val="en-US" w:eastAsia="zh-CN"/>
        </w:rPr>
        <w:t>年</w:t>
      </w:r>
      <w:r>
        <w:rPr>
          <w:rFonts w:hint="eastAsia" w:ascii="仿宋_GB2312" w:hAnsi="仿宋_GB2312" w:eastAsia="仿宋_GB2312" w:cs="仿宋_GB2312"/>
          <w:b/>
          <w:bCs/>
          <w:color w:val="000000"/>
          <w:sz w:val="24"/>
          <w:szCs w:val="24"/>
          <w:u w:val="single"/>
          <w:lang w:val="en-US" w:eastAsia="zh-CN"/>
        </w:rPr>
        <w:t xml:space="preserve">    </w:t>
      </w:r>
      <w:r>
        <w:rPr>
          <w:rFonts w:hint="eastAsia" w:ascii="仿宋_GB2312" w:hAnsi="仿宋_GB2312" w:eastAsia="仿宋_GB2312" w:cs="仿宋_GB2312"/>
          <w:b/>
          <w:bCs/>
          <w:color w:val="000000"/>
          <w:sz w:val="24"/>
          <w:szCs w:val="24"/>
          <w:lang w:val="en-US" w:eastAsia="zh-CN"/>
        </w:rPr>
        <w:t>月</w:t>
      </w:r>
      <w:r>
        <w:rPr>
          <w:rFonts w:hint="eastAsia" w:ascii="仿宋_GB2312" w:hAnsi="仿宋_GB2312" w:eastAsia="仿宋_GB2312" w:cs="仿宋_GB2312"/>
          <w:b/>
          <w:bCs/>
          <w:color w:val="000000"/>
          <w:sz w:val="24"/>
          <w:szCs w:val="24"/>
          <w:u w:val="single"/>
          <w:lang w:val="en-US" w:eastAsia="zh-CN"/>
        </w:rPr>
        <w:t xml:space="preserve">    </w:t>
      </w:r>
      <w:r>
        <w:rPr>
          <w:rFonts w:hint="eastAsia" w:ascii="仿宋_GB2312" w:hAnsi="仿宋_GB2312" w:eastAsia="仿宋_GB2312" w:cs="仿宋_GB2312"/>
          <w:b/>
          <w:bCs/>
          <w:color w:val="000000"/>
          <w:sz w:val="24"/>
          <w:szCs w:val="24"/>
          <w:lang w:val="en-US" w:eastAsia="zh-CN"/>
        </w:rPr>
        <w:t xml:space="preserve">日 </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根据招标采购的招标结果，乙方为本项目中标人，现依据《中华人民共和国合同法》及依照招标文件、投标文件，结合项目实际，经双方协商，达成如下协议：</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黑体" w:hAnsi="黑体" w:eastAsia="黑体" w:cs="黑体"/>
          <w:bCs/>
          <w:kern w:val="0"/>
          <w:sz w:val="24"/>
          <w:szCs w:val="24"/>
        </w:rPr>
      </w:pPr>
      <w:r>
        <w:rPr>
          <w:rFonts w:hint="eastAsia" w:ascii="黑体" w:hAnsi="黑体" w:eastAsia="黑体" w:cs="黑体"/>
          <w:bCs/>
          <w:kern w:val="0"/>
          <w:sz w:val="24"/>
          <w:szCs w:val="24"/>
        </w:rPr>
        <w:t>一、承包范围及内容</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共13</w:t>
      </w:r>
      <w:r>
        <w:rPr>
          <w:rFonts w:hint="eastAsia" w:ascii="仿宋_GB2312" w:hAnsi="仿宋_GB2312" w:eastAsia="仿宋_GB2312" w:cs="仿宋_GB2312"/>
          <w:color w:val="000000"/>
          <w:sz w:val="24"/>
          <w:szCs w:val="24"/>
        </w:rPr>
        <w:t>条道路，总面积</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平方米的道路清扫保洁（有建筑物的道路以两侧建筑物外立面之间为保洁范围，无建筑的道路，以两侧以人行道各延伸10米做为保洁责任范围，背街小巷向内延伸</w:t>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米为保洁范围，延伸部分不计入清扫面积）；</w:t>
      </w:r>
      <w:r>
        <w:rPr>
          <w:rFonts w:hint="eastAsia" w:ascii="仿宋_GB2312" w:hAnsi="仿宋_GB2312" w:eastAsia="仿宋_GB2312" w:cs="仿宋_GB2312"/>
          <w:color w:val="000000"/>
          <w:sz w:val="24"/>
          <w:szCs w:val="24"/>
          <w:lang w:val="en-US" w:eastAsia="zh-CN"/>
        </w:rPr>
        <w:t>8座</w:t>
      </w:r>
      <w:r>
        <w:rPr>
          <w:rFonts w:hint="eastAsia" w:ascii="仿宋_GB2312" w:hAnsi="仿宋_GB2312" w:eastAsia="仿宋_GB2312" w:cs="仿宋_GB2312"/>
          <w:color w:val="000000"/>
          <w:sz w:val="24"/>
          <w:szCs w:val="24"/>
        </w:rPr>
        <w:t>公厕的管理；</w:t>
      </w:r>
      <w:r>
        <w:rPr>
          <w:rFonts w:hint="eastAsia" w:ascii="仿宋_GB2312" w:hAnsi="仿宋_GB2312" w:eastAsia="仿宋_GB2312" w:cs="仿宋_GB2312"/>
          <w:color w:val="000000"/>
          <w:sz w:val="24"/>
          <w:szCs w:val="24"/>
          <w:lang w:val="en-US" w:eastAsia="zh-CN"/>
        </w:rPr>
        <w:t>甲方指定的绿化带、公园广场的清扫保洁工作；县城区及甲方指定的</w:t>
      </w:r>
      <w:r>
        <w:rPr>
          <w:rFonts w:hint="eastAsia" w:ascii="仿宋_GB2312" w:hAnsi="仿宋_GB2312" w:eastAsia="仿宋_GB2312" w:cs="仿宋_GB2312"/>
          <w:color w:val="000000"/>
          <w:sz w:val="24"/>
          <w:szCs w:val="24"/>
        </w:rPr>
        <w:t>垃圾清运</w:t>
      </w:r>
      <w:r>
        <w:rPr>
          <w:rFonts w:hint="eastAsia" w:ascii="仿宋_GB2312" w:hAnsi="仿宋_GB2312" w:eastAsia="仿宋_GB2312" w:cs="仿宋_GB2312"/>
          <w:color w:val="000000"/>
          <w:sz w:val="24"/>
          <w:szCs w:val="24"/>
          <w:lang w:eastAsia="zh-CN"/>
        </w:rPr>
        <w:t>范围和生活垃圾压缩站的日常运行管理</w:t>
      </w:r>
      <w:r>
        <w:rPr>
          <w:rFonts w:hint="eastAsia" w:ascii="仿宋_GB2312" w:hAnsi="仿宋_GB2312" w:eastAsia="仿宋_GB2312" w:cs="仿宋_GB2312"/>
          <w:color w:val="000000"/>
          <w:sz w:val="24"/>
          <w:szCs w:val="24"/>
        </w:rPr>
        <w:t>（详见附件）。</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outlineLvl w:val="9"/>
        <w:rPr>
          <w:rFonts w:hint="eastAsia" w:ascii="黑体" w:hAnsi="黑体" w:eastAsia="黑体" w:cs="黑体"/>
          <w:color w:val="000000"/>
          <w:sz w:val="24"/>
          <w:szCs w:val="24"/>
        </w:rPr>
      </w:pPr>
      <w:bookmarkStart w:id="34" w:name="_Toc289499920"/>
      <w:r>
        <w:rPr>
          <w:rFonts w:hint="eastAsia" w:ascii="黑体" w:hAnsi="黑体" w:eastAsia="黑体" w:cs="黑体"/>
          <w:color w:val="000000"/>
          <w:sz w:val="24"/>
          <w:szCs w:val="24"/>
        </w:rPr>
        <w:t>二、</w:t>
      </w:r>
      <w:bookmarkEnd w:id="34"/>
      <w:r>
        <w:rPr>
          <w:rFonts w:hint="eastAsia" w:ascii="黑体" w:hAnsi="黑体" w:eastAsia="黑体" w:cs="黑体"/>
          <w:color w:val="000000"/>
          <w:sz w:val="24"/>
          <w:szCs w:val="24"/>
        </w:rPr>
        <w:t>作业质量要求</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按照相关规范及招标文件规定（详见附件）。</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outlineLvl w:val="9"/>
        <w:rPr>
          <w:rFonts w:hint="eastAsia" w:ascii="黑体" w:hAnsi="黑体" w:eastAsia="黑体" w:cs="黑体"/>
          <w:color w:val="000000"/>
          <w:sz w:val="24"/>
          <w:szCs w:val="24"/>
        </w:rPr>
      </w:pPr>
      <w:bookmarkStart w:id="35" w:name="_Toc289499921"/>
      <w:r>
        <w:rPr>
          <w:rFonts w:hint="eastAsia" w:ascii="黑体" w:hAnsi="黑体" w:eastAsia="黑体" w:cs="黑体"/>
          <w:color w:val="000000"/>
          <w:sz w:val="24"/>
          <w:szCs w:val="24"/>
        </w:rPr>
        <w:t>三、管理要求</w:t>
      </w:r>
      <w:bookmarkEnd w:id="35"/>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1.乙方按照国家有关劳动定额配备作业人员及行政管理、质量检查人员，进场人员必须服从甲方的日常检查、监督和指导。</w:t>
      </w:r>
    </w:p>
    <w:p>
      <w:pPr>
        <w:spacing w:line="240" w:lineRule="auto"/>
        <w:ind w:firstLine="480" w:firstLineChars="200"/>
        <w:rPr>
          <w:rFonts w:hint="eastAsia" w:ascii="黑体" w:hAnsi="黑体" w:eastAsia="黑体" w:cs="黑体"/>
          <w:color w:val="000000"/>
          <w:sz w:val="24"/>
          <w:szCs w:val="24"/>
        </w:rPr>
      </w:pPr>
      <w:bookmarkStart w:id="36" w:name="_Toc289499922"/>
      <w:r>
        <w:rPr>
          <w:rFonts w:hint="eastAsia" w:ascii="黑体" w:hAnsi="黑体" w:eastAsia="黑体" w:cs="黑体"/>
          <w:color w:val="000000"/>
          <w:sz w:val="24"/>
          <w:szCs w:val="24"/>
        </w:rPr>
        <w:t>四、承包期限</w:t>
      </w:r>
      <w:bookmarkEnd w:id="36"/>
    </w:p>
    <w:p>
      <w:pPr>
        <w:spacing w:line="240" w:lineRule="auto"/>
        <w:ind w:firstLine="720" w:firstLineChars="300"/>
        <w:jc w:val="both"/>
        <w:rPr>
          <w:rFonts w:hint="eastAsia" w:ascii="仿宋_GB2312" w:hAnsi="仿宋_GB2312" w:eastAsia="仿宋_GB2312" w:cs="仿宋_GB2312"/>
          <w:color w:val="000000"/>
          <w:sz w:val="24"/>
          <w:szCs w:val="24"/>
        </w:rPr>
      </w:pPr>
      <w:bookmarkStart w:id="37" w:name="_Toc289499923"/>
      <w:r>
        <w:rPr>
          <w:rFonts w:hint="eastAsia" w:ascii="仿宋_GB2312" w:hAnsi="仿宋_GB2312" w:eastAsia="仿宋_GB2312" w:cs="仿宋_GB2312"/>
          <w:color w:val="000000"/>
          <w:sz w:val="24"/>
          <w:szCs w:val="24"/>
        </w:rPr>
        <w:t>服务期限为</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即</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日至</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日。</w:t>
      </w:r>
      <w:bookmarkEnd w:id="37"/>
    </w:p>
    <w:p>
      <w:p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五、质量检查与奖惩</w:t>
      </w:r>
    </w:p>
    <w:p>
      <w:pPr>
        <w:spacing w:line="240" w:lineRule="auto"/>
        <w:ind w:firstLine="480" w:firstLineChars="20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1.甲方或其委托的机构参照《西安市“以克论净 深度保洁”作业标准》的考核标准，每周组织一次以上检查并记录(或拍照)检查情况，作为每月考核参考依据;对乙方的作业质量进行考核并评分（满分为100分），评分结果进行如下处理:乙方在每月的质量检查考核中得分在90分(含90分)以上全额划拨经费，得分在90分以下，从90分起算，每扣1分即扣中标人当月</w:t>
      </w:r>
      <w:r>
        <w:rPr>
          <w:rFonts w:hint="eastAsia" w:ascii="仿宋_GB2312" w:hAnsi="仿宋_GB2312" w:eastAsia="仿宋_GB2312" w:cs="仿宋_GB2312"/>
          <w:color w:val="000000"/>
          <w:sz w:val="24"/>
          <w:szCs w:val="24"/>
          <w:lang w:eastAsia="zh-CN"/>
        </w:rPr>
        <w:t>清扫保洁</w:t>
      </w:r>
      <w:r>
        <w:rPr>
          <w:rFonts w:hint="eastAsia" w:ascii="仿宋_GB2312" w:hAnsi="仿宋_GB2312" w:eastAsia="仿宋_GB2312" w:cs="仿宋_GB2312"/>
          <w:color w:val="000000"/>
          <w:sz w:val="24"/>
          <w:szCs w:val="24"/>
        </w:rPr>
        <w:t>承包经费的1%，以此类推。连续三个月达不到90分，除扣减经费外、甲方有权解除承包合同。</w:t>
      </w:r>
      <w:r>
        <w:rPr>
          <w:rFonts w:hint="eastAsia" w:ascii="仿宋_GB2312" w:hAnsi="仿宋_GB2312" w:eastAsia="仿宋_GB2312" w:cs="仿宋_GB2312"/>
          <w:color w:val="000000"/>
          <w:sz w:val="24"/>
          <w:szCs w:val="24"/>
          <w:lang w:val="en-US" w:eastAsia="zh-CN"/>
        </w:rPr>
        <w:t>年平均分数低于90分的，不再续签合同。</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乙方在全国、省、市的重要检查或重大突击性任务中，发现属乙方责任问题，经查属实，且不及时配合整改的，致使承包区域受到上级通报批评，甲方有权解除承包合同。</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.乙方在公厕管理每月的质量检查考核中得分在90分(含90分)以上全额划拨经费，得分在90分以下，从90分起算，每扣1分即扣中标人当月承包</w:t>
      </w:r>
      <w:r>
        <w:rPr>
          <w:rFonts w:hint="eastAsia" w:ascii="仿宋_GB2312" w:hAnsi="仿宋_GB2312" w:eastAsia="仿宋_GB2312" w:cs="仿宋_GB2312"/>
          <w:color w:val="000000"/>
          <w:sz w:val="24"/>
          <w:szCs w:val="24"/>
          <w:lang w:eastAsia="zh-CN"/>
        </w:rPr>
        <w:t>公厕管护</w:t>
      </w:r>
      <w:r>
        <w:rPr>
          <w:rFonts w:hint="eastAsia" w:ascii="仿宋_GB2312" w:hAnsi="仿宋_GB2312" w:eastAsia="仿宋_GB2312" w:cs="仿宋_GB2312"/>
          <w:color w:val="000000"/>
          <w:sz w:val="24"/>
          <w:szCs w:val="24"/>
        </w:rPr>
        <w:t>经费的1%，以此类推。</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.乙方在垃圾清运每月的质量检查考核中得分在90分(含90分)以上全额划拨经费，得分在90分以下，从90分起算，每扣1分即扣中标人当月承包经费的1%，以此类推。</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5.对于</w:t>
      </w:r>
      <w:r>
        <w:rPr>
          <w:rFonts w:hint="eastAsia" w:ascii="仿宋_GB2312" w:hAnsi="仿宋_GB2312" w:eastAsia="仿宋_GB2312" w:cs="仿宋_GB2312"/>
          <w:color w:val="000000"/>
          <w:sz w:val="24"/>
          <w:szCs w:val="24"/>
          <w:lang w:val="en-US" w:eastAsia="zh-CN"/>
        </w:rPr>
        <w:t>乙方原因，保洁人员上访、在媒体投诉</w:t>
      </w:r>
      <w:r>
        <w:rPr>
          <w:rFonts w:hint="eastAsia" w:ascii="仿宋_GB2312" w:hAnsi="仿宋_GB2312" w:eastAsia="仿宋_GB2312" w:cs="仿宋_GB2312"/>
          <w:color w:val="000000"/>
          <w:sz w:val="24"/>
          <w:szCs w:val="24"/>
        </w:rPr>
        <w:t>等</w:t>
      </w:r>
      <w:r>
        <w:rPr>
          <w:rFonts w:hint="eastAsia" w:ascii="仿宋_GB2312" w:hAnsi="仿宋_GB2312" w:eastAsia="仿宋_GB2312" w:cs="仿宋_GB2312"/>
          <w:color w:val="000000"/>
          <w:sz w:val="24"/>
          <w:szCs w:val="24"/>
          <w:lang w:val="en-US" w:eastAsia="zh-CN"/>
        </w:rPr>
        <w:t>对我局名誉造成损失的每次扣3000元。</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6.乙方必须按要求保证道路清洁质量，每天自行组织巡查，发现卫生死角及时整改。如相同地点被甲方发现二次(含二次)以上未及时整改的，甲方有权扣减乙方当月承包经费每次</w:t>
      </w:r>
      <w:r>
        <w:rPr>
          <w:rFonts w:hint="eastAsia" w:ascii="仿宋_GB2312" w:hAnsi="仿宋_GB2312" w:eastAsia="仿宋_GB2312" w:cs="仿宋_GB2312"/>
          <w:color w:val="000000"/>
          <w:sz w:val="24"/>
          <w:szCs w:val="24"/>
          <w:lang w:val="en-US" w:eastAsia="zh-CN"/>
        </w:rPr>
        <w:t>500</w:t>
      </w:r>
      <w:r>
        <w:rPr>
          <w:rFonts w:hint="eastAsia" w:ascii="仿宋_GB2312" w:hAnsi="仿宋_GB2312" w:eastAsia="仿宋_GB2312" w:cs="仿宋_GB2312"/>
          <w:color w:val="000000"/>
          <w:sz w:val="24"/>
          <w:szCs w:val="24"/>
        </w:rPr>
        <w:t>元。</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7.因乙方原因在全市检查</w:t>
      </w:r>
      <w:r>
        <w:rPr>
          <w:rFonts w:hint="eastAsia" w:ascii="仿宋_GB2312" w:hAnsi="仿宋_GB2312" w:eastAsia="仿宋_GB2312" w:cs="仿宋_GB2312"/>
          <w:color w:val="000000"/>
          <w:sz w:val="24"/>
          <w:szCs w:val="24"/>
          <w:lang w:val="en-US" w:eastAsia="zh-CN"/>
        </w:rPr>
        <w:t>中连续两月，导致</w:t>
      </w:r>
      <w:r>
        <w:rPr>
          <w:rFonts w:hint="eastAsia" w:ascii="仿宋_GB2312" w:hAnsi="仿宋_GB2312" w:eastAsia="仿宋_GB2312" w:cs="仿宋_GB2312"/>
          <w:color w:val="000000"/>
          <w:sz w:val="24"/>
          <w:szCs w:val="24"/>
        </w:rPr>
        <w:t>月排名</w:t>
      </w:r>
      <w:r>
        <w:rPr>
          <w:rFonts w:hint="eastAsia" w:ascii="仿宋_GB2312" w:hAnsi="仿宋_GB2312" w:eastAsia="仿宋_GB2312" w:cs="仿宋_GB2312"/>
          <w:color w:val="000000"/>
          <w:sz w:val="24"/>
          <w:szCs w:val="24"/>
          <w:lang w:val="en-US" w:eastAsia="zh-CN"/>
        </w:rPr>
        <w:t>末位</w:t>
      </w:r>
      <w:r>
        <w:rPr>
          <w:rFonts w:hint="eastAsia" w:ascii="仿宋_GB2312" w:hAnsi="仿宋_GB2312" w:eastAsia="仿宋_GB2312" w:cs="仿宋_GB2312"/>
          <w:color w:val="000000"/>
          <w:sz w:val="24"/>
          <w:szCs w:val="24"/>
        </w:rPr>
        <w:t>的，每次罚乙方</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万元，累计3次甲方有权终止合同，因乙方</w:t>
      </w:r>
      <w:r>
        <w:rPr>
          <w:rFonts w:hint="eastAsia" w:ascii="仿宋_GB2312" w:hAnsi="仿宋_GB2312" w:eastAsia="仿宋_GB2312" w:cs="仿宋_GB2312"/>
          <w:color w:val="000000"/>
          <w:sz w:val="24"/>
          <w:szCs w:val="24"/>
          <w:lang w:val="en-US" w:eastAsia="zh-CN"/>
        </w:rPr>
        <w:t>工作表现突出等原因</w:t>
      </w:r>
      <w:r>
        <w:rPr>
          <w:rFonts w:hint="eastAsia" w:ascii="仿宋_GB2312" w:hAnsi="仿宋_GB2312" w:eastAsia="仿宋_GB2312" w:cs="仿宋_GB2312"/>
          <w:color w:val="000000"/>
          <w:sz w:val="24"/>
          <w:szCs w:val="24"/>
        </w:rPr>
        <w:t>使周至县在全市排名</w:t>
      </w:r>
      <w:r>
        <w:rPr>
          <w:rFonts w:hint="eastAsia" w:ascii="仿宋_GB2312" w:hAnsi="仿宋_GB2312" w:eastAsia="仿宋_GB2312" w:cs="仿宋_GB2312"/>
          <w:color w:val="000000"/>
          <w:sz w:val="24"/>
          <w:szCs w:val="24"/>
          <w:lang w:val="en-US" w:eastAsia="zh-CN"/>
        </w:rPr>
        <w:t>进入</w:t>
      </w:r>
      <w:r>
        <w:rPr>
          <w:rFonts w:hint="eastAsia" w:ascii="仿宋_GB2312" w:hAnsi="仿宋_GB2312" w:eastAsia="仿宋_GB2312" w:cs="仿宋_GB2312"/>
          <w:color w:val="000000"/>
          <w:sz w:val="24"/>
          <w:szCs w:val="24"/>
        </w:rPr>
        <w:t>前三位，每次奖励</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万元。</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8.乙方在机械化作业中不能按照市上的要求完成机械化作业的，每次扣除服务费</w:t>
      </w:r>
      <w:r>
        <w:rPr>
          <w:rFonts w:hint="eastAsia" w:ascii="仿宋_GB2312" w:hAnsi="仿宋_GB2312" w:eastAsia="仿宋_GB2312" w:cs="仿宋_GB2312"/>
          <w:color w:val="000000"/>
          <w:sz w:val="24"/>
          <w:szCs w:val="24"/>
          <w:lang w:val="en-US" w:eastAsia="zh-CN"/>
        </w:rPr>
        <w:t>3000</w:t>
      </w:r>
      <w:r>
        <w:rPr>
          <w:rFonts w:hint="eastAsia" w:ascii="仿宋_GB2312" w:hAnsi="仿宋_GB2312" w:eastAsia="仿宋_GB2312" w:cs="仿宋_GB2312"/>
          <w:color w:val="000000"/>
          <w:sz w:val="24"/>
          <w:szCs w:val="24"/>
        </w:rPr>
        <w:t>元。</w:t>
      </w:r>
    </w:p>
    <w:p>
      <w:pPr>
        <w:pStyle w:val="24"/>
        <w:spacing w:line="240" w:lineRule="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9.乙方应在合同签订后必须为所有保洁人员进行垃圾分类的相关知识培训，并做好垃圾分类的各项工作，未开展培训或员工垃圾分类知识知晓率低的每次扣除公司300元。</w:t>
      </w:r>
    </w:p>
    <w:p>
      <w:pPr>
        <w:pStyle w:val="24"/>
        <w:spacing w:line="240" w:lineRule="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10、乙方应按照项目的实际需要增配环卫车辆，满足项目的垃圾清运、道路的机扫、洒水、冲洗、绿化管护的要求，达不到要求的按照考核标准进行扣分。</w:t>
      </w:r>
    </w:p>
    <w:p>
      <w:pPr>
        <w:pStyle w:val="24"/>
        <w:spacing w:line="240" w:lineRule="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11、乙方必须按照道路清扫保洁面积、绿化保洁标准配备相应的人员，人员配备不足的每差一人，扣除服务费3000元，依次类推。</w:t>
      </w:r>
    </w:p>
    <w:p>
      <w:pPr>
        <w:pStyle w:val="24"/>
        <w:spacing w:line="240" w:lineRule="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12、乙方应保持所有道路清扫保洁机械率在95%以上，未达到标准的每次扣除服务费3000元。</w:t>
      </w:r>
    </w:p>
    <w:p>
      <w:pPr>
        <w:pStyle w:val="24"/>
        <w:spacing w:line="240" w:lineRule="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除日常的考核检查外，业务科室或局领导以及市上相关部门临时性检查，每发现一次不按规定的时间、标准进行清扫保洁的每次扣除服务费1000元，不按时进行冲洗的每次扣除服务费500元，不按时出动作业车辆的每次扣除服务费500元。</w:t>
      </w:r>
    </w:p>
    <w:p>
      <w:pPr>
        <w:pStyle w:val="24"/>
        <w:spacing w:line="240" w:lineRule="auto"/>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14、乙方在生活垃圾清运过程中必须按照《西安市生活垃圾分类管理办法》中明确的分类进行清运，车辆必须符合市上的相关规定，不按规定清运的，每发现一次扣除500元。在生活垃圾清运过程中必须按照规定对生活垃圾“日产日清”，对于因垃圾清运不及时，导致垃圾落地的每次扣除服务费用500元，因群众投诉到甲方的第一次警告处理，第二次扣除服务费用500元。车容车貌不整洁的每次扣除500元。</w:t>
      </w:r>
    </w:p>
    <w:p>
      <w:pPr>
        <w:pStyle w:val="24"/>
        <w:spacing w:line="240" w:lineRule="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15、乙方必须按甲方的规定，完成走航等系统报警的处理，不按时处理的每次罚款300元。</w:t>
      </w:r>
    </w:p>
    <w:p>
      <w:pPr>
        <w:pStyle w:val="24"/>
        <w:spacing w:line="240" w:lineRule="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16、未按照规定时间、标准实行清扫保洁作业的，每次罚款1000元。</w:t>
      </w:r>
    </w:p>
    <w:p>
      <w:pPr>
        <w:pStyle w:val="24"/>
        <w:spacing w:line="240" w:lineRule="auto"/>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17、凡被省、市、县媒体或相关单位检查发现通报问题每次扣除3000元。</w:t>
      </w:r>
      <w:r>
        <w:rPr>
          <w:rFonts w:hint="eastAsia" w:ascii="仿宋_GB2312" w:hAnsi="仿宋_GB2312" w:eastAsia="仿宋_GB2312" w:cs="仿宋_GB2312"/>
          <w:color w:val="000000"/>
          <w:sz w:val="24"/>
          <w:szCs w:val="24"/>
        </w:rPr>
        <w:t>乙方不及时进行整改或整改后，经市、县环境卫生监督管理部门检查仍不符合质量标准要求的每发生一次，甲方有权扣减乙方当月承包经费的</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 ,承包期内累计三次者，甲方有权解除承包合同。</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18、</w:t>
      </w:r>
      <w:r>
        <w:rPr>
          <w:rFonts w:hint="eastAsia" w:ascii="仿宋_GB2312" w:hAnsi="仿宋_GB2312" w:eastAsia="仿宋_GB2312" w:cs="仿宋_GB2312"/>
          <w:color w:val="000000"/>
          <w:sz w:val="24"/>
          <w:szCs w:val="24"/>
        </w:rPr>
        <w:t>乙方应建立健全质量检查档案，所有工作必须留档，以备查验。</w:t>
      </w:r>
    </w:p>
    <w:p>
      <w:pPr>
        <w:pStyle w:val="24"/>
        <w:spacing w:line="240" w:lineRule="auto"/>
        <w:rPr>
          <w:rFonts w:hint="default" w:eastAsia="仿宋_GB2312"/>
          <w:sz w:val="18"/>
          <w:szCs w:val="21"/>
          <w:lang w:val="en-US" w:eastAsia="zh-CN"/>
        </w:rPr>
      </w:pPr>
      <w:r>
        <w:rPr>
          <w:rFonts w:hint="eastAsia" w:ascii="仿宋_GB2312" w:hAnsi="仿宋_GB2312" w:eastAsia="仿宋_GB2312" w:cs="仿宋_GB2312"/>
          <w:color w:val="000000"/>
          <w:sz w:val="24"/>
          <w:szCs w:val="24"/>
          <w:lang w:val="en-US" w:eastAsia="zh-CN"/>
        </w:rPr>
        <w:t>19、乙方应按照西安市城市管理和综合执法局、西安市公安局交通管理局《关于切实加强道路清扫保洁作业安全管理消除交通安全隐患的通知》市城管发[2020]242号文件要求，完善相应的安全防护设施，对设施不到位的按照文件相关要求进行扣款、处罚。</w:t>
      </w:r>
    </w:p>
    <w:p>
      <w:p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六、履约保证金</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1.乙方在签订本合同后5日内，向甲方提供中标价</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%的</w:t>
      </w:r>
      <w:r>
        <w:rPr>
          <w:rFonts w:hint="eastAsia" w:ascii="仿宋_GB2312" w:hAnsi="仿宋_GB2312" w:eastAsia="仿宋_GB2312" w:cs="仿宋_GB2312"/>
          <w:color w:val="000000"/>
          <w:sz w:val="24"/>
          <w:szCs w:val="24"/>
          <w:lang w:val="en-US" w:eastAsia="zh-CN"/>
        </w:rPr>
        <w:t>保证金</w:t>
      </w:r>
      <w:r>
        <w:rPr>
          <w:rFonts w:hint="eastAsia" w:ascii="仿宋_GB2312" w:hAnsi="仿宋_GB2312" w:eastAsia="仿宋_GB2312" w:cs="仿宋_GB2312"/>
          <w:color w:val="000000"/>
          <w:sz w:val="24"/>
          <w:szCs w:val="24"/>
        </w:rPr>
        <w:t>。</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2.履约</w:t>
      </w:r>
      <w:r>
        <w:rPr>
          <w:rFonts w:hint="eastAsia" w:ascii="仿宋_GB2312" w:hAnsi="仿宋_GB2312" w:eastAsia="仿宋_GB2312" w:cs="仿宋_GB2312"/>
          <w:color w:val="000000"/>
          <w:sz w:val="24"/>
          <w:szCs w:val="24"/>
          <w:lang w:val="en-US" w:eastAsia="zh-CN"/>
        </w:rPr>
        <w:t>保证金</w:t>
      </w:r>
      <w:r>
        <w:rPr>
          <w:rFonts w:hint="eastAsia" w:ascii="仿宋_GB2312" w:hAnsi="仿宋_GB2312" w:eastAsia="仿宋_GB2312" w:cs="仿宋_GB2312"/>
          <w:color w:val="000000"/>
          <w:sz w:val="24"/>
          <w:szCs w:val="24"/>
        </w:rPr>
        <w:t>用于补偿甲方因乙方不能完成其协议义务而蒙受的损失。凡因乙方责任，使甲方解除本协议的，履约担保单位必须无条件的向周至县城市管理局拨付违约费用。</w:t>
      </w:r>
    </w:p>
    <w:p>
      <w:p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七、承包经费、付款方式</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1.中标服务承包费为：年承包费用总金额为</w:t>
      </w:r>
      <w:r>
        <w:rPr>
          <w:rFonts w:hint="eastAsia" w:ascii="仿宋_GB2312" w:hAnsi="仿宋_GB2312" w:eastAsia="仿宋_GB2312" w:cs="仿宋_GB2312"/>
          <w:b/>
          <w:bCs/>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zh-CN"/>
        </w:rPr>
        <w:t>元，</w:t>
      </w:r>
      <w:r>
        <w:rPr>
          <w:rFonts w:hint="eastAsia" w:ascii="仿宋_GB2312" w:hAnsi="仿宋_GB2312" w:eastAsia="仿宋_GB2312" w:cs="仿宋_GB2312"/>
          <w:color w:val="000000"/>
          <w:sz w:val="24"/>
          <w:szCs w:val="24"/>
        </w:rPr>
        <w:t>每</w:t>
      </w:r>
      <w:r>
        <w:rPr>
          <w:rFonts w:hint="eastAsia" w:ascii="仿宋_GB2312" w:hAnsi="仿宋_GB2312" w:eastAsia="仿宋_GB2312" w:cs="仿宋_GB2312"/>
          <w:color w:val="000000"/>
          <w:sz w:val="24"/>
          <w:szCs w:val="24"/>
          <w:lang w:val="en-US" w:eastAsia="zh-CN"/>
        </w:rPr>
        <w:t>月费用为</w:t>
      </w:r>
      <w:r>
        <w:rPr>
          <w:rFonts w:hint="eastAsia" w:ascii="仿宋_GB2312" w:hAnsi="仿宋_GB2312" w:eastAsia="仿宋_GB2312" w:cs="仿宋_GB2312"/>
          <w:b/>
          <w:bCs/>
          <w:color w:val="000000"/>
          <w:sz w:val="24"/>
          <w:szCs w:val="24"/>
          <w:u w:val="single"/>
          <w:lang w:val="en-US" w:eastAsia="zh-CN"/>
        </w:rPr>
        <w:t xml:space="preserve">    </w:t>
      </w:r>
      <w:r>
        <w:rPr>
          <w:rFonts w:hint="eastAsia" w:ascii="仿宋_GB2312" w:hAnsi="仿宋_GB2312" w:eastAsia="仿宋_GB2312" w:cs="仿宋_GB2312"/>
          <w:color w:val="000000"/>
          <w:sz w:val="24"/>
          <w:szCs w:val="24"/>
        </w:rPr>
        <w:t>元。</w:t>
      </w:r>
      <w:r>
        <w:rPr>
          <w:rFonts w:hint="eastAsia" w:ascii="仿宋_GB2312" w:hAnsi="仿宋_GB2312" w:eastAsia="仿宋_GB2312" w:cs="仿宋_GB2312"/>
          <w:color w:val="000000"/>
          <w:sz w:val="24"/>
          <w:szCs w:val="24"/>
          <w:lang w:val="en-US" w:eastAsia="zh-CN"/>
        </w:rPr>
        <w:t xml:space="preserve">                           </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费用按照道路清扫保洁一类道</w:t>
      </w:r>
      <w:r>
        <w:rPr>
          <w:rFonts w:hint="eastAsia" w:ascii="仿宋_GB2312" w:hAnsi="仿宋_GB2312" w:eastAsia="仿宋_GB2312" w:cs="仿宋_GB2312"/>
          <w:color w:val="000000"/>
          <w:sz w:val="24"/>
          <w:szCs w:val="24"/>
          <w:lang w:val="en-US" w:eastAsia="zh-CN"/>
        </w:rPr>
        <w:t>路</w:t>
      </w:r>
      <w:r>
        <w:rPr>
          <w:rFonts w:hint="eastAsia" w:ascii="仿宋_GB2312" w:hAnsi="仿宋_GB2312" w:eastAsia="仿宋_GB2312" w:cs="仿宋_GB2312"/>
          <w:b/>
          <w:bCs/>
          <w:color w:val="000000"/>
          <w:sz w:val="24"/>
          <w:szCs w:val="24"/>
          <w:u w:val="single"/>
          <w:lang w:val="en-US" w:eastAsia="zh-CN"/>
        </w:rPr>
        <w:t xml:space="preserve">    </w:t>
      </w:r>
      <w:r>
        <w:rPr>
          <w:rFonts w:hint="eastAsia" w:ascii="仿宋_GB2312" w:hAnsi="仿宋_GB2312" w:eastAsia="仿宋_GB2312" w:cs="仿宋_GB2312"/>
          <w:color w:val="000000"/>
          <w:sz w:val="24"/>
          <w:szCs w:val="24"/>
        </w:rPr>
        <w:t>元/平方米，</w:t>
      </w:r>
      <w:r>
        <w:rPr>
          <w:rFonts w:hint="eastAsia" w:ascii="仿宋_GB2312" w:hAnsi="仿宋_GB2312" w:eastAsia="仿宋_GB2312" w:cs="仿宋_GB2312"/>
          <w:color w:val="000000"/>
          <w:sz w:val="24"/>
          <w:szCs w:val="24"/>
          <w:lang w:val="en-US" w:eastAsia="zh-CN"/>
        </w:rPr>
        <w:t>二类道路</w:t>
      </w:r>
      <w:r>
        <w:rPr>
          <w:rFonts w:hint="eastAsia" w:ascii="仿宋_GB2312" w:hAnsi="仿宋_GB2312" w:eastAsia="仿宋_GB2312" w:cs="仿宋_GB2312"/>
          <w:b/>
          <w:bCs/>
          <w:color w:val="000000"/>
          <w:sz w:val="24"/>
          <w:szCs w:val="24"/>
          <w:u w:val="single"/>
          <w:lang w:val="en-US" w:eastAsia="zh-CN"/>
        </w:rPr>
        <w:t xml:space="preserve">    </w:t>
      </w:r>
      <w:r>
        <w:rPr>
          <w:rFonts w:hint="eastAsia" w:ascii="仿宋_GB2312" w:hAnsi="仿宋_GB2312" w:eastAsia="仿宋_GB2312" w:cs="仿宋_GB2312"/>
          <w:color w:val="000000"/>
          <w:sz w:val="24"/>
          <w:szCs w:val="24"/>
        </w:rPr>
        <w:t>元/平方米</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三类道路</w:t>
      </w:r>
      <w:r>
        <w:rPr>
          <w:rFonts w:hint="eastAsia" w:ascii="仿宋_GB2312" w:hAnsi="仿宋_GB2312" w:eastAsia="仿宋_GB2312" w:cs="仿宋_GB2312"/>
          <w:b/>
          <w:bCs/>
          <w:color w:val="000000"/>
          <w:sz w:val="24"/>
          <w:szCs w:val="24"/>
          <w:u w:val="single"/>
          <w:lang w:val="en-US" w:eastAsia="zh-CN"/>
        </w:rPr>
        <w:t xml:space="preserve">    </w:t>
      </w:r>
      <w:r>
        <w:rPr>
          <w:rFonts w:hint="eastAsia" w:ascii="仿宋_GB2312" w:hAnsi="仿宋_GB2312" w:eastAsia="仿宋_GB2312" w:cs="仿宋_GB2312"/>
          <w:color w:val="000000"/>
          <w:sz w:val="24"/>
          <w:szCs w:val="24"/>
        </w:rPr>
        <w:t xml:space="preserve">元/平方米 </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公厕管护</w:t>
      </w:r>
      <w:r>
        <w:rPr>
          <w:rFonts w:hint="eastAsia" w:ascii="仿宋_GB2312" w:hAnsi="仿宋_GB2312" w:eastAsia="仿宋_GB2312" w:cs="仿宋_GB2312"/>
          <w:b/>
          <w:bCs/>
          <w:color w:val="000000"/>
          <w:sz w:val="24"/>
          <w:szCs w:val="24"/>
          <w:u w:val="single"/>
          <w:lang w:val="en-US" w:eastAsia="zh-CN"/>
        </w:rPr>
        <w:t xml:space="preserve">    </w:t>
      </w:r>
      <w:r>
        <w:rPr>
          <w:rFonts w:hint="eastAsia" w:ascii="仿宋_GB2312" w:hAnsi="仿宋_GB2312" w:eastAsia="仿宋_GB2312" w:cs="仿宋_GB2312"/>
          <w:color w:val="000000"/>
          <w:sz w:val="24"/>
          <w:szCs w:val="24"/>
        </w:rPr>
        <w:t>元/每座</w:t>
      </w:r>
      <w:r>
        <w:rPr>
          <w:rFonts w:hint="eastAsia" w:ascii="仿宋_GB2312" w:hAnsi="仿宋_GB2312" w:eastAsia="仿宋_GB2312" w:cs="仿宋_GB2312"/>
          <w:color w:val="000000"/>
          <w:sz w:val="24"/>
          <w:szCs w:val="24"/>
          <w:lang w:val="en-US" w:eastAsia="zh-CN"/>
        </w:rPr>
        <w:t>/年</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垃圾清运</w:t>
      </w:r>
      <w:r>
        <w:rPr>
          <w:rFonts w:hint="eastAsia" w:ascii="仿宋_GB2312" w:hAnsi="仿宋_GB2312" w:eastAsia="仿宋_GB2312" w:cs="仿宋_GB2312"/>
          <w:b/>
          <w:bCs/>
          <w:color w:val="000000"/>
          <w:sz w:val="24"/>
          <w:szCs w:val="24"/>
          <w:u w:val="single"/>
          <w:lang w:val="en-US" w:eastAsia="zh-CN"/>
        </w:rPr>
        <w:t xml:space="preserve">    </w:t>
      </w:r>
      <w:r>
        <w:rPr>
          <w:rFonts w:hint="eastAsia" w:ascii="仿宋_GB2312" w:hAnsi="仿宋_GB2312" w:eastAsia="仿宋_GB2312" w:cs="仿宋_GB2312"/>
          <w:color w:val="000000"/>
          <w:sz w:val="24"/>
          <w:szCs w:val="24"/>
        </w:rPr>
        <w:t xml:space="preserve">元/月。 </w:t>
      </w:r>
    </w:p>
    <w:p>
      <w:pPr>
        <w:spacing w:line="240" w:lineRule="auto"/>
        <w:ind w:firstLine="482" w:firstLineChars="20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注：合同总金额包括人员工资、福利、</w:t>
      </w:r>
      <w:r>
        <w:rPr>
          <w:rFonts w:hint="eastAsia" w:ascii="仿宋_GB2312" w:hAnsi="仿宋_GB2312" w:eastAsia="仿宋_GB2312" w:cs="仿宋_GB2312"/>
          <w:b/>
          <w:bCs/>
          <w:color w:val="000000"/>
          <w:sz w:val="24"/>
          <w:szCs w:val="24"/>
          <w:lang w:val="en-US" w:eastAsia="zh-CN"/>
        </w:rPr>
        <w:t>社保（养老、医疗、工伤等保险）</w:t>
      </w:r>
      <w:r>
        <w:rPr>
          <w:rFonts w:hint="eastAsia" w:ascii="仿宋_GB2312" w:hAnsi="仿宋_GB2312" w:eastAsia="仿宋_GB2312" w:cs="仿宋_GB2312"/>
          <w:b/>
          <w:bCs/>
          <w:color w:val="000000"/>
          <w:sz w:val="24"/>
          <w:szCs w:val="24"/>
        </w:rPr>
        <w:t>、劳保用品、融雪剂、工具、车辆设备</w:t>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b/>
          <w:bCs/>
          <w:color w:val="000000"/>
          <w:sz w:val="24"/>
          <w:szCs w:val="24"/>
        </w:rPr>
        <w:t>机械及其维修、工具房租用、迎检加班和突发处置费用、应急物资等作业成本以及适当的管理费用、利润、税金、风险金（保险、处理一切意外伤亡事故等费用）</w:t>
      </w:r>
      <w:r>
        <w:rPr>
          <w:rFonts w:hint="eastAsia" w:ascii="仿宋_GB2312" w:hAnsi="仿宋_GB2312" w:eastAsia="仿宋_GB2312" w:cs="仿宋_GB2312"/>
          <w:b/>
          <w:bCs/>
          <w:color w:val="000000"/>
          <w:sz w:val="24"/>
          <w:szCs w:val="24"/>
          <w:lang w:eastAsia="zh-CN"/>
        </w:rPr>
        <w:t>办公用房的租赁</w:t>
      </w:r>
      <w:r>
        <w:rPr>
          <w:rFonts w:hint="eastAsia" w:ascii="仿宋_GB2312" w:hAnsi="仿宋_GB2312" w:eastAsia="仿宋_GB2312" w:cs="仿宋_GB2312"/>
          <w:b/>
          <w:bCs/>
          <w:color w:val="000000"/>
          <w:sz w:val="24"/>
          <w:szCs w:val="24"/>
        </w:rPr>
        <w:t>等其他一切费用。</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2.承包经费的支付方法及金额：</w:t>
      </w:r>
      <w:r>
        <w:rPr>
          <w:rFonts w:hint="eastAsia" w:ascii="仿宋_GB2312" w:hAnsi="仿宋_GB2312" w:eastAsia="仿宋_GB2312" w:cs="仿宋_GB2312"/>
          <w:color w:val="000000"/>
          <w:sz w:val="24"/>
          <w:szCs w:val="24"/>
          <w:lang w:val="en-US" w:eastAsia="zh-CN"/>
        </w:rPr>
        <w:t>乙方在支付保洁员工资后，</w:t>
      </w:r>
      <w:r>
        <w:rPr>
          <w:rFonts w:hint="eastAsia" w:ascii="仿宋_GB2312" w:hAnsi="仿宋_GB2312" w:eastAsia="仿宋_GB2312" w:cs="仿宋_GB2312"/>
          <w:color w:val="000000"/>
          <w:sz w:val="24"/>
          <w:szCs w:val="24"/>
        </w:rPr>
        <w:t>由甲方依照检查考核情况按月付款，支付上月实际完成的任务款,乙方在收款时应出具正式的发票。</w:t>
      </w:r>
    </w:p>
    <w:p>
      <w:pPr>
        <w:spacing w:line="240" w:lineRule="auto"/>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3.本合同的承包经费由财政拨款，如遇特殊原因，财政资金未按时拨付到甲方，乙方不得以甲方未按时拨付服务费用为由，而不履行合同规定的服务义务或对甲方提出诉讼。</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4.协议有效期满</w:t>
      </w:r>
      <w:r>
        <w:rPr>
          <w:rFonts w:hint="eastAsia" w:ascii="仿宋_GB2312" w:hAnsi="仿宋_GB2312" w:eastAsia="仿宋_GB2312" w:cs="仿宋_GB2312"/>
          <w:color w:val="000000"/>
          <w:sz w:val="24"/>
          <w:szCs w:val="24"/>
          <w:lang w:eastAsia="zh-CN"/>
        </w:rPr>
        <w:t>后</w:t>
      </w:r>
      <w:r>
        <w:rPr>
          <w:rFonts w:hint="eastAsia" w:ascii="仿宋_GB2312" w:hAnsi="仿宋_GB2312" w:eastAsia="仿宋_GB2312" w:cs="仿宋_GB2312"/>
          <w:color w:val="000000"/>
          <w:sz w:val="24"/>
          <w:szCs w:val="24"/>
        </w:rPr>
        <w:t>甲方将重新招标确定本服务项目中标人，乙方应积极配合甲方完成相关手续的交接。乙方必须完成相关工作交接后，甲方再支付上月承包经费。如乙方不能按要求完成相关交接手续，每逾期一天乙方自愿向甲方支付每天5000元的违约金，该费用在甲方应付的承包经费中扣除。</w:t>
      </w:r>
    </w:p>
    <w:p>
      <w:pPr>
        <w:spacing w:line="240" w:lineRule="auto"/>
        <w:ind w:firstLine="480" w:firstLineChars="200"/>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sz w:val="24"/>
          <w:szCs w:val="24"/>
          <w:lang w:val="en-US" w:eastAsia="zh-CN"/>
        </w:rPr>
        <w:t>乙方在甲方未拨付服务费的情况下，必须有垫付保洁员工资三个月以上的能力。</w:t>
      </w:r>
    </w:p>
    <w:p>
      <w:p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八、承包责任</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发包方(甲方)责任</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1.乙方按照本协议的内容完成工作的，甲方有向乙方按时支付承包费的义务。</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2.在履行本协议期间，甲方可向乙方提供业务指导，协助乙方克服在服务中遇到的困难。</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3.每月不定期组织对乙方的作业质量情况进行检查考核。</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4.甲方对乙方在日常作业工作中负有监督管理的责任。</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5.甲方有权对乙方环卫工人的工资、福利、保险、工具的发放和配备进行监督</w:t>
      </w:r>
      <w:r>
        <w:rPr>
          <w:rFonts w:hint="eastAsia" w:ascii="仿宋_GB2312" w:hAnsi="仿宋_GB2312" w:eastAsia="仿宋_GB2312" w:cs="仿宋_GB2312"/>
          <w:color w:val="000000"/>
          <w:sz w:val="24"/>
          <w:szCs w:val="24"/>
          <w:lang w:val="en-US" w:eastAsia="zh-CN"/>
        </w:rPr>
        <w:t>和</w:t>
      </w:r>
      <w:r>
        <w:rPr>
          <w:rFonts w:hint="eastAsia" w:ascii="仿宋_GB2312" w:hAnsi="仿宋_GB2312" w:eastAsia="仿宋_GB2312" w:cs="仿宋_GB2312"/>
          <w:color w:val="000000"/>
          <w:sz w:val="24"/>
          <w:szCs w:val="24"/>
        </w:rPr>
        <w:t>检查。</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承包方〔乙方)责任：</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必须在本合同签订之日起5日内与现有环卫工人按照《中华人民共和国劳动合同法》签订劳动合同，环卫工人工资福利待遇不低于现行标准（如遇市上保洁员待遇政策调整，必须按照市上相关文件要求严格执行），确保环卫工人劳动关系顺利转接，否则甲方有权暂缓拨付乙方服务费，直至环卫工人全部签订劳动合同为止。由于乙方未及时与环卫工签订劳动合同的原因，造成环卫工人与甲方发生争议的，由此产生的一切后果由乙方承担。</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2.乙方负责承包范围内的安全作业管理，严格按有关部门的要求、制定</w:t>
      </w:r>
      <w:r>
        <w:rPr>
          <w:rFonts w:hint="eastAsia" w:ascii="仿宋_GB2312" w:hAnsi="仿宋_GB2312" w:eastAsia="仿宋_GB2312" w:cs="仿宋_GB2312"/>
          <w:color w:val="000000"/>
          <w:sz w:val="24"/>
          <w:szCs w:val="24"/>
          <w:lang w:val="en-US" w:eastAsia="zh-CN"/>
        </w:rPr>
        <w:t>相关</w:t>
      </w:r>
      <w:r>
        <w:rPr>
          <w:rFonts w:hint="eastAsia" w:ascii="仿宋_GB2312" w:hAnsi="仿宋_GB2312" w:eastAsia="仿宋_GB2312" w:cs="仿宋_GB2312"/>
          <w:color w:val="000000"/>
          <w:sz w:val="24"/>
          <w:szCs w:val="24"/>
        </w:rPr>
        <w:t>规章制度。</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3.乙方负责本单位人员的思想教育、安全教育、专业</w:t>
      </w:r>
      <w:r>
        <w:rPr>
          <w:rFonts w:hint="eastAsia" w:ascii="仿宋_GB2312" w:hAnsi="仿宋_GB2312" w:eastAsia="仿宋_GB2312" w:cs="仿宋_GB2312"/>
          <w:color w:val="000000"/>
          <w:sz w:val="24"/>
          <w:szCs w:val="24"/>
          <w:lang w:eastAsia="zh-CN"/>
        </w:rPr>
        <w:t>技能</w:t>
      </w:r>
      <w:r>
        <w:rPr>
          <w:rFonts w:hint="eastAsia" w:ascii="仿宋_GB2312" w:hAnsi="仿宋_GB2312" w:eastAsia="仿宋_GB2312" w:cs="仿宋_GB2312"/>
          <w:color w:val="000000"/>
          <w:sz w:val="24"/>
          <w:szCs w:val="24"/>
        </w:rPr>
        <w:t>培训，确保员工做到遵纪守法持证上岗。</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4.乙方须按市、县相关文件要求的作业时间和作业质量配足作业机</w:t>
      </w:r>
      <w:r>
        <w:rPr>
          <w:rFonts w:hint="eastAsia" w:ascii="仿宋_GB2312" w:hAnsi="仿宋_GB2312" w:eastAsia="仿宋_GB2312" w:cs="仿宋_GB2312"/>
          <w:color w:val="000000"/>
          <w:sz w:val="24"/>
          <w:szCs w:val="24"/>
          <w:lang w:val="en-US" w:eastAsia="zh-CN"/>
        </w:rPr>
        <w:t>械</w:t>
      </w:r>
      <w:r>
        <w:rPr>
          <w:rFonts w:hint="eastAsia" w:ascii="仿宋_GB2312" w:hAnsi="仿宋_GB2312" w:eastAsia="仿宋_GB2312" w:cs="仿宋_GB2312"/>
          <w:color w:val="000000"/>
          <w:sz w:val="24"/>
          <w:szCs w:val="24"/>
        </w:rPr>
        <w:t>和环卫作业人员，按时完成作业任务。</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5.乙方在承包期内未能及时清理路面保洁范围内的杂物、油污等以及清理不到位而引发的交通安全责任事故造成人员伤亡和财产损失的，乙方应承担相应的法律责任和赔偿等一切责任。</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6.乙方应建立健全安全生产管理制度、档案，服从甲方及相关行政管理部门的安全生产管理</w:t>
      </w:r>
      <w:r>
        <w:rPr>
          <w:rFonts w:hint="eastAsia" w:ascii="仿宋_GB2312" w:hAnsi="仿宋_GB2312" w:eastAsia="仿宋_GB2312" w:cs="仿宋_GB2312"/>
          <w:color w:val="000000"/>
          <w:sz w:val="24"/>
          <w:szCs w:val="24"/>
          <w:lang w:val="en-US" w:eastAsia="zh-CN"/>
        </w:rPr>
        <w:t>要求</w:t>
      </w:r>
      <w:r>
        <w:rPr>
          <w:rFonts w:hint="eastAsia" w:ascii="仿宋_GB2312" w:hAnsi="仿宋_GB2312" w:eastAsia="仿宋_GB2312" w:cs="仿宋_GB2312"/>
          <w:color w:val="000000"/>
          <w:sz w:val="24"/>
          <w:szCs w:val="24"/>
        </w:rPr>
        <w:t>。</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7.乙方在承包期内由于工作人员发生各种事故:包括安全生产、治安、交通、防火、工伤、劳资纠纷等事件，所造成一切后果及损失，由乙方承担责任和负责赔偿。</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8.乙方按国家财务政策规定依法设立财务账本，劳动工资统计台账，依法纳税，保证为工人购买社保等，每月报送财务报表，并接受财务检查、审计。按有关部门的要求完成有关数据报送工作。</w:t>
      </w:r>
    </w:p>
    <w:p>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9.乙方应遵守《</w:t>
      </w:r>
      <w:r>
        <w:rPr>
          <w:rFonts w:hint="eastAsia" w:ascii="仿宋_GB2312" w:hAnsi="仿宋_GB2312" w:eastAsia="仿宋_GB2312" w:cs="仿宋_GB2312"/>
          <w:color w:val="000000"/>
          <w:kern w:val="2"/>
          <w:sz w:val="24"/>
          <w:szCs w:val="24"/>
        </w:rPr>
        <w:t>中华人民共和国劳动法》等</w:t>
      </w:r>
      <w:r>
        <w:rPr>
          <w:rFonts w:hint="eastAsia" w:ascii="仿宋_GB2312" w:hAnsi="仿宋_GB2312" w:eastAsia="仿宋_GB2312" w:cs="仿宋_GB2312"/>
          <w:color w:val="000000"/>
          <w:sz w:val="24"/>
          <w:szCs w:val="24"/>
        </w:rPr>
        <w:t>有关法律、法规，按国家、省、市有关规定与雇佣人员签订用工合同，支付工人工资、购买社保等有关保险及劳保用品，清扫保洁及管理人员上路必须穿着反光背心。同时，应完善人事管理制度，建立人事档案和员工名册，每月向员工发放工资时须向员工提供工资单。工资单的内容须至少包含基本工资，正常工作日、双休日、法定节假日、带薪年假等加班费，高温津贴，降温费、取暖费，各类社保等项目金额。并须接受甲方对其投入本承包项目员工工资发放和为员工办理各类社保情况的监督。</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乙方要建立环卫应急预案制度。准备一支不少于10人的应急队伍和机械设备及所需的应急物资，由甲方调配，用于处置突发性事件、各项检查、突击整治及重大活动中的环境卫生保障工作，一旦发生上述情况，乙方必须确保人员机械设备及时到位。应急人员、机械设备所发生的费用包含在总承包费用中，不另行追加。</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11.乙方应加强对环卫工人维稳管理，及时化解矛盾，严禁出现环卫工人</w:t>
      </w:r>
      <w:r>
        <w:rPr>
          <w:rFonts w:hint="eastAsia" w:ascii="仿宋_GB2312" w:hAnsi="仿宋_GB2312" w:eastAsia="仿宋_GB2312" w:cs="仿宋_GB2312"/>
          <w:color w:val="000000"/>
          <w:sz w:val="24"/>
          <w:szCs w:val="24"/>
          <w:lang w:val="en-US" w:eastAsia="zh-CN"/>
        </w:rPr>
        <w:t>集体</w:t>
      </w:r>
      <w:r>
        <w:rPr>
          <w:rFonts w:hint="eastAsia" w:ascii="仿宋_GB2312" w:hAnsi="仿宋_GB2312" w:eastAsia="仿宋_GB2312" w:cs="仿宋_GB2312"/>
          <w:color w:val="000000"/>
          <w:sz w:val="24"/>
          <w:szCs w:val="24"/>
        </w:rPr>
        <w:t>上访现象，如因乙方原因</w:t>
      </w:r>
      <w:r>
        <w:rPr>
          <w:rFonts w:hint="eastAsia" w:ascii="仿宋_GB2312" w:hAnsi="仿宋_GB2312" w:eastAsia="仿宋_GB2312" w:cs="仿宋_GB2312"/>
          <w:color w:val="000000"/>
          <w:sz w:val="24"/>
          <w:szCs w:val="24"/>
          <w:lang w:val="en-US" w:eastAsia="zh-CN"/>
        </w:rPr>
        <w:t>导致</w:t>
      </w:r>
      <w:r>
        <w:rPr>
          <w:rFonts w:hint="eastAsia" w:ascii="仿宋_GB2312" w:hAnsi="仿宋_GB2312" w:eastAsia="仿宋_GB2312" w:cs="仿宋_GB2312"/>
          <w:color w:val="000000"/>
          <w:sz w:val="24"/>
          <w:szCs w:val="24"/>
        </w:rPr>
        <w:t>环卫工人出现</w:t>
      </w:r>
      <w:r>
        <w:rPr>
          <w:rFonts w:hint="eastAsia" w:ascii="仿宋_GB2312" w:hAnsi="仿宋_GB2312" w:eastAsia="仿宋_GB2312" w:cs="仿宋_GB2312"/>
          <w:color w:val="000000"/>
          <w:sz w:val="24"/>
          <w:szCs w:val="24"/>
          <w:lang w:val="en-US" w:eastAsia="zh-CN"/>
        </w:rPr>
        <w:t>集体</w:t>
      </w:r>
      <w:r>
        <w:rPr>
          <w:rFonts w:hint="eastAsia" w:ascii="仿宋_GB2312" w:hAnsi="仿宋_GB2312" w:eastAsia="仿宋_GB2312" w:cs="仿宋_GB2312"/>
          <w:color w:val="000000"/>
          <w:sz w:val="24"/>
          <w:szCs w:val="24"/>
        </w:rPr>
        <w:t>上访、投诉</w:t>
      </w:r>
      <w:r>
        <w:rPr>
          <w:rFonts w:hint="eastAsia" w:ascii="仿宋_GB2312" w:hAnsi="仿宋_GB2312" w:eastAsia="仿宋_GB2312" w:cs="仿宋_GB2312"/>
          <w:color w:val="000000"/>
          <w:sz w:val="24"/>
          <w:szCs w:val="24"/>
          <w:lang w:val="en-US" w:eastAsia="zh-CN"/>
        </w:rPr>
        <w:t>等</w:t>
      </w:r>
      <w:r>
        <w:rPr>
          <w:rFonts w:hint="eastAsia" w:ascii="仿宋_GB2312" w:hAnsi="仿宋_GB2312" w:eastAsia="仿宋_GB2312" w:cs="仿宋_GB2312"/>
          <w:color w:val="000000"/>
          <w:sz w:val="24"/>
          <w:szCs w:val="24"/>
        </w:rPr>
        <w:t>现象每次扣除乙方服务费</w:t>
      </w:r>
      <w:r>
        <w:rPr>
          <w:rFonts w:hint="eastAsia" w:ascii="仿宋_GB2312" w:hAnsi="仿宋_GB2312" w:eastAsia="仿宋_GB2312" w:cs="仿宋_GB2312"/>
          <w:color w:val="000000"/>
          <w:sz w:val="24"/>
          <w:szCs w:val="24"/>
          <w:lang w:val="en-US" w:eastAsia="zh-CN"/>
        </w:rPr>
        <w:t>3000</w:t>
      </w:r>
      <w:r>
        <w:rPr>
          <w:rFonts w:hint="eastAsia" w:ascii="仿宋_GB2312" w:hAnsi="仿宋_GB2312" w:eastAsia="仿宋_GB2312" w:cs="仿宋_GB2312"/>
          <w:color w:val="000000"/>
          <w:sz w:val="24"/>
          <w:szCs w:val="24"/>
        </w:rPr>
        <w:t>元。</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12.乙方应对承包范围内的人员配备情况</w:t>
      </w:r>
      <w:r>
        <w:rPr>
          <w:rFonts w:hint="eastAsia" w:ascii="仿宋_GB2312" w:hAnsi="仿宋_GB2312" w:eastAsia="仿宋_GB2312" w:cs="仿宋_GB2312"/>
          <w:color w:val="000000"/>
          <w:sz w:val="24"/>
          <w:szCs w:val="24"/>
          <w:lang w:val="en-US" w:eastAsia="zh-CN"/>
        </w:rPr>
        <w:t>每月5日前</w:t>
      </w:r>
      <w:r>
        <w:rPr>
          <w:rFonts w:hint="eastAsia" w:ascii="仿宋_GB2312" w:hAnsi="仿宋_GB2312" w:eastAsia="仿宋_GB2312" w:cs="仿宋_GB2312"/>
          <w:color w:val="000000"/>
          <w:sz w:val="24"/>
          <w:szCs w:val="24"/>
        </w:rPr>
        <w:t>向甲方提供人员花名册，人员变化时应向甲方备案。</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13.乙方需对保洁员行为及服装进行规范，上班期间必须穿着反光标志服，并保持干净整洁，夏季不得敞胸露背、赤脚或穿拖鞋。</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default" w:eastAsia="仿宋_GB2312"/>
          <w:sz w:val="18"/>
          <w:szCs w:val="21"/>
          <w:lang w:val="en-US" w:eastAsia="zh-CN"/>
        </w:rPr>
      </w:pPr>
      <w:r>
        <w:rPr>
          <w:rFonts w:hint="eastAsia" w:ascii="仿宋_GB2312" w:hAnsi="仿宋_GB2312" w:eastAsia="仿宋_GB2312" w:cs="仿宋_GB2312"/>
          <w:color w:val="000000"/>
          <w:sz w:val="24"/>
          <w:szCs w:val="24"/>
          <w:lang w:val="en-US" w:eastAsia="zh-CN"/>
        </w:rPr>
        <w:t>14、乙方在合同签订后必须配备相应的洒水车、机扫车、冲洗车等作业车辆、设备，确保按照甲方的作业质量标准，做好清扫保洁工作。</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九、违约责任</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1.未经甲方同意，乙方不得将承包项目进行转包或部分分包，否则将视为乙方违约，甲方有权解除协议，由此造成的损失由乙方承担。</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承包期间，经甲方检查核实，乙方没有按法律、法规足额缴纳工人各类社保金或各类津贴及拖欠工人工资等，甲方有权督促乙方及时纠正向工人核补所欠工资、社保等;如乙方不及时纠正或不予纠正，甲方可扣减乙方当月承包经费用于支付所欠工人的费用、并交由政府相关职能部门处理且有权解除承包合同。</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3.如因乙方引起的劳资纠纷问题，影响正常工作的，甲方有权另行聘请人员确保正常工作，所产生的费用在承包经费中相应扣减。</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4.在履行协议期间，若乙方违约导致本协议终止，乙方需按本协议规定年承包总额的</w:t>
      </w:r>
      <w:r>
        <w:rPr>
          <w:rFonts w:hint="eastAsia" w:ascii="仿宋_GB2312" w:hAnsi="仿宋_GB2312" w:eastAsia="仿宋_GB2312" w:cs="仿宋_GB2312"/>
          <w:color w:val="000000"/>
          <w:sz w:val="24"/>
          <w:szCs w:val="24"/>
          <w:lang w:val="en-US" w:eastAsia="zh-CN"/>
        </w:rPr>
        <w:t>30</w:t>
      </w:r>
      <w:r>
        <w:rPr>
          <w:rFonts w:hint="eastAsia" w:ascii="仿宋_GB2312" w:hAnsi="仿宋_GB2312" w:eastAsia="仿宋_GB2312" w:cs="仿宋_GB2312"/>
          <w:color w:val="000000"/>
          <w:sz w:val="24"/>
          <w:szCs w:val="24"/>
        </w:rPr>
        <w:t>%向甲方支付违约金，违约金不足弥补给甲方造成损失的，甲方有权向乙方提出赔偿要求。</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5.承包期间。双方必须严格履行协议，在执行过程中，如遇未尽事宜(含政府有关部门的政策、作业标准、作业时间调整等)，双方协商解决，单方面无权变更。</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6.承包期内，如因乙方违反法律、法规及国家有关政策造成严重后果的，甲方可以解除协议。</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7.发生单方违约，且经协调不果，另一方可在服务所在地人民法院进行法律诉讼，追究违约方相应的法律责任和经济责任。</w:t>
      </w:r>
    </w:p>
    <w:p>
      <w:p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十、其它</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1.本合同所有附件和中标通知书均为合同的有效组成部分，与本合同具有同等法律效力。</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2.本协议未尽事宜，由甲乙双方协商解决，可另行签订补充协议；补充协议与本协议具有同等法律效力。</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3.除甲方事先书面同意外，乙方不得部分或全部转让其应履行的合同项下的义务。</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4.本合同一式肆份，甲乙双方各执两份。</w:t>
      </w:r>
    </w:p>
    <w:p>
      <w:pPr>
        <w:pStyle w:val="24"/>
        <w:spacing w:line="240" w:lineRule="auto"/>
        <w:ind w:firstLine="640"/>
        <w:rPr>
          <w:rFonts w:hint="eastAsia" w:ascii="仿宋_GB2312" w:hAnsi="仿宋_GB2312" w:eastAsia="仿宋_GB2312" w:cs="仿宋_GB2312"/>
          <w:color w:val="000000"/>
          <w:sz w:val="24"/>
          <w:szCs w:val="24"/>
        </w:rPr>
      </w:pPr>
    </w:p>
    <w:p>
      <w:pPr>
        <w:pStyle w:val="24"/>
        <w:spacing w:line="240" w:lineRule="auto"/>
        <w:ind w:firstLine="64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附件：1.承包范围清单</w:t>
      </w:r>
    </w:p>
    <w:p>
      <w:pPr>
        <w:pStyle w:val="24"/>
        <w:spacing w:line="240" w:lineRule="auto"/>
        <w:ind w:firstLine="0" w:firstLineChars="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2.周至县城市道路清扫保洁检查考核办法</w:t>
      </w:r>
    </w:p>
    <w:p>
      <w:pPr>
        <w:pStyle w:val="24"/>
        <w:spacing w:line="240" w:lineRule="auto"/>
        <w:ind w:firstLine="0" w:firstLineChars="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3.周至县城市道路清扫保洁检查考核评分细则</w:t>
      </w:r>
    </w:p>
    <w:p>
      <w:pPr>
        <w:pStyle w:val="24"/>
        <w:spacing w:line="240" w:lineRule="auto"/>
        <w:ind w:firstLine="1200" w:firstLineChars="5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4.周至县市容环境卫生管理工作标准</w:t>
      </w:r>
    </w:p>
    <w:p>
      <w:pPr>
        <w:pStyle w:val="24"/>
        <w:spacing w:line="240" w:lineRule="auto"/>
        <w:ind w:firstLine="1200" w:firstLineChars="5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5.周至县生活垃圾清运管理考核办法</w:t>
      </w:r>
    </w:p>
    <w:p>
      <w:pPr>
        <w:pStyle w:val="24"/>
        <w:spacing w:line="240" w:lineRule="auto"/>
        <w:ind w:firstLine="1200" w:firstLineChars="5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6.周至县公共厕所管理标准</w:t>
      </w:r>
    </w:p>
    <w:p>
      <w:pPr>
        <w:pStyle w:val="24"/>
        <w:spacing w:line="240" w:lineRule="auto"/>
        <w:ind w:firstLine="1200" w:firstLineChars="5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7.周至县公共厕所管理考核评分标准</w:t>
      </w:r>
    </w:p>
    <w:p>
      <w:pPr>
        <w:pStyle w:val="24"/>
        <w:spacing w:line="240" w:lineRule="auto"/>
        <w:ind w:firstLine="1200" w:firstLineChars="500"/>
        <w:rPr>
          <w:rFonts w:hint="eastAsia" w:ascii="仿宋_GB2312" w:hAnsi="仿宋_GB2312" w:eastAsia="仿宋_GB2312" w:cs="仿宋_GB2312"/>
          <w:color w:val="000000"/>
          <w:sz w:val="24"/>
          <w:szCs w:val="24"/>
        </w:rPr>
      </w:pPr>
    </w:p>
    <w:p>
      <w:pPr>
        <w:pStyle w:val="24"/>
        <w:spacing w:line="240" w:lineRule="auto"/>
        <w:ind w:firstLine="64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甲方（盖章）：                 乙方（盖章）：</w:t>
      </w:r>
    </w:p>
    <w:p>
      <w:pPr>
        <w:pStyle w:val="24"/>
        <w:spacing w:line="240" w:lineRule="auto"/>
        <w:ind w:firstLine="64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法定代表人：                   法人代表：</w:t>
      </w:r>
    </w:p>
    <w:p>
      <w:pPr>
        <w:pStyle w:val="24"/>
        <w:spacing w:line="240" w:lineRule="auto"/>
        <w:ind w:left="0" w:leftChars="0"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委托代理人:                    委托代理人:</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单位地址：                     单位地址：</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邮政编码：                     邮政编码：</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联系电话：                     联系电话：</w:t>
      </w:r>
    </w:p>
    <w:p>
      <w:pPr>
        <w:bidi w:val="0"/>
        <w:spacing w:line="240" w:lineRule="auto"/>
        <w:rPr>
          <w:rFonts w:hint="eastAsia"/>
          <w:sz w:val="18"/>
          <w:szCs w:val="21"/>
        </w:rPr>
      </w:pPr>
    </w:p>
    <w:p>
      <w:pPr>
        <w:bidi w:val="0"/>
        <w:spacing w:line="240" w:lineRule="auto"/>
        <w:rPr>
          <w:rFonts w:hint="eastAsia"/>
          <w:sz w:val="18"/>
          <w:szCs w:val="21"/>
        </w:rPr>
      </w:pPr>
    </w:p>
    <w:p>
      <w:pPr>
        <w:tabs>
          <w:tab w:val="left" w:pos="501"/>
        </w:tabs>
        <w:bidi w:val="0"/>
        <w:spacing w:line="240" w:lineRule="auto"/>
        <w:jc w:val="left"/>
        <w:rPr>
          <w:rFonts w:hint="eastAsia" w:eastAsia="宋体"/>
          <w:sz w:val="18"/>
          <w:szCs w:val="21"/>
          <w:lang w:eastAsia="zh-CN"/>
        </w:rPr>
        <w:sectPr>
          <w:footerReference r:id="rId7" w:type="default"/>
          <w:pgSz w:w="11906" w:h="16838"/>
          <w:pgMar w:top="1440" w:right="1800" w:bottom="1440" w:left="1800" w:header="851" w:footer="992" w:gutter="0"/>
          <w:pgNumType w:start="1"/>
          <w:cols w:space="720" w:num="1"/>
          <w:docGrid w:type="lines" w:linePitch="312" w:charSpace="0"/>
        </w:sectPr>
      </w:pPr>
    </w:p>
    <w:p>
      <w:pPr>
        <w:spacing w:line="240" w:lineRule="auto"/>
        <w:rPr>
          <w:rFonts w:hint="eastAsia"/>
          <w:sz w:val="18"/>
          <w:szCs w:val="21"/>
          <w:lang w:val="en-US" w:eastAsia="zh-CN"/>
        </w:rPr>
      </w:pPr>
      <w:r>
        <w:rPr>
          <w:rFonts w:hint="eastAsia"/>
          <w:sz w:val="18"/>
          <w:szCs w:val="21"/>
          <w:lang w:val="en-US" w:eastAsia="zh-CN"/>
        </w:rPr>
        <w:t xml:space="preserve">附件一 </w:t>
      </w:r>
    </w:p>
    <w:tbl>
      <w:tblPr>
        <w:tblStyle w:val="2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2379"/>
        <w:gridCol w:w="1445"/>
        <w:gridCol w:w="1076"/>
        <w:gridCol w:w="2861"/>
        <w:gridCol w:w="1283"/>
        <w:gridCol w:w="1711"/>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000" w:type="pct"/>
            <w:gridSpan w:val="8"/>
            <w:noWrap w:val="0"/>
            <w:vAlign w:val="top"/>
          </w:tcPr>
          <w:p>
            <w:pPr>
              <w:tabs>
                <w:tab w:val="left" w:pos="4813"/>
              </w:tabs>
              <w:jc w:val="center"/>
              <w:rPr>
                <w:rFonts w:hint="eastAsia"/>
                <w:sz w:val="21"/>
                <w:szCs w:val="21"/>
                <w:vertAlign w:val="baseline"/>
                <w:lang w:val="en-US" w:eastAsia="zh-CN"/>
              </w:rPr>
            </w:pPr>
            <w:r>
              <w:rPr>
                <w:rFonts w:hint="eastAsia"/>
                <w:sz w:val="28"/>
                <w:szCs w:val="28"/>
                <w:lang w:val="en-US" w:eastAsia="zh-CN"/>
              </w:rPr>
              <w:t>第一包</w:t>
            </w:r>
            <w:r>
              <w:rPr>
                <w:rFonts w:hint="eastAsia"/>
                <w:sz w:val="28"/>
                <w:szCs w:val="28"/>
              </w:rPr>
              <w:t>承包范围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道路名称</w:t>
            </w:r>
          </w:p>
        </w:tc>
        <w:tc>
          <w:tcPr>
            <w:tcW w:w="840" w:type="pct"/>
            <w:noWrap w:val="0"/>
            <w:vAlign w:val="top"/>
          </w:tcPr>
          <w:p>
            <w:pPr>
              <w:jc w:val="center"/>
              <w:rPr>
                <w:rFonts w:hint="default" w:ascii="Calibri" w:hAnsi="Calibri" w:eastAsia="宋体" w:cs="Times New Roman"/>
                <w:kern w:val="2"/>
                <w:sz w:val="21"/>
                <w:szCs w:val="21"/>
                <w:vertAlign w:val="baseline"/>
                <w:lang w:val="en-US" w:eastAsia="zh-CN" w:bidi="ar-SA"/>
              </w:rPr>
            </w:pPr>
            <w:r>
              <w:rPr>
                <w:rFonts w:hint="eastAsia"/>
                <w:sz w:val="21"/>
                <w:szCs w:val="21"/>
                <w:vertAlign w:val="baseline"/>
                <w:lang w:val="en-US" w:eastAsia="zh-CN"/>
              </w:rPr>
              <w:t>起     止</w:t>
            </w:r>
          </w:p>
        </w:tc>
        <w:tc>
          <w:tcPr>
            <w:tcW w:w="510" w:type="pct"/>
            <w:noWrap w:val="0"/>
            <w:vAlign w:val="top"/>
          </w:tcPr>
          <w:p>
            <w:pPr>
              <w:jc w:val="center"/>
              <w:rPr>
                <w:rFonts w:hint="default" w:ascii="Calibri" w:hAnsi="Calibri" w:eastAsia="宋体" w:cs="Times New Roman"/>
                <w:kern w:val="2"/>
                <w:sz w:val="21"/>
                <w:szCs w:val="21"/>
                <w:vertAlign w:val="baseline"/>
                <w:lang w:val="en-US" w:eastAsia="zh-CN" w:bidi="ar-SA"/>
              </w:rPr>
            </w:pPr>
            <w:r>
              <w:rPr>
                <w:rFonts w:hint="eastAsia"/>
                <w:sz w:val="21"/>
                <w:szCs w:val="21"/>
                <w:vertAlign w:val="baseline"/>
                <w:lang w:val="en-US" w:eastAsia="zh-CN"/>
              </w:rPr>
              <w:t>面积（平方米）</w:t>
            </w:r>
          </w:p>
        </w:tc>
        <w:tc>
          <w:tcPr>
            <w:tcW w:w="380" w:type="pct"/>
            <w:noWrap w:val="0"/>
            <w:vAlign w:val="top"/>
          </w:tcPr>
          <w:p>
            <w:pPr>
              <w:jc w:val="center"/>
              <w:rPr>
                <w:rFonts w:hint="default" w:ascii="Calibri" w:hAnsi="Calibri" w:eastAsia="宋体" w:cs="Times New Roman"/>
                <w:kern w:val="2"/>
                <w:sz w:val="21"/>
                <w:szCs w:val="21"/>
                <w:vertAlign w:val="baseline"/>
                <w:lang w:val="en-US" w:eastAsia="zh-CN" w:bidi="ar-SA"/>
              </w:rPr>
            </w:pPr>
            <w:r>
              <w:rPr>
                <w:rFonts w:hint="eastAsia"/>
                <w:sz w:val="21"/>
                <w:szCs w:val="21"/>
                <w:vertAlign w:val="baseline"/>
                <w:lang w:val="en-US" w:eastAsia="zh-CN"/>
              </w:rPr>
              <w:t>道路类别</w:t>
            </w:r>
          </w:p>
        </w:tc>
        <w:tc>
          <w:tcPr>
            <w:tcW w:w="1010" w:type="pct"/>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合计</w:t>
            </w:r>
          </w:p>
        </w:tc>
        <w:tc>
          <w:tcPr>
            <w:tcW w:w="453" w:type="pct"/>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垃圾收集点</w:t>
            </w:r>
          </w:p>
        </w:tc>
        <w:tc>
          <w:tcPr>
            <w:tcW w:w="604" w:type="pct"/>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公厕</w:t>
            </w:r>
          </w:p>
        </w:tc>
        <w:tc>
          <w:tcPr>
            <w:tcW w:w="604" w:type="pct"/>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垃圾清运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北环路</w:t>
            </w:r>
          </w:p>
        </w:tc>
        <w:tc>
          <w:tcPr>
            <w:tcW w:w="84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北环路西墙-教堂路</w:t>
            </w:r>
          </w:p>
        </w:tc>
        <w:tc>
          <w:tcPr>
            <w:tcW w:w="51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67884</w:t>
            </w:r>
          </w:p>
        </w:tc>
        <w:tc>
          <w:tcPr>
            <w:tcW w:w="3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一</w:t>
            </w:r>
          </w:p>
        </w:tc>
        <w:tc>
          <w:tcPr>
            <w:tcW w:w="1010" w:type="pct"/>
            <w:vMerge w:val="restart"/>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一类道路：199088.2平方米</w:t>
            </w:r>
          </w:p>
          <w:p>
            <w:pPr>
              <w:jc w:val="center"/>
              <w:rPr>
                <w:rFonts w:hint="eastAsia"/>
                <w:sz w:val="24"/>
                <w:szCs w:val="24"/>
                <w:vertAlign w:val="baseline"/>
                <w:lang w:val="en-US" w:eastAsia="zh-CN"/>
              </w:rPr>
            </w:pPr>
            <w:r>
              <w:rPr>
                <w:rFonts w:hint="eastAsia"/>
                <w:sz w:val="24"/>
                <w:szCs w:val="24"/>
                <w:vertAlign w:val="baseline"/>
                <w:lang w:val="en-US" w:eastAsia="zh-CN"/>
              </w:rPr>
              <w:t>二类道路：136742.5平方米</w:t>
            </w:r>
          </w:p>
          <w:p>
            <w:pPr>
              <w:jc w:val="center"/>
              <w:rPr>
                <w:rFonts w:hint="default"/>
                <w:sz w:val="24"/>
                <w:szCs w:val="24"/>
                <w:vertAlign w:val="baseline"/>
                <w:lang w:val="en-US" w:eastAsia="zh-CN"/>
              </w:rPr>
            </w:pPr>
            <w:r>
              <w:rPr>
                <w:rFonts w:hint="eastAsia"/>
                <w:sz w:val="24"/>
                <w:szCs w:val="24"/>
                <w:vertAlign w:val="baseline"/>
                <w:lang w:val="en-US" w:eastAsia="zh-CN"/>
              </w:rPr>
              <w:t>三类道路：10725平方米</w:t>
            </w:r>
          </w:p>
        </w:tc>
        <w:tc>
          <w:tcPr>
            <w:tcW w:w="453" w:type="pct"/>
            <w:vMerge w:val="restart"/>
            <w:noWrap w:val="0"/>
            <w:vAlign w:val="center"/>
          </w:tcPr>
          <w:p>
            <w:pPr>
              <w:bidi w:val="0"/>
              <w:jc w:val="center"/>
              <w:rPr>
                <w:rFonts w:hint="default"/>
                <w:sz w:val="24"/>
                <w:szCs w:val="24"/>
                <w:lang w:val="en-US" w:eastAsia="zh-CN"/>
              </w:rPr>
            </w:pPr>
            <w:r>
              <w:rPr>
                <w:rFonts w:hint="eastAsia"/>
                <w:sz w:val="24"/>
                <w:szCs w:val="24"/>
                <w:lang w:val="en-US" w:eastAsia="zh-CN"/>
              </w:rPr>
              <w:t>甲方指定的垃圾收集点</w:t>
            </w:r>
          </w:p>
        </w:tc>
        <w:tc>
          <w:tcPr>
            <w:tcW w:w="604" w:type="pct"/>
            <w:vMerge w:val="restart"/>
            <w:noWrap w:val="0"/>
            <w:vAlign w:val="center"/>
          </w:tcPr>
          <w:p>
            <w:pPr>
              <w:jc w:val="left"/>
              <w:rPr>
                <w:rFonts w:hint="eastAsia"/>
                <w:sz w:val="24"/>
                <w:szCs w:val="24"/>
                <w:vertAlign w:val="baseline"/>
                <w:lang w:val="en-US" w:eastAsia="zh-CN"/>
              </w:rPr>
            </w:pPr>
            <w:r>
              <w:rPr>
                <w:rFonts w:hint="eastAsia"/>
                <w:sz w:val="24"/>
                <w:szCs w:val="24"/>
                <w:vertAlign w:val="baseline"/>
                <w:lang w:val="en-US" w:eastAsia="zh-CN"/>
              </w:rPr>
              <w:t>北大门西公厕</w:t>
            </w:r>
          </w:p>
          <w:p>
            <w:pPr>
              <w:jc w:val="left"/>
              <w:rPr>
                <w:rFonts w:hint="eastAsia"/>
                <w:sz w:val="24"/>
                <w:szCs w:val="24"/>
                <w:vertAlign w:val="baseline"/>
                <w:lang w:val="en-US" w:eastAsia="zh-CN"/>
              </w:rPr>
            </w:pPr>
            <w:r>
              <w:rPr>
                <w:rFonts w:hint="eastAsia"/>
                <w:sz w:val="24"/>
                <w:szCs w:val="24"/>
                <w:vertAlign w:val="baseline"/>
                <w:lang w:val="en-US" w:eastAsia="zh-CN"/>
              </w:rPr>
              <w:t>北大门公厕</w:t>
            </w:r>
          </w:p>
          <w:p>
            <w:pPr>
              <w:jc w:val="left"/>
              <w:rPr>
                <w:rFonts w:hint="eastAsia"/>
                <w:sz w:val="24"/>
                <w:szCs w:val="24"/>
                <w:vertAlign w:val="baseline"/>
                <w:lang w:val="en-US" w:eastAsia="zh-CN"/>
              </w:rPr>
            </w:pPr>
            <w:r>
              <w:rPr>
                <w:rFonts w:hint="eastAsia"/>
                <w:sz w:val="24"/>
                <w:szCs w:val="24"/>
                <w:vertAlign w:val="baseline"/>
                <w:lang w:val="en-US" w:eastAsia="zh-CN"/>
              </w:rPr>
              <w:t>温泉路公厕</w:t>
            </w:r>
          </w:p>
          <w:p>
            <w:pPr>
              <w:jc w:val="left"/>
              <w:rPr>
                <w:rFonts w:hint="eastAsia"/>
                <w:sz w:val="24"/>
                <w:szCs w:val="24"/>
                <w:vertAlign w:val="baseline"/>
                <w:lang w:val="en-US" w:eastAsia="zh-CN"/>
              </w:rPr>
            </w:pPr>
            <w:r>
              <w:rPr>
                <w:rFonts w:hint="eastAsia"/>
                <w:sz w:val="24"/>
                <w:szCs w:val="24"/>
                <w:vertAlign w:val="baseline"/>
                <w:lang w:val="en-US" w:eastAsia="zh-CN"/>
              </w:rPr>
              <w:t>教堂路公厕</w:t>
            </w:r>
          </w:p>
          <w:p>
            <w:pPr>
              <w:jc w:val="left"/>
              <w:rPr>
                <w:rFonts w:hint="eastAsia"/>
                <w:sz w:val="24"/>
                <w:szCs w:val="24"/>
                <w:vertAlign w:val="baseline"/>
                <w:lang w:val="en-US" w:eastAsia="zh-CN"/>
              </w:rPr>
            </w:pPr>
            <w:r>
              <w:rPr>
                <w:rFonts w:hint="eastAsia"/>
                <w:sz w:val="24"/>
                <w:szCs w:val="24"/>
                <w:vertAlign w:val="baseline"/>
                <w:lang w:val="en-US" w:eastAsia="zh-CN"/>
              </w:rPr>
              <w:t>云塔广场东公厕</w:t>
            </w:r>
          </w:p>
          <w:p>
            <w:pPr>
              <w:jc w:val="left"/>
              <w:rPr>
                <w:rFonts w:hint="eastAsia"/>
                <w:sz w:val="24"/>
                <w:szCs w:val="24"/>
                <w:vertAlign w:val="baseline"/>
                <w:lang w:val="en-US" w:eastAsia="zh-CN"/>
              </w:rPr>
            </w:pPr>
            <w:r>
              <w:rPr>
                <w:rFonts w:hint="eastAsia"/>
                <w:sz w:val="24"/>
                <w:szCs w:val="24"/>
                <w:vertAlign w:val="baseline"/>
                <w:lang w:val="en-US" w:eastAsia="zh-CN"/>
              </w:rPr>
              <w:t>云塔广场西公厕</w:t>
            </w:r>
          </w:p>
          <w:p>
            <w:pPr>
              <w:jc w:val="left"/>
              <w:rPr>
                <w:rFonts w:hint="eastAsia"/>
                <w:sz w:val="24"/>
                <w:szCs w:val="24"/>
                <w:vertAlign w:val="baseline"/>
                <w:lang w:val="en-US" w:eastAsia="zh-CN"/>
              </w:rPr>
            </w:pPr>
            <w:r>
              <w:rPr>
                <w:rFonts w:hint="eastAsia"/>
                <w:sz w:val="24"/>
                <w:szCs w:val="24"/>
                <w:vertAlign w:val="baseline"/>
                <w:lang w:val="en-US" w:eastAsia="zh-CN"/>
              </w:rPr>
              <w:t>菜市场公厕</w:t>
            </w:r>
          </w:p>
          <w:p>
            <w:pPr>
              <w:jc w:val="left"/>
              <w:rPr>
                <w:rFonts w:hint="default"/>
                <w:sz w:val="24"/>
                <w:szCs w:val="24"/>
                <w:vertAlign w:val="baseline"/>
                <w:lang w:val="en-US" w:eastAsia="zh-CN"/>
              </w:rPr>
            </w:pPr>
            <w:r>
              <w:rPr>
                <w:rFonts w:hint="eastAsia"/>
                <w:sz w:val="24"/>
                <w:szCs w:val="24"/>
                <w:vertAlign w:val="baseline"/>
                <w:lang w:val="en-US" w:eastAsia="zh-CN"/>
              </w:rPr>
              <w:t>八一公厕</w:t>
            </w:r>
          </w:p>
        </w:tc>
        <w:tc>
          <w:tcPr>
            <w:tcW w:w="604" w:type="pct"/>
            <w:vMerge w:val="restart"/>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按照甲方的要求，清运甲方指定的垃圾收集点位。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石桥路</w:t>
            </w:r>
          </w:p>
        </w:tc>
        <w:tc>
          <w:tcPr>
            <w:tcW w:w="84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中心街-北环路</w:t>
            </w:r>
          </w:p>
        </w:tc>
        <w:tc>
          <w:tcPr>
            <w:tcW w:w="51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26040</w:t>
            </w:r>
          </w:p>
        </w:tc>
        <w:tc>
          <w:tcPr>
            <w:tcW w:w="3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二</w:t>
            </w:r>
          </w:p>
        </w:tc>
        <w:tc>
          <w:tcPr>
            <w:tcW w:w="1010" w:type="pct"/>
            <w:vMerge w:val="continue"/>
            <w:noWrap w:val="0"/>
            <w:vAlign w:val="center"/>
          </w:tcPr>
          <w:p>
            <w:pPr>
              <w:jc w:val="center"/>
              <w:rPr>
                <w:rFonts w:hint="default"/>
                <w:sz w:val="24"/>
                <w:szCs w:val="24"/>
                <w:vertAlign w:val="baseline"/>
                <w:lang w:val="en-US" w:eastAsia="zh-CN"/>
              </w:rPr>
            </w:pPr>
          </w:p>
        </w:tc>
        <w:tc>
          <w:tcPr>
            <w:tcW w:w="453"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万景路</w:t>
            </w:r>
          </w:p>
        </w:tc>
        <w:tc>
          <w:tcPr>
            <w:tcW w:w="84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石桥路-太白路</w:t>
            </w:r>
          </w:p>
        </w:tc>
        <w:tc>
          <w:tcPr>
            <w:tcW w:w="51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10725</w:t>
            </w:r>
          </w:p>
        </w:tc>
        <w:tc>
          <w:tcPr>
            <w:tcW w:w="3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三</w:t>
            </w:r>
          </w:p>
        </w:tc>
        <w:tc>
          <w:tcPr>
            <w:tcW w:w="1010" w:type="pct"/>
            <w:vMerge w:val="continue"/>
            <w:noWrap w:val="0"/>
            <w:vAlign w:val="center"/>
          </w:tcPr>
          <w:p>
            <w:pPr>
              <w:jc w:val="center"/>
              <w:rPr>
                <w:rFonts w:hint="default"/>
                <w:sz w:val="24"/>
                <w:szCs w:val="24"/>
                <w:vertAlign w:val="baseline"/>
                <w:lang w:val="en-US" w:eastAsia="zh-CN"/>
              </w:rPr>
            </w:pPr>
          </w:p>
        </w:tc>
        <w:tc>
          <w:tcPr>
            <w:tcW w:w="453"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太白路</w:t>
            </w:r>
          </w:p>
        </w:tc>
        <w:tc>
          <w:tcPr>
            <w:tcW w:w="84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加气站北-农商街</w:t>
            </w:r>
          </w:p>
        </w:tc>
        <w:tc>
          <w:tcPr>
            <w:tcW w:w="51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58217</w:t>
            </w:r>
          </w:p>
        </w:tc>
        <w:tc>
          <w:tcPr>
            <w:tcW w:w="3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一</w:t>
            </w:r>
          </w:p>
        </w:tc>
        <w:tc>
          <w:tcPr>
            <w:tcW w:w="1010" w:type="pct"/>
            <w:vMerge w:val="continue"/>
            <w:noWrap w:val="0"/>
            <w:vAlign w:val="center"/>
          </w:tcPr>
          <w:p>
            <w:pPr>
              <w:jc w:val="center"/>
              <w:rPr>
                <w:rFonts w:hint="default"/>
                <w:sz w:val="24"/>
                <w:szCs w:val="24"/>
                <w:vertAlign w:val="baseline"/>
                <w:lang w:val="en-US" w:eastAsia="zh-CN"/>
              </w:rPr>
            </w:pPr>
          </w:p>
        </w:tc>
        <w:tc>
          <w:tcPr>
            <w:tcW w:w="453"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农商街</w:t>
            </w:r>
          </w:p>
        </w:tc>
        <w:tc>
          <w:tcPr>
            <w:tcW w:w="84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建设路-太白路</w:t>
            </w:r>
          </w:p>
        </w:tc>
        <w:tc>
          <w:tcPr>
            <w:tcW w:w="51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18730</w:t>
            </w:r>
          </w:p>
        </w:tc>
        <w:tc>
          <w:tcPr>
            <w:tcW w:w="3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一</w:t>
            </w:r>
          </w:p>
        </w:tc>
        <w:tc>
          <w:tcPr>
            <w:tcW w:w="1010" w:type="pct"/>
            <w:vMerge w:val="continue"/>
            <w:noWrap w:val="0"/>
            <w:vAlign w:val="center"/>
          </w:tcPr>
          <w:p>
            <w:pPr>
              <w:jc w:val="center"/>
              <w:rPr>
                <w:rFonts w:hint="default"/>
                <w:sz w:val="24"/>
                <w:szCs w:val="24"/>
                <w:vertAlign w:val="baseline"/>
                <w:lang w:val="en-US" w:eastAsia="zh-CN"/>
              </w:rPr>
            </w:pPr>
          </w:p>
        </w:tc>
        <w:tc>
          <w:tcPr>
            <w:tcW w:w="453"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中心街</w:t>
            </w:r>
          </w:p>
        </w:tc>
        <w:tc>
          <w:tcPr>
            <w:tcW w:w="84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南大街—转盘</w:t>
            </w:r>
          </w:p>
        </w:tc>
        <w:tc>
          <w:tcPr>
            <w:tcW w:w="51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29561.2</w:t>
            </w:r>
          </w:p>
        </w:tc>
        <w:tc>
          <w:tcPr>
            <w:tcW w:w="3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一</w:t>
            </w:r>
          </w:p>
        </w:tc>
        <w:tc>
          <w:tcPr>
            <w:tcW w:w="1010" w:type="pct"/>
            <w:vMerge w:val="continue"/>
            <w:noWrap w:val="0"/>
            <w:vAlign w:val="center"/>
          </w:tcPr>
          <w:p>
            <w:pPr>
              <w:jc w:val="center"/>
              <w:rPr>
                <w:rFonts w:hint="default"/>
                <w:sz w:val="24"/>
                <w:szCs w:val="24"/>
                <w:vertAlign w:val="baseline"/>
                <w:lang w:val="en-US" w:eastAsia="zh-CN"/>
              </w:rPr>
            </w:pPr>
          </w:p>
        </w:tc>
        <w:tc>
          <w:tcPr>
            <w:tcW w:w="453"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中心街</w:t>
            </w:r>
          </w:p>
        </w:tc>
        <w:tc>
          <w:tcPr>
            <w:tcW w:w="84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太白路-鹏辉汽贸</w:t>
            </w:r>
          </w:p>
        </w:tc>
        <w:tc>
          <w:tcPr>
            <w:tcW w:w="51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42930</w:t>
            </w:r>
          </w:p>
        </w:tc>
        <w:tc>
          <w:tcPr>
            <w:tcW w:w="3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二</w:t>
            </w:r>
          </w:p>
        </w:tc>
        <w:tc>
          <w:tcPr>
            <w:tcW w:w="1010" w:type="pct"/>
            <w:vMerge w:val="continue"/>
            <w:noWrap w:val="0"/>
            <w:vAlign w:val="center"/>
          </w:tcPr>
          <w:p>
            <w:pPr>
              <w:jc w:val="center"/>
              <w:rPr>
                <w:rFonts w:hint="default"/>
                <w:sz w:val="24"/>
                <w:szCs w:val="24"/>
                <w:vertAlign w:val="baseline"/>
                <w:lang w:val="en-US" w:eastAsia="zh-CN"/>
              </w:rPr>
            </w:pPr>
          </w:p>
        </w:tc>
        <w:tc>
          <w:tcPr>
            <w:tcW w:w="453"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老街</w:t>
            </w:r>
          </w:p>
        </w:tc>
        <w:tc>
          <w:tcPr>
            <w:tcW w:w="84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北大街—石桥路</w:t>
            </w:r>
          </w:p>
        </w:tc>
        <w:tc>
          <w:tcPr>
            <w:tcW w:w="51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29811</w:t>
            </w:r>
          </w:p>
        </w:tc>
        <w:tc>
          <w:tcPr>
            <w:tcW w:w="3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二</w:t>
            </w:r>
          </w:p>
        </w:tc>
        <w:tc>
          <w:tcPr>
            <w:tcW w:w="1010" w:type="pct"/>
            <w:vMerge w:val="continue"/>
            <w:noWrap w:val="0"/>
            <w:vAlign w:val="center"/>
          </w:tcPr>
          <w:p>
            <w:pPr>
              <w:jc w:val="center"/>
              <w:rPr>
                <w:rFonts w:hint="default"/>
                <w:sz w:val="24"/>
                <w:szCs w:val="24"/>
                <w:vertAlign w:val="baseline"/>
                <w:lang w:val="en-US" w:eastAsia="zh-CN"/>
              </w:rPr>
            </w:pPr>
          </w:p>
        </w:tc>
        <w:tc>
          <w:tcPr>
            <w:tcW w:w="453"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瑞光路</w:t>
            </w:r>
          </w:p>
        </w:tc>
        <w:tc>
          <w:tcPr>
            <w:tcW w:w="84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剧院门口-中心西街</w:t>
            </w:r>
          </w:p>
        </w:tc>
        <w:tc>
          <w:tcPr>
            <w:tcW w:w="51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26267</w:t>
            </w:r>
          </w:p>
        </w:tc>
        <w:tc>
          <w:tcPr>
            <w:tcW w:w="3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二</w:t>
            </w:r>
          </w:p>
        </w:tc>
        <w:tc>
          <w:tcPr>
            <w:tcW w:w="1010" w:type="pct"/>
            <w:vMerge w:val="continue"/>
            <w:noWrap w:val="0"/>
            <w:vAlign w:val="center"/>
          </w:tcPr>
          <w:p>
            <w:pPr>
              <w:jc w:val="center"/>
              <w:rPr>
                <w:rFonts w:hint="default"/>
                <w:sz w:val="24"/>
                <w:szCs w:val="24"/>
                <w:vertAlign w:val="baseline"/>
                <w:lang w:val="en-US" w:eastAsia="zh-CN"/>
              </w:rPr>
            </w:pPr>
          </w:p>
        </w:tc>
        <w:tc>
          <w:tcPr>
            <w:tcW w:w="453"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教堂路</w:t>
            </w:r>
          </w:p>
        </w:tc>
        <w:tc>
          <w:tcPr>
            <w:tcW w:w="84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北环路-老街</w:t>
            </w:r>
          </w:p>
        </w:tc>
        <w:tc>
          <w:tcPr>
            <w:tcW w:w="51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9522</w:t>
            </w:r>
          </w:p>
        </w:tc>
        <w:tc>
          <w:tcPr>
            <w:tcW w:w="3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一</w:t>
            </w:r>
          </w:p>
        </w:tc>
        <w:tc>
          <w:tcPr>
            <w:tcW w:w="1010" w:type="pct"/>
            <w:vMerge w:val="continue"/>
            <w:noWrap w:val="0"/>
            <w:vAlign w:val="center"/>
          </w:tcPr>
          <w:p>
            <w:pPr>
              <w:jc w:val="center"/>
              <w:rPr>
                <w:rFonts w:hint="default"/>
                <w:sz w:val="24"/>
                <w:szCs w:val="24"/>
                <w:vertAlign w:val="baseline"/>
                <w:lang w:val="en-US" w:eastAsia="zh-CN"/>
              </w:rPr>
            </w:pPr>
          </w:p>
        </w:tc>
        <w:tc>
          <w:tcPr>
            <w:tcW w:w="453"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建设路</w:t>
            </w:r>
          </w:p>
        </w:tc>
        <w:tc>
          <w:tcPr>
            <w:tcW w:w="84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中心街-农商街</w:t>
            </w:r>
          </w:p>
        </w:tc>
        <w:tc>
          <w:tcPr>
            <w:tcW w:w="51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5282</w:t>
            </w:r>
          </w:p>
        </w:tc>
        <w:tc>
          <w:tcPr>
            <w:tcW w:w="3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二</w:t>
            </w:r>
          </w:p>
        </w:tc>
        <w:tc>
          <w:tcPr>
            <w:tcW w:w="1010" w:type="pct"/>
            <w:vMerge w:val="continue"/>
            <w:noWrap w:val="0"/>
            <w:vAlign w:val="center"/>
          </w:tcPr>
          <w:p>
            <w:pPr>
              <w:jc w:val="center"/>
              <w:rPr>
                <w:rFonts w:hint="default"/>
                <w:sz w:val="24"/>
                <w:szCs w:val="24"/>
                <w:vertAlign w:val="baseline"/>
                <w:lang w:val="en-US" w:eastAsia="zh-CN"/>
              </w:rPr>
            </w:pPr>
          </w:p>
        </w:tc>
        <w:tc>
          <w:tcPr>
            <w:tcW w:w="453"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云塔南路</w:t>
            </w:r>
          </w:p>
        </w:tc>
        <w:tc>
          <w:tcPr>
            <w:tcW w:w="84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农商街-中心街</w:t>
            </w:r>
          </w:p>
        </w:tc>
        <w:tc>
          <w:tcPr>
            <w:tcW w:w="51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6412.5</w:t>
            </w:r>
          </w:p>
        </w:tc>
        <w:tc>
          <w:tcPr>
            <w:tcW w:w="3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二</w:t>
            </w:r>
          </w:p>
        </w:tc>
        <w:tc>
          <w:tcPr>
            <w:tcW w:w="1010" w:type="pct"/>
            <w:vMerge w:val="continue"/>
            <w:noWrap w:val="0"/>
            <w:vAlign w:val="center"/>
          </w:tcPr>
          <w:p>
            <w:pPr>
              <w:jc w:val="center"/>
              <w:rPr>
                <w:rFonts w:hint="default"/>
                <w:sz w:val="24"/>
                <w:szCs w:val="24"/>
                <w:vertAlign w:val="baseline"/>
                <w:lang w:val="en-US" w:eastAsia="zh-CN"/>
              </w:rPr>
            </w:pPr>
          </w:p>
        </w:tc>
        <w:tc>
          <w:tcPr>
            <w:tcW w:w="453"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云塔北路</w:t>
            </w:r>
          </w:p>
        </w:tc>
        <w:tc>
          <w:tcPr>
            <w:tcW w:w="84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中心街-北环路</w:t>
            </w:r>
          </w:p>
        </w:tc>
        <w:tc>
          <w:tcPr>
            <w:tcW w:w="51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15174</w:t>
            </w:r>
          </w:p>
        </w:tc>
        <w:tc>
          <w:tcPr>
            <w:tcW w:w="3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一</w:t>
            </w:r>
          </w:p>
        </w:tc>
        <w:tc>
          <w:tcPr>
            <w:tcW w:w="1010" w:type="pct"/>
            <w:vMerge w:val="continue"/>
            <w:noWrap w:val="0"/>
            <w:vAlign w:val="center"/>
          </w:tcPr>
          <w:p>
            <w:pPr>
              <w:jc w:val="center"/>
              <w:rPr>
                <w:rFonts w:hint="default"/>
                <w:sz w:val="24"/>
                <w:szCs w:val="24"/>
                <w:vertAlign w:val="baseline"/>
                <w:lang w:val="en-US" w:eastAsia="zh-CN"/>
              </w:rPr>
            </w:pPr>
          </w:p>
        </w:tc>
        <w:tc>
          <w:tcPr>
            <w:tcW w:w="453"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合计</w:t>
            </w:r>
          </w:p>
        </w:tc>
        <w:tc>
          <w:tcPr>
            <w:tcW w:w="840" w:type="pct"/>
            <w:noWrap w:val="0"/>
            <w:vAlign w:val="center"/>
          </w:tcPr>
          <w:p>
            <w:pPr>
              <w:jc w:val="center"/>
              <w:rPr>
                <w:rFonts w:hint="eastAsia"/>
                <w:sz w:val="24"/>
                <w:szCs w:val="24"/>
                <w:vertAlign w:val="baseline"/>
                <w:lang w:val="en-US" w:eastAsia="zh-CN"/>
              </w:rPr>
            </w:pPr>
          </w:p>
        </w:tc>
        <w:tc>
          <w:tcPr>
            <w:tcW w:w="510" w:type="pct"/>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fldChar w:fldCharType="begin"/>
            </w:r>
            <w:r>
              <w:rPr>
                <w:rFonts w:hint="eastAsia"/>
                <w:sz w:val="24"/>
                <w:szCs w:val="24"/>
                <w:vertAlign w:val="baseline"/>
                <w:lang w:val="en-US" w:eastAsia="zh-CN"/>
              </w:rPr>
              <w:instrText xml:space="preserve"> = sum(C3:C15) \* MERGEFORMAT </w:instrText>
            </w:r>
            <w:r>
              <w:rPr>
                <w:rFonts w:hint="eastAsia"/>
                <w:sz w:val="24"/>
                <w:szCs w:val="24"/>
                <w:vertAlign w:val="baseline"/>
                <w:lang w:val="en-US" w:eastAsia="zh-CN"/>
              </w:rPr>
              <w:fldChar w:fldCharType="separate"/>
            </w:r>
            <w:r>
              <w:rPr>
                <w:rFonts w:hint="eastAsia"/>
                <w:sz w:val="24"/>
                <w:szCs w:val="24"/>
                <w:vertAlign w:val="baseline"/>
                <w:lang w:val="en-US" w:eastAsia="zh-CN"/>
              </w:rPr>
              <w:t>346555.7</w:t>
            </w:r>
            <w:r>
              <w:rPr>
                <w:rFonts w:hint="eastAsia"/>
                <w:sz w:val="24"/>
                <w:szCs w:val="24"/>
                <w:vertAlign w:val="baseline"/>
                <w:lang w:val="en-US" w:eastAsia="zh-CN"/>
              </w:rPr>
              <w:fldChar w:fldCharType="end"/>
            </w:r>
          </w:p>
        </w:tc>
        <w:tc>
          <w:tcPr>
            <w:tcW w:w="380" w:type="pct"/>
            <w:noWrap w:val="0"/>
            <w:vAlign w:val="center"/>
          </w:tcPr>
          <w:p>
            <w:pPr>
              <w:jc w:val="center"/>
              <w:rPr>
                <w:rFonts w:hint="eastAsia"/>
                <w:sz w:val="24"/>
                <w:szCs w:val="24"/>
                <w:vertAlign w:val="baseline"/>
                <w:lang w:val="en-US" w:eastAsia="zh-CN"/>
              </w:rPr>
            </w:pPr>
          </w:p>
        </w:tc>
        <w:tc>
          <w:tcPr>
            <w:tcW w:w="1010" w:type="pct"/>
            <w:vMerge w:val="continue"/>
            <w:noWrap w:val="0"/>
            <w:vAlign w:val="center"/>
          </w:tcPr>
          <w:p>
            <w:pPr>
              <w:jc w:val="center"/>
              <w:rPr>
                <w:rFonts w:hint="default"/>
                <w:sz w:val="24"/>
                <w:szCs w:val="24"/>
                <w:vertAlign w:val="baseline"/>
                <w:lang w:val="en-US" w:eastAsia="zh-CN"/>
              </w:rPr>
            </w:pPr>
          </w:p>
        </w:tc>
        <w:tc>
          <w:tcPr>
            <w:tcW w:w="453"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r>
    </w:tbl>
    <w:p>
      <w:pPr>
        <w:pStyle w:val="24"/>
        <w:spacing w:line="240" w:lineRule="auto"/>
        <w:rPr>
          <w:rFonts w:hint="eastAsia"/>
          <w:sz w:val="18"/>
          <w:szCs w:val="21"/>
          <w:lang w:eastAsia="zh-CN"/>
        </w:rPr>
        <w:sectPr>
          <w:pgSz w:w="16838" w:h="11906" w:orient="landscape"/>
          <w:pgMar w:top="1800" w:right="1440" w:bottom="1800" w:left="1440" w:header="851" w:footer="992" w:gutter="0"/>
          <w:cols w:space="720" w:num="1"/>
          <w:docGrid w:type="lines" w:linePitch="312" w:charSpace="0"/>
        </w:sectPr>
      </w:pPr>
    </w:p>
    <w:p>
      <w:pPr>
        <w:pStyle w:val="24"/>
        <w:spacing w:line="240" w:lineRule="auto"/>
        <w:ind w:left="0" w:leftChars="0" w:firstLine="0" w:firstLineChars="0"/>
        <w:rPr>
          <w:rFonts w:hint="eastAsia" w:ascii="方正小标宋简体" w:hAnsi="方正小标宋简体" w:eastAsia="方正小标宋简体" w:cs="方正小标宋简体"/>
          <w:color w:val="000000"/>
          <w:kern w:val="0"/>
          <w:sz w:val="36"/>
          <w:szCs w:val="36"/>
          <w:lang w:bidi="ar"/>
        </w:rPr>
      </w:pPr>
      <w:r>
        <w:rPr>
          <w:rFonts w:hint="eastAsia" w:ascii="黑体" w:hAnsi="黑体" w:eastAsia="黑体" w:cs="黑体"/>
          <w:color w:val="000000"/>
          <w:kern w:val="0"/>
          <w:sz w:val="24"/>
          <w:szCs w:val="24"/>
          <w:lang w:bidi="ar"/>
        </w:rPr>
        <w:t>附件2</w:t>
      </w:r>
    </w:p>
    <w:p>
      <w:pPr>
        <w:spacing w:line="240" w:lineRule="auto"/>
        <w:jc w:val="center"/>
        <w:rPr>
          <w:rFonts w:hint="eastAsia" w:ascii="仿宋_GB2312" w:hAnsi="仿宋_GB2312" w:eastAsia="仿宋_GB2312" w:cs="仿宋_GB2312"/>
          <w:color w:val="000000"/>
          <w:sz w:val="24"/>
          <w:szCs w:val="24"/>
        </w:rPr>
      </w:pPr>
      <w:r>
        <w:rPr>
          <w:rFonts w:hint="eastAsia" w:ascii="方正小标宋简体" w:hAnsi="方正小标宋简体" w:eastAsia="方正小标宋简体" w:cs="方正小标宋简体"/>
          <w:color w:val="000000"/>
          <w:kern w:val="0"/>
          <w:sz w:val="36"/>
          <w:szCs w:val="36"/>
          <w:lang w:bidi="ar"/>
        </w:rPr>
        <w:t>周至县城市道路清扫保洁检查考核办法</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为实现我县道路清扫深度保洁检查考核的科学化、规范化、长效化，根据《西安市城市市容和环境卫生管理条例》有关规定和《西安市城市道路“以克论净 深度保洁”作业标准（试行）》，结合目前我县道路清扫保洁工作实际，特制定本办法。</w:t>
      </w:r>
    </w:p>
    <w:p>
      <w:pPr>
        <w:numPr>
          <w:ilvl w:val="0"/>
          <w:numId w:val="7"/>
        </w:num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指导思想</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根据城市治理专项工作的总体要求，按照新的城市道路清扫保洁作业标准，通过更加深入精细的检查考核，促进城市道路清扫保洁水平不断提高，打造洁净靓丽的城市容貌环境，推动生态周至、美丽周至建设。</w:t>
      </w:r>
    </w:p>
    <w:p>
      <w:pPr>
        <w:numPr>
          <w:ilvl w:val="0"/>
          <w:numId w:val="7"/>
        </w:num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检查考核对象及范围</w:t>
      </w:r>
    </w:p>
    <w:p>
      <w:pPr>
        <w:spacing w:line="240" w:lineRule="auto"/>
        <w:ind w:firstLine="463" w:firstLineChars="193"/>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县城管委办公室负责组织全县城市道路“以克论净 深度保洁”检查考核工作。</w:t>
      </w:r>
    </w:p>
    <w:p>
      <w:pPr>
        <w:numPr>
          <w:ilvl w:val="0"/>
          <w:numId w:val="8"/>
        </w:numPr>
        <w:spacing w:line="240" w:lineRule="auto"/>
        <w:ind w:firstLine="463" w:firstLineChars="193"/>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检查考核对象</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县城区和实行道路清扫保洁市场化的镇街、管委会。</w:t>
      </w:r>
    </w:p>
    <w:p>
      <w:pPr>
        <w:numPr>
          <w:ilvl w:val="0"/>
          <w:numId w:val="8"/>
        </w:numPr>
        <w:spacing w:line="240" w:lineRule="auto"/>
        <w:ind w:firstLine="463" w:firstLineChars="193"/>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检查考核范围</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本办法使用于实行清扫保洁市场化的城市道路清扫保洁管理工作。</w:t>
      </w:r>
    </w:p>
    <w:p>
      <w:pPr>
        <w:numPr>
          <w:ilvl w:val="0"/>
          <w:numId w:val="7"/>
        </w:num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建立城市道路清扫保洁检测制度</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各镇（街）、管委会和县城市管理局组织职能部门设立城市道路清扫保洁检测组，配备一定数量的检测员，配备检测器材（电子天平秤、摄像机、毛刷、簸箕、安全墩、反光背心等工具）。按照辖区责任点（按照道路不同等级人工清扫保洁面积划定），每日抽取不少于10%的道路，每条道路不少于3个检测点（其中1个为最脏检测点）检测尘土、零星垃圾滞留情况。检测按照《西安市城市道路“以克论净 深度保洁”作业标准（试行）》执行，现场对责任区作出合格或不合格的评价，同时记录检测数值并留存相关影像资料和登记台账（检测人员现场签字确认）。</w:t>
      </w:r>
    </w:p>
    <w:p>
      <w:pPr>
        <w:numPr>
          <w:ilvl w:val="0"/>
          <w:numId w:val="7"/>
        </w:num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月度检查考核</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月度检查考核采取集中检查考核和日常检查考核、定点复查考核的方式进行。</w:t>
      </w:r>
    </w:p>
    <w:p>
      <w:pPr>
        <w:numPr>
          <w:ilvl w:val="0"/>
          <w:numId w:val="9"/>
        </w:num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集中检查考核。县城管委办公室每月组织实施一次全市范围的城市道路清扫“以克论净 深度保洁”集中检查考核，检查考核内容包括：抽查被检镇（街）、管委会5条道路的“以克论净 深度保洁”作业情况（现场称重、计时）、自检记录（含影像数据）和保洁员配备情况；抽查被检镇（街）、管委会所辖的5条道路“果皮箱”设置及管护情况。每月检查时各镇（街）、管委会主管部门派员随同检查并介绍情况。</w:t>
      </w:r>
    </w:p>
    <w:p>
      <w:pPr>
        <w:numPr>
          <w:ilvl w:val="0"/>
          <w:numId w:val="9"/>
        </w:num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日常检查情考核。县城管委办公室组织人员采取不定时间、不定路段的方式进行，主要是检查考核各镇（街）、管委会“以克论净 深度保洁”作业标准落实、长效管理制度执行和早、中、晚管理空档时间管理情况。</w:t>
      </w:r>
    </w:p>
    <w:p>
      <w:pPr>
        <w:numPr>
          <w:ilvl w:val="0"/>
          <w:numId w:val="9"/>
        </w:num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定点复检考核。县城管委办公室组织对日常检查指出以及群众投诉、媒体曝光等突出问题进行定点复查，同一问题连续两次仍未整改的取消当月评比资格。</w:t>
      </w:r>
    </w:p>
    <w:p>
      <w:pPr>
        <w:spacing w:line="240" w:lineRule="auto"/>
        <w:ind w:firstLine="314" w:firstLineChars="131"/>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月度检查考核总评分100分，其中集中检查考核计分占当月总评分数70%，日常检查考核计分占当月总评分数20%，定点复查考核计分占当月总评分数10%。</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县城管委办公室对月度考核排名情况全县进行通报，并报送县委、县政府和有关领导，并公布各镇（街）、管委会排名情况。</w:t>
      </w:r>
    </w:p>
    <w:p>
      <w:pPr>
        <w:numPr>
          <w:ilvl w:val="0"/>
          <w:numId w:val="7"/>
        </w:num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年度综合考核</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在月度检查考核的基础上，每年底前对各镇（街）、管委会全年“以克论净 深度保洁”日常检查考核成绩进行汇总，结合资产增减、社会评价等情况进行一次总评打分，汇总形成各单位年度综合考核成绩并进行排名。</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度综合考核总评分100分，其中月度检查考核总评分（12个月月度考核分数平均分）占80%，年终集中考核总评分占20%（各单位保洁车辆资产增减、年度资金投入考核分值占10分；省、市领导批转、指示和市级刊物摘编及媒体报道、群众投诉情况考核分值占10分）。</w:t>
      </w:r>
    </w:p>
    <w:p>
      <w:pPr>
        <w:numPr>
          <w:ilvl w:val="0"/>
          <w:numId w:val="7"/>
        </w:num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检查考核工作要求</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（一）确保检测工作安全，各镇（街）、管委会必须对检测人员进行安全培训，检测人员须着反光背心，检测区域摆放安全墩。</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（二）参加检查考核和日常检测的人员必须熟练掌握作业标准、评分细则、检查方法，做到准确评分。</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（三）检查考核人员要主动接受群众监督，一旦发现检查人员有徇私舞弊现象，将根据有关规定视情况给予严肃处理。</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（四）各类检查考核结果必须以文字、照片等台账资料为证，允许相关单位工作人员查阅。</w:t>
      </w:r>
    </w:p>
    <w:p>
      <w:pPr>
        <w:spacing w:line="240" w:lineRule="auto"/>
        <w:ind w:firstLine="480" w:firstLineChars="200"/>
        <w:rPr>
          <w:rFonts w:hint="eastAsia" w:ascii="仿宋_GB2312" w:hAnsi="仿宋_GB2312" w:eastAsia="仿宋_GB2312" w:cs="仿宋_GB2312"/>
          <w:color w:val="000000"/>
          <w:sz w:val="24"/>
          <w:szCs w:val="24"/>
        </w:rPr>
      </w:pPr>
    </w:p>
    <w:p>
      <w:pPr>
        <w:spacing w:line="240" w:lineRule="auto"/>
        <w:ind w:firstLine="480" w:firstLineChars="200"/>
        <w:rPr>
          <w:rFonts w:hint="eastAsia" w:ascii="仿宋_GB2312" w:hAnsi="仿宋_GB2312" w:eastAsia="仿宋_GB2312" w:cs="仿宋_GB2312"/>
          <w:color w:val="000000"/>
          <w:sz w:val="24"/>
          <w:szCs w:val="24"/>
        </w:rPr>
      </w:pPr>
    </w:p>
    <w:p>
      <w:pPr>
        <w:spacing w:line="240" w:lineRule="auto"/>
        <w:ind w:firstLine="480" w:firstLineChars="200"/>
        <w:rPr>
          <w:rFonts w:hint="eastAsia" w:ascii="仿宋_GB2312" w:hAnsi="仿宋_GB2312" w:eastAsia="仿宋_GB2312" w:cs="仿宋_GB2312"/>
          <w:color w:val="000000"/>
          <w:sz w:val="24"/>
          <w:szCs w:val="24"/>
        </w:rPr>
      </w:pPr>
    </w:p>
    <w:p>
      <w:pPr>
        <w:spacing w:line="240" w:lineRule="auto"/>
        <w:ind w:firstLine="480" w:firstLineChars="200"/>
        <w:rPr>
          <w:rFonts w:hint="eastAsia" w:ascii="仿宋_GB2312" w:hAnsi="仿宋_GB2312" w:eastAsia="仿宋_GB2312" w:cs="仿宋_GB2312"/>
          <w:color w:val="000000"/>
          <w:sz w:val="24"/>
          <w:szCs w:val="24"/>
        </w:rPr>
      </w:pPr>
    </w:p>
    <w:p>
      <w:pPr>
        <w:spacing w:line="240" w:lineRule="auto"/>
        <w:ind w:firstLine="480" w:firstLineChars="200"/>
        <w:rPr>
          <w:rFonts w:hint="eastAsia" w:ascii="仿宋_GB2312" w:hAnsi="仿宋_GB2312" w:eastAsia="仿宋_GB2312" w:cs="仿宋_GB2312"/>
          <w:color w:val="000000"/>
          <w:sz w:val="24"/>
          <w:szCs w:val="24"/>
        </w:rPr>
      </w:pPr>
    </w:p>
    <w:p>
      <w:pPr>
        <w:spacing w:line="240" w:lineRule="auto"/>
        <w:ind w:firstLine="480" w:firstLineChars="200"/>
        <w:rPr>
          <w:rFonts w:hint="eastAsia" w:ascii="仿宋_GB2312" w:hAnsi="仿宋_GB2312" w:eastAsia="仿宋_GB2312" w:cs="仿宋_GB2312"/>
          <w:color w:val="000000"/>
          <w:sz w:val="24"/>
          <w:szCs w:val="24"/>
        </w:rPr>
      </w:pPr>
    </w:p>
    <w:p>
      <w:pPr>
        <w:spacing w:line="240" w:lineRule="auto"/>
        <w:ind w:firstLine="480" w:firstLineChars="200"/>
        <w:rPr>
          <w:rFonts w:hint="eastAsia" w:ascii="仿宋_GB2312" w:hAnsi="仿宋_GB2312" w:eastAsia="仿宋_GB2312" w:cs="仿宋_GB2312"/>
          <w:color w:val="000000"/>
          <w:sz w:val="24"/>
          <w:szCs w:val="24"/>
        </w:rPr>
      </w:pPr>
    </w:p>
    <w:p>
      <w:pPr>
        <w:spacing w:line="240" w:lineRule="auto"/>
        <w:ind w:firstLine="480" w:firstLineChars="200"/>
        <w:rPr>
          <w:rFonts w:hint="eastAsia" w:ascii="仿宋_GB2312" w:hAnsi="仿宋_GB2312" w:eastAsia="仿宋_GB2312" w:cs="仿宋_GB2312"/>
          <w:color w:val="000000"/>
          <w:sz w:val="24"/>
          <w:szCs w:val="24"/>
        </w:rPr>
      </w:pPr>
    </w:p>
    <w:p>
      <w:pPr>
        <w:spacing w:line="240" w:lineRule="auto"/>
        <w:ind w:firstLine="480" w:firstLineChars="200"/>
        <w:rPr>
          <w:rFonts w:hint="eastAsia" w:ascii="仿宋_GB2312" w:hAnsi="仿宋_GB2312" w:eastAsia="仿宋_GB2312" w:cs="仿宋_GB2312"/>
          <w:color w:val="000000"/>
          <w:sz w:val="24"/>
          <w:szCs w:val="24"/>
        </w:rPr>
      </w:pPr>
    </w:p>
    <w:p>
      <w:pPr>
        <w:spacing w:line="240" w:lineRule="auto"/>
        <w:ind w:firstLine="480" w:firstLineChars="200"/>
        <w:rPr>
          <w:rFonts w:hint="eastAsia" w:ascii="仿宋_GB2312" w:hAnsi="仿宋_GB2312" w:eastAsia="仿宋_GB2312" w:cs="仿宋_GB2312"/>
          <w:color w:val="000000"/>
          <w:sz w:val="24"/>
          <w:szCs w:val="24"/>
        </w:rPr>
      </w:pPr>
    </w:p>
    <w:p>
      <w:pPr>
        <w:pStyle w:val="24"/>
        <w:rPr>
          <w:rFonts w:hint="eastAsia" w:ascii="仿宋_GB2312" w:hAnsi="仿宋_GB2312" w:eastAsia="仿宋_GB2312" w:cs="仿宋_GB2312"/>
          <w:color w:val="000000"/>
          <w:sz w:val="24"/>
          <w:szCs w:val="24"/>
        </w:rPr>
      </w:pPr>
    </w:p>
    <w:p>
      <w:pPr>
        <w:pStyle w:val="23"/>
        <w:rPr>
          <w:rFonts w:hint="eastAsia" w:ascii="仿宋_GB2312" w:hAnsi="仿宋_GB2312" w:eastAsia="仿宋_GB2312" w:cs="仿宋_GB2312"/>
          <w:color w:val="000000"/>
          <w:sz w:val="24"/>
          <w:szCs w:val="24"/>
        </w:rPr>
      </w:pPr>
    </w:p>
    <w:p>
      <w:pPr>
        <w:pStyle w:val="24"/>
        <w:rPr>
          <w:rFonts w:hint="eastAsia"/>
        </w:rPr>
      </w:pPr>
    </w:p>
    <w:p>
      <w:pPr>
        <w:spacing w:line="240" w:lineRule="auto"/>
        <w:ind w:firstLine="480" w:firstLineChars="200"/>
        <w:rPr>
          <w:rFonts w:hint="eastAsia" w:ascii="仿宋_GB2312" w:hAnsi="仿宋_GB2312" w:eastAsia="仿宋_GB2312" w:cs="仿宋_GB2312"/>
          <w:color w:val="000000"/>
          <w:sz w:val="24"/>
          <w:szCs w:val="24"/>
        </w:rPr>
      </w:pPr>
    </w:p>
    <w:p>
      <w:pPr>
        <w:spacing w:line="240" w:lineRule="auto"/>
        <w:ind w:firstLine="480" w:firstLineChars="200"/>
        <w:rPr>
          <w:rFonts w:hint="eastAsia" w:ascii="仿宋_GB2312" w:hAnsi="仿宋_GB2312" w:eastAsia="仿宋_GB2312" w:cs="仿宋_GB2312"/>
          <w:color w:val="000000"/>
          <w:sz w:val="24"/>
          <w:szCs w:val="24"/>
        </w:rPr>
      </w:pPr>
    </w:p>
    <w:p>
      <w:pPr>
        <w:spacing w:line="240" w:lineRule="auto"/>
        <w:rPr>
          <w:rFonts w:hint="eastAsia" w:ascii="方正小标宋简体" w:hAnsi="方正小标宋简体" w:eastAsia="方正小标宋简体" w:cs="方正小标宋简体"/>
          <w:color w:val="000000"/>
          <w:spacing w:val="-11"/>
          <w:kern w:val="0"/>
          <w:sz w:val="36"/>
          <w:szCs w:val="36"/>
          <w:lang w:bidi="ar"/>
        </w:rPr>
      </w:pPr>
    </w:p>
    <w:p>
      <w:pPr>
        <w:spacing w:line="240" w:lineRule="auto"/>
        <w:rPr>
          <w:rFonts w:hint="eastAsia" w:ascii="黑体" w:hAnsi="黑体" w:eastAsia="黑体" w:cs="黑体"/>
          <w:color w:val="000000"/>
          <w:spacing w:val="-11"/>
          <w:kern w:val="0"/>
          <w:sz w:val="24"/>
          <w:szCs w:val="24"/>
          <w:lang w:bidi="ar"/>
        </w:rPr>
      </w:pPr>
    </w:p>
    <w:p>
      <w:pPr>
        <w:spacing w:line="240" w:lineRule="auto"/>
        <w:rPr>
          <w:rFonts w:hint="eastAsia" w:ascii="黑体" w:hAnsi="黑体" w:eastAsia="黑体" w:cs="黑体"/>
          <w:color w:val="000000"/>
          <w:spacing w:val="-11"/>
          <w:kern w:val="0"/>
          <w:sz w:val="24"/>
          <w:szCs w:val="24"/>
          <w:lang w:bidi="ar"/>
        </w:rPr>
      </w:pPr>
    </w:p>
    <w:p>
      <w:pPr>
        <w:pStyle w:val="24"/>
        <w:rPr>
          <w:rFonts w:hint="eastAsia" w:ascii="黑体" w:hAnsi="黑体" w:eastAsia="黑体" w:cs="黑体"/>
          <w:color w:val="000000"/>
          <w:spacing w:val="-11"/>
          <w:kern w:val="0"/>
          <w:sz w:val="24"/>
          <w:szCs w:val="24"/>
          <w:lang w:bidi="ar"/>
        </w:rPr>
      </w:pPr>
    </w:p>
    <w:p>
      <w:pPr>
        <w:pStyle w:val="23"/>
        <w:rPr>
          <w:rFonts w:hint="eastAsia"/>
        </w:rPr>
      </w:pPr>
    </w:p>
    <w:p>
      <w:pPr>
        <w:spacing w:line="240" w:lineRule="auto"/>
        <w:rPr>
          <w:rFonts w:hint="eastAsia" w:ascii="黑体" w:hAnsi="黑体" w:eastAsia="黑体" w:cs="黑体"/>
          <w:color w:val="000000"/>
          <w:spacing w:val="-11"/>
          <w:kern w:val="0"/>
          <w:sz w:val="24"/>
          <w:szCs w:val="24"/>
          <w:lang w:val="en-US" w:eastAsia="zh-CN" w:bidi="ar"/>
        </w:rPr>
      </w:pPr>
    </w:p>
    <w:p>
      <w:pPr>
        <w:spacing w:line="240" w:lineRule="auto"/>
        <w:rPr>
          <w:rFonts w:hint="eastAsia" w:ascii="方正小标宋简体" w:hAnsi="方正小标宋简体" w:eastAsia="方正小标宋简体" w:cs="方正小标宋简体"/>
          <w:color w:val="000000"/>
          <w:spacing w:val="-11"/>
          <w:kern w:val="0"/>
          <w:sz w:val="36"/>
          <w:szCs w:val="36"/>
          <w:lang w:bidi="ar"/>
        </w:rPr>
      </w:pPr>
      <w:r>
        <w:rPr>
          <w:rFonts w:hint="eastAsia" w:ascii="黑体" w:hAnsi="黑体" w:eastAsia="黑体" w:cs="黑体"/>
          <w:color w:val="000000"/>
          <w:spacing w:val="-11"/>
          <w:kern w:val="0"/>
          <w:sz w:val="24"/>
          <w:szCs w:val="24"/>
          <w:lang w:bidi="ar"/>
        </w:rPr>
        <w:t>附件3</w:t>
      </w:r>
    </w:p>
    <w:p>
      <w:pPr>
        <w:spacing w:line="240" w:lineRule="auto"/>
        <w:jc w:val="center"/>
        <w:rPr>
          <w:rFonts w:hint="eastAsia" w:ascii="仿宋_GB2312" w:hAnsi="仿宋_GB2312" w:eastAsia="仿宋_GB2312" w:cs="仿宋_GB2312"/>
          <w:color w:val="000000"/>
          <w:sz w:val="24"/>
          <w:szCs w:val="24"/>
        </w:rPr>
      </w:pPr>
      <w:r>
        <w:rPr>
          <w:rFonts w:hint="eastAsia" w:ascii="方正小标宋简体" w:hAnsi="方正小标宋简体" w:eastAsia="方正小标宋简体" w:cs="方正小标宋简体"/>
          <w:color w:val="000000"/>
          <w:spacing w:val="-11"/>
          <w:kern w:val="0"/>
          <w:sz w:val="36"/>
          <w:szCs w:val="36"/>
          <w:lang w:bidi="ar"/>
        </w:rPr>
        <w:t>周至县城市道路清扫保洁检查考核评分细则</w:t>
      </w:r>
    </w:p>
    <w:p>
      <w:pPr>
        <w:spacing w:line="240" w:lineRule="auto"/>
        <w:ind w:firstLine="436" w:firstLineChars="200"/>
        <w:rPr>
          <w:rFonts w:hint="eastAsia" w:ascii="黑体" w:hAnsi="黑体" w:eastAsia="黑体" w:cs="黑体"/>
          <w:color w:val="000000"/>
          <w:spacing w:val="-11"/>
          <w:sz w:val="24"/>
          <w:szCs w:val="24"/>
        </w:rPr>
      </w:pPr>
      <w:r>
        <w:rPr>
          <w:rFonts w:hint="eastAsia" w:ascii="黑体" w:hAnsi="黑体" w:eastAsia="黑体" w:cs="黑体"/>
          <w:color w:val="000000"/>
          <w:spacing w:val="-11"/>
          <w:sz w:val="24"/>
          <w:szCs w:val="24"/>
        </w:rPr>
        <w:t>一、清扫保洁（45分）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（一）灰土重量（20分）</w:t>
      </w:r>
    </w:p>
    <w:p>
      <w:pPr>
        <w:numPr>
          <w:ilvl w:val="0"/>
          <w:numId w:val="10"/>
        </w:num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人行道、车行道、主干道各喇叭口、人行天桥、公共广场等路灰土重量按照道路不同等级确定的标准（快车道、高架桥、立交桥不做检测），1平方米每超出1克扣0.2分。</w:t>
      </w:r>
    </w:p>
    <w:p>
      <w:pPr>
        <w:numPr>
          <w:ilvl w:val="0"/>
          <w:numId w:val="10"/>
        </w:num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检查路段无自检记录或记录不详细（上月至本月检查期间内），每条道路扣1分。</w:t>
      </w:r>
    </w:p>
    <w:p>
      <w:pPr>
        <w:numPr>
          <w:ilvl w:val="0"/>
          <w:numId w:val="10"/>
        </w:num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雨雪天气后，车行道、人行道、道沿下泥沙、积雪清理未按规定及时清理的，每发现一处扣0.2分。</w:t>
      </w:r>
    </w:p>
    <w:p>
      <w:pPr>
        <w:numPr>
          <w:ilvl w:val="0"/>
          <w:numId w:val="10"/>
        </w:num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街路未清扫的，每发现一处扣2分。</w:t>
      </w:r>
    </w:p>
    <w:p>
      <w:pPr>
        <w:numPr>
          <w:ilvl w:val="0"/>
          <w:numId w:val="10"/>
        </w:num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未按规定时间完成清扫任务的，每条街路扣0.5分。</w:t>
      </w:r>
    </w:p>
    <w:p>
      <w:pPr>
        <w:numPr>
          <w:ilvl w:val="0"/>
          <w:numId w:val="10"/>
        </w:num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清扫保洁后垃圾堆未清理每堆口0.2分。</w:t>
      </w:r>
    </w:p>
    <w:p>
      <w:pPr>
        <w:numPr>
          <w:ilvl w:val="0"/>
          <w:numId w:val="10"/>
        </w:num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下水井口、树坑、隔离墩（栏）等清扫不彻底，存在果皮纸屑、包装袋等废弃物，每处扣0.1分。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（二）道路零星垃圾滞留时间（20分）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人行道、车行道、非机动车道和人行天桥等道路零星垃圾（不含落叶）按照道路不同等级确定的标准，每超出1分钟扣0.2分。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（三）保洁人员足额配备在岗并按规定着装（5分）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1、道路保洁员未按标准足额配备，每发现一次扣0.2分。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2、保洁员未按规定着装，必须遵守安全作业规定，每发现一次扣0.5分。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3、保洁员在作业时扎堆闲聊或从事与工作无关的，每发现一次扣0.5分。</w:t>
      </w:r>
    </w:p>
    <w:p>
      <w:pPr>
        <w:spacing w:line="240" w:lineRule="auto"/>
        <w:ind w:firstLine="436" w:firstLineChars="200"/>
        <w:rPr>
          <w:rFonts w:hint="eastAsia" w:ascii="黑体" w:hAnsi="黑体" w:eastAsia="黑体" w:cs="黑体"/>
          <w:color w:val="000000"/>
          <w:spacing w:val="-11"/>
          <w:sz w:val="24"/>
          <w:szCs w:val="24"/>
        </w:rPr>
      </w:pPr>
      <w:r>
        <w:rPr>
          <w:rFonts w:hint="eastAsia" w:ascii="黑体" w:hAnsi="黑体" w:eastAsia="黑体" w:cs="黑体"/>
          <w:color w:val="000000"/>
          <w:spacing w:val="-11"/>
          <w:sz w:val="24"/>
          <w:szCs w:val="24"/>
        </w:rPr>
        <w:t>二、机械化保洁作业（35分）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（一）遵守作业时间规定，每发生1次违反早晚交通高峰出车扣3分，车辆作业期间辆车并排行驶的扣1分。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（二）道路保洁作业期间不扬尘、不漏扫、达到车走地面净。道路机械洗扫灰土重量按照道路不同等级确定的标准1平方米每超出1克扣0.2分。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（三）推行洒水车雾喷降尘，白天采取大范围冲洗道路（特殊情况除外）的每发现一处扣2分。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（四）道路保洁车辆出勤率依据北斗定位统计每降低一个百分点（机扫车90%以上、洒水车80%以上）扣0.5分。</w:t>
      </w:r>
    </w:p>
    <w:p>
      <w:pPr>
        <w:spacing w:line="240" w:lineRule="auto"/>
        <w:ind w:firstLine="436" w:firstLineChars="200"/>
        <w:rPr>
          <w:rFonts w:hint="eastAsia" w:ascii="黑体" w:hAnsi="黑体" w:eastAsia="黑体" w:cs="黑体"/>
          <w:color w:val="000000"/>
          <w:spacing w:val="-11"/>
          <w:sz w:val="24"/>
          <w:szCs w:val="24"/>
        </w:rPr>
      </w:pPr>
      <w:r>
        <w:rPr>
          <w:rFonts w:hint="eastAsia" w:ascii="黑体" w:hAnsi="黑体" w:eastAsia="黑体" w:cs="黑体"/>
          <w:color w:val="000000"/>
          <w:spacing w:val="-11"/>
          <w:sz w:val="24"/>
          <w:szCs w:val="24"/>
        </w:rPr>
        <w:t>三、果皮箱管护</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（一）不及时清掏、垃圾落地每处扣1分。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（二）果皮箱箱体不洁、歪斜每处扣0.5分。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（三）果皮箱残缺每个扣0.3分。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（四）道路果皮箱设置数量不足或未设置扣2分。</w:t>
      </w:r>
    </w:p>
    <w:p>
      <w:pPr>
        <w:spacing w:line="240" w:lineRule="auto"/>
        <w:ind w:firstLine="436" w:firstLineChars="200"/>
        <w:rPr>
          <w:rFonts w:hint="eastAsia" w:ascii="黑体" w:hAnsi="黑体" w:eastAsia="黑体" w:cs="黑体"/>
          <w:color w:val="000000"/>
          <w:spacing w:val="-11"/>
          <w:sz w:val="24"/>
          <w:szCs w:val="24"/>
        </w:rPr>
      </w:pPr>
      <w:r>
        <w:rPr>
          <w:rFonts w:hint="eastAsia" w:ascii="黑体" w:hAnsi="黑体" w:eastAsia="黑体" w:cs="黑体"/>
          <w:color w:val="000000"/>
          <w:spacing w:val="-11"/>
          <w:sz w:val="24"/>
          <w:szCs w:val="24"/>
        </w:rPr>
        <w:t>四、督查督办和社会评价</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（一）电视、报纸等媒体曝光并经查实在“以克论净 深度保洁”工作管理问题的每次扣总评分1分。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（二）县城管委办公室通报批评一次扣2分。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（三）未按时完成整改通知和群众投诉的，每次扣1分。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（四）县城管委办公室安排日常工作不能够及时完成的、推诿扯皮的扣2分。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县城管委办公室对各镇（街）、管委会“以克论净 深度保洁”工作存在的一般问题采取口头告知，对媒体曝光和领导批示采取书面告知并限期整改达标。对存在问题严重，采取上述措施后仍整治不力、造成一定影响的，将以简报形式在全市予以通报批评，取消当月评比资格。</w:t>
      </w:r>
    </w:p>
    <w:p>
      <w:pPr>
        <w:spacing w:line="240" w:lineRule="auto"/>
        <w:ind w:firstLine="436" w:firstLineChars="200"/>
        <w:rPr>
          <w:rFonts w:hint="eastAsia" w:ascii="黑体" w:hAnsi="黑体" w:eastAsia="黑体" w:cs="黑体"/>
          <w:color w:val="000000"/>
          <w:spacing w:val="-11"/>
          <w:sz w:val="24"/>
          <w:szCs w:val="24"/>
        </w:rPr>
      </w:pPr>
      <w:r>
        <w:rPr>
          <w:rFonts w:hint="eastAsia" w:ascii="黑体" w:hAnsi="黑体" w:eastAsia="黑体" w:cs="黑体"/>
          <w:color w:val="000000"/>
          <w:spacing w:val="-11"/>
          <w:sz w:val="24"/>
          <w:szCs w:val="24"/>
        </w:rPr>
        <w:t>五、年度综合考核加分项</w:t>
      </w:r>
    </w:p>
    <w:p>
      <w:pPr>
        <w:numPr>
          <w:ilvl w:val="0"/>
          <w:numId w:val="11"/>
        </w:num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道路保洁车辆（中大型机扫或冲洗车辆）每年年终数量比上一年车辆增加一辆加0.5分（以车辆加装定位设备为准），小型保洁车辆每增加一辆加0.2分（以购车发票或采购合同为准），车辆更新不得分。</w:t>
      </w:r>
    </w:p>
    <w:p>
      <w:pPr>
        <w:numPr>
          <w:ilvl w:val="0"/>
          <w:numId w:val="11"/>
        </w:num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召开全县性城市道路清扫“以克论净 深度保洁”工作现场会推广先进工作经验加5分。</w:t>
      </w:r>
    </w:p>
    <w:p>
      <w:pPr>
        <w:numPr>
          <w:ilvl w:val="0"/>
          <w:numId w:val="11"/>
        </w:num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开展道路清扫“以克论净 深度保洁”工作被主流媒体报道的每次加0.3次。</w:t>
      </w:r>
    </w:p>
    <w:p>
      <w:pPr>
        <w:numPr>
          <w:ilvl w:val="0"/>
          <w:numId w:val="11"/>
        </w:num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各镇（街）本级财政资金投入比上一年度增加以10%为基准，每增加1%加1分。</w:t>
      </w:r>
    </w:p>
    <w:p>
      <w:pPr>
        <w:spacing w:line="240" w:lineRule="auto"/>
        <w:rPr>
          <w:rFonts w:hint="eastAsia" w:ascii="仿宋_GB2312" w:hAnsi="仿宋_GB2312" w:eastAsia="仿宋_GB2312" w:cs="仿宋_GB2312"/>
          <w:color w:val="000000"/>
          <w:spacing w:val="-11"/>
          <w:sz w:val="24"/>
          <w:szCs w:val="24"/>
        </w:rPr>
      </w:pPr>
    </w:p>
    <w:p>
      <w:pPr>
        <w:spacing w:line="240" w:lineRule="auto"/>
        <w:rPr>
          <w:rFonts w:hint="eastAsia" w:ascii="仿宋_GB2312" w:hAnsi="仿宋_GB2312" w:eastAsia="仿宋_GB2312" w:cs="仿宋_GB2312"/>
          <w:color w:val="000000"/>
          <w:spacing w:val="-11"/>
          <w:sz w:val="24"/>
          <w:szCs w:val="24"/>
        </w:rPr>
      </w:pPr>
    </w:p>
    <w:p>
      <w:pPr>
        <w:spacing w:line="240" w:lineRule="auto"/>
        <w:ind w:firstLine="480" w:firstLineChars="200"/>
        <w:rPr>
          <w:rFonts w:hint="eastAsia" w:ascii="仿宋_GB2312" w:hAnsi="仿宋_GB2312" w:eastAsia="仿宋_GB2312" w:cs="仿宋_GB2312"/>
          <w:color w:val="000000"/>
          <w:sz w:val="24"/>
          <w:szCs w:val="24"/>
        </w:rPr>
      </w:pP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br w:type="page"/>
      </w:r>
    </w:p>
    <w:p>
      <w:pPr>
        <w:spacing w:line="240" w:lineRule="auto"/>
        <w:rPr>
          <w:rFonts w:hint="eastAsia" w:ascii="方正小标宋简体" w:hAnsi="方正小标宋简体" w:eastAsia="方正小标宋简体" w:cs="方正小标宋简体"/>
          <w:color w:val="000000"/>
          <w:sz w:val="36"/>
          <w:szCs w:val="36"/>
        </w:rPr>
      </w:pPr>
      <w:r>
        <w:rPr>
          <w:rFonts w:hint="eastAsia" w:ascii="仿宋_GB2312" w:hAnsi="仿宋_GB2312" w:eastAsia="仿宋_GB2312" w:cs="仿宋_GB2312"/>
          <w:color w:val="000000"/>
          <w:sz w:val="24"/>
          <w:szCs w:val="24"/>
        </w:rPr>
        <w:t>附件4</w:t>
      </w:r>
    </w:p>
    <w:p>
      <w:pPr>
        <w:spacing w:line="240" w:lineRule="auto"/>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周至县市容环境卫生管理工作标准</w:t>
      </w:r>
    </w:p>
    <w:p>
      <w:p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一、总则</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第一条</w:t>
      </w:r>
      <w:r>
        <w:rPr>
          <w:rFonts w:hint="eastAsia" w:ascii="仿宋_GB2312" w:hAnsi="仿宋_GB2312" w:eastAsia="仿宋_GB2312" w:cs="仿宋_GB2312"/>
          <w:color w:val="000000"/>
          <w:sz w:val="24"/>
          <w:szCs w:val="24"/>
        </w:rPr>
        <w:t xml:space="preserve"> 为了进一步提高我县市容环境卫生管理水平，建立健全市容环境卫生工作科学化、规范化、长效化管理机制，实现精细化管理的目标要求，根据国家建设部《城市市容和环境卫生管理条例》、《城镇市容环境卫生劳动定额》、《陕西省城市市容环境卫生条例》和《西安市城市市容和环境卫生管理条例》，并结合我县工作实际，制定本标准。</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第二条</w:t>
      </w:r>
      <w:r>
        <w:rPr>
          <w:rFonts w:hint="eastAsia" w:ascii="仿宋_GB2312" w:hAnsi="仿宋_GB2312" w:eastAsia="仿宋_GB2312" w:cs="仿宋_GB2312"/>
          <w:color w:val="000000"/>
          <w:sz w:val="24"/>
          <w:szCs w:val="24"/>
        </w:rPr>
        <w:t xml:space="preserve"> 本标准为县级行业管理标准，适用于周至县城市市容环境卫生工作。</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第三条</w:t>
      </w:r>
      <w:r>
        <w:rPr>
          <w:rFonts w:hint="eastAsia" w:ascii="仿宋_GB2312" w:hAnsi="仿宋_GB2312" w:eastAsia="仿宋_GB2312" w:cs="仿宋_GB2312"/>
          <w:color w:val="000000"/>
          <w:sz w:val="24"/>
          <w:szCs w:val="24"/>
        </w:rPr>
        <w:t xml:space="preserve"> 城市道路清扫保洁应以维护道路清洁容貌和防止道路扬尘污染为目的。</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第四条</w:t>
      </w:r>
      <w:r>
        <w:rPr>
          <w:rFonts w:hint="eastAsia" w:ascii="仿宋_GB2312" w:hAnsi="仿宋_GB2312" w:eastAsia="仿宋_GB2312" w:cs="仿宋_GB2312"/>
          <w:color w:val="000000"/>
          <w:sz w:val="24"/>
          <w:szCs w:val="24"/>
        </w:rPr>
        <w:t xml:space="preserve"> 县城和镇街范围内道路清扫保洁、机械化清扫、道路冲洗、机动车清洗站（点）、非机动车保管站管理、废弃物收集箱（果皮箱）设置与日常管护、生活垃圾收集与清运、公共厕所管理等环境卫生工作均执行本标准。</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第五条</w:t>
      </w:r>
      <w:r>
        <w:rPr>
          <w:rFonts w:hint="eastAsia" w:ascii="仿宋_GB2312" w:hAnsi="仿宋_GB2312" w:eastAsia="仿宋_GB2312" w:cs="仿宋_GB2312"/>
          <w:color w:val="000000"/>
          <w:sz w:val="24"/>
          <w:szCs w:val="24"/>
        </w:rPr>
        <w:t xml:space="preserve"> 县城市管理局负责监督本标准的落实，并对我县从事市容环境卫生工作的单位进行指导、监督和检查。</w:t>
      </w:r>
    </w:p>
    <w:p>
      <w:p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二、道路清扫保洁工作</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第六条</w:t>
      </w:r>
      <w:r>
        <w:rPr>
          <w:rFonts w:hint="eastAsia" w:ascii="仿宋_GB2312" w:hAnsi="仿宋_GB2312" w:eastAsia="仿宋_GB2312" w:cs="仿宋_GB2312"/>
          <w:color w:val="000000"/>
          <w:sz w:val="24"/>
          <w:szCs w:val="24"/>
        </w:rPr>
        <w:t xml:space="preserve"> 作业范围为建成区内属市政道路的车行道、人行道、车行隧道、高架桥、人行过街天桥、地下通道、立交桥及广场等均属清扫保洁作业范围。所有建成区道路按建设部规定的清扫保洁等级标准分为一、二、三级进行管理，重要道路的清扫保洁等级按县级业务主管部门确定为准。</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第七条</w:t>
      </w:r>
      <w:r>
        <w:rPr>
          <w:rFonts w:hint="eastAsia" w:ascii="仿宋_GB2312" w:hAnsi="仿宋_GB2312" w:eastAsia="仿宋_GB2312" w:cs="仿宋_GB2312"/>
          <w:color w:val="000000"/>
          <w:sz w:val="24"/>
          <w:szCs w:val="24"/>
        </w:rPr>
        <w:t xml:space="preserve"> 人员配备按一级道路2班制作业，每2750（A类）-3125（B类）平方米配备1名保洁员；二级道路2班制作业，每3125（A类）-3500（B类）平方米配备1名保洁员；三级道路2班制作业，每3800平方米配备1名保洁员。绿化带清扫保洁按二级道路标准配备，重要道路清扫保洁确需按3班制作业的，经县城市管理局批准后配备。</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 xml:space="preserve">第八条 </w:t>
      </w:r>
      <w:r>
        <w:rPr>
          <w:rFonts w:hint="eastAsia" w:ascii="仿宋_GB2312" w:hAnsi="仿宋_GB2312" w:eastAsia="仿宋_GB2312" w:cs="仿宋_GB2312"/>
          <w:color w:val="000000"/>
          <w:sz w:val="24"/>
          <w:szCs w:val="24"/>
        </w:rPr>
        <w:t>每名保洁员配备大扫把1把、小扫帚1把、保洁簸箕1个、保洁三轮车1辆。清扫和保洁工具手把及保洁三轮车后箱贴涂反光标志。保洁三轮车工具箱放置杂物捡拾夹、多色自喷漆、“野广告”清理铲等，普扫后大扫把放置在保洁三轮车上。人行道、车行道、主干道各喇叭口、下水井口、树坑、隔离墩、隔车绿带必须清扫干净。雨雪后车行道、人行道、道沿下泥水、积雪必须及时清理，不得有垃圾堆积、不能漏扫，不能用大扫把保洁造成二次污染。对道路上的抛洒污染问题，要及时发现及时清理和冲洗，不能因道路保洁不及时造成道路扬尘污染。</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第九条</w:t>
      </w:r>
      <w:r>
        <w:rPr>
          <w:rFonts w:hint="eastAsia" w:ascii="仿宋_GB2312" w:hAnsi="仿宋_GB2312" w:eastAsia="仿宋_GB2312" w:cs="仿宋_GB2312"/>
          <w:color w:val="000000"/>
          <w:sz w:val="24"/>
          <w:szCs w:val="24"/>
        </w:rPr>
        <w:t xml:space="preserve"> 每天除“普扫”使用大扫帚外，其余时间全部使用小扫帚进行保洁。春夏季早“普扫”6:30前完成，秋冬季早“普扫”7:00前完成；下班时间春夏季22:00，秋冬季21:30。</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第十条</w:t>
      </w:r>
      <w:r>
        <w:rPr>
          <w:rFonts w:hint="eastAsia" w:ascii="仿宋_GB2312" w:hAnsi="仿宋_GB2312" w:eastAsia="仿宋_GB2312" w:cs="仿宋_GB2312"/>
          <w:color w:val="000000"/>
          <w:sz w:val="24"/>
          <w:szCs w:val="24"/>
        </w:rPr>
        <w:t xml:space="preserve"> 道路保洁实行巡查员负责制，每3-8条道路为一个巡查区域，设巡查人员1名。各类道路每名保洁员作业区为一个标段，对保洁员实行编号定位。</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第十一条</w:t>
      </w:r>
      <w:r>
        <w:rPr>
          <w:rFonts w:hint="eastAsia" w:ascii="仿宋_GB2312" w:hAnsi="仿宋_GB2312" w:eastAsia="仿宋_GB2312" w:cs="仿宋_GB2312"/>
          <w:color w:val="000000"/>
          <w:sz w:val="24"/>
          <w:szCs w:val="24"/>
        </w:rPr>
        <w:t xml:space="preserve"> 各单位应组建不少于10%的保洁轮休人员（含保洁应急队伍），以保证保洁人员轮休和快速解决区域范围内突发的影响市容环境卫生的事件。</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第十二条</w:t>
      </w:r>
      <w:r>
        <w:rPr>
          <w:rFonts w:hint="eastAsia" w:ascii="仿宋_GB2312" w:hAnsi="仿宋_GB2312" w:eastAsia="仿宋_GB2312" w:cs="仿宋_GB2312"/>
          <w:color w:val="000000"/>
          <w:sz w:val="24"/>
          <w:szCs w:val="24"/>
        </w:rPr>
        <w:t xml:space="preserve"> 保洁员在工作时间内应工服整洁，穿戴整齐，用语文明，不得乱躺和聚堆闲聊，无脱岗漏保，严禁从事与工作无关的事情。</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 xml:space="preserve">第十三条 </w:t>
      </w:r>
      <w:r>
        <w:rPr>
          <w:rFonts w:hint="eastAsia" w:ascii="仿宋_GB2312" w:hAnsi="仿宋_GB2312" w:eastAsia="仿宋_GB2312" w:cs="仿宋_GB2312"/>
          <w:color w:val="000000"/>
          <w:sz w:val="24"/>
          <w:szCs w:val="24"/>
        </w:rPr>
        <w:t>保洁员作业时严禁将尘土、杂物扫至下水井口，严禁将垃圾随意倾倒或焚烧，落叶季节严禁焚烧落叶。</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第十四条</w:t>
      </w:r>
      <w:r>
        <w:rPr>
          <w:rFonts w:hint="eastAsia" w:ascii="仿宋_GB2312" w:hAnsi="仿宋_GB2312" w:eastAsia="仿宋_GB2312" w:cs="仿宋_GB2312"/>
          <w:color w:val="000000"/>
          <w:sz w:val="24"/>
          <w:szCs w:val="24"/>
        </w:rPr>
        <w:t xml:space="preserve"> 保洁员上岗时必须着警示保洁服，普扫时逆车流方向作业，在前方50米处设置警示设施。冬季早、晚“普扫”时安排1人进行交通提示。</w:t>
      </w:r>
    </w:p>
    <w:p>
      <w:p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三、道路冲洗作业</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第十五条</w:t>
      </w:r>
      <w:r>
        <w:rPr>
          <w:rFonts w:hint="eastAsia" w:ascii="仿宋_GB2312" w:hAnsi="仿宋_GB2312" w:eastAsia="仿宋_GB2312" w:cs="仿宋_GB2312"/>
          <w:color w:val="000000"/>
          <w:sz w:val="24"/>
          <w:szCs w:val="24"/>
        </w:rPr>
        <w:t xml:space="preserve">  每日在6:30前对道路“灰带”（道路附着物下由于积尘造成的一种现象）及“带头”（道路、绿带间隔处道沿下的积尘）进行冲洗作业。</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第十六条</w:t>
      </w:r>
      <w:r>
        <w:rPr>
          <w:rFonts w:hint="eastAsia" w:ascii="仿宋_GB2312" w:hAnsi="仿宋_GB2312" w:eastAsia="仿宋_GB2312" w:cs="仿宋_GB2312"/>
          <w:color w:val="000000"/>
          <w:sz w:val="24"/>
          <w:szCs w:val="24"/>
        </w:rPr>
        <w:t xml:space="preserve"> 洒水车清晨、夜间作业时应打开提示灯，禁止鸣报任何信号，其余时间应鸣信号声提醒过路车辆及行人。</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 xml:space="preserve">第十七条 </w:t>
      </w:r>
      <w:r>
        <w:rPr>
          <w:rFonts w:hint="eastAsia" w:ascii="仿宋_GB2312" w:hAnsi="仿宋_GB2312" w:eastAsia="仿宋_GB2312" w:cs="仿宋_GB2312"/>
          <w:color w:val="000000"/>
          <w:sz w:val="24"/>
          <w:szCs w:val="24"/>
        </w:rPr>
        <w:t>气温在30℃以上、遇扬尘天气和重要活动及会议保障时增加2-4次洒水车雾喷频次。每日要加强生活垃圾通道的冲洗工作，小型冲洗车应对人行道、背街小巷、果皮箱底座、垃圾桶、下水井盖等进行冲洗。</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第十八条</w:t>
      </w:r>
      <w:r>
        <w:rPr>
          <w:rFonts w:hint="eastAsia" w:ascii="仿宋_GB2312" w:hAnsi="仿宋_GB2312" w:eastAsia="仿宋_GB2312" w:cs="仿宋_GB2312"/>
          <w:color w:val="000000"/>
          <w:sz w:val="24"/>
          <w:szCs w:val="24"/>
        </w:rPr>
        <w:t xml:space="preserve"> 加强十五条“渣土通道”、工地周边道路、城市出入口等灰带严重区域的冲洗作业，做到即时冲洗；洒水车应对一、二类道路每日雾喷不少于3次，三类道路每日不少于1次，确保市政道路做到“常湿润、显本色、不起尘”。</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第十九条</w:t>
      </w:r>
      <w:r>
        <w:rPr>
          <w:rFonts w:hint="eastAsia" w:ascii="仿宋_GB2312" w:hAnsi="仿宋_GB2312" w:eastAsia="仿宋_GB2312" w:cs="仿宋_GB2312"/>
          <w:color w:val="000000"/>
          <w:sz w:val="24"/>
          <w:szCs w:val="24"/>
        </w:rPr>
        <w:t xml:space="preserve"> 洒水车必须按照要求安装定位系统，洒水车应集中管理，出勤率必须达到75%以上。以上冲洗、雾喷作业时间要求均不含冬季结冰期，进入冬季后，气温在3℃以下不得进行任何冲洗、洒水作业。雨停后3小时内将路面积水清理干净。</w:t>
      </w:r>
    </w:p>
    <w:p>
      <w:p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四、道路机械化清扫</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第二十条</w:t>
      </w:r>
      <w:r>
        <w:rPr>
          <w:rFonts w:hint="eastAsia" w:ascii="仿宋_GB2312" w:hAnsi="仿宋_GB2312" w:eastAsia="仿宋_GB2312" w:cs="仿宋_GB2312"/>
          <w:color w:val="000000"/>
          <w:sz w:val="24"/>
          <w:szCs w:val="24"/>
        </w:rPr>
        <w:t xml:space="preserve"> 作业范围是全县一、二类道路和重点区域适合机扫的路段，根据道路改造情况和扫路车增加数量，不断扩大机扫面积，道路机械化出勤率保持在85%以上，城市主干道机扫率不低于95%。</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第二十一条</w:t>
      </w:r>
      <w:r>
        <w:rPr>
          <w:rFonts w:hint="eastAsia" w:ascii="仿宋_GB2312" w:hAnsi="仿宋_GB2312" w:eastAsia="仿宋_GB2312" w:cs="仿宋_GB2312"/>
          <w:color w:val="000000"/>
          <w:sz w:val="24"/>
          <w:szCs w:val="24"/>
        </w:rPr>
        <w:t xml:space="preserve"> 每日作业4次，作业时间由各镇街、单位具体确定，必须避开上下班交通高峰时间段，如遇重大活动或突发事件时可适当调整。</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第二十二条</w:t>
      </w:r>
      <w:r>
        <w:rPr>
          <w:rFonts w:hint="eastAsia" w:ascii="仿宋_GB2312" w:hAnsi="仿宋_GB2312" w:eastAsia="仿宋_GB2312" w:cs="仿宋_GB2312"/>
          <w:color w:val="000000"/>
          <w:sz w:val="24"/>
          <w:szCs w:val="24"/>
        </w:rPr>
        <w:t xml:space="preserve"> 道路机械化清扫作业实行“四定”制度，即“定车辆、定时间、定路线、定责任”。</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第二十三条</w:t>
      </w:r>
      <w:r>
        <w:rPr>
          <w:rFonts w:hint="eastAsia" w:ascii="仿宋_GB2312" w:hAnsi="仿宋_GB2312" w:eastAsia="仿宋_GB2312" w:cs="仿宋_GB2312"/>
          <w:color w:val="000000"/>
          <w:sz w:val="24"/>
          <w:szCs w:val="24"/>
        </w:rPr>
        <w:t xml:space="preserve"> 扫路车作业时鸣报提示音乐和警示灯，开启喷水降尘设施，采取湿法作业，清扫速度不超过每小时10公里。无漏扫、不扬尘，车过地面净，清扫作业结束后必须将垃圾倒入指定收集点，早7:00前和晚22:00后作业应关闭提示音乐。</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第二十四条</w:t>
      </w:r>
      <w:r>
        <w:rPr>
          <w:rFonts w:hint="eastAsia" w:ascii="仿宋_GB2312" w:hAnsi="仿宋_GB2312" w:eastAsia="仿宋_GB2312" w:cs="仿宋_GB2312"/>
          <w:color w:val="000000"/>
          <w:sz w:val="24"/>
          <w:szCs w:val="24"/>
        </w:rPr>
        <w:t xml:space="preserve"> 机扫车必须按照要求安装定位系统，统一停放在专用停车场，集中管理，定时定点维护保养，扫刷等设备应及时更换。</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第二十五条</w:t>
      </w:r>
      <w:r>
        <w:rPr>
          <w:rFonts w:hint="eastAsia" w:ascii="仿宋_GB2312" w:hAnsi="仿宋_GB2312" w:eastAsia="仿宋_GB2312" w:cs="仿宋_GB2312"/>
          <w:color w:val="000000"/>
          <w:sz w:val="24"/>
          <w:szCs w:val="24"/>
        </w:rPr>
        <w:t xml:space="preserve"> 根据机械化清扫管理规范，驾驶员必须具有B类以上驾照，具备4年以上驾龄，身体健康；驾驶员经过专业培训，能熟练掌握专业车辆的操作方法、工作程序，以及车辆的日常维护技能；热爱市容环境卫生工作，工作期间着装整洁、行为规范，做到文明作业。</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第二十六条</w:t>
      </w:r>
      <w:r>
        <w:rPr>
          <w:rFonts w:hint="eastAsia" w:ascii="仿宋_GB2312" w:hAnsi="仿宋_GB2312" w:eastAsia="仿宋_GB2312" w:cs="仿宋_GB2312"/>
          <w:color w:val="000000"/>
          <w:sz w:val="24"/>
          <w:szCs w:val="24"/>
        </w:rPr>
        <w:t xml:space="preserve"> 遵守交通规则，文明行车，规范作业，防止各类事故发生。</w:t>
      </w:r>
    </w:p>
    <w:p>
      <w:p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五、废弃物收集箱（果皮箱）设置与日常管护</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第二十七条</w:t>
      </w:r>
      <w:r>
        <w:rPr>
          <w:rFonts w:hint="eastAsia" w:ascii="仿宋_GB2312" w:hAnsi="仿宋_GB2312" w:eastAsia="仿宋_GB2312" w:cs="仿宋_GB2312"/>
          <w:color w:val="000000"/>
          <w:sz w:val="24"/>
          <w:szCs w:val="24"/>
        </w:rPr>
        <w:t xml:space="preserve"> 废弃物收集箱设置应美观、耐用、防雨、阻燃，与周边环境协调。具体设置标准按照《城镇环境卫生设施设置标准》（CJJ27-2012）执行。废物箱的设置间隔宜符合下列规定：商业、金融业街道：50～100m；主干路、次干路、有辅道的快速路：100～200m；支路、有人行道的快速路：200～400m。</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第二十八条</w:t>
      </w:r>
      <w:r>
        <w:rPr>
          <w:rFonts w:hint="eastAsia" w:ascii="仿宋_GB2312" w:hAnsi="仿宋_GB2312" w:eastAsia="仿宋_GB2312" w:cs="仿宋_GB2312"/>
          <w:color w:val="000000"/>
          <w:sz w:val="24"/>
          <w:szCs w:val="24"/>
        </w:rPr>
        <w:t xml:space="preserve"> 任何材质的废弃物收集箱若出现破损的随发现随维修或更换。</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第二十九条</w:t>
      </w:r>
      <w:r>
        <w:rPr>
          <w:rFonts w:hint="eastAsia" w:ascii="仿宋_GB2312" w:hAnsi="仿宋_GB2312" w:eastAsia="仿宋_GB2312" w:cs="仿宋_GB2312"/>
          <w:color w:val="000000"/>
          <w:sz w:val="24"/>
          <w:szCs w:val="24"/>
        </w:rPr>
        <w:t xml:space="preserve"> 废弃物收集箱每日擦洗2次，及时清掏，无垃圾落地和翻拾垃圾现象，箱体干净无污渍、无破损，摆放端正。</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第三十条</w:t>
      </w:r>
      <w:r>
        <w:rPr>
          <w:rFonts w:hint="eastAsia" w:ascii="仿宋_GB2312" w:hAnsi="仿宋_GB2312" w:eastAsia="仿宋_GB2312" w:cs="仿宋_GB2312"/>
          <w:color w:val="000000"/>
          <w:sz w:val="24"/>
          <w:szCs w:val="24"/>
        </w:rPr>
        <w:t xml:space="preserve"> 未经县城市管理局批准不得安装带有商业广告载体的果皮箱。</w:t>
      </w:r>
    </w:p>
    <w:p>
      <w:p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六、非机动车停放站管理</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第三十一条</w:t>
      </w:r>
      <w:r>
        <w:rPr>
          <w:rFonts w:hint="eastAsia" w:ascii="仿宋_GB2312" w:hAnsi="仿宋_GB2312" w:eastAsia="仿宋_GB2312" w:cs="仿宋_GB2312"/>
          <w:color w:val="000000"/>
          <w:sz w:val="24"/>
          <w:szCs w:val="24"/>
        </w:rPr>
        <w:t xml:space="preserve"> 非机动车停放站设置应合理规范，一、二类道路禁止设置，不得占用盲道，留足人行通道，不得擅自移位和扩大面积。</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第三十二条</w:t>
      </w:r>
      <w:r>
        <w:rPr>
          <w:rFonts w:hint="eastAsia" w:ascii="仿宋_GB2312" w:hAnsi="仿宋_GB2312" w:eastAsia="仿宋_GB2312" w:cs="仿宋_GB2312"/>
          <w:color w:val="000000"/>
          <w:sz w:val="24"/>
          <w:szCs w:val="24"/>
        </w:rPr>
        <w:t xml:space="preserve"> 由设置单位提出申请，并提交设置规划图，经区业务主管部门同意后方可设置，明确地点、面积及开放时间，同时上报县市管理局备案。收费按照市物价发[2008]88号文件执行。非机动车管理站未经批准不得非法设立。</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 xml:space="preserve">第三十三条 </w:t>
      </w:r>
      <w:r>
        <w:rPr>
          <w:rFonts w:hint="eastAsia" w:ascii="仿宋_GB2312" w:hAnsi="仿宋_GB2312" w:eastAsia="仿宋_GB2312" w:cs="仿宋_GB2312"/>
          <w:color w:val="000000"/>
          <w:sz w:val="24"/>
          <w:szCs w:val="24"/>
        </w:rPr>
        <w:t>非机动车停放站要以区为单位设置色调、规格统一的护栏，设置统一标识，悬挂收费公示牌，应做到管理间、收费柜、标志牌、工作服、胸卡“五统一”。</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第三十四条</w:t>
      </w:r>
      <w:r>
        <w:rPr>
          <w:rFonts w:hint="eastAsia" w:ascii="仿宋_GB2312" w:hAnsi="仿宋_GB2312" w:eastAsia="仿宋_GB2312" w:cs="仿宋_GB2312"/>
          <w:color w:val="000000"/>
          <w:sz w:val="24"/>
          <w:szCs w:val="24"/>
        </w:rPr>
        <w:t xml:space="preserve"> 非机动车停放必须干净整洁，车辆摆放整齐有序，不得随意摆放及用绳子、铁丝做围挡物，无各类“野广告”或垃圾杂物。有条件的应摆放花草，进行美化。</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第三十五条</w:t>
      </w:r>
      <w:r>
        <w:rPr>
          <w:rFonts w:hint="eastAsia" w:ascii="仿宋_GB2312" w:hAnsi="仿宋_GB2312" w:eastAsia="仿宋_GB2312" w:cs="仿宋_GB2312"/>
          <w:color w:val="000000"/>
          <w:sz w:val="24"/>
          <w:szCs w:val="24"/>
        </w:rPr>
        <w:t xml:space="preserve"> 非机动车停放站由设置单位负责管理，每站应配有专职管理人员，每日擦拭站内各类设施，负责日常保洁。</w:t>
      </w:r>
    </w:p>
    <w:p>
      <w:p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七、生活垃圾收集</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第三十六条</w:t>
      </w:r>
      <w:r>
        <w:rPr>
          <w:rFonts w:hint="eastAsia" w:ascii="仿宋_GB2312" w:hAnsi="仿宋_GB2312" w:eastAsia="仿宋_GB2312" w:cs="仿宋_GB2312"/>
          <w:color w:val="000000"/>
          <w:sz w:val="24"/>
          <w:szCs w:val="24"/>
        </w:rPr>
        <w:t xml:space="preserve"> 生活垃圾收集站点的设置应符合“合理规划、方便公众”的原则，每个镇街区域的垃圾压缩站数量和规划应按住建部的规划标准设置，垃圾桶、箱、台站及袋装收集点设置在背街小巷。</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第三十七条</w:t>
      </w:r>
      <w:r>
        <w:rPr>
          <w:rFonts w:hint="eastAsia" w:ascii="仿宋_GB2312" w:hAnsi="仿宋_GB2312" w:eastAsia="仿宋_GB2312" w:cs="仿宋_GB2312"/>
          <w:color w:val="000000"/>
          <w:sz w:val="24"/>
          <w:szCs w:val="24"/>
        </w:rPr>
        <w:t xml:space="preserve"> 垃圾压缩站配备管理人员2名以上，垃圾桶、箱、台站各配备1名。</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第三十八条</w:t>
      </w:r>
      <w:r>
        <w:rPr>
          <w:rFonts w:hint="eastAsia" w:ascii="仿宋_GB2312" w:hAnsi="仿宋_GB2312" w:eastAsia="仿宋_GB2312" w:cs="仿宋_GB2312"/>
          <w:color w:val="000000"/>
          <w:sz w:val="24"/>
          <w:szCs w:val="24"/>
        </w:rPr>
        <w:t xml:space="preserve"> 垃圾收集必须密闭化，定时喷洒药物，控制蚊蝇孳生，防止二次污染。垃圾压缩站应实行全天保洁，每次压缩作业后对地面冲洗1次，清运后药物消杀作业1次。垃圾桶、箱每日擦洗2次，夏秋季每日消杀作业2次，每周对周边地面冲洗2次。</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第三十九条</w:t>
      </w:r>
      <w:r>
        <w:rPr>
          <w:rFonts w:hint="eastAsia" w:ascii="仿宋_GB2312" w:hAnsi="仿宋_GB2312" w:eastAsia="仿宋_GB2312" w:cs="仿宋_GB2312"/>
          <w:color w:val="000000"/>
          <w:sz w:val="24"/>
          <w:szCs w:val="24"/>
        </w:rPr>
        <w:t xml:space="preserve"> 垃圾压缩站作业应安全规范，先压缩、后清运。灭蝇设施完好，悬挂4个以上灭蝇灯。每日开放时间为5:00-24:00，达到地面净、墙壁净、门窗净、灯具净、设备净、周边环境净，无垃圾散落、无积留污水、无扬尘恶臭，管理间干净整洁的标准。</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第四十条</w:t>
      </w:r>
      <w:r>
        <w:rPr>
          <w:rFonts w:hint="eastAsia" w:ascii="仿宋_GB2312" w:hAnsi="仿宋_GB2312" w:eastAsia="仿宋_GB2312" w:cs="仿宋_GB2312"/>
          <w:color w:val="000000"/>
          <w:sz w:val="24"/>
          <w:szCs w:val="24"/>
        </w:rPr>
        <w:t xml:space="preserve"> 桶、箱、台站应摆放整齐，达到“三净、三无”的卫生标准，即：桶箱体净，无残缺破损；地面环境净，无冒尖溢满、垃圾落地；周边环境净，无乱堆乱放。垃圾台站立面整洁，通道流畅，无污水渗漏和堆尖冒顶。袋装收集点定时定点收集，车走地净。袋装垃圾收集站点应二次包装，在所有垃圾站点不能焚烧树叶垃圾。</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第四十一条</w:t>
      </w:r>
      <w:r>
        <w:rPr>
          <w:rFonts w:hint="eastAsia" w:ascii="仿宋_GB2312" w:hAnsi="仿宋_GB2312" w:eastAsia="仿宋_GB2312" w:cs="仿宋_GB2312"/>
          <w:color w:val="000000"/>
          <w:sz w:val="24"/>
          <w:szCs w:val="24"/>
        </w:rPr>
        <w:t xml:space="preserve"> 垃圾压缩站每半年应按照技术要求保养1次，各种车辆和设备应进行日常维护保养，按照相关规定进行大、中、小修，设备正常运转率达到90％以上；生活垃圾收集站、点应建立科学、规范的操作规程，建立日程设备运转记录。</w:t>
      </w:r>
    </w:p>
    <w:p>
      <w:p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八、生活垃圾清运</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第四十二条</w:t>
      </w:r>
      <w:r>
        <w:rPr>
          <w:rFonts w:hint="eastAsia" w:ascii="仿宋_GB2312" w:hAnsi="仿宋_GB2312" w:eastAsia="仿宋_GB2312" w:cs="仿宋_GB2312"/>
          <w:color w:val="000000"/>
          <w:sz w:val="24"/>
          <w:szCs w:val="24"/>
        </w:rPr>
        <w:t xml:space="preserve"> 清运车辆配置标准应按实际运行车辆的1:1.5配置，车辆运行年限执行国家标准。车辆驾驶员按运行车辆1:1.5配备，使用人工装卸的车辆每车配备清运工2名。</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第四十三条</w:t>
      </w:r>
      <w:r>
        <w:rPr>
          <w:rFonts w:hint="eastAsia" w:ascii="仿宋_GB2312" w:hAnsi="仿宋_GB2312" w:eastAsia="仿宋_GB2312" w:cs="仿宋_GB2312"/>
          <w:color w:val="000000"/>
          <w:sz w:val="24"/>
          <w:szCs w:val="24"/>
        </w:rPr>
        <w:t xml:space="preserve"> 垃圾清运作业方案应科学合理，班次安排得当，垃圾收集站点与清运车辆衔接有序，实行定人、定车、定点、定时、定线路责任制，包日产日清。</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第四十四条</w:t>
      </w:r>
      <w:r>
        <w:rPr>
          <w:rFonts w:hint="eastAsia" w:ascii="仿宋_GB2312" w:hAnsi="仿宋_GB2312" w:eastAsia="仿宋_GB2312" w:cs="仿宋_GB2312"/>
          <w:color w:val="000000"/>
          <w:sz w:val="24"/>
          <w:szCs w:val="24"/>
        </w:rPr>
        <w:t xml:space="preserve"> 垃圾车进入垃圾场进行倾倒时应听从调度人员指挥，规范操作。垃圾清运过程中为防止扬、撒、拖挂、设备应密闭化，为防止污水洒漏，应保证装车无污水，有水无滴漏，所有防水及密闭设备全部完好。</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第四十五条</w:t>
      </w:r>
      <w:r>
        <w:rPr>
          <w:rFonts w:hint="eastAsia" w:ascii="仿宋_GB2312" w:hAnsi="仿宋_GB2312" w:eastAsia="仿宋_GB2312" w:cs="仿宋_GB2312"/>
          <w:color w:val="000000"/>
          <w:sz w:val="24"/>
          <w:szCs w:val="24"/>
        </w:rPr>
        <w:t xml:space="preserve"> 清运车应在环卫车场统一停放，每日作业回场后先进行冲洗，车体（内）外部无污物、灰垢，标志清晰，车容整洁，停放有序。</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第四十六条</w:t>
      </w:r>
      <w:r>
        <w:rPr>
          <w:rFonts w:hint="eastAsia" w:ascii="仿宋_GB2312" w:hAnsi="仿宋_GB2312" w:eastAsia="仿宋_GB2312" w:cs="仿宋_GB2312"/>
          <w:color w:val="000000"/>
          <w:sz w:val="24"/>
          <w:szCs w:val="24"/>
        </w:rPr>
        <w:t xml:space="preserve"> 建立车辆的使用、保养、修理及检验、监督、安全作业档案；每日出车前、收车后检查车辆，每周进行全面检查，每月进行一次保养，保持车况良好，保证安全生产。</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第四十七条</w:t>
      </w:r>
      <w:r>
        <w:rPr>
          <w:rFonts w:hint="eastAsia" w:ascii="仿宋_GB2312" w:hAnsi="仿宋_GB2312" w:eastAsia="仿宋_GB2312" w:cs="仿宋_GB2312"/>
          <w:color w:val="000000"/>
          <w:sz w:val="24"/>
          <w:szCs w:val="24"/>
        </w:rPr>
        <w:t xml:space="preserve"> 组建应急队伍，有效应对压缩设备故障和雨雪恶劣天气的影响，辖区无垃圾滞留。</w:t>
      </w:r>
    </w:p>
    <w:p>
      <w:p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九、公共厕所管理</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第四十八条</w:t>
      </w:r>
      <w:r>
        <w:rPr>
          <w:rFonts w:hint="eastAsia" w:ascii="仿宋_GB2312" w:hAnsi="仿宋_GB2312" w:eastAsia="仿宋_GB2312" w:cs="仿宋_GB2312"/>
          <w:color w:val="000000"/>
          <w:sz w:val="24"/>
          <w:szCs w:val="24"/>
        </w:rPr>
        <w:t xml:space="preserve"> 全县由政府投资建设的公厕必须免费对外开放，开放时间公示并保证。除能全天24小时开放的公厕外，其余公厕春夏6:00-23:00，秋冬6:30-22:30开放，开放率达到100％。临时性停水、停电，应采取急措施保障正常开放；因大修等需正常关闭，应提前张贴告示，并明确恢复开放时间，管理员须坚守岗位。</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第四十九条</w:t>
      </w:r>
      <w:r>
        <w:rPr>
          <w:rFonts w:hint="eastAsia" w:ascii="仿宋_GB2312" w:hAnsi="仿宋_GB2312" w:eastAsia="仿宋_GB2312" w:cs="仿宋_GB2312"/>
          <w:color w:val="000000"/>
          <w:sz w:val="24"/>
          <w:szCs w:val="24"/>
        </w:rPr>
        <w:t xml:space="preserve"> 在公厕外50米左右设有标识醒目的公厕指示牌，公厕外墙有中英文对照标志牌，公厕内悬挂《管理规定》、《如厕须知》、《检查公示牌》、《管理员职责》和监督电话。</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第五十条</w:t>
      </w:r>
      <w:r>
        <w:rPr>
          <w:rFonts w:hint="eastAsia" w:ascii="仿宋_GB2312" w:hAnsi="仿宋_GB2312" w:eastAsia="仿宋_GB2312" w:cs="仿宋_GB2312"/>
          <w:color w:val="000000"/>
          <w:sz w:val="24"/>
          <w:szCs w:val="24"/>
        </w:rPr>
        <w:t xml:space="preserve"> 公厕管理人员应根据开放时间配备，一类道路或重点区域公厕实行3班制，其他公厕实行2班制，每班配备管理人员1名。</w:t>
      </w:r>
    </w:p>
    <w:p>
      <w:pPr>
        <w:spacing w:line="240" w:lineRule="auto"/>
        <w:ind w:firstLine="241" w:firstLineChars="1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第五十一条</w:t>
      </w:r>
      <w:r>
        <w:rPr>
          <w:rFonts w:hint="eastAsia" w:ascii="仿宋_GB2312" w:hAnsi="仿宋_GB2312" w:eastAsia="仿宋_GB2312" w:cs="仿宋_GB2312"/>
          <w:color w:val="000000"/>
          <w:sz w:val="24"/>
          <w:szCs w:val="24"/>
        </w:rPr>
        <w:t xml:space="preserve"> 应实现全天不间断保洁，每日对室内环境冲洗2次，达到“地面净、墙壁净、门窗净、蹲位净、隔板净、便池净、洁具净、灯具净、牌匾净、周边环境净；墙面无污渍、墙角无灰网、便池无粪迹、立面无乱画、地面无杂物；管理间干净整洁无杂物。落实“三包”范围内的市容环境卫生责任。</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第五十二条</w:t>
      </w:r>
      <w:r>
        <w:rPr>
          <w:rFonts w:hint="eastAsia" w:ascii="仿宋_GB2312" w:hAnsi="仿宋_GB2312" w:eastAsia="仿宋_GB2312" w:cs="仿宋_GB2312"/>
          <w:color w:val="000000"/>
          <w:sz w:val="24"/>
          <w:szCs w:val="24"/>
        </w:rPr>
        <w:t xml:space="preserve"> 每年4-10月为蚊、蝇、蛆消杀期，每日早、中、晚三次定时药物消杀，公厕门口悬挂防蝇帘，每厕悬挂2个以上灭蝇灯，摆放2个以上灭鼠药饵盒，每月更换药饵1次。公厕内设置除臭设备及物品，室内通风良好，无恶臭。</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第五十三条</w:t>
      </w:r>
      <w:r>
        <w:rPr>
          <w:rFonts w:hint="eastAsia" w:ascii="仿宋_GB2312" w:hAnsi="仿宋_GB2312" w:eastAsia="仿宋_GB2312" w:cs="仿宋_GB2312"/>
          <w:color w:val="000000"/>
          <w:sz w:val="24"/>
          <w:szCs w:val="24"/>
        </w:rPr>
        <w:t xml:space="preserve"> 公厕维护经费专款专用，设施维修更换及时，水龙头、灯具、洗手器具损坏半个工作日内更换到位，冲水设备损坏、下水道堵塞1个工作日内修复，隔板、门窗、洁具等其他设备损坏2个工作日内修复。</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 xml:space="preserve">第五十四条 </w:t>
      </w:r>
      <w:r>
        <w:rPr>
          <w:rFonts w:hint="eastAsia" w:ascii="仿宋_GB2312" w:hAnsi="仿宋_GB2312" w:eastAsia="仿宋_GB2312" w:cs="仿宋_GB2312"/>
          <w:color w:val="000000"/>
          <w:sz w:val="24"/>
          <w:szCs w:val="24"/>
        </w:rPr>
        <w:t>管理员上岗应统一着装，佩戴胸牌，每日如实填写《公厕管理日志》，如实记录日常保洁、设施状态、消杀除臭等内容，按时交接班，不得脱岗、漏岗以及从事管理之外的其他活动。公厕开放服务时不允许变相收费。</w:t>
      </w:r>
    </w:p>
    <w:p>
      <w:p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十、其他管理工作</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第五十五条</w:t>
      </w:r>
      <w:r>
        <w:rPr>
          <w:rFonts w:hint="eastAsia" w:ascii="仿宋_GB2312" w:hAnsi="仿宋_GB2312" w:eastAsia="仿宋_GB2312" w:cs="仿宋_GB2312"/>
          <w:color w:val="000000"/>
          <w:sz w:val="24"/>
          <w:szCs w:val="24"/>
        </w:rPr>
        <w:t xml:space="preserve"> 机动车辆清洗点开设应符合《西安市机动车辆清洗管理办法》和2010年西安市人民政府令第90号有关规定，城区在县城市管理局办理有关手续，各镇街机动车辆清洗点，在各镇街环卫管理部门办理有关手续，不得出现无证经营、占道擦洗车辆等违章洗车造成污水溢流影响周边环境卫生。</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第五十六条</w:t>
      </w:r>
      <w:r>
        <w:rPr>
          <w:rFonts w:hint="eastAsia" w:ascii="仿宋_GB2312" w:hAnsi="仿宋_GB2312" w:eastAsia="仿宋_GB2312" w:cs="仿宋_GB2312"/>
          <w:color w:val="000000"/>
          <w:sz w:val="24"/>
          <w:szCs w:val="24"/>
        </w:rPr>
        <w:t xml:space="preserve"> 参照国家《机动车强制报废标准规定》有关规定，西安市环卫车辆报废年限定为8-10年。</w:t>
      </w:r>
    </w:p>
    <w:p>
      <w:pPr>
        <w:adjustRightInd w:val="0"/>
        <w:snapToGrid w:val="0"/>
        <w:spacing w:line="240" w:lineRule="auto"/>
        <w:rPr>
          <w:rFonts w:hint="eastAsia" w:ascii="黑体" w:hAnsi="黑体" w:eastAsia="黑体" w:cs="黑体"/>
          <w:sz w:val="24"/>
          <w:szCs w:val="24"/>
        </w:rPr>
      </w:pPr>
      <w:r>
        <w:rPr>
          <w:rFonts w:hint="eastAsia" w:ascii="仿宋_GB2312" w:hAnsi="仿宋_GB2312" w:eastAsia="仿宋_GB2312" w:cs="仿宋_GB2312"/>
          <w:color w:val="000000"/>
          <w:sz w:val="24"/>
          <w:szCs w:val="24"/>
        </w:rPr>
        <w:t>在具体实施过程中，该《标准》将随着我县市容环境卫生管理工作的发展情况适时调整和完善。</w:t>
      </w:r>
    </w:p>
    <w:p>
      <w:pPr>
        <w:adjustRightInd w:val="0"/>
        <w:snapToGrid w:val="0"/>
        <w:spacing w:line="240" w:lineRule="auto"/>
        <w:rPr>
          <w:rFonts w:hint="eastAsia" w:ascii="黑体" w:hAnsi="黑体" w:eastAsia="黑体" w:cs="黑体"/>
          <w:sz w:val="24"/>
          <w:szCs w:val="24"/>
        </w:rPr>
      </w:pPr>
      <w:r>
        <w:rPr>
          <w:rFonts w:hint="eastAsia" w:ascii="黑体" w:hAnsi="黑体" w:eastAsia="黑体" w:cs="黑体"/>
          <w:sz w:val="24"/>
          <w:szCs w:val="24"/>
        </w:rPr>
        <w:br w:type="page"/>
      </w:r>
      <w:r>
        <w:rPr>
          <w:rFonts w:hint="eastAsia" w:ascii="黑体" w:hAnsi="黑体" w:eastAsia="黑体" w:cs="黑体"/>
          <w:sz w:val="24"/>
          <w:szCs w:val="24"/>
        </w:rPr>
        <w:t>附件5</w:t>
      </w:r>
    </w:p>
    <w:p>
      <w:pPr>
        <w:spacing w:line="24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周至县生活垃圾清运管理考核办法</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了加强我县生活垃圾清洁收运管理工作，提高生活垃圾清洁收运水平，减少二次污染，保障人民群众身体健康，根据《城市生活垃圾管理办法》、《西安市城市市容和环境卫生管理条例》和《西安市城市生活垃圾清洁收运工作实施方案》</w:t>
      </w:r>
      <w:r>
        <w:rPr>
          <w:rFonts w:hint="eastAsia" w:ascii="仿宋_GB2312" w:hAnsi="仿宋_GB2312" w:eastAsia="仿宋_GB2312" w:cs="仿宋_GB2312"/>
          <w:sz w:val="24"/>
          <w:szCs w:val="24"/>
          <w:lang w:eastAsia="zh-CN"/>
        </w:rPr>
        <w:t>、《西安市生活垃圾分类管理办法》</w:t>
      </w:r>
      <w:r>
        <w:rPr>
          <w:rFonts w:hint="eastAsia" w:ascii="仿宋_GB2312" w:hAnsi="仿宋_GB2312" w:eastAsia="仿宋_GB2312" w:cs="仿宋_GB2312"/>
          <w:sz w:val="24"/>
          <w:szCs w:val="24"/>
        </w:rPr>
        <w:t>等有关法律和规定要求，结合我县实际，制定本考核办法。</w:t>
      </w:r>
    </w:p>
    <w:p>
      <w:pPr>
        <w:numPr>
          <w:ilvl w:val="0"/>
          <w:numId w:val="12"/>
        </w:numPr>
        <w:spacing w:line="24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工作目标</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了进一步创新城市生活垃圾管理机制，提高城市生活垃圾收集、清运管理水平，规范生活垃圾收集、清运工作流程，全面提高垃圾收集、清运对环境的第二次污染，满足人民群众对城市环境日益提高的要求，按照目标科学、管理常态、工作精细、清运规范的总要求，进一步明确职责，加大监管力度，进一步提升城市品位和文明程度。</w:t>
      </w:r>
    </w:p>
    <w:p>
      <w:pPr>
        <w:numPr>
          <w:ilvl w:val="0"/>
          <w:numId w:val="12"/>
        </w:numPr>
        <w:spacing w:line="24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考核内容</w:t>
      </w:r>
    </w:p>
    <w:p>
      <w:pPr>
        <w:numPr>
          <w:ilvl w:val="0"/>
          <w:numId w:val="13"/>
        </w:numPr>
        <w:spacing w:line="240" w:lineRule="auto"/>
        <w:ind w:firstLine="480" w:firstLineChars="200"/>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清运设施设备</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1.收集车辆必须使用环保、密闭式车辆，并统一标识、编号等，以满足生活垃圾前段清洁收集的需要。</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2.收集车辆必须确保车容车貌干净整洁，每天对清运车辆进行1-2次的消杀，必须按照交通规范文明安全驾驶。</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3.清运车辆加装北斗定位系统，建立全县环卫运输北斗监控系统。</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4.对清运车辆定期检修、保养，及时更换损坏部件，对部分清运车辆加装收集槽，杜绝渗滤液在道路上抛洒滴漏。</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5.严禁私自挪移、更改、撤离现有生活垃圾收集箱（点）及位置，确保生活垃圾清运安全有序。</w:t>
      </w:r>
    </w:p>
    <w:p>
      <w:pPr>
        <w:pStyle w:val="24"/>
        <w:spacing w:line="240" w:lineRule="auto"/>
        <w:rPr>
          <w:rFonts w:hint="default" w:eastAsia="仿宋_GB2312"/>
          <w:sz w:val="18"/>
          <w:szCs w:val="21"/>
          <w:lang w:val="en-US" w:eastAsia="zh-CN"/>
        </w:rPr>
      </w:pPr>
      <w:r>
        <w:rPr>
          <w:rFonts w:hint="eastAsia" w:ascii="仿宋_GB2312" w:hAnsi="仿宋_GB2312" w:eastAsia="仿宋_GB2312" w:cs="仿宋_GB2312"/>
          <w:sz w:val="24"/>
          <w:szCs w:val="24"/>
          <w:lang w:val="en-US" w:eastAsia="zh-CN"/>
        </w:rPr>
        <w:t>6.生活垃圾运输必须专车进行运输禁止混合运输。</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定期开展垃圾收集箱的擦洗，保持干净整洁。</w:t>
      </w:r>
    </w:p>
    <w:p>
      <w:pPr>
        <w:spacing w:line="240" w:lineRule="auto"/>
        <w:ind w:firstLine="480" w:firstLineChars="200"/>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（二）垃圾压缩站运行管理</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严格按照《生活垃圾压缩站运行维护技术规程》（CJJ109-2006）及其相关管理条例的规定，结合我县实际情况，切实有效的改善压缩站规范作业。</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1.严禁超负荷压缩箱体。定期对设备进行检测，对变形的箱体及时维修、更换。</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2.加强压缩站提升改造，对设备老化，环境脏乱的进行提升改造，及时维修液压设备，提升周边环境。</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3.做好压缩站的消杀、除臭等工作。</w:t>
      </w:r>
    </w:p>
    <w:p>
      <w:pPr>
        <w:spacing w:line="240" w:lineRule="auto"/>
        <w:ind w:firstLine="480" w:firstLineChars="200"/>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（三）清运管理</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1.生活垃圾清运必须做到日产日清，必须及时彻底的清理每个垃圾收集箱（点）的生活垃圾，确保全天生活垃圾收集箱无堆积、无溢箱。</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生活垃圾清运应做到收运过程垃圾不落地，将整个收运环节垃圾裸露面积及时间降到最低，实现整个收运环节的高密封性、降低臭气外溢，杜绝运输过程“抛、冒、滴、漏、洒”现象，最大限度降低对环境的污染、预防运输过程中可能产生的二次污染。</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3.生活垃圾必须运送至生活垃圾处理中心和压缩站，严禁乱倒，在生活垃圾处理中心和压缩站必须服从现场调度人员的指挥，按指定区域倾倒。</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4.县城沿街（老城街全段、农商街全段）住户和商户采用流动车辆收集，每天收集2次，必须在7:00-11:00和17:00-21:00（冬季）、17:30-21：00（夏季）前收集清运完成。</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5.做好生活垃圾清运过程中的记录，并建立好台账。</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（四）加强教育与培训</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对新进入市容环卫管理人员和基层和工人进行岗前培训，使市容环卫行业的人员经过培训成为政治合格、业务精通、从业规范的专业人才，提升从业者的整体素质。</w:t>
      </w:r>
    </w:p>
    <w:p>
      <w:pPr>
        <w:numPr>
          <w:ilvl w:val="0"/>
          <w:numId w:val="12"/>
        </w:numPr>
        <w:spacing w:line="24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评分标准</w:t>
      </w:r>
    </w:p>
    <w:p>
      <w:pPr>
        <w:tabs>
          <w:tab w:val="left" w:pos="673"/>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1.收集车辆车容车貌不整洁的每次扣0.2分。</w:t>
      </w:r>
    </w:p>
    <w:p>
      <w:pPr>
        <w:tabs>
          <w:tab w:val="left" w:pos="673"/>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2.不按规定对垃圾清运车辆进行消杀的每次扣0.2分。</w:t>
      </w:r>
    </w:p>
    <w:p>
      <w:pPr>
        <w:tabs>
          <w:tab w:val="left" w:pos="673"/>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3.在垃圾运输过程中有“抛、冒、滴、漏、洒”现象的每次扣0.2分。</w:t>
      </w:r>
    </w:p>
    <w:p>
      <w:pPr>
        <w:tabs>
          <w:tab w:val="left" w:pos="673"/>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4.私自挪移、更改、撤离现有生活垃圾收集箱（点）及位置每次扣除1分。</w:t>
      </w:r>
    </w:p>
    <w:p>
      <w:pPr>
        <w:tabs>
          <w:tab w:val="left" w:pos="673"/>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5.垃圾箱满后不及时清运垃圾的每次扣0.5分。</w:t>
      </w:r>
    </w:p>
    <w:p>
      <w:pPr>
        <w:tabs>
          <w:tab w:val="left" w:pos="673"/>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6.由于垃圾清运不及时造成群众投诉的每次扣2分。</w:t>
      </w:r>
    </w:p>
    <w:p>
      <w:pPr>
        <w:tabs>
          <w:tab w:val="left" w:pos="673"/>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7.由于垃圾清运不及时造成媒体曝光的每次扣5分。</w:t>
      </w:r>
    </w:p>
    <w:p>
      <w:pPr>
        <w:tabs>
          <w:tab w:val="left" w:pos="673"/>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8.因不按时开展垃圾箱擦洗的，造成垃圾箱体不干净的每次扣0.5分。</w:t>
      </w:r>
    </w:p>
    <w:p>
      <w:pPr>
        <w:tabs>
          <w:tab w:val="left" w:pos="673"/>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9.严禁超负荷压缩箱体每发现一次扣0.2分。</w:t>
      </w:r>
    </w:p>
    <w:p>
      <w:pPr>
        <w:tabs>
          <w:tab w:val="left" w:pos="673"/>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10.对在倾倒垃圾时不服从现场调度人员指挥的每次扣0.3分。</w:t>
      </w:r>
    </w:p>
    <w:p>
      <w:pPr>
        <w:tabs>
          <w:tab w:val="left" w:pos="673"/>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11.对不按时设置流动垃圾收集（点）或出动流动垃圾收集车的每次扣0.5分。</w:t>
      </w:r>
    </w:p>
    <w:p>
      <w:pPr>
        <w:tabs>
          <w:tab w:val="left" w:pos="673"/>
        </w:tabs>
        <w:spacing w:line="240" w:lineRule="auto"/>
        <w:ind w:firstLine="480" w:firstLineChars="200"/>
        <w:rPr>
          <w:rFonts w:hint="default" w:eastAsia="仿宋_GB2312"/>
          <w:sz w:val="18"/>
          <w:szCs w:val="21"/>
          <w:lang w:val="en-US" w:eastAsia="zh-CN"/>
        </w:rPr>
      </w:pP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lang w:eastAsia="zh-CN"/>
        </w:rPr>
        <w:t>对在运输过程中，混合运输的每车每次扣</w:t>
      </w:r>
      <w:r>
        <w:rPr>
          <w:rFonts w:hint="eastAsia" w:ascii="仿宋_GB2312" w:hAnsi="仿宋_GB2312" w:eastAsia="仿宋_GB2312" w:cs="仿宋_GB2312"/>
          <w:sz w:val="24"/>
          <w:szCs w:val="24"/>
          <w:lang w:val="en-US" w:eastAsia="zh-CN"/>
        </w:rPr>
        <w:t>2分</w:t>
      </w:r>
    </w:p>
    <w:p>
      <w:pPr>
        <w:adjustRightInd w:val="0"/>
        <w:snapToGrid w:val="0"/>
        <w:spacing w:line="240" w:lineRule="auto"/>
        <w:rPr>
          <w:rFonts w:hint="eastAsia" w:ascii="黑体" w:hAnsi="黑体" w:eastAsia="黑体" w:cs="黑体"/>
          <w:sz w:val="24"/>
          <w:szCs w:val="24"/>
        </w:rPr>
      </w:pPr>
      <w:r>
        <w:rPr>
          <w:rFonts w:hint="eastAsia" w:ascii="黑体" w:hAnsi="黑体" w:eastAsia="黑体" w:cs="黑体"/>
          <w:sz w:val="24"/>
          <w:szCs w:val="24"/>
        </w:rPr>
        <w:br w:type="page"/>
      </w:r>
      <w:r>
        <w:rPr>
          <w:rFonts w:hint="eastAsia" w:ascii="黑体" w:hAnsi="黑体" w:eastAsia="黑体" w:cs="黑体"/>
          <w:sz w:val="24"/>
          <w:szCs w:val="24"/>
        </w:rPr>
        <w:t>附件6</w:t>
      </w:r>
    </w:p>
    <w:p>
      <w:pPr>
        <w:adjustRightInd w:val="0"/>
        <w:snapToGrid w:val="0"/>
        <w:spacing w:line="240" w:lineRule="auto"/>
        <w:jc w:val="center"/>
        <w:rPr>
          <w:rFonts w:hint="eastAsia" w:ascii="方正小标宋简体" w:eastAsia="方正小标宋简体"/>
          <w:sz w:val="36"/>
          <w:szCs w:val="36"/>
        </w:rPr>
      </w:pPr>
      <w:r>
        <w:rPr>
          <w:rFonts w:hint="eastAsia" w:ascii="方正小标宋简体" w:eastAsia="方正小标宋简体"/>
          <w:sz w:val="36"/>
          <w:szCs w:val="36"/>
        </w:rPr>
        <w:t>西安市城镇公共厕所管理标准</w:t>
      </w:r>
    </w:p>
    <w:p>
      <w:pPr>
        <w:adjustRightInd w:val="0"/>
        <w:snapToGrid w:val="0"/>
        <w:spacing w:line="240" w:lineRule="auto"/>
        <w:jc w:val="center"/>
        <w:rPr>
          <w:rFonts w:hint="eastAsia" w:ascii="方正小标宋简体" w:eastAsia="方正小标宋简体"/>
          <w:sz w:val="36"/>
          <w:szCs w:val="36"/>
        </w:rPr>
      </w:pPr>
      <w:r>
        <w:rPr>
          <w:rFonts w:hint="eastAsia" w:ascii="方正小标宋简体" w:eastAsia="方正小标宋简体"/>
          <w:sz w:val="36"/>
          <w:szCs w:val="36"/>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黑体" w:hAnsi="黑体" w:eastAsia="黑体"/>
          <w:sz w:val="24"/>
          <w:szCs w:val="24"/>
        </w:rPr>
        <w:t>第一条</w:t>
      </w:r>
      <w:r>
        <w:rPr>
          <w:rFonts w:hint="eastAsia" w:ascii="仿宋_GB2312" w:eastAsia="仿宋_GB2312"/>
          <w:sz w:val="24"/>
          <w:szCs w:val="24"/>
        </w:rPr>
        <w:t xml:space="preserve"> 为加强我市公共厕所管理,提高城镇公共厕所卫生水平,方便群众使用,根据《全国城市卫生检查评比标准》和建设部《城市环境卫生质量标准》及《西安市城市市容和环境卫生管理条例》,制定本标准。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黑体" w:hAnsi="黑体" w:eastAsia="黑体"/>
          <w:sz w:val="24"/>
          <w:szCs w:val="24"/>
        </w:rPr>
        <w:t>第二条</w:t>
      </w:r>
      <w:r>
        <w:rPr>
          <w:rFonts w:hint="eastAsia" w:ascii="仿宋_GB2312" w:eastAsia="仿宋_GB2312"/>
          <w:sz w:val="24"/>
          <w:szCs w:val="24"/>
        </w:rPr>
        <w:t xml:space="preserve"> 本标准的城镇公共厕所是指供城市居民和流动人口共同使用的环卫公共厕所、公共场所配套公共厕所和社会对外开放公共厕所。适用范围包括园林、旅游、交通、铁路、卫生、商务等行业,涉及公园、旅游区(点)、旅游线路中旅游接待场所及各种旅游饭店、长途汽车首末站、轨道交通站、飞机场、火车站、医院、商场、超市等人员集散场所的公共厕所,以及公共建筑(如码头、商店、饭店、影剧院、体育场馆、展览馆、办公楼等)附设的公共厕所。</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黑体" w:hAnsi="黑体" w:eastAsia="黑体"/>
          <w:sz w:val="24"/>
          <w:szCs w:val="24"/>
        </w:rPr>
        <w:t>第三条</w:t>
      </w:r>
      <w:r>
        <w:rPr>
          <w:rFonts w:hint="eastAsia" w:ascii="仿宋_GB2312" w:eastAsia="仿宋_GB2312"/>
          <w:sz w:val="24"/>
          <w:szCs w:val="24"/>
        </w:rPr>
        <w:t xml:space="preserve"> 西安市环境卫生行政主管部门负责全市公共厕所管理的统一协调、监督管理工作。按照“谁设置,谁管理”的原则,市级各部门(发改委、交通、卫生、水务、教育、旅游、民政商务等有关部门)负责各行业内公共厕所的监督管理工作。各区(县)、开发区负责本辖区公共厕所的监督管理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黑体" w:hAnsi="黑体" w:eastAsia="黑体"/>
          <w:sz w:val="24"/>
          <w:szCs w:val="24"/>
        </w:rPr>
        <w:t xml:space="preserve">第四条 </w:t>
      </w:r>
      <w:r>
        <w:rPr>
          <w:rFonts w:hint="eastAsia" w:ascii="仿宋_GB2312" w:eastAsia="仿宋_GB2312"/>
          <w:sz w:val="24"/>
          <w:szCs w:val="24"/>
        </w:rPr>
        <w:t>城镇公共厕所要有专人管理,管理人员要按时上岗,不得私自雇工顶岗或转包。</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黑体" w:hAnsi="黑体" w:eastAsia="黑体"/>
          <w:sz w:val="24"/>
          <w:szCs w:val="24"/>
        </w:rPr>
        <w:t xml:space="preserve">第五条 </w:t>
      </w:r>
      <w:r>
        <w:rPr>
          <w:rFonts w:hint="eastAsia" w:ascii="仿宋_GB2312" w:eastAsia="仿宋_GB2312"/>
          <w:sz w:val="24"/>
          <w:szCs w:val="24"/>
        </w:rPr>
        <w:t>城镇公共厕所实行免费开放,重点区域实行24小时免费开放,并切实加强管理。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黑体" w:hAnsi="黑体" w:eastAsia="黑体"/>
          <w:sz w:val="24"/>
          <w:szCs w:val="24"/>
        </w:rPr>
        <w:t>第六条</w:t>
      </w:r>
      <w:r>
        <w:rPr>
          <w:rFonts w:hint="eastAsia" w:ascii="仿宋_GB2312" w:eastAsia="仿宋_GB2312"/>
          <w:sz w:val="24"/>
          <w:szCs w:val="24"/>
        </w:rPr>
        <w:t xml:space="preserve"> 如厕人员必须遵守公共厕所的各项管理制度,自觉维护公共厕所卫生：</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（一）大便入坑,小便入池,手纸入笼；</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（二）禁止随地吐痰,随意乱刻乱画；</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（三）大小便后即时冲水,严禁将其它废弃物丢入便池内；</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（四）便后洗手后,即时关掉水龙头；</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（五）要爱护公厕的设施、设备,如有损坏,照价赔偿。</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黑体" w:hAnsi="黑体" w:eastAsia="黑体"/>
          <w:sz w:val="24"/>
          <w:szCs w:val="24"/>
        </w:rPr>
        <w:t>第七条</w:t>
      </w:r>
      <w:r>
        <w:rPr>
          <w:rFonts w:hint="eastAsia" w:ascii="仿宋_GB2312" w:eastAsia="仿宋_GB2312"/>
          <w:sz w:val="24"/>
          <w:szCs w:val="24"/>
        </w:rPr>
        <w:t xml:space="preserve"> 公共厕所卫生标准和清扫保洁制度应上墙公布,各类标识规范、明显。</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黑体" w:hAnsi="黑体" w:eastAsia="黑体"/>
          <w:sz w:val="24"/>
          <w:szCs w:val="24"/>
        </w:rPr>
        <w:t>第八条</w:t>
      </w:r>
      <w:r>
        <w:rPr>
          <w:rFonts w:hint="eastAsia" w:ascii="仿宋_GB2312" w:eastAsia="仿宋_GB2312"/>
          <w:sz w:val="24"/>
          <w:szCs w:val="24"/>
        </w:rPr>
        <w:t xml:space="preserve"> 公共厕所设施应符合以下质量要求：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仿宋_GB2312" w:eastAsia="仿宋_GB2312"/>
          <w:spacing w:val="-6"/>
          <w:sz w:val="24"/>
          <w:szCs w:val="24"/>
        </w:rPr>
      </w:pPr>
      <w:r>
        <w:rPr>
          <w:rFonts w:hint="eastAsia" w:ascii="仿宋_GB2312" w:eastAsia="仿宋_GB2312"/>
          <w:spacing w:val="-6"/>
          <w:sz w:val="24"/>
          <w:szCs w:val="24"/>
        </w:rPr>
        <w:t>（一）内外墙壁无剥落,门窗、洗手池、照明灯具完好无损；</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仿宋_GB2312" w:eastAsia="仿宋_GB2312"/>
          <w:spacing w:val="-6"/>
          <w:sz w:val="24"/>
          <w:szCs w:val="24"/>
        </w:rPr>
      </w:pPr>
      <w:r>
        <w:rPr>
          <w:rFonts w:hint="eastAsia" w:ascii="仿宋_GB2312" w:eastAsia="仿宋_GB2312"/>
          <w:spacing w:val="-6"/>
          <w:sz w:val="24"/>
          <w:szCs w:val="24"/>
        </w:rPr>
        <w:t>（二）一、二类公共厕所应有防蝇、防蚁和除臭设施或措施；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（三）屋面无漏雨,墙壁无痕迹；</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仿宋_GB2312" w:eastAsia="仿宋_GB2312"/>
          <w:spacing w:val="-6"/>
          <w:sz w:val="24"/>
          <w:szCs w:val="24"/>
        </w:rPr>
      </w:pPr>
      <w:r>
        <w:rPr>
          <w:rFonts w:hint="eastAsia" w:ascii="仿宋_GB2312" w:eastAsia="仿宋_GB2312"/>
          <w:spacing w:val="-6"/>
          <w:sz w:val="24"/>
          <w:szCs w:val="24"/>
        </w:rPr>
        <w:t>（四）地面、便池、便坑道槽、隔档完好,瓷片无脱落损坏；</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（五）上下水管道畅通,无跑冒滴漏,贮粪池有盖板;</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（六）保持公共厕所化粪池畅通,防止沼气蓄积;</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（七）漏水情况的维修不能超过2小时；</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（八）小便器、大便器的维修更换不能超过24小时。</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黑体" w:hAnsi="黑体" w:eastAsia="黑体"/>
          <w:sz w:val="24"/>
          <w:szCs w:val="24"/>
        </w:rPr>
        <w:t>第九条</w:t>
      </w:r>
      <w:r>
        <w:rPr>
          <w:rFonts w:hint="eastAsia" w:ascii="仿宋_GB2312" w:eastAsia="仿宋_GB2312"/>
          <w:sz w:val="24"/>
          <w:szCs w:val="24"/>
        </w:rPr>
        <w:t xml:space="preserve"> 公共厕所保洁应符合下列规定：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（一）公共厕所内采光、照明和通风应良好,无明显臭味;</w:t>
      </w:r>
    </w:p>
    <w:p>
      <w:pPr>
        <w:pStyle w:val="2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512" w:firstLineChars="200"/>
        <w:textAlignment w:val="auto"/>
        <w:rPr>
          <w:rFonts w:hint="eastAsia" w:ascii="仿宋_GB2312" w:eastAsia="仿宋_GB2312"/>
          <w:color w:val="000000"/>
          <w:spacing w:val="8"/>
          <w:sz w:val="24"/>
          <w:szCs w:val="24"/>
          <w:shd w:val="clear" w:color="auto" w:fill="FFFFFF"/>
        </w:rPr>
      </w:pPr>
      <w:r>
        <w:rPr>
          <w:rFonts w:hint="eastAsia" w:ascii="仿宋_GB2312" w:eastAsia="仿宋_GB2312"/>
          <w:color w:val="000000"/>
          <w:spacing w:val="8"/>
          <w:sz w:val="24"/>
          <w:szCs w:val="24"/>
          <w:shd w:val="clear" w:color="auto" w:fill="FFFFFF"/>
        </w:rPr>
        <w:t>（二）公共厕所内墙面、天花板、门窗和隔离板无积灰、污迹、蛛网，无乱涂乱画、无乱贴，墙面光洁，外墙面整洁；</w:t>
      </w:r>
    </w:p>
    <w:p>
      <w:pPr>
        <w:pStyle w:val="2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512" w:firstLineChars="200"/>
        <w:textAlignment w:val="auto"/>
        <w:rPr>
          <w:rFonts w:hint="eastAsia" w:ascii="仿宋_GB2312" w:eastAsia="仿宋_GB2312"/>
          <w:color w:val="000000"/>
          <w:spacing w:val="8"/>
          <w:sz w:val="24"/>
          <w:szCs w:val="24"/>
          <w:shd w:val="clear" w:color="auto" w:fill="FFFFFF"/>
        </w:rPr>
      </w:pPr>
      <w:r>
        <w:rPr>
          <w:rFonts w:hint="eastAsia" w:ascii="仿宋_GB2312" w:eastAsia="仿宋_GB2312"/>
          <w:color w:val="000000"/>
          <w:spacing w:val="8"/>
          <w:sz w:val="24"/>
          <w:szCs w:val="24"/>
          <w:shd w:val="clear" w:color="auto" w:fill="FFFFFF"/>
        </w:rPr>
        <w:t>（三）公共厕所内地面光洁，无积水，无泥土、无粪便、无尿碱；</w:t>
      </w:r>
    </w:p>
    <w:p>
      <w:pPr>
        <w:pStyle w:val="2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512" w:firstLineChars="200"/>
        <w:textAlignment w:val="auto"/>
        <w:rPr>
          <w:rFonts w:hint="eastAsia" w:ascii="仿宋_GB2312" w:eastAsia="仿宋_GB2312"/>
          <w:color w:val="000000"/>
          <w:spacing w:val="8"/>
          <w:sz w:val="24"/>
          <w:szCs w:val="24"/>
          <w:shd w:val="clear" w:color="auto" w:fill="FFFFFF"/>
        </w:rPr>
      </w:pPr>
      <w:r>
        <w:rPr>
          <w:rFonts w:hint="eastAsia" w:ascii="仿宋_GB2312" w:eastAsia="仿宋_GB2312"/>
          <w:color w:val="000000"/>
          <w:spacing w:val="8"/>
          <w:sz w:val="24"/>
          <w:szCs w:val="24"/>
          <w:shd w:val="clear" w:color="auto" w:fill="FFFFFF"/>
        </w:rPr>
        <w:t>（四）蹲位整洁，大便槽两侧无粪便污物，槽内无积粪，洁净见底；</w:t>
      </w:r>
    </w:p>
    <w:p>
      <w:pPr>
        <w:pStyle w:val="2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512" w:firstLineChars="200"/>
        <w:textAlignment w:val="auto"/>
        <w:rPr>
          <w:rFonts w:hint="eastAsia" w:ascii="仿宋_GB2312" w:eastAsia="仿宋_GB2312"/>
          <w:color w:val="000000"/>
          <w:spacing w:val="8"/>
          <w:sz w:val="24"/>
          <w:szCs w:val="24"/>
          <w:shd w:val="clear" w:color="auto" w:fill="FFFFFF"/>
        </w:rPr>
      </w:pPr>
      <w:r>
        <w:rPr>
          <w:rFonts w:hint="eastAsia" w:ascii="仿宋_GB2312" w:eastAsia="仿宋_GB2312"/>
          <w:color w:val="000000"/>
          <w:spacing w:val="8"/>
          <w:sz w:val="24"/>
          <w:szCs w:val="24"/>
          <w:shd w:val="clear" w:color="auto" w:fill="FFFFFF"/>
        </w:rPr>
        <w:t>（五）小便槽（斗）无水锈、尿垢、垃圾，基本无臭，沟眼、管道保持畅通；</w:t>
      </w:r>
    </w:p>
    <w:p>
      <w:pPr>
        <w:pStyle w:val="2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512" w:firstLineChars="200"/>
        <w:textAlignment w:val="auto"/>
        <w:rPr>
          <w:rFonts w:hint="eastAsia" w:ascii="仿宋_GB2312" w:eastAsia="仿宋_GB2312"/>
          <w:color w:val="000000"/>
          <w:spacing w:val="8"/>
          <w:sz w:val="24"/>
          <w:szCs w:val="24"/>
          <w:shd w:val="clear" w:color="auto" w:fill="FFFFFF"/>
        </w:rPr>
      </w:pPr>
      <w:r>
        <w:rPr>
          <w:rFonts w:hint="eastAsia" w:ascii="仿宋_GB2312" w:eastAsia="仿宋_GB2312"/>
          <w:color w:val="000000"/>
          <w:spacing w:val="8"/>
          <w:sz w:val="24"/>
          <w:szCs w:val="24"/>
          <w:shd w:val="clear" w:color="auto" w:fill="FFFFFF"/>
        </w:rPr>
        <w:t>（六）公共厕所内照明灯具、洗手器具、镜子、挂衣钩、烘手器、冲水设施完好，无积灰、污物，窗纱无尘埃、破损；</w:t>
      </w:r>
    </w:p>
    <w:p>
      <w:pPr>
        <w:pStyle w:val="2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512" w:firstLineChars="200"/>
        <w:textAlignment w:val="auto"/>
        <w:rPr>
          <w:rFonts w:hint="eastAsia" w:ascii="仿宋_GB2312" w:eastAsia="仿宋_GB2312"/>
          <w:color w:val="000000"/>
          <w:spacing w:val="8"/>
          <w:sz w:val="24"/>
          <w:szCs w:val="24"/>
          <w:shd w:val="clear" w:color="auto" w:fill="FFFFFF"/>
        </w:rPr>
      </w:pPr>
      <w:r>
        <w:rPr>
          <w:rFonts w:hint="eastAsia" w:ascii="仿宋_GB2312" w:eastAsia="仿宋_GB2312"/>
          <w:color w:val="000000"/>
          <w:spacing w:val="8"/>
          <w:sz w:val="24"/>
          <w:szCs w:val="24"/>
          <w:shd w:val="clear" w:color="auto" w:fill="FFFFFF"/>
        </w:rPr>
        <w:t>（七）公共厕所外环境整洁，无乱堆杂物，保洁工具设置整齐，无乱搭建和拉绳，公厕四周3至5米范围内，无垃圾、粪便尿迹等污物；</w:t>
      </w:r>
    </w:p>
    <w:p>
      <w:pPr>
        <w:pStyle w:val="2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512" w:firstLineChars="200"/>
        <w:textAlignment w:val="auto"/>
        <w:rPr>
          <w:rFonts w:hint="eastAsia" w:ascii="仿宋_GB2312" w:eastAsia="仿宋_GB2312"/>
          <w:color w:val="000000"/>
          <w:spacing w:val="8"/>
          <w:sz w:val="24"/>
          <w:szCs w:val="24"/>
          <w:shd w:val="clear" w:color="auto" w:fill="FFFFFF"/>
        </w:rPr>
      </w:pPr>
      <w:r>
        <w:rPr>
          <w:rFonts w:hint="eastAsia" w:ascii="仿宋_GB2312" w:eastAsia="仿宋_GB2312"/>
          <w:color w:val="000000"/>
          <w:spacing w:val="8"/>
          <w:sz w:val="24"/>
          <w:szCs w:val="24"/>
          <w:shd w:val="clear" w:color="auto" w:fill="FFFFFF"/>
        </w:rPr>
        <w:t>（八）蝇蚊孳生季节应定时喷洒蝇蚊药物或安装防蝇设备，有效控制蚊蝇；</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512" w:firstLineChars="200"/>
        <w:textAlignment w:val="auto"/>
        <w:rPr>
          <w:rFonts w:hint="eastAsia"/>
          <w:sz w:val="18"/>
          <w:szCs w:val="18"/>
        </w:rPr>
      </w:pPr>
      <w:r>
        <w:rPr>
          <w:rFonts w:hint="eastAsia" w:ascii="仿宋_GB2312" w:eastAsia="仿宋_GB2312"/>
          <w:color w:val="000000"/>
          <w:spacing w:val="8"/>
          <w:sz w:val="24"/>
          <w:szCs w:val="24"/>
          <w:shd w:val="clear" w:color="auto" w:fill="FFFFFF"/>
        </w:rPr>
        <w:t>（九）公共厕所环境卫生控制指标应符合下列规定：</w:t>
      </w:r>
    </w:p>
    <w:p>
      <w:pPr>
        <w:adjustRightInd w:val="0"/>
        <w:snapToGrid w:val="0"/>
        <w:spacing w:line="240" w:lineRule="auto"/>
        <w:ind w:firstLine="480" w:firstLineChars="200"/>
        <w:jc w:val="center"/>
        <w:rPr>
          <w:rFonts w:hint="eastAsia" w:ascii="黑体" w:hAnsi="黑体" w:eastAsia="黑体"/>
          <w:sz w:val="24"/>
          <w:szCs w:val="24"/>
        </w:rPr>
      </w:pPr>
      <w:r>
        <w:rPr>
          <w:rFonts w:hint="eastAsia" w:ascii="黑体" w:hAnsi="黑体" w:eastAsia="黑体"/>
          <w:sz w:val="24"/>
          <w:szCs w:val="24"/>
        </w:rPr>
        <w:t>城镇公共厕所环境卫生控制指标</w:t>
      </w:r>
    </w:p>
    <w:tbl>
      <w:tblPr>
        <w:tblStyle w:val="25"/>
        <w:tblW w:w="0" w:type="auto"/>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668"/>
        <w:gridCol w:w="5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1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ascii="黑体" w:hAnsi="黑体" w:eastAsia="黑体" w:cs="仿宋_GB2312"/>
                <w:sz w:val="18"/>
                <w:szCs w:val="18"/>
              </w:rPr>
            </w:pPr>
            <w:r>
              <w:rPr>
                <w:rFonts w:hint="eastAsia" w:ascii="黑体" w:hAnsi="黑体" w:eastAsia="黑体" w:cs="仿宋_GB2312"/>
                <w:sz w:val="18"/>
                <w:szCs w:val="21"/>
              </w:rPr>
              <w:t>编号</w:t>
            </w:r>
          </w:p>
        </w:tc>
        <w:tc>
          <w:tcPr>
            <w:tcW w:w="1668"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黑体" w:hAnsi="黑体" w:eastAsia="黑体" w:cs="仿宋_GB2312"/>
                <w:sz w:val="18"/>
                <w:szCs w:val="18"/>
              </w:rPr>
            </w:pPr>
            <w:r>
              <w:rPr>
                <w:rFonts w:hint="eastAsia" w:ascii="黑体" w:hAnsi="黑体" w:eastAsia="黑体" w:cs="仿宋_GB2312"/>
                <w:sz w:val="18"/>
                <w:szCs w:val="21"/>
              </w:rPr>
              <w:t>卫生指标</w:t>
            </w:r>
          </w:p>
        </w:tc>
        <w:tc>
          <w:tcPr>
            <w:tcW w:w="5329"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黑体" w:hAnsi="黑体" w:eastAsia="黑体" w:cs="仿宋_GB2312"/>
                <w:sz w:val="18"/>
                <w:szCs w:val="18"/>
              </w:rPr>
            </w:pPr>
            <w:r>
              <w:rPr>
                <w:rFonts w:hint="eastAsia" w:ascii="黑体" w:hAnsi="黑体" w:eastAsia="黑体" w:cs="仿宋_GB2312"/>
                <w:sz w:val="18"/>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1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1</w:t>
            </w:r>
          </w:p>
        </w:tc>
        <w:tc>
          <w:tcPr>
            <w:tcW w:w="1668"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纸片(块)</w:t>
            </w:r>
          </w:p>
        </w:tc>
        <w:tc>
          <w:tcPr>
            <w:tcW w:w="5329"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不应有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1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2</w:t>
            </w:r>
          </w:p>
        </w:tc>
        <w:tc>
          <w:tcPr>
            <w:tcW w:w="1668"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烟蒂(个)</w:t>
            </w:r>
          </w:p>
        </w:tc>
        <w:tc>
          <w:tcPr>
            <w:tcW w:w="5329"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不应有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1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3</w:t>
            </w:r>
          </w:p>
        </w:tc>
        <w:tc>
          <w:tcPr>
            <w:tcW w:w="1668"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粪迹(处)</w:t>
            </w:r>
          </w:p>
        </w:tc>
        <w:tc>
          <w:tcPr>
            <w:tcW w:w="5329"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不应有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1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4</w:t>
            </w:r>
          </w:p>
        </w:tc>
        <w:tc>
          <w:tcPr>
            <w:tcW w:w="1668"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痰迹(处)</w:t>
            </w:r>
          </w:p>
        </w:tc>
        <w:tc>
          <w:tcPr>
            <w:tcW w:w="5329"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不应有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1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5</w:t>
            </w:r>
          </w:p>
        </w:tc>
        <w:tc>
          <w:tcPr>
            <w:tcW w:w="1668"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窗格积灰</w:t>
            </w:r>
          </w:p>
        </w:tc>
        <w:tc>
          <w:tcPr>
            <w:tcW w:w="5329"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不应有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6</w:t>
            </w:r>
          </w:p>
        </w:tc>
        <w:tc>
          <w:tcPr>
            <w:tcW w:w="1668"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蛛网</w:t>
            </w:r>
          </w:p>
        </w:tc>
        <w:tc>
          <w:tcPr>
            <w:tcW w:w="5329"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不应有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0" w:type="dxa"/>
            <w:vMerge w:val="restart"/>
            <w:tcBorders>
              <w:top w:val="nil"/>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7</w:t>
            </w:r>
          </w:p>
        </w:tc>
        <w:tc>
          <w:tcPr>
            <w:tcW w:w="1668" w:type="dxa"/>
            <w:vMerge w:val="restart"/>
            <w:tcBorders>
              <w:top w:val="nil"/>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成蝇(只)</w:t>
            </w:r>
          </w:p>
        </w:tc>
        <w:tc>
          <w:tcPr>
            <w:tcW w:w="5329"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二类(含)以上公共厕所不应有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0"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ascii="仿宋_GB2312" w:eastAsia="仿宋_GB2312"/>
                <w:sz w:val="18"/>
                <w:szCs w:val="18"/>
              </w:rPr>
            </w:pPr>
          </w:p>
        </w:tc>
        <w:tc>
          <w:tcPr>
            <w:tcW w:w="1668" w:type="dxa"/>
            <w:vMerge w:val="continue"/>
            <w:tcBorders>
              <w:top w:val="nil"/>
              <w:left w:val="nil"/>
              <w:bottom w:val="single" w:color="auto" w:sz="4" w:space="0"/>
              <w:right w:val="single" w:color="auto" w:sz="4" w:space="0"/>
            </w:tcBorders>
            <w:noWrap w:val="0"/>
            <w:vAlign w:val="center"/>
          </w:tcPr>
          <w:p>
            <w:pPr>
              <w:adjustRightInd w:val="0"/>
              <w:snapToGrid w:val="0"/>
              <w:spacing w:line="240" w:lineRule="auto"/>
              <w:jc w:val="left"/>
              <w:rPr>
                <w:rFonts w:ascii="仿宋_GB2312" w:eastAsia="仿宋_GB2312"/>
                <w:sz w:val="18"/>
                <w:szCs w:val="18"/>
              </w:rPr>
            </w:pPr>
          </w:p>
        </w:tc>
        <w:tc>
          <w:tcPr>
            <w:tcW w:w="5329"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三类公共厕所不得多于3只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8</w:t>
            </w:r>
          </w:p>
        </w:tc>
        <w:tc>
          <w:tcPr>
            <w:tcW w:w="1668"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蝇蛆(尾)</w:t>
            </w:r>
          </w:p>
        </w:tc>
        <w:tc>
          <w:tcPr>
            <w:tcW w:w="5329"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在厕室内的大小便器内外、地面和化(贮)</w:t>
            </w:r>
          </w:p>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粪池周围30-50厘米以内肉眼观察不到蝇蛆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0" w:type="dxa"/>
            <w:vMerge w:val="restart"/>
            <w:tcBorders>
              <w:top w:val="nil"/>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9</w:t>
            </w:r>
          </w:p>
        </w:tc>
        <w:tc>
          <w:tcPr>
            <w:tcW w:w="1668" w:type="dxa"/>
            <w:vMerge w:val="restart"/>
            <w:tcBorders>
              <w:top w:val="nil"/>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臭味强度</w:t>
            </w:r>
          </w:p>
        </w:tc>
        <w:tc>
          <w:tcPr>
            <w:tcW w:w="5329"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二类(含)以上公共厕所臭味强度为0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0"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ascii="仿宋_GB2312" w:eastAsia="仿宋_GB2312"/>
                <w:sz w:val="18"/>
                <w:szCs w:val="18"/>
              </w:rPr>
            </w:pPr>
          </w:p>
        </w:tc>
        <w:tc>
          <w:tcPr>
            <w:tcW w:w="1668" w:type="dxa"/>
            <w:vMerge w:val="continue"/>
            <w:tcBorders>
              <w:top w:val="nil"/>
              <w:left w:val="nil"/>
              <w:bottom w:val="single" w:color="auto" w:sz="4" w:space="0"/>
              <w:right w:val="single" w:color="auto" w:sz="4" w:space="0"/>
            </w:tcBorders>
            <w:noWrap w:val="0"/>
            <w:vAlign w:val="center"/>
          </w:tcPr>
          <w:p>
            <w:pPr>
              <w:adjustRightInd w:val="0"/>
              <w:snapToGrid w:val="0"/>
              <w:spacing w:line="240" w:lineRule="auto"/>
              <w:jc w:val="left"/>
              <w:rPr>
                <w:rFonts w:ascii="仿宋_GB2312" w:eastAsia="仿宋_GB2312"/>
                <w:sz w:val="18"/>
                <w:szCs w:val="18"/>
              </w:rPr>
            </w:pPr>
          </w:p>
        </w:tc>
        <w:tc>
          <w:tcPr>
            <w:tcW w:w="5329"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三类公共厕所臭味强度≤1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547"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ascii="仿宋_GB2312" w:eastAsia="仿宋_GB2312"/>
                <w:sz w:val="18"/>
                <w:szCs w:val="18"/>
              </w:rPr>
            </w:pPr>
            <w:r>
              <w:rPr>
                <w:rFonts w:hint="eastAsia" w:ascii="仿宋_GB2312" w:eastAsia="仿宋_GB2312"/>
                <w:sz w:val="18"/>
                <w:szCs w:val="21"/>
              </w:rPr>
              <w:t>备注: 臭味强度指人们通过嗅觉感觉到的气味强弱程度。0级为无臭味;1级为勉强感觉臭味存在;2级为稍可感觉出的臭味;3级为极易感觉臭味存在;4级为强烈的气味;5级为无法忍受的极强气味。</w:t>
            </w:r>
          </w:p>
        </w:tc>
      </w:tr>
    </w:tbl>
    <w:p>
      <w:pPr>
        <w:adjustRightInd w:val="0"/>
        <w:snapToGrid w:val="0"/>
        <w:spacing w:line="240" w:lineRule="auto"/>
        <w:ind w:firstLine="480" w:firstLineChars="200"/>
        <w:rPr>
          <w:rFonts w:hint="eastAsia" w:ascii="仿宋_GB2312" w:eastAsia="仿宋_GB2312"/>
          <w:sz w:val="24"/>
          <w:szCs w:val="24"/>
        </w:rPr>
      </w:pPr>
      <w:r>
        <w:rPr>
          <w:rFonts w:hint="eastAsia" w:ascii="黑体" w:hAnsi="黑体" w:eastAsia="黑体"/>
          <w:sz w:val="24"/>
          <w:szCs w:val="24"/>
        </w:rPr>
        <w:t>第十条</w:t>
      </w:r>
      <w:r>
        <w:rPr>
          <w:rFonts w:hint="eastAsia" w:ascii="仿宋_GB2312" w:eastAsia="仿宋_GB2312"/>
          <w:sz w:val="24"/>
          <w:szCs w:val="24"/>
        </w:rPr>
        <w:t xml:space="preserve"> 公共厕所管理人员应遵守下列规定：</w:t>
      </w:r>
    </w:p>
    <w:p>
      <w:pPr>
        <w:adjustRightInd w:val="0"/>
        <w:snapToGrid w:val="0"/>
        <w:spacing w:line="240" w:lineRule="auto"/>
        <w:ind w:firstLine="480" w:firstLineChars="200"/>
        <w:rPr>
          <w:rFonts w:hint="eastAsia" w:ascii="仿宋_GB2312" w:eastAsia="仿宋_GB2312"/>
          <w:sz w:val="24"/>
          <w:szCs w:val="24"/>
        </w:rPr>
      </w:pPr>
      <w:r>
        <w:rPr>
          <w:rFonts w:hint="eastAsia" w:ascii="仿宋_GB2312" w:eastAsia="仿宋_GB2312"/>
          <w:sz w:val="24"/>
          <w:szCs w:val="24"/>
        </w:rPr>
        <w:t>（一）提前10分钟上岗,保持衣着整洁;</w:t>
      </w:r>
    </w:p>
    <w:p>
      <w:pPr>
        <w:adjustRightInd w:val="0"/>
        <w:snapToGrid w:val="0"/>
        <w:spacing w:line="240" w:lineRule="auto"/>
        <w:ind w:firstLine="480" w:firstLineChars="200"/>
        <w:rPr>
          <w:rFonts w:hint="eastAsia" w:ascii="仿宋_GB2312" w:eastAsia="仿宋_GB2312"/>
          <w:sz w:val="24"/>
          <w:szCs w:val="24"/>
        </w:rPr>
      </w:pPr>
      <w:r>
        <w:rPr>
          <w:rFonts w:hint="eastAsia" w:ascii="仿宋_GB2312" w:eastAsia="仿宋_GB2312"/>
          <w:sz w:val="24"/>
          <w:szCs w:val="24"/>
        </w:rPr>
        <w:t>（二）正点接班进行移交,查验设施、设备是否正常;</w:t>
      </w:r>
    </w:p>
    <w:p>
      <w:pPr>
        <w:adjustRightInd w:val="0"/>
        <w:snapToGrid w:val="0"/>
        <w:spacing w:line="240" w:lineRule="auto"/>
        <w:ind w:firstLine="480" w:firstLineChars="200"/>
        <w:rPr>
          <w:rFonts w:hint="eastAsia" w:ascii="仿宋_GB2312" w:eastAsia="仿宋_GB2312"/>
          <w:sz w:val="24"/>
          <w:szCs w:val="24"/>
        </w:rPr>
      </w:pPr>
      <w:r>
        <w:rPr>
          <w:rFonts w:hint="eastAsia" w:ascii="仿宋_GB2312" w:eastAsia="仿宋_GB2312"/>
          <w:sz w:val="24"/>
          <w:szCs w:val="24"/>
        </w:rPr>
        <w:t>（三）每天对设施、设备全面清洗一次,做到人离即保洁,并每天对公共厕所进行一次消毒除臭处理。</w:t>
      </w:r>
    </w:p>
    <w:p>
      <w:pPr>
        <w:adjustRightInd w:val="0"/>
        <w:snapToGrid w:val="0"/>
        <w:spacing w:line="240" w:lineRule="auto"/>
        <w:ind w:firstLine="480" w:firstLineChars="200"/>
        <w:rPr>
          <w:rFonts w:hint="eastAsia" w:ascii="仿宋_GB2312" w:eastAsia="仿宋_GB2312"/>
          <w:sz w:val="24"/>
          <w:szCs w:val="24"/>
        </w:rPr>
      </w:pPr>
      <w:r>
        <w:rPr>
          <w:rFonts w:hint="eastAsia" w:ascii="黑体" w:hAnsi="黑体" w:eastAsia="黑体"/>
          <w:sz w:val="24"/>
          <w:szCs w:val="24"/>
        </w:rPr>
        <w:t>第十一条</w:t>
      </w:r>
      <w:r>
        <w:rPr>
          <w:rFonts w:hint="eastAsia" w:ascii="仿宋_GB2312" w:eastAsia="仿宋_GB2312"/>
          <w:sz w:val="24"/>
          <w:szCs w:val="24"/>
        </w:rPr>
        <w:t xml:space="preserve"> 公共厕所管理人员不得从事与管理无关的经营活动;禁止在公共厕所内接水、接电、淘菜、洗衣等。</w:t>
      </w:r>
    </w:p>
    <w:p>
      <w:pPr>
        <w:adjustRightInd w:val="0"/>
        <w:snapToGrid w:val="0"/>
        <w:spacing w:line="240" w:lineRule="auto"/>
        <w:ind w:firstLine="480" w:firstLineChars="200"/>
        <w:rPr>
          <w:rFonts w:hint="eastAsia" w:ascii="仿宋_GB2312" w:eastAsia="仿宋_GB2312"/>
          <w:sz w:val="24"/>
          <w:szCs w:val="24"/>
        </w:rPr>
      </w:pPr>
      <w:r>
        <w:rPr>
          <w:rFonts w:hint="eastAsia" w:ascii="黑体" w:hAnsi="黑体" w:eastAsia="黑体"/>
          <w:sz w:val="24"/>
          <w:szCs w:val="24"/>
        </w:rPr>
        <w:t>第十二条</w:t>
      </w:r>
      <w:r>
        <w:rPr>
          <w:rFonts w:hint="eastAsia" w:ascii="仿宋_GB2312" w:eastAsia="仿宋_GB2312"/>
          <w:sz w:val="24"/>
          <w:szCs w:val="24"/>
        </w:rPr>
        <w:t xml:space="preserve"> 加强产权管理,确保城镇公共厕所数量不减少。任何单位和个人都不得侵占、损坏、拆除、迁移、封闭厕所。确因城市建设需要拆除的,建设单位必须事先提出拆迁方案,依照法规按“先建后拆”的原则负责重建,确有困难不能先建的,按市场价格交纳抵押金后并采取临时的过渡措施。拆除公共厕所必须向行业主管部门备案。</w:t>
      </w:r>
    </w:p>
    <w:p>
      <w:pPr>
        <w:adjustRightInd w:val="0"/>
        <w:snapToGrid w:val="0"/>
        <w:spacing w:line="240" w:lineRule="auto"/>
        <w:rPr>
          <w:rFonts w:hint="eastAsia" w:ascii="黑体" w:hAnsi="黑体" w:eastAsia="黑体" w:cs="黑体"/>
          <w:color w:val="000000"/>
          <w:sz w:val="24"/>
          <w:szCs w:val="24"/>
        </w:rPr>
      </w:pPr>
      <w:r>
        <w:rPr>
          <w:rFonts w:hint="eastAsia" w:ascii="黑体" w:hAnsi="仿宋_GB2312" w:eastAsia="黑体" w:cs="仿宋_GB2312"/>
          <w:sz w:val="24"/>
          <w:szCs w:val="24"/>
        </w:rPr>
        <w:t xml:space="preserve"> </w:t>
      </w:r>
    </w:p>
    <w:p>
      <w:pPr>
        <w:pStyle w:val="24"/>
        <w:spacing w:line="240" w:lineRule="auto"/>
        <w:ind w:firstLine="0" w:firstLineChars="0"/>
        <w:rPr>
          <w:rFonts w:hint="eastAsia" w:ascii="黑体" w:hAnsi="黑体" w:eastAsia="黑体" w:cs="黑体"/>
          <w:color w:val="000000"/>
          <w:sz w:val="24"/>
          <w:szCs w:val="24"/>
        </w:rPr>
      </w:pPr>
    </w:p>
    <w:p>
      <w:pPr>
        <w:rPr>
          <w:rFonts w:hint="eastAsia" w:ascii="黑体" w:hAnsi="黑体" w:eastAsia="黑体" w:cs="黑体"/>
          <w:color w:val="000000"/>
          <w:sz w:val="24"/>
          <w:szCs w:val="24"/>
        </w:rPr>
      </w:pPr>
      <w:r>
        <w:rPr>
          <w:rFonts w:hint="eastAsia" w:ascii="黑体" w:hAnsi="黑体" w:eastAsia="黑体" w:cs="黑体"/>
          <w:color w:val="000000"/>
          <w:sz w:val="24"/>
          <w:szCs w:val="24"/>
        </w:rPr>
        <w:br w:type="page"/>
      </w:r>
    </w:p>
    <w:p>
      <w:pPr>
        <w:pStyle w:val="24"/>
        <w:spacing w:line="240" w:lineRule="auto"/>
        <w:ind w:left="0" w:leftChars="0" w:firstLine="0" w:firstLineChars="0"/>
        <w:rPr>
          <w:rFonts w:hint="eastAsia" w:ascii="黑体" w:hAnsi="黑体" w:eastAsia="黑体" w:cs="黑体"/>
          <w:color w:val="000000"/>
          <w:sz w:val="24"/>
          <w:szCs w:val="24"/>
        </w:rPr>
      </w:pPr>
      <w:r>
        <w:rPr>
          <w:rFonts w:hint="eastAsia" w:ascii="黑体" w:hAnsi="黑体" w:eastAsia="黑体" w:cs="黑体"/>
          <w:color w:val="000000"/>
          <w:sz w:val="24"/>
          <w:szCs w:val="24"/>
        </w:rPr>
        <w:t>附件7</w:t>
      </w:r>
    </w:p>
    <w:p>
      <w:pPr>
        <w:pStyle w:val="24"/>
        <w:spacing w:line="240" w:lineRule="auto"/>
        <w:ind w:firstLine="0" w:firstLineChars="0"/>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2"/>
          <w:szCs w:val="32"/>
        </w:rPr>
        <w:t>周至县公共厕所管理考核评分标准</w:t>
      </w:r>
    </w:p>
    <w:tbl>
      <w:tblPr>
        <w:tblStyle w:val="25"/>
        <w:tblW w:w="8745" w:type="dxa"/>
        <w:jc w:val="center"/>
        <w:tblCellSpacing w:w="0" w:type="dxa"/>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Layout w:type="fixed"/>
        <w:tblCellMar>
          <w:top w:w="0" w:type="dxa"/>
          <w:left w:w="0" w:type="dxa"/>
          <w:bottom w:w="0" w:type="dxa"/>
          <w:right w:w="0" w:type="dxa"/>
        </w:tblCellMar>
      </w:tblPr>
      <w:tblGrid>
        <w:gridCol w:w="589"/>
        <w:gridCol w:w="454"/>
        <w:gridCol w:w="6885"/>
        <w:gridCol w:w="390"/>
        <w:gridCol w:w="427"/>
      </w:tblGrid>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序号</w:t>
            </w:r>
          </w:p>
        </w:tc>
        <w:tc>
          <w:tcPr>
            <w:tcW w:w="454"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内容</w:t>
            </w: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评  分  标  准</w:t>
            </w:r>
          </w:p>
        </w:tc>
        <w:tc>
          <w:tcPr>
            <w:tcW w:w="390"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分值</w:t>
            </w:r>
          </w:p>
        </w:tc>
        <w:tc>
          <w:tcPr>
            <w:tcW w:w="427"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打分</w:t>
            </w: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　　一 </w:t>
            </w:r>
          </w:p>
        </w:tc>
        <w:tc>
          <w:tcPr>
            <w:tcW w:w="454"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　　规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范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管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理 </w:t>
            </w: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1、公厕免费按时开放，每厕定员管理，交接流畅，得5分，未做到的，每次扣1分。 </w:t>
            </w:r>
          </w:p>
        </w:tc>
        <w:tc>
          <w:tcPr>
            <w:tcW w:w="390"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　　20分 </w:t>
            </w:r>
          </w:p>
        </w:tc>
        <w:tc>
          <w:tcPr>
            <w:tcW w:w="427"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54"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2、公厕内设施、设备完好，无破损，得5分，未做到的每处扣1分。 </w:t>
            </w:r>
          </w:p>
        </w:tc>
        <w:tc>
          <w:tcPr>
            <w:tcW w:w="390"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27"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54"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3、公厕标识按标准设置，公厕内外制度牌、标示牌悬挂规范，得5分，标识设置不规范、悬挂不明显每项每处扣2分。 </w:t>
            </w:r>
          </w:p>
        </w:tc>
        <w:tc>
          <w:tcPr>
            <w:tcW w:w="390"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27"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54"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4、管理职责明确、卫生制度健全有效的，得5分；职责不明、管理松懈的不得分。 </w:t>
            </w:r>
          </w:p>
        </w:tc>
        <w:tc>
          <w:tcPr>
            <w:tcW w:w="390"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27"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　　二 </w:t>
            </w:r>
          </w:p>
        </w:tc>
        <w:tc>
          <w:tcPr>
            <w:tcW w:w="454"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优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质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服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务 </w:t>
            </w: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1、公厕管理人员坚守岗位，统一着装、挂牌上岗，开展诚信优质服务的，得5分，未做到的，每项每次扣1分；擅自离岗、脱岗、顶岗、转包的不得分。 </w:t>
            </w:r>
          </w:p>
        </w:tc>
        <w:tc>
          <w:tcPr>
            <w:tcW w:w="390"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　　20分 </w:t>
            </w:r>
          </w:p>
        </w:tc>
        <w:tc>
          <w:tcPr>
            <w:tcW w:w="427"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54"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2、服务管理文明、规范，无投诉事件的，得10分，凡有投诉事件并查实有责的，扣5分；凡被新闻媒体批评或曝光的，情况属实的，扣5分。 </w:t>
            </w:r>
          </w:p>
        </w:tc>
        <w:tc>
          <w:tcPr>
            <w:tcW w:w="390"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27"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54"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3、公厕保洁工具摆放整齐合理的，得5分，未做到的，每处扣0.5分。 </w:t>
            </w:r>
          </w:p>
        </w:tc>
        <w:tc>
          <w:tcPr>
            <w:tcW w:w="390"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27"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　　三 </w:t>
            </w:r>
          </w:p>
        </w:tc>
        <w:tc>
          <w:tcPr>
            <w:tcW w:w="454"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　　卫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生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质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量 </w:t>
            </w: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1、公厕内外环境、设施（备）经常性保持整洁卫生，无乱写乱画的，得10分，未做到的，每项每处扣1分。 </w:t>
            </w:r>
          </w:p>
        </w:tc>
        <w:tc>
          <w:tcPr>
            <w:tcW w:w="390"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　　30分 </w:t>
            </w:r>
          </w:p>
        </w:tc>
        <w:tc>
          <w:tcPr>
            <w:tcW w:w="427"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54"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2、大小便池无污物、无尿渍、无痰迹、无堵塞、无恶臭的，得10分，未做到的，每项每处扣1分。 </w:t>
            </w:r>
          </w:p>
        </w:tc>
        <w:tc>
          <w:tcPr>
            <w:tcW w:w="390"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27"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54"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3、做好厕所清洗保洁工作，厕内无积灰，见脏即扫，蹲位隔档无污迹（对出现的野广告按隔档本色覆盖）、无蛛网、无灰尘，地面无积水，镜面干净、洗手池干净整洁，得10分，未做到的，每项每处扣0.5分；蚊蝇孳生期要定时进行消杀，未做到的每次扣1分，蚊蝇超标的扣1分，有卫生死角的扣2分。 </w:t>
            </w:r>
          </w:p>
        </w:tc>
        <w:tc>
          <w:tcPr>
            <w:tcW w:w="390"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27"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　　四 </w:t>
            </w:r>
          </w:p>
        </w:tc>
        <w:tc>
          <w:tcPr>
            <w:tcW w:w="454"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　　设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施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管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理 </w:t>
            </w: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1、灯光照明、电器设备保持安全有效，得10分。出现损坏未及时维修更换的，每处扣2分。 </w:t>
            </w:r>
          </w:p>
        </w:tc>
        <w:tc>
          <w:tcPr>
            <w:tcW w:w="390"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　　30分 </w:t>
            </w:r>
          </w:p>
        </w:tc>
        <w:tc>
          <w:tcPr>
            <w:tcW w:w="427"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54"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2、洁具、门窗、隔档无损的，得5分。出现损坏未及时更换的，每处扣1分。 </w:t>
            </w:r>
          </w:p>
        </w:tc>
        <w:tc>
          <w:tcPr>
            <w:tcW w:w="390"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27"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54"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3、消毒设施、防蝇帘、纱窗齐全的，得5分。出现损坏未及时更换的，每处扣1分。 </w:t>
            </w:r>
          </w:p>
        </w:tc>
        <w:tc>
          <w:tcPr>
            <w:tcW w:w="390"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27"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54"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4、地面、墙壁完好的，得5分。出现损坏未及时维修的，每处扣1分。 </w:t>
            </w:r>
          </w:p>
        </w:tc>
        <w:tc>
          <w:tcPr>
            <w:tcW w:w="390"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27"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579" w:hRule="atLeast"/>
          <w:tblCellSpacing w:w="0" w:type="dxa"/>
          <w:jc w:val="center"/>
        </w:trPr>
        <w:tc>
          <w:tcPr>
            <w:tcW w:w="589"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54"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5、上下水、冲水设施完整有效的，得5分。出现损坏未及时维修的，每处扣1分。 </w:t>
            </w:r>
          </w:p>
        </w:tc>
        <w:tc>
          <w:tcPr>
            <w:tcW w:w="390"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27"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bl>
    <w:p>
      <w:pPr>
        <w:pStyle w:val="24"/>
        <w:spacing w:line="240" w:lineRule="auto"/>
        <w:ind w:left="0" w:leftChars="0" w:firstLine="0" w:firstLineChars="0"/>
        <w:rPr>
          <w:rFonts w:hint="eastAsia" w:ascii="仿宋_GB2312" w:hAnsi="仿宋_GB2312" w:eastAsia="仿宋_GB2312" w:cs="仿宋_GB2312"/>
          <w:color w:val="000000"/>
          <w:sz w:val="15"/>
          <w:szCs w:val="15"/>
        </w:rPr>
      </w:pPr>
    </w:p>
    <w:p>
      <w:pPr>
        <w:rPr>
          <w:rFonts w:hint="eastAsia"/>
          <w:lang w:eastAsia="zh-CN"/>
        </w:rPr>
      </w:pPr>
      <w:r>
        <w:rPr>
          <w:rFonts w:hint="eastAsia"/>
          <w:lang w:eastAsia="zh-CN"/>
        </w:rPr>
        <w:br w:type="page"/>
      </w:r>
    </w:p>
    <w:p>
      <w:pPr>
        <w:pStyle w:val="24"/>
        <w:spacing w:line="240" w:lineRule="auto"/>
        <w:ind w:left="0" w:leftChars="0" w:firstLine="0" w:firstLineChars="0"/>
        <w:rPr>
          <w:rFonts w:hint="eastAsia" w:ascii="黑体" w:hAnsi="黑体" w:eastAsia="黑体" w:cs="黑体"/>
          <w:color w:val="000000"/>
          <w:sz w:val="24"/>
          <w:szCs w:val="24"/>
          <w:lang w:eastAsia="zh-CN"/>
        </w:rPr>
      </w:pPr>
      <w:r>
        <w:rPr>
          <w:rFonts w:hint="eastAsia" w:ascii="黑体" w:hAnsi="黑体" w:eastAsia="黑体" w:cs="黑体"/>
          <w:color w:val="000000"/>
          <w:sz w:val="24"/>
          <w:szCs w:val="24"/>
        </w:rPr>
        <w:t>附件</w:t>
      </w:r>
      <w:r>
        <w:rPr>
          <w:rFonts w:hint="eastAsia" w:ascii="黑体" w:hAnsi="黑体" w:eastAsia="黑体" w:cs="黑体"/>
          <w:color w:val="000000"/>
          <w:sz w:val="24"/>
          <w:szCs w:val="24"/>
          <w:lang w:val="en-US" w:eastAsia="zh-CN"/>
        </w:rPr>
        <w:t>8</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000000"/>
          <w:sz w:val="36"/>
          <w:szCs w:val="36"/>
        </w:rPr>
      </w:pPr>
      <w:r>
        <w:rPr>
          <w:rFonts w:hint="eastAsia" w:ascii="方正小标宋简体" w:hAnsi="新宋体" w:eastAsia="方正小标宋简体" w:cs="Times New Roman"/>
          <w:color w:val="000000"/>
          <w:sz w:val="36"/>
          <w:szCs w:val="36"/>
          <w:lang w:eastAsia="zh-CN"/>
        </w:rPr>
        <w:t>西安</w:t>
      </w:r>
      <w:r>
        <w:rPr>
          <w:rFonts w:hint="eastAsia" w:ascii="方正小标宋简体" w:hAnsi="新宋体" w:eastAsia="方正小标宋简体" w:cs="Times New Roman"/>
          <w:color w:val="000000"/>
          <w:sz w:val="36"/>
          <w:szCs w:val="36"/>
        </w:rPr>
        <w:t>市环卫保洁精细化作业</w:t>
      </w:r>
      <w:r>
        <w:rPr>
          <w:rFonts w:hint="eastAsia" w:ascii="方正小标宋简体" w:hAnsi="新宋体" w:eastAsia="方正小标宋简体" w:cs="Times New Roman"/>
          <w:color w:val="000000"/>
          <w:sz w:val="36"/>
          <w:szCs w:val="36"/>
          <w:lang w:val="en-US" w:eastAsia="zh-CN"/>
        </w:rPr>
        <w:t>指引</w:t>
      </w:r>
      <w:r>
        <w:rPr>
          <w:rFonts w:hint="eastAsia" w:ascii="方正小标宋简体" w:eastAsia="方正小标宋简体"/>
          <w:color w:val="000000"/>
          <w:sz w:val="36"/>
          <w:szCs w:val="36"/>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sz w:val="24"/>
          <w:szCs w:val="24"/>
          <w:shd w:val="clear" w:color="auto" w:fill="FFFFFF"/>
        </w:rPr>
        <w:t>为</w:t>
      </w:r>
      <w:r>
        <w:rPr>
          <w:rFonts w:hint="eastAsia" w:ascii="仿宋_GB2312" w:hAnsi="仿宋_GB2312" w:eastAsia="仿宋_GB2312" w:cs="仿宋_GB2312"/>
          <w:i w:val="0"/>
          <w:caps w:val="0"/>
          <w:color w:val="000000"/>
          <w:spacing w:val="0"/>
          <w:sz w:val="24"/>
          <w:szCs w:val="24"/>
          <w:shd w:val="clear" w:color="auto" w:fill="FFFFFF"/>
          <w:lang w:eastAsia="zh-CN"/>
        </w:rPr>
        <w:t>进一步</w:t>
      </w:r>
      <w:r>
        <w:rPr>
          <w:rFonts w:hint="eastAsia" w:ascii="仿宋_GB2312" w:hAnsi="仿宋_GB2312" w:eastAsia="仿宋_GB2312" w:cs="仿宋_GB2312"/>
          <w:i w:val="0"/>
          <w:caps w:val="0"/>
          <w:color w:val="000000"/>
          <w:spacing w:val="0"/>
          <w:sz w:val="24"/>
          <w:szCs w:val="24"/>
          <w:shd w:val="clear" w:color="auto" w:fill="FFFFFF"/>
        </w:rPr>
        <w:t>提高我市城市环境卫生水平，建立健全</w:t>
      </w:r>
      <w:r>
        <w:rPr>
          <w:rFonts w:hint="eastAsia" w:ascii="仿宋_GB2312" w:hAnsi="仿宋_GB2312" w:eastAsia="仿宋_GB2312" w:cs="仿宋_GB2312"/>
          <w:i w:val="0"/>
          <w:caps w:val="0"/>
          <w:color w:val="000000"/>
          <w:spacing w:val="0"/>
          <w:sz w:val="24"/>
          <w:szCs w:val="24"/>
          <w:shd w:val="clear" w:color="auto" w:fill="FFFFFF"/>
          <w:lang w:eastAsia="zh-CN"/>
        </w:rPr>
        <w:t>环卫保洁</w:t>
      </w:r>
      <w:r>
        <w:rPr>
          <w:rFonts w:hint="eastAsia" w:ascii="仿宋_GB2312" w:hAnsi="仿宋_GB2312" w:eastAsia="仿宋_GB2312" w:cs="仿宋_GB2312"/>
          <w:i w:val="0"/>
          <w:caps w:val="0"/>
          <w:color w:val="000000"/>
          <w:spacing w:val="0"/>
          <w:sz w:val="24"/>
          <w:szCs w:val="24"/>
          <w:shd w:val="clear" w:color="auto" w:fill="FFFFFF"/>
        </w:rPr>
        <w:t>工作科学化、规范化、</w:t>
      </w:r>
      <w:r>
        <w:rPr>
          <w:rFonts w:hint="eastAsia" w:ascii="仿宋_GB2312" w:hAnsi="仿宋_GB2312" w:eastAsia="仿宋_GB2312" w:cs="仿宋_GB2312"/>
          <w:i w:val="0"/>
          <w:caps w:val="0"/>
          <w:color w:val="000000"/>
          <w:spacing w:val="0"/>
          <w:sz w:val="24"/>
          <w:szCs w:val="24"/>
          <w:shd w:val="clear" w:color="auto" w:fill="FFFFFF"/>
          <w:lang w:eastAsia="zh-CN"/>
        </w:rPr>
        <w:t>常态</w:t>
      </w:r>
      <w:r>
        <w:rPr>
          <w:rFonts w:hint="eastAsia" w:ascii="仿宋_GB2312" w:hAnsi="仿宋_GB2312" w:eastAsia="仿宋_GB2312" w:cs="仿宋_GB2312"/>
          <w:i w:val="0"/>
          <w:caps w:val="0"/>
          <w:color w:val="000000"/>
          <w:spacing w:val="0"/>
          <w:sz w:val="24"/>
          <w:szCs w:val="24"/>
          <w:shd w:val="clear" w:color="auto" w:fill="FFFFFF"/>
        </w:rPr>
        <w:t>化管理机制，以“绣花”功夫推进环境卫生精细化、智能化管理，</w:t>
      </w:r>
      <w:r>
        <w:rPr>
          <w:rFonts w:hint="eastAsia" w:ascii="仿宋_GB2312" w:hAnsi="仿宋_GB2312" w:eastAsia="仿宋_GB2312" w:cs="仿宋_GB2312"/>
          <w:i w:val="0"/>
          <w:caps w:val="0"/>
          <w:color w:val="000000"/>
          <w:spacing w:val="0"/>
          <w:sz w:val="24"/>
          <w:szCs w:val="24"/>
          <w:shd w:val="clear" w:color="auto" w:fill="FFFFFF"/>
          <w:lang w:eastAsia="zh-CN"/>
        </w:rPr>
        <w:t>赶超</w:t>
      </w:r>
      <w:r>
        <w:rPr>
          <w:rFonts w:hint="eastAsia" w:ascii="仿宋_GB2312" w:hAnsi="仿宋_GB2312" w:eastAsia="仿宋_GB2312" w:cs="仿宋_GB2312"/>
          <w:i w:val="0"/>
          <w:caps w:val="0"/>
          <w:color w:val="000000"/>
          <w:spacing w:val="0"/>
          <w:sz w:val="24"/>
          <w:szCs w:val="24"/>
          <w:shd w:val="clear" w:color="auto" w:fill="FFFFFF"/>
        </w:rPr>
        <w:t>一流城市水平，根据</w:t>
      </w:r>
      <w:r>
        <w:rPr>
          <w:rFonts w:hint="eastAsia" w:ascii="仿宋_GB2312" w:hAnsi="仿宋_GB2312" w:eastAsia="仿宋_GB2312" w:cs="仿宋_GB2312"/>
          <w:i w:val="0"/>
          <w:caps w:val="0"/>
          <w:color w:val="000000"/>
          <w:spacing w:val="0"/>
          <w:sz w:val="24"/>
          <w:szCs w:val="24"/>
          <w:shd w:val="clear" w:color="auto" w:fill="FFFFFF"/>
          <w:lang w:eastAsia="zh-CN"/>
        </w:rPr>
        <w:t>《市容环卫工程项目规范》（</w:t>
      </w:r>
      <w:r>
        <w:rPr>
          <w:rFonts w:hint="eastAsia" w:ascii="仿宋_GB2312" w:hAnsi="仿宋_GB2312" w:eastAsia="仿宋_GB2312" w:cs="仿宋_GB2312"/>
          <w:i w:val="0"/>
          <w:caps w:val="0"/>
          <w:color w:val="000000"/>
          <w:spacing w:val="0"/>
          <w:sz w:val="24"/>
          <w:szCs w:val="24"/>
          <w:shd w:val="clear" w:color="auto" w:fill="FFFFFF"/>
          <w:lang w:val="en-US" w:eastAsia="zh-CN"/>
        </w:rPr>
        <w:t>GB55013-2021</w:t>
      </w:r>
      <w:r>
        <w:rPr>
          <w:rFonts w:hint="eastAsia" w:ascii="仿宋_GB2312" w:hAnsi="仿宋_GB2312" w:eastAsia="仿宋_GB2312" w:cs="仿宋_GB2312"/>
          <w:i w:val="0"/>
          <w:caps w:val="0"/>
          <w:color w:val="000000"/>
          <w:spacing w:val="0"/>
          <w:sz w:val="24"/>
          <w:szCs w:val="24"/>
          <w:shd w:val="clear" w:color="auto" w:fill="FFFFFF"/>
          <w:lang w:eastAsia="zh-CN"/>
        </w:rPr>
        <w:t>）、</w:t>
      </w:r>
      <w:r>
        <w:rPr>
          <w:rFonts w:hint="eastAsia" w:ascii="仿宋_GB2312" w:hAnsi="仿宋_GB2312" w:eastAsia="仿宋_GB2312" w:cs="仿宋_GB2312"/>
          <w:i w:val="0"/>
          <w:caps w:val="0"/>
          <w:color w:val="000000"/>
          <w:spacing w:val="0"/>
          <w:sz w:val="24"/>
          <w:szCs w:val="24"/>
          <w:shd w:val="clear" w:color="auto" w:fill="FFFFFF"/>
        </w:rPr>
        <w:t>《城市道路清扫保洁质量与评价标准</w:t>
      </w:r>
      <w:r>
        <w:rPr>
          <w:rFonts w:hint="eastAsia" w:ascii="仿宋_GB2312" w:hAnsi="仿宋_GB2312" w:eastAsia="仿宋_GB2312" w:cs="仿宋_GB2312"/>
          <w:i w:val="0"/>
          <w:caps w:val="0"/>
          <w:color w:val="000000"/>
          <w:spacing w:val="0"/>
          <w:sz w:val="24"/>
          <w:szCs w:val="24"/>
          <w:shd w:val="clear" w:color="auto" w:fill="FFFFFF"/>
          <w:lang w:eastAsia="zh-CN"/>
        </w:rPr>
        <w:t>》（</w:t>
      </w:r>
      <w:r>
        <w:rPr>
          <w:rFonts w:hint="eastAsia" w:ascii="仿宋_GB2312" w:hAnsi="仿宋_GB2312" w:eastAsia="仿宋_GB2312" w:cs="仿宋_GB2312"/>
          <w:i w:val="0"/>
          <w:caps w:val="0"/>
          <w:color w:val="000000"/>
          <w:spacing w:val="0"/>
          <w:sz w:val="24"/>
          <w:szCs w:val="24"/>
          <w:shd w:val="clear" w:color="auto" w:fill="FFFFFF"/>
          <w:lang w:val="en-US" w:eastAsia="zh-CN"/>
        </w:rPr>
        <w:t>CJJ/T126-2022</w:t>
      </w:r>
      <w:r>
        <w:rPr>
          <w:rFonts w:hint="eastAsia" w:ascii="仿宋_GB2312" w:hAnsi="仿宋_GB2312" w:eastAsia="仿宋_GB2312" w:cs="仿宋_GB2312"/>
          <w:i w:val="0"/>
          <w:caps w:val="0"/>
          <w:color w:val="000000"/>
          <w:spacing w:val="0"/>
          <w:sz w:val="24"/>
          <w:szCs w:val="24"/>
          <w:shd w:val="clear" w:color="auto" w:fill="FFFFFF"/>
          <w:lang w:eastAsia="zh-CN"/>
        </w:rPr>
        <w:t>）、</w:t>
      </w:r>
      <w:r>
        <w:rPr>
          <w:rFonts w:hint="eastAsia" w:ascii="仿宋_GB2312" w:hAnsi="仿宋_GB2312" w:eastAsia="仿宋_GB2312" w:cs="仿宋_GB2312"/>
          <w:i w:val="0"/>
          <w:caps w:val="0"/>
          <w:color w:val="000000"/>
          <w:spacing w:val="0"/>
          <w:sz w:val="24"/>
          <w:szCs w:val="24"/>
          <w:shd w:val="clear" w:color="auto" w:fill="FFFFFF"/>
        </w:rPr>
        <w:t>《西安市城市市容和环境卫生管理条例》</w:t>
      </w:r>
      <w:r>
        <w:rPr>
          <w:rFonts w:hint="eastAsia" w:ascii="仿宋_GB2312" w:hAnsi="仿宋_GB2312" w:eastAsia="仿宋_GB2312" w:cs="仿宋_GB2312"/>
          <w:i w:val="0"/>
          <w:caps w:val="0"/>
          <w:color w:val="000000"/>
          <w:spacing w:val="0"/>
          <w:sz w:val="24"/>
          <w:szCs w:val="24"/>
          <w:shd w:val="clear" w:color="auto" w:fill="FFFFFF"/>
          <w:lang w:eastAsia="zh-CN"/>
        </w:rPr>
        <w:t>和西安市《</w:t>
      </w:r>
      <w:r>
        <w:rPr>
          <w:rFonts w:hint="eastAsia" w:ascii="仿宋_GB2312" w:hAnsi="仿宋_GB2312" w:eastAsia="仿宋_GB2312" w:cs="仿宋_GB2312"/>
          <w:i w:val="0"/>
          <w:caps w:val="0"/>
          <w:color w:val="000000"/>
          <w:spacing w:val="0"/>
          <w:sz w:val="24"/>
          <w:szCs w:val="24"/>
          <w:shd w:val="clear" w:color="auto" w:fill="FFFFFF"/>
        </w:rPr>
        <w:t>城市道路清扫保洁技术规范</w:t>
      </w:r>
      <w:r>
        <w:rPr>
          <w:rFonts w:hint="eastAsia" w:ascii="仿宋_GB2312" w:hAnsi="仿宋_GB2312" w:eastAsia="仿宋_GB2312" w:cs="仿宋_GB2312"/>
          <w:i w:val="0"/>
          <w:caps w:val="0"/>
          <w:color w:val="000000"/>
          <w:spacing w:val="0"/>
          <w:sz w:val="24"/>
          <w:szCs w:val="24"/>
          <w:shd w:val="clear" w:color="auto" w:fill="FFFFFF"/>
          <w:lang w:eastAsia="zh-CN"/>
        </w:rPr>
        <w:t>》（</w:t>
      </w:r>
      <w:r>
        <w:rPr>
          <w:rFonts w:hint="eastAsia" w:ascii="仿宋_GB2312" w:hAnsi="仿宋_GB2312" w:eastAsia="仿宋_GB2312" w:cs="仿宋_GB2312"/>
          <w:i w:val="0"/>
          <w:caps w:val="0"/>
          <w:color w:val="000000"/>
          <w:spacing w:val="0"/>
          <w:sz w:val="24"/>
          <w:szCs w:val="24"/>
          <w:shd w:val="clear" w:color="auto" w:fill="FFFFFF"/>
          <w:lang w:val="en-US" w:eastAsia="zh-CN"/>
        </w:rPr>
        <w:t>DB6101</w:t>
      </w:r>
      <w:r>
        <w:rPr>
          <w:rFonts w:hint="eastAsia" w:ascii="仿宋_GB2312" w:hAnsi="仿宋_GB2312" w:eastAsia="仿宋_GB2312" w:cs="仿宋_GB2312"/>
          <w:i w:val="0"/>
          <w:caps w:val="0"/>
          <w:color w:val="000000"/>
          <w:spacing w:val="0"/>
          <w:sz w:val="24"/>
          <w:szCs w:val="24"/>
          <w:shd w:val="clear" w:color="auto" w:fill="FFFFFF"/>
          <w:lang w:val="en" w:eastAsia="zh-CN"/>
        </w:rPr>
        <w:t>/</w:t>
      </w:r>
      <w:r>
        <w:rPr>
          <w:rFonts w:hint="eastAsia" w:ascii="仿宋_GB2312" w:hAnsi="仿宋_GB2312" w:eastAsia="仿宋_GB2312" w:cs="仿宋_GB2312"/>
          <w:i w:val="0"/>
          <w:caps w:val="0"/>
          <w:color w:val="000000"/>
          <w:spacing w:val="0"/>
          <w:sz w:val="24"/>
          <w:szCs w:val="24"/>
          <w:shd w:val="clear" w:color="auto" w:fill="FFFFFF"/>
          <w:lang w:val="en-US" w:eastAsia="zh-CN"/>
        </w:rPr>
        <w:t>T3057-2019</w:t>
      </w:r>
      <w:r>
        <w:rPr>
          <w:rFonts w:hint="eastAsia" w:ascii="仿宋_GB2312" w:hAnsi="仿宋_GB2312" w:eastAsia="仿宋_GB2312" w:cs="仿宋_GB2312"/>
          <w:i w:val="0"/>
          <w:caps w:val="0"/>
          <w:color w:val="000000"/>
          <w:spacing w:val="0"/>
          <w:sz w:val="24"/>
          <w:szCs w:val="24"/>
          <w:shd w:val="clear" w:color="auto" w:fill="FFFFFF"/>
          <w:lang w:eastAsia="zh-CN"/>
        </w:rPr>
        <w:t>）</w:t>
      </w:r>
      <w:r>
        <w:rPr>
          <w:rFonts w:hint="eastAsia" w:ascii="仿宋_GB2312" w:hAnsi="仿宋_GB2312" w:eastAsia="仿宋_GB2312" w:cs="仿宋_GB2312"/>
          <w:i w:val="0"/>
          <w:caps w:val="0"/>
          <w:color w:val="000000"/>
          <w:spacing w:val="0"/>
          <w:sz w:val="24"/>
          <w:szCs w:val="24"/>
          <w:shd w:val="clear" w:color="auto" w:fill="FFFFFF"/>
        </w:rPr>
        <w:t>等规定，结合我市工作实际，制定本</w:t>
      </w:r>
      <w:r>
        <w:rPr>
          <w:rFonts w:hint="eastAsia" w:ascii="仿宋_GB2312" w:hAnsi="仿宋_GB2312" w:eastAsia="仿宋_GB2312" w:cs="仿宋_GB2312"/>
          <w:i w:val="0"/>
          <w:caps w:val="0"/>
          <w:color w:val="000000"/>
          <w:spacing w:val="0"/>
          <w:sz w:val="24"/>
          <w:szCs w:val="24"/>
          <w:shd w:val="clear" w:color="auto" w:fill="FFFFFF"/>
          <w:lang w:val="en-US" w:eastAsia="zh-CN"/>
        </w:rPr>
        <w:t>指引</w:t>
      </w:r>
      <w:r>
        <w:rPr>
          <w:rFonts w:hint="eastAsia" w:ascii="仿宋_GB2312" w:hAnsi="仿宋_GB2312" w:eastAsia="仿宋_GB2312" w:cs="仿宋_GB2312"/>
          <w:i w:val="0"/>
          <w:caps w:val="0"/>
          <w:color w:val="000000"/>
          <w:spacing w:val="0"/>
          <w:sz w:val="24"/>
          <w:szCs w:val="24"/>
          <w:shd w:val="clear" w:color="auto" w:fill="FFFFFF"/>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color w:val="333333"/>
          <w:sz w:val="18"/>
          <w:szCs w:val="20"/>
        </w:rPr>
      </w:pPr>
      <w:r>
        <w:rPr>
          <w:rFonts w:hint="eastAsia" w:ascii="黑体" w:hAnsi="黑体" w:eastAsia="黑体" w:cs="黑体"/>
          <w:i w:val="0"/>
          <w:caps w:val="0"/>
          <w:color w:val="000000"/>
          <w:spacing w:val="0"/>
          <w:kern w:val="0"/>
          <w:sz w:val="24"/>
          <w:szCs w:val="24"/>
          <w:shd w:val="clear" w:color="auto" w:fill="FFFFFF"/>
          <w:lang w:val="en-US" w:eastAsia="zh-CN" w:bidi="ar"/>
        </w:rPr>
        <w:t>一、总则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i w:val="0"/>
          <w:caps w:val="0"/>
          <w:color w:val="000000"/>
          <w:spacing w:val="0"/>
          <w:sz w:val="24"/>
          <w:szCs w:val="24"/>
          <w:shd w:val="clear" w:color="auto" w:fill="FFFFFF"/>
          <w:lang w:val="en-US" w:eastAsia="zh-CN"/>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（一）环卫保洁坚持“政府主导、</w:t>
      </w:r>
      <w:r>
        <w:rPr>
          <w:rFonts w:hint="eastAsia" w:ascii="仿宋_GB2312" w:hAnsi="仿宋_GB2312" w:eastAsia="仿宋_GB2312" w:cs="仿宋_GB2312"/>
          <w:sz w:val="24"/>
          <w:szCs w:val="24"/>
        </w:rPr>
        <w:t>企业</w:t>
      </w:r>
      <w:r>
        <w:rPr>
          <w:rFonts w:hint="eastAsia" w:ascii="仿宋_GB2312" w:hAnsi="仿宋_GB2312" w:eastAsia="仿宋_GB2312" w:cs="仿宋_GB2312"/>
          <w:color w:val="000000"/>
          <w:sz w:val="24"/>
          <w:szCs w:val="24"/>
          <w:lang w:val="en-US" w:eastAsia="zh-CN"/>
        </w:rPr>
        <w:t>运营</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、区划为主”的原则，以规范化作业、标准化管理为路径，着力推进作业单位集团化、作业标段规模化、作业方式机械化。以“城市清洁行动”为抓手，持续开展“环卫保洁精细化”行动。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sz w:val="24"/>
          <w:szCs w:val="24"/>
          <w:shd w:val="clear" w:color="auto" w:fill="FFFFFF"/>
          <w:lang w:val="en-US" w:eastAsia="zh-CN"/>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（二）</w:t>
      </w:r>
      <w:r>
        <w:rPr>
          <w:rFonts w:hint="eastAsia" w:ascii="仿宋_GB2312" w:hAnsi="仿宋_GB2312" w:eastAsia="仿宋_GB2312" w:cs="仿宋_GB2312"/>
          <w:i w:val="0"/>
          <w:caps w:val="0"/>
          <w:color w:val="000000"/>
          <w:spacing w:val="0"/>
          <w:sz w:val="24"/>
          <w:szCs w:val="24"/>
          <w:shd w:val="clear" w:color="auto" w:fill="FFFFFF"/>
          <w:lang w:val="en-US" w:eastAsia="zh-CN"/>
        </w:rPr>
        <w:t>本指引规定了城市和县城建成区道路清扫保洁作业、公共厕所保洁、其他环卫设施保洁、清扫保洁作业车辆管理、环卫作业人员行为规范、保障与应急环卫作业等环境卫生作业方面的具体要求。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jc w:val="both"/>
        <w:textAlignment w:val="auto"/>
        <w:rPr>
          <w:rFonts w:hint="eastAsia" w:ascii="仿宋_GB2312" w:hAnsi="仿宋_GB2312" w:eastAsia="仿宋_GB2312" w:cs="仿宋_GB2312"/>
          <w:i w:val="0"/>
          <w:caps w:val="0"/>
          <w:color w:val="000000"/>
          <w:spacing w:val="0"/>
          <w:sz w:val="24"/>
          <w:szCs w:val="24"/>
          <w:shd w:val="clear" w:color="auto" w:fill="FFFFFF"/>
          <w:lang w:val="en-US" w:eastAsia="zh-CN"/>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三）大力推行环卫作业机械化，通过多种方式促进环卫企业加快改进更新环卫作业设施设备，增加机械化洗扫和重度污染清洗作业车辆，特别是适用于背街小巷、辅道和人行道作业的小型作业机具（小型扫地车、热水高压清洗机、吸尘机），扩大机械化作业范围，道路机械化清扫率达到省、市相关标准以上。同时，做好不同机械与人工替换率的测算，最大程度减少人工使用和降低环卫工人劳动强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sz w:val="24"/>
          <w:szCs w:val="24"/>
          <w:shd w:val="clear" w:color="auto" w:fill="FFFFFF"/>
          <w:lang w:val="en-US" w:eastAsia="zh-CN"/>
        </w:rPr>
        <w:t>（四）</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大力推行绿色环保、节能减排作业方式，持续推进环卫作业机具设备提档升级，使用新能源环卫作业车辆。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黑体" w:hAnsi="黑体" w:eastAsia="黑体" w:cs="黑体"/>
          <w:i w:val="0"/>
          <w:caps w:val="0"/>
          <w:color w:val="333333"/>
          <w:spacing w:val="0"/>
          <w:kern w:val="0"/>
          <w:sz w:val="21"/>
          <w:szCs w:val="21"/>
          <w:shd w:val="clear" w:color="auto" w:fill="FFFFFF"/>
          <w:lang w:val="en-US" w:eastAsia="zh-CN" w:bidi="ar"/>
        </w:rPr>
      </w:pPr>
      <w:r>
        <w:rPr>
          <w:rFonts w:hint="eastAsia" w:ascii="黑体" w:hAnsi="黑体" w:eastAsia="黑体" w:cs="黑体"/>
          <w:i w:val="0"/>
          <w:caps w:val="0"/>
          <w:color w:val="000000"/>
          <w:spacing w:val="0"/>
          <w:kern w:val="0"/>
          <w:sz w:val="24"/>
          <w:szCs w:val="24"/>
          <w:shd w:val="clear" w:color="auto" w:fill="FFFFFF"/>
          <w:lang w:val="en-US" w:eastAsia="zh-CN" w:bidi="ar"/>
        </w:rPr>
        <w:t>二、道路清扫保洁</w:t>
      </w:r>
      <w:r>
        <w:rPr>
          <w:rFonts w:hint="eastAsia" w:ascii="黑体" w:hAnsi="黑体" w:eastAsia="黑体" w:cs="黑体"/>
          <w:i w:val="0"/>
          <w:caps w:val="0"/>
          <w:color w:val="333333"/>
          <w:spacing w:val="0"/>
          <w:kern w:val="0"/>
          <w:sz w:val="21"/>
          <w:szCs w:val="21"/>
          <w:shd w:val="clear" w:color="auto" w:fill="FFFFFF"/>
          <w:lang w:val="en-US" w:eastAsia="zh-CN" w:bidi="ar"/>
        </w:rPr>
        <w:t> </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（一）环卫保洁作业范围</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sz w:val="18"/>
          <w:szCs w:val="20"/>
          <w:lang w:val="en-US" w:eastAsia="zh-CN"/>
        </w:rPr>
      </w:pPr>
      <w:r>
        <w:rPr>
          <w:rFonts w:hint="eastAsia" w:ascii="仿宋_GB2312" w:hAnsi="仿宋_GB2312" w:eastAsia="仿宋_GB2312" w:cs="仿宋_GB2312"/>
          <w:i w:val="0"/>
          <w:caps w:val="0"/>
          <w:color w:val="000000"/>
          <w:spacing w:val="0"/>
          <w:sz w:val="24"/>
          <w:szCs w:val="24"/>
          <w:shd w:val="clear" w:color="auto" w:fill="FFFFFF"/>
          <w:lang w:val="en-US" w:eastAsia="zh-CN"/>
        </w:rPr>
        <w:t>1.</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城市和县城建成区内市政道路的车行道、人行道、高架桥（快速路）、车行隧道、立交桥、人行过街天桥、公共广场等路面均属环卫清扫保洁作业范围。</w:t>
      </w:r>
      <w:r>
        <w:rPr>
          <w:rFonts w:hint="eastAsia" w:ascii="仿宋_GB2312" w:hAnsi="仿宋_GB2312" w:eastAsia="仿宋_GB2312" w:cs="仿宋_GB2312"/>
          <w:i w:val="0"/>
          <w:caps w:val="0"/>
          <w:color w:val="000000"/>
          <w:spacing w:val="0"/>
          <w:sz w:val="24"/>
          <w:szCs w:val="24"/>
          <w:shd w:val="clear" w:color="auto" w:fill="FFFFFF"/>
          <w:lang w:val="en-US" w:eastAsia="zh-CN"/>
        </w:rPr>
        <w:t>按照人流量、车流量、商业门店密度、重要场所分布等参数，以及主干道、次干道（连通道）、</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背街小巷道路分布，分为三个等级，具体划分为一级、二级、三级（见附件）。</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sz w:val="18"/>
          <w:szCs w:val="20"/>
          <w:lang w:val="en-US" w:eastAsia="zh-CN"/>
        </w:rPr>
      </w:pPr>
      <w:r>
        <w:rPr>
          <w:rFonts w:hint="eastAsia" w:ascii="仿宋_GB2312" w:hAnsi="仿宋_GB2312" w:eastAsia="仿宋_GB2312" w:cs="仿宋_GB2312"/>
          <w:sz w:val="24"/>
          <w:szCs w:val="24"/>
          <w:lang w:val="en-US" w:eastAsia="zh-CN"/>
        </w:rPr>
        <w:t>2.机动车道、立交桥、高架桥、跨线桥、非机动车道、人行道、人行天桥、广场及栏杆、隔离墩（桩、墙）等环卫清扫保洁，适合机械清扫的，应当以大、中、小型洗扫车或吸尘车作业为主；不适合机械清扫作业的，应匹配相应作业人员，实行人工清扫作业。人工清扫作业主要采用防尘软扫帚，避免产生扬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jc w:val="both"/>
        <w:textAlignment w:val="auto"/>
        <w:rPr>
          <w:rFonts w:hint="eastAsia" w:ascii="仿宋_GB2312" w:hAnsi="仿宋_GB2312" w:eastAsia="仿宋_GB2312" w:cs="仿宋_GB2312"/>
          <w:b/>
          <w:bCs/>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（二）道路清扫保洁作业质量标准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1.道路清扫保洁作业应做到车行道、高架桥和立交桥路面、人行道、下水道入水口、墙角、道牙石下等部位洁净无积尘、污水、污渍和废弃物，道路及两侧可视范围内无暴露垃圾。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FF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2.道路清洗作业应做到车行道、高架桥和立交桥路面、人行道路面及交通护栏（如有移交）、隔离带下等道路附属设施洁净见本色，无泥沙、浮土、污水、灰带、扬尘。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3.车行隧道、人行过街天桥清扫保洁应做到路面干净、无积存污水和垃圾，达到与所连接道路高标准一侧相同的清扫保洁质量标准。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t>4.公共广场保洁标准：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（1）路面干净，无污垢及附着物、积水，人行道上无粘性物。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（2）广场各部位干净、整洁，无浮土、渣土、污水、烟头、纸屑、瓜果皮核、痰迹、粪便及其他污物。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（3）广场附属公共设施完好、表面清洁，无积尘、油迹、锈迹，标识清晰可见，无乱涂写、乱张贴、乱刻画。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b/>
          <w:bCs/>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（三）人工清扫保洁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t>1.作业时间：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所有等级道路执行“一普扫+全保”作业模式，每天除“普扫”使用大扫帚外，其余时间全部使用小扫帚或捡拾夹进行保洁。春夏季“普扫”6:30前完成，秋冬季“普扫”7:00前完成。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仿宋_GB2312" w:hAnsi="仿宋_GB2312" w:eastAsia="仿宋_GB2312" w:cs="仿宋_GB2312"/>
          <w:i w:val="0"/>
          <w:caps w:val="0"/>
          <w:color w:val="333333"/>
          <w:spacing w:val="0"/>
          <w:kern w:val="0"/>
          <w:sz w:val="21"/>
          <w:szCs w:val="21"/>
          <w:shd w:val="clear" w:color="auto" w:fill="FFFFFF"/>
          <w:lang w:val="en-US" w:eastAsia="zh-CN" w:bidi="ar"/>
        </w:rPr>
      </w:pP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t>2.作业要求：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所有道路实行全日制分班保洁作业。环卫保洁人员配备按一级道路2班制作业，每班次3000平方米配备1名保洁员；二级道路2班制作业，每班次3125平方米配备1名保洁员；三级道路2班制作业，每班次3800平方米配备1名保洁员。各作业单位应组建不少于10%的保洁轮休人员（含保洁应急队伍），以保证保洁人员轮休和快速解决市区范围内突发的市容环境卫生事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道路保洁实行巡查员负责制，每3-5个作业路段为一个巡查区域，设巡查人员1名。每个作业路段配备相应的小型密闭式垃圾收运车辆，各类道路每名保洁员作业区为一个作业段，对保洁员实行编号定位。每名保洁员配备大扫把1把、小扫帚1把、保洁簸箕1个，捡拾夹、“野广告”清理铲及其它保洁工具等，清扫和保洁工具手把及小型密闭式垃圾收运车辆后箱应贴涂反光标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（3）人工清扫应按照“七扫”的基本要求进行，即：头遍先普扫，面向车辆扫，有风顺风扫，商店门口轻轻扫，公交车站重点扫，沟底灰沙用力扫，窨井墙角不漏扫。</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（4）人工清扫作业时注意以下规范：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汉仪书宋二S" w:hAnsi="汉仪书宋二S" w:eastAsia="汉仪书宋二S" w:cs="汉仪书宋二S"/>
          <w:sz w:val="24"/>
          <w:szCs w:val="24"/>
          <w:lang w:val="en-US" w:eastAsia="zh-CN"/>
        </w:rPr>
        <w:t>①</w:t>
      </w:r>
      <w:r>
        <w:rPr>
          <w:rFonts w:hint="eastAsia" w:ascii="仿宋_GB2312" w:hAnsi="仿宋_GB2312" w:eastAsia="仿宋_GB2312" w:cs="仿宋_GB2312"/>
          <w:sz w:val="24"/>
          <w:szCs w:val="24"/>
          <w:lang w:val="en-US" w:eastAsia="zh-CN"/>
        </w:rPr>
        <w:t xml:space="preserve">在清扫中间护拦时要提高警觉，注意防范来往车辆。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汉仪书宋二S" w:hAnsi="汉仪书宋二S" w:eastAsia="汉仪书宋二S" w:cs="汉仪书宋二S"/>
          <w:sz w:val="24"/>
          <w:szCs w:val="24"/>
          <w:lang w:val="en-US" w:eastAsia="zh-CN"/>
        </w:rPr>
        <w:t>②</w:t>
      </w:r>
      <w:r>
        <w:rPr>
          <w:rFonts w:hint="eastAsia" w:ascii="仿宋_GB2312" w:hAnsi="仿宋_GB2312" w:eastAsia="仿宋_GB2312" w:cs="仿宋_GB2312"/>
          <w:sz w:val="24"/>
          <w:szCs w:val="24"/>
          <w:lang w:val="en-US" w:eastAsia="zh-CN"/>
        </w:rPr>
        <w:t xml:space="preserve">保洁道牙边时要带扫1米宽的路面，将废弃物扫至沟边依次归堆，并应与窨井口保持1米以上的距离，避免垃圾落入窨井口内。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③</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辅以机械洒水或清洗作业时，应先推水，后清扫。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④</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行道树产生较多落叶时，要增加巡回保洁次数，并及时清运枯枝落叶。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5"/>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（5）一级道路非机动车道、人行道、十字路口、人行天桥、绿化带花台、树池、工具箱、果皮箱、雨水篦、井盖表面等局部污渍清洗及零星垃圾，其巡回保洁和捡拾在15分钟内处理。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5"/>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二级道路非机动车道、人行道、十字路口、人行天桥、绿化带花台、树池、工具箱、果皮箱、雨水篦、井盖表面等局部污渍清洗及零星垃圾，餐饮饭店、集贸市场、车站、医院等人流密集场所和建设工地周边，其巡回保洁和捡拾在20分钟内处理。三级道路其巡回保洁和捡拾在40分钟内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（7）一级道路设置的环卫设施擦洗每日不少于1次。二级、三级道路设置的环卫设施擦洗每两日不少于1次。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（8）清扫保洁产生的垃圾应及时收集转运，并达到以下作业要求：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①</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清扫保洁垃圾应定时定点清理，做到工完场清，其中春夏季普扫垃圾应于每天 6:30 前清理完毕，秋冬季普扫垃圾应于每天 7:00 前清理完毕,严禁将垃圾裸露堆放路面。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②</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不得往花坛绿地倾倒垃圾，不得将垃圾、泥沙扫入下水道进水篦，保持下水道井眼干净整洁无污物。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③</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清扫保洁垃圾收集、运输过程中不得有撒落、飞扬、污水滴漏等现象。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④</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清扫保洁垃圾收集容器应摆放整齐，容器周边无撒落。垃圾容器清理后，其内应无留存垃圾及污水、外观整洁，才能重新复位。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⑤</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清扫保洁作业人员不得将垃圾、落叶或泥渣直接清扫、倾倒至城市管网。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⑥</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清扫保洁作业人员不得焚烧垃圾。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（9）雨停后及时清理下水道进水篦、井眼及其周边，并进行推水作业，防止路面积水、积泥和积污。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（10）对口香糖等粘性污渍，以及油污、乱涂乱写等顽固污渍，应使用铲刀、高压清洗机具以及必要的化学清洗制剂予以清除，并与底色保持一致。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（11）保洁作业结束后，作业工具应在规定地点摆放，不得在道路路面、墙角、绿化带、绿地中存放。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（四）机械化清扫保洁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一级道路主、辅道机械洗扫作业每日不少于4次。每日05:00-07:00、20:00-22:00每条车道全覆盖作业；09:30-11:30、12:30-16:30双向左右两侧车行道、单向车行道两侧道路各增加作业1次；1月-3月，10月-12月适时增加作业次数，清理落叶和灰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color w:val="333333"/>
          <w:sz w:val="18"/>
          <w:szCs w:val="20"/>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二级道路机械洗扫作业每日不少于3次。每日05:00-07:00、10:00-17:00、20:00-22:00每条车道全覆盖作业,12:30-16:30双向左右两侧车行道、单向车行道两侧道路各增加作业1次；1月-3月，10月-12月适时增加作业次数，清理落叶和灰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jc w:val="both"/>
        <w:textAlignment w:val="auto"/>
        <w:rPr>
          <w:rFonts w:hint="eastAsia" w:ascii="仿宋_GB2312" w:hAnsi="仿宋_GB2312" w:eastAsia="仿宋_GB2312" w:cs="仿宋_GB2312"/>
          <w:color w:val="333333"/>
          <w:sz w:val="18"/>
          <w:szCs w:val="20"/>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3.三级道路机械洗扫作业每日不少于2次。每日05:00-07:00、20:00-22:00各作业1次；1月-3月，10月-12月适时增加作业次数，清理落叶和灰带。同时，根据道路情况也可采取人工清扫和冲洗作业相结合方式。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4.夏季气温超过35℃时，应当采取换班轮休等方式，缩短劳动者连续作业时间，日最高气温达到40℃以上时，应当停止人工作业，加强机械化作业。其他特殊天气作业时间和频次另行规定。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机械清扫作业时可根据路面污染情况，洗扫作业时行驶速度不超过8公里/小时，副机转速不低于2200转/分左右；保洁作业时行驶速度不超过15公里/小时，副机转速不低于1800转/分。作业时应严格按照放刷、喷水、调整箱体压力和刷盘转速、清扫的顺序进行操作；非特殊气候情况下，避免“干扫”；作业时禁止扫刷、吸盘不落地。作业完毕后应及时到指定场所排放污水和清、卸垃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b/>
          <w:bCs/>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（五）机械化道路冲洗除尘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t>1.作业要求：</w:t>
      </w:r>
    </w:p>
    <w:p>
      <w:pPr>
        <w:keepNext w:val="0"/>
        <w:keepLines w:val="0"/>
        <w:pageBreakBefore w:val="0"/>
        <w:kinsoku/>
        <w:wordWrap/>
        <w:overflowPunct/>
        <w:topLinePunct w:val="0"/>
        <w:autoSpaceDE/>
        <w:autoSpaceDN/>
        <w:bidi w:val="0"/>
        <w:adjustRightInd/>
        <w:snapToGrid/>
        <w:spacing w:line="240" w:lineRule="auto"/>
        <w:ind w:firstLine="630"/>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每年3月1日至11月1日执行“白天湿扫、夜间冲洗”道路的降尘作业模式，对所有道路实施夜间冲洗作业，冲洗作业为每日22:00－次日06:30进行。除道路污染应急处置、重大保障和重污染天气等特殊情况外，原则上不得白天作业。清晨、夜间作业时应打开警示灯、应急灯，禁止鸣报任何提示音乐，特殊情况确需白天作业时，要错开早晚交通高峰段（7:00-9:00，17:00-20:00），作业时要避让车辆和行人。建筑垃圾通道可根据实际情况适时开展道路冲洗作业。</w:t>
      </w:r>
    </w:p>
    <w:p>
      <w:pPr>
        <w:keepNext w:val="0"/>
        <w:keepLines w:val="0"/>
        <w:pageBreakBefore w:val="0"/>
        <w:kinsoku/>
        <w:wordWrap/>
        <w:overflowPunct/>
        <w:topLinePunct w:val="0"/>
        <w:autoSpaceDE/>
        <w:autoSpaceDN/>
        <w:bidi w:val="0"/>
        <w:adjustRightInd/>
        <w:snapToGrid/>
        <w:spacing w:line="240" w:lineRule="auto"/>
        <w:ind w:firstLine="630"/>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（2）秋冬季气温4℃及以下时，停止一切冲洒水作业；气温4℃以上时，每日上午10:00至下午16:00为道路冲洒水作业时段。重污染天气应急响应期间，道路冲洒水作业时间以市城管局通知为准。</w:t>
      </w:r>
    </w:p>
    <w:p>
      <w:pPr>
        <w:keepNext w:val="0"/>
        <w:keepLines w:val="0"/>
        <w:pageBreakBefore w:val="0"/>
        <w:kinsoku/>
        <w:wordWrap/>
        <w:overflowPunct/>
        <w:topLinePunct w:val="0"/>
        <w:autoSpaceDE/>
        <w:autoSpaceDN/>
        <w:bidi w:val="0"/>
        <w:adjustRightInd/>
        <w:snapToGrid/>
        <w:spacing w:line="240" w:lineRule="auto"/>
        <w:ind w:firstLine="630"/>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（3）雾喷洒水压尘作业要符合以下规定： </w:t>
      </w:r>
    </w:p>
    <w:p>
      <w:pPr>
        <w:keepNext w:val="0"/>
        <w:keepLines w:val="0"/>
        <w:pageBreakBefore w:val="0"/>
        <w:kinsoku/>
        <w:wordWrap/>
        <w:overflowPunct/>
        <w:topLinePunct w:val="0"/>
        <w:autoSpaceDE/>
        <w:autoSpaceDN/>
        <w:bidi w:val="0"/>
        <w:adjustRightInd/>
        <w:snapToGrid/>
        <w:spacing w:line="240" w:lineRule="auto"/>
        <w:ind w:firstLine="630"/>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①</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根据大气污染和臭氧防治应急响应机制要求，针对不同预警等级，分别按不同程度提高各时段洒水压尘频次。</w:t>
      </w:r>
    </w:p>
    <w:p>
      <w:pPr>
        <w:keepNext w:val="0"/>
        <w:keepLines w:val="0"/>
        <w:pageBreakBefore w:val="0"/>
        <w:kinsoku/>
        <w:wordWrap/>
        <w:overflowPunct/>
        <w:topLinePunct w:val="0"/>
        <w:autoSpaceDE/>
        <w:autoSpaceDN/>
        <w:bidi w:val="0"/>
        <w:adjustRightInd/>
        <w:snapToGrid/>
        <w:spacing w:line="240" w:lineRule="auto"/>
        <w:ind w:firstLine="630"/>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②</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水要喷射成雾状，喷洒均匀，达到路面见潮不见水流的效果。作业覆盖宽度应与道路宽度适宜，做到应洒尽洒。 </w:t>
      </w:r>
    </w:p>
    <w:p>
      <w:pPr>
        <w:keepNext w:val="0"/>
        <w:keepLines w:val="0"/>
        <w:pageBreakBefore w:val="0"/>
        <w:kinsoku/>
        <w:wordWrap/>
        <w:overflowPunct/>
        <w:topLinePunct w:val="0"/>
        <w:autoSpaceDE/>
        <w:autoSpaceDN/>
        <w:bidi w:val="0"/>
        <w:adjustRightInd/>
        <w:snapToGrid/>
        <w:spacing w:line="240" w:lineRule="auto"/>
        <w:ind w:firstLine="630"/>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③</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根据作业路段宽度、车辆作业宽度、道路交通条件，采取沿道路两侧、中央隔离带或中央黄线两侧适当位置与行车线相同方向进行压尘作业。</w:t>
      </w:r>
    </w:p>
    <w:p>
      <w:pPr>
        <w:keepNext w:val="0"/>
        <w:keepLines w:val="0"/>
        <w:pageBreakBefore w:val="0"/>
        <w:kinsoku/>
        <w:wordWrap/>
        <w:overflowPunct/>
        <w:topLinePunct w:val="0"/>
        <w:autoSpaceDE/>
        <w:autoSpaceDN/>
        <w:bidi w:val="0"/>
        <w:adjustRightInd/>
        <w:snapToGrid/>
        <w:spacing w:line="240" w:lineRule="auto"/>
        <w:ind w:firstLine="630"/>
        <w:jc w:val="both"/>
        <w:textAlignment w:val="auto"/>
        <w:rPr>
          <w:rFonts w:hint="default"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④</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车辆作业时，速度不应高于20km</w:t>
      </w:r>
      <w:r>
        <w:rPr>
          <w:rFonts w:hint="default" w:ascii="仿宋_GB2312" w:hAnsi="仿宋_GB2312" w:eastAsia="仿宋_GB2312" w:cs="仿宋_GB2312"/>
          <w:i w:val="0"/>
          <w:caps w:val="0"/>
          <w:color w:val="000000"/>
          <w:spacing w:val="0"/>
          <w:kern w:val="0"/>
          <w:sz w:val="24"/>
          <w:szCs w:val="24"/>
          <w:shd w:val="clear" w:color="auto" w:fill="FFFFFF"/>
          <w:lang w:val="en" w:eastAsia="zh-CN" w:bidi="ar"/>
        </w:rPr>
        <w:t>/h,</w:t>
      </w:r>
      <w:r>
        <w:rPr>
          <w:rFonts w:hint="eastAsia" w:ascii="仿宋_GB2312" w:hAnsi="仿宋_GB2312" w:eastAsia="仿宋_GB2312" w:cs="仿宋_GB2312"/>
          <w:i w:val="0"/>
          <w:caps w:val="0"/>
          <w:color w:val="000000"/>
          <w:spacing w:val="0"/>
          <w:kern w:val="0"/>
          <w:sz w:val="24"/>
          <w:szCs w:val="24"/>
          <w:shd w:val="clear" w:color="auto" w:fill="FFFFFF"/>
          <w:lang w:val="en" w:eastAsia="zh-CN" w:bidi="ar"/>
        </w:rPr>
        <w:t>洒水设备水压不应大于</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300kPa，喷雾设备水压应不大于15Mpa。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（4）雨后可开展机械高压冲洗除尘，同时进行路面积水清除作业。</w:t>
      </w:r>
    </w:p>
    <w:p>
      <w:pPr>
        <w:keepNext w:val="0"/>
        <w:keepLines w:val="0"/>
        <w:pageBreakBefore w:val="0"/>
        <w:kinsoku/>
        <w:wordWrap/>
        <w:overflowPunct/>
        <w:topLinePunct w:val="0"/>
        <w:autoSpaceDE/>
        <w:autoSpaceDN/>
        <w:bidi w:val="0"/>
        <w:adjustRightInd/>
        <w:snapToGrid/>
        <w:spacing w:line="240" w:lineRule="auto"/>
        <w:ind w:firstLine="630"/>
        <w:jc w:val="both"/>
        <w:textAlignment w:val="auto"/>
        <w:rPr>
          <w:rFonts w:hint="eastAsia" w:ascii="仿宋_GB2312" w:hAnsi="仿宋_GB2312" w:eastAsia="仿宋_GB2312" w:cs="仿宋_GB2312"/>
          <w:color w:val="333333"/>
          <w:sz w:val="18"/>
          <w:szCs w:val="20"/>
        </w:rPr>
      </w:pP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t>2</w:t>
      </w:r>
      <w:r>
        <w:rPr>
          <w:rFonts w:hint="eastAsia" w:ascii="仿宋_GB2312" w:hAnsi="仿宋_GB2312" w:eastAsia="仿宋_GB2312" w:cs="仿宋_GB2312"/>
          <w:b w:val="0"/>
          <w:bCs w:val="0"/>
          <w:i w:val="0"/>
          <w:caps w:val="0"/>
          <w:color w:val="000000"/>
          <w:spacing w:val="0"/>
          <w:kern w:val="0"/>
          <w:sz w:val="24"/>
          <w:szCs w:val="24"/>
          <w:shd w:val="clear" w:color="auto" w:fill="FFFFFF"/>
          <w:lang w:val="en" w:eastAsia="zh-CN" w:bidi="ar"/>
        </w:rPr>
        <w:t>.</w:t>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t>作业方式：</w:t>
      </w:r>
      <w:r>
        <w:rPr>
          <w:rFonts w:hint="eastAsia" w:ascii="仿宋_GB2312" w:hAnsi="仿宋_GB2312" w:eastAsia="仿宋_GB2312" w:cs="仿宋_GB2312"/>
          <w:i w:val="0"/>
          <w:caps w:val="0"/>
          <w:color w:val="333333"/>
          <w:spacing w:val="0"/>
          <w:kern w:val="0"/>
          <w:sz w:val="21"/>
          <w:szCs w:val="21"/>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道路冲洗除尘根据不同道路等级，制定清洗除尘方案。所有道路应以冲洗除尘为主，冲洗作业时车辆行驶速度为5-8公里/小时，出水口与地面之间角度调至最佳冲洗位置，压力不小于300kPa，夜间开启警示灯、应急灯、白天鸣放提示音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道路冲洗除尘作业应当实行机械冲洗与机械化洗扫和人工辅助清扫相结合的方式，确保冲洗效果。建筑垃圾清运通道冲洗作业时，应先铲除路面泥饼，再冲洗、推水，建筑工地周边道路宜适当增加冲洗作业频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color w:val="333333"/>
          <w:sz w:val="18"/>
          <w:szCs w:val="20"/>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（3）道路冲洗除尘实行定人、定车、定时、定标、定责“五定”制度。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高压清洗后，视路面清洁情况，可再用清洗车对路面进行一次冲刷，将污水、污渣彻底冲刷至道路两侧。清洗车紧邻道牙石作业时，应严格控制水压、水量，确保主水流在道牙石边缘前30厘米左右自然停下，避免污水、污物喷溅人行道或绿篱形成新的污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color w:val="333333"/>
          <w:sz w:val="18"/>
          <w:szCs w:val="20"/>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（5）冲洗后及时采取有关措施进行推水作业，作业面应无泥沙、积水等。机械冲洗除尘时只可使用车辆前鸭嘴或高压冲洗架，不得采取对冲（地炮）式作业方式。</w:t>
      </w:r>
      <w:r>
        <w:rPr>
          <w:rFonts w:hint="eastAsia" w:ascii="仿宋_GB2312" w:hAnsi="仿宋_GB2312" w:eastAsia="仿宋_GB2312" w:cs="仿宋_GB2312"/>
          <w:i w:val="0"/>
          <w:caps w:val="0"/>
          <w:color w:val="333333"/>
          <w:spacing w:val="0"/>
          <w:kern w:val="0"/>
          <w:sz w:val="21"/>
          <w:szCs w:val="21"/>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（6）车辆通行条件受限制的背街小巷，应采取人工清洗与小型机械清洗相结合的方式，作业流程按以下规定：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①</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清洗作业前，对道路进行人工普扫或机械湿式普扫。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②</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清扫作业后，按从中央线向道路两侧的顺序，采用小型高压清洗车或洒水车单车分次巡回清洗，并视路面污染、积水情况安排洗扫收边。路面宽度允许时，可投入多车辆梯形一次性推进清洗。安装有交通护栏的路段优先清洗交通护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③</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根据路面污染情况，可采用小型高压清洗车辆或人工方式对污染部位进行局部清洗。人行道采用小型高压清洗车对污染部位进行定点清洗。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④</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白天至上半夜时段，原则上不进行背街小巷清洗作业，或仅用洒水车进行中小水量雾洒压尘，避免扰民。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（7）在道路突发污染事故（如车辆漏油、颜料污染等）、渣土严重污染、环境保障等情况下，需要进行应急或补救性道路清洗时，需向行业主管部门报告，经批准后实施。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①</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根据污染情况、作业时限、作业数量和质量要求，确定作业方式、作业机械设备种类和数量，并统一集中调度，以便在规定的时间内保质保量完成清洗作业。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②</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作业前，应先在来车方向 100 米处放置安全锥筒或其它合适的警示标志，以保证作业安全和道路通行安全。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③</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渣土污染严重时，应先以人工方式铲除泥土，再用清洗车喷水浸泡和清洗路面污染，最后由洗扫车将污水污物收扫、吸干、运走。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④</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油污、颜料、涂料等污染路面，应先在污染路面铺撒干沙，人工清扫让干沙充分吸污；污染严重时，应多次更换干沙，人工反复搓扫路面，让干沙充分吸收污物，再将污沙运走清除；然后用高压清洗车清洗受污染路面，最后由洗扫车将污水污物收扫、吸干、运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color w:val="333333"/>
          <w:sz w:val="18"/>
          <w:szCs w:val="20"/>
        </w:rPr>
      </w:pP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t>3.作业频次：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t>（1）冲洗除尘作业频次应根据路面尘土量、天气情况和空气质量确定。春夏季夜间作业时一级道路每周晚间冲洗5次以上；二级和三级道路每周晚间冲洗道路 3次以上；建筑垃圾清运通道每晚冲洗道路 2 次以上；人行道每周白天冲洗2次以上；集贸市场、早（夜）市及人流量较大区域的周边道路及人行道宜适当增加作业频次。秋冬季作业时对有大型货运车辆经过的道路每天白天最多可开展2次冲洗除尘作业，其它路段每两天开展1次道路冲洗除尘作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（2）道路两侧下水井口周边油渍及其它污染物冲洗，应采用小型高压高温冲洗设备，做到“即见即洗”。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黑体" w:hAnsi="黑体" w:eastAsia="黑体" w:cs="黑体"/>
          <w:i w:val="0"/>
          <w:caps w:val="0"/>
          <w:color w:val="000000"/>
          <w:spacing w:val="0"/>
          <w:kern w:val="0"/>
          <w:sz w:val="24"/>
          <w:szCs w:val="24"/>
          <w:shd w:val="clear" w:color="auto" w:fill="FFFFFF"/>
          <w:lang w:val="en-US" w:eastAsia="zh-CN" w:bidi="ar"/>
        </w:rPr>
        <w:t>三、道路清扫保洁作业车辆管理</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（一）车容车貌要求</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1.始终保持车容整洁，专用标志清晰、完整，专用设备、警示灯和指示板灵敏有效、无残缺，车尾应有反光标志（或加贴反光膜）。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2.出车前应对汽车玻璃、车身、轮胎外表进行全面擦拭，车体应干净整洁，无积灰积尘和杂物，车体外观无明显破损，非垃圾接触部位应无污渍、见本色。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3.作业时应保持车身无牵挂，车厢密封、遮盖良好，无垃圾外露、污水外溢等现象；垃圾接触部位，应保持视觉范围内无污物和明显污渍、无垃圾杂物暴露。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4.回场后应及时进行彻底清洗，并将清洗出的垃圾污物投放至指定容器，保持车辆清洗场地清洁，保证车体和车辆轮胎干净无污物，做到脏车不过夜。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5.车辆清洗完毕应做好例行保养工作，认真填写路单、例保簿、仔细检查车容车况，若发现故障，应及时填写小修记录单，最后将车辆按规定位置停放好。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6.车辆驾驶室内应干净整洁，并应按照交通法规要求，正确张贴审验标志，不乱张贴、放置其他与工作无关的物品。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7.车辆定期检查、按时维保，确保关键部件（作业部件、密封件、防滴漏件、警示灯、反光条、环卫标识、灭火器、应急锥筒）配件齐全，外观和功能完好，出现故障、破损、缺失后原则上 72 小时内完成修复更新。各区环卫作业车辆完好率应保持在 85%以上。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（二）维护保养要求</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1.车辆完成作业后，必须停放至指定的场所，非工作需要不得动用。停车场地要有固定值班室，由专人看管，负责车辆停放后的安全保卫工作。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2.车辆驾驶员应按车辆技术要求做好日常检查工作，做好车容车况检查，确保车辆性能完好和车容整洁。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车辆驾驶员应认真执行车辆一、二级维护保养制度，严格落实出车前检查、途中检查和回停车场后的保养工作，具体检查全车水、电、油、气有无滴、漏现象，清洗车辆外表和垃圾箱内外，加注各润滑点位润滑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4.做好每天车辆出车前、作业过程中和车辆回场后的车辆检查工作，确保环卫车辆安全行车，正常作业。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（三）车辆操作要求</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1.应对机械化清扫保洁车辆进行定车、定员、定时、定路段管理，在遵守交规和保证安全、文明作业、文明行车前提下，完成当日清洗保洁任务。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2.出车前，驾驶员应做好车辆检查，特别是对油泵、扫刷、喷水嘴要调整适当，确保车况良好、操作规范、文明行车、文明作业、按规定线路和时间作业。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3.清扫保洁作业时，操作人员应按如下要求运行作业车辆：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（1）打开警示灯、应急灯（大车）、鸣放提示音乐（区县播放：《东方红》，开发区播放《歌唱祖国》）。22:00 时至次日 7:00 时，只开启警示灯、应急灯，暂停播放提示音乐或调低提示音乐音量，避免噪音扰民。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（2）遇前方有车辆、行人时，注意及时避让。中、高考等重要考试期间，洒水车途经考场周边道路时应及时关闭洒水提示音乐。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（3）根据路面污染程度、清扫保洁对象和作业条件，设定发动机转速、喷水、扫刷、风机等装置的初始状态，开启喷水降尘设备湿法作业，作业运行速度清扫保洁车辆不超过 8 公里/小时、高压清洗车辆不超过 15 公里/小时；作业时，使用高压小流量清洗，不得使用低压大流量冲水。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4）洗扫车主刷落地高度一般降至刷苗稍压地面为宜，吸盘箱调整到紧贴路面的位置，做到道牙根无浮土、无污物，作业过程不扬尘、不漏土、不扰民。扫刷、吸嘴胶轮磨损后要及时调整或更换，经常保持正常的扫刷触地压力和吸嘴离地间隙。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（5）及时调整喷头位置与水压，保证路面清洗和洒水效果，保证不溅污、不扰民。涉水车辆要到指定地点加注水，并注意节约用水。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（6）遇到大块物（如砖块）、大面积垃圾（如纸板）、长树枝等杂物时，先用人工将其清除；遇见较大的障碍物或凹坑时不可强行通过，以免损坏机件。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（7）作业质量、效果下降或出现异常情况，应及时停机检查。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4.完成作业任务后，应按如下要求进行操作和管理：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（1）按规定的线路及时清收清洗保洁垃圾，并将垃圾运送指定的生活垃圾收集点，做到工完场清。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（2）不得往绿地花坛倾倒垃圾，不得将垃圾、泥沙扫入下水道进水篦，不堵塞下水道井眼。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（3）将作业车辆停放至指定场所，并进行清理和清洗，保持车容车貌。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（4）对车辆进行全面的维护保养，及时消除故障隐患，保证车辆出勤率，提高作业效率与质量。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5.恶劣天气情况下（五级以上大风及大雨、下雪），应暂停机械冲洗保洁作业。气温 4℃及以下应暂停涉水保洁作业。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6.遇有重大保障活动和道路突发污染事故，各类作业车辆应迅速到位，在交管部门的配合下于清理点位来车方向100米处设置路面警示标志，并有效配合其他人员和车辆快速处置，确保路面的干净整洁。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7.作业车辆涉水作业时，遇电线、电器应压低水头或调近喷射距离，避免水溅电线造成安全事故。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（四）新能源车辆操作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1.检修、维护高压部分维保人员必须取得行业主管部门颁发的电工作业许可证并由厂家培训合格后方可上岗。整车携带高压部分，非专业人员禁止拆卸、打开，防止漏电造成人身伤害。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2.严禁用水冲洗驱动电机、控制器、电池箱等高低压电器，以免器件损坏或发生触电危险。涉水行车时，路面积水深度应不超过电机下表面，控制车速不超过 10km/h。</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3.充电作业由指定的专人进行，上岗前需培训。动力电池电量满足里程需求，回到充电站后不低于 20%，防止因电量不足导致抛锚。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4.行驶中尽量匀速驾驶，避免急加减速，多采用预见性制动。合理控制车辆行驶速度，控制最高车速，保证电机运转在高效区或高效区附近。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5.当车辆出现电机高温或故障时，应降低车辆动力输出，降低车速，报修处理。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6.当车辆需要拖车时，必须将传动轴或半轴拆掉，防止拖车过程中电机旋转发电，导致集成式电机控制器损坏。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7.车辆停放区域要远离热源和易燃、易爆等危险区域，不得停放在低洼的地方，防止下雨积水浸泡车辆导致车辆损坏。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8.车辆若长期存放超 1 个月，为防止纯电动车辆动力蓄电池活性降低，甚至导致动力蓄电池报废，应每间隔一个月充、放电维护一次。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黑体" w:hAnsi="黑体" w:eastAsia="黑体" w:cs="黑体"/>
          <w:i w:val="0"/>
          <w:caps w:val="0"/>
          <w:color w:val="000000"/>
          <w:spacing w:val="0"/>
          <w:kern w:val="0"/>
          <w:sz w:val="24"/>
          <w:szCs w:val="24"/>
          <w:shd w:val="clear" w:color="auto" w:fill="FFFFFF"/>
          <w:lang w:val="en-US" w:eastAsia="zh-CN" w:bidi="ar"/>
        </w:rPr>
        <w:t>四、公共厕所清扫保洁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jc w:val="both"/>
        <w:textAlignment w:val="auto"/>
        <w:rPr>
          <w:rFonts w:hint="eastAsia" w:ascii="仿宋_GB2312" w:hAnsi="仿宋_GB2312" w:eastAsia="仿宋_GB2312" w:cs="仿宋_GB2312"/>
          <w:b/>
          <w:bCs/>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（一）公共厕所基本要求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1.公共厕所应按规定的时间准时免费开放：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（1）火车站或高铁站、汽车站周边和其他全天候对外开放的窗口地带以及人流量较大的区域，公厕应实行 24 小时全天候开放、全天候保洁。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（2）其它沿街公厕开放时间应实行 16 小时开放和保洁，视情况可为 5:00-21:00 或 6:00-22:00。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（3）景区、社区、商场或相关单位内部对外开放的公厕，应根据所在场所开放时间、使用需求和时令季节变化等情况，适时调整开放时间。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2.城市化区域公厕应至少按照“一厕一人”专人负责制配置公厕管理人员，在此基础上应按照 8 小时/班次要求配备公厕管理人员，即 24 小时开放的定员 3 人，16 小时开放的定员 2 人，厕位较多的应按 10 个厕位配备一名公厕管理人员。定员 2 人及以上的公厕，应同时配备男性和女性公厕管理人员，方便清洁男女厕。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3.公共厕所应按相关标准设置指示和标识标志牌：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（1）在公共厕所周边50m-200m半径内的不同方向道路上，可按照“多杆合一”要求，各设置不少于2块指向牌，优先在岔路口设置，指示距离误差不超过±20米。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（2）在厕外醒目位置公示厕所编号、开放时间，在厕内醒目位置公示厕所管理制度、类别（一、二、三类，固定式或移动式）、管理单位名称、厕管人员名称和照片、监督投诉电话、文明如厕公约等信息。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（3）厕内应设置规范、醒目的男厕、女厕、残疾人、母婴、老年人等各类标识牌，注意阶梯、小心地滑等安全提示，文明如厕、禁止吸烟等文明提示，不得使用涂写、刻画等非正规标识牌形式。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（4）除残疾人间外，应在一定数量的蹲位内设置老年扶手，并在蹲位门上设置醒目的提示标识。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4.公共厕所各类附属设施完好、整洁，做到自来水通、照明电路通、排污管道通，在清扫保洁作业时必须悬挂作业提示牌。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内管线要定时检修，并保持干净完好；内外部照明灯具、标志、洗手器具、面镜、挂衣钩、烘手机、冲水设备无损伤；化粪池窨井盖丢失或损坏应及时补充维修，确保正常使用。公共厕所维修维护时，应悬挂提示标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6.定期开展化粪池清掏、疏通作业，每个化粪池每年至少清掏二次，并根据管道堵塞情况随时开展清掏，减少化粪池内的杂物、粪渣和沼气浓度，确保无粪便外溢：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（1）由专业队伍进行清掏作业，做好必要防护措施，确保作业安全。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（2）粪便收集和运输设备应具备良好密封性，确保无滴漏、无异味外泄。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（3）粪便清理时应保持作业场地清洁、无粪污遗撒。贮（化）粪池清掏作业结束后，应盖严清掏口并及时清理场地和清掏工具。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（4）对清掏产生的粪渣进行无害化处理或回收利用，避免造成环境污染。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（5）化粪池盖上应有“内有沼气、勿扔烟头、避免明火”等安全警示标识。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7.应确保在雨雪天气下内部地面干净、防滑，并注意保持通风设施运转良好，防止恶臭气体或易燃易爆气体聚集，保障如厕人员不会因此而发生意外伤害事件。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8.公厕管理人员不得擅自接水接电，应保证内部照明设施完好和照明强度足够，并应保持管理室内通风透气，确保清扫保洁和管理人员的人身安全。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9.公厕管理人员在公厕开放时间内不得无故离岗，确有正规原因必须离岗的，应在厕内公示离岗时间，且全天一般不得超过 1 小时。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10.公厕内应设置保洁服务日志，清扫保洁、设施排查、设施维护、病媒防治、化粪池清掏等工作均做好记录，随时备查。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11.公厕不得无故关闭封停，确因施工维修、待拆迁等原因需要封闭的，应在厕外醒目位置公示关闭理由及重新开放时间。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b/>
          <w:bCs/>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（二）公共厕所清扫保洁作业要求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1.公厕管理人员应每天在公厕开放前至少 10 分钟到岗，穿戴专门工作服、佩带胸牌，检查公厕内用水、用电、排水设施，对厕内及周边环境、大小便池、纸篓和垃圾容器等部位进行一次全面清理，确保干净、整洁、有序。发现设施缺失、破损、故障、管道堵塞，应在第一时间记录、上报和处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2.公厕管理人员在每天上下班高峰时段来临前（早 7:00 前、晚 17:00前），对公厕内外责任区域进行一次全面清扫保洁。人流量较大期间，巡回保洁频次一般不超过 15 分钟；其他时段厕内巡回保洁频次一般不超过半小时，随时保持厕内外环境卫生达标。非 24 小时开放的公厕，公厕管理人员在夜间下班前应严格按照：备、冲、倒、洗、擦、拖、补、喷程序结束全天工作，关闭大门、窗户及其他通电、通水设备。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3.清扫保洁作业时，按以下流程和要求进行：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（1）设置清扫保洁作业提示标志；地面清扫保洁后，应设置防滑标志。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（2）依次涮洗便坑、马桶，做到便池无碱迹、痰迹，便器里外干净；用清洁剂刷洗面盆、云台表面，重点涮洗内侧壁，不留污渍、污迹；再把地面、蹲板积水清扫干净。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（3）用消毒液消毒面盆、马桶盖、马桶内壁，并保持马桶盖及座圈干燥卫生。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（4）用固定抹布擦拭手可触及墙、门隔板、墙上设备（应急灯、洗手液箱、烘干器等表面）。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（5）不得用水冲墙壁、窗纱和门等，应用干抹布擦拭干净，直到用手摸窗台、门窗等没有尘土为止。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（6）雨、雪天气应在厕内主要通道和阶梯处铺设防滑地毯；冬季厕内气温4℃以下时，不得用水冲洗地面及阶梯，确保地面不打滑、不积水、不结冰；在醒目位置设置“注意地滑”、“注意阶梯”等警示标语。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（7）应每天对公共厕所进行全面消毒杀菌 1 次。消杀时应对公共厕所开放区域全面喷洒消毒药剂，每天检查箱内毒饵情况，及时更新补充。有效控制各类病媒及“四害”。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4.公厕管理人员应熟练使用厕所设备，并主动向如厕人员介绍公厕设备的正确使用方法。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5.公厕管理人员进入异性厕所前，必须问清楚厕所内是否有人使用，确定厕所无人使用时，再进入清扫保洁，并在门口放置“正在作业”提示牌。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6.在清扫保洁作业进行时如有人用厕，不得把水溅洒到如厕人身上，避免与如厕人发生纠纷。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7.公厕使用中，遇有管道堵塞、粪井满溢、设施损坏（老年扶手、脚踏板、蹲坑、座盆、门窗纱、井口、井盖、井圈、厕牌、宣传牌、瓷砖等）及水电问题，应及时上报有关部门，做到当天任务当天完成并在最短时间内解决，避免影响市民如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8.应定期擦拭公厕设置的各类标牌，保持其干净、整洁；管理间的清扫保洁工具应摆放有序、干净、整洁。</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仿宋_GB2312" w:hAnsi="仿宋_GB2312" w:eastAsia="仿宋_GB2312" w:cs="仿宋_GB2312"/>
          <w:sz w:val="18"/>
          <w:szCs w:val="20"/>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（三）公共厕所清扫保洁质量要求</w:t>
      </w:r>
      <w:r>
        <w:rPr>
          <w:rFonts w:hint="eastAsia" w:ascii="楷体_GB2312" w:hAnsi="楷体_GB2312" w:eastAsia="楷体_GB2312" w:cs="楷体_GB2312"/>
          <w:b w:val="0"/>
          <w:bCs w:val="0"/>
          <w:color w:val="000000"/>
          <w:kern w:val="0"/>
          <w:sz w:val="22"/>
          <w:szCs w:val="22"/>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1.公共厕所内区域管理服务应达到以下要求：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（1）采光和通风条件应良好，按要求配置照明和排气除臭硬件设施，确保各类设施设备配置齐全、数量充足、效果良好、满足需要，厕内保持全天候无明显异味。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厕内地面、墙壁、天花板、门窗等部位，以及照明灯具、洗手台、面镜、隔板、冲水设备、灭蚊灯具、通风除臭设备及其他各类公厕硬件设施洁净且外观完好，无破损、锈迹、污垢、积尘、积水、蛛网、屎尿、废弃物，无乱涂写、乱刻画、乱张贴，无杂物乱堆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（3）大小便池及时冲洗，无屎尿等污物残留，无明显污渍污垢。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（4）纸篓和垃圾桶及时清理，无废弃物满溢。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（5）应配置厕位扶手、挂衣钩、置物架等服务设施，视条件提供厕纸、洗手液、烘手机、温水洗手、厕位引导等服务。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（6）拖把、水桶、抹布、扫把等作业工具应放置或晾晒于专门的工具间、工具架，或其他厕内外隐蔽位置，确保不影响观瞻。厕内主要通道、洗手台、厕位内不得放置作业工具和其他影响观瞻及通行的物品。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（7）基本无蚊蝇。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2.公共厕所周边 5 米以内公共区域（含花坛绿化带）的管理应达到以下要求：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（1）无垃圾、粪便、污水、污迹、杂草、蚊蝇孳生地。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（2）无杂物乱堆放、厕管人员衣物乱晾晒。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（3）保持道路清洁、畅通，贮粪池无满溢。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（4）无摆摊设点。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color w:val="333333"/>
          <w:sz w:val="18"/>
          <w:szCs w:val="20"/>
        </w:rPr>
      </w:pPr>
      <w:r>
        <w:rPr>
          <w:rFonts w:hint="eastAsia" w:ascii="黑体" w:hAnsi="黑体" w:eastAsia="黑体" w:cs="黑体"/>
          <w:i w:val="0"/>
          <w:caps w:val="0"/>
          <w:color w:val="000000"/>
          <w:spacing w:val="0"/>
          <w:kern w:val="0"/>
          <w:sz w:val="24"/>
          <w:szCs w:val="24"/>
          <w:shd w:val="clear" w:color="auto" w:fill="FFFFFF"/>
          <w:lang w:val="en-US" w:eastAsia="zh-CN" w:bidi="ar"/>
        </w:rPr>
        <w:t>五、其他环卫设施</w:t>
      </w:r>
      <w:r>
        <w:rPr>
          <w:rFonts w:hint="eastAsia" w:ascii="仿宋_GB2312" w:hAnsi="仿宋_GB2312" w:eastAsia="仿宋_GB2312" w:cs="仿宋_GB2312"/>
          <w:i w:val="0"/>
          <w:caps w:val="0"/>
          <w:color w:val="333333"/>
          <w:spacing w:val="0"/>
          <w:kern w:val="0"/>
          <w:sz w:val="21"/>
          <w:szCs w:val="21"/>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color w:val="333333"/>
          <w:sz w:val="18"/>
          <w:szCs w:val="20"/>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（一）果皮箱</w:t>
      </w:r>
      <w:r>
        <w:rPr>
          <w:rFonts w:hint="eastAsia" w:ascii="仿宋_GB2312" w:hAnsi="仿宋_GB2312" w:eastAsia="仿宋_GB2312" w:cs="仿宋_GB2312"/>
          <w:i w:val="0"/>
          <w:caps w:val="0"/>
          <w:color w:val="333333"/>
          <w:spacing w:val="0"/>
          <w:kern w:val="0"/>
          <w:sz w:val="21"/>
          <w:szCs w:val="21"/>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1.作业标准：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果皮箱内的垃圾日产日清，无满溢现象，投放口周边整洁，无垃圾悬挂；箱体周围地面无撒落存留垃圾、无陈旧油污，箱体无破损、无锈迹、无污垢、无污渍，外观干净整洁。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color w:val="333333"/>
          <w:sz w:val="18"/>
          <w:szCs w:val="20"/>
        </w:rPr>
      </w:pP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t>2.作业时间及频次：</w:t>
      </w:r>
      <w:r>
        <w:rPr>
          <w:rFonts w:hint="eastAsia" w:ascii="仿宋_GB2312" w:hAnsi="仿宋_GB2312" w:eastAsia="仿宋_GB2312" w:cs="仿宋_GB2312"/>
          <w:i w:val="0"/>
          <w:caps w:val="0"/>
          <w:color w:val="333333"/>
          <w:spacing w:val="0"/>
          <w:kern w:val="0"/>
          <w:sz w:val="21"/>
          <w:szCs w:val="21"/>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color w:val="333333"/>
          <w:sz w:val="18"/>
          <w:szCs w:val="20"/>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一、二级道路（区域）果皮箱应当每日内部清掏、外部保洁，清掏和保洁每日不少于4次，即07:00-09:00、12:00-14:00、17:00-19:00、21:00-23:00。公交站台、小饮食店、繁华商业区等人口密集区域，应增加清掏、保洁频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（2）三级道路（区域）果皮箱每日清掏和保洁不少于2次，即07:00-09:00、18:00-20:00；并根据箱体内垃圾存量随时清掏、保洁。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color w:val="333333"/>
          <w:sz w:val="18"/>
          <w:szCs w:val="20"/>
        </w:rPr>
      </w:pP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t>3.作业方式：</w:t>
      </w:r>
      <w:r>
        <w:rPr>
          <w:rFonts w:hint="eastAsia" w:ascii="仿宋_GB2312" w:hAnsi="仿宋_GB2312" w:eastAsia="仿宋_GB2312" w:cs="仿宋_GB2312"/>
          <w:i w:val="0"/>
          <w:caps w:val="0"/>
          <w:color w:val="333333"/>
          <w:spacing w:val="0"/>
          <w:kern w:val="0"/>
          <w:sz w:val="21"/>
          <w:szCs w:val="21"/>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（1）果皮箱箱门、箱体等整洁无缺损、内壁整洁、标识清晰、配置垃圾袋方便投放，箱内垃圾积存不超过投放口；箱周围地面整洁。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（2）果皮箱的内桶应套装专用垃圾袋，清掏时扎口连袋收运，禁止将零散垃圾直接倒入收集车内。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（3）收集时应将可回收垃圾与其他垃圾进行分类分拣作业，对分类不正确的垃圾，进行二次分类后再行收集。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color w:val="333333"/>
          <w:sz w:val="18"/>
          <w:szCs w:val="20"/>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（4）连袋清掏垃圾后内桶重新套装专用垃圾袋，须将重新套好垃圾袋的内桶复位并关闭箱门，再对箱体及地面进行保洁。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FF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（5）垃圾桶根据其形状、规格和尺寸，能够套袋的应套装垃圾袋，无法套袋的应将桶内及周边地面垃圾清理干净。</w:t>
      </w:r>
      <w:r>
        <w:rPr>
          <w:rFonts w:hint="eastAsia" w:ascii="仿宋_GB2312" w:hAnsi="仿宋_GB2312" w:eastAsia="仿宋_GB2312" w:cs="仿宋_GB2312"/>
          <w:i w:val="0"/>
          <w:caps w:val="0"/>
          <w:color w:val="FF0000"/>
          <w:spacing w:val="0"/>
          <w:kern w:val="0"/>
          <w:sz w:val="24"/>
          <w:szCs w:val="24"/>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i w:val="0"/>
          <w:caps w:val="0"/>
          <w:color w:val="000000"/>
          <w:spacing w:val="0"/>
          <w:kern w:val="0"/>
          <w:sz w:val="24"/>
          <w:szCs w:val="24"/>
          <w:shd w:val="clear" w:color="auto" w:fill="FFFFFF"/>
          <w:lang w:val="en-US" w:eastAsia="zh-CN" w:bidi="ar"/>
        </w:rPr>
        <w:t>（二）环卫工具箱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1.环卫工具箱保持外表完好、整洁，无破损和锈蚀，无乱涂写、乱张贴、乱刻画；箱体文字、图片、标识清晰；上表面清洁，无积尘、油迹、锈迹。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2.保洁员工具箱常用尺寸为：长2.7*宽 0.5*高0.45m，也可根据需要定制尺寸。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3.保洁员工作箱应采用膨胀螺丝固定在地面上，以防被挪移，内部设箱体，用于储存物品和工具，侧面和正面都可以做门，需采用防盗锁。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（三）环卫工人作息室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1.环卫工人休息室位置原则上应保持隐蔽，不应设置于主次干道交叉路口附近，且不应对车辆、行人通行产生影响。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2.环卫工人休息室基本功能应齐全，满足环卫工人工间休息、更衣、纳凉、就餐，以及存放扫帚、铁锹、小扫帚、撮箕、拾捡器、小铲刀等清扫保洁作业工具需求，无人使用时应保持门、窗上锁。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3.环卫工人休息室应按要求配备灭火器等防火设施，小于50平方米，配备4kg的干粉灭火器不少于1具，并根据国家标准进行定期检测，确保灭火器在有效期内。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4.无环卫工人休息室的路段，不得将工具摆放在人行道上，要将工具存放在隐蔽位置，并摆放整齐，不影响观瞻。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环卫工人休息室内外应进行定期或不定期的清理，保持其内部及周边环境整洁、有序。禁止将作业工具随意摆放在环卫工人休息室外。存放在环卫工人休息室内的作业工具应定期进行清理、清洗、整饰，保持外观完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仿宋_GB2312" w:hAnsi="仿宋_GB2312" w:eastAsia="仿宋_GB2312" w:cs="仿宋_GB2312"/>
          <w:sz w:val="18"/>
          <w:szCs w:val="20"/>
        </w:rPr>
      </w:pPr>
      <w:r>
        <w:rPr>
          <w:rFonts w:hint="eastAsia" w:ascii="黑体" w:hAnsi="黑体" w:eastAsia="黑体" w:cs="黑体"/>
          <w:b w:val="0"/>
          <w:bCs w:val="0"/>
          <w:color w:val="000000"/>
          <w:kern w:val="0"/>
          <w:sz w:val="24"/>
          <w:szCs w:val="24"/>
          <w:lang w:val="en-US" w:eastAsia="zh-CN" w:bidi="ar"/>
        </w:rPr>
        <w:t>六、环卫作业人员管理</w:t>
      </w:r>
      <w:r>
        <w:rPr>
          <w:rFonts w:hint="eastAsia" w:ascii="仿宋_GB2312" w:hAnsi="仿宋_GB2312" w:eastAsia="仿宋_GB2312" w:cs="仿宋_GB2312"/>
          <w:b/>
          <w:bCs/>
          <w:color w:val="000000"/>
          <w:kern w:val="0"/>
          <w:sz w:val="22"/>
          <w:szCs w:val="22"/>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（一）仪容仪表</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1.作业人员应统一着装，保持衣帽整齐，并佩戴工号牌，且有所属单位的明显标志、作业工种等标识。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2.作业人员着装应满足以下要求：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（1）工作帽帽沿应向正前方，不得歪戴帽。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（2）纽扣应扣齐，不得敞开外衣。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（3）非工作需要不得将衣袖、裤管卷起，作业时不得将衣服搭放在肩上。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（4）统一佩带工作牌，工作牌应佩戴在左胸襟处。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（5）非特殊情况不得穿背心、短裤、拖鞋、打赤脚作业。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（6）夜间和雾天作业时必须穿反光标志服（反光背心）；雨雪天气作业时应穿戴环卫标志雨衣，不允许打伞作业。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（二）文明作业</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1.服从领导与工作安排，相互支持、分工协作，发扬团队精神。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2.根据所辖路段的人流、车流情况，合理安排作业时间和方式，清扫机动车道中央分隔路面时要注意来往车辆，主动避开行人和车流高峰，以免发生意外。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3.上班时间不得与他人聊天，不得在岗上聚堆抽烟、吃零食；工作场合与他人同行时，不允许勾肩搭背，嬉戏打闹。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4.需要路人配合时，应使用“您好、请、对不起、让一让、谢谢”等文明用语，禁止使用“喂、走开点、让开”等命令式用语，尽量避免与路人发生矛盾。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5.清扫保洁作业时，作业人员行为要满足以下要求：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（1）认真做好各自管辖区域内的清扫保洁工作，作业期间不得坐岗、串岗、擅自离岗。特殊情况下需离岗时，应与邻近保洁员做好交接，离岗时间不得超过 10 分钟。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（2）注意行人和来往车辆，压低扫帚，不扬尘、不溅污、不扰民，礼貌待人；遇乱吐、乱扔、乱倒等不文明行为，应以文明、礼貌用语提醒劝阻。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（3）晨扫作业时，不得大声喧哗，以免影响居民休息。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（4）完工后，应将工具堆放整齐、冲洗污水处理干净，不对行人、周边环境和市民生活造成影响。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6.机械作业时，作业人员行为应达到以下要求：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（1）文明行车，严格遵守冲、洒水规范，遇行人密集处要减速慢行，控制音量，减少扰民。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（2）夜间收集垃圾时，应对作业车辆做到轻停放、轻开关门、轻上垃圾，尽量减少噪音。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（3）垃圾收集类车辆应外观干净整洁，不得有明显污渍、牵挂物，停放时应与道路呈平行方向；装载垃圾作业时，应避让行人视线。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7.公厕清扫保洁时，应避让来宾，尊重宾客的隐私，严禁与如厕人发生争吵。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8.发现求助信号时，应及时给予帮助，并协助相关人员处理善后事宜。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9.必须服从各级管理人员的管理，不得殴打、辱骂管理人员。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黑体" w:hAnsi="黑体" w:eastAsia="黑体" w:cs="黑体"/>
          <w:i w:val="0"/>
          <w:caps w:val="0"/>
          <w:color w:val="000000"/>
          <w:spacing w:val="0"/>
          <w:kern w:val="0"/>
          <w:sz w:val="24"/>
          <w:szCs w:val="24"/>
          <w:shd w:val="clear" w:color="auto" w:fill="FFFFFF"/>
          <w:lang w:val="en-US" w:eastAsia="zh-CN" w:bidi="ar"/>
        </w:rPr>
        <w:t>七、重大节假日、大型活动环卫应急保障</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i w:val="0"/>
          <w:caps w:val="0"/>
          <w:color w:val="000000"/>
          <w:spacing w:val="0"/>
          <w:kern w:val="0"/>
          <w:sz w:val="24"/>
          <w:szCs w:val="24"/>
          <w:shd w:val="clear" w:color="auto" w:fill="FFFFFF"/>
          <w:lang w:val="en-US" w:eastAsia="zh-CN" w:bidi="ar"/>
        </w:rPr>
        <w:t>（一）重大节假日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主要是指国家规定的政治生活或民俗生活中的社会喜庆、休息（闲）的非工作日或非工作时段，如国庆节、五一国际劳动节、元旦、春节、元宵节、端午节、中秋节、清明节等。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i w:val="0"/>
          <w:caps w:val="0"/>
          <w:color w:val="000000"/>
          <w:spacing w:val="0"/>
          <w:kern w:val="0"/>
          <w:sz w:val="24"/>
          <w:szCs w:val="24"/>
          <w:shd w:val="clear" w:color="auto" w:fill="FFFFFF"/>
          <w:lang w:val="en-US" w:eastAsia="zh-CN" w:bidi="ar"/>
        </w:rPr>
        <w:t>（二）进一步提高重点时段、重点地带的作业质量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1.主次干道全天候保持无暴露垃圾，保洁质量良好；无明显灰带，无渣土污染；容器清洁，随满随清；作业车辆整洁。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2.背街小巷内无暴露垃圾，垃圾点及时清运，保洁质量良好，容器整洁。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3.主次干道两侧公厕全天候管理人员值守，随时清洗，保持内外卫生整洁。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4.重大节假日道路环境保障按以下工作流程进行：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（1）普扫完成以后，进入全天候动态保洁阶段；洗扫车全天候于立交桥、主干道上作业；保洁人员不间断满覆盖作业；清运车辆高频率运转，保持随产随清。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（2）在非冬季节日里，洒水车上、下午各喷洒主干道一次。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（3）遇突发污染，高压冲洗车与人工配合及时清洗。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（4）公厕由值守管理人员动态清洁，保持厕内外卫生整洁。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（5）每个节假日之前，各责任单位对各自的作业车辆、容器进行一次彻底的清洗。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5.重大节假日道路环境保障应达到以下要求：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（1）增加保洁作业人员、清运车辆及技术人员配备，增加白天洗扫车或高压冲洗车值班作业，确保节日保障效果。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（2）各保障单位应组织节日应急保障队伍（以正常工作人员的10%配备），保持车辆及设备状况良好，以保证应对突发情况。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（3）公共厕所管理部门还应配备技术人员、作业车辆及相关设备，确保公共厕所正常使用，在人流密集区域，增加移动公厕数量。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（4）繁华路段、行人高峰时段、居民密集区实行重点保障，确保关键环节与薄弱环节环境卫生管理质量达标。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（5）各责任单位领导要带头值班、带班，电台或其他通讯设施通畅，做好全程合理调度与机动应急处理。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黑体" w:hAnsi="黑体" w:eastAsia="黑体" w:cs="黑体"/>
          <w:i w:val="0"/>
          <w:caps w:val="0"/>
          <w:color w:val="000000"/>
          <w:spacing w:val="0"/>
          <w:kern w:val="0"/>
          <w:sz w:val="24"/>
          <w:szCs w:val="24"/>
          <w:shd w:val="clear" w:color="auto" w:fill="FFFFFF"/>
          <w:lang w:val="en-US" w:eastAsia="zh-CN" w:bidi="ar"/>
        </w:rPr>
        <w:t>八、重大自然灾害及特殊天气环卫应急保障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i w:val="0"/>
          <w:caps w:val="0"/>
          <w:color w:val="000000"/>
          <w:spacing w:val="0"/>
          <w:kern w:val="0"/>
          <w:sz w:val="24"/>
          <w:szCs w:val="24"/>
          <w:shd w:val="clear" w:color="auto" w:fill="FFFFFF"/>
          <w:lang w:val="en-US" w:eastAsia="zh-CN" w:bidi="ar"/>
        </w:rPr>
        <w:t>（一）地震受灾环卫公厕应急保障作业基本要求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1.及时对公共厕所和化粪池进行逐个检查，彻底清扫、消毒、清掏粪液，防止粪便持续渗漏及外溢，污染环境和水源。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在公共厕所严重受损及污水管网、粪便排放与处理设施不完善，或者严重受损的地区，以及在灾民聚集点，选择合适地点、合理布局，搭建临时公共厕所，并每日对厕所内部四壁、地面、便器等用10%漂白粉溶液喷洒消毒，同时喷洒灭蚊蝇药物，保持厕所内清洁卫生、无蛆蝇孳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按收运距离每50-70km配备1辆收运车进行粪便清运。粪便清运工具每日完成作业后，应进行冲洗和消毒处理。清运的粪便优先进入无害化处理设施或临时应急处理设施处置，并达到基本杀灭粪便中的病原菌和寄生虫卵的要求，避免居民区空气、土壤、水源的污染。粪便清运人员工作时穿隔离衣裤、长筒胶鞋，戴手套、口罩，并应对个人防护用品进行定期消毒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i w:val="0"/>
          <w:caps w:val="0"/>
          <w:color w:val="000000"/>
          <w:spacing w:val="0"/>
          <w:kern w:val="0"/>
          <w:sz w:val="24"/>
          <w:szCs w:val="24"/>
          <w:shd w:val="clear" w:color="auto" w:fill="FFFFFF"/>
          <w:lang w:val="en-US" w:eastAsia="zh-CN" w:bidi="ar"/>
        </w:rPr>
        <w:t>（二）暴雨洪水环卫作业应急保障基本要求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1.参与西安市政府组织的抗洪救灾工作，做好环境卫生紧急整治和控管工作。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2.暴雨过后，及时清除马路上的积水、淤泥、残渣、漂浮物等，垃圾车要加速加班转运，保证垃圾不在市内过夜。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3.遇到特大暴雨洪水灾害时，环卫工人要及时清除紧急避难场所及周边的垃圾，并配合做好防疫消毒工作。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4.洪灾过后，环卫工人应及时清理干净市民撤离后遗留的生活垃圾，做好环境卫生工作。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i w:val="0"/>
          <w:caps w:val="0"/>
          <w:color w:val="000000"/>
          <w:spacing w:val="0"/>
          <w:kern w:val="0"/>
          <w:sz w:val="24"/>
          <w:szCs w:val="24"/>
          <w:shd w:val="clear" w:color="auto" w:fill="FFFFFF"/>
          <w:lang w:val="en-US" w:eastAsia="zh-CN" w:bidi="ar"/>
        </w:rPr>
        <w:t>（三）大雾天气环卫应急保障作业基本要求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1.建立预警机制，提前掌握天气预报信息，做好安全防范与应急的各项准备工作。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2.清扫保洁作业时间段内出现大雾天气，只对人行道进行清扫保洁，待大雾散后再对车行道实施清扫保洁。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3.环卫工人应着反光标志服上岗，严禁在机动车道上作业；雾散后，在机动车道上作业应采取安全防护措施（安全警示牌、专人疏导车辆维护现场）。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i w:val="0"/>
          <w:caps w:val="0"/>
          <w:color w:val="000000"/>
          <w:spacing w:val="0"/>
          <w:kern w:val="0"/>
          <w:sz w:val="24"/>
          <w:szCs w:val="24"/>
          <w:shd w:val="clear" w:color="auto" w:fill="FFFFFF"/>
          <w:lang w:val="en-US" w:eastAsia="zh-CN" w:bidi="ar"/>
        </w:rPr>
        <w:t>（四）大风天气应急环卫作业保障基本要求</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1.道路路面在秋冬大风季节会出现大面积、大量落叶与扬尘等，应及时进行清除。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2.进入秋季后，各环卫作业单位指定专人密切关注天气变化，提前做好应急人员及车辆的安排、部署。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3.重大活动、灾害性天气的落叶处置实行市城管部门总体调度，其他情况下由各区城管部门或保洁企业负责人现场调度。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sz w:val="18"/>
          <w:szCs w:val="20"/>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4.采取洗扫车或吸尘车为主、人工为辅的作业办法清除落叶。遇有重大保障活动，应提前 1 小时完成清除落叶工作；遇有一般性保障活动，应提前半小时完成清除落叶工作。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i w:val="0"/>
          <w:caps w:val="0"/>
          <w:color w:val="000000"/>
          <w:spacing w:val="0"/>
          <w:kern w:val="0"/>
          <w:sz w:val="24"/>
          <w:szCs w:val="24"/>
          <w:shd w:val="clear" w:color="auto" w:fill="FFFFFF"/>
          <w:lang w:val="en-US" w:eastAsia="zh-CN" w:bidi="ar"/>
        </w:rPr>
        <w:t>（五）道路扫雪除冰应急保障基本要求</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1.入冬前应根据有关规定，做好扫雪除冰的技术准备工作和应急预案，建立扫雪除冰作业指挥调度、网络系统，实行信息化管理，做好扫雪除冰机械设备的维修、保养和调试，机械设备完好率应大于90%。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2.根据道路的重要程度、交通流量、地理位置编排设计作业程序，并应以机械作业为主、人工作业为辅，合理使用环保型融雪剂，保护环境。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3.雨加雪时，应采用直接清扫的方法，将路面积雪、积水清扫干净，避免路面结冰。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4.扫雪除冰作业应做好行人、车辆的疏导和安全工作，作业人员应穿警示防护服。临时占道扫雪除冰作业时，应在作业路段设置符合交通标志要求的警示标志。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5.环保型融雪剂的选择与使用应达到以下要求：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（1）重要交通枢纽（含立交桥、高架桥和坡道）根据雪情预报，在降雪前、初时撒（洒）少量环保型融雪剂。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（2）环保型融雪剂使用时，应根据环境温度、积雪量选择种类，并严格控制施撒（洒）量。气温高于-5℃时，下雪前在引桥、立交桥等有坡度的道路上预施撒（洒）颗粒状环保型融雪剂的剂量不应大于10g/</w:t>
      </w:r>
      <w:r>
        <w:rPr>
          <w:rFonts w:hint="eastAsia" w:ascii="仿宋_GB2312" w:hAnsi="仿宋_GB2312" w:eastAsia="仿宋_GB2312" w:cs="仿宋_GB2312"/>
          <w:i w:val="0"/>
          <w:caps w:val="0"/>
          <w:color w:val="000000"/>
          <w:spacing w:val="0"/>
          <w:kern w:val="0"/>
          <w:sz w:val="22"/>
          <w:szCs w:val="22"/>
          <w:shd w:val="clear" w:color="auto" w:fill="FFFFFF"/>
          <w:lang w:val="en-US" w:eastAsia="zh-CN" w:bidi="ar"/>
        </w:rPr>
        <w:t>㎡</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中雪、大雪应先进行积雪清除，再根据路面剩余雪量，按规定使用量施撒（洒）环保型融雪剂；零星小雪和路面薄冰，可采取直接施撒（洒）环保型融雪剂的方式作业，人行便道交通设施不应使用氯化物类融雪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（3）不含融雪剂的积雪，因地制宜就地处理；含有融雪剂的积雪，应单独收集、运输和处理，不应堆放在绿地、绿化带中。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楷体_GB2312" w:hAnsi="楷体_GB2312" w:eastAsia="楷体_GB2312" w:cs="楷体_GB2312"/>
          <w:sz w:val="24"/>
          <w:szCs w:val="24"/>
          <w:lang w:val="en-US" w:eastAsia="zh-CN"/>
        </w:rPr>
        <w:t>（六）</w:t>
      </w:r>
      <w:r>
        <w:rPr>
          <w:rFonts w:hint="eastAsia" w:ascii="楷体_GB2312" w:hAnsi="楷体_GB2312" w:eastAsia="楷体_GB2312" w:cs="楷体_GB2312"/>
          <w:sz w:val="24"/>
          <w:szCs w:val="24"/>
        </w:rPr>
        <w:t>泥土撒漏和路面污染</w:t>
      </w:r>
      <w:r>
        <w:rPr>
          <w:rFonts w:hint="eastAsia" w:ascii="楷体_GB2312" w:hAnsi="楷体_GB2312" w:eastAsia="楷体_GB2312" w:cs="楷体_GB2312"/>
          <w:sz w:val="24"/>
          <w:szCs w:val="24"/>
          <w:lang w:val="en-US" w:eastAsia="zh-CN"/>
        </w:rPr>
        <w:t>应急保障基本要求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一旦发现泥土撒漏或路面污染，</w:t>
      </w:r>
      <w:r>
        <w:rPr>
          <w:rFonts w:hint="eastAsia" w:ascii="仿宋_GB2312" w:hAnsi="仿宋_GB2312" w:eastAsia="仿宋_GB2312" w:cs="仿宋_GB2312"/>
          <w:sz w:val="24"/>
          <w:szCs w:val="24"/>
          <w:lang w:val="en-US" w:eastAsia="zh-CN"/>
        </w:rPr>
        <w:t>道路环卫保洁责任单位</w:t>
      </w:r>
      <w:r>
        <w:rPr>
          <w:rFonts w:hint="eastAsia" w:ascii="仿宋_GB2312" w:hAnsi="仿宋_GB2312" w:eastAsia="仿宋_GB2312" w:cs="仿宋_GB2312"/>
          <w:sz w:val="24"/>
          <w:szCs w:val="24"/>
        </w:rPr>
        <w:t>要迅速响应，及时采取行动。</w:t>
      </w:r>
      <w:r>
        <w:rPr>
          <w:rFonts w:hint="eastAsia" w:ascii="仿宋_GB2312" w:hAnsi="仿宋_GB2312" w:eastAsia="仿宋_GB2312" w:cs="仿宋_GB2312"/>
          <w:sz w:val="24"/>
          <w:szCs w:val="24"/>
          <w:lang w:val="en-US" w:eastAsia="zh-CN"/>
        </w:rPr>
        <w:t>保洁</w:t>
      </w:r>
      <w:r>
        <w:rPr>
          <w:rFonts w:hint="eastAsia" w:ascii="仿宋_GB2312" w:hAnsi="仿宋_GB2312" w:eastAsia="仿宋_GB2312" w:cs="仿宋_GB2312"/>
          <w:sz w:val="24"/>
          <w:szCs w:val="24"/>
        </w:rPr>
        <w:t>人员能够快速赶到现场，开始清扫工作。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在进行泥土撒漏和路面污染清扫时，需要确保人员的安全。</w:t>
      </w:r>
      <w:r>
        <w:rPr>
          <w:rFonts w:hint="eastAsia" w:ascii="仿宋_GB2312" w:hAnsi="仿宋_GB2312" w:eastAsia="仿宋_GB2312" w:cs="仿宋_GB2312"/>
          <w:sz w:val="24"/>
          <w:szCs w:val="24"/>
          <w:lang w:val="en-US" w:eastAsia="zh-CN"/>
        </w:rPr>
        <w:t>保洁</w:t>
      </w:r>
      <w:r>
        <w:rPr>
          <w:rFonts w:hint="eastAsia" w:ascii="仿宋_GB2312" w:hAnsi="仿宋_GB2312" w:eastAsia="仿宋_GB2312" w:cs="仿宋_GB2312"/>
          <w:sz w:val="24"/>
          <w:szCs w:val="24"/>
        </w:rPr>
        <w:t>人员需要佩戴必要的个人防护装备，如手套、口罩</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并</w:t>
      </w:r>
      <w:r>
        <w:rPr>
          <w:rFonts w:hint="eastAsia" w:ascii="仿宋_GB2312" w:hAnsi="仿宋_GB2312" w:eastAsia="仿宋_GB2312" w:cs="仿宋_GB2312"/>
          <w:sz w:val="24"/>
          <w:szCs w:val="24"/>
        </w:rPr>
        <w:t>根据工作区域的大小和形状来确定摆放锥形桶的位置</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确保锥形桶能够清晰标示出工作区域的范围，以提醒车辆注意避让。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清扫泥土撒漏和路面污染</w:t>
      </w:r>
      <w:r>
        <w:rPr>
          <w:rFonts w:hint="eastAsia" w:ascii="仿宋_GB2312" w:hAnsi="仿宋_GB2312" w:eastAsia="仿宋_GB2312" w:cs="仿宋_GB2312"/>
          <w:sz w:val="24"/>
          <w:szCs w:val="24"/>
          <w:lang w:val="en-US" w:eastAsia="zh-CN"/>
        </w:rPr>
        <w:t>时，</w:t>
      </w:r>
      <w:r>
        <w:rPr>
          <w:rFonts w:hint="eastAsia" w:ascii="仿宋_GB2312" w:hAnsi="仿宋_GB2312" w:eastAsia="仿宋_GB2312" w:cs="仿宋_GB2312"/>
          <w:sz w:val="24"/>
          <w:szCs w:val="24"/>
        </w:rPr>
        <w:t>需要使用专业的工具和设备，如</w:t>
      </w:r>
      <w:r>
        <w:rPr>
          <w:rFonts w:hint="eastAsia" w:ascii="仿宋_GB2312" w:hAnsi="仿宋_GB2312" w:eastAsia="仿宋_GB2312" w:cs="仿宋_GB2312"/>
          <w:sz w:val="24"/>
          <w:szCs w:val="24"/>
          <w:lang w:val="en-US" w:eastAsia="zh-CN"/>
        </w:rPr>
        <w:t>大</w:t>
      </w:r>
      <w:r>
        <w:rPr>
          <w:rFonts w:hint="eastAsia" w:ascii="仿宋_GB2312" w:hAnsi="仿宋_GB2312" w:eastAsia="仿宋_GB2312" w:cs="仿宋_GB2312"/>
          <w:sz w:val="24"/>
          <w:szCs w:val="24"/>
        </w:rPr>
        <w:t>扫帚、铲子、高压水枪等。</w:t>
      </w:r>
      <w:r>
        <w:rPr>
          <w:rFonts w:hint="eastAsia" w:ascii="仿宋_GB2312" w:hAnsi="仿宋_GB2312" w:eastAsia="仿宋_GB2312" w:cs="仿宋_GB2312"/>
          <w:sz w:val="24"/>
          <w:szCs w:val="24"/>
          <w:lang w:val="en-US" w:eastAsia="zh-CN"/>
        </w:rPr>
        <w:t>日常保养时</w:t>
      </w:r>
      <w:r>
        <w:rPr>
          <w:rFonts w:hint="eastAsia" w:ascii="仿宋_GB2312" w:hAnsi="仿宋_GB2312" w:eastAsia="仿宋_GB2312" w:cs="仿宋_GB2312"/>
          <w:sz w:val="24"/>
          <w:szCs w:val="24"/>
        </w:rPr>
        <w:t>需要确保这些工具和设备的良好工作状态。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废物处置：在清扫过程中产生的泥土和污染物需要妥善处理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道路环卫保洁责任单位应</w:t>
      </w:r>
      <w:r>
        <w:rPr>
          <w:rFonts w:hint="eastAsia" w:ascii="仿宋_GB2312" w:hAnsi="仿宋_GB2312" w:eastAsia="仿宋_GB2312" w:cs="仿宋_GB2312"/>
          <w:sz w:val="24"/>
          <w:szCs w:val="24"/>
        </w:rPr>
        <w:t>设立合适的废物处置点，并确保废物得到正确的处理。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参考文献：</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aps w:val="0"/>
          <w:color w:val="000000"/>
          <w:spacing w:val="0"/>
          <w:sz w:val="24"/>
          <w:szCs w:val="24"/>
          <w:shd w:val="clear" w:color="auto" w:fill="FFFFFF"/>
          <w:lang w:eastAsia="zh-CN"/>
        </w:rPr>
        <w:t>《市容环卫工程项目规范》</w:t>
      </w:r>
      <w:r>
        <w:rPr>
          <w:rFonts w:hint="eastAsia" w:ascii="仿宋_GB2312" w:hAnsi="仿宋_GB2312" w:eastAsia="仿宋_GB2312" w:cs="仿宋_GB2312"/>
          <w:i w:val="0"/>
          <w:caps w:val="0"/>
          <w:color w:val="000000"/>
          <w:spacing w:val="0"/>
          <w:sz w:val="24"/>
          <w:szCs w:val="24"/>
          <w:shd w:val="clear" w:color="auto" w:fill="FFFFFF"/>
          <w:lang w:val="en-US" w:eastAsia="zh-CN"/>
        </w:rPr>
        <w:t>GB 55013-2021</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《城市公厕卫生标准》GB 17217-1998 </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《生活垃圾分类标志》GB/T 19095-2019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《城镇市容环境卫生劳动定额》HLD47-101-2008</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i w:val="0"/>
          <w:caps w:val="0"/>
          <w:color w:val="000000"/>
          <w:spacing w:val="0"/>
          <w:sz w:val="24"/>
          <w:szCs w:val="24"/>
          <w:shd w:val="clear" w:color="auto" w:fill="FFFFFF"/>
        </w:rPr>
      </w:pPr>
      <w:r>
        <w:rPr>
          <w:rFonts w:hint="eastAsia" w:ascii="仿宋_GB2312" w:hAnsi="仿宋_GB2312" w:eastAsia="仿宋_GB2312" w:cs="仿宋_GB2312"/>
          <w:sz w:val="24"/>
          <w:szCs w:val="24"/>
          <w:lang w:val="en-US" w:eastAsia="zh-CN"/>
        </w:rPr>
        <w:t>《城市市容市貌干净整洁有序安全标准（试行）》（2020）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aps w:val="0"/>
          <w:color w:val="000000"/>
          <w:spacing w:val="0"/>
          <w:sz w:val="24"/>
          <w:szCs w:val="24"/>
          <w:shd w:val="clear" w:color="auto" w:fill="FFFFFF"/>
        </w:rPr>
        <w:t>《城市道路清扫保洁质量与评价标准</w:t>
      </w:r>
      <w:r>
        <w:rPr>
          <w:rFonts w:hint="eastAsia" w:ascii="仿宋_GB2312" w:hAnsi="仿宋_GB2312" w:eastAsia="仿宋_GB2312" w:cs="仿宋_GB2312"/>
          <w:i w:val="0"/>
          <w:caps w:val="0"/>
          <w:color w:val="000000"/>
          <w:spacing w:val="0"/>
          <w:sz w:val="24"/>
          <w:szCs w:val="24"/>
          <w:shd w:val="clear" w:color="auto" w:fill="FFFFFF"/>
          <w:lang w:eastAsia="zh-CN"/>
        </w:rPr>
        <w:t>》</w:t>
      </w:r>
      <w:r>
        <w:rPr>
          <w:rFonts w:hint="eastAsia" w:ascii="仿宋_GB2312" w:hAnsi="仿宋_GB2312" w:eastAsia="仿宋_GB2312" w:cs="仿宋_GB2312"/>
          <w:i w:val="0"/>
          <w:caps w:val="0"/>
          <w:color w:val="000000"/>
          <w:spacing w:val="0"/>
          <w:sz w:val="24"/>
          <w:szCs w:val="24"/>
          <w:shd w:val="clear" w:color="auto" w:fill="FFFFFF"/>
          <w:lang w:val="en-US" w:eastAsia="zh-CN"/>
        </w:rPr>
        <w:t>CJJ/T126-2022</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《城镇环境卫生设施设置标准》CJJ27-2012</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《城市公共厕所设计标准》CJJ14-2016</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aps w:val="0"/>
          <w:color w:val="000000"/>
          <w:spacing w:val="0"/>
          <w:sz w:val="24"/>
          <w:szCs w:val="24"/>
          <w:shd w:val="clear" w:color="auto" w:fill="FFFFFF"/>
          <w:lang w:eastAsia="zh-CN"/>
        </w:rPr>
        <w:t>《西安市</w:t>
      </w:r>
      <w:r>
        <w:rPr>
          <w:rFonts w:hint="eastAsia" w:ascii="仿宋_GB2312" w:hAnsi="仿宋_GB2312" w:eastAsia="仿宋_GB2312" w:cs="仿宋_GB2312"/>
          <w:i w:val="0"/>
          <w:caps w:val="0"/>
          <w:color w:val="000000"/>
          <w:spacing w:val="0"/>
          <w:sz w:val="24"/>
          <w:szCs w:val="24"/>
          <w:shd w:val="clear" w:color="auto" w:fill="FFFFFF"/>
        </w:rPr>
        <w:t>城市道路清扫保洁技术规范</w:t>
      </w:r>
      <w:r>
        <w:rPr>
          <w:rFonts w:hint="eastAsia" w:ascii="仿宋_GB2312" w:hAnsi="仿宋_GB2312" w:eastAsia="仿宋_GB2312" w:cs="仿宋_GB2312"/>
          <w:i w:val="0"/>
          <w:caps w:val="0"/>
          <w:color w:val="000000"/>
          <w:spacing w:val="0"/>
          <w:sz w:val="24"/>
          <w:szCs w:val="24"/>
          <w:shd w:val="clear" w:color="auto" w:fill="FFFFFF"/>
          <w:lang w:eastAsia="zh-CN"/>
        </w:rPr>
        <w:t>》</w:t>
      </w:r>
      <w:r>
        <w:rPr>
          <w:rFonts w:hint="eastAsia" w:ascii="仿宋_GB2312" w:hAnsi="仿宋_GB2312" w:eastAsia="仿宋_GB2312" w:cs="仿宋_GB2312"/>
          <w:i w:val="0"/>
          <w:caps w:val="0"/>
          <w:color w:val="000000"/>
          <w:spacing w:val="0"/>
          <w:sz w:val="24"/>
          <w:szCs w:val="24"/>
          <w:shd w:val="clear" w:color="auto" w:fill="FFFFFF"/>
          <w:lang w:val="en-US" w:eastAsia="zh-CN"/>
        </w:rPr>
        <w:t>DB6101</w:t>
      </w:r>
      <w:r>
        <w:rPr>
          <w:rFonts w:hint="eastAsia" w:ascii="仿宋_GB2312" w:hAnsi="仿宋_GB2312" w:eastAsia="仿宋_GB2312" w:cs="仿宋_GB2312"/>
          <w:i w:val="0"/>
          <w:caps w:val="0"/>
          <w:color w:val="000000"/>
          <w:spacing w:val="0"/>
          <w:sz w:val="24"/>
          <w:szCs w:val="24"/>
          <w:shd w:val="clear" w:color="auto" w:fill="FFFFFF"/>
          <w:lang w:val="en" w:eastAsia="zh-CN"/>
        </w:rPr>
        <w:t>/</w:t>
      </w:r>
      <w:r>
        <w:rPr>
          <w:rFonts w:hint="eastAsia" w:ascii="仿宋_GB2312" w:hAnsi="仿宋_GB2312" w:eastAsia="仿宋_GB2312" w:cs="仿宋_GB2312"/>
          <w:i w:val="0"/>
          <w:caps w:val="0"/>
          <w:color w:val="000000"/>
          <w:spacing w:val="0"/>
          <w:sz w:val="24"/>
          <w:szCs w:val="24"/>
          <w:shd w:val="clear" w:color="auto" w:fill="FFFFFF"/>
          <w:lang w:val="en-US" w:eastAsia="zh-CN"/>
        </w:rPr>
        <w:t>T 3057-2019</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aps w:val="0"/>
          <w:color w:val="000000"/>
          <w:spacing w:val="0"/>
          <w:sz w:val="24"/>
          <w:szCs w:val="24"/>
          <w:shd w:val="clear" w:color="auto" w:fill="FFFFFF"/>
        </w:rPr>
        <w:t>《</w:t>
      </w:r>
      <w:r>
        <w:rPr>
          <w:rFonts w:hint="eastAsia" w:ascii="仿宋_GB2312" w:hAnsi="仿宋_GB2312" w:eastAsia="仿宋_GB2312" w:cs="仿宋_GB2312"/>
          <w:i w:val="0"/>
          <w:caps w:val="0"/>
          <w:color w:val="000000"/>
          <w:spacing w:val="0"/>
          <w:sz w:val="24"/>
          <w:szCs w:val="24"/>
          <w:shd w:val="clear" w:color="auto" w:fill="FFFFFF"/>
          <w:lang w:val="en-US" w:eastAsia="zh-CN"/>
        </w:rPr>
        <w:t>陕西省</w:t>
      </w:r>
      <w:r>
        <w:rPr>
          <w:rFonts w:hint="eastAsia" w:ascii="仿宋_GB2312" w:hAnsi="仿宋_GB2312" w:eastAsia="仿宋_GB2312" w:cs="仿宋_GB2312"/>
          <w:i w:val="0"/>
          <w:caps w:val="0"/>
          <w:color w:val="000000"/>
          <w:spacing w:val="0"/>
          <w:sz w:val="24"/>
          <w:szCs w:val="24"/>
          <w:shd w:val="clear" w:color="auto" w:fill="FFFFFF"/>
        </w:rPr>
        <w:t>城市市容环境卫生条例》</w:t>
      </w:r>
      <w:r>
        <w:rPr>
          <w:rFonts w:hint="eastAsia" w:ascii="仿宋_GB2312" w:hAnsi="仿宋_GB2312" w:eastAsia="仿宋_GB2312" w:cs="仿宋_GB2312"/>
          <w:i w:val="0"/>
          <w:caps w:val="0"/>
          <w:color w:val="000000"/>
          <w:spacing w:val="0"/>
          <w:sz w:val="24"/>
          <w:szCs w:val="24"/>
          <w:shd w:val="clear" w:color="auto" w:fill="FFFFFF"/>
          <w:lang w:eastAsia="zh-CN"/>
        </w:rPr>
        <w:t>（</w:t>
      </w:r>
      <w:r>
        <w:rPr>
          <w:rFonts w:hint="eastAsia" w:ascii="仿宋_GB2312" w:hAnsi="仿宋_GB2312" w:eastAsia="仿宋_GB2312" w:cs="仿宋_GB2312"/>
          <w:i w:val="0"/>
          <w:caps w:val="0"/>
          <w:color w:val="000000"/>
          <w:spacing w:val="0"/>
          <w:sz w:val="24"/>
          <w:szCs w:val="24"/>
          <w:shd w:val="clear" w:color="auto" w:fill="FFFFFF"/>
          <w:lang w:val="en-US" w:eastAsia="zh-CN"/>
        </w:rPr>
        <w:t>2010修订</w:t>
      </w:r>
      <w:r>
        <w:rPr>
          <w:rFonts w:hint="eastAsia" w:ascii="仿宋_GB2312" w:hAnsi="仿宋_GB2312" w:eastAsia="仿宋_GB2312" w:cs="仿宋_GB2312"/>
          <w:i w:val="0"/>
          <w:caps w:val="0"/>
          <w:color w:val="000000"/>
          <w:spacing w:val="0"/>
          <w:sz w:val="24"/>
          <w:szCs w:val="24"/>
          <w:shd w:val="clear" w:color="auto" w:fill="FFFFFF"/>
          <w:lang w:eastAsia="zh-CN"/>
        </w:rPr>
        <w:t>）</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i w:val="0"/>
          <w:caps w:val="0"/>
          <w:color w:val="000000"/>
          <w:spacing w:val="0"/>
          <w:sz w:val="24"/>
          <w:szCs w:val="24"/>
          <w:shd w:val="clear" w:color="auto" w:fill="FFFFFF"/>
        </w:rPr>
        <w:t>《西安市城市市容和环境卫生管理条例》</w:t>
      </w:r>
      <w:r>
        <w:rPr>
          <w:rFonts w:hint="eastAsia" w:ascii="仿宋_GB2312" w:hAnsi="仿宋_GB2312" w:eastAsia="仿宋_GB2312" w:cs="仿宋_GB2312"/>
          <w:i w:val="0"/>
          <w:caps w:val="0"/>
          <w:color w:val="000000"/>
          <w:spacing w:val="0"/>
          <w:sz w:val="24"/>
          <w:szCs w:val="24"/>
          <w:shd w:val="clear" w:color="auto" w:fill="FFFFFF"/>
          <w:lang w:eastAsia="zh-CN"/>
        </w:rPr>
        <w:t>（</w:t>
      </w:r>
      <w:r>
        <w:rPr>
          <w:rFonts w:hint="eastAsia" w:ascii="仿宋_GB2312" w:hAnsi="仿宋_GB2312" w:eastAsia="仿宋_GB2312" w:cs="仿宋_GB2312"/>
          <w:i w:val="0"/>
          <w:caps w:val="0"/>
          <w:color w:val="000000"/>
          <w:spacing w:val="0"/>
          <w:sz w:val="24"/>
          <w:szCs w:val="24"/>
          <w:shd w:val="clear" w:color="auto" w:fill="FFFFFF"/>
          <w:lang w:val="en-US" w:eastAsia="zh-CN"/>
        </w:rPr>
        <w:t>2017修正</w:t>
      </w:r>
      <w:r>
        <w:rPr>
          <w:rFonts w:hint="eastAsia" w:ascii="仿宋_GB2312" w:hAnsi="仿宋_GB2312" w:eastAsia="仿宋_GB2312" w:cs="仿宋_GB2312"/>
          <w:i w:val="0"/>
          <w:caps w:val="0"/>
          <w:color w:val="000000"/>
          <w:spacing w:val="0"/>
          <w:sz w:val="24"/>
          <w:szCs w:val="24"/>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《西安市生活垃圾分类管理办法》（2019）</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《全市城市家具整治提升工作方案》市政办函〔2019〕39号 </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p>
    <w:tbl>
      <w:tblPr>
        <w:tblStyle w:val="25"/>
        <w:tblW w:w="832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16"/>
        <w:gridCol w:w="76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322" w:type="dxa"/>
            <w:gridSpan w:val="2"/>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color w:val="333333"/>
                <w:sz w:val="20"/>
                <w:szCs w:val="21"/>
              </w:rPr>
            </w:pPr>
            <w:r>
              <w:rPr>
                <w:rFonts w:hint="eastAsia" w:ascii="仿宋_GB2312" w:hAnsi="Calibri" w:eastAsia="仿宋_GB2312" w:cs="仿宋_GB2312"/>
                <w:color w:val="000000"/>
                <w:kern w:val="0"/>
                <w:sz w:val="24"/>
                <w:szCs w:val="24"/>
                <w:lang w:val="en-US" w:eastAsia="zh-CN" w:bidi="ar"/>
              </w:rPr>
              <w:t>西安</w:t>
            </w:r>
            <w:r>
              <w:rPr>
                <w:rFonts w:hint="default" w:ascii="仿宋_GB2312" w:hAnsi="Calibri" w:eastAsia="仿宋_GB2312" w:cs="仿宋_GB2312"/>
                <w:color w:val="000000"/>
                <w:kern w:val="0"/>
                <w:sz w:val="24"/>
                <w:szCs w:val="24"/>
                <w:lang w:val="en-US" w:eastAsia="zh-CN" w:bidi="ar"/>
              </w:rPr>
              <w:t>市环卫清扫保洁道路等级划分表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16"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333333"/>
                <w:sz w:val="20"/>
                <w:szCs w:val="21"/>
              </w:rPr>
            </w:pPr>
            <w:r>
              <w:rPr>
                <w:rFonts w:hint="default" w:ascii="仿宋_GB2312" w:hAnsi="Calibri" w:eastAsia="仿宋_GB2312" w:cs="仿宋_GB2312"/>
                <w:color w:val="000000"/>
                <w:kern w:val="0"/>
                <w:sz w:val="24"/>
                <w:szCs w:val="24"/>
                <w:lang w:val="en-US" w:eastAsia="zh-CN" w:bidi="ar"/>
              </w:rPr>
              <w:t>道路等级</w:t>
            </w:r>
          </w:p>
        </w:tc>
        <w:tc>
          <w:tcPr>
            <w:tcW w:w="7606"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333333"/>
                <w:sz w:val="20"/>
                <w:szCs w:val="21"/>
              </w:rPr>
            </w:pPr>
            <w:r>
              <w:rPr>
                <w:rFonts w:hint="default" w:ascii="仿宋_GB2312" w:hAnsi="Calibri" w:eastAsia="仿宋_GB2312" w:cs="仿宋_GB2312"/>
                <w:color w:val="000000"/>
                <w:kern w:val="0"/>
                <w:sz w:val="24"/>
                <w:szCs w:val="24"/>
                <w:lang w:val="en-US" w:eastAsia="zh-CN" w:bidi="ar"/>
              </w:rPr>
              <w:t>道路（区域）名称（范围）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66" w:hRule="atLeast"/>
          <w:jc w:val="center"/>
        </w:trPr>
        <w:tc>
          <w:tcPr>
            <w:tcW w:w="716" w:type="dxa"/>
            <w:tcBorders>
              <w:top w:val="outset" w:color="auto" w:sz="6" w:space="0"/>
              <w:left w:val="outset" w:color="auto" w:sz="6" w:space="0"/>
              <w:right w:val="outset" w:color="auto" w:sz="6" w:space="0"/>
            </w:tcBorders>
            <w:shd w:val="clear" w:color="auto" w:fill="FFFFFF"/>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333333"/>
                <w:sz w:val="20"/>
                <w:szCs w:val="21"/>
              </w:rPr>
            </w:pPr>
            <w:r>
              <w:rPr>
                <w:rFonts w:hint="default" w:ascii="仿宋_GB2312" w:hAnsi="Calibri" w:eastAsia="仿宋_GB2312" w:cs="仿宋_GB2312"/>
                <w:color w:val="000000"/>
                <w:kern w:val="0"/>
                <w:sz w:val="24"/>
                <w:szCs w:val="24"/>
                <w:lang w:val="en-US" w:eastAsia="zh-CN" w:bidi="ar"/>
              </w:rPr>
              <w:t>一级</w:t>
            </w:r>
          </w:p>
        </w:tc>
        <w:tc>
          <w:tcPr>
            <w:tcW w:w="7606"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default" w:ascii="仿宋_GB2312" w:hAnsi="Calibri" w:eastAsia="仿宋_GB2312" w:cs="仿宋_GB2312"/>
                <w:color w:val="000000"/>
                <w:kern w:val="0"/>
                <w:sz w:val="24"/>
                <w:szCs w:val="24"/>
                <w:lang w:val="en-US" w:eastAsia="zh-CN" w:bidi="ar"/>
              </w:rPr>
            </w:pPr>
            <w:r>
              <w:rPr>
                <w:rFonts w:hint="default" w:ascii="仿宋_GB2312" w:hAnsi="Calibri" w:eastAsia="仿宋_GB2312" w:cs="仿宋_GB2312"/>
                <w:color w:val="000000"/>
                <w:kern w:val="0"/>
                <w:sz w:val="24"/>
                <w:szCs w:val="24"/>
                <w:lang w:val="en-US" w:eastAsia="zh-CN" w:bidi="ar"/>
              </w:rPr>
              <w:t>（1）有关部门确定的重点区域的道路</w:t>
            </w:r>
            <w:r>
              <w:rPr>
                <w:rFonts w:hint="eastAsia" w:ascii="仿宋_GB2312" w:eastAsia="仿宋_GB2312" w:cs="仿宋_GB2312"/>
                <w:color w:val="000000"/>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default" w:ascii="仿宋_GB2312" w:hAnsi="Calibri" w:eastAsia="仿宋_GB2312" w:cs="仿宋_GB2312"/>
                <w:color w:val="000000"/>
                <w:kern w:val="0"/>
                <w:sz w:val="24"/>
                <w:szCs w:val="24"/>
                <w:lang w:val="en-US" w:eastAsia="zh-CN" w:bidi="ar"/>
              </w:rPr>
            </w:pPr>
            <w:r>
              <w:rPr>
                <w:rFonts w:hint="default" w:ascii="仿宋_GB2312" w:hAnsi="Calibri" w:eastAsia="仿宋_GB2312" w:cs="仿宋_GB2312"/>
                <w:color w:val="000000"/>
                <w:kern w:val="0"/>
                <w:sz w:val="24"/>
                <w:szCs w:val="24"/>
                <w:lang w:val="en-US" w:eastAsia="zh-CN" w:bidi="ar"/>
              </w:rPr>
              <w:t>（2）重要商业、文化等公共场所周边的道路及广场；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_GB2312" w:hAnsi="Calibri" w:eastAsia="仿宋_GB2312" w:cs="仿宋_GB2312"/>
                <w:color w:val="000000"/>
                <w:kern w:val="0"/>
                <w:sz w:val="24"/>
                <w:szCs w:val="24"/>
                <w:lang w:val="en-US" w:eastAsia="zh-CN" w:bidi="ar"/>
              </w:rPr>
            </w:pPr>
            <w:r>
              <w:rPr>
                <w:rFonts w:hint="eastAsia" w:ascii="仿宋_GB2312" w:hAnsi="Calibri" w:eastAsia="仿宋_GB2312" w:cs="仿宋_GB2312"/>
                <w:color w:val="000000"/>
                <w:kern w:val="0"/>
                <w:sz w:val="24"/>
                <w:szCs w:val="24"/>
                <w:lang w:val="en-US" w:eastAsia="zh-CN" w:bidi="ar"/>
              </w:rPr>
              <w:t>（</w:t>
            </w:r>
            <w:r>
              <w:rPr>
                <w:rFonts w:hint="eastAsia" w:ascii="仿宋_GB2312" w:eastAsia="仿宋_GB2312" w:cs="仿宋_GB2312"/>
                <w:color w:val="000000"/>
                <w:kern w:val="0"/>
                <w:sz w:val="24"/>
                <w:szCs w:val="24"/>
                <w:lang w:val="en-US" w:eastAsia="zh-CN" w:bidi="ar"/>
              </w:rPr>
              <w:t>3</w:t>
            </w:r>
            <w:r>
              <w:rPr>
                <w:rFonts w:hint="eastAsia" w:ascii="仿宋_GB2312" w:hAnsi="Calibri" w:eastAsia="仿宋_GB2312" w:cs="仿宋_GB2312"/>
                <w:color w:val="000000"/>
                <w:kern w:val="0"/>
                <w:sz w:val="24"/>
                <w:szCs w:val="24"/>
                <w:lang w:val="en-US" w:eastAsia="zh-CN" w:bidi="ar"/>
              </w:rPr>
              <w:t>）商业网点集中，道路旁商业店铺占道路长度 80%以上的繁华闹市路段；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_GB2312" w:hAnsi="Calibri" w:eastAsia="仿宋_GB2312" w:cs="仿宋_GB2312"/>
                <w:color w:val="000000"/>
                <w:kern w:val="0"/>
                <w:sz w:val="24"/>
                <w:szCs w:val="24"/>
                <w:lang w:val="en-US" w:eastAsia="zh-CN" w:bidi="ar"/>
              </w:rPr>
            </w:pPr>
            <w:r>
              <w:rPr>
                <w:rFonts w:hint="eastAsia" w:ascii="仿宋_GB2312" w:hAnsi="Calibri" w:eastAsia="仿宋_GB2312" w:cs="仿宋_GB2312"/>
                <w:color w:val="000000"/>
                <w:kern w:val="0"/>
                <w:sz w:val="24"/>
                <w:szCs w:val="24"/>
                <w:lang w:val="en-US" w:eastAsia="zh-CN" w:bidi="ar"/>
              </w:rPr>
              <w:t>（</w:t>
            </w:r>
            <w:r>
              <w:rPr>
                <w:rFonts w:hint="eastAsia" w:ascii="仿宋_GB2312" w:eastAsia="仿宋_GB2312" w:cs="仿宋_GB2312"/>
                <w:color w:val="000000"/>
                <w:kern w:val="0"/>
                <w:sz w:val="24"/>
                <w:szCs w:val="24"/>
                <w:lang w:val="en-US" w:eastAsia="zh-CN" w:bidi="ar"/>
              </w:rPr>
              <w:t>4</w:t>
            </w:r>
            <w:r>
              <w:rPr>
                <w:rFonts w:hint="eastAsia" w:ascii="仿宋_GB2312" w:hAnsi="Calibri" w:eastAsia="仿宋_GB2312" w:cs="仿宋_GB2312"/>
                <w:color w:val="000000"/>
                <w:kern w:val="0"/>
                <w:sz w:val="24"/>
                <w:szCs w:val="24"/>
                <w:lang w:val="en-US" w:eastAsia="zh-CN" w:bidi="ar"/>
              </w:rPr>
              <w:t>）高峰期平均人流量为 100 人次/分钟以上和公共交通线路较多的路段；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_GB2312" w:hAnsi="Calibri" w:eastAsia="仿宋_GB2312" w:cs="仿宋_GB2312"/>
                <w:color w:val="000000"/>
                <w:kern w:val="0"/>
                <w:sz w:val="24"/>
                <w:szCs w:val="24"/>
                <w:lang w:val="en-US" w:eastAsia="zh-CN" w:bidi="ar"/>
              </w:rPr>
            </w:pPr>
            <w:r>
              <w:rPr>
                <w:rFonts w:hint="eastAsia" w:ascii="仿宋_GB2312" w:hAnsi="Calibri" w:eastAsia="仿宋_GB2312" w:cs="仿宋_GB2312"/>
                <w:color w:val="000000"/>
                <w:kern w:val="0"/>
                <w:sz w:val="24"/>
                <w:szCs w:val="24"/>
                <w:lang w:val="en-US" w:eastAsia="zh-CN" w:bidi="ar"/>
              </w:rPr>
              <w:t>（</w:t>
            </w:r>
            <w:r>
              <w:rPr>
                <w:rFonts w:hint="eastAsia" w:ascii="仿宋_GB2312" w:eastAsia="仿宋_GB2312" w:cs="仿宋_GB2312"/>
                <w:color w:val="000000"/>
                <w:kern w:val="0"/>
                <w:sz w:val="24"/>
                <w:szCs w:val="24"/>
                <w:lang w:val="en-US" w:eastAsia="zh-CN" w:bidi="ar"/>
              </w:rPr>
              <w:t>5</w:t>
            </w:r>
            <w:r>
              <w:rPr>
                <w:rFonts w:hint="eastAsia" w:ascii="仿宋_GB2312" w:hAnsi="Calibri" w:eastAsia="仿宋_GB2312" w:cs="仿宋_GB2312"/>
                <w:color w:val="000000"/>
                <w:kern w:val="0"/>
                <w:sz w:val="24"/>
                <w:szCs w:val="24"/>
                <w:lang w:val="en-US" w:eastAsia="zh-CN" w:bidi="ar"/>
              </w:rPr>
              <w:t>）主要旅游点和进出机场、车站、港口的主干路及其所在地路段；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color w:val="333333"/>
                <w:sz w:val="20"/>
                <w:szCs w:val="21"/>
              </w:rPr>
            </w:pPr>
            <w:r>
              <w:rPr>
                <w:rFonts w:hint="eastAsia" w:ascii="仿宋_GB2312" w:hAnsi="Calibri" w:eastAsia="仿宋_GB2312" w:cs="仿宋_GB2312"/>
                <w:color w:val="000000"/>
                <w:kern w:val="0"/>
                <w:sz w:val="24"/>
                <w:szCs w:val="24"/>
                <w:lang w:val="en-US" w:eastAsia="zh-CN" w:bidi="ar"/>
              </w:rPr>
              <w:t>（</w:t>
            </w:r>
            <w:r>
              <w:rPr>
                <w:rFonts w:hint="eastAsia" w:ascii="仿宋_GB2312" w:eastAsia="仿宋_GB2312" w:cs="仿宋_GB2312"/>
                <w:color w:val="000000"/>
                <w:kern w:val="0"/>
                <w:sz w:val="24"/>
                <w:szCs w:val="24"/>
                <w:lang w:val="en-US" w:eastAsia="zh-CN" w:bidi="ar"/>
              </w:rPr>
              <w:t>6</w:t>
            </w:r>
            <w:r>
              <w:rPr>
                <w:rFonts w:hint="eastAsia" w:ascii="仿宋_GB2312" w:hAnsi="Calibri" w:eastAsia="仿宋_GB2312" w:cs="仿宋_GB2312"/>
                <w:color w:val="000000"/>
                <w:kern w:val="0"/>
                <w:sz w:val="24"/>
                <w:szCs w:val="24"/>
                <w:lang w:val="en-US" w:eastAsia="zh-CN" w:bidi="ar"/>
              </w:rPr>
              <w:t>）历史文化街区、大型文化娱乐、步行街等主要公共场所所在路段。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16"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333333"/>
                <w:sz w:val="20"/>
                <w:szCs w:val="21"/>
              </w:rPr>
            </w:pPr>
            <w:r>
              <w:rPr>
                <w:rFonts w:hint="default" w:ascii="仿宋_GB2312" w:hAnsi="Calibri" w:eastAsia="仿宋_GB2312" w:cs="仿宋_GB2312"/>
                <w:color w:val="000000"/>
                <w:kern w:val="0"/>
                <w:sz w:val="24"/>
                <w:szCs w:val="24"/>
                <w:lang w:val="en-US" w:eastAsia="zh-CN" w:bidi="ar"/>
              </w:rPr>
              <w:t>二级</w:t>
            </w:r>
          </w:p>
        </w:tc>
        <w:tc>
          <w:tcPr>
            <w:tcW w:w="7606"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default" w:ascii="仿宋_GB2312" w:hAnsi="Calibri" w:eastAsia="仿宋_GB2312" w:cs="仿宋_GB2312"/>
                <w:color w:val="000000"/>
                <w:kern w:val="0"/>
                <w:sz w:val="24"/>
                <w:szCs w:val="24"/>
                <w:lang w:val="en-US" w:eastAsia="zh-CN" w:bidi="ar"/>
              </w:rPr>
            </w:pPr>
            <w:r>
              <w:rPr>
                <w:rFonts w:hint="default" w:ascii="仿宋_GB2312" w:hAnsi="Calibri" w:eastAsia="仿宋_GB2312" w:cs="仿宋_GB2312"/>
                <w:color w:val="000000"/>
                <w:kern w:val="0"/>
                <w:sz w:val="24"/>
                <w:szCs w:val="24"/>
                <w:lang w:val="en-US" w:eastAsia="zh-CN" w:bidi="ar"/>
              </w:rPr>
              <w:t>（1）商业网点较集中、占道路长度 60～80%的路段；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default" w:ascii="仿宋_GB2312" w:hAnsi="Calibri" w:eastAsia="仿宋_GB2312" w:cs="仿宋_GB2312"/>
                <w:color w:val="000000"/>
                <w:kern w:val="0"/>
                <w:sz w:val="24"/>
                <w:szCs w:val="24"/>
                <w:lang w:val="en-US" w:eastAsia="zh-CN" w:bidi="ar"/>
              </w:rPr>
            </w:pPr>
            <w:r>
              <w:rPr>
                <w:rFonts w:hint="default" w:ascii="仿宋_GB2312" w:hAnsi="Calibri" w:eastAsia="仿宋_GB2312" w:cs="仿宋_GB2312"/>
                <w:color w:val="000000"/>
                <w:kern w:val="0"/>
                <w:sz w:val="24"/>
                <w:szCs w:val="24"/>
                <w:lang w:val="en-US" w:eastAsia="zh-CN" w:bidi="ar"/>
              </w:rPr>
              <w:t>（2）高峰期平均人流量为 80～100 人次/分钟的路段；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default" w:ascii="仿宋_GB2312" w:hAnsi="Calibri" w:eastAsia="仿宋_GB2312" w:cs="仿宋_GB2312"/>
                <w:color w:val="000000"/>
                <w:kern w:val="0"/>
                <w:sz w:val="24"/>
                <w:szCs w:val="24"/>
                <w:lang w:val="en-US" w:eastAsia="zh-CN" w:bidi="ar"/>
              </w:rPr>
            </w:pPr>
            <w:r>
              <w:rPr>
                <w:rFonts w:hint="default" w:ascii="仿宋_GB2312" w:hAnsi="Calibri" w:eastAsia="仿宋_GB2312" w:cs="仿宋_GB2312"/>
                <w:color w:val="000000"/>
                <w:kern w:val="0"/>
                <w:sz w:val="24"/>
                <w:szCs w:val="24"/>
                <w:lang w:val="en-US" w:eastAsia="zh-CN" w:bidi="ar"/>
              </w:rPr>
              <w:t>（3）城市主、次干路及其附近路段；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color w:val="333333"/>
                <w:sz w:val="20"/>
                <w:szCs w:val="21"/>
              </w:rPr>
            </w:pPr>
            <w:r>
              <w:rPr>
                <w:rFonts w:hint="default" w:ascii="仿宋_GB2312" w:hAnsi="Calibri" w:eastAsia="仿宋_GB2312" w:cs="仿宋_GB2312"/>
                <w:color w:val="000000"/>
                <w:kern w:val="0"/>
                <w:sz w:val="24"/>
                <w:szCs w:val="24"/>
                <w:lang w:val="en-US" w:eastAsia="zh-CN" w:bidi="ar"/>
              </w:rPr>
              <w:t>（4）道路宽度大于 40m 的城市干道。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30" w:hRule="atLeast"/>
          <w:jc w:val="center"/>
        </w:trPr>
        <w:tc>
          <w:tcPr>
            <w:tcW w:w="716" w:type="dxa"/>
            <w:tcBorders>
              <w:top w:val="outset" w:color="auto" w:sz="6" w:space="0"/>
              <w:left w:val="outset" w:color="auto" w:sz="6" w:space="0"/>
              <w:right w:val="outset" w:color="auto" w:sz="6" w:space="0"/>
            </w:tcBorders>
            <w:shd w:val="clear" w:color="auto" w:fill="FFFFFF"/>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333333"/>
                <w:sz w:val="20"/>
                <w:szCs w:val="21"/>
              </w:rPr>
            </w:pPr>
            <w:r>
              <w:rPr>
                <w:rFonts w:hint="default" w:ascii="仿宋_GB2312" w:hAnsi="Calibri" w:eastAsia="仿宋_GB2312" w:cs="仿宋_GB2312"/>
                <w:color w:val="000000"/>
                <w:kern w:val="0"/>
                <w:sz w:val="24"/>
                <w:szCs w:val="24"/>
                <w:lang w:val="en-US" w:eastAsia="zh-CN" w:bidi="ar"/>
              </w:rPr>
              <w:t>三级</w:t>
            </w:r>
          </w:p>
        </w:tc>
        <w:tc>
          <w:tcPr>
            <w:tcW w:w="7606"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default" w:ascii="仿宋_GB2312" w:hAnsi="Calibri" w:eastAsia="仿宋_GB2312" w:cs="仿宋_GB2312"/>
                <w:color w:val="000000"/>
                <w:kern w:val="0"/>
                <w:sz w:val="24"/>
                <w:szCs w:val="24"/>
                <w:lang w:val="en-US" w:eastAsia="zh-CN" w:bidi="ar"/>
              </w:rPr>
            </w:pPr>
            <w:r>
              <w:rPr>
                <w:rFonts w:hint="default" w:ascii="仿宋_GB2312" w:hAnsi="Calibri" w:eastAsia="仿宋_GB2312" w:cs="仿宋_GB2312"/>
                <w:color w:val="000000"/>
                <w:kern w:val="0"/>
                <w:sz w:val="24"/>
                <w:szCs w:val="24"/>
                <w:lang w:val="en-US" w:eastAsia="zh-CN" w:bidi="ar"/>
              </w:rPr>
              <w:t>（1）商业网点较少的路段；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default" w:ascii="仿宋_GB2312" w:hAnsi="Calibri" w:eastAsia="仿宋_GB2312" w:cs="仿宋_GB2312"/>
                <w:color w:val="000000"/>
                <w:kern w:val="0"/>
                <w:sz w:val="24"/>
                <w:szCs w:val="24"/>
                <w:lang w:val="en-US" w:eastAsia="zh-CN" w:bidi="ar"/>
              </w:rPr>
            </w:pPr>
            <w:r>
              <w:rPr>
                <w:rFonts w:hint="default" w:ascii="仿宋_GB2312" w:hAnsi="Calibri" w:eastAsia="仿宋_GB2312" w:cs="仿宋_GB2312"/>
                <w:color w:val="000000"/>
                <w:kern w:val="0"/>
                <w:sz w:val="24"/>
                <w:szCs w:val="24"/>
                <w:lang w:val="en-US" w:eastAsia="zh-CN" w:bidi="ar"/>
              </w:rPr>
              <w:t>（2）高峰期平均人流量小于 80 人次/分钟的路段；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default" w:ascii="仿宋_GB2312" w:hAnsi="Calibri" w:eastAsia="仿宋_GB2312" w:cs="仿宋_GB2312"/>
                <w:color w:val="000000"/>
                <w:kern w:val="0"/>
                <w:sz w:val="24"/>
                <w:szCs w:val="24"/>
                <w:lang w:val="en-US" w:eastAsia="zh-CN" w:bidi="ar"/>
              </w:rPr>
            </w:pPr>
            <w:r>
              <w:rPr>
                <w:rFonts w:hint="default" w:ascii="仿宋_GB2312" w:hAnsi="Calibri" w:eastAsia="仿宋_GB2312" w:cs="仿宋_GB2312"/>
                <w:color w:val="000000"/>
                <w:kern w:val="0"/>
                <w:sz w:val="24"/>
                <w:szCs w:val="24"/>
                <w:lang w:val="en-US" w:eastAsia="zh-CN" w:bidi="ar"/>
              </w:rPr>
              <w:t>（3）城郊结合部的主要交通路段；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color w:val="333333"/>
                <w:sz w:val="20"/>
                <w:szCs w:val="21"/>
              </w:rPr>
            </w:pPr>
            <w:r>
              <w:rPr>
                <w:rFonts w:hint="default" w:ascii="仿宋_GB2312" w:hAnsi="Calibri" w:eastAsia="仿宋_GB2312" w:cs="仿宋_GB2312"/>
                <w:color w:val="000000"/>
                <w:kern w:val="0"/>
                <w:sz w:val="24"/>
                <w:szCs w:val="24"/>
                <w:lang w:val="en-US" w:eastAsia="zh-CN" w:bidi="ar"/>
              </w:rPr>
              <w:t>（4）居民区和单位相间的路段。</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宋体" w:eastAsia="仿宋_GB2312" w:cs="仿宋_GB2312"/>
          <w:i w:val="0"/>
          <w:caps w:val="0"/>
          <w:color w:val="000000"/>
          <w:spacing w:val="0"/>
          <w:kern w:val="0"/>
          <w:sz w:val="28"/>
          <w:szCs w:val="28"/>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宋体" w:eastAsia="仿宋_GB2312" w:cs="仿宋_GB2312"/>
          <w:i w:val="0"/>
          <w:caps w:val="0"/>
          <w:color w:val="000000"/>
          <w:spacing w:val="0"/>
          <w:kern w:val="0"/>
          <w:sz w:val="28"/>
          <w:szCs w:val="28"/>
          <w:shd w:val="clear" w:color="auto" w:fill="FFFFFF"/>
          <w:lang w:val="en-US" w:eastAsia="zh-CN" w:bidi="ar"/>
        </w:rPr>
      </w:pPr>
    </w:p>
    <w:p>
      <w:pPr>
        <w:rPr>
          <w:rFonts w:hint="eastAsia" w:ascii="仿宋_GB2312" w:hAnsi="宋体" w:eastAsia="仿宋_GB2312" w:cs="仿宋_GB2312"/>
          <w:i w:val="0"/>
          <w:caps w:val="0"/>
          <w:color w:val="000000"/>
          <w:spacing w:val="0"/>
          <w:kern w:val="0"/>
          <w:sz w:val="28"/>
          <w:szCs w:val="28"/>
          <w:shd w:val="clear" w:color="auto" w:fill="FFFFFF"/>
          <w:lang w:val="en-US" w:eastAsia="zh-CN" w:bidi="ar"/>
        </w:rPr>
      </w:pPr>
      <w:r>
        <w:rPr>
          <w:rFonts w:hint="eastAsia" w:ascii="仿宋_GB2312" w:hAnsi="宋体" w:eastAsia="仿宋_GB2312" w:cs="仿宋_GB2312"/>
          <w:i w:val="0"/>
          <w:caps w:val="0"/>
          <w:color w:val="000000"/>
          <w:spacing w:val="0"/>
          <w:kern w:val="0"/>
          <w:sz w:val="28"/>
          <w:szCs w:val="28"/>
          <w:shd w:val="clear" w:color="auto" w:fill="FFFFFF"/>
          <w:lang w:val="en-US" w:eastAsia="zh-CN" w:bidi="ar"/>
        </w:rPr>
        <w:br w:type="page"/>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宋体" w:eastAsia="仿宋_GB2312" w:cs="仿宋_GB2312"/>
          <w:i w:val="0"/>
          <w:caps w:val="0"/>
          <w:color w:val="000000"/>
          <w:spacing w:val="0"/>
          <w:kern w:val="0"/>
          <w:sz w:val="28"/>
          <w:szCs w:val="28"/>
          <w:shd w:val="clear" w:color="auto" w:fill="FFFFFF"/>
          <w:lang w:val="en-US" w:eastAsia="zh-CN" w:bidi="ar"/>
        </w:rPr>
      </w:pPr>
    </w:p>
    <w:p>
      <w:pPr>
        <w:numPr>
          <w:ilvl w:val="0"/>
          <w:numId w:val="14"/>
        </w:numPr>
        <w:jc w:val="center"/>
        <w:outlineLvl w:val="0"/>
        <w:rPr>
          <w:rFonts w:hint="eastAsia" w:ascii="宋体" w:hAnsi="宋体" w:eastAsia="宋体" w:cs="宋体"/>
          <w:b w:val="0"/>
          <w:bCs w:val="0"/>
          <w:sz w:val="32"/>
          <w:szCs w:val="32"/>
        </w:rPr>
      </w:pPr>
      <w:bookmarkStart w:id="38" w:name="_Toc30575"/>
      <w:r>
        <w:rPr>
          <w:rFonts w:hint="eastAsia" w:ascii="宋体" w:hAnsi="宋体" w:eastAsia="宋体" w:cs="宋体"/>
          <w:b w:val="0"/>
          <w:bCs w:val="0"/>
          <w:sz w:val="32"/>
          <w:szCs w:val="32"/>
        </w:rPr>
        <w:t>采购内容和要求</w:t>
      </w:r>
      <w:bookmarkEnd w:id="38"/>
    </w:p>
    <w:p>
      <w:pPr>
        <w:pStyle w:val="17"/>
        <w:rPr>
          <w:rFonts w:hint="eastAsia" w:ascii="宋体" w:hAnsi="宋体" w:eastAsia="宋体" w:cs="宋体"/>
        </w:rPr>
      </w:pPr>
    </w:p>
    <w:p>
      <w:pPr>
        <w:spacing w:line="360" w:lineRule="auto"/>
        <w:jc w:val="center"/>
        <w:rPr>
          <w:rFonts w:hint="eastAsia" w:ascii="宋体" w:hAnsi="宋体" w:eastAsia="宋体" w:cs="宋体"/>
          <w:b/>
          <w:sz w:val="28"/>
          <w:szCs w:val="28"/>
          <w:highlight w:val="none"/>
        </w:rPr>
      </w:pPr>
      <w:r>
        <w:rPr>
          <w:rFonts w:hint="eastAsia" w:ascii="宋体" w:hAnsi="宋体" w:cs="宋体"/>
          <w:b/>
          <w:sz w:val="28"/>
          <w:szCs w:val="28"/>
          <w:highlight w:val="none"/>
          <w:lang w:eastAsia="zh-CN"/>
        </w:rPr>
        <w:t>2024年</w:t>
      </w:r>
      <w:r>
        <w:rPr>
          <w:rFonts w:hint="eastAsia" w:ascii="宋体" w:hAnsi="宋体" w:eastAsia="宋体" w:cs="宋体"/>
          <w:b/>
          <w:sz w:val="28"/>
          <w:szCs w:val="28"/>
          <w:highlight w:val="none"/>
          <w:lang w:eastAsia="zh-CN"/>
        </w:rPr>
        <w:t>周至县道路清扫保洁、垃圾清运、绿化养护、公厕管理市场化运作项目</w:t>
      </w:r>
      <w:r>
        <w:rPr>
          <w:rFonts w:hint="eastAsia" w:ascii="宋体" w:hAnsi="宋体" w:eastAsia="宋体" w:cs="宋体"/>
          <w:b/>
          <w:sz w:val="28"/>
          <w:szCs w:val="28"/>
          <w:highlight w:val="none"/>
        </w:rPr>
        <w:t>技术要求及服务范围</w:t>
      </w:r>
    </w:p>
    <w:p>
      <w:pPr>
        <w:numPr>
          <w:ilvl w:val="0"/>
          <w:numId w:val="15"/>
        </w:numPr>
        <w:spacing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项目概况</w:t>
      </w:r>
    </w:p>
    <w:p>
      <w:pPr>
        <w:spacing w:line="500" w:lineRule="exact"/>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采 购 人：周至县城市管理和综合执法局</w:t>
      </w:r>
    </w:p>
    <w:p>
      <w:pPr>
        <w:spacing w:line="500" w:lineRule="exact"/>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2024年</w:t>
      </w:r>
      <w:r>
        <w:rPr>
          <w:rFonts w:hint="eastAsia" w:ascii="宋体" w:hAnsi="宋体" w:eastAsia="宋体" w:cs="宋体"/>
          <w:sz w:val="24"/>
          <w:szCs w:val="24"/>
          <w:highlight w:val="none"/>
          <w:lang w:eastAsia="zh-CN"/>
        </w:rPr>
        <w:t>周至县道路清扫保洁、垃圾清运、绿化养护、公厕管理市场化运作项目</w:t>
      </w:r>
    </w:p>
    <w:p>
      <w:pPr>
        <w:spacing w:line="500" w:lineRule="exact"/>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★服 务 期：</w:t>
      </w: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年</w:t>
      </w:r>
    </w:p>
    <w:p>
      <w:pPr>
        <w:spacing w:line="500" w:lineRule="exact"/>
        <w:ind w:firstLine="240" w:firstLineChars="100"/>
        <w:rPr>
          <w:rFonts w:hint="eastAsia" w:ascii="宋体" w:hAnsi="宋体" w:eastAsia="宋体" w:cs="宋体"/>
          <w:sz w:val="24"/>
          <w:szCs w:val="24"/>
          <w:highlight w:val="none"/>
        </w:rPr>
      </w:pPr>
      <w:r>
        <w:rPr>
          <w:rFonts w:hint="eastAsia" w:ascii="宋体" w:hAnsi="宋体" w:eastAsia="宋体" w:cs="宋体"/>
          <w:color w:val="000000"/>
          <w:kern w:val="0"/>
          <w:sz w:val="24"/>
          <w:szCs w:val="24"/>
          <w:lang w:val="en-US" w:eastAsia="zh-CN" w:bidi="ar"/>
        </w:rPr>
        <w:t>★服务标准</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符合国家标准、行业标准以及有关技术规范要求</w:t>
      </w:r>
    </w:p>
    <w:p>
      <w:pPr>
        <w:numPr>
          <w:ilvl w:val="0"/>
          <w:numId w:val="15"/>
        </w:numPr>
        <w:spacing w:line="500" w:lineRule="exact"/>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招标内容</w:t>
      </w:r>
    </w:p>
    <w:p>
      <w:pPr>
        <w:spacing w:line="500" w:lineRule="exact"/>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第一包：一类道路：199088.2平方米、二类道路136742.5平方米、三类道路：10725平方米（含垃圾清运），道路总面积346555.7平方米。公厕座数8座，甲方指定范围的垃圾清运。</w:t>
      </w:r>
    </w:p>
    <w:p>
      <w:pPr>
        <w:pStyle w:val="24"/>
        <w:numPr>
          <w:ilvl w:val="0"/>
          <w:numId w:val="15"/>
        </w:numPr>
        <w:ind w:left="0" w:leftChars="0" w:firstLine="0" w:firstLineChars="0"/>
        <w:rPr>
          <w:rFonts w:hint="default"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其他要求</w:t>
      </w:r>
    </w:p>
    <w:p>
      <w:pPr>
        <w:pStyle w:val="24"/>
        <w:numPr>
          <w:ilvl w:val="0"/>
          <w:numId w:val="0"/>
        </w:numPr>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★中标企业必须按照甲方要求配备相应的道路清扫作业车、扫雪除冰等设施设备。</w:t>
      </w:r>
    </w:p>
    <w:p>
      <w:pPr>
        <w:pStyle w:val="23"/>
        <w:rPr>
          <w:rFonts w:hint="eastAsia" w:ascii="宋体" w:hAnsi="宋体" w:eastAsia="宋体" w:cs="宋体"/>
          <w:color w:val="auto"/>
          <w:kern w:val="2"/>
          <w:sz w:val="24"/>
          <w:szCs w:val="24"/>
          <w:highlight w:val="none"/>
          <w:lang w:val="en-US" w:eastAsia="zh-CN" w:bidi="ar-SA"/>
        </w:rPr>
      </w:pPr>
    </w:p>
    <w:p>
      <w:pPr>
        <w:pStyle w:val="24"/>
        <w:rPr>
          <w:rFonts w:hint="eastAsia" w:ascii="宋体" w:hAnsi="宋体" w:eastAsia="宋体" w:cs="宋体"/>
          <w:color w:val="auto"/>
          <w:kern w:val="2"/>
          <w:sz w:val="24"/>
          <w:szCs w:val="24"/>
          <w:highlight w:val="none"/>
          <w:lang w:val="en-US" w:eastAsia="zh-CN" w:bidi="ar-SA"/>
        </w:rPr>
        <w:sectPr>
          <w:footerReference r:id="rId8" w:type="default"/>
          <w:pgSz w:w="11906" w:h="16838"/>
          <w:pgMar w:top="1440" w:right="1800" w:bottom="1440" w:left="1800" w:header="851" w:footer="992" w:gutter="0"/>
          <w:pgNumType w:fmt="decimal"/>
          <w:cols w:space="425" w:num="1"/>
          <w:docGrid w:type="lines" w:linePitch="312" w:charSpace="0"/>
        </w:sectPr>
      </w:pPr>
    </w:p>
    <w:tbl>
      <w:tblPr>
        <w:tblStyle w:val="2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2379"/>
        <w:gridCol w:w="1445"/>
        <w:gridCol w:w="1076"/>
        <w:gridCol w:w="2861"/>
        <w:gridCol w:w="1283"/>
        <w:gridCol w:w="1711"/>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000" w:type="pct"/>
            <w:gridSpan w:val="8"/>
            <w:noWrap w:val="0"/>
            <w:vAlign w:val="top"/>
          </w:tcPr>
          <w:p>
            <w:pPr>
              <w:tabs>
                <w:tab w:val="left" w:pos="4813"/>
              </w:tabs>
              <w:jc w:val="center"/>
              <w:rPr>
                <w:rFonts w:hint="eastAsia"/>
                <w:sz w:val="21"/>
                <w:szCs w:val="21"/>
                <w:vertAlign w:val="baseline"/>
                <w:lang w:val="en-US" w:eastAsia="zh-CN"/>
              </w:rPr>
            </w:pPr>
            <w:r>
              <w:rPr>
                <w:rFonts w:hint="eastAsia"/>
                <w:sz w:val="28"/>
                <w:szCs w:val="28"/>
                <w:lang w:val="en-US" w:eastAsia="zh-CN"/>
              </w:rPr>
              <w:t>第一包</w:t>
            </w:r>
            <w:r>
              <w:rPr>
                <w:rFonts w:hint="eastAsia"/>
                <w:sz w:val="28"/>
                <w:szCs w:val="28"/>
              </w:rPr>
              <w:t>承包范围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道路名称</w:t>
            </w:r>
          </w:p>
        </w:tc>
        <w:tc>
          <w:tcPr>
            <w:tcW w:w="840" w:type="pct"/>
            <w:noWrap w:val="0"/>
            <w:vAlign w:val="top"/>
          </w:tcPr>
          <w:p>
            <w:pPr>
              <w:jc w:val="center"/>
              <w:rPr>
                <w:rFonts w:hint="default" w:ascii="Calibri" w:hAnsi="Calibri" w:eastAsia="宋体" w:cs="Times New Roman"/>
                <w:kern w:val="2"/>
                <w:sz w:val="21"/>
                <w:szCs w:val="21"/>
                <w:vertAlign w:val="baseline"/>
                <w:lang w:val="en-US" w:eastAsia="zh-CN" w:bidi="ar-SA"/>
              </w:rPr>
            </w:pPr>
            <w:r>
              <w:rPr>
                <w:rFonts w:hint="eastAsia"/>
                <w:sz w:val="21"/>
                <w:szCs w:val="21"/>
                <w:vertAlign w:val="baseline"/>
                <w:lang w:val="en-US" w:eastAsia="zh-CN"/>
              </w:rPr>
              <w:t>起     止</w:t>
            </w:r>
          </w:p>
        </w:tc>
        <w:tc>
          <w:tcPr>
            <w:tcW w:w="510" w:type="pct"/>
            <w:noWrap w:val="0"/>
            <w:vAlign w:val="top"/>
          </w:tcPr>
          <w:p>
            <w:pPr>
              <w:jc w:val="center"/>
              <w:rPr>
                <w:rFonts w:hint="default" w:ascii="Calibri" w:hAnsi="Calibri" w:eastAsia="宋体" w:cs="Times New Roman"/>
                <w:kern w:val="2"/>
                <w:sz w:val="21"/>
                <w:szCs w:val="21"/>
                <w:vertAlign w:val="baseline"/>
                <w:lang w:val="en-US" w:eastAsia="zh-CN" w:bidi="ar-SA"/>
              </w:rPr>
            </w:pPr>
            <w:r>
              <w:rPr>
                <w:rFonts w:hint="eastAsia"/>
                <w:sz w:val="21"/>
                <w:szCs w:val="21"/>
                <w:vertAlign w:val="baseline"/>
                <w:lang w:val="en-US" w:eastAsia="zh-CN"/>
              </w:rPr>
              <w:t>面积（平方米）</w:t>
            </w:r>
          </w:p>
        </w:tc>
        <w:tc>
          <w:tcPr>
            <w:tcW w:w="380" w:type="pct"/>
            <w:noWrap w:val="0"/>
            <w:vAlign w:val="top"/>
          </w:tcPr>
          <w:p>
            <w:pPr>
              <w:jc w:val="center"/>
              <w:rPr>
                <w:rFonts w:hint="default" w:ascii="Calibri" w:hAnsi="Calibri" w:eastAsia="宋体" w:cs="Times New Roman"/>
                <w:kern w:val="2"/>
                <w:sz w:val="21"/>
                <w:szCs w:val="21"/>
                <w:vertAlign w:val="baseline"/>
                <w:lang w:val="en-US" w:eastAsia="zh-CN" w:bidi="ar-SA"/>
              </w:rPr>
            </w:pPr>
            <w:r>
              <w:rPr>
                <w:rFonts w:hint="eastAsia"/>
                <w:sz w:val="21"/>
                <w:szCs w:val="21"/>
                <w:vertAlign w:val="baseline"/>
                <w:lang w:val="en-US" w:eastAsia="zh-CN"/>
              </w:rPr>
              <w:t>道路类别</w:t>
            </w:r>
          </w:p>
        </w:tc>
        <w:tc>
          <w:tcPr>
            <w:tcW w:w="1010" w:type="pct"/>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合计</w:t>
            </w:r>
          </w:p>
        </w:tc>
        <w:tc>
          <w:tcPr>
            <w:tcW w:w="453" w:type="pct"/>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垃圾收集点</w:t>
            </w:r>
          </w:p>
        </w:tc>
        <w:tc>
          <w:tcPr>
            <w:tcW w:w="604" w:type="pct"/>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公厕</w:t>
            </w:r>
          </w:p>
        </w:tc>
        <w:tc>
          <w:tcPr>
            <w:tcW w:w="604" w:type="pct"/>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垃圾清运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北环路</w:t>
            </w:r>
          </w:p>
        </w:tc>
        <w:tc>
          <w:tcPr>
            <w:tcW w:w="84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北环路西墙-教堂路</w:t>
            </w:r>
          </w:p>
        </w:tc>
        <w:tc>
          <w:tcPr>
            <w:tcW w:w="51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67884</w:t>
            </w:r>
          </w:p>
        </w:tc>
        <w:tc>
          <w:tcPr>
            <w:tcW w:w="3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一</w:t>
            </w:r>
          </w:p>
        </w:tc>
        <w:tc>
          <w:tcPr>
            <w:tcW w:w="1010" w:type="pct"/>
            <w:vMerge w:val="restart"/>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一类道路：199088.2平方米</w:t>
            </w:r>
          </w:p>
          <w:p>
            <w:pPr>
              <w:jc w:val="center"/>
              <w:rPr>
                <w:rFonts w:hint="eastAsia"/>
                <w:sz w:val="24"/>
                <w:szCs w:val="24"/>
                <w:vertAlign w:val="baseline"/>
                <w:lang w:val="en-US" w:eastAsia="zh-CN"/>
              </w:rPr>
            </w:pPr>
            <w:r>
              <w:rPr>
                <w:rFonts w:hint="eastAsia"/>
                <w:sz w:val="24"/>
                <w:szCs w:val="24"/>
                <w:vertAlign w:val="baseline"/>
                <w:lang w:val="en-US" w:eastAsia="zh-CN"/>
              </w:rPr>
              <w:t>二类道路：136742.5平方米</w:t>
            </w:r>
          </w:p>
          <w:p>
            <w:pPr>
              <w:jc w:val="center"/>
              <w:rPr>
                <w:rFonts w:hint="default"/>
                <w:sz w:val="24"/>
                <w:szCs w:val="24"/>
                <w:vertAlign w:val="baseline"/>
                <w:lang w:val="en-US" w:eastAsia="zh-CN"/>
              </w:rPr>
            </w:pPr>
            <w:r>
              <w:rPr>
                <w:rFonts w:hint="eastAsia"/>
                <w:sz w:val="24"/>
                <w:szCs w:val="24"/>
                <w:vertAlign w:val="baseline"/>
                <w:lang w:val="en-US" w:eastAsia="zh-CN"/>
              </w:rPr>
              <w:t>三类道路：10725平方米</w:t>
            </w:r>
          </w:p>
        </w:tc>
        <w:tc>
          <w:tcPr>
            <w:tcW w:w="453" w:type="pct"/>
            <w:vMerge w:val="restart"/>
            <w:noWrap w:val="0"/>
            <w:vAlign w:val="center"/>
          </w:tcPr>
          <w:p>
            <w:pPr>
              <w:bidi w:val="0"/>
              <w:jc w:val="center"/>
              <w:rPr>
                <w:rFonts w:hint="default"/>
                <w:sz w:val="24"/>
                <w:szCs w:val="24"/>
                <w:lang w:val="en-US" w:eastAsia="zh-CN"/>
              </w:rPr>
            </w:pPr>
            <w:r>
              <w:rPr>
                <w:rFonts w:hint="eastAsia"/>
                <w:sz w:val="24"/>
                <w:szCs w:val="24"/>
                <w:lang w:val="en-US" w:eastAsia="zh-CN"/>
              </w:rPr>
              <w:t>甲方指定的垃圾收集点</w:t>
            </w:r>
          </w:p>
        </w:tc>
        <w:tc>
          <w:tcPr>
            <w:tcW w:w="604" w:type="pct"/>
            <w:vMerge w:val="restart"/>
            <w:noWrap w:val="0"/>
            <w:vAlign w:val="center"/>
          </w:tcPr>
          <w:p>
            <w:pPr>
              <w:jc w:val="left"/>
              <w:rPr>
                <w:rFonts w:hint="eastAsia"/>
                <w:sz w:val="24"/>
                <w:szCs w:val="24"/>
                <w:vertAlign w:val="baseline"/>
                <w:lang w:val="en-US" w:eastAsia="zh-CN"/>
              </w:rPr>
            </w:pPr>
            <w:r>
              <w:rPr>
                <w:rFonts w:hint="eastAsia"/>
                <w:sz w:val="24"/>
                <w:szCs w:val="24"/>
                <w:vertAlign w:val="baseline"/>
                <w:lang w:val="en-US" w:eastAsia="zh-CN"/>
              </w:rPr>
              <w:t>北大门西公厕</w:t>
            </w:r>
          </w:p>
          <w:p>
            <w:pPr>
              <w:jc w:val="left"/>
              <w:rPr>
                <w:rFonts w:hint="eastAsia"/>
                <w:sz w:val="24"/>
                <w:szCs w:val="24"/>
                <w:vertAlign w:val="baseline"/>
                <w:lang w:val="en-US" w:eastAsia="zh-CN"/>
              </w:rPr>
            </w:pPr>
            <w:r>
              <w:rPr>
                <w:rFonts w:hint="eastAsia"/>
                <w:sz w:val="24"/>
                <w:szCs w:val="24"/>
                <w:vertAlign w:val="baseline"/>
                <w:lang w:val="en-US" w:eastAsia="zh-CN"/>
              </w:rPr>
              <w:t>北大门公厕</w:t>
            </w:r>
          </w:p>
          <w:p>
            <w:pPr>
              <w:jc w:val="left"/>
              <w:rPr>
                <w:rFonts w:hint="eastAsia"/>
                <w:sz w:val="24"/>
                <w:szCs w:val="24"/>
                <w:vertAlign w:val="baseline"/>
                <w:lang w:val="en-US" w:eastAsia="zh-CN"/>
              </w:rPr>
            </w:pPr>
            <w:r>
              <w:rPr>
                <w:rFonts w:hint="eastAsia"/>
                <w:sz w:val="24"/>
                <w:szCs w:val="24"/>
                <w:vertAlign w:val="baseline"/>
                <w:lang w:val="en-US" w:eastAsia="zh-CN"/>
              </w:rPr>
              <w:t>温泉路公厕</w:t>
            </w:r>
          </w:p>
          <w:p>
            <w:pPr>
              <w:jc w:val="left"/>
              <w:rPr>
                <w:rFonts w:hint="eastAsia"/>
                <w:sz w:val="24"/>
                <w:szCs w:val="24"/>
                <w:vertAlign w:val="baseline"/>
                <w:lang w:val="en-US" w:eastAsia="zh-CN"/>
              </w:rPr>
            </w:pPr>
            <w:r>
              <w:rPr>
                <w:rFonts w:hint="eastAsia"/>
                <w:sz w:val="24"/>
                <w:szCs w:val="24"/>
                <w:vertAlign w:val="baseline"/>
                <w:lang w:val="en-US" w:eastAsia="zh-CN"/>
              </w:rPr>
              <w:t>教堂路公厕</w:t>
            </w:r>
          </w:p>
          <w:p>
            <w:pPr>
              <w:jc w:val="left"/>
              <w:rPr>
                <w:rFonts w:hint="eastAsia"/>
                <w:sz w:val="24"/>
                <w:szCs w:val="24"/>
                <w:vertAlign w:val="baseline"/>
                <w:lang w:val="en-US" w:eastAsia="zh-CN"/>
              </w:rPr>
            </w:pPr>
            <w:r>
              <w:rPr>
                <w:rFonts w:hint="eastAsia"/>
                <w:sz w:val="24"/>
                <w:szCs w:val="24"/>
                <w:vertAlign w:val="baseline"/>
                <w:lang w:val="en-US" w:eastAsia="zh-CN"/>
              </w:rPr>
              <w:t>云塔广场东公厕</w:t>
            </w:r>
          </w:p>
          <w:p>
            <w:pPr>
              <w:jc w:val="left"/>
              <w:rPr>
                <w:rFonts w:hint="eastAsia"/>
                <w:sz w:val="24"/>
                <w:szCs w:val="24"/>
                <w:vertAlign w:val="baseline"/>
                <w:lang w:val="en-US" w:eastAsia="zh-CN"/>
              </w:rPr>
            </w:pPr>
            <w:r>
              <w:rPr>
                <w:rFonts w:hint="eastAsia"/>
                <w:sz w:val="24"/>
                <w:szCs w:val="24"/>
                <w:vertAlign w:val="baseline"/>
                <w:lang w:val="en-US" w:eastAsia="zh-CN"/>
              </w:rPr>
              <w:t>云塔广场西公厕</w:t>
            </w:r>
          </w:p>
          <w:p>
            <w:pPr>
              <w:jc w:val="left"/>
              <w:rPr>
                <w:rFonts w:hint="eastAsia"/>
                <w:sz w:val="24"/>
                <w:szCs w:val="24"/>
                <w:vertAlign w:val="baseline"/>
                <w:lang w:val="en-US" w:eastAsia="zh-CN"/>
              </w:rPr>
            </w:pPr>
            <w:r>
              <w:rPr>
                <w:rFonts w:hint="eastAsia"/>
                <w:sz w:val="24"/>
                <w:szCs w:val="24"/>
                <w:vertAlign w:val="baseline"/>
                <w:lang w:val="en-US" w:eastAsia="zh-CN"/>
              </w:rPr>
              <w:t>菜市场公厕</w:t>
            </w:r>
          </w:p>
          <w:p>
            <w:pPr>
              <w:jc w:val="left"/>
              <w:rPr>
                <w:rFonts w:hint="default"/>
                <w:sz w:val="24"/>
                <w:szCs w:val="24"/>
                <w:vertAlign w:val="baseline"/>
                <w:lang w:val="en-US" w:eastAsia="zh-CN"/>
              </w:rPr>
            </w:pPr>
            <w:r>
              <w:rPr>
                <w:rFonts w:hint="eastAsia"/>
                <w:sz w:val="24"/>
                <w:szCs w:val="24"/>
                <w:vertAlign w:val="baseline"/>
                <w:lang w:val="en-US" w:eastAsia="zh-CN"/>
              </w:rPr>
              <w:t>八一公厕</w:t>
            </w:r>
          </w:p>
        </w:tc>
        <w:tc>
          <w:tcPr>
            <w:tcW w:w="604" w:type="pct"/>
            <w:vMerge w:val="restart"/>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按照甲方的要求，清运甲方指定的垃圾收集点位。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石桥路</w:t>
            </w:r>
          </w:p>
        </w:tc>
        <w:tc>
          <w:tcPr>
            <w:tcW w:w="84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中心街-北环路</w:t>
            </w:r>
          </w:p>
        </w:tc>
        <w:tc>
          <w:tcPr>
            <w:tcW w:w="51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26040</w:t>
            </w:r>
          </w:p>
        </w:tc>
        <w:tc>
          <w:tcPr>
            <w:tcW w:w="3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二</w:t>
            </w:r>
          </w:p>
        </w:tc>
        <w:tc>
          <w:tcPr>
            <w:tcW w:w="1010" w:type="pct"/>
            <w:vMerge w:val="continue"/>
            <w:noWrap w:val="0"/>
            <w:vAlign w:val="center"/>
          </w:tcPr>
          <w:p>
            <w:pPr>
              <w:jc w:val="center"/>
              <w:rPr>
                <w:rFonts w:hint="default"/>
                <w:sz w:val="24"/>
                <w:szCs w:val="24"/>
                <w:vertAlign w:val="baseline"/>
                <w:lang w:val="en-US" w:eastAsia="zh-CN"/>
              </w:rPr>
            </w:pPr>
          </w:p>
        </w:tc>
        <w:tc>
          <w:tcPr>
            <w:tcW w:w="453"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万景路</w:t>
            </w:r>
          </w:p>
        </w:tc>
        <w:tc>
          <w:tcPr>
            <w:tcW w:w="84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石桥路-太白路</w:t>
            </w:r>
          </w:p>
        </w:tc>
        <w:tc>
          <w:tcPr>
            <w:tcW w:w="51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10725</w:t>
            </w:r>
          </w:p>
        </w:tc>
        <w:tc>
          <w:tcPr>
            <w:tcW w:w="3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三</w:t>
            </w:r>
          </w:p>
        </w:tc>
        <w:tc>
          <w:tcPr>
            <w:tcW w:w="1010" w:type="pct"/>
            <w:vMerge w:val="continue"/>
            <w:noWrap w:val="0"/>
            <w:vAlign w:val="center"/>
          </w:tcPr>
          <w:p>
            <w:pPr>
              <w:jc w:val="center"/>
              <w:rPr>
                <w:rFonts w:hint="default"/>
                <w:sz w:val="24"/>
                <w:szCs w:val="24"/>
                <w:vertAlign w:val="baseline"/>
                <w:lang w:val="en-US" w:eastAsia="zh-CN"/>
              </w:rPr>
            </w:pPr>
          </w:p>
        </w:tc>
        <w:tc>
          <w:tcPr>
            <w:tcW w:w="453"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太白路</w:t>
            </w:r>
          </w:p>
        </w:tc>
        <w:tc>
          <w:tcPr>
            <w:tcW w:w="84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加气站北-农商街</w:t>
            </w:r>
          </w:p>
        </w:tc>
        <w:tc>
          <w:tcPr>
            <w:tcW w:w="51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58217</w:t>
            </w:r>
          </w:p>
        </w:tc>
        <w:tc>
          <w:tcPr>
            <w:tcW w:w="3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一</w:t>
            </w:r>
          </w:p>
        </w:tc>
        <w:tc>
          <w:tcPr>
            <w:tcW w:w="1010" w:type="pct"/>
            <w:vMerge w:val="continue"/>
            <w:noWrap w:val="0"/>
            <w:vAlign w:val="center"/>
          </w:tcPr>
          <w:p>
            <w:pPr>
              <w:jc w:val="center"/>
              <w:rPr>
                <w:rFonts w:hint="default"/>
                <w:sz w:val="24"/>
                <w:szCs w:val="24"/>
                <w:vertAlign w:val="baseline"/>
                <w:lang w:val="en-US" w:eastAsia="zh-CN"/>
              </w:rPr>
            </w:pPr>
          </w:p>
        </w:tc>
        <w:tc>
          <w:tcPr>
            <w:tcW w:w="453"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农商街</w:t>
            </w:r>
          </w:p>
        </w:tc>
        <w:tc>
          <w:tcPr>
            <w:tcW w:w="84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建设路-太白路</w:t>
            </w:r>
          </w:p>
        </w:tc>
        <w:tc>
          <w:tcPr>
            <w:tcW w:w="51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18730</w:t>
            </w:r>
          </w:p>
        </w:tc>
        <w:tc>
          <w:tcPr>
            <w:tcW w:w="3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一</w:t>
            </w:r>
          </w:p>
        </w:tc>
        <w:tc>
          <w:tcPr>
            <w:tcW w:w="1010" w:type="pct"/>
            <w:vMerge w:val="continue"/>
            <w:noWrap w:val="0"/>
            <w:vAlign w:val="center"/>
          </w:tcPr>
          <w:p>
            <w:pPr>
              <w:jc w:val="center"/>
              <w:rPr>
                <w:rFonts w:hint="default"/>
                <w:sz w:val="24"/>
                <w:szCs w:val="24"/>
                <w:vertAlign w:val="baseline"/>
                <w:lang w:val="en-US" w:eastAsia="zh-CN"/>
              </w:rPr>
            </w:pPr>
          </w:p>
        </w:tc>
        <w:tc>
          <w:tcPr>
            <w:tcW w:w="453"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中心街</w:t>
            </w:r>
          </w:p>
        </w:tc>
        <w:tc>
          <w:tcPr>
            <w:tcW w:w="84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南大街—转盘</w:t>
            </w:r>
          </w:p>
        </w:tc>
        <w:tc>
          <w:tcPr>
            <w:tcW w:w="51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29561.2</w:t>
            </w:r>
          </w:p>
        </w:tc>
        <w:tc>
          <w:tcPr>
            <w:tcW w:w="3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一</w:t>
            </w:r>
          </w:p>
        </w:tc>
        <w:tc>
          <w:tcPr>
            <w:tcW w:w="1010" w:type="pct"/>
            <w:vMerge w:val="continue"/>
            <w:noWrap w:val="0"/>
            <w:vAlign w:val="center"/>
          </w:tcPr>
          <w:p>
            <w:pPr>
              <w:jc w:val="center"/>
              <w:rPr>
                <w:rFonts w:hint="default"/>
                <w:sz w:val="24"/>
                <w:szCs w:val="24"/>
                <w:vertAlign w:val="baseline"/>
                <w:lang w:val="en-US" w:eastAsia="zh-CN"/>
              </w:rPr>
            </w:pPr>
          </w:p>
        </w:tc>
        <w:tc>
          <w:tcPr>
            <w:tcW w:w="453"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中心街</w:t>
            </w:r>
          </w:p>
        </w:tc>
        <w:tc>
          <w:tcPr>
            <w:tcW w:w="84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太白路-鹏辉汽贸</w:t>
            </w:r>
          </w:p>
        </w:tc>
        <w:tc>
          <w:tcPr>
            <w:tcW w:w="51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42930</w:t>
            </w:r>
          </w:p>
        </w:tc>
        <w:tc>
          <w:tcPr>
            <w:tcW w:w="3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二</w:t>
            </w:r>
          </w:p>
        </w:tc>
        <w:tc>
          <w:tcPr>
            <w:tcW w:w="1010" w:type="pct"/>
            <w:vMerge w:val="continue"/>
            <w:noWrap w:val="0"/>
            <w:vAlign w:val="center"/>
          </w:tcPr>
          <w:p>
            <w:pPr>
              <w:jc w:val="center"/>
              <w:rPr>
                <w:rFonts w:hint="default"/>
                <w:sz w:val="24"/>
                <w:szCs w:val="24"/>
                <w:vertAlign w:val="baseline"/>
                <w:lang w:val="en-US" w:eastAsia="zh-CN"/>
              </w:rPr>
            </w:pPr>
          </w:p>
        </w:tc>
        <w:tc>
          <w:tcPr>
            <w:tcW w:w="453"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老街</w:t>
            </w:r>
          </w:p>
        </w:tc>
        <w:tc>
          <w:tcPr>
            <w:tcW w:w="84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北大街—石桥路</w:t>
            </w:r>
          </w:p>
        </w:tc>
        <w:tc>
          <w:tcPr>
            <w:tcW w:w="51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29811</w:t>
            </w:r>
          </w:p>
        </w:tc>
        <w:tc>
          <w:tcPr>
            <w:tcW w:w="3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二</w:t>
            </w:r>
          </w:p>
        </w:tc>
        <w:tc>
          <w:tcPr>
            <w:tcW w:w="1010" w:type="pct"/>
            <w:vMerge w:val="continue"/>
            <w:noWrap w:val="0"/>
            <w:vAlign w:val="center"/>
          </w:tcPr>
          <w:p>
            <w:pPr>
              <w:jc w:val="center"/>
              <w:rPr>
                <w:rFonts w:hint="default"/>
                <w:sz w:val="24"/>
                <w:szCs w:val="24"/>
                <w:vertAlign w:val="baseline"/>
                <w:lang w:val="en-US" w:eastAsia="zh-CN"/>
              </w:rPr>
            </w:pPr>
          </w:p>
        </w:tc>
        <w:tc>
          <w:tcPr>
            <w:tcW w:w="453"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瑞光路</w:t>
            </w:r>
          </w:p>
        </w:tc>
        <w:tc>
          <w:tcPr>
            <w:tcW w:w="84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剧院门口-中心西街</w:t>
            </w:r>
          </w:p>
        </w:tc>
        <w:tc>
          <w:tcPr>
            <w:tcW w:w="51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26267</w:t>
            </w:r>
          </w:p>
        </w:tc>
        <w:tc>
          <w:tcPr>
            <w:tcW w:w="3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二</w:t>
            </w:r>
          </w:p>
        </w:tc>
        <w:tc>
          <w:tcPr>
            <w:tcW w:w="1010" w:type="pct"/>
            <w:vMerge w:val="continue"/>
            <w:noWrap w:val="0"/>
            <w:vAlign w:val="center"/>
          </w:tcPr>
          <w:p>
            <w:pPr>
              <w:jc w:val="center"/>
              <w:rPr>
                <w:rFonts w:hint="default"/>
                <w:sz w:val="24"/>
                <w:szCs w:val="24"/>
                <w:vertAlign w:val="baseline"/>
                <w:lang w:val="en-US" w:eastAsia="zh-CN"/>
              </w:rPr>
            </w:pPr>
          </w:p>
        </w:tc>
        <w:tc>
          <w:tcPr>
            <w:tcW w:w="453"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教堂路</w:t>
            </w:r>
          </w:p>
        </w:tc>
        <w:tc>
          <w:tcPr>
            <w:tcW w:w="84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北环路-老街</w:t>
            </w:r>
          </w:p>
        </w:tc>
        <w:tc>
          <w:tcPr>
            <w:tcW w:w="51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9522</w:t>
            </w:r>
          </w:p>
        </w:tc>
        <w:tc>
          <w:tcPr>
            <w:tcW w:w="3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一</w:t>
            </w:r>
          </w:p>
        </w:tc>
        <w:tc>
          <w:tcPr>
            <w:tcW w:w="1010" w:type="pct"/>
            <w:vMerge w:val="continue"/>
            <w:noWrap w:val="0"/>
            <w:vAlign w:val="center"/>
          </w:tcPr>
          <w:p>
            <w:pPr>
              <w:jc w:val="center"/>
              <w:rPr>
                <w:rFonts w:hint="default"/>
                <w:sz w:val="24"/>
                <w:szCs w:val="24"/>
                <w:vertAlign w:val="baseline"/>
                <w:lang w:val="en-US" w:eastAsia="zh-CN"/>
              </w:rPr>
            </w:pPr>
          </w:p>
        </w:tc>
        <w:tc>
          <w:tcPr>
            <w:tcW w:w="453"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建设路</w:t>
            </w:r>
          </w:p>
        </w:tc>
        <w:tc>
          <w:tcPr>
            <w:tcW w:w="84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中心街-农商街</w:t>
            </w:r>
          </w:p>
        </w:tc>
        <w:tc>
          <w:tcPr>
            <w:tcW w:w="51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5282</w:t>
            </w:r>
          </w:p>
        </w:tc>
        <w:tc>
          <w:tcPr>
            <w:tcW w:w="3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二</w:t>
            </w:r>
          </w:p>
        </w:tc>
        <w:tc>
          <w:tcPr>
            <w:tcW w:w="1010" w:type="pct"/>
            <w:vMerge w:val="continue"/>
            <w:noWrap w:val="0"/>
            <w:vAlign w:val="center"/>
          </w:tcPr>
          <w:p>
            <w:pPr>
              <w:jc w:val="center"/>
              <w:rPr>
                <w:rFonts w:hint="default"/>
                <w:sz w:val="24"/>
                <w:szCs w:val="24"/>
                <w:vertAlign w:val="baseline"/>
                <w:lang w:val="en-US" w:eastAsia="zh-CN"/>
              </w:rPr>
            </w:pPr>
          </w:p>
        </w:tc>
        <w:tc>
          <w:tcPr>
            <w:tcW w:w="453"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云塔南路</w:t>
            </w:r>
          </w:p>
        </w:tc>
        <w:tc>
          <w:tcPr>
            <w:tcW w:w="84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农商街-中心街</w:t>
            </w:r>
          </w:p>
        </w:tc>
        <w:tc>
          <w:tcPr>
            <w:tcW w:w="51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6412.5</w:t>
            </w:r>
          </w:p>
        </w:tc>
        <w:tc>
          <w:tcPr>
            <w:tcW w:w="3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二</w:t>
            </w:r>
          </w:p>
        </w:tc>
        <w:tc>
          <w:tcPr>
            <w:tcW w:w="1010" w:type="pct"/>
            <w:vMerge w:val="continue"/>
            <w:noWrap w:val="0"/>
            <w:vAlign w:val="center"/>
          </w:tcPr>
          <w:p>
            <w:pPr>
              <w:jc w:val="center"/>
              <w:rPr>
                <w:rFonts w:hint="default"/>
                <w:sz w:val="24"/>
                <w:szCs w:val="24"/>
                <w:vertAlign w:val="baseline"/>
                <w:lang w:val="en-US" w:eastAsia="zh-CN"/>
              </w:rPr>
            </w:pPr>
          </w:p>
        </w:tc>
        <w:tc>
          <w:tcPr>
            <w:tcW w:w="453"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云塔北路</w:t>
            </w:r>
          </w:p>
        </w:tc>
        <w:tc>
          <w:tcPr>
            <w:tcW w:w="84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中心街-北环路</w:t>
            </w:r>
          </w:p>
        </w:tc>
        <w:tc>
          <w:tcPr>
            <w:tcW w:w="51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15174</w:t>
            </w:r>
          </w:p>
        </w:tc>
        <w:tc>
          <w:tcPr>
            <w:tcW w:w="3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一</w:t>
            </w:r>
          </w:p>
        </w:tc>
        <w:tc>
          <w:tcPr>
            <w:tcW w:w="1010" w:type="pct"/>
            <w:vMerge w:val="continue"/>
            <w:noWrap w:val="0"/>
            <w:vAlign w:val="center"/>
          </w:tcPr>
          <w:p>
            <w:pPr>
              <w:jc w:val="center"/>
              <w:rPr>
                <w:rFonts w:hint="default"/>
                <w:sz w:val="24"/>
                <w:szCs w:val="24"/>
                <w:vertAlign w:val="baseline"/>
                <w:lang w:val="en-US" w:eastAsia="zh-CN"/>
              </w:rPr>
            </w:pPr>
          </w:p>
        </w:tc>
        <w:tc>
          <w:tcPr>
            <w:tcW w:w="453"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合计</w:t>
            </w:r>
          </w:p>
        </w:tc>
        <w:tc>
          <w:tcPr>
            <w:tcW w:w="840" w:type="pct"/>
            <w:noWrap w:val="0"/>
            <w:vAlign w:val="center"/>
          </w:tcPr>
          <w:p>
            <w:pPr>
              <w:jc w:val="center"/>
              <w:rPr>
                <w:rFonts w:hint="eastAsia"/>
                <w:sz w:val="24"/>
                <w:szCs w:val="24"/>
                <w:vertAlign w:val="baseline"/>
                <w:lang w:val="en-US" w:eastAsia="zh-CN"/>
              </w:rPr>
            </w:pPr>
          </w:p>
        </w:tc>
        <w:tc>
          <w:tcPr>
            <w:tcW w:w="510" w:type="pct"/>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fldChar w:fldCharType="begin"/>
            </w:r>
            <w:r>
              <w:rPr>
                <w:rFonts w:hint="eastAsia"/>
                <w:sz w:val="24"/>
                <w:szCs w:val="24"/>
                <w:vertAlign w:val="baseline"/>
                <w:lang w:val="en-US" w:eastAsia="zh-CN"/>
              </w:rPr>
              <w:instrText xml:space="preserve"> = sum(C3:C15) \* MERGEFORMAT </w:instrText>
            </w:r>
            <w:r>
              <w:rPr>
                <w:rFonts w:hint="eastAsia"/>
                <w:sz w:val="24"/>
                <w:szCs w:val="24"/>
                <w:vertAlign w:val="baseline"/>
                <w:lang w:val="en-US" w:eastAsia="zh-CN"/>
              </w:rPr>
              <w:fldChar w:fldCharType="separate"/>
            </w:r>
            <w:r>
              <w:rPr>
                <w:rFonts w:hint="eastAsia"/>
                <w:sz w:val="24"/>
                <w:szCs w:val="24"/>
                <w:vertAlign w:val="baseline"/>
                <w:lang w:val="en-US" w:eastAsia="zh-CN"/>
              </w:rPr>
              <w:t>346555.7</w:t>
            </w:r>
            <w:r>
              <w:rPr>
                <w:rFonts w:hint="eastAsia"/>
                <w:sz w:val="24"/>
                <w:szCs w:val="24"/>
                <w:vertAlign w:val="baseline"/>
                <w:lang w:val="en-US" w:eastAsia="zh-CN"/>
              </w:rPr>
              <w:fldChar w:fldCharType="end"/>
            </w:r>
          </w:p>
        </w:tc>
        <w:tc>
          <w:tcPr>
            <w:tcW w:w="380" w:type="pct"/>
            <w:noWrap w:val="0"/>
            <w:vAlign w:val="center"/>
          </w:tcPr>
          <w:p>
            <w:pPr>
              <w:jc w:val="center"/>
              <w:rPr>
                <w:rFonts w:hint="eastAsia"/>
                <w:sz w:val="24"/>
                <w:szCs w:val="24"/>
                <w:vertAlign w:val="baseline"/>
                <w:lang w:val="en-US" w:eastAsia="zh-CN"/>
              </w:rPr>
            </w:pPr>
          </w:p>
        </w:tc>
        <w:tc>
          <w:tcPr>
            <w:tcW w:w="1010" w:type="pct"/>
            <w:vMerge w:val="continue"/>
            <w:noWrap w:val="0"/>
            <w:vAlign w:val="center"/>
          </w:tcPr>
          <w:p>
            <w:pPr>
              <w:jc w:val="center"/>
              <w:rPr>
                <w:rFonts w:hint="default"/>
                <w:sz w:val="24"/>
                <w:szCs w:val="24"/>
                <w:vertAlign w:val="baseline"/>
                <w:lang w:val="en-US" w:eastAsia="zh-CN"/>
              </w:rPr>
            </w:pPr>
          </w:p>
        </w:tc>
        <w:tc>
          <w:tcPr>
            <w:tcW w:w="453"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c>
          <w:tcPr>
            <w:tcW w:w="604" w:type="pct"/>
            <w:vMerge w:val="continue"/>
            <w:noWrap w:val="0"/>
            <w:vAlign w:val="top"/>
          </w:tcPr>
          <w:p>
            <w:pPr>
              <w:jc w:val="center"/>
              <w:rPr>
                <w:rFonts w:hint="default"/>
                <w:sz w:val="24"/>
                <w:szCs w:val="24"/>
                <w:vertAlign w:val="baseline"/>
                <w:lang w:val="en-US" w:eastAsia="zh-CN"/>
              </w:rPr>
            </w:pPr>
          </w:p>
        </w:tc>
      </w:tr>
    </w:tbl>
    <w:p>
      <w:pPr>
        <w:pStyle w:val="23"/>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jc w:val="center"/>
        <w:outlineLvl w:val="0"/>
        <w:rPr>
          <w:rFonts w:ascii="宋体" w:hAnsi="宋体" w:cs="宋体"/>
          <w:b/>
          <w:sz w:val="36"/>
          <w:szCs w:val="36"/>
        </w:rPr>
      </w:pPr>
      <w:bookmarkStart w:id="39" w:name="_Toc6910"/>
      <w:r>
        <w:rPr>
          <w:rFonts w:hint="eastAsia" w:ascii="宋体" w:hAnsi="宋体" w:cs="宋体"/>
          <w:b/>
          <w:sz w:val="36"/>
          <w:szCs w:val="36"/>
        </w:rPr>
        <w:t>第六章 投标文件格式</w:t>
      </w:r>
      <w:bookmarkEnd w:id="39"/>
    </w:p>
    <w:p>
      <w:pPr>
        <w:pStyle w:val="24"/>
        <w:ind w:left="0" w:leftChars="0" w:firstLine="529" w:firstLineChars="0"/>
        <w:rPr>
          <w:rFonts w:ascii="宋体" w:hAnsi="宋体"/>
          <w:b/>
          <w:sz w:val="30"/>
          <w:szCs w:val="30"/>
        </w:rPr>
      </w:pPr>
    </w:p>
    <w:p>
      <w:pPr>
        <w:pStyle w:val="24"/>
        <w:ind w:left="0" w:leftChars="0" w:firstLine="0" w:firstLineChars="0"/>
        <w:rPr>
          <w:rFonts w:ascii="宋体" w:hAnsi="宋体"/>
          <w:b/>
          <w:sz w:val="30"/>
          <w:szCs w:val="30"/>
        </w:rPr>
      </w:pPr>
    </w:p>
    <w:p>
      <w:pPr>
        <w:pStyle w:val="24"/>
        <w:ind w:left="0" w:leftChars="0" w:firstLine="0" w:firstLineChars="0"/>
        <w:rPr>
          <w:rFonts w:ascii="宋体" w:hAnsi="宋体"/>
          <w:b/>
          <w:sz w:val="30"/>
          <w:szCs w:val="30"/>
        </w:rPr>
        <w:sectPr>
          <w:headerReference r:id="rId9" w:type="default"/>
          <w:footerReference r:id="rId10" w:type="default"/>
          <w:pgSz w:w="11906" w:h="16838"/>
          <w:pgMar w:top="1418" w:right="1418" w:bottom="1418" w:left="1418" w:header="851" w:footer="992" w:gutter="0"/>
          <w:pgNumType w:fmt="decimal"/>
          <w:cols w:space="720" w:num="1"/>
          <w:docGrid w:linePitch="312" w:charSpace="0"/>
        </w:sectPr>
      </w:pPr>
    </w:p>
    <w:bookmarkEnd w:id="14"/>
    <w:p>
      <w:pPr>
        <w:tabs>
          <w:tab w:val="left" w:pos="5218"/>
        </w:tabs>
        <w:spacing w:before="240" w:beforeLines="100" w:line="360" w:lineRule="auto"/>
        <w:jc w:val="left"/>
        <w:rPr>
          <w:rFonts w:hint="eastAsia" w:ascii="宋体" w:hAnsi="宋体" w:eastAsia="宋体" w:cs="宋体"/>
          <w:b/>
          <w:sz w:val="24"/>
          <w:szCs w:val="24"/>
          <w:lang w:eastAsia="zh-CN"/>
        </w:rPr>
      </w:pPr>
      <w:r>
        <w:rPr>
          <w:rFonts w:hint="eastAsia" w:ascii="宋体" w:hAnsi="宋体" w:cs="宋体"/>
          <w:b/>
          <w:sz w:val="24"/>
          <w:szCs w:val="24"/>
        </w:rPr>
        <w:t>招标项目编号：</w:t>
      </w:r>
      <w:r>
        <w:rPr>
          <w:rFonts w:hint="eastAsia" w:ascii="宋体" w:hAnsi="宋体" w:cs="宋体"/>
          <w:b/>
          <w:sz w:val="24"/>
          <w:szCs w:val="24"/>
          <w:lang w:eastAsia="zh-CN"/>
        </w:rPr>
        <w:t>TYRZ-2024-ZZ059-1</w:t>
      </w:r>
    </w:p>
    <w:p>
      <w:pPr>
        <w:spacing w:line="360" w:lineRule="auto"/>
        <w:rPr>
          <w:rFonts w:ascii="宋体" w:hAnsi="宋体" w:cs="宋体"/>
          <w:sz w:val="44"/>
          <w:szCs w:val="44"/>
        </w:rPr>
      </w:pPr>
    </w:p>
    <w:p>
      <w:pPr>
        <w:pStyle w:val="42"/>
        <w:rPr>
          <w:rFonts w:ascii="宋体" w:hAnsi="宋体" w:cs="宋体"/>
          <w:sz w:val="44"/>
          <w:szCs w:val="44"/>
        </w:rPr>
      </w:pPr>
    </w:p>
    <w:p>
      <w:pPr>
        <w:pStyle w:val="42"/>
        <w:rPr>
          <w:rFonts w:ascii="宋体" w:hAnsi="宋体" w:cs="宋体"/>
          <w:sz w:val="44"/>
          <w:szCs w:val="44"/>
        </w:rPr>
      </w:pPr>
    </w:p>
    <w:p>
      <w:pPr>
        <w:adjustRightInd w:val="0"/>
        <w:snapToGrid w:val="0"/>
        <w:spacing w:line="360" w:lineRule="auto"/>
        <w:jc w:val="center"/>
        <w:rPr>
          <w:rFonts w:hint="eastAsia" w:ascii="宋体" w:hAnsi="宋体" w:cs="宋体"/>
          <w:b/>
          <w:sz w:val="48"/>
          <w:szCs w:val="48"/>
          <w:shd w:val="clear" w:color="auto" w:fill="FFFFFF"/>
          <w:lang w:eastAsia="zh-CN"/>
        </w:rPr>
      </w:pPr>
      <w:r>
        <w:rPr>
          <w:rFonts w:hint="eastAsia" w:ascii="宋体" w:hAnsi="宋体" w:cs="宋体"/>
          <w:b/>
          <w:sz w:val="48"/>
          <w:szCs w:val="48"/>
          <w:shd w:val="clear" w:color="auto" w:fill="FFFFFF"/>
          <w:lang w:eastAsia="zh-CN"/>
        </w:rPr>
        <w:t>2024年周至县道路清扫保洁、垃圾清运、绿化养护、公厕管理市场化运作项目</w:t>
      </w:r>
    </w:p>
    <w:p>
      <w:pPr>
        <w:pStyle w:val="24"/>
        <w:ind w:left="0" w:leftChars="0" w:firstLine="0" w:firstLineChars="0"/>
        <w:jc w:val="center"/>
        <w:rPr>
          <w:rFonts w:hint="eastAsia"/>
          <w:lang w:eastAsia="zh-CN"/>
        </w:rPr>
      </w:pPr>
      <w:r>
        <w:rPr>
          <w:rFonts w:hint="eastAsia" w:ascii="宋体" w:hAnsi="宋体" w:cs="宋体"/>
          <w:b/>
          <w:sz w:val="48"/>
          <w:szCs w:val="48"/>
          <w:shd w:val="clear" w:color="auto" w:fill="FFFFFF"/>
          <w:lang w:eastAsia="zh-CN"/>
        </w:rPr>
        <w:t>（合同包</w:t>
      </w:r>
      <w:r>
        <w:rPr>
          <w:rFonts w:hint="eastAsia" w:ascii="宋体" w:hAnsi="宋体" w:cs="宋体"/>
          <w:b/>
          <w:sz w:val="48"/>
          <w:szCs w:val="48"/>
          <w:u w:val="single"/>
          <w:shd w:val="clear" w:color="auto" w:fill="FFFFFF"/>
          <w:lang w:val="en-US" w:eastAsia="zh-CN"/>
        </w:rPr>
        <w:t xml:space="preserve"> 1 </w:t>
      </w:r>
      <w:r>
        <w:rPr>
          <w:rFonts w:hint="eastAsia" w:ascii="宋体" w:hAnsi="宋体" w:cs="宋体"/>
          <w:b/>
          <w:sz w:val="48"/>
          <w:szCs w:val="48"/>
          <w:shd w:val="clear" w:color="auto" w:fill="FFFFFF"/>
          <w:lang w:eastAsia="zh-CN"/>
        </w:rPr>
        <w:t>）</w:t>
      </w:r>
    </w:p>
    <w:p>
      <w:pPr>
        <w:pStyle w:val="24"/>
      </w:pPr>
    </w:p>
    <w:p>
      <w:pPr>
        <w:adjustRightInd w:val="0"/>
        <w:snapToGrid w:val="0"/>
        <w:spacing w:line="360" w:lineRule="auto"/>
        <w:jc w:val="center"/>
        <w:rPr>
          <w:rFonts w:ascii="宋体" w:hAnsi="宋体" w:cs="宋体"/>
          <w:b/>
          <w:sz w:val="68"/>
        </w:rPr>
      </w:pPr>
    </w:p>
    <w:p>
      <w:pPr>
        <w:adjustRightInd w:val="0"/>
        <w:snapToGrid w:val="0"/>
        <w:spacing w:line="360" w:lineRule="auto"/>
        <w:jc w:val="center"/>
        <w:rPr>
          <w:rFonts w:hint="eastAsia" w:ascii="宋体" w:hAnsi="宋体" w:cs="宋体"/>
          <w:b/>
          <w:sz w:val="68"/>
        </w:rPr>
      </w:pPr>
      <w:r>
        <w:rPr>
          <w:rFonts w:hint="eastAsia" w:ascii="宋体" w:hAnsi="宋体" w:cs="宋体"/>
          <w:b/>
          <w:sz w:val="68"/>
        </w:rPr>
        <w:t>投标文件</w:t>
      </w:r>
    </w:p>
    <w:p>
      <w:pPr>
        <w:jc w:val="center"/>
        <w:rPr>
          <w:rFonts w:ascii="宋体" w:hAnsi="宋体"/>
          <w:b/>
        </w:rPr>
      </w:pPr>
    </w:p>
    <w:p>
      <w:pPr>
        <w:rPr>
          <w:rFonts w:ascii="宋体" w:hAnsi="宋体"/>
          <w:b/>
          <w:spacing w:val="76"/>
          <w:sz w:val="30"/>
        </w:rPr>
      </w:pPr>
    </w:p>
    <w:p>
      <w:pPr>
        <w:ind w:left="1078" w:firstLine="735"/>
        <w:rPr>
          <w:rFonts w:ascii="宋体" w:hAnsi="宋体"/>
          <w:b/>
          <w:u w:val="single"/>
        </w:rPr>
      </w:pPr>
    </w:p>
    <w:p>
      <w:pPr>
        <w:spacing w:line="600" w:lineRule="exact"/>
        <w:ind w:firstLine="1077" w:firstLineChars="383"/>
        <w:rPr>
          <w:rFonts w:ascii="宋体" w:hAnsi="宋体"/>
          <w:b/>
          <w:sz w:val="28"/>
          <w:szCs w:val="28"/>
          <w:u w:val="single"/>
        </w:rPr>
      </w:pPr>
      <w:r>
        <w:rPr>
          <w:rFonts w:hint="eastAsia" w:ascii="宋体" w:hAnsi="宋体"/>
          <w:b/>
          <w:sz w:val="28"/>
          <w:szCs w:val="28"/>
        </w:rPr>
        <w:t>投 标 人：</w:t>
      </w:r>
      <w:r>
        <w:rPr>
          <w:rFonts w:hint="eastAsia" w:ascii="宋体" w:hAnsi="宋体"/>
          <w:b/>
          <w:sz w:val="28"/>
          <w:szCs w:val="28"/>
          <w:u w:val="single"/>
        </w:rPr>
        <w:t xml:space="preserve">      </w:t>
      </w:r>
      <w:r>
        <w:rPr>
          <w:rFonts w:hint="eastAsia" w:ascii="宋体" w:hAnsi="宋体"/>
          <w:b/>
          <w:sz w:val="28"/>
          <w:szCs w:val="28"/>
          <w:u w:val="single"/>
        </w:rPr>
        <w:tab/>
      </w:r>
      <w:r>
        <w:rPr>
          <w:rFonts w:hint="eastAsia" w:ascii="宋体" w:hAnsi="宋体"/>
          <w:b/>
          <w:sz w:val="28"/>
          <w:szCs w:val="28"/>
          <w:u w:val="single"/>
        </w:rPr>
        <w:tab/>
      </w:r>
      <w:r>
        <w:rPr>
          <w:rFonts w:hint="eastAsia" w:ascii="宋体" w:hAnsi="宋体"/>
          <w:b/>
          <w:sz w:val="28"/>
          <w:szCs w:val="28"/>
          <w:u w:val="single"/>
        </w:rPr>
        <w:t xml:space="preserve">               (盖公章)   </w:t>
      </w:r>
    </w:p>
    <w:p>
      <w:pPr>
        <w:spacing w:line="600" w:lineRule="exact"/>
        <w:ind w:firstLine="1079" w:firstLineChars="384"/>
        <w:rPr>
          <w:rFonts w:ascii="宋体" w:hAnsi="宋体"/>
          <w:b/>
          <w:sz w:val="28"/>
          <w:szCs w:val="28"/>
        </w:rPr>
      </w:pPr>
      <w:r>
        <w:rPr>
          <w:rFonts w:hint="eastAsia" w:ascii="宋体" w:hAnsi="宋体"/>
          <w:b/>
          <w:sz w:val="28"/>
          <w:szCs w:val="28"/>
        </w:rPr>
        <w:t>法定代表人或</w:t>
      </w:r>
    </w:p>
    <w:p>
      <w:pPr>
        <w:spacing w:line="600" w:lineRule="exact"/>
        <w:ind w:firstLine="1079" w:firstLineChars="384"/>
        <w:rPr>
          <w:rFonts w:ascii="宋体" w:hAnsi="宋体"/>
          <w:b/>
          <w:sz w:val="28"/>
          <w:szCs w:val="28"/>
          <w:u w:val="single"/>
        </w:rPr>
      </w:pPr>
      <w:r>
        <w:rPr>
          <w:rFonts w:hint="eastAsia" w:ascii="宋体" w:hAnsi="宋体"/>
          <w:b/>
          <w:sz w:val="28"/>
          <w:szCs w:val="28"/>
        </w:rPr>
        <w:t>被授权人：</w:t>
      </w:r>
      <w:r>
        <w:rPr>
          <w:rFonts w:hint="eastAsia" w:ascii="宋体" w:hAnsi="宋体"/>
          <w:b/>
          <w:sz w:val="28"/>
          <w:szCs w:val="28"/>
          <w:u w:val="single"/>
        </w:rPr>
        <w:t xml:space="preserve">                   （签字或盖章） </w:t>
      </w:r>
    </w:p>
    <w:p>
      <w:pPr>
        <w:spacing w:line="600" w:lineRule="exact"/>
        <w:ind w:firstLine="1079" w:firstLineChars="384"/>
        <w:rPr>
          <w:rFonts w:ascii="宋体" w:hAnsi="宋体"/>
          <w:b/>
          <w:sz w:val="28"/>
          <w:szCs w:val="28"/>
        </w:rPr>
      </w:pPr>
    </w:p>
    <w:p>
      <w:pPr>
        <w:spacing w:line="600" w:lineRule="exact"/>
        <w:ind w:firstLine="1079" w:firstLineChars="384"/>
        <w:rPr>
          <w:rFonts w:ascii="宋体" w:hAnsi="宋体"/>
          <w:b/>
          <w:sz w:val="28"/>
          <w:szCs w:val="28"/>
        </w:rPr>
      </w:pPr>
      <w:r>
        <w:rPr>
          <w:rFonts w:hint="eastAsia" w:ascii="宋体" w:hAnsi="宋体"/>
          <w:b/>
          <w:sz w:val="28"/>
          <w:szCs w:val="28"/>
        </w:rPr>
        <w:t xml:space="preserve">日        期：  </w:t>
      </w:r>
      <w:r>
        <w:rPr>
          <w:rFonts w:hint="eastAsia" w:ascii="宋体" w:hAnsi="宋体"/>
          <w:b/>
          <w:sz w:val="28"/>
          <w:szCs w:val="28"/>
          <w:u w:val="single"/>
        </w:rPr>
        <w:t xml:space="preserve">            </w:t>
      </w:r>
      <w:r>
        <w:rPr>
          <w:rFonts w:hint="eastAsia" w:ascii="宋体" w:hAnsi="宋体"/>
          <w:b/>
          <w:sz w:val="28"/>
          <w:szCs w:val="28"/>
        </w:rPr>
        <w:t>年</w:t>
      </w: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w:t>
      </w:r>
    </w:p>
    <w:p>
      <w:r>
        <w:br w:type="page"/>
      </w:r>
    </w:p>
    <w:p>
      <w:pPr>
        <w:spacing w:before="120" w:beforeLines="50" w:after="120" w:afterLines="50" w:line="360" w:lineRule="auto"/>
        <w:jc w:val="center"/>
        <w:rPr>
          <w:rFonts w:ascii="宋体" w:hAnsi="宋体"/>
          <w:b/>
          <w:bCs/>
          <w:spacing w:val="4"/>
          <w:sz w:val="32"/>
          <w:szCs w:val="32"/>
        </w:rPr>
      </w:pPr>
      <w:r>
        <w:rPr>
          <w:rFonts w:ascii="宋体" w:hAnsi="宋体"/>
          <w:b/>
          <w:bCs/>
          <w:spacing w:val="4"/>
          <w:sz w:val="32"/>
          <w:szCs w:val="32"/>
        </w:rPr>
        <w:t>目 录</w:t>
      </w:r>
    </w:p>
    <w:p>
      <w:pPr>
        <w:spacing w:line="480" w:lineRule="auto"/>
        <w:jc w:val="center"/>
        <w:rPr>
          <w:rFonts w:ascii="宋体" w:hAnsi="宋体"/>
          <w:spacing w:val="4"/>
          <w:sz w:val="30"/>
          <w:szCs w:val="30"/>
        </w:rPr>
      </w:pPr>
      <w:r>
        <w:rPr>
          <w:rFonts w:hint="eastAsia" w:ascii="宋体" w:hAnsi="宋体"/>
          <w:spacing w:val="4"/>
          <w:sz w:val="30"/>
          <w:szCs w:val="30"/>
        </w:rPr>
        <w:t>（格式自拟）</w:t>
      </w:r>
    </w:p>
    <w:p>
      <w:pPr>
        <w:numPr>
          <w:ilvl w:val="0"/>
          <w:numId w:val="0"/>
        </w:numPr>
        <w:tabs>
          <w:tab w:val="left" w:pos="3500"/>
          <w:tab w:val="left" w:pos="3700"/>
        </w:tabs>
        <w:spacing w:line="360" w:lineRule="auto"/>
        <w:jc w:val="left"/>
        <w:rPr>
          <w:rFonts w:hint="eastAsia" w:ascii="宋体" w:hAnsi="宋体" w:eastAsia="宋体" w:cs="宋体"/>
          <w:b/>
          <w:sz w:val="28"/>
          <w:szCs w:val="28"/>
        </w:rPr>
      </w:pPr>
      <w:r>
        <w:rPr>
          <w:rFonts w:hint="eastAsia" w:ascii="宋体" w:hAnsi="宋体" w:eastAsia="宋体" w:cs="宋体"/>
          <w:b/>
          <w:sz w:val="28"/>
          <w:szCs w:val="28"/>
          <w:lang w:eastAsia="zh-CN"/>
        </w:rPr>
        <w:t>一、</w:t>
      </w:r>
      <w:r>
        <w:rPr>
          <w:rFonts w:hint="eastAsia" w:ascii="宋体" w:hAnsi="宋体" w:eastAsia="宋体" w:cs="宋体"/>
          <w:b/>
          <w:sz w:val="28"/>
          <w:szCs w:val="28"/>
        </w:rPr>
        <w:t>投标函</w:t>
      </w:r>
    </w:p>
    <w:p>
      <w:pPr>
        <w:tabs>
          <w:tab w:val="left" w:pos="3500"/>
          <w:tab w:val="left" w:pos="3700"/>
        </w:tabs>
        <w:spacing w:line="360" w:lineRule="auto"/>
        <w:jc w:val="left"/>
        <w:rPr>
          <w:rFonts w:hint="eastAsia" w:ascii="宋体" w:hAnsi="宋体" w:eastAsia="宋体" w:cs="宋体"/>
          <w:b/>
          <w:sz w:val="28"/>
          <w:szCs w:val="28"/>
        </w:rPr>
      </w:pPr>
      <w:r>
        <w:rPr>
          <w:rFonts w:hint="eastAsia" w:ascii="宋体" w:hAnsi="宋体" w:eastAsia="宋体" w:cs="宋体"/>
          <w:b/>
          <w:sz w:val="28"/>
          <w:szCs w:val="28"/>
          <w:lang w:eastAsia="zh-CN"/>
        </w:rPr>
        <w:t>二</w:t>
      </w:r>
      <w:r>
        <w:rPr>
          <w:rFonts w:hint="eastAsia" w:ascii="宋体" w:hAnsi="宋体" w:eastAsia="宋体" w:cs="宋体"/>
          <w:b/>
          <w:sz w:val="28"/>
          <w:szCs w:val="28"/>
        </w:rPr>
        <w:t>、</w:t>
      </w:r>
      <w:r>
        <w:rPr>
          <w:rFonts w:hint="eastAsia" w:ascii="宋体" w:hAnsi="宋体" w:eastAsia="宋体" w:cs="宋体"/>
          <w:b/>
          <w:sz w:val="28"/>
          <w:szCs w:val="28"/>
          <w:lang w:eastAsia="zh-CN"/>
        </w:rPr>
        <w:t>开标一览表</w:t>
      </w:r>
    </w:p>
    <w:p>
      <w:pPr>
        <w:tabs>
          <w:tab w:val="left" w:pos="3500"/>
          <w:tab w:val="left" w:pos="3700"/>
        </w:tabs>
        <w:spacing w:line="360" w:lineRule="auto"/>
        <w:jc w:val="left"/>
        <w:rPr>
          <w:rFonts w:hint="eastAsia" w:ascii="宋体" w:hAnsi="宋体" w:eastAsia="宋体" w:cs="宋体"/>
          <w:sz w:val="28"/>
          <w:szCs w:val="28"/>
          <w:highlight w:val="none"/>
        </w:rPr>
      </w:pPr>
      <w:r>
        <w:rPr>
          <w:rFonts w:hint="eastAsia" w:ascii="宋体" w:hAnsi="宋体" w:eastAsia="宋体" w:cs="宋体"/>
          <w:b/>
          <w:sz w:val="28"/>
          <w:szCs w:val="28"/>
          <w:lang w:eastAsia="zh-CN"/>
        </w:rPr>
        <w:t>三、</w:t>
      </w:r>
      <w:r>
        <w:rPr>
          <w:rFonts w:hint="eastAsia" w:ascii="宋体" w:hAnsi="宋体" w:eastAsia="宋体" w:cs="宋体"/>
          <w:b/>
          <w:sz w:val="28"/>
          <w:szCs w:val="28"/>
        </w:rPr>
        <w:t>分项报价表</w:t>
      </w:r>
    </w:p>
    <w:p>
      <w:pPr>
        <w:jc w:val="lef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四、商务及合同条款偏离表</w:t>
      </w:r>
    </w:p>
    <w:p>
      <w:pPr>
        <w:jc w:val="left"/>
        <w:rPr>
          <w:rFonts w:hint="eastAsia" w:ascii="宋体" w:hAnsi="宋体" w:eastAsia="宋体" w:cs="宋体"/>
          <w:b/>
          <w:bCs/>
          <w:sz w:val="28"/>
          <w:szCs w:val="28"/>
          <w:highlight w:val="none"/>
          <w:lang w:val="en-US" w:eastAsia="zh-CN"/>
        </w:rPr>
      </w:pPr>
      <w:r>
        <w:rPr>
          <w:rFonts w:hint="eastAsia" w:ascii="宋体" w:hAnsi="宋体" w:eastAsia="宋体" w:cs="宋体"/>
          <w:b/>
          <w:sz w:val="28"/>
          <w:szCs w:val="28"/>
          <w:lang w:val="en-US" w:eastAsia="zh-CN"/>
        </w:rPr>
        <w:t>五、服务要求偏离表</w:t>
      </w:r>
    </w:p>
    <w:p>
      <w:pPr>
        <w:jc w:val="left"/>
        <w:rPr>
          <w:rFonts w:hint="eastAsia" w:ascii="宋体" w:hAnsi="宋体" w:eastAsia="宋体" w:cs="宋体"/>
          <w:b/>
          <w:sz w:val="28"/>
          <w:szCs w:val="28"/>
          <w:lang w:eastAsia="zh-CN"/>
        </w:rPr>
      </w:pPr>
      <w:r>
        <w:rPr>
          <w:rFonts w:hint="eastAsia" w:ascii="宋体" w:hAnsi="宋体" w:eastAsia="宋体" w:cs="宋体"/>
          <w:b/>
          <w:sz w:val="28"/>
          <w:szCs w:val="28"/>
          <w:lang w:eastAsia="zh-CN"/>
        </w:rPr>
        <w:t>六、资格证明文件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b/>
          <w:kern w:val="2"/>
          <w:sz w:val="28"/>
          <w:szCs w:val="28"/>
          <w:lang w:val="en-US" w:eastAsia="zh-CN" w:bidi="ar-SA"/>
        </w:rPr>
      </w:pPr>
      <w:r>
        <w:rPr>
          <w:rFonts w:hint="eastAsia" w:ascii="宋体" w:hAnsi="宋体" w:eastAsia="宋体" w:cs="宋体"/>
          <w:b/>
          <w:sz w:val="28"/>
          <w:szCs w:val="28"/>
          <w:lang w:eastAsia="zh-CN"/>
        </w:rPr>
        <w:t>七、</w:t>
      </w:r>
      <w:r>
        <w:rPr>
          <w:rFonts w:hint="eastAsia" w:ascii="宋体" w:hAnsi="宋体" w:eastAsia="宋体" w:cs="宋体"/>
          <w:b/>
          <w:kern w:val="2"/>
          <w:sz w:val="28"/>
          <w:szCs w:val="28"/>
          <w:lang w:val="en-US" w:eastAsia="zh-CN" w:bidi="ar-SA"/>
        </w:rPr>
        <w:t>供应商参加政府采购活动承诺书</w:t>
      </w:r>
    </w:p>
    <w:p>
      <w:pPr>
        <w:pStyle w:val="42"/>
        <w:jc w:val="left"/>
        <w:rPr>
          <w:rFonts w:hint="eastAsia" w:ascii="宋体" w:hAnsi="宋体" w:eastAsia="宋体" w:cs="宋体"/>
          <w:b/>
          <w:sz w:val="28"/>
          <w:szCs w:val="28"/>
          <w:lang w:eastAsia="zh-CN"/>
        </w:rPr>
      </w:pPr>
      <w:r>
        <w:rPr>
          <w:rFonts w:hint="eastAsia" w:ascii="宋体" w:hAnsi="宋体" w:eastAsia="宋体" w:cs="宋体"/>
          <w:b/>
          <w:sz w:val="28"/>
          <w:szCs w:val="28"/>
          <w:lang w:eastAsia="zh-CN"/>
        </w:rPr>
        <w:t>八、投标方案</w:t>
      </w:r>
    </w:p>
    <w:p>
      <w:pPr>
        <w:rPr>
          <w:rFonts w:hint="eastAsia" w:ascii="宋体" w:hAnsi="宋体"/>
          <w:b/>
          <w:sz w:val="24"/>
          <w:szCs w:val="24"/>
          <w:lang w:eastAsia="zh-CN"/>
        </w:rPr>
      </w:pPr>
      <w:r>
        <w:rPr>
          <w:rFonts w:hint="eastAsia" w:ascii="宋体" w:hAnsi="宋体" w:eastAsia="宋体" w:cs="宋体"/>
          <w:b/>
          <w:bCs/>
          <w:sz w:val="28"/>
          <w:szCs w:val="28"/>
          <w:lang w:val="en-US" w:eastAsia="zh-CN"/>
        </w:rPr>
        <w:t>九、</w:t>
      </w:r>
      <w:r>
        <w:rPr>
          <w:rFonts w:hint="eastAsia" w:ascii="宋体" w:hAnsi="宋体" w:eastAsia="宋体" w:cs="宋体"/>
          <w:b/>
          <w:bCs/>
          <w:color w:val="000000"/>
          <w:sz w:val="28"/>
          <w:szCs w:val="28"/>
          <w:highlight w:val="none"/>
        </w:rPr>
        <w:t>中小企业</w:t>
      </w:r>
      <w:r>
        <w:rPr>
          <w:rFonts w:hint="eastAsia" w:ascii="宋体" w:hAnsi="宋体" w:eastAsia="宋体" w:cs="宋体"/>
          <w:b/>
          <w:bCs/>
          <w:color w:val="000000"/>
          <w:sz w:val="28"/>
          <w:szCs w:val="28"/>
          <w:highlight w:val="none"/>
          <w:lang w:eastAsia="zh-CN"/>
        </w:rPr>
        <w:t>、</w:t>
      </w:r>
      <w:r>
        <w:rPr>
          <w:rFonts w:hint="eastAsia" w:ascii="宋体" w:hAnsi="宋体" w:eastAsia="宋体" w:cs="宋体"/>
          <w:b/>
          <w:bCs/>
          <w:color w:val="auto"/>
          <w:sz w:val="28"/>
          <w:szCs w:val="28"/>
          <w:highlight w:val="none"/>
          <w:lang w:val="en-US" w:eastAsia="zh-CN"/>
        </w:rPr>
        <w:t>监狱企业、残疾人福利性单位声明函</w:t>
      </w:r>
      <w:r>
        <w:rPr>
          <w:rFonts w:hint="eastAsia" w:ascii="宋体" w:hAnsi="宋体"/>
          <w:b/>
          <w:sz w:val="24"/>
          <w:szCs w:val="24"/>
          <w:lang w:eastAsia="zh-CN"/>
        </w:rPr>
        <w:br w:type="page"/>
      </w:r>
    </w:p>
    <w:p>
      <w:pPr>
        <w:numPr>
          <w:ilvl w:val="0"/>
          <w:numId w:val="0"/>
        </w:numPr>
        <w:tabs>
          <w:tab w:val="left" w:pos="3500"/>
          <w:tab w:val="left" w:pos="3700"/>
        </w:tabs>
        <w:spacing w:line="360" w:lineRule="auto"/>
        <w:jc w:val="center"/>
        <w:rPr>
          <w:rFonts w:hint="eastAsia" w:ascii="宋体" w:hAnsi="宋体"/>
          <w:b/>
          <w:sz w:val="28"/>
          <w:szCs w:val="28"/>
        </w:rPr>
      </w:pPr>
      <w:r>
        <w:rPr>
          <w:rFonts w:hint="eastAsia" w:ascii="宋体" w:hAnsi="宋体"/>
          <w:b/>
          <w:sz w:val="28"/>
          <w:szCs w:val="28"/>
          <w:lang w:eastAsia="zh-CN"/>
        </w:rPr>
        <w:t>一、</w:t>
      </w:r>
      <w:r>
        <w:rPr>
          <w:rFonts w:hint="eastAsia" w:ascii="宋体" w:hAnsi="宋体"/>
          <w:b/>
          <w:sz w:val="28"/>
          <w:szCs w:val="28"/>
        </w:rPr>
        <w:t>投标函</w:t>
      </w:r>
    </w:p>
    <w:p>
      <w:pPr>
        <w:spacing w:line="300" w:lineRule="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致：</w:t>
      </w:r>
      <w:r>
        <w:rPr>
          <w:rFonts w:hint="eastAsia" w:ascii="宋体" w:hAnsi="宋体" w:eastAsia="宋体" w:cs="宋体"/>
          <w:sz w:val="21"/>
          <w:szCs w:val="21"/>
          <w:u w:val="single"/>
        </w:rPr>
        <w:t>天煜荣泽工程咨询有限公司</w:t>
      </w:r>
    </w:p>
    <w:p>
      <w:pPr>
        <w:autoSpaceDE w:val="0"/>
        <w:autoSpaceDN w:val="0"/>
        <w:adjustRightInd w:val="0"/>
        <w:snapToGrid w:val="0"/>
        <w:spacing w:line="300" w:lineRule="auto"/>
        <w:ind w:firstLine="630"/>
        <w:outlineLvl w:val="9"/>
        <w:rPr>
          <w:rFonts w:hint="eastAsia" w:ascii="宋体" w:hAnsi="宋体" w:eastAsia="宋体" w:cs="宋体"/>
          <w:color w:val="000000"/>
          <w:sz w:val="21"/>
          <w:szCs w:val="21"/>
          <w:lang w:val="zh-CN"/>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val="zh-CN"/>
        </w:rPr>
        <w:t>我单位仔细研究了</w:t>
      </w:r>
      <w:r>
        <w:rPr>
          <w:rFonts w:hint="eastAsia" w:ascii="宋体" w:hAnsi="宋体" w:eastAsia="宋体" w:cs="宋体"/>
          <w:color w:val="000000"/>
          <w:sz w:val="21"/>
          <w:szCs w:val="21"/>
          <w:u w:val="single"/>
          <w:lang w:val="zh-CN"/>
        </w:rPr>
        <w:t xml:space="preserve"> </w:t>
      </w:r>
      <w:r>
        <w:rPr>
          <w:rFonts w:hint="eastAsia" w:hAnsi="宋体"/>
          <w:sz w:val="21"/>
          <w:szCs w:val="21"/>
          <w:u w:val="single"/>
          <w:lang w:eastAsia="zh-CN"/>
        </w:rPr>
        <w:t>2024年周至县道路清扫保洁、垃圾清运、绿化养护、公厕管理市场化运作项目（合同包</w:t>
      </w:r>
      <w:r>
        <w:rPr>
          <w:rFonts w:hint="eastAsia" w:hAnsi="宋体"/>
          <w:sz w:val="21"/>
          <w:szCs w:val="21"/>
          <w:u w:val="single"/>
          <w:lang w:val="en-US" w:eastAsia="zh-CN"/>
        </w:rPr>
        <w:t>1</w:t>
      </w:r>
      <w:r>
        <w:rPr>
          <w:rFonts w:hint="eastAsia" w:hAnsi="宋体"/>
          <w:sz w:val="21"/>
          <w:szCs w:val="21"/>
          <w:u w:val="single"/>
          <w:lang w:eastAsia="zh-CN"/>
        </w:rPr>
        <w:t>）</w:t>
      </w:r>
      <w:r>
        <w:rPr>
          <w:rFonts w:hint="eastAsia" w:ascii="宋体" w:hAnsi="宋体" w:eastAsia="宋体" w:cs="宋体"/>
          <w:color w:val="000000"/>
          <w:sz w:val="21"/>
          <w:szCs w:val="21"/>
          <w:u w:val="single"/>
          <w:lang w:val="zh-CN"/>
        </w:rPr>
        <w:t xml:space="preserve"> </w:t>
      </w:r>
      <w:r>
        <w:rPr>
          <w:rFonts w:hint="eastAsia" w:ascii="宋体" w:hAnsi="宋体" w:eastAsia="宋体" w:cs="宋体"/>
          <w:color w:val="000000"/>
          <w:sz w:val="21"/>
          <w:szCs w:val="21"/>
          <w:lang w:val="zh-CN"/>
        </w:rPr>
        <w:t>项目</w:t>
      </w:r>
      <w:r>
        <w:rPr>
          <w:rFonts w:hint="eastAsia" w:ascii="宋体" w:hAnsi="宋体" w:cs="宋体"/>
          <w:color w:val="000000"/>
          <w:sz w:val="21"/>
          <w:szCs w:val="21"/>
          <w:lang w:val="zh-CN"/>
        </w:rPr>
        <w:t>招标</w:t>
      </w:r>
      <w:r>
        <w:rPr>
          <w:rFonts w:hint="eastAsia" w:ascii="宋体" w:hAnsi="宋体" w:eastAsia="宋体" w:cs="宋体"/>
          <w:color w:val="000000"/>
          <w:sz w:val="21"/>
          <w:szCs w:val="21"/>
          <w:lang w:val="zh-CN"/>
        </w:rPr>
        <w:t>文件（采购编号：</w:t>
      </w:r>
      <w:r>
        <w:rPr>
          <w:rFonts w:hint="eastAsia" w:ascii="宋体" w:hAnsi="宋体" w:eastAsia="宋体" w:cs="宋体"/>
          <w:color w:val="000000"/>
          <w:sz w:val="21"/>
          <w:szCs w:val="21"/>
          <w:u w:val="single"/>
          <w:lang w:val="zh-CN"/>
        </w:rPr>
        <w:t xml:space="preserve"> </w:t>
      </w:r>
      <w:r>
        <w:rPr>
          <w:rFonts w:hint="eastAsia" w:ascii="宋体" w:hAnsi="宋体" w:cs="宋体"/>
          <w:color w:val="000000"/>
          <w:sz w:val="21"/>
          <w:szCs w:val="21"/>
          <w:u w:val="single"/>
          <w:lang w:val="zh-CN"/>
        </w:rPr>
        <w:t>TYRZ-2024-ZZ059-1</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lang w:val="zh-CN"/>
        </w:rPr>
        <w:t>），决定参加本次</w:t>
      </w:r>
      <w:r>
        <w:rPr>
          <w:rFonts w:hint="eastAsia" w:ascii="宋体" w:hAnsi="宋体" w:cs="宋体"/>
          <w:color w:val="000000"/>
          <w:sz w:val="21"/>
          <w:szCs w:val="21"/>
          <w:lang w:val="zh-CN"/>
        </w:rPr>
        <w:t>招标</w:t>
      </w:r>
      <w:r>
        <w:rPr>
          <w:rFonts w:hint="eastAsia" w:ascii="宋体" w:hAnsi="宋体" w:eastAsia="宋体" w:cs="宋体"/>
          <w:color w:val="000000"/>
          <w:sz w:val="21"/>
          <w:szCs w:val="21"/>
          <w:lang w:val="zh-CN"/>
        </w:rPr>
        <w:t>活动。为此，我方郑重声明以下诸点，并负法律责任。</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ascii="Calibri" w:hAnsi="Calibri" w:eastAsia="宋体" w:cs="Calibri"/>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、如我方中标，我方将</w:t>
      </w:r>
      <w:r>
        <w:rPr>
          <w:rFonts w:hint="eastAsia" w:ascii="宋体" w:hAnsi="宋体" w:cs="宋体"/>
          <w:color w:val="000000"/>
          <w:kern w:val="0"/>
          <w:sz w:val="21"/>
          <w:szCs w:val="21"/>
          <w:lang w:val="en-US" w:eastAsia="zh-CN" w:bidi="ar"/>
        </w:rPr>
        <w:t>无偿</w:t>
      </w:r>
      <w:r>
        <w:rPr>
          <w:rFonts w:hint="eastAsia" w:ascii="宋体" w:hAnsi="宋体" w:eastAsia="宋体" w:cs="宋体"/>
          <w:color w:val="000000"/>
          <w:kern w:val="0"/>
          <w:sz w:val="21"/>
          <w:szCs w:val="21"/>
          <w:lang w:val="en-US" w:eastAsia="zh-CN" w:bidi="ar"/>
        </w:rPr>
        <w:t>提交纸质投标文件正本壹份，副本贰份，电子文件壹份（</w:t>
      </w:r>
      <w:r>
        <w:rPr>
          <w:rFonts w:hint="default" w:ascii="Calibri" w:hAnsi="Calibri" w:eastAsia="宋体" w:cs="Calibri"/>
          <w:color w:val="000000"/>
          <w:kern w:val="0"/>
          <w:sz w:val="21"/>
          <w:szCs w:val="21"/>
          <w:lang w:val="en-US" w:eastAsia="zh-CN" w:bidi="ar"/>
        </w:rPr>
        <w:t xml:space="preserve">U </w:t>
      </w:r>
      <w:r>
        <w:rPr>
          <w:rFonts w:hint="eastAsia" w:ascii="宋体" w:hAnsi="宋体" w:eastAsia="宋体" w:cs="宋体"/>
          <w:color w:val="000000"/>
          <w:kern w:val="0"/>
          <w:sz w:val="21"/>
          <w:szCs w:val="21"/>
          <w:lang w:val="en-US" w:eastAsia="zh-CN" w:bidi="ar"/>
        </w:rPr>
        <w:t xml:space="preserve">盘一份）。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、我方投标总价为人民币（大写）</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元（￥</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rFonts w:hint="default"/>
          <w:sz w:val="21"/>
          <w:szCs w:val="21"/>
          <w:u w:val="single"/>
          <w:lang w:val="en-US"/>
        </w:rPr>
      </w:pPr>
      <w:r>
        <w:rPr>
          <w:rFonts w:hint="eastAsia" w:ascii="宋体" w:hAnsi="宋体" w:eastAsia="宋体" w:cs="宋体"/>
          <w:color w:val="000000"/>
          <w:kern w:val="0"/>
          <w:sz w:val="21"/>
          <w:szCs w:val="21"/>
          <w:lang w:val="en-US" w:eastAsia="zh-CN" w:bidi="ar"/>
        </w:rPr>
        <w:t>服务期：</w:t>
      </w:r>
      <w:r>
        <w:rPr>
          <w:rFonts w:hint="eastAsia" w:ascii="宋体" w:hAnsi="宋体" w:cs="宋体"/>
          <w:color w:val="000000"/>
          <w:kern w:val="0"/>
          <w:sz w:val="21"/>
          <w:szCs w:val="21"/>
          <w:u w:val="single"/>
          <w:lang w:val="en-US" w:eastAsia="zh-CN" w:bidi="ar"/>
        </w:rPr>
        <w:t xml:space="preserve">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rFonts w:hint="default"/>
          <w:sz w:val="21"/>
          <w:szCs w:val="21"/>
          <w:lang w:val="en-US"/>
        </w:rPr>
      </w:pPr>
      <w:r>
        <w:rPr>
          <w:rFonts w:hint="eastAsia" w:ascii="宋体" w:hAnsi="宋体" w:eastAsia="宋体" w:cs="宋体"/>
          <w:color w:val="000000"/>
          <w:kern w:val="0"/>
          <w:sz w:val="21"/>
          <w:szCs w:val="21"/>
          <w:lang w:val="en-US" w:eastAsia="zh-CN" w:bidi="ar"/>
        </w:rPr>
        <w:t>服务标准：</w:t>
      </w:r>
      <w:r>
        <w:rPr>
          <w:rFonts w:hint="eastAsia" w:ascii="宋体" w:hAnsi="宋体" w:cs="宋体"/>
          <w:color w:val="000000"/>
          <w:kern w:val="0"/>
          <w:sz w:val="21"/>
          <w:szCs w:val="21"/>
          <w:u w:val="single"/>
          <w:lang w:val="en-US" w:eastAsia="zh-CN" w:bidi="ar"/>
        </w:rPr>
        <w:t xml:space="preserve">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该报价不受市场因素的影响。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、我方已详细审查全部招标文件，完全理解并同意放弃对这方面有不明及误解质疑的权力。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我方已悉知并及时关注了贵单位在陕西省政府采购网、全国公共资源交易平台（陕西省·西安市）上发布的关于本项目的有关变更公告（包括但不限于对招标文件做出的修改或澄清、答疑纪要，以及项目暂停、重启、延期、终止等）。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、我方同意按照要求提供投标有关的一切数据或资料。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、我方将按招标文件的规定履行合同责任和义务。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 xml:space="preserve">、我方完全理解最低报价不是中标的唯一条件。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 xml:space="preserve">、我方同意按招标文件规定，遵守贵方有关招标的各项规定。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9</w:t>
      </w:r>
      <w:r>
        <w:rPr>
          <w:rFonts w:hint="eastAsia" w:ascii="宋体" w:hAnsi="宋体" w:eastAsia="宋体" w:cs="宋体"/>
          <w:color w:val="000000"/>
          <w:kern w:val="0"/>
          <w:sz w:val="21"/>
          <w:szCs w:val="21"/>
          <w:lang w:val="en-US" w:eastAsia="zh-CN" w:bidi="ar"/>
        </w:rPr>
        <w:t xml:space="preserve">、若我方中标，我方保证按有关规定向贵方支付招标服务费。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 xml:space="preserve">、投标有效期为自投标截止日起不少于 </w:t>
      </w:r>
      <w:r>
        <w:rPr>
          <w:rFonts w:hint="default" w:ascii="Calibri" w:hAnsi="Calibri" w:eastAsia="宋体" w:cs="Calibri"/>
          <w:color w:val="000000"/>
          <w:kern w:val="0"/>
          <w:sz w:val="21"/>
          <w:szCs w:val="21"/>
          <w:lang w:val="en-US" w:eastAsia="zh-CN" w:bidi="ar"/>
        </w:rPr>
        <w:t xml:space="preserve">90 </w:t>
      </w:r>
      <w:r>
        <w:rPr>
          <w:rFonts w:hint="eastAsia" w:ascii="宋体" w:hAnsi="宋体" w:eastAsia="宋体" w:cs="宋体"/>
          <w:color w:val="000000"/>
          <w:kern w:val="0"/>
          <w:sz w:val="21"/>
          <w:szCs w:val="21"/>
          <w:lang w:val="en-US" w:eastAsia="zh-CN" w:bidi="ar"/>
        </w:rPr>
        <w:t xml:space="preserve">个日历日（包含 </w:t>
      </w:r>
      <w:r>
        <w:rPr>
          <w:rFonts w:hint="default" w:ascii="Calibri" w:hAnsi="Calibri" w:eastAsia="宋体" w:cs="Calibri"/>
          <w:color w:val="000000"/>
          <w:kern w:val="0"/>
          <w:sz w:val="21"/>
          <w:szCs w:val="21"/>
          <w:lang w:val="en-US" w:eastAsia="zh-CN" w:bidi="ar"/>
        </w:rPr>
        <w:t xml:space="preserve">90 </w:t>
      </w:r>
      <w:r>
        <w:rPr>
          <w:rFonts w:hint="eastAsia" w:ascii="宋体" w:hAnsi="宋体" w:eastAsia="宋体" w:cs="宋体"/>
          <w:color w:val="000000"/>
          <w:kern w:val="0"/>
          <w:sz w:val="21"/>
          <w:szCs w:val="21"/>
          <w:lang w:val="en-US" w:eastAsia="zh-CN" w:bidi="ar"/>
        </w:rPr>
        <w:t xml:space="preserve">个日历日）。 </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20" w:firstLineChars="200"/>
        <w:textAlignment w:val="auto"/>
        <w:outlineLvl w:val="9"/>
        <w:rPr>
          <w:rFonts w:hint="eastAsia" w:ascii="宋体" w:hAnsi="宋体" w:eastAsia="宋体" w:cs="宋体"/>
          <w:color w:val="000000"/>
          <w:sz w:val="21"/>
          <w:szCs w:val="21"/>
        </w:rPr>
      </w:pPr>
      <w:r>
        <w:rPr>
          <w:rFonts w:hint="default" w:ascii="Calibri" w:hAnsi="Calibri" w:eastAsia="宋体" w:cs="Calibri"/>
          <w:color w:val="000000"/>
          <w:kern w:val="0"/>
          <w:sz w:val="21"/>
          <w:szCs w:val="21"/>
          <w:lang w:val="en-US" w:eastAsia="zh-CN" w:bidi="ar"/>
        </w:rPr>
        <w:t>11</w:t>
      </w:r>
      <w:r>
        <w:rPr>
          <w:rFonts w:hint="eastAsia" w:ascii="宋体" w:hAnsi="宋体" w:eastAsia="宋体" w:cs="宋体"/>
          <w:color w:val="000000"/>
          <w:kern w:val="0"/>
          <w:sz w:val="21"/>
          <w:szCs w:val="21"/>
          <w:lang w:val="en-US" w:eastAsia="zh-CN" w:bidi="ar"/>
        </w:rPr>
        <w:t>、所有关于本项目的函电，请按下列地址联系</w:t>
      </w:r>
      <w:r>
        <w:rPr>
          <w:rFonts w:hint="eastAsia" w:ascii="宋体" w:hAnsi="宋体" w:eastAsia="宋体" w:cs="宋体"/>
          <w:color w:val="000000"/>
          <w:sz w:val="21"/>
          <w:szCs w:val="21"/>
          <w:lang w:val="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20" w:firstLineChars="200"/>
        <w:textAlignment w:val="auto"/>
        <w:outlineLvl w:val="9"/>
        <w:rPr>
          <w:rFonts w:hint="eastAsia" w:ascii="宋体" w:hAnsi="宋体" w:eastAsia="宋体" w:cs="宋体"/>
          <w:color w:val="000000"/>
          <w:sz w:val="21"/>
          <w:szCs w:val="21"/>
          <w:u w:val="single"/>
        </w:rPr>
      </w:pPr>
      <w:r>
        <w:rPr>
          <w:rFonts w:hint="eastAsia" w:ascii="宋体" w:hAnsi="宋体" w:cs="宋体"/>
          <w:color w:val="000000"/>
          <w:sz w:val="21"/>
          <w:szCs w:val="21"/>
          <w:lang w:val="zh-CN"/>
        </w:rPr>
        <w:t>投标人</w:t>
      </w:r>
      <w:r>
        <w:rPr>
          <w:rFonts w:hint="eastAsia" w:ascii="宋体" w:hAnsi="宋体" w:eastAsia="宋体" w:cs="宋体"/>
          <w:color w:val="000000"/>
          <w:sz w:val="21"/>
          <w:szCs w:val="21"/>
          <w:lang w:val="zh-CN"/>
        </w:rPr>
        <w:t>全称（印章）：</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p>
    <w:p>
      <w:pPr>
        <w:keepNext w:val="0"/>
        <w:keepLines w:val="0"/>
        <w:pageBreakBefore w:val="0"/>
        <w:widowControl w:val="0"/>
        <w:kinsoku/>
        <w:overflowPunct/>
        <w:topLinePunct w:val="0"/>
        <w:autoSpaceDE w:val="0"/>
        <w:autoSpaceDN w:val="0"/>
        <w:bidi w:val="0"/>
        <w:adjustRightInd w:val="0"/>
        <w:snapToGrid w:val="0"/>
        <w:spacing w:line="360" w:lineRule="auto"/>
        <w:ind w:left="0" w:leftChars="0"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val="zh-CN"/>
        </w:rPr>
        <w:t>地</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zh-CN"/>
        </w:rPr>
        <w:t>址：</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cs="宋体"/>
          <w:color w:val="000000"/>
          <w:sz w:val="21"/>
          <w:szCs w:val="21"/>
          <w:u w:val="none"/>
          <w:lang w:eastAsia="zh-CN"/>
        </w:rPr>
        <w:t>邮</w:t>
      </w:r>
      <w:r>
        <w:rPr>
          <w:rFonts w:hint="eastAsia" w:ascii="宋体" w:hAnsi="宋体" w:cs="宋体"/>
          <w:color w:val="000000"/>
          <w:sz w:val="21"/>
          <w:szCs w:val="21"/>
          <w:u w:val="none"/>
          <w:lang w:val="en-US" w:eastAsia="zh-CN"/>
        </w:rPr>
        <w:t xml:space="preserve">    </w:t>
      </w:r>
      <w:r>
        <w:rPr>
          <w:rFonts w:hint="eastAsia" w:ascii="宋体" w:hAnsi="宋体" w:cs="宋体"/>
          <w:color w:val="000000"/>
          <w:sz w:val="21"/>
          <w:szCs w:val="21"/>
          <w:u w:val="none"/>
          <w:lang w:eastAsia="zh-CN"/>
        </w:rPr>
        <w:t>编：</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cs="宋体"/>
          <w:color w:val="000000"/>
          <w:sz w:val="21"/>
          <w:szCs w:val="21"/>
          <w:u w:val="single"/>
          <w:lang w:val="en-US" w:eastAsia="zh-CN"/>
        </w:rPr>
        <w:tab/>
      </w:r>
      <w:r>
        <w:rPr>
          <w:rFonts w:hint="eastAsia" w:ascii="宋体" w:hAnsi="宋体" w:eastAsia="宋体" w:cs="宋体"/>
          <w:color w:val="000000"/>
          <w:sz w:val="21"/>
          <w:szCs w:val="21"/>
          <w:u w:val="single"/>
        </w:rPr>
        <w:tab/>
      </w:r>
    </w:p>
    <w:p>
      <w:pPr>
        <w:keepNext w:val="0"/>
        <w:keepLines w:val="0"/>
        <w:pageBreakBefore w:val="0"/>
        <w:widowControl w:val="0"/>
        <w:kinsoku/>
        <w:overflowPunct/>
        <w:topLinePunct w:val="0"/>
        <w:autoSpaceDE w:val="0"/>
        <w:autoSpaceDN w:val="0"/>
        <w:bidi w:val="0"/>
        <w:adjustRightInd w:val="0"/>
        <w:snapToGrid w:val="0"/>
        <w:spacing w:line="360" w:lineRule="auto"/>
        <w:ind w:left="0" w:leftChars="0"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val="zh-CN"/>
        </w:rPr>
        <w:t>电</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zh-CN"/>
        </w:rPr>
        <w:t>话：</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lang w:val="zh-CN"/>
        </w:rPr>
        <w:t>传</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zh-CN"/>
        </w:rPr>
        <w:t>真：</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p>
    <w:p>
      <w:pPr>
        <w:keepNext w:val="0"/>
        <w:keepLines w:val="0"/>
        <w:pageBreakBefore w:val="0"/>
        <w:widowControl w:val="0"/>
        <w:kinsoku/>
        <w:overflowPunct/>
        <w:topLinePunct w:val="0"/>
        <w:autoSpaceDE w:val="0"/>
        <w:autoSpaceDN w:val="0"/>
        <w:bidi w:val="0"/>
        <w:adjustRightInd w:val="0"/>
        <w:snapToGrid w:val="0"/>
        <w:spacing w:line="360" w:lineRule="auto"/>
        <w:ind w:left="0" w:leftChars="0" w:firstLine="420" w:firstLineChars="200"/>
        <w:textAlignment w:val="auto"/>
        <w:outlineLvl w:val="9"/>
        <w:rPr>
          <w:rFonts w:hint="eastAsia" w:ascii="宋体" w:hAnsi="宋体" w:eastAsia="宋体" w:cs="宋体"/>
          <w:color w:val="000000"/>
          <w:sz w:val="21"/>
          <w:szCs w:val="21"/>
          <w:u w:val="single"/>
        </w:rPr>
      </w:pPr>
      <w:r>
        <w:rPr>
          <w:rFonts w:hint="eastAsia" w:ascii="宋体" w:hAnsi="宋体" w:eastAsia="宋体" w:cs="宋体"/>
          <w:color w:val="000000"/>
          <w:sz w:val="21"/>
          <w:szCs w:val="21"/>
          <w:lang w:val="zh-CN"/>
        </w:rPr>
        <w:t>法定代表人或授权代表（签字或盖章）：</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cs="宋体"/>
          <w:color w:val="000000"/>
          <w:sz w:val="21"/>
          <w:szCs w:val="21"/>
          <w:u w:val="single"/>
          <w:lang w:val="en-US" w:eastAsia="zh-CN"/>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p>
    <w:p>
      <w:pPr>
        <w:keepNext w:val="0"/>
        <w:keepLines w:val="0"/>
        <w:pageBreakBefore w:val="0"/>
        <w:widowControl w:val="0"/>
        <w:kinsoku/>
        <w:overflowPunct/>
        <w:topLinePunct w:val="0"/>
        <w:autoSpaceDE w:val="0"/>
        <w:autoSpaceDN w:val="0"/>
        <w:bidi w:val="0"/>
        <w:adjustRightInd w:val="0"/>
        <w:snapToGrid w:val="0"/>
        <w:spacing w:line="360" w:lineRule="auto"/>
        <w:ind w:left="0" w:leftChars="0" w:firstLine="420" w:firstLineChars="200"/>
        <w:textAlignment w:val="auto"/>
        <w:outlineLvl w:val="9"/>
        <w:rPr>
          <w:rFonts w:hint="eastAsia" w:ascii="宋体" w:hAnsi="宋体" w:cs="宋体"/>
          <w:b/>
          <w:sz w:val="28"/>
          <w:szCs w:val="28"/>
        </w:rPr>
      </w:pPr>
      <w:r>
        <w:rPr>
          <w:rFonts w:hint="eastAsia" w:ascii="宋体" w:hAnsi="宋体" w:eastAsia="宋体" w:cs="宋体"/>
          <w:color w:val="000000"/>
          <w:sz w:val="21"/>
          <w:szCs w:val="21"/>
          <w:lang w:eastAsia="zh-CN"/>
        </w:rPr>
        <w:t>日</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期：</w:t>
      </w:r>
      <w:r>
        <w:rPr>
          <w:rFonts w:hint="eastAsia" w:ascii="宋体" w:hAnsi="宋体" w:eastAsia="宋体" w:cs="宋体"/>
          <w:color w:val="000000"/>
          <w:sz w:val="21"/>
          <w:szCs w:val="21"/>
        </w:rPr>
        <w:t>_____</w:t>
      </w:r>
      <w:r>
        <w:rPr>
          <w:rFonts w:hint="eastAsia" w:ascii="宋体" w:hAnsi="宋体" w:eastAsia="宋体" w:cs="宋体"/>
          <w:color w:val="000000"/>
          <w:sz w:val="21"/>
          <w:szCs w:val="21"/>
          <w:lang w:val="zh-CN"/>
        </w:rPr>
        <w:t>年</w:t>
      </w:r>
      <w:r>
        <w:rPr>
          <w:rFonts w:hint="eastAsia" w:ascii="宋体" w:hAnsi="宋体" w:eastAsia="宋体" w:cs="宋体"/>
          <w:color w:val="000000"/>
          <w:sz w:val="21"/>
          <w:szCs w:val="21"/>
        </w:rPr>
        <w:t>_____</w:t>
      </w:r>
      <w:r>
        <w:rPr>
          <w:rFonts w:hint="eastAsia" w:ascii="宋体" w:hAnsi="宋体" w:eastAsia="宋体" w:cs="宋体"/>
          <w:color w:val="000000"/>
          <w:sz w:val="21"/>
          <w:szCs w:val="21"/>
          <w:lang w:val="zh-CN"/>
        </w:rPr>
        <w:t>月</w:t>
      </w:r>
      <w:r>
        <w:rPr>
          <w:rFonts w:hint="eastAsia" w:ascii="宋体" w:hAnsi="宋体" w:eastAsia="宋体" w:cs="宋体"/>
          <w:color w:val="000000"/>
          <w:sz w:val="21"/>
          <w:szCs w:val="21"/>
        </w:rPr>
        <w:t>____</w:t>
      </w:r>
      <w:r>
        <w:rPr>
          <w:rFonts w:hint="eastAsia" w:ascii="宋体" w:hAnsi="宋体" w:cs="宋体"/>
          <w:color w:val="000000"/>
          <w:sz w:val="21"/>
          <w:szCs w:val="21"/>
          <w:lang w:eastAsia="zh-CN"/>
        </w:rPr>
        <w:t>日</w:t>
      </w:r>
      <w:r>
        <w:rPr>
          <w:rFonts w:hint="eastAsia" w:ascii="宋体" w:hAnsi="宋体" w:cs="宋体"/>
          <w:b/>
          <w:sz w:val="28"/>
          <w:szCs w:val="28"/>
        </w:rPr>
        <w:br w:type="page"/>
      </w:r>
    </w:p>
    <w:p>
      <w:pPr>
        <w:tabs>
          <w:tab w:val="left" w:pos="3500"/>
          <w:tab w:val="left" w:pos="3700"/>
        </w:tabs>
        <w:spacing w:line="360" w:lineRule="auto"/>
        <w:jc w:val="center"/>
        <w:rPr>
          <w:rFonts w:hint="eastAsia" w:ascii="宋体" w:hAnsi="宋体"/>
          <w:b/>
          <w:sz w:val="28"/>
          <w:szCs w:val="28"/>
        </w:rPr>
      </w:pPr>
      <w:r>
        <w:rPr>
          <w:rFonts w:hint="eastAsia" w:ascii="宋体" w:hAnsi="宋体" w:cs="宋体"/>
          <w:b/>
          <w:sz w:val="28"/>
          <w:szCs w:val="28"/>
          <w:lang w:eastAsia="zh-CN"/>
        </w:rPr>
        <w:t>二</w:t>
      </w:r>
      <w:r>
        <w:rPr>
          <w:rFonts w:hint="eastAsia" w:ascii="宋体" w:hAnsi="宋体" w:cs="宋体"/>
          <w:b/>
          <w:sz w:val="28"/>
          <w:szCs w:val="28"/>
        </w:rPr>
        <w:t>、</w:t>
      </w:r>
      <w:r>
        <w:rPr>
          <w:rFonts w:hint="eastAsia" w:ascii="宋体" w:hAnsi="宋体" w:cs="宋体"/>
          <w:b/>
          <w:sz w:val="28"/>
          <w:szCs w:val="28"/>
          <w:lang w:eastAsia="zh-CN"/>
        </w:rPr>
        <w:t>开标一览表</w:t>
      </w:r>
    </w:p>
    <w:p>
      <w:pPr>
        <w:rPr>
          <w:rFonts w:hint="eastAsia" w:eastAsia="宋体"/>
          <w:sz w:val="24"/>
          <w:lang w:eastAsia="zh-CN"/>
        </w:rPr>
      </w:pPr>
      <w:r>
        <w:rPr>
          <w:rFonts w:hint="eastAsia"/>
          <w:sz w:val="24"/>
        </w:rPr>
        <w:t>项目名称：</w:t>
      </w:r>
      <w:r>
        <w:rPr>
          <w:rFonts w:hint="eastAsia" w:hAnsi="宋体"/>
          <w:sz w:val="24"/>
          <w:lang w:eastAsia="zh-CN"/>
        </w:rPr>
        <w:t>2024年周至县道路清扫保洁、垃圾清运、绿化养护、公厕管理市场化运作项目</w:t>
      </w:r>
      <w:r>
        <w:rPr>
          <w:rFonts w:hint="eastAsia" w:hAnsi="宋体"/>
          <w:sz w:val="24"/>
          <w:szCs w:val="24"/>
          <w:lang w:eastAsia="zh-CN"/>
        </w:rPr>
        <w:t>（</w:t>
      </w:r>
      <w:r>
        <w:rPr>
          <w:rFonts w:hint="eastAsia" w:hAnsi="宋体"/>
          <w:sz w:val="24"/>
          <w:szCs w:val="24"/>
          <w:u w:val="single"/>
          <w:lang w:eastAsia="zh-CN"/>
        </w:rPr>
        <w:t>合同包</w:t>
      </w:r>
      <w:r>
        <w:rPr>
          <w:rFonts w:hint="eastAsia" w:hAnsi="宋体"/>
          <w:sz w:val="24"/>
          <w:szCs w:val="24"/>
          <w:u w:val="single"/>
          <w:lang w:val="en-US" w:eastAsia="zh-CN"/>
        </w:rPr>
        <w:t xml:space="preserve"> 1 </w:t>
      </w:r>
      <w:r>
        <w:rPr>
          <w:rFonts w:hint="eastAsia" w:hAnsi="宋体"/>
          <w:sz w:val="24"/>
          <w:szCs w:val="24"/>
          <w:lang w:eastAsia="zh-CN"/>
        </w:rPr>
        <w:t>）</w:t>
      </w:r>
    </w:p>
    <w:p>
      <w:pPr>
        <w:tabs>
          <w:tab w:val="left" w:pos="7192"/>
        </w:tabs>
        <w:kinsoku w:val="0"/>
        <w:spacing w:line="500" w:lineRule="exact"/>
        <w:rPr>
          <w:rFonts w:hint="eastAsia"/>
          <w:sz w:val="24"/>
          <w:lang w:eastAsia="zh-CN"/>
        </w:rPr>
      </w:pPr>
      <w:r>
        <w:rPr>
          <w:rFonts w:hint="eastAsia"/>
          <w:sz w:val="24"/>
        </w:rPr>
        <w:t>项目编号：</w:t>
      </w:r>
      <w:r>
        <w:rPr>
          <w:rFonts w:hint="eastAsia"/>
          <w:sz w:val="24"/>
          <w:lang w:eastAsia="zh-CN"/>
        </w:rPr>
        <w:t>TYRZ-2024-ZZ059-1</w:t>
      </w:r>
    </w:p>
    <w:p>
      <w:pPr>
        <w:tabs>
          <w:tab w:val="left" w:pos="7192"/>
        </w:tabs>
        <w:kinsoku w:val="0"/>
        <w:spacing w:line="500" w:lineRule="exact"/>
        <w:rPr>
          <w:rFonts w:hint="eastAsia"/>
          <w:sz w:val="24"/>
          <w:lang w:eastAsia="zh-CN"/>
        </w:rPr>
      </w:pPr>
      <w:r>
        <w:rPr>
          <w:rFonts w:hint="eastAsia"/>
          <w:sz w:val="24"/>
          <w:lang w:eastAsia="zh-CN"/>
        </w:rPr>
        <w:tab/>
      </w:r>
    </w:p>
    <w:tbl>
      <w:tblPr>
        <w:tblStyle w:val="25"/>
        <w:tblW w:w="52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7"/>
        <w:gridCol w:w="5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3927" w:type="dxa"/>
            <w:noWrap w:val="0"/>
            <w:vAlign w:val="center"/>
          </w:tcPr>
          <w:p>
            <w:pPr>
              <w:spacing w:line="360" w:lineRule="auto"/>
              <w:jc w:val="center"/>
              <w:rPr>
                <w:rFonts w:ascii="宋体" w:hAnsi="宋体"/>
                <w:color w:val="auto"/>
                <w:szCs w:val="21"/>
              </w:rPr>
            </w:pPr>
            <w:r>
              <w:rPr>
                <w:rFonts w:hint="eastAsia" w:ascii="宋体" w:hAnsi="宋体"/>
                <w:color w:val="auto"/>
                <w:szCs w:val="21"/>
              </w:rPr>
              <w:t>投标总报价</w:t>
            </w:r>
          </w:p>
          <w:p>
            <w:pPr>
              <w:spacing w:line="360" w:lineRule="auto"/>
              <w:jc w:val="center"/>
              <w:rPr>
                <w:rFonts w:ascii="宋体" w:hAnsi="宋体"/>
                <w:sz w:val="24"/>
                <w:szCs w:val="24"/>
              </w:rPr>
            </w:pPr>
            <w:r>
              <w:rPr>
                <w:rFonts w:hint="eastAsia" w:ascii="宋体" w:hAnsi="宋体"/>
                <w:color w:val="auto"/>
                <w:szCs w:val="21"/>
              </w:rPr>
              <w:t>（人民币/元）</w:t>
            </w:r>
          </w:p>
        </w:tc>
        <w:tc>
          <w:tcPr>
            <w:tcW w:w="5014" w:type="dxa"/>
            <w:noWrap w:val="0"/>
            <w:vAlign w:val="center"/>
          </w:tcPr>
          <w:p>
            <w:pPr>
              <w:spacing w:line="360" w:lineRule="auto"/>
              <w:rPr>
                <w:rFonts w:ascii="宋体" w:hAnsi="宋体"/>
                <w:color w:val="auto"/>
                <w:szCs w:val="21"/>
              </w:rPr>
            </w:pPr>
            <w:r>
              <w:rPr>
                <w:rFonts w:hint="eastAsia" w:ascii="宋体" w:hAnsi="宋体"/>
                <w:color w:val="auto"/>
                <w:szCs w:val="21"/>
              </w:rPr>
              <w:t>小写金额：</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 xml:space="preserve"> 元 </w:t>
            </w:r>
          </w:p>
          <w:p>
            <w:pPr>
              <w:spacing w:line="360" w:lineRule="auto"/>
              <w:rPr>
                <w:rFonts w:ascii="宋体" w:hAnsi="宋体"/>
                <w:sz w:val="24"/>
                <w:szCs w:val="24"/>
              </w:rPr>
            </w:pPr>
            <w:r>
              <w:rPr>
                <w:rFonts w:hint="eastAsia" w:ascii="宋体" w:hAnsi="宋体"/>
                <w:color w:val="auto"/>
                <w:szCs w:val="21"/>
              </w:rPr>
              <w:t>大写金额：</w:t>
            </w:r>
            <w:r>
              <w:rPr>
                <w:rFonts w:hint="eastAsia" w:ascii="宋体" w:hAnsi="宋体"/>
                <w:color w:val="auto"/>
                <w:szCs w:val="21"/>
                <w:u w:val="single"/>
              </w:rPr>
              <w:t xml:space="preserve">                          </w:t>
            </w:r>
            <w:r>
              <w:rPr>
                <w:rFonts w:hint="eastAsia" w:ascii="宋体" w:hAnsi="宋体"/>
                <w:color w:val="auto"/>
                <w:szCs w:val="21"/>
              </w:rPr>
              <w:t xml:space="preserve">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927" w:type="dxa"/>
            <w:noWrap w:val="0"/>
            <w:vAlign w:val="center"/>
          </w:tcPr>
          <w:p>
            <w:pPr>
              <w:spacing w:line="360" w:lineRule="auto"/>
              <w:jc w:val="center"/>
              <w:rPr>
                <w:rFonts w:ascii="宋体" w:hAnsi="宋体"/>
                <w:sz w:val="24"/>
                <w:szCs w:val="24"/>
              </w:rPr>
            </w:pPr>
            <w:r>
              <w:rPr>
                <w:rFonts w:hint="eastAsia"/>
                <w:color w:val="auto"/>
                <w:szCs w:val="24"/>
              </w:rPr>
              <w:t>服务期限</w:t>
            </w:r>
          </w:p>
        </w:tc>
        <w:tc>
          <w:tcPr>
            <w:tcW w:w="5014" w:type="dxa"/>
            <w:noWrap w:val="0"/>
            <w:vAlign w:val="center"/>
          </w:tcPr>
          <w:p>
            <w:pPr>
              <w:spacing w:line="360" w:lineRule="auto"/>
              <w:rPr>
                <w:rFonts w:hint="default" w:ascii="宋体" w:hAnsi="宋体"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927" w:type="dxa"/>
            <w:noWrap w:val="0"/>
            <w:vAlign w:val="center"/>
          </w:tcPr>
          <w:p>
            <w:pPr>
              <w:spacing w:line="360" w:lineRule="auto"/>
              <w:jc w:val="center"/>
              <w:rPr>
                <w:rFonts w:hint="eastAsia"/>
                <w:color w:val="auto"/>
                <w:szCs w:val="24"/>
              </w:rPr>
            </w:pPr>
            <w:r>
              <w:rPr>
                <w:rFonts w:hint="eastAsia" w:ascii="宋体" w:hAnsi="宋体" w:eastAsia="宋体" w:cs="宋体"/>
                <w:color w:val="000000"/>
                <w:kern w:val="0"/>
                <w:sz w:val="21"/>
                <w:szCs w:val="21"/>
                <w:lang w:val="en-US" w:eastAsia="zh-CN" w:bidi="ar"/>
              </w:rPr>
              <w:t>服务标准</w:t>
            </w:r>
          </w:p>
        </w:tc>
        <w:tc>
          <w:tcPr>
            <w:tcW w:w="5014" w:type="dxa"/>
            <w:noWrap w:val="0"/>
            <w:vAlign w:val="center"/>
          </w:tcPr>
          <w:p>
            <w:pPr>
              <w:spacing w:line="360" w:lineRule="auto"/>
              <w:rPr>
                <w:rFonts w:hint="default" w:ascii="宋体" w:hAnsi="宋体"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3927" w:type="dxa"/>
            <w:noWrap w:val="0"/>
            <w:vAlign w:val="center"/>
          </w:tcPr>
          <w:p>
            <w:pPr>
              <w:spacing w:line="360" w:lineRule="auto"/>
              <w:jc w:val="center"/>
              <w:rPr>
                <w:rFonts w:hint="eastAsia" w:ascii="宋体" w:hAnsi="宋体"/>
                <w:sz w:val="24"/>
                <w:szCs w:val="24"/>
              </w:rPr>
            </w:pPr>
            <w:r>
              <w:rPr>
                <w:rFonts w:hint="eastAsia" w:ascii="宋体" w:hAnsi="宋体"/>
                <w:color w:val="auto"/>
                <w:szCs w:val="21"/>
              </w:rPr>
              <w:t>备注</w:t>
            </w:r>
          </w:p>
        </w:tc>
        <w:tc>
          <w:tcPr>
            <w:tcW w:w="5014" w:type="dxa"/>
            <w:noWrap w:val="0"/>
            <w:vAlign w:val="center"/>
          </w:tcPr>
          <w:p>
            <w:pPr>
              <w:spacing w:line="360" w:lineRule="auto"/>
              <w:rPr>
                <w:rFonts w:hint="default" w:ascii="宋体" w:hAnsi="宋体" w:eastAsia="宋体"/>
                <w:sz w:val="24"/>
                <w:szCs w:val="24"/>
                <w:u w:val="single"/>
                <w:lang w:val="en-US" w:eastAsia="zh-CN"/>
              </w:rPr>
            </w:pPr>
            <w:r>
              <w:rPr>
                <w:rFonts w:hint="eastAsia" w:ascii="宋体" w:hAnsi="宋体"/>
                <w:sz w:val="24"/>
                <w:szCs w:val="24"/>
                <w:u w:val="none"/>
                <w:lang w:val="en-US" w:eastAsia="zh-CN"/>
              </w:rPr>
              <w:t>本单位为</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企业/单位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trPr>
        <w:tc>
          <w:tcPr>
            <w:tcW w:w="8941" w:type="dxa"/>
            <w:gridSpan w:val="2"/>
            <w:noWrap w:val="0"/>
            <w:vAlign w:val="center"/>
          </w:tcPr>
          <w:p>
            <w:pPr>
              <w:spacing w:line="360" w:lineRule="auto"/>
              <w:jc w:val="left"/>
              <w:rPr>
                <w:color w:val="auto"/>
              </w:rPr>
            </w:pPr>
            <w:r>
              <w:rPr>
                <w:rFonts w:hint="eastAsia"/>
                <w:color w:val="auto"/>
              </w:rPr>
              <w:t>说明：1、</w:t>
            </w:r>
            <w:r>
              <w:rPr>
                <w:rFonts w:hint="eastAsia"/>
                <w:color w:val="auto"/>
                <w:lang w:eastAsia="zh-CN"/>
              </w:rPr>
              <w:t>投标</w:t>
            </w:r>
            <w:r>
              <w:rPr>
                <w:rFonts w:hint="eastAsia"/>
                <w:color w:val="auto"/>
              </w:rPr>
              <w:t>报价包含项目过程中（合同总金额包括人员工资、福利、社保（养老、医疗、工伤等保险）、劳保用品、融雪剂、工具、</w:t>
            </w:r>
            <w:r>
              <w:rPr>
                <w:rFonts w:hint="eastAsia"/>
                <w:b/>
                <w:bCs/>
                <w:color w:val="auto"/>
              </w:rPr>
              <w:t>车辆设备</w:t>
            </w:r>
            <w:r>
              <w:rPr>
                <w:rFonts w:hint="eastAsia"/>
                <w:b/>
                <w:bCs/>
                <w:color w:val="auto"/>
                <w:lang w:eastAsia="zh-CN"/>
              </w:rPr>
              <w:t>、</w:t>
            </w:r>
            <w:r>
              <w:rPr>
                <w:rFonts w:hint="eastAsia"/>
                <w:color w:val="auto"/>
              </w:rPr>
              <w:t>机械及其维修、工具房租用、迎检加班和突发处置费用、应急物资等作业成本以及适当的管理费用、利润、税金、风险金（保险、处理一切意外伤亡事故等费用）办公用房的租赁等其他一切费用），以</w:t>
            </w:r>
            <w:r>
              <w:rPr>
                <w:rFonts w:hint="eastAsia"/>
                <w:color w:val="auto"/>
                <w:lang w:eastAsia="zh-CN"/>
              </w:rPr>
              <w:t>招标</w:t>
            </w:r>
            <w:r>
              <w:rPr>
                <w:rFonts w:hint="eastAsia"/>
                <w:color w:val="auto"/>
              </w:rPr>
              <w:t>文件的内容和要求作为依据；</w:t>
            </w:r>
          </w:p>
          <w:p>
            <w:pPr>
              <w:numPr>
                <w:ilvl w:val="0"/>
                <w:numId w:val="16"/>
              </w:numPr>
              <w:spacing w:line="360" w:lineRule="auto"/>
              <w:rPr>
                <w:rFonts w:hint="eastAsia" w:eastAsia="宋体"/>
                <w:lang w:val="en-US" w:eastAsia="zh-CN"/>
              </w:rPr>
            </w:pPr>
            <w:r>
              <w:rPr>
                <w:rFonts w:hint="eastAsia"/>
                <w:color w:val="auto"/>
              </w:rPr>
              <w:t>供应商报价不得高于最高限价：否则其投标文件将按无效文件处理</w:t>
            </w:r>
            <w:r>
              <w:rPr>
                <w:rFonts w:hint="eastAsia"/>
                <w:color w:val="auto"/>
                <w:lang w:eastAsia="zh-CN"/>
              </w:rPr>
              <w:t>；</w:t>
            </w:r>
          </w:p>
          <w:p>
            <w:pPr>
              <w:pStyle w:val="24"/>
              <w:ind w:left="0" w:leftChars="0" w:firstLine="0" w:firstLineChars="0"/>
              <w:rPr>
                <w:rFonts w:hint="default" w:eastAsia="仿宋_GB2312"/>
                <w:lang w:val="en-US" w:eastAsia="zh-CN"/>
              </w:rPr>
            </w:pPr>
            <w:r>
              <w:rPr>
                <w:rFonts w:hint="eastAsia" w:ascii="Times New Roman" w:hAnsi="Times New Roman" w:eastAsia="宋体" w:cs="Times New Roman"/>
                <w:color w:val="auto"/>
                <w:kern w:val="2"/>
                <w:sz w:val="21"/>
                <w:szCs w:val="22"/>
                <w:lang w:val="en-US" w:eastAsia="zh-CN" w:bidi="ar-SA"/>
              </w:rPr>
              <w:t>3、若投标人属于小型、微型企业、监狱企业、残疾人福利性单位，请在备注栏如实填写。</w:t>
            </w:r>
          </w:p>
        </w:tc>
      </w:tr>
    </w:tbl>
    <w:p>
      <w:pPr>
        <w:pStyle w:val="12"/>
        <w:rPr>
          <w:rFonts w:hint="eastAsia"/>
          <w:lang w:eastAsia="zh-CN"/>
        </w:rPr>
      </w:pPr>
    </w:p>
    <w:p/>
    <w:p>
      <w:pPr>
        <w:spacing w:line="600" w:lineRule="auto"/>
        <w:ind w:left="840" w:firstLine="4238" w:firstLineChars="1766"/>
        <w:jc w:val="left"/>
        <w:rPr>
          <w:rFonts w:ascii="宋体" w:hAnsi="宋体" w:cs="宋体"/>
          <w:sz w:val="24"/>
          <w:szCs w:val="24"/>
          <w:u w:val="single"/>
        </w:rPr>
      </w:pPr>
      <w:r>
        <w:rPr>
          <w:rFonts w:hint="eastAsia" w:ascii="宋体" w:hAnsi="宋体" w:cs="宋体"/>
          <w:sz w:val="24"/>
          <w:szCs w:val="24"/>
        </w:rPr>
        <w:t>投标人名称：</w:t>
      </w:r>
      <w:r>
        <w:rPr>
          <w:rFonts w:hint="eastAsia" w:ascii="宋体" w:hAnsi="宋体" w:cs="宋体"/>
          <w:sz w:val="24"/>
          <w:szCs w:val="24"/>
          <w:u w:val="single"/>
        </w:rPr>
        <w:t xml:space="preserve">       </w:t>
      </w:r>
      <w:r>
        <w:rPr>
          <w:rFonts w:hint="eastAsia" w:ascii="宋体" w:hAnsi="宋体" w:cs="宋体"/>
          <w:spacing w:val="14"/>
          <w:kern w:val="0"/>
          <w:sz w:val="24"/>
          <w:szCs w:val="24"/>
          <w:u w:val="single"/>
        </w:rPr>
        <w:t>(</w:t>
      </w:r>
      <w:r>
        <w:rPr>
          <w:rFonts w:hint="eastAsia" w:ascii="宋体" w:hAnsi="宋体"/>
          <w:kern w:val="0"/>
          <w:sz w:val="24"/>
          <w:szCs w:val="24"/>
          <w:u w:val="single"/>
        </w:rPr>
        <w:t>盖公章)</w:t>
      </w:r>
      <w:r>
        <w:rPr>
          <w:rFonts w:hint="eastAsia" w:ascii="宋体" w:hAnsi="宋体" w:cs="宋体"/>
          <w:sz w:val="24"/>
          <w:szCs w:val="24"/>
          <w:u w:val="single"/>
        </w:rPr>
        <w:t xml:space="preserve"> </w:t>
      </w:r>
    </w:p>
    <w:p>
      <w:pPr>
        <w:spacing w:line="600" w:lineRule="auto"/>
        <w:ind w:firstLine="2985" w:firstLineChars="1244"/>
        <w:rPr>
          <w:rFonts w:ascii="宋体" w:hAnsi="宋体" w:cs="宋体"/>
          <w:sz w:val="24"/>
          <w:szCs w:val="24"/>
          <w:u w:val="single"/>
        </w:rPr>
      </w:pPr>
      <w:r>
        <w:rPr>
          <w:rFonts w:hint="eastAsia" w:ascii="宋体" w:hAnsi="宋体" w:cs="宋体"/>
          <w:sz w:val="24"/>
          <w:szCs w:val="24"/>
        </w:rPr>
        <w:t>法定代表人或被授权人：（签字或盖章）</w:t>
      </w:r>
      <w:r>
        <w:rPr>
          <w:rFonts w:hint="eastAsia" w:ascii="宋体" w:hAnsi="宋体" w:cs="宋体"/>
          <w:sz w:val="24"/>
          <w:szCs w:val="24"/>
          <w:u w:val="single"/>
        </w:rPr>
        <w:t xml:space="preserve">              </w:t>
      </w:r>
    </w:p>
    <w:p>
      <w:pPr>
        <w:jc w:val="right"/>
        <w:rPr>
          <w:rFonts w:hint="eastAsia" w:ascii="宋体" w:hAnsi="宋体"/>
          <w:spacing w:val="4"/>
          <w:sz w:val="24"/>
          <w:szCs w:val="24"/>
          <w:u w:val="none"/>
          <w:lang w:eastAsia="zh-CN"/>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u w:val="single"/>
          <w:lang w:val="en-US" w:eastAsia="zh-CN"/>
        </w:rPr>
        <w:t xml:space="preserve"> </w:t>
      </w:r>
      <w:r>
        <w:rPr>
          <w:rFonts w:hint="eastAsia" w:ascii="宋体" w:hAnsi="宋体"/>
          <w:spacing w:val="4"/>
          <w:sz w:val="24"/>
          <w:szCs w:val="24"/>
          <w:u w:val="single"/>
        </w:rPr>
        <w:t xml:space="preserve"> </w:t>
      </w:r>
      <w:r>
        <w:rPr>
          <w:rFonts w:hint="eastAsia" w:ascii="宋体" w:hAnsi="宋体"/>
          <w:spacing w:val="4"/>
          <w:sz w:val="24"/>
          <w:szCs w:val="24"/>
          <w:u w:val="none"/>
          <w:lang w:eastAsia="zh-CN"/>
        </w:rPr>
        <w:t>日</w:t>
      </w:r>
    </w:p>
    <w:p>
      <w:pPr>
        <w:rPr>
          <w:rFonts w:hint="eastAsia" w:ascii="宋体" w:hAnsi="宋体"/>
          <w:b/>
          <w:sz w:val="28"/>
          <w:szCs w:val="28"/>
          <w:lang w:eastAsia="zh-CN"/>
        </w:rPr>
      </w:pPr>
      <w:r>
        <w:rPr>
          <w:rFonts w:hint="eastAsia" w:ascii="宋体" w:hAnsi="宋体"/>
          <w:b/>
          <w:sz w:val="28"/>
          <w:szCs w:val="28"/>
          <w:lang w:eastAsia="zh-CN"/>
        </w:rPr>
        <w:br w:type="page"/>
      </w:r>
    </w:p>
    <w:p>
      <w:pPr>
        <w:tabs>
          <w:tab w:val="left" w:pos="3500"/>
          <w:tab w:val="left" w:pos="3700"/>
        </w:tabs>
        <w:spacing w:line="360" w:lineRule="auto"/>
        <w:jc w:val="center"/>
        <w:rPr>
          <w:rFonts w:hint="eastAsia"/>
          <w:highlight w:val="none"/>
        </w:rPr>
      </w:pPr>
      <w:bookmarkStart w:id="40" w:name="_Toc9840"/>
      <w:r>
        <w:rPr>
          <w:rFonts w:hint="eastAsia" w:ascii="宋体" w:hAnsi="宋体" w:eastAsia="宋体" w:cs="宋体"/>
          <w:b/>
          <w:sz w:val="28"/>
          <w:szCs w:val="28"/>
          <w:lang w:eastAsia="zh-CN"/>
        </w:rPr>
        <w:t>三、</w:t>
      </w:r>
      <w:r>
        <w:rPr>
          <w:rFonts w:hint="eastAsia" w:ascii="宋体" w:hAnsi="宋体" w:eastAsia="宋体" w:cs="宋体"/>
          <w:b/>
          <w:sz w:val="28"/>
          <w:szCs w:val="28"/>
        </w:rPr>
        <w:t>分项报价表</w:t>
      </w:r>
      <w:bookmarkEnd w:id="40"/>
    </w:p>
    <w:p>
      <w:pPr>
        <w:rPr>
          <w:rFonts w:hint="eastAsia" w:eastAsia="宋体"/>
          <w:sz w:val="24"/>
          <w:lang w:eastAsia="zh-CN"/>
        </w:rPr>
      </w:pPr>
      <w:r>
        <w:rPr>
          <w:rFonts w:hint="eastAsia"/>
          <w:sz w:val="24"/>
        </w:rPr>
        <w:t>项目名称：</w:t>
      </w:r>
      <w:r>
        <w:rPr>
          <w:rFonts w:hint="eastAsia" w:hAnsi="宋体"/>
          <w:sz w:val="24"/>
          <w:lang w:eastAsia="zh-CN"/>
        </w:rPr>
        <w:t>2024年周至县道路清扫保洁、垃圾清运、绿化养护、公厕管理市场化运作项目（</w:t>
      </w:r>
      <w:r>
        <w:rPr>
          <w:rFonts w:hint="eastAsia" w:hAnsi="宋体"/>
          <w:sz w:val="24"/>
          <w:szCs w:val="24"/>
          <w:u w:val="single"/>
          <w:lang w:eastAsia="zh-CN"/>
        </w:rPr>
        <w:t>合同包</w:t>
      </w:r>
      <w:r>
        <w:rPr>
          <w:rFonts w:hint="eastAsia" w:hAnsi="宋体"/>
          <w:sz w:val="24"/>
          <w:szCs w:val="24"/>
          <w:u w:val="single"/>
          <w:lang w:val="en-US" w:eastAsia="zh-CN"/>
        </w:rPr>
        <w:t xml:space="preserve"> 1 </w:t>
      </w:r>
      <w:r>
        <w:rPr>
          <w:rFonts w:hint="eastAsia" w:hAnsi="宋体"/>
          <w:sz w:val="24"/>
          <w:lang w:eastAsia="zh-CN"/>
        </w:rPr>
        <w:t>）</w:t>
      </w:r>
    </w:p>
    <w:p>
      <w:pPr>
        <w:pStyle w:val="7"/>
        <w:numPr>
          <w:ilvl w:val="0"/>
          <w:numId w:val="0"/>
        </w:numPr>
        <w:rPr>
          <w:rFonts w:hint="default" w:ascii="Times New Roman" w:hAnsi="宋体" w:eastAsia="宋体" w:cs="Times New Roman"/>
          <w:kern w:val="2"/>
          <w:sz w:val="24"/>
          <w:szCs w:val="22"/>
          <w:lang w:val="en-US" w:eastAsia="zh-CN" w:bidi="ar-SA"/>
        </w:rPr>
      </w:pPr>
      <w:r>
        <w:rPr>
          <w:rFonts w:hint="eastAsia" w:ascii="Times New Roman" w:hAnsi="宋体" w:eastAsia="宋体" w:cs="Times New Roman"/>
          <w:kern w:val="2"/>
          <w:sz w:val="24"/>
          <w:szCs w:val="22"/>
          <w:lang w:val="en-US" w:eastAsia="zh-CN" w:bidi="ar-SA"/>
        </w:rPr>
        <w:t>项目编号：</w:t>
      </w:r>
      <w:r>
        <w:rPr>
          <w:rFonts w:hint="eastAsia" w:ascii="Times New Roman" w:hAnsi="宋体" w:eastAsia="宋体" w:cs="Times New Roman"/>
          <w:kern w:val="2"/>
          <w:sz w:val="24"/>
          <w:szCs w:val="22"/>
          <w:u w:val="single"/>
          <w:lang w:val="en-US" w:eastAsia="zh-CN" w:bidi="ar-SA"/>
        </w:rPr>
        <w:t>TYRZ-2024-ZZ059-1</w:t>
      </w:r>
      <w:r>
        <w:rPr>
          <w:rFonts w:hint="eastAsia" w:ascii="Times New Roman" w:hAnsi="宋体" w:eastAsia="宋体" w:cs="Times New Roman"/>
          <w:kern w:val="2"/>
          <w:sz w:val="24"/>
          <w:szCs w:val="22"/>
          <w:lang w:val="en-US" w:eastAsia="zh-CN" w:bidi="ar-SA"/>
        </w:rPr>
        <w:t xml:space="preserve">        </w:t>
      </w:r>
    </w:p>
    <w:tbl>
      <w:tblPr>
        <w:tblStyle w:val="26"/>
        <w:tblW w:w="8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498"/>
        <w:gridCol w:w="945"/>
        <w:gridCol w:w="1260"/>
        <w:gridCol w:w="93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keepNext w:val="0"/>
              <w:keepLines w:val="0"/>
              <w:widowControl/>
              <w:suppressLineNumbers w:val="0"/>
              <w:jc w:val="center"/>
              <w:textAlignment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b/>
                <w:i w:val="0"/>
                <w:color w:val="000000"/>
                <w:kern w:val="0"/>
                <w:sz w:val="24"/>
                <w:szCs w:val="24"/>
                <w:highlight w:val="none"/>
                <w:u w:val="none"/>
                <w:lang w:val="en-US" w:eastAsia="zh-CN"/>
              </w:rPr>
              <w:t>序号</w:t>
            </w:r>
          </w:p>
        </w:tc>
        <w:tc>
          <w:tcPr>
            <w:tcW w:w="3498" w:type="dxa"/>
            <w:noWrap w:val="0"/>
            <w:vAlign w:val="center"/>
          </w:tcPr>
          <w:p>
            <w:pPr>
              <w:spacing w:line="360" w:lineRule="auto"/>
              <w:jc w:val="center"/>
              <w:rPr>
                <w:rFonts w:hint="eastAsia" w:ascii="微软雅黑" w:hAnsi="微软雅黑" w:eastAsia="微软雅黑" w:cs="微软雅黑"/>
                <w:color w:val="0000FF"/>
                <w:sz w:val="24"/>
                <w:szCs w:val="24"/>
                <w:highlight w:val="none"/>
              </w:rPr>
            </w:pPr>
            <w:r>
              <w:rPr>
                <w:rFonts w:hint="eastAsia" w:ascii="微软雅黑" w:hAnsi="微软雅黑" w:eastAsia="微软雅黑" w:cs="微软雅黑"/>
                <w:color w:val="000000"/>
                <w:sz w:val="24"/>
                <w:szCs w:val="24"/>
                <w:highlight w:val="none"/>
              </w:rPr>
              <w:t>分项名称</w:t>
            </w:r>
          </w:p>
        </w:tc>
        <w:tc>
          <w:tcPr>
            <w:tcW w:w="945" w:type="dxa"/>
            <w:noWrap w:val="0"/>
            <w:vAlign w:val="center"/>
          </w:tcPr>
          <w:p>
            <w:pPr>
              <w:spacing w:line="360" w:lineRule="auto"/>
              <w:jc w:val="center"/>
              <w:rPr>
                <w:rFonts w:hint="eastAsia" w:ascii="微软雅黑" w:hAnsi="微软雅黑" w:eastAsia="微软雅黑" w:cs="微软雅黑"/>
                <w:color w:val="0000FF"/>
                <w:sz w:val="24"/>
                <w:szCs w:val="24"/>
                <w:highlight w:val="none"/>
              </w:rPr>
            </w:pPr>
            <w:r>
              <w:rPr>
                <w:rFonts w:hint="eastAsia" w:ascii="微软雅黑" w:hAnsi="微软雅黑" w:eastAsia="微软雅黑" w:cs="微软雅黑"/>
                <w:sz w:val="24"/>
                <w:szCs w:val="24"/>
                <w:highlight w:val="none"/>
              </w:rPr>
              <w:t>单位</w:t>
            </w:r>
          </w:p>
        </w:tc>
        <w:tc>
          <w:tcPr>
            <w:tcW w:w="1260" w:type="dxa"/>
            <w:noWrap w:val="0"/>
            <w:vAlign w:val="center"/>
          </w:tcPr>
          <w:p>
            <w:pPr>
              <w:spacing w:line="360" w:lineRule="auto"/>
              <w:jc w:val="center"/>
              <w:rPr>
                <w:rFonts w:hint="eastAsia" w:ascii="微软雅黑" w:hAnsi="微软雅黑" w:eastAsia="微软雅黑" w:cs="微软雅黑"/>
                <w:color w:val="0000FF"/>
                <w:sz w:val="24"/>
                <w:szCs w:val="24"/>
                <w:highlight w:val="none"/>
              </w:rPr>
            </w:pPr>
            <w:r>
              <w:rPr>
                <w:rFonts w:hint="eastAsia" w:ascii="微软雅黑" w:hAnsi="微软雅黑" w:eastAsia="微软雅黑" w:cs="微软雅黑"/>
                <w:sz w:val="24"/>
                <w:szCs w:val="24"/>
                <w:highlight w:val="none"/>
              </w:rPr>
              <w:t>单价（元）</w:t>
            </w:r>
          </w:p>
        </w:tc>
        <w:tc>
          <w:tcPr>
            <w:tcW w:w="930" w:type="dxa"/>
            <w:noWrap w:val="0"/>
            <w:vAlign w:val="center"/>
          </w:tcPr>
          <w:p>
            <w:pPr>
              <w:spacing w:line="360" w:lineRule="auto"/>
              <w:jc w:val="center"/>
              <w:rPr>
                <w:rFonts w:hint="eastAsia" w:ascii="微软雅黑" w:hAnsi="微软雅黑" w:eastAsia="微软雅黑" w:cs="微软雅黑"/>
                <w:color w:val="0000FF"/>
                <w:sz w:val="24"/>
                <w:szCs w:val="24"/>
                <w:highlight w:val="none"/>
              </w:rPr>
            </w:pPr>
            <w:r>
              <w:rPr>
                <w:rFonts w:hint="eastAsia" w:ascii="微软雅黑" w:hAnsi="微软雅黑" w:eastAsia="微软雅黑" w:cs="微软雅黑"/>
                <w:sz w:val="24"/>
                <w:szCs w:val="24"/>
                <w:highlight w:val="none"/>
              </w:rPr>
              <w:t>数量</w:t>
            </w:r>
          </w:p>
        </w:tc>
        <w:tc>
          <w:tcPr>
            <w:tcW w:w="1470" w:type="dxa"/>
            <w:noWrap w:val="0"/>
            <w:vAlign w:val="center"/>
          </w:tcPr>
          <w:p>
            <w:pPr>
              <w:spacing w:line="360" w:lineRule="auto"/>
              <w:jc w:val="center"/>
              <w:rPr>
                <w:rFonts w:hint="eastAsia" w:ascii="微软雅黑" w:hAnsi="微软雅黑" w:eastAsia="微软雅黑" w:cs="微软雅黑"/>
                <w:color w:val="0000FF"/>
                <w:sz w:val="24"/>
                <w:szCs w:val="24"/>
                <w:highlight w:val="none"/>
              </w:rPr>
            </w:pPr>
            <w:r>
              <w:rPr>
                <w:rFonts w:hint="eastAsia" w:ascii="微软雅黑" w:hAnsi="微软雅黑" w:eastAsia="微软雅黑" w:cs="微软雅黑"/>
                <w:sz w:val="24"/>
                <w:szCs w:val="24"/>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top"/>
          </w:tcPr>
          <w:p>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1</w:t>
            </w:r>
          </w:p>
        </w:tc>
        <w:tc>
          <w:tcPr>
            <w:tcW w:w="3498" w:type="dxa"/>
            <w:noWrap w:val="0"/>
            <w:vAlign w:val="top"/>
          </w:tcPr>
          <w:p>
            <w:pPr>
              <w:jc w:val="center"/>
              <w:rPr>
                <w:rFonts w:hint="eastAsia" w:ascii="微软雅黑" w:hAnsi="微软雅黑" w:eastAsia="微软雅黑" w:cs="微软雅黑"/>
                <w:color w:val="0000FF"/>
                <w:sz w:val="24"/>
                <w:szCs w:val="24"/>
                <w:highlight w:val="none"/>
              </w:rPr>
            </w:pPr>
          </w:p>
        </w:tc>
        <w:tc>
          <w:tcPr>
            <w:tcW w:w="945" w:type="dxa"/>
            <w:noWrap w:val="0"/>
            <w:vAlign w:val="top"/>
          </w:tcPr>
          <w:p>
            <w:pPr>
              <w:jc w:val="center"/>
              <w:rPr>
                <w:rFonts w:hint="eastAsia" w:ascii="微软雅黑" w:hAnsi="微软雅黑" w:eastAsia="微软雅黑" w:cs="微软雅黑"/>
                <w:color w:val="0000FF"/>
                <w:sz w:val="24"/>
                <w:szCs w:val="24"/>
                <w:highlight w:val="none"/>
              </w:rPr>
            </w:pPr>
          </w:p>
        </w:tc>
        <w:tc>
          <w:tcPr>
            <w:tcW w:w="1260" w:type="dxa"/>
            <w:noWrap w:val="0"/>
            <w:vAlign w:val="top"/>
          </w:tcPr>
          <w:p>
            <w:pPr>
              <w:jc w:val="center"/>
              <w:rPr>
                <w:rFonts w:hint="eastAsia" w:ascii="微软雅黑" w:hAnsi="微软雅黑" w:eastAsia="微软雅黑" w:cs="微软雅黑"/>
                <w:color w:val="0000FF"/>
                <w:sz w:val="24"/>
                <w:szCs w:val="24"/>
                <w:highlight w:val="none"/>
              </w:rPr>
            </w:pPr>
          </w:p>
        </w:tc>
        <w:tc>
          <w:tcPr>
            <w:tcW w:w="930" w:type="dxa"/>
            <w:noWrap w:val="0"/>
            <w:vAlign w:val="top"/>
          </w:tcPr>
          <w:p>
            <w:pPr>
              <w:jc w:val="center"/>
              <w:rPr>
                <w:rFonts w:hint="eastAsia" w:ascii="微软雅黑" w:hAnsi="微软雅黑" w:eastAsia="微软雅黑" w:cs="微软雅黑"/>
                <w:color w:val="0000FF"/>
                <w:sz w:val="24"/>
                <w:szCs w:val="24"/>
                <w:highlight w:val="none"/>
              </w:rPr>
            </w:pPr>
          </w:p>
        </w:tc>
        <w:tc>
          <w:tcPr>
            <w:tcW w:w="1470" w:type="dxa"/>
            <w:noWrap w:val="0"/>
            <w:vAlign w:val="top"/>
          </w:tcPr>
          <w:p>
            <w:pPr>
              <w:jc w:val="center"/>
              <w:rPr>
                <w:rFonts w:hint="eastAsia" w:ascii="微软雅黑" w:hAnsi="微软雅黑" w:eastAsia="微软雅黑" w:cs="微软雅黑"/>
                <w:color w:val="0000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top"/>
          </w:tcPr>
          <w:p>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2</w:t>
            </w:r>
          </w:p>
        </w:tc>
        <w:tc>
          <w:tcPr>
            <w:tcW w:w="3498" w:type="dxa"/>
            <w:noWrap w:val="0"/>
            <w:vAlign w:val="top"/>
          </w:tcPr>
          <w:p>
            <w:pPr>
              <w:jc w:val="center"/>
              <w:rPr>
                <w:rFonts w:hint="eastAsia" w:ascii="微软雅黑" w:hAnsi="微软雅黑" w:eastAsia="微软雅黑" w:cs="微软雅黑"/>
                <w:color w:val="0000FF"/>
                <w:sz w:val="24"/>
                <w:szCs w:val="24"/>
                <w:highlight w:val="none"/>
              </w:rPr>
            </w:pPr>
          </w:p>
        </w:tc>
        <w:tc>
          <w:tcPr>
            <w:tcW w:w="945" w:type="dxa"/>
            <w:noWrap w:val="0"/>
            <w:vAlign w:val="top"/>
          </w:tcPr>
          <w:p>
            <w:pPr>
              <w:jc w:val="center"/>
              <w:rPr>
                <w:rFonts w:hint="eastAsia" w:ascii="微软雅黑" w:hAnsi="微软雅黑" w:eastAsia="微软雅黑" w:cs="微软雅黑"/>
                <w:color w:val="0000FF"/>
                <w:sz w:val="24"/>
                <w:szCs w:val="24"/>
                <w:highlight w:val="none"/>
              </w:rPr>
            </w:pPr>
          </w:p>
        </w:tc>
        <w:tc>
          <w:tcPr>
            <w:tcW w:w="1260" w:type="dxa"/>
            <w:noWrap w:val="0"/>
            <w:vAlign w:val="top"/>
          </w:tcPr>
          <w:p>
            <w:pPr>
              <w:jc w:val="center"/>
              <w:rPr>
                <w:rFonts w:hint="eastAsia" w:ascii="微软雅黑" w:hAnsi="微软雅黑" w:eastAsia="微软雅黑" w:cs="微软雅黑"/>
                <w:color w:val="0000FF"/>
                <w:sz w:val="24"/>
                <w:szCs w:val="24"/>
                <w:highlight w:val="none"/>
              </w:rPr>
            </w:pPr>
          </w:p>
        </w:tc>
        <w:tc>
          <w:tcPr>
            <w:tcW w:w="930" w:type="dxa"/>
            <w:noWrap w:val="0"/>
            <w:vAlign w:val="top"/>
          </w:tcPr>
          <w:p>
            <w:pPr>
              <w:jc w:val="center"/>
              <w:rPr>
                <w:rFonts w:hint="eastAsia" w:ascii="微软雅黑" w:hAnsi="微软雅黑" w:eastAsia="微软雅黑" w:cs="微软雅黑"/>
                <w:color w:val="0000FF"/>
                <w:sz w:val="24"/>
                <w:szCs w:val="24"/>
                <w:highlight w:val="none"/>
              </w:rPr>
            </w:pPr>
          </w:p>
        </w:tc>
        <w:tc>
          <w:tcPr>
            <w:tcW w:w="1470" w:type="dxa"/>
            <w:noWrap w:val="0"/>
            <w:vAlign w:val="top"/>
          </w:tcPr>
          <w:p>
            <w:pPr>
              <w:jc w:val="center"/>
              <w:rPr>
                <w:rFonts w:hint="eastAsia" w:ascii="微软雅黑" w:hAnsi="微软雅黑" w:eastAsia="微软雅黑" w:cs="微软雅黑"/>
                <w:color w:val="0000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top"/>
          </w:tcPr>
          <w:p>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3</w:t>
            </w:r>
          </w:p>
        </w:tc>
        <w:tc>
          <w:tcPr>
            <w:tcW w:w="3498" w:type="dxa"/>
            <w:noWrap w:val="0"/>
            <w:vAlign w:val="top"/>
          </w:tcPr>
          <w:p>
            <w:pPr>
              <w:jc w:val="center"/>
              <w:rPr>
                <w:rFonts w:hint="eastAsia" w:ascii="微软雅黑" w:hAnsi="微软雅黑" w:eastAsia="微软雅黑" w:cs="微软雅黑"/>
                <w:color w:val="0000FF"/>
                <w:sz w:val="24"/>
                <w:szCs w:val="24"/>
                <w:highlight w:val="none"/>
              </w:rPr>
            </w:pPr>
          </w:p>
        </w:tc>
        <w:tc>
          <w:tcPr>
            <w:tcW w:w="945" w:type="dxa"/>
            <w:noWrap w:val="0"/>
            <w:vAlign w:val="top"/>
          </w:tcPr>
          <w:p>
            <w:pPr>
              <w:jc w:val="center"/>
              <w:rPr>
                <w:rFonts w:hint="eastAsia" w:ascii="微软雅黑" w:hAnsi="微软雅黑" w:eastAsia="微软雅黑" w:cs="微软雅黑"/>
                <w:color w:val="0000FF"/>
                <w:sz w:val="24"/>
                <w:szCs w:val="24"/>
                <w:highlight w:val="none"/>
              </w:rPr>
            </w:pPr>
          </w:p>
        </w:tc>
        <w:tc>
          <w:tcPr>
            <w:tcW w:w="1260" w:type="dxa"/>
            <w:noWrap w:val="0"/>
            <w:vAlign w:val="top"/>
          </w:tcPr>
          <w:p>
            <w:pPr>
              <w:jc w:val="center"/>
              <w:rPr>
                <w:rFonts w:hint="eastAsia" w:ascii="微软雅黑" w:hAnsi="微软雅黑" w:eastAsia="微软雅黑" w:cs="微软雅黑"/>
                <w:color w:val="0000FF"/>
                <w:sz w:val="24"/>
                <w:szCs w:val="24"/>
                <w:highlight w:val="none"/>
              </w:rPr>
            </w:pPr>
          </w:p>
        </w:tc>
        <w:tc>
          <w:tcPr>
            <w:tcW w:w="930" w:type="dxa"/>
            <w:noWrap w:val="0"/>
            <w:vAlign w:val="top"/>
          </w:tcPr>
          <w:p>
            <w:pPr>
              <w:jc w:val="center"/>
              <w:rPr>
                <w:rFonts w:hint="eastAsia" w:ascii="微软雅黑" w:hAnsi="微软雅黑" w:eastAsia="微软雅黑" w:cs="微软雅黑"/>
                <w:color w:val="0000FF"/>
                <w:sz w:val="24"/>
                <w:szCs w:val="24"/>
                <w:highlight w:val="none"/>
              </w:rPr>
            </w:pPr>
          </w:p>
        </w:tc>
        <w:tc>
          <w:tcPr>
            <w:tcW w:w="1470" w:type="dxa"/>
            <w:noWrap w:val="0"/>
            <w:vAlign w:val="top"/>
          </w:tcPr>
          <w:p>
            <w:pPr>
              <w:jc w:val="center"/>
              <w:rPr>
                <w:rFonts w:hint="eastAsia" w:ascii="微软雅黑" w:hAnsi="微软雅黑" w:eastAsia="微软雅黑" w:cs="微软雅黑"/>
                <w:color w:val="0000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top"/>
          </w:tcPr>
          <w:p>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4</w:t>
            </w:r>
          </w:p>
        </w:tc>
        <w:tc>
          <w:tcPr>
            <w:tcW w:w="3498" w:type="dxa"/>
            <w:noWrap w:val="0"/>
            <w:vAlign w:val="top"/>
          </w:tcPr>
          <w:p>
            <w:pPr>
              <w:jc w:val="center"/>
              <w:rPr>
                <w:rFonts w:hint="eastAsia" w:ascii="微软雅黑" w:hAnsi="微软雅黑" w:eastAsia="微软雅黑" w:cs="微软雅黑"/>
                <w:color w:val="0000FF"/>
                <w:sz w:val="24"/>
                <w:szCs w:val="24"/>
                <w:highlight w:val="none"/>
              </w:rPr>
            </w:pPr>
          </w:p>
        </w:tc>
        <w:tc>
          <w:tcPr>
            <w:tcW w:w="945" w:type="dxa"/>
            <w:noWrap w:val="0"/>
            <w:vAlign w:val="top"/>
          </w:tcPr>
          <w:p>
            <w:pPr>
              <w:jc w:val="center"/>
              <w:rPr>
                <w:rFonts w:hint="eastAsia" w:ascii="微软雅黑" w:hAnsi="微软雅黑" w:eastAsia="微软雅黑" w:cs="微软雅黑"/>
                <w:color w:val="0000FF"/>
                <w:sz w:val="24"/>
                <w:szCs w:val="24"/>
                <w:highlight w:val="none"/>
              </w:rPr>
            </w:pPr>
          </w:p>
        </w:tc>
        <w:tc>
          <w:tcPr>
            <w:tcW w:w="1260" w:type="dxa"/>
            <w:noWrap w:val="0"/>
            <w:vAlign w:val="top"/>
          </w:tcPr>
          <w:p>
            <w:pPr>
              <w:jc w:val="center"/>
              <w:rPr>
                <w:rFonts w:hint="eastAsia" w:ascii="微软雅黑" w:hAnsi="微软雅黑" w:eastAsia="微软雅黑" w:cs="微软雅黑"/>
                <w:color w:val="0000FF"/>
                <w:sz w:val="24"/>
                <w:szCs w:val="24"/>
                <w:highlight w:val="none"/>
              </w:rPr>
            </w:pPr>
          </w:p>
        </w:tc>
        <w:tc>
          <w:tcPr>
            <w:tcW w:w="930" w:type="dxa"/>
            <w:noWrap w:val="0"/>
            <w:vAlign w:val="top"/>
          </w:tcPr>
          <w:p>
            <w:pPr>
              <w:jc w:val="center"/>
              <w:rPr>
                <w:rFonts w:hint="eastAsia" w:ascii="微软雅黑" w:hAnsi="微软雅黑" w:eastAsia="微软雅黑" w:cs="微软雅黑"/>
                <w:color w:val="0000FF"/>
                <w:sz w:val="24"/>
                <w:szCs w:val="24"/>
                <w:highlight w:val="none"/>
              </w:rPr>
            </w:pPr>
          </w:p>
        </w:tc>
        <w:tc>
          <w:tcPr>
            <w:tcW w:w="1470" w:type="dxa"/>
            <w:noWrap w:val="0"/>
            <w:vAlign w:val="top"/>
          </w:tcPr>
          <w:p>
            <w:pPr>
              <w:jc w:val="center"/>
              <w:rPr>
                <w:rFonts w:hint="eastAsia" w:ascii="微软雅黑" w:hAnsi="微软雅黑" w:eastAsia="微软雅黑" w:cs="微软雅黑"/>
                <w:color w:val="0000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top"/>
          </w:tcPr>
          <w:p>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5</w:t>
            </w:r>
          </w:p>
        </w:tc>
        <w:tc>
          <w:tcPr>
            <w:tcW w:w="3498" w:type="dxa"/>
            <w:noWrap w:val="0"/>
            <w:vAlign w:val="top"/>
          </w:tcPr>
          <w:p>
            <w:pPr>
              <w:jc w:val="center"/>
              <w:rPr>
                <w:rFonts w:hint="eastAsia" w:ascii="微软雅黑" w:hAnsi="微软雅黑" w:eastAsia="微软雅黑" w:cs="微软雅黑"/>
                <w:color w:val="0000FF"/>
                <w:sz w:val="24"/>
                <w:szCs w:val="24"/>
                <w:highlight w:val="none"/>
              </w:rPr>
            </w:pPr>
          </w:p>
        </w:tc>
        <w:tc>
          <w:tcPr>
            <w:tcW w:w="945" w:type="dxa"/>
            <w:noWrap w:val="0"/>
            <w:vAlign w:val="top"/>
          </w:tcPr>
          <w:p>
            <w:pPr>
              <w:jc w:val="center"/>
              <w:rPr>
                <w:rFonts w:hint="eastAsia" w:ascii="微软雅黑" w:hAnsi="微软雅黑" w:eastAsia="微软雅黑" w:cs="微软雅黑"/>
                <w:color w:val="0000FF"/>
                <w:sz w:val="24"/>
                <w:szCs w:val="24"/>
                <w:highlight w:val="none"/>
              </w:rPr>
            </w:pPr>
          </w:p>
        </w:tc>
        <w:tc>
          <w:tcPr>
            <w:tcW w:w="1260" w:type="dxa"/>
            <w:noWrap w:val="0"/>
            <w:vAlign w:val="top"/>
          </w:tcPr>
          <w:p>
            <w:pPr>
              <w:jc w:val="center"/>
              <w:rPr>
                <w:rFonts w:hint="eastAsia" w:ascii="微软雅黑" w:hAnsi="微软雅黑" w:eastAsia="微软雅黑" w:cs="微软雅黑"/>
                <w:color w:val="0000FF"/>
                <w:sz w:val="24"/>
                <w:szCs w:val="24"/>
                <w:highlight w:val="none"/>
              </w:rPr>
            </w:pPr>
          </w:p>
        </w:tc>
        <w:tc>
          <w:tcPr>
            <w:tcW w:w="930" w:type="dxa"/>
            <w:noWrap w:val="0"/>
            <w:vAlign w:val="top"/>
          </w:tcPr>
          <w:p>
            <w:pPr>
              <w:jc w:val="center"/>
              <w:rPr>
                <w:rFonts w:hint="eastAsia" w:ascii="微软雅黑" w:hAnsi="微软雅黑" w:eastAsia="微软雅黑" w:cs="微软雅黑"/>
                <w:color w:val="0000FF"/>
                <w:sz w:val="24"/>
                <w:szCs w:val="24"/>
                <w:highlight w:val="none"/>
              </w:rPr>
            </w:pPr>
          </w:p>
        </w:tc>
        <w:tc>
          <w:tcPr>
            <w:tcW w:w="1470" w:type="dxa"/>
            <w:noWrap w:val="0"/>
            <w:vAlign w:val="top"/>
          </w:tcPr>
          <w:p>
            <w:pPr>
              <w:jc w:val="center"/>
              <w:rPr>
                <w:rFonts w:hint="eastAsia" w:ascii="微软雅黑" w:hAnsi="微软雅黑" w:eastAsia="微软雅黑" w:cs="微软雅黑"/>
                <w:color w:val="0000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top"/>
          </w:tcPr>
          <w:p>
            <w:pPr>
              <w:jc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w:t>
            </w:r>
          </w:p>
        </w:tc>
        <w:tc>
          <w:tcPr>
            <w:tcW w:w="3498" w:type="dxa"/>
            <w:noWrap w:val="0"/>
            <w:vAlign w:val="top"/>
          </w:tcPr>
          <w:p>
            <w:pPr>
              <w:jc w:val="center"/>
              <w:rPr>
                <w:rFonts w:hint="eastAsia" w:ascii="微软雅黑" w:hAnsi="微软雅黑" w:eastAsia="微软雅黑" w:cs="微软雅黑"/>
                <w:color w:val="0000FF"/>
                <w:sz w:val="24"/>
                <w:szCs w:val="24"/>
                <w:highlight w:val="none"/>
              </w:rPr>
            </w:pPr>
          </w:p>
        </w:tc>
        <w:tc>
          <w:tcPr>
            <w:tcW w:w="945" w:type="dxa"/>
            <w:noWrap w:val="0"/>
            <w:vAlign w:val="top"/>
          </w:tcPr>
          <w:p>
            <w:pPr>
              <w:jc w:val="center"/>
              <w:rPr>
                <w:rFonts w:hint="eastAsia" w:ascii="微软雅黑" w:hAnsi="微软雅黑" w:eastAsia="微软雅黑" w:cs="微软雅黑"/>
                <w:color w:val="0000FF"/>
                <w:sz w:val="24"/>
                <w:szCs w:val="24"/>
                <w:highlight w:val="none"/>
              </w:rPr>
            </w:pPr>
          </w:p>
        </w:tc>
        <w:tc>
          <w:tcPr>
            <w:tcW w:w="1260" w:type="dxa"/>
            <w:noWrap w:val="0"/>
            <w:vAlign w:val="top"/>
          </w:tcPr>
          <w:p>
            <w:pPr>
              <w:jc w:val="center"/>
              <w:rPr>
                <w:rFonts w:hint="eastAsia" w:ascii="微软雅黑" w:hAnsi="微软雅黑" w:eastAsia="微软雅黑" w:cs="微软雅黑"/>
                <w:color w:val="0000FF"/>
                <w:sz w:val="24"/>
                <w:szCs w:val="24"/>
                <w:highlight w:val="none"/>
              </w:rPr>
            </w:pPr>
          </w:p>
        </w:tc>
        <w:tc>
          <w:tcPr>
            <w:tcW w:w="930" w:type="dxa"/>
            <w:noWrap w:val="0"/>
            <w:vAlign w:val="top"/>
          </w:tcPr>
          <w:p>
            <w:pPr>
              <w:jc w:val="center"/>
              <w:rPr>
                <w:rFonts w:hint="eastAsia" w:ascii="微软雅黑" w:hAnsi="微软雅黑" w:eastAsia="微软雅黑" w:cs="微软雅黑"/>
                <w:color w:val="0000FF"/>
                <w:sz w:val="24"/>
                <w:szCs w:val="24"/>
                <w:highlight w:val="none"/>
              </w:rPr>
            </w:pPr>
          </w:p>
        </w:tc>
        <w:tc>
          <w:tcPr>
            <w:tcW w:w="1470" w:type="dxa"/>
            <w:noWrap w:val="0"/>
            <w:vAlign w:val="top"/>
          </w:tcPr>
          <w:p>
            <w:pPr>
              <w:jc w:val="center"/>
              <w:rPr>
                <w:rFonts w:hint="eastAsia" w:ascii="微软雅黑" w:hAnsi="微软雅黑" w:eastAsia="微软雅黑" w:cs="微软雅黑"/>
                <w:color w:val="0000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885" w:type="dxa"/>
            <w:gridSpan w:val="6"/>
            <w:noWrap w:val="0"/>
            <w:vAlign w:val="top"/>
          </w:tcPr>
          <w:p>
            <w:pPr>
              <w:jc w:val="left"/>
              <w:rPr>
                <w:rFonts w:hint="eastAsia" w:ascii="微软雅黑" w:hAnsi="微软雅黑" w:eastAsia="微软雅黑" w:cs="微软雅黑"/>
                <w:color w:val="0000FF"/>
                <w:sz w:val="24"/>
                <w:szCs w:val="24"/>
                <w:highlight w:val="none"/>
              </w:rPr>
            </w:pPr>
            <w:r>
              <w:rPr>
                <w:rFonts w:hint="eastAsia" w:ascii="微软雅黑" w:hAnsi="微软雅黑" w:eastAsia="微软雅黑" w:cs="微软雅黑"/>
                <w:color w:val="000000"/>
                <w:sz w:val="24"/>
                <w:szCs w:val="24"/>
                <w:highlight w:val="none"/>
                <w:lang w:eastAsia="zh-CN"/>
              </w:rPr>
              <w:t>总计</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textAlignment w:val="auto"/>
        <w:rPr>
          <w:rFonts w:hint="eastAsia" w:ascii="微软雅黑" w:hAnsi="微软雅黑" w:eastAsia="微软雅黑" w:cs="微软雅黑"/>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说明：1.投标人必须按本</w:t>
      </w:r>
      <w:r>
        <w:rPr>
          <w:rFonts w:hint="eastAsia" w:ascii="微软雅黑" w:hAnsi="微软雅黑" w:eastAsia="微软雅黑" w:cs="微软雅黑"/>
          <w:bCs/>
          <w:color w:val="auto"/>
          <w:szCs w:val="21"/>
          <w:highlight w:val="none"/>
        </w:rPr>
        <w:t>表的格式</w:t>
      </w:r>
      <w:r>
        <w:rPr>
          <w:rFonts w:hint="eastAsia" w:ascii="微软雅黑" w:hAnsi="微软雅黑" w:eastAsia="微软雅黑" w:cs="微软雅黑"/>
          <w:color w:val="auto"/>
          <w:szCs w:val="21"/>
          <w:highlight w:val="none"/>
        </w:rPr>
        <w:t>详细报出投标总价的各个组成部分的报价，否则作无效投标处理；报价精确到小数点后两位；</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2.本</w:t>
      </w:r>
      <w:r>
        <w:rPr>
          <w:rFonts w:hint="eastAsia" w:ascii="微软雅黑" w:hAnsi="微软雅黑" w:eastAsia="微软雅黑" w:cs="微软雅黑"/>
          <w:bCs/>
          <w:color w:val="auto"/>
          <w:szCs w:val="21"/>
          <w:highlight w:val="none"/>
        </w:rPr>
        <w:t>表各分项报价合计应当与“开标一览表”总报价相等；</w:t>
      </w:r>
      <w:r>
        <w:rPr>
          <w:rFonts w:hint="eastAsia" w:ascii="微软雅黑" w:hAnsi="微软雅黑" w:eastAsia="微软雅黑" w:cs="微软雅黑"/>
          <w:color w:val="auto"/>
          <w:szCs w:val="21"/>
          <w:highlight w:val="none"/>
        </w:rPr>
        <w:t>如果按单价计算的结果与报价不一致时，以单价为准修正报价与合计报价；</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3.本表为多页的，每页均需由法定代表人或授权代表签名并盖投标人印章；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4.如本项目包括采购货物的，有投标产品属于节能、环境标志产品的、不填报的，在评标时不予加分；</w:t>
      </w:r>
    </w:p>
    <w:p>
      <w:pPr>
        <w:pStyle w:val="7"/>
        <w:keepNext w:val="0"/>
        <w:keepLines w:val="0"/>
        <w:pageBreakBefore w:val="0"/>
        <w:widowControl w:val="0"/>
        <w:kinsoku/>
        <w:wordWrap/>
        <w:overflowPunct/>
        <w:topLinePunct w:val="0"/>
        <w:autoSpaceDE/>
        <w:autoSpaceDN/>
        <w:bidi w:val="0"/>
        <w:spacing w:line="240" w:lineRule="auto"/>
        <w:ind w:left="0" w:leftChars="0" w:firstLine="420" w:firstLineChars="2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t>5.</w:t>
      </w:r>
      <w:r>
        <w:rPr>
          <w:rFonts w:hint="eastAsia" w:ascii="微软雅黑" w:hAnsi="微软雅黑" w:eastAsia="微软雅黑" w:cs="微软雅黑"/>
          <w:color w:val="auto"/>
          <w:highlight w:val="none"/>
        </w:rPr>
        <w:t>所属行业按招标文件明确的行业填报；类型指小型、微型、中型、大型企业；</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highlight w:val="none"/>
        </w:rPr>
        <w:t>6.投标人提供了《中小企业声明函》的，服务商所属行业和类型与其不一致的，以《中小企业声明函》为准。</w:t>
      </w:r>
    </w:p>
    <w:p>
      <w:pPr>
        <w:spacing w:line="600" w:lineRule="auto"/>
        <w:ind w:left="840" w:firstLine="4238" w:firstLineChars="1766"/>
        <w:jc w:val="left"/>
        <w:rPr>
          <w:rFonts w:ascii="宋体" w:hAnsi="宋体" w:cs="宋体"/>
          <w:sz w:val="24"/>
          <w:szCs w:val="24"/>
          <w:u w:val="single"/>
        </w:rPr>
      </w:pPr>
      <w:r>
        <w:rPr>
          <w:rFonts w:hint="eastAsia" w:ascii="宋体" w:hAnsi="宋体" w:cs="宋体"/>
          <w:sz w:val="24"/>
          <w:szCs w:val="24"/>
        </w:rPr>
        <w:t>投标人名称：</w:t>
      </w:r>
      <w:r>
        <w:rPr>
          <w:rFonts w:hint="eastAsia" w:ascii="宋体" w:hAnsi="宋体" w:cs="宋体"/>
          <w:sz w:val="24"/>
          <w:szCs w:val="24"/>
          <w:u w:val="single"/>
        </w:rPr>
        <w:t xml:space="preserve">       </w:t>
      </w:r>
      <w:r>
        <w:rPr>
          <w:rFonts w:hint="eastAsia" w:ascii="宋体" w:hAnsi="宋体" w:cs="宋体"/>
          <w:spacing w:val="14"/>
          <w:kern w:val="0"/>
          <w:sz w:val="24"/>
          <w:szCs w:val="24"/>
          <w:u w:val="single"/>
        </w:rPr>
        <w:t>(</w:t>
      </w:r>
      <w:r>
        <w:rPr>
          <w:rFonts w:hint="eastAsia" w:ascii="宋体" w:hAnsi="宋体"/>
          <w:kern w:val="0"/>
          <w:sz w:val="24"/>
          <w:szCs w:val="24"/>
          <w:u w:val="single"/>
        </w:rPr>
        <w:t>盖公章)</w:t>
      </w:r>
      <w:r>
        <w:rPr>
          <w:rFonts w:hint="eastAsia" w:ascii="宋体" w:hAnsi="宋体" w:cs="宋体"/>
          <w:sz w:val="24"/>
          <w:szCs w:val="24"/>
          <w:u w:val="single"/>
        </w:rPr>
        <w:t xml:space="preserve"> </w:t>
      </w:r>
    </w:p>
    <w:p>
      <w:pPr>
        <w:spacing w:line="600" w:lineRule="auto"/>
        <w:ind w:firstLine="2985" w:firstLineChars="1244"/>
        <w:rPr>
          <w:rFonts w:ascii="宋体" w:hAnsi="宋体" w:cs="宋体"/>
          <w:sz w:val="24"/>
          <w:szCs w:val="24"/>
          <w:u w:val="single"/>
        </w:rPr>
      </w:pPr>
      <w:r>
        <w:rPr>
          <w:rFonts w:hint="eastAsia" w:ascii="宋体" w:hAnsi="宋体" w:cs="宋体"/>
          <w:sz w:val="24"/>
          <w:szCs w:val="24"/>
        </w:rPr>
        <w:t>法定代表人或被授权人：（签字或盖章）</w:t>
      </w:r>
      <w:r>
        <w:rPr>
          <w:rFonts w:hint="eastAsia" w:ascii="宋体" w:hAnsi="宋体" w:cs="宋体"/>
          <w:sz w:val="24"/>
          <w:szCs w:val="24"/>
          <w:u w:val="single"/>
        </w:rPr>
        <w:t xml:space="preserve">              </w:t>
      </w:r>
    </w:p>
    <w:p>
      <w:pPr>
        <w:wordWrap w:val="0"/>
        <w:jc w:val="right"/>
        <w:rPr>
          <w:rFonts w:hint="eastAsia" w:ascii="宋体" w:hAnsi="宋体"/>
          <w:b/>
          <w:sz w:val="28"/>
          <w:szCs w:val="28"/>
          <w:lang w:eastAsia="zh-CN"/>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u w:val="single"/>
          <w:lang w:val="en-US" w:eastAsia="zh-CN"/>
        </w:rPr>
        <w:t xml:space="preserve"> </w:t>
      </w:r>
      <w:r>
        <w:rPr>
          <w:rFonts w:hint="eastAsia" w:ascii="宋体" w:hAnsi="宋体"/>
          <w:spacing w:val="4"/>
          <w:sz w:val="24"/>
          <w:szCs w:val="24"/>
          <w:u w:val="single"/>
        </w:rPr>
        <w:t xml:space="preserve"> </w:t>
      </w:r>
      <w:r>
        <w:rPr>
          <w:rFonts w:hint="eastAsia" w:ascii="宋体" w:hAnsi="宋体"/>
          <w:spacing w:val="4"/>
          <w:sz w:val="24"/>
          <w:szCs w:val="24"/>
          <w:u w:val="none"/>
          <w:lang w:eastAsia="zh-CN"/>
        </w:rPr>
        <w:t>日</w:t>
      </w:r>
    </w:p>
    <w:p>
      <w:pPr>
        <w:pStyle w:val="42"/>
        <w:jc w:val="center"/>
        <w:rPr>
          <w:rFonts w:hint="eastAsia" w:ascii="宋体" w:hAnsi="宋体"/>
          <w:b/>
          <w:sz w:val="28"/>
          <w:szCs w:val="28"/>
          <w:lang w:eastAsia="zh-CN"/>
        </w:rPr>
      </w:pPr>
    </w:p>
    <w:p>
      <w:pPr>
        <w:pStyle w:val="42"/>
        <w:jc w:val="center"/>
        <w:rPr>
          <w:rFonts w:hint="default" w:ascii="宋体" w:hAnsi="宋体"/>
          <w:b/>
          <w:sz w:val="28"/>
          <w:szCs w:val="28"/>
          <w:lang w:val="en-US" w:eastAsia="zh-CN"/>
        </w:rPr>
      </w:pPr>
    </w:p>
    <w:p>
      <w:pPr>
        <w:jc w:val="center"/>
        <w:rPr>
          <w:rFonts w:hint="eastAsia" w:ascii="微软雅黑" w:hAnsi="微软雅黑" w:eastAsia="微软雅黑" w:cs="微软雅黑"/>
          <w:b/>
          <w:bCs/>
          <w:sz w:val="32"/>
          <w:szCs w:val="32"/>
          <w:highlight w:val="none"/>
          <w:lang w:val="en-US" w:eastAsia="zh-CN"/>
        </w:rPr>
      </w:pPr>
      <w:bookmarkStart w:id="41" w:name="_Toc601"/>
      <w:r>
        <w:rPr>
          <w:rFonts w:hint="eastAsia" w:ascii="宋体" w:hAnsi="宋体" w:eastAsia="宋体" w:cs="宋体"/>
          <w:b/>
          <w:sz w:val="28"/>
          <w:szCs w:val="28"/>
          <w:lang w:val="en-US" w:eastAsia="zh-CN"/>
        </w:rPr>
        <w:t>四、</w:t>
      </w:r>
      <w:bookmarkEnd w:id="41"/>
      <w:r>
        <w:rPr>
          <w:rFonts w:hint="eastAsia" w:ascii="宋体" w:hAnsi="宋体" w:cs="宋体"/>
          <w:b/>
          <w:sz w:val="28"/>
          <w:szCs w:val="28"/>
          <w:lang w:val="en-US" w:eastAsia="zh-CN"/>
        </w:rPr>
        <w:t>技术、</w:t>
      </w:r>
      <w:r>
        <w:rPr>
          <w:rFonts w:hint="eastAsia" w:ascii="宋体" w:hAnsi="宋体" w:eastAsia="宋体" w:cs="宋体"/>
          <w:b/>
          <w:sz w:val="28"/>
          <w:szCs w:val="28"/>
          <w:lang w:val="en-US" w:eastAsia="zh-CN"/>
        </w:rPr>
        <w:t>商务及服务要求偏离表</w:t>
      </w:r>
    </w:p>
    <w:p>
      <w:pPr>
        <w:rPr>
          <w:rFonts w:hint="eastAsia" w:eastAsia="宋体"/>
          <w:sz w:val="24"/>
          <w:lang w:eastAsia="zh-CN"/>
        </w:rPr>
      </w:pPr>
      <w:r>
        <w:rPr>
          <w:rFonts w:hint="eastAsia"/>
          <w:sz w:val="24"/>
        </w:rPr>
        <w:t>项目名称：</w:t>
      </w:r>
      <w:r>
        <w:rPr>
          <w:rFonts w:hint="eastAsia" w:hAnsi="宋体"/>
          <w:sz w:val="24"/>
          <w:lang w:eastAsia="zh-CN"/>
        </w:rPr>
        <w:t>2024年周至县道路清扫保洁、垃圾清运、绿化养护、公厕管理市场化运作项目（</w:t>
      </w:r>
      <w:r>
        <w:rPr>
          <w:rFonts w:hint="eastAsia" w:hAnsi="宋体"/>
          <w:sz w:val="24"/>
          <w:szCs w:val="24"/>
          <w:u w:val="single"/>
          <w:lang w:eastAsia="zh-CN"/>
        </w:rPr>
        <w:t>合同包</w:t>
      </w:r>
      <w:r>
        <w:rPr>
          <w:rFonts w:hint="eastAsia" w:hAnsi="宋体"/>
          <w:sz w:val="24"/>
          <w:szCs w:val="24"/>
          <w:u w:val="single"/>
          <w:lang w:val="en-US" w:eastAsia="zh-CN"/>
        </w:rPr>
        <w:t xml:space="preserve"> 1 </w:t>
      </w:r>
      <w:r>
        <w:rPr>
          <w:rFonts w:hint="eastAsia" w:hAnsi="宋体"/>
          <w:sz w:val="24"/>
          <w:lang w:eastAsia="zh-CN"/>
        </w:rPr>
        <w:t>）</w:t>
      </w:r>
    </w:p>
    <w:p>
      <w:pPr>
        <w:pStyle w:val="7"/>
        <w:spacing w:after="156" w:afterLines="50"/>
        <w:ind w:left="0" w:leftChars="0" w:firstLine="0" w:firstLineChars="0"/>
        <w:rPr>
          <w:rFonts w:hint="default" w:ascii="微软雅黑" w:hAnsi="微软雅黑" w:eastAsia="微软雅黑" w:cs="微软雅黑"/>
          <w:highlight w:val="none"/>
          <w:lang w:val="en-US" w:eastAsia="zh-CN"/>
        </w:rPr>
      </w:pPr>
      <w:r>
        <w:rPr>
          <w:rFonts w:hint="eastAsia" w:ascii="Times New Roman" w:hAnsi="宋体" w:eastAsia="宋体" w:cs="Times New Roman"/>
          <w:kern w:val="2"/>
          <w:sz w:val="24"/>
          <w:szCs w:val="22"/>
          <w:lang w:val="en-US" w:eastAsia="zh-CN" w:bidi="ar-SA"/>
        </w:rPr>
        <w:t>项目编号：</w:t>
      </w:r>
      <w:r>
        <w:rPr>
          <w:rFonts w:hint="eastAsia" w:ascii="Times New Roman" w:hAnsi="宋体" w:eastAsia="宋体" w:cs="Times New Roman"/>
          <w:kern w:val="2"/>
          <w:sz w:val="24"/>
          <w:szCs w:val="22"/>
          <w:u w:val="single"/>
          <w:lang w:val="en-US" w:eastAsia="zh-CN" w:bidi="ar-SA"/>
        </w:rPr>
        <w:t>TYRZ-2024-ZZ059-1</w:t>
      </w:r>
      <w:r>
        <w:rPr>
          <w:rFonts w:hint="eastAsia" w:ascii="微软雅黑" w:hAnsi="微软雅黑" w:eastAsia="微软雅黑" w:cs="微软雅黑"/>
          <w:highlight w:val="none"/>
          <w:lang w:val="en-US" w:eastAsia="zh-CN"/>
        </w:rPr>
        <w:t xml:space="preserve">          </w:t>
      </w:r>
    </w:p>
    <w:tbl>
      <w:tblPr>
        <w:tblStyle w:val="25"/>
        <w:tblpPr w:leftFromText="180" w:rightFromText="180" w:vertAnchor="text" w:horzAnchor="page" w:tblpX="1852" w:tblpY="196"/>
        <w:tblOverlap w:val="never"/>
        <w:tblW w:w="88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08"/>
        <w:gridCol w:w="2952"/>
        <w:gridCol w:w="2880"/>
        <w:gridCol w:w="198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2" w:hRule="atLeast"/>
        </w:trPr>
        <w:tc>
          <w:tcPr>
            <w:tcW w:w="1008" w:type="dxa"/>
            <w:tcBorders>
              <w:bottom w:val="single" w:color="000000" w:sz="4" w:space="0"/>
              <w:right w:val="single" w:color="000000" w:sz="4" w:space="0"/>
            </w:tcBorders>
          </w:tcPr>
          <w:p>
            <w:pPr>
              <w:pStyle w:val="63"/>
              <w:spacing w:before="117"/>
              <w:ind w:left="292"/>
              <w:jc w:val="left"/>
              <w:rPr>
                <w:rFonts w:hint="eastAsia" w:ascii="宋体" w:eastAsia="宋体"/>
                <w:sz w:val="21"/>
              </w:rPr>
            </w:pPr>
            <w:r>
              <w:rPr>
                <w:rFonts w:hint="eastAsia" w:ascii="宋体" w:eastAsia="宋体"/>
                <w:sz w:val="21"/>
              </w:rPr>
              <w:t>序号</w:t>
            </w:r>
          </w:p>
        </w:tc>
        <w:tc>
          <w:tcPr>
            <w:tcW w:w="2952" w:type="dxa"/>
            <w:tcBorders>
              <w:left w:val="single" w:color="000000" w:sz="4" w:space="0"/>
              <w:bottom w:val="single" w:color="000000" w:sz="4" w:space="0"/>
              <w:right w:val="single" w:color="000000" w:sz="4" w:space="0"/>
            </w:tcBorders>
          </w:tcPr>
          <w:p>
            <w:pPr>
              <w:pStyle w:val="63"/>
              <w:spacing w:before="117"/>
              <w:jc w:val="center"/>
              <w:rPr>
                <w:rFonts w:hint="eastAsia" w:ascii="宋体" w:eastAsia="宋体"/>
                <w:sz w:val="21"/>
              </w:rPr>
            </w:pPr>
            <w:r>
              <w:rPr>
                <w:rFonts w:hint="eastAsia" w:ascii="宋体" w:eastAsia="宋体"/>
                <w:sz w:val="21"/>
              </w:rPr>
              <w:t>招标文件技术、商务及服务要求条款</w:t>
            </w:r>
          </w:p>
        </w:tc>
        <w:tc>
          <w:tcPr>
            <w:tcW w:w="2880" w:type="dxa"/>
            <w:tcBorders>
              <w:left w:val="single" w:color="000000" w:sz="4" w:space="0"/>
              <w:bottom w:val="single" w:color="000000" w:sz="4" w:space="0"/>
              <w:right w:val="single" w:color="000000" w:sz="4" w:space="0"/>
            </w:tcBorders>
          </w:tcPr>
          <w:p>
            <w:pPr>
              <w:pStyle w:val="63"/>
              <w:spacing w:before="117"/>
              <w:jc w:val="center"/>
              <w:rPr>
                <w:rFonts w:hint="eastAsia" w:ascii="宋体" w:eastAsia="宋体"/>
                <w:sz w:val="21"/>
              </w:rPr>
            </w:pPr>
            <w:r>
              <w:rPr>
                <w:rFonts w:hint="eastAsia" w:ascii="宋体" w:eastAsia="宋体"/>
                <w:sz w:val="21"/>
              </w:rPr>
              <w:t>投标技术、商务及服务要求响应条款</w:t>
            </w:r>
          </w:p>
        </w:tc>
        <w:tc>
          <w:tcPr>
            <w:tcW w:w="1980" w:type="dxa"/>
            <w:tcBorders>
              <w:left w:val="single" w:color="000000" w:sz="4" w:space="0"/>
              <w:bottom w:val="single" w:color="000000" w:sz="4" w:space="0"/>
            </w:tcBorders>
          </w:tcPr>
          <w:p>
            <w:pPr>
              <w:pStyle w:val="63"/>
              <w:spacing w:before="117"/>
              <w:ind w:left="578"/>
              <w:jc w:val="left"/>
              <w:rPr>
                <w:rFonts w:hint="eastAsia" w:ascii="宋体" w:eastAsia="宋体"/>
                <w:sz w:val="21"/>
              </w:rPr>
            </w:pPr>
            <w:r>
              <w:rPr>
                <w:rFonts w:hint="eastAsia" w:ascii="宋体" w:eastAsia="宋体"/>
                <w:sz w:val="21"/>
              </w:rPr>
              <w:t>响应情况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63"/>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63"/>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63"/>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63"/>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63"/>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63"/>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63"/>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63"/>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63"/>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63"/>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63"/>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63"/>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63"/>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63"/>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63"/>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63"/>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63"/>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63"/>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63"/>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63"/>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trPr>
        <w:tc>
          <w:tcPr>
            <w:tcW w:w="1008" w:type="dxa"/>
            <w:tcBorders>
              <w:top w:val="single" w:color="000000" w:sz="4" w:space="0"/>
              <w:right w:val="single" w:color="000000" w:sz="4" w:space="0"/>
            </w:tcBorders>
          </w:tcPr>
          <w:p>
            <w:pPr>
              <w:pStyle w:val="63"/>
              <w:jc w:val="left"/>
              <w:rPr>
                <w:rFonts w:ascii="Times New Roman"/>
                <w:sz w:val="20"/>
              </w:rPr>
            </w:pPr>
          </w:p>
        </w:tc>
        <w:tc>
          <w:tcPr>
            <w:tcW w:w="2952" w:type="dxa"/>
            <w:tcBorders>
              <w:top w:val="single" w:color="000000" w:sz="4" w:space="0"/>
              <w:left w:val="single" w:color="000000" w:sz="4" w:space="0"/>
              <w:right w:val="single" w:color="000000" w:sz="4" w:space="0"/>
            </w:tcBorders>
          </w:tcPr>
          <w:p>
            <w:pPr>
              <w:pStyle w:val="63"/>
              <w:jc w:val="left"/>
              <w:rPr>
                <w:rFonts w:ascii="Times New Roman"/>
                <w:sz w:val="20"/>
              </w:rPr>
            </w:pPr>
          </w:p>
        </w:tc>
        <w:tc>
          <w:tcPr>
            <w:tcW w:w="2880" w:type="dxa"/>
            <w:tcBorders>
              <w:top w:val="single" w:color="000000" w:sz="4" w:space="0"/>
              <w:left w:val="single" w:color="000000" w:sz="4" w:space="0"/>
              <w:right w:val="single" w:color="000000" w:sz="4" w:space="0"/>
            </w:tcBorders>
          </w:tcPr>
          <w:p>
            <w:pPr>
              <w:pStyle w:val="63"/>
              <w:jc w:val="left"/>
              <w:rPr>
                <w:rFonts w:ascii="Times New Roman"/>
                <w:sz w:val="20"/>
              </w:rPr>
            </w:pPr>
          </w:p>
        </w:tc>
        <w:tc>
          <w:tcPr>
            <w:tcW w:w="1980" w:type="dxa"/>
            <w:tcBorders>
              <w:top w:val="single" w:color="000000" w:sz="4" w:space="0"/>
              <w:left w:val="single" w:color="000000" w:sz="4" w:space="0"/>
            </w:tcBorders>
          </w:tcPr>
          <w:p>
            <w:pPr>
              <w:pStyle w:val="63"/>
              <w:jc w:val="left"/>
              <w:rPr>
                <w:rFonts w:ascii="Times New Roman"/>
                <w:sz w:val="20"/>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说明：1.本表只填写投标文件中与招标文件有偏离（包括正偏离和负偏离）的内容，投标文件中</w:t>
      </w:r>
      <w:r>
        <w:rPr>
          <w:rFonts w:hint="eastAsia" w:ascii="宋体" w:eastAsia="宋体"/>
          <w:sz w:val="21"/>
        </w:rPr>
        <w:t>技术、商务及服务要求</w:t>
      </w:r>
      <w:r>
        <w:rPr>
          <w:rFonts w:hint="eastAsia" w:ascii="宋体" w:hAnsi="宋体" w:eastAsia="宋体" w:cs="宋体"/>
          <w:szCs w:val="21"/>
          <w:highlight w:val="none"/>
        </w:rPr>
        <w:t>响应与招标文件要求完全一致的，不用在此表中列出，但必须提交空白表。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必须据实填写，不得虚假响应，否则将取消其投标或中标资格，并按有关规定进处罚。</w:t>
      </w:r>
    </w:p>
    <w:p>
      <w:pPr>
        <w:spacing w:line="600" w:lineRule="auto"/>
        <w:ind w:left="840" w:firstLine="4238" w:firstLineChars="1766"/>
        <w:jc w:val="left"/>
        <w:rPr>
          <w:rFonts w:hint="eastAsia" w:ascii="宋体" w:hAnsi="宋体" w:eastAsia="宋体" w:cs="宋体"/>
          <w:sz w:val="24"/>
          <w:szCs w:val="24"/>
          <w:u w:val="single"/>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pacing w:val="14"/>
          <w:kern w:val="0"/>
          <w:sz w:val="24"/>
          <w:szCs w:val="24"/>
          <w:u w:val="single"/>
        </w:rPr>
        <w:t>(</w:t>
      </w:r>
      <w:r>
        <w:rPr>
          <w:rFonts w:hint="eastAsia" w:ascii="宋体" w:hAnsi="宋体" w:eastAsia="宋体" w:cs="宋体"/>
          <w:kern w:val="0"/>
          <w:sz w:val="24"/>
          <w:szCs w:val="24"/>
          <w:u w:val="single"/>
        </w:rPr>
        <w:t>盖公章)</w:t>
      </w:r>
      <w:r>
        <w:rPr>
          <w:rFonts w:hint="eastAsia" w:ascii="宋体" w:hAnsi="宋体" w:eastAsia="宋体" w:cs="宋体"/>
          <w:sz w:val="24"/>
          <w:szCs w:val="24"/>
          <w:u w:val="single"/>
        </w:rPr>
        <w:t xml:space="preserve"> </w:t>
      </w:r>
    </w:p>
    <w:p>
      <w:pPr>
        <w:spacing w:line="600" w:lineRule="auto"/>
        <w:ind w:firstLine="2985" w:firstLineChars="1244"/>
        <w:rPr>
          <w:rFonts w:hint="eastAsia" w:ascii="宋体" w:hAnsi="宋体" w:eastAsia="宋体" w:cs="宋体"/>
          <w:sz w:val="24"/>
          <w:szCs w:val="24"/>
          <w:u w:val="single"/>
        </w:rPr>
      </w:pPr>
      <w:r>
        <w:rPr>
          <w:rFonts w:hint="eastAsia" w:ascii="宋体" w:hAnsi="宋体" w:eastAsia="宋体" w:cs="宋体"/>
          <w:sz w:val="24"/>
          <w:szCs w:val="24"/>
        </w:rPr>
        <w:t>法定代表人或被授权人：（签字或盖章）</w:t>
      </w:r>
      <w:r>
        <w:rPr>
          <w:rFonts w:hint="eastAsia" w:ascii="宋体" w:hAnsi="宋体" w:eastAsia="宋体" w:cs="宋体"/>
          <w:sz w:val="24"/>
          <w:szCs w:val="24"/>
          <w:u w:val="single"/>
        </w:rPr>
        <w:t xml:space="preserve">              </w:t>
      </w:r>
    </w:p>
    <w:p>
      <w:pPr>
        <w:pStyle w:val="24"/>
        <w:jc w:val="right"/>
        <w:rPr>
          <w:rFonts w:hint="eastAsia" w:ascii="宋体" w:hAnsi="宋体" w:eastAsia="宋体" w:cs="宋体"/>
        </w:rPr>
      </w:pPr>
      <w:r>
        <w:rPr>
          <w:rFonts w:hint="eastAsia" w:ascii="宋体" w:hAnsi="宋体" w:eastAsia="宋体" w:cs="宋体"/>
          <w:spacing w:val="4"/>
          <w:sz w:val="24"/>
          <w:szCs w:val="24"/>
        </w:rPr>
        <w:t>日期：</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u w:val="none"/>
          <w:lang w:eastAsia="zh-CN"/>
        </w:rPr>
        <w:t>日</w:t>
      </w:r>
    </w:p>
    <w:p>
      <w:pPr>
        <w:jc w:val="center"/>
        <w:rPr>
          <w:rFonts w:hint="eastAsia" w:ascii="微软雅黑" w:hAnsi="微软雅黑" w:eastAsia="微软雅黑" w:cs="微软雅黑"/>
          <w:b/>
          <w:bCs/>
          <w:sz w:val="32"/>
          <w:szCs w:val="32"/>
          <w:highlight w:val="none"/>
          <w:lang w:val="en-US" w:eastAsia="zh-CN"/>
        </w:rPr>
      </w:pPr>
      <w:r>
        <w:rPr>
          <w:rFonts w:hint="eastAsia" w:ascii="宋体" w:hAnsi="宋体" w:eastAsia="宋体" w:cs="宋体"/>
          <w:b/>
          <w:sz w:val="28"/>
          <w:szCs w:val="28"/>
          <w:lang w:val="en-US" w:eastAsia="zh-CN"/>
        </w:rPr>
        <w:t>五、合同条款偏离表</w:t>
      </w:r>
    </w:p>
    <w:p>
      <w:pPr>
        <w:rPr>
          <w:rFonts w:hint="eastAsia" w:eastAsia="宋体"/>
          <w:sz w:val="24"/>
          <w:lang w:eastAsia="zh-CN"/>
        </w:rPr>
      </w:pPr>
      <w:r>
        <w:rPr>
          <w:rFonts w:hint="eastAsia"/>
          <w:sz w:val="24"/>
        </w:rPr>
        <w:t>项目名称：</w:t>
      </w:r>
      <w:r>
        <w:rPr>
          <w:rFonts w:hint="eastAsia" w:hAnsi="宋体"/>
          <w:sz w:val="24"/>
          <w:lang w:eastAsia="zh-CN"/>
        </w:rPr>
        <w:t>2024年周至县道路清扫保洁、垃圾清运、绿化养护、公厕管理市场化运作项目（</w:t>
      </w:r>
      <w:r>
        <w:rPr>
          <w:rFonts w:hint="eastAsia" w:hAnsi="宋体"/>
          <w:sz w:val="24"/>
          <w:szCs w:val="24"/>
          <w:u w:val="single"/>
          <w:lang w:eastAsia="zh-CN"/>
        </w:rPr>
        <w:t>合同包</w:t>
      </w:r>
      <w:r>
        <w:rPr>
          <w:rFonts w:hint="eastAsia" w:hAnsi="宋体"/>
          <w:sz w:val="24"/>
          <w:szCs w:val="24"/>
          <w:u w:val="single"/>
          <w:lang w:val="en-US" w:eastAsia="zh-CN"/>
        </w:rPr>
        <w:t xml:space="preserve"> 1 </w:t>
      </w:r>
      <w:r>
        <w:rPr>
          <w:rFonts w:hint="eastAsia" w:hAnsi="宋体"/>
          <w:sz w:val="24"/>
          <w:lang w:eastAsia="zh-CN"/>
        </w:rPr>
        <w:t>）</w:t>
      </w:r>
    </w:p>
    <w:p>
      <w:pPr>
        <w:pStyle w:val="7"/>
        <w:spacing w:after="156" w:afterLines="50"/>
        <w:ind w:left="0" w:leftChars="0" w:firstLine="0" w:firstLineChars="0"/>
        <w:rPr>
          <w:rFonts w:hint="default" w:ascii="微软雅黑" w:hAnsi="微软雅黑" w:eastAsia="微软雅黑" w:cs="微软雅黑"/>
          <w:highlight w:val="none"/>
          <w:lang w:val="en-US" w:eastAsia="zh-CN"/>
        </w:rPr>
      </w:pPr>
      <w:r>
        <w:rPr>
          <w:rFonts w:hint="eastAsia" w:ascii="Times New Roman" w:hAnsi="宋体" w:eastAsia="宋体" w:cs="Times New Roman"/>
          <w:kern w:val="2"/>
          <w:sz w:val="24"/>
          <w:szCs w:val="22"/>
          <w:lang w:val="en-US" w:eastAsia="zh-CN" w:bidi="ar-SA"/>
        </w:rPr>
        <w:t>项目编号：</w:t>
      </w:r>
      <w:r>
        <w:rPr>
          <w:rFonts w:hint="eastAsia" w:ascii="Times New Roman" w:hAnsi="宋体" w:eastAsia="宋体" w:cs="Times New Roman"/>
          <w:kern w:val="2"/>
          <w:sz w:val="24"/>
          <w:szCs w:val="22"/>
          <w:u w:val="single"/>
          <w:lang w:val="en-US" w:eastAsia="zh-CN" w:bidi="ar-SA"/>
        </w:rPr>
        <w:t>TYRZ-2024-ZZ059-1</w:t>
      </w:r>
      <w:r>
        <w:rPr>
          <w:rFonts w:hint="eastAsia" w:ascii="微软雅黑" w:hAnsi="微软雅黑" w:eastAsia="微软雅黑" w:cs="微软雅黑"/>
          <w:highlight w:val="none"/>
          <w:lang w:val="en-US" w:eastAsia="zh-CN"/>
        </w:rPr>
        <w:t xml:space="preserve">          </w:t>
      </w:r>
    </w:p>
    <w:tbl>
      <w:tblPr>
        <w:tblStyle w:val="25"/>
        <w:tblpPr w:leftFromText="180" w:rightFromText="180" w:vertAnchor="text" w:horzAnchor="page" w:tblpX="1852" w:tblpY="196"/>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08"/>
        <w:gridCol w:w="2952"/>
        <w:gridCol w:w="2880"/>
        <w:gridCol w:w="198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2" w:hRule="atLeast"/>
        </w:trPr>
        <w:tc>
          <w:tcPr>
            <w:tcW w:w="1008" w:type="dxa"/>
            <w:tcBorders>
              <w:bottom w:val="single" w:color="000000" w:sz="4" w:space="0"/>
              <w:right w:val="single" w:color="000000" w:sz="4" w:space="0"/>
            </w:tcBorders>
          </w:tcPr>
          <w:p>
            <w:pPr>
              <w:pStyle w:val="63"/>
              <w:spacing w:before="117"/>
              <w:ind w:left="292"/>
              <w:jc w:val="left"/>
              <w:rPr>
                <w:rFonts w:hint="eastAsia" w:ascii="宋体" w:eastAsia="宋体"/>
                <w:sz w:val="21"/>
              </w:rPr>
            </w:pPr>
            <w:r>
              <w:rPr>
                <w:rFonts w:hint="eastAsia" w:ascii="宋体" w:eastAsia="宋体"/>
                <w:sz w:val="21"/>
              </w:rPr>
              <w:t>序号</w:t>
            </w:r>
          </w:p>
        </w:tc>
        <w:tc>
          <w:tcPr>
            <w:tcW w:w="2952" w:type="dxa"/>
            <w:tcBorders>
              <w:left w:val="single" w:color="000000" w:sz="4" w:space="0"/>
              <w:bottom w:val="single" w:color="000000" w:sz="4" w:space="0"/>
              <w:right w:val="single" w:color="000000" w:sz="4" w:space="0"/>
            </w:tcBorders>
          </w:tcPr>
          <w:p>
            <w:pPr>
              <w:pStyle w:val="63"/>
              <w:spacing w:before="117"/>
              <w:jc w:val="center"/>
              <w:rPr>
                <w:rFonts w:hint="eastAsia" w:ascii="宋体" w:eastAsia="宋体"/>
                <w:sz w:val="21"/>
              </w:rPr>
            </w:pPr>
            <w:r>
              <w:rPr>
                <w:rFonts w:hint="eastAsia" w:ascii="宋体" w:eastAsia="宋体"/>
                <w:sz w:val="21"/>
              </w:rPr>
              <w:t>招标合同条款要求</w:t>
            </w:r>
          </w:p>
        </w:tc>
        <w:tc>
          <w:tcPr>
            <w:tcW w:w="2880" w:type="dxa"/>
            <w:tcBorders>
              <w:left w:val="single" w:color="000000" w:sz="4" w:space="0"/>
              <w:bottom w:val="single" w:color="000000" w:sz="4" w:space="0"/>
              <w:right w:val="single" w:color="000000" w:sz="4" w:space="0"/>
            </w:tcBorders>
          </w:tcPr>
          <w:p>
            <w:pPr>
              <w:pStyle w:val="63"/>
              <w:spacing w:before="117"/>
              <w:jc w:val="center"/>
              <w:rPr>
                <w:rFonts w:hint="eastAsia" w:ascii="宋体" w:eastAsia="宋体"/>
                <w:sz w:val="21"/>
              </w:rPr>
            </w:pPr>
            <w:r>
              <w:rPr>
                <w:rFonts w:hint="eastAsia" w:ascii="宋体" w:eastAsia="宋体"/>
                <w:sz w:val="21"/>
              </w:rPr>
              <w:t>投标合同响应条款</w:t>
            </w:r>
          </w:p>
        </w:tc>
        <w:tc>
          <w:tcPr>
            <w:tcW w:w="1980" w:type="dxa"/>
            <w:tcBorders>
              <w:left w:val="single" w:color="000000" w:sz="4" w:space="0"/>
              <w:bottom w:val="single" w:color="000000" w:sz="4" w:space="0"/>
            </w:tcBorders>
          </w:tcPr>
          <w:p>
            <w:pPr>
              <w:pStyle w:val="63"/>
              <w:spacing w:before="117"/>
              <w:ind w:left="578"/>
              <w:jc w:val="left"/>
              <w:rPr>
                <w:rFonts w:hint="eastAsia" w:ascii="宋体" w:eastAsia="宋体"/>
                <w:sz w:val="21"/>
              </w:rPr>
            </w:pPr>
            <w:r>
              <w:rPr>
                <w:rFonts w:hint="eastAsia" w:ascii="宋体" w:eastAsia="宋体"/>
                <w:sz w:val="21"/>
              </w:rPr>
              <w:t>响应情况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63"/>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63"/>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63"/>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63"/>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63"/>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63"/>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63"/>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63"/>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63"/>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63"/>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63"/>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63"/>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63"/>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63"/>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63"/>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63"/>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63"/>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63"/>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63"/>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63"/>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63"/>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63"/>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63"/>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63"/>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63"/>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trPr>
        <w:tc>
          <w:tcPr>
            <w:tcW w:w="1008" w:type="dxa"/>
            <w:tcBorders>
              <w:top w:val="single" w:color="000000" w:sz="4" w:space="0"/>
              <w:right w:val="single" w:color="000000" w:sz="4" w:space="0"/>
            </w:tcBorders>
          </w:tcPr>
          <w:p>
            <w:pPr>
              <w:pStyle w:val="63"/>
              <w:jc w:val="left"/>
              <w:rPr>
                <w:rFonts w:ascii="Times New Roman"/>
                <w:sz w:val="20"/>
              </w:rPr>
            </w:pPr>
          </w:p>
        </w:tc>
        <w:tc>
          <w:tcPr>
            <w:tcW w:w="2952" w:type="dxa"/>
            <w:tcBorders>
              <w:top w:val="single" w:color="000000" w:sz="4" w:space="0"/>
              <w:left w:val="single" w:color="000000" w:sz="4" w:space="0"/>
              <w:right w:val="single" w:color="000000" w:sz="4" w:space="0"/>
            </w:tcBorders>
          </w:tcPr>
          <w:p>
            <w:pPr>
              <w:pStyle w:val="63"/>
              <w:jc w:val="left"/>
              <w:rPr>
                <w:rFonts w:ascii="Times New Roman"/>
                <w:sz w:val="20"/>
              </w:rPr>
            </w:pPr>
          </w:p>
        </w:tc>
        <w:tc>
          <w:tcPr>
            <w:tcW w:w="2880" w:type="dxa"/>
            <w:tcBorders>
              <w:top w:val="single" w:color="000000" w:sz="4" w:space="0"/>
              <w:left w:val="single" w:color="000000" w:sz="4" w:space="0"/>
              <w:right w:val="single" w:color="000000" w:sz="4" w:space="0"/>
            </w:tcBorders>
          </w:tcPr>
          <w:p>
            <w:pPr>
              <w:pStyle w:val="63"/>
              <w:jc w:val="left"/>
              <w:rPr>
                <w:rFonts w:ascii="Times New Roman"/>
                <w:sz w:val="20"/>
              </w:rPr>
            </w:pPr>
          </w:p>
        </w:tc>
        <w:tc>
          <w:tcPr>
            <w:tcW w:w="1980" w:type="dxa"/>
            <w:tcBorders>
              <w:top w:val="single" w:color="000000" w:sz="4" w:space="0"/>
              <w:left w:val="single" w:color="000000" w:sz="4" w:space="0"/>
            </w:tcBorders>
          </w:tcPr>
          <w:p>
            <w:pPr>
              <w:pStyle w:val="63"/>
              <w:jc w:val="left"/>
              <w:rPr>
                <w:rFonts w:ascii="Times New Roman"/>
                <w:sz w:val="20"/>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说明：1.本表只填写投标文件中与招标文件有偏离（包括正偏离和负偏离）的内容，投标文件中</w:t>
      </w:r>
      <w:r>
        <w:rPr>
          <w:rFonts w:hint="eastAsia" w:ascii="宋体" w:eastAsia="宋体"/>
          <w:sz w:val="21"/>
        </w:rPr>
        <w:t>合同条款</w:t>
      </w:r>
      <w:r>
        <w:rPr>
          <w:rFonts w:hint="eastAsia" w:ascii="宋体" w:hAnsi="宋体" w:eastAsia="宋体" w:cs="宋体"/>
          <w:szCs w:val="21"/>
          <w:highlight w:val="none"/>
        </w:rPr>
        <w:t>响应与招标文件要求完全一致的，不用在此表中列出，但必须提交空白表。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必须据实填写，不得虚假响应，否则将取消其投标或中标资格，并按有关规定进处罚。</w:t>
      </w:r>
    </w:p>
    <w:p>
      <w:pPr>
        <w:spacing w:line="600" w:lineRule="auto"/>
        <w:ind w:left="840" w:firstLine="4238" w:firstLineChars="1766"/>
        <w:jc w:val="left"/>
        <w:rPr>
          <w:rFonts w:hint="eastAsia" w:ascii="宋体" w:hAnsi="宋体" w:eastAsia="宋体" w:cs="宋体"/>
          <w:sz w:val="24"/>
          <w:szCs w:val="24"/>
          <w:u w:val="single"/>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pacing w:val="14"/>
          <w:kern w:val="0"/>
          <w:sz w:val="24"/>
          <w:szCs w:val="24"/>
          <w:u w:val="single"/>
        </w:rPr>
        <w:t>(</w:t>
      </w:r>
      <w:r>
        <w:rPr>
          <w:rFonts w:hint="eastAsia" w:ascii="宋体" w:hAnsi="宋体" w:eastAsia="宋体" w:cs="宋体"/>
          <w:kern w:val="0"/>
          <w:sz w:val="24"/>
          <w:szCs w:val="24"/>
          <w:u w:val="single"/>
        </w:rPr>
        <w:t>盖公章)</w:t>
      </w:r>
      <w:r>
        <w:rPr>
          <w:rFonts w:hint="eastAsia" w:ascii="宋体" w:hAnsi="宋体" w:eastAsia="宋体" w:cs="宋体"/>
          <w:sz w:val="24"/>
          <w:szCs w:val="24"/>
          <w:u w:val="single"/>
        </w:rPr>
        <w:t xml:space="preserve"> </w:t>
      </w:r>
    </w:p>
    <w:p>
      <w:pPr>
        <w:spacing w:line="600" w:lineRule="auto"/>
        <w:ind w:firstLine="2985" w:firstLineChars="1244"/>
        <w:rPr>
          <w:rFonts w:hint="eastAsia" w:ascii="宋体" w:hAnsi="宋体" w:eastAsia="宋体" w:cs="宋体"/>
          <w:sz w:val="24"/>
          <w:szCs w:val="24"/>
          <w:u w:val="single"/>
        </w:rPr>
      </w:pPr>
      <w:r>
        <w:rPr>
          <w:rFonts w:hint="eastAsia" w:ascii="宋体" w:hAnsi="宋体" w:eastAsia="宋体" w:cs="宋体"/>
          <w:sz w:val="24"/>
          <w:szCs w:val="24"/>
        </w:rPr>
        <w:t>法定代表人或被授权人：（签字或盖章）</w:t>
      </w:r>
      <w:r>
        <w:rPr>
          <w:rFonts w:hint="eastAsia" w:ascii="宋体" w:hAnsi="宋体" w:eastAsia="宋体" w:cs="宋体"/>
          <w:sz w:val="24"/>
          <w:szCs w:val="24"/>
          <w:u w:val="single"/>
        </w:rPr>
        <w:t xml:space="preserve">              </w:t>
      </w:r>
    </w:p>
    <w:p>
      <w:pPr>
        <w:jc w:val="right"/>
        <w:rPr>
          <w:rFonts w:hint="eastAsia" w:ascii="宋体" w:hAnsi="宋体"/>
          <w:b/>
          <w:sz w:val="28"/>
          <w:szCs w:val="28"/>
          <w:lang w:eastAsia="zh-CN"/>
        </w:rPr>
      </w:pPr>
      <w:r>
        <w:rPr>
          <w:rFonts w:hint="eastAsia" w:ascii="宋体" w:hAnsi="宋体" w:eastAsia="宋体" w:cs="宋体"/>
          <w:spacing w:val="4"/>
          <w:sz w:val="24"/>
          <w:szCs w:val="24"/>
        </w:rPr>
        <w:t>日期：</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u w:val="none"/>
          <w:lang w:eastAsia="zh-CN"/>
        </w:rPr>
        <w:t>日</w:t>
      </w:r>
    </w:p>
    <w:p>
      <w:pPr>
        <w:rPr>
          <w:rFonts w:hint="eastAsia" w:ascii="宋体" w:hAnsi="宋体"/>
          <w:b/>
          <w:sz w:val="28"/>
          <w:szCs w:val="28"/>
          <w:lang w:eastAsia="zh-CN"/>
        </w:rPr>
      </w:pPr>
      <w:r>
        <w:rPr>
          <w:rFonts w:hint="eastAsia" w:ascii="宋体" w:hAnsi="宋体"/>
          <w:b/>
          <w:sz w:val="28"/>
          <w:szCs w:val="28"/>
          <w:lang w:eastAsia="zh-CN"/>
        </w:rPr>
        <w:br w:type="page"/>
      </w:r>
    </w:p>
    <w:p>
      <w:pPr>
        <w:pStyle w:val="42"/>
        <w:jc w:val="center"/>
        <w:rPr>
          <w:rFonts w:hint="eastAsia" w:ascii="宋体" w:hAnsi="宋体"/>
          <w:b/>
          <w:sz w:val="28"/>
          <w:szCs w:val="28"/>
          <w:lang w:eastAsia="zh-CN"/>
        </w:rPr>
      </w:pPr>
      <w:r>
        <w:rPr>
          <w:rFonts w:hint="eastAsia" w:ascii="宋体" w:hAnsi="宋体"/>
          <w:b/>
          <w:sz w:val="28"/>
          <w:szCs w:val="28"/>
          <w:lang w:eastAsia="zh-CN"/>
        </w:rPr>
        <w:t>六、资格证明文件</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1）有效的主体资格证明：在中华人民共和国境内注册，并有效存续的营业执照/事业单位法人证书/非企业专业服务机构执业许可证/民办非企业单位登记证书、税务登记证、组织机构代码证，或“三证合一”后的注册登记证。</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（2）财务状况报告：</w:t>
      </w:r>
      <w:r>
        <w:rPr>
          <w:rFonts w:hint="eastAsia" w:ascii="宋体" w:hAnsi="宋体" w:cs="宋体"/>
          <w:spacing w:val="4"/>
          <w:kern w:val="0"/>
          <w:sz w:val="24"/>
          <w:szCs w:val="24"/>
          <w:lang w:val="en-US" w:eastAsia="zh-CN" w:bidi="ar-SA"/>
        </w:rPr>
        <w:t>提供2021年度或2022年度经审计的财务审计报告</w:t>
      </w:r>
      <w:r>
        <w:rPr>
          <w:rFonts w:hint="eastAsia" w:ascii="宋体" w:hAnsi="宋体" w:eastAsia="宋体" w:cs="宋体"/>
          <w:spacing w:val="4"/>
          <w:kern w:val="0"/>
          <w:sz w:val="24"/>
          <w:szCs w:val="24"/>
          <w:lang w:val="en-US" w:eastAsia="zh-CN" w:bidi="ar-SA"/>
        </w:rPr>
        <w:t>，或其开标前三个月内基本存款账户开户银行出具的资信证明，或信用担保机构出具的投标担保函。</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（3）社保缴纳证明：提供已缴存的</w:t>
      </w:r>
      <w:r>
        <w:rPr>
          <w:rFonts w:hint="eastAsia" w:ascii="宋体" w:hAnsi="宋体" w:cs="宋体"/>
          <w:spacing w:val="4"/>
          <w:kern w:val="0"/>
          <w:sz w:val="24"/>
          <w:szCs w:val="24"/>
          <w:lang w:val="en-US" w:eastAsia="zh-CN" w:bidi="ar-SA"/>
        </w:rPr>
        <w:t>2023年1月1日</w:t>
      </w:r>
      <w:r>
        <w:rPr>
          <w:rFonts w:hint="eastAsia" w:ascii="宋体" w:hAnsi="宋体" w:eastAsia="宋体" w:cs="宋体"/>
          <w:spacing w:val="4"/>
          <w:kern w:val="0"/>
          <w:sz w:val="24"/>
          <w:szCs w:val="24"/>
          <w:lang w:val="en-US" w:eastAsia="zh-CN" w:bidi="ar-SA"/>
        </w:rPr>
        <w:t>以来至少一个月的社会保障资金缴存单据或社保机构开具的社会保险参保缴费情况证明。依法不需要缴纳社会保障资金的投标人应提供相关文件证明。</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（4）税收缴纳证明：</w:t>
      </w:r>
      <w:r>
        <w:rPr>
          <w:rFonts w:hint="eastAsia" w:ascii="宋体" w:hAnsi="宋体" w:cs="宋体"/>
          <w:spacing w:val="4"/>
          <w:kern w:val="0"/>
          <w:sz w:val="24"/>
          <w:szCs w:val="24"/>
          <w:lang w:val="en-US" w:eastAsia="zh-CN" w:bidi="ar-SA"/>
        </w:rPr>
        <w:t>提供已缴纳的2023年1月1日以来至少一个月的纳税证明或完税证明</w:t>
      </w:r>
      <w:r>
        <w:rPr>
          <w:rFonts w:hint="eastAsia" w:ascii="宋体" w:hAnsi="宋体" w:eastAsia="宋体" w:cs="宋体"/>
          <w:spacing w:val="4"/>
          <w:kern w:val="0"/>
          <w:sz w:val="24"/>
          <w:szCs w:val="24"/>
          <w:lang w:val="en-US" w:eastAsia="zh-CN" w:bidi="ar-SA"/>
        </w:rPr>
        <w:t>，纳税证明或完税证明上应有代收机构或税务机关的公章或业务专用章。依法免税的投标人应提供相关文件证明。</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（5）无重大违法记录声明</w:t>
      </w:r>
      <w:r>
        <w:rPr>
          <w:rFonts w:hint="eastAsia" w:ascii="宋体" w:hAnsi="宋体" w:cs="宋体"/>
          <w:spacing w:val="4"/>
          <w:kern w:val="0"/>
          <w:sz w:val="24"/>
          <w:szCs w:val="24"/>
          <w:lang w:val="en-US" w:eastAsia="zh-CN" w:bidi="ar-SA"/>
        </w:rPr>
        <w:t>：参加本次政府采购活动前3年内在经营活动中没有重大违法记录，投标人不得被列入中国执行信息公开网（http://zxgk.court.gov.cn）失信被执行人、信用中国（www.creditchina.gov.cn）重大税收违法失信主体、在中国政府采购网（www.ccgp.gov.cn）没有严重违法失信行为记录名单、以查询结果为准，提供网站截图</w:t>
      </w:r>
      <w:r>
        <w:rPr>
          <w:rFonts w:hint="eastAsia" w:ascii="宋体" w:hAnsi="宋体" w:eastAsia="宋体" w:cs="宋体"/>
          <w:spacing w:val="4"/>
          <w:kern w:val="0"/>
          <w:sz w:val="24"/>
          <w:szCs w:val="24"/>
          <w:lang w:val="en-US" w:eastAsia="zh-CN" w:bidi="ar-SA"/>
        </w:rPr>
        <w:t>；</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6</w:t>
      </w:r>
      <w:r>
        <w:rPr>
          <w:rFonts w:hint="eastAsia" w:ascii="宋体" w:hAnsi="宋体" w:eastAsia="宋体" w:cs="宋体"/>
          <w:spacing w:val="4"/>
          <w:kern w:val="0"/>
          <w:sz w:val="24"/>
          <w:szCs w:val="24"/>
          <w:lang w:val="en-US" w:eastAsia="zh-CN" w:bidi="ar-SA"/>
        </w:rPr>
        <w:t>）书面声明：提供书面声明，包括声明具有履行合同所必需的设备和专业技术能力</w:t>
      </w:r>
      <w:r>
        <w:rPr>
          <w:rFonts w:hint="eastAsia" w:ascii="宋体" w:hAnsi="宋体" w:cs="宋体"/>
          <w:spacing w:val="4"/>
          <w:kern w:val="0"/>
          <w:sz w:val="24"/>
          <w:szCs w:val="24"/>
          <w:lang w:val="en-US" w:eastAsia="zh-CN" w:bidi="ar-SA"/>
        </w:rPr>
        <w:t>。</w:t>
      </w:r>
    </w:p>
    <w:p>
      <w:pPr>
        <w:pStyle w:val="21"/>
        <w:widowControl/>
        <w:wordWrap w:val="0"/>
        <w:spacing w:before="0" w:beforeAutospacing="0" w:after="0" w:afterAutospacing="0" w:line="360" w:lineRule="auto"/>
        <w:jc w:val="both"/>
        <w:textAlignment w:val="baseline"/>
        <w:rPr>
          <w:rFonts w:hint="eastAsia" w:ascii="宋体" w:hAnsi="宋体" w:cs="宋体"/>
          <w:color w:val="333333"/>
          <w:szCs w:val="24"/>
          <w:shd w:val="clear" w:color="auto" w:fill="FFFFFF"/>
        </w:rPr>
      </w:pPr>
      <w:r>
        <w:rPr>
          <w:rFonts w:hint="eastAsia" w:cs="宋体"/>
          <w:color w:val="333333"/>
          <w:szCs w:val="24"/>
          <w:shd w:val="clear" w:color="auto" w:fill="FFFFFF"/>
          <w:lang w:val="en-US" w:eastAsia="zh-CN"/>
        </w:rPr>
        <w:t>2</w:t>
      </w:r>
      <w:r>
        <w:rPr>
          <w:rFonts w:hint="eastAsia" w:cs="宋体"/>
          <w:color w:val="333333"/>
          <w:szCs w:val="24"/>
          <w:shd w:val="clear" w:color="auto" w:fill="FFFFFF"/>
          <w:lang w:eastAsia="zh-CN"/>
        </w:rPr>
        <w:t>、</w:t>
      </w:r>
      <w:r>
        <w:rPr>
          <w:rFonts w:hint="eastAsia" w:ascii="宋体" w:hAnsi="宋体" w:cs="宋体"/>
          <w:color w:val="333333"/>
          <w:szCs w:val="24"/>
          <w:shd w:val="clear" w:color="auto" w:fill="FFFFFF"/>
        </w:rPr>
        <w:t>本项目的特定资格要求</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1</w:t>
      </w:r>
      <w:r>
        <w:rPr>
          <w:rFonts w:hint="eastAsia" w:ascii="宋体" w:hAnsi="宋体" w:eastAsia="宋体" w:cs="宋体"/>
          <w:spacing w:val="4"/>
          <w:kern w:val="0"/>
          <w:sz w:val="24"/>
          <w:szCs w:val="24"/>
          <w:lang w:val="en-US" w:eastAsia="zh-CN" w:bidi="ar-SA"/>
        </w:rPr>
        <w:t>）与投标人不存在利害关系</w:t>
      </w:r>
      <w:r>
        <w:rPr>
          <w:rFonts w:hint="eastAsia" w:ascii="宋体" w:hAnsi="宋体" w:cs="宋体"/>
          <w:spacing w:val="4"/>
          <w:kern w:val="0"/>
          <w:sz w:val="24"/>
          <w:szCs w:val="24"/>
          <w:lang w:val="en-US" w:eastAsia="zh-CN" w:bidi="ar-SA"/>
        </w:rPr>
        <w:t>：与招标人存在利害关系可能影响公开招标公正性的单位不得参加本项目投标；</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2</w:t>
      </w:r>
      <w:r>
        <w:rPr>
          <w:rFonts w:hint="eastAsia" w:ascii="宋体" w:hAnsi="宋体" w:eastAsia="宋体" w:cs="宋体"/>
          <w:spacing w:val="4"/>
          <w:kern w:val="0"/>
          <w:sz w:val="24"/>
          <w:szCs w:val="24"/>
          <w:lang w:val="en-US" w:eastAsia="zh-CN" w:bidi="ar-SA"/>
        </w:rPr>
        <w:t>）投标人合法身份</w:t>
      </w:r>
      <w:r>
        <w:rPr>
          <w:rFonts w:hint="eastAsia" w:ascii="宋体" w:hAnsi="宋体" w:cs="宋体"/>
          <w:spacing w:val="4"/>
          <w:kern w:val="0"/>
          <w:sz w:val="24"/>
          <w:szCs w:val="24"/>
          <w:lang w:val="en-US" w:eastAsia="zh-CN" w:bidi="ar-SA"/>
        </w:rPr>
        <w:t>：</w:t>
      </w:r>
      <w:r>
        <w:rPr>
          <w:rFonts w:hint="eastAsia" w:ascii="宋体" w:hAnsi="宋体" w:eastAsia="宋体" w:cs="宋体"/>
          <w:spacing w:val="4"/>
          <w:kern w:val="0"/>
          <w:sz w:val="24"/>
          <w:szCs w:val="24"/>
          <w:lang w:val="en-US" w:eastAsia="zh-CN" w:bidi="ar-SA"/>
        </w:rPr>
        <w:t>法定代表人授权委托书：法定代表人参加投标的，须提供本人身份证复印件（附在资格证明文件中）；法定代表人授权他人参加投标的，须提供法定代表人授权委托书</w:t>
      </w:r>
      <w:r>
        <w:rPr>
          <w:rFonts w:hint="eastAsia" w:ascii="宋体" w:hAnsi="宋体" w:cs="宋体"/>
          <w:spacing w:val="4"/>
          <w:kern w:val="0"/>
          <w:sz w:val="24"/>
          <w:szCs w:val="24"/>
          <w:lang w:val="en-US" w:eastAsia="zh-CN" w:bidi="ar-SA"/>
        </w:rPr>
        <w:t>；</w:t>
      </w:r>
    </w:p>
    <w:p>
      <w:pPr>
        <w:rPr>
          <w:rFonts w:hint="eastAsia" w:ascii="宋体" w:hAnsi="宋体"/>
          <w:b/>
          <w:sz w:val="28"/>
          <w:szCs w:val="28"/>
          <w:lang w:eastAsia="zh-CN"/>
        </w:rPr>
      </w:pPr>
      <w:r>
        <w:rPr>
          <w:rFonts w:hint="eastAsia" w:ascii="宋体" w:hAnsi="宋体" w:eastAsia="宋体" w:cs="宋体"/>
          <w:spacing w:val="4"/>
          <w:kern w:val="0"/>
          <w:sz w:val="24"/>
          <w:szCs w:val="24"/>
          <w:lang w:val="en-US" w:eastAsia="zh-CN" w:bidi="ar-SA"/>
        </w:rPr>
        <w:t>（</w:t>
      </w:r>
      <w:r>
        <w:rPr>
          <w:rFonts w:hint="eastAsia" w:cs="宋体"/>
          <w:spacing w:val="4"/>
          <w:kern w:val="0"/>
          <w:sz w:val="24"/>
          <w:szCs w:val="24"/>
          <w:lang w:val="en-US" w:eastAsia="zh-CN" w:bidi="ar-SA"/>
        </w:rPr>
        <w:t>3</w:t>
      </w:r>
      <w:r>
        <w:rPr>
          <w:rFonts w:hint="eastAsia" w:ascii="宋体" w:hAnsi="宋体" w:eastAsia="宋体" w:cs="宋体"/>
          <w:spacing w:val="4"/>
          <w:kern w:val="0"/>
          <w:sz w:val="24"/>
          <w:szCs w:val="24"/>
          <w:lang w:val="en-US" w:eastAsia="zh-CN" w:bidi="ar-SA"/>
        </w:rPr>
        <w:t>）本项目不接受联合体</w:t>
      </w:r>
      <w:r>
        <w:rPr>
          <w:rFonts w:hint="eastAsia" w:cs="宋体"/>
          <w:spacing w:val="4"/>
          <w:kern w:val="0"/>
          <w:sz w:val="24"/>
          <w:szCs w:val="24"/>
          <w:lang w:val="en-US" w:eastAsia="zh-CN" w:bidi="ar-SA"/>
        </w:rPr>
        <w:t>。</w:t>
      </w:r>
      <w:r>
        <w:rPr>
          <w:rFonts w:hint="eastAsia" w:ascii="宋体" w:hAnsi="宋体"/>
          <w:b/>
          <w:sz w:val="28"/>
          <w:szCs w:val="28"/>
          <w:lang w:eastAsia="zh-CN"/>
        </w:rPr>
        <w:br w:type="page"/>
      </w:r>
    </w:p>
    <w:p>
      <w:pPr>
        <w:spacing w:line="360" w:lineRule="auto"/>
        <w:jc w:val="both"/>
        <w:rPr>
          <w:rFonts w:ascii="宋体" w:hAnsi="宋体"/>
          <w:b/>
          <w:bCs/>
          <w:sz w:val="24"/>
          <w:szCs w:val="16"/>
        </w:rPr>
      </w:pPr>
      <w:r>
        <w:rPr>
          <w:rFonts w:hint="eastAsia" w:ascii="宋体" w:hAnsi="宋体"/>
          <w:b/>
          <w:bCs/>
          <w:sz w:val="24"/>
          <w:szCs w:val="16"/>
          <w:lang w:eastAsia="zh-CN"/>
        </w:rPr>
        <w:t>附件</w:t>
      </w:r>
      <w:r>
        <w:rPr>
          <w:rFonts w:hint="eastAsia" w:ascii="宋体" w:hAnsi="宋体"/>
          <w:b/>
          <w:bCs/>
          <w:sz w:val="24"/>
          <w:szCs w:val="16"/>
        </w:rPr>
        <w:t>一</w:t>
      </w:r>
      <w:r>
        <w:rPr>
          <w:rFonts w:hint="eastAsia" w:ascii="宋体" w:hAnsi="宋体"/>
          <w:b/>
          <w:bCs/>
          <w:sz w:val="24"/>
          <w:szCs w:val="16"/>
          <w:lang w:eastAsia="zh-CN"/>
        </w:rPr>
        <w:t>：</w:t>
      </w:r>
      <w:r>
        <w:rPr>
          <w:rFonts w:hint="eastAsia" w:ascii="宋体" w:hAnsi="宋体"/>
          <w:b/>
          <w:bCs/>
          <w:sz w:val="24"/>
          <w:szCs w:val="16"/>
        </w:rPr>
        <w:t>法定代表人证明书</w:t>
      </w:r>
    </w:p>
    <w:p>
      <w:pPr>
        <w:spacing w:line="500" w:lineRule="exact"/>
        <w:jc w:val="center"/>
        <w:rPr>
          <w:rFonts w:ascii="宋体" w:hAnsi="宋体"/>
          <w:sz w:val="24"/>
        </w:rPr>
      </w:pPr>
      <w:r>
        <w:rPr>
          <w:rFonts w:hint="eastAsia" w:ascii="宋体" w:hAnsi="宋体"/>
          <w:b/>
          <w:bCs/>
          <w:sz w:val="24"/>
          <w:szCs w:val="16"/>
        </w:rPr>
        <w:t>法定代表人证明书</w:t>
      </w:r>
    </w:p>
    <w:p>
      <w:pPr>
        <w:spacing w:line="500" w:lineRule="exact"/>
        <w:ind w:firstLine="480" w:firstLineChars="200"/>
        <w:rPr>
          <w:rFonts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单位性质：</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地    址：</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成立时间：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经营期限：</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 xml:space="preserve">    性别：</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 xml:space="preserve">  职务：</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系</w:t>
      </w:r>
      <w:r>
        <w:rPr>
          <w:rFonts w:hint="eastAsia" w:ascii="宋体" w:hAnsi="宋体"/>
          <w:sz w:val="24"/>
          <w:szCs w:val="24"/>
          <w:u w:val="single"/>
        </w:rPr>
        <w:t xml:space="preserve">                                </w:t>
      </w:r>
      <w:r>
        <w:rPr>
          <w:rFonts w:hint="eastAsia" w:ascii="宋体" w:hAnsi="宋体"/>
          <w:sz w:val="24"/>
          <w:szCs w:val="24"/>
        </w:rPr>
        <w:t>（投标人名称）的法定代表人。</w:t>
      </w:r>
    </w:p>
    <w:p>
      <w:pPr>
        <w:spacing w:line="500" w:lineRule="exact"/>
        <w:ind w:firstLine="480" w:firstLineChars="200"/>
        <w:rPr>
          <w:rFonts w:ascii="宋体" w:hAnsi="宋体"/>
          <w:sz w:val="24"/>
          <w:szCs w:val="24"/>
        </w:rPr>
      </w:pPr>
      <w:r>
        <w:rPr>
          <w:rFonts w:hint="eastAsia" w:ascii="宋体" w:hAnsi="宋体"/>
          <w:sz w:val="24"/>
          <w:szCs w:val="24"/>
        </w:rPr>
        <w:t>特此证明。</w:t>
      </w:r>
    </w:p>
    <w:p>
      <w:pPr>
        <w:spacing w:line="500" w:lineRule="exact"/>
        <w:rPr>
          <w:rFonts w:ascii="宋体" w:hAnsi="宋体"/>
          <w:sz w:val="24"/>
          <w:szCs w:val="24"/>
        </w:rPr>
      </w:pPr>
    </w:p>
    <w:p>
      <w:pPr>
        <w:spacing w:line="500" w:lineRule="exact"/>
        <w:rPr>
          <w:rFonts w:ascii="宋体" w:hAnsi="宋体"/>
          <w:sz w:val="24"/>
          <w:szCs w:val="24"/>
        </w:rPr>
      </w:pPr>
      <w:r>
        <w:rPr>
          <w:rFonts w:hAnsi="宋体"/>
          <w:sz w:val="24"/>
        </w:rPr>
        <w:t>附：法定代表人身份证复印件。（二代身份证正、反两面都需复印）</w:t>
      </w:r>
    </w:p>
    <w:p>
      <w:pPr>
        <w:spacing w:line="500" w:lineRule="exact"/>
        <w:jc w:val="right"/>
        <w:rPr>
          <w:rFonts w:ascii="宋体" w:hAnsi="宋体"/>
          <w:sz w:val="24"/>
          <w:szCs w:val="24"/>
        </w:rPr>
      </w:pPr>
    </w:p>
    <w:p>
      <w:pPr>
        <w:spacing w:before="240" w:beforeLines="100" w:after="120" w:afterLines="50" w:line="360" w:lineRule="auto"/>
        <w:ind w:firstLine="3521" w:firstLineChars="1420"/>
        <w:jc w:val="left"/>
        <w:rPr>
          <w:rFonts w:ascii="宋体" w:hAnsi="宋体" w:cs="宋体"/>
          <w:spacing w:val="14"/>
          <w:kern w:val="0"/>
          <w:sz w:val="24"/>
          <w:szCs w:val="24"/>
        </w:rPr>
      </w:pPr>
      <w:r>
        <w:rPr>
          <w:rFonts w:hint="eastAsia" w:ascii="宋体" w:hAnsi="宋体"/>
          <w:spacing w:val="4"/>
          <w:sz w:val="24"/>
          <w:szCs w:val="24"/>
        </w:rPr>
        <w:t>投标人名称：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line="360" w:lineRule="auto"/>
        <w:ind w:left="4621" w:firstLine="420"/>
        <w:jc w:val="center"/>
        <w:rPr>
          <w:rFonts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pStyle w:val="49"/>
        <w:spacing w:line="480" w:lineRule="exact"/>
        <w:ind w:firstLine="0" w:firstLineChars="0"/>
        <w:jc w:val="center"/>
        <w:rPr>
          <w:rFonts w:hint="eastAsia" w:ascii="宋体" w:hAnsi="宋体"/>
          <w:b/>
          <w:bCs/>
          <w:sz w:val="32"/>
          <w:szCs w:val="20"/>
        </w:rPr>
      </w:pPr>
    </w:p>
    <w:p>
      <w:pPr>
        <w:pStyle w:val="49"/>
        <w:spacing w:line="480" w:lineRule="exact"/>
        <w:ind w:firstLine="0" w:firstLineChars="0"/>
        <w:jc w:val="center"/>
        <w:rPr>
          <w:rFonts w:hint="eastAsia" w:ascii="宋体" w:hAnsi="宋体"/>
          <w:b/>
          <w:bCs/>
          <w:sz w:val="32"/>
          <w:szCs w:val="20"/>
        </w:rPr>
      </w:pPr>
    </w:p>
    <w:p>
      <w:pPr>
        <w:pStyle w:val="49"/>
        <w:spacing w:line="480" w:lineRule="exact"/>
        <w:ind w:firstLine="0" w:firstLineChars="0"/>
        <w:jc w:val="center"/>
        <w:rPr>
          <w:rFonts w:hint="eastAsia" w:ascii="宋体" w:hAnsi="宋体"/>
          <w:b/>
          <w:bCs/>
          <w:sz w:val="32"/>
          <w:szCs w:val="20"/>
        </w:rPr>
      </w:pPr>
    </w:p>
    <w:p>
      <w:pPr>
        <w:rPr>
          <w:rFonts w:hint="eastAsia" w:ascii="宋体" w:hAnsi="宋体" w:eastAsia="宋体"/>
          <w:b w:val="0"/>
          <w:bCs/>
          <w:sz w:val="24"/>
          <w:szCs w:val="24"/>
          <w:lang w:eastAsia="zh-CN"/>
        </w:rPr>
      </w:pPr>
    </w:p>
    <w:p>
      <w:pPr>
        <w:pStyle w:val="49"/>
        <w:spacing w:line="480" w:lineRule="exact"/>
        <w:ind w:firstLine="0" w:firstLineChars="0"/>
        <w:jc w:val="both"/>
        <w:rPr>
          <w:rFonts w:hint="eastAsia" w:ascii="宋体" w:hAnsi="宋体"/>
          <w:b/>
          <w:bCs/>
          <w:sz w:val="24"/>
          <w:szCs w:val="16"/>
        </w:rPr>
      </w:pPr>
      <w:r>
        <w:rPr>
          <w:rFonts w:hint="eastAsia" w:ascii="宋体" w:hAnsi="宋体"/>
          <w:b/>
          <w:bCs/>
          <w:sz w:val="32"/>
          <w:szCs w:val="20"/>
        </w:rPr>
        <w:br w:type="page"/>
      </w:r>
      <w:r>
        <w:rPr>
          <w:rFonts w:hint="eastAsia" w:ascii="宋体" w:hAnsi="宋体"/>
          <w:b/>
          <w:bCs/>
          <w:sz w:val="24"/>
          <w:szCs w:val="16"/>
          <w:lang w:eastAsia="zh-CN"/>
        </w:rPr>
        <w:t>附件</w:t>
      </w:r>
      <w:r>
        <w:rPr>
          <w:rFonts w:hint="eastAsia" w:ascii="宋体" w:hAnsi="宋体"/>
          <w:b/>
          <w:bCs/>
          <w:sz w:val="24"/>
          <w:szCs w:val="16"/>
        </w:rPr>
        <w:t>二</w:t>
      </w:r>
      <w:r>
        <w:rPr>
          <w:rFonts w:hint="eastAsia" w:ascii="宋体" w:hAnsi="宋体"/>
          <w:b/>
          <w:bCs/>
          <w:sz w:val="24"/>
          <w:szCs w:val="16"/>
          <w:lang w:eastAsia="zh-CN"/>
        </w:rPr>
        <w:t>：</w:t>
      </w:r>
      <w:r>
        <w:rPr>
          <w:rFonts w:hint="eastAsia" w:ascii="宋体" w:hAnsi="宋体"/>
          <w:b/>
          <w:bCs/>
          <w:sz w:val="24"/>
          <w:szCs w:val="16"/>
        </w:rPr>
        <w:t>法定代表人授权委托书</w:t>
      </w:r>
    </w:p>
    <w:p>
      <w:pPr>
        <w:pStyle w:val="49"/>
        <w:spacing w:line="480" w:lineRule="exact"/>
        <w:ind w:firstLine="0" w:firstLineChars="0"/>
        <w:jc w:val="center"/>
        <w:rPr>
          <w:rFonts w:ascii="宋体" w:hAnsi="宋体"/>
          <w:b/>
          <w:bCs/>
          <w:sz w:val="24"/>
          <w:szCs w:val="16"/>
        </w:rPr>
      </w:pPr>
      <w:r>
        <w:rPr>
          <w:rFonts w:hint="eastAsia" w:ascii="宋体" w:hAnsi="宋体"/>
          <w:b/>
          <w:bCs/>
          <w:sz w:val="24"/>
          <w:szCs w:val="16"/>
        </w:rPr>
        <w:t>法定代表人授权委托书</w:t>
      </w:r>
    </w:p>
    <w:p>
      <w:pPr>
        <w:spacing w:line="360" w:lineRule="auto"/>
        <w:rPr>
          <w:rFonts w:ascii="宋体" w:hAnsi="宋体"/>
        </w:rPr>
      </w:pPr>
    </w:p>
    <w:p>
      <w:pPr>
        <w:spacing w:line="500" w:lineRule="exact"/>
        <w:ind w:firstLine="480" w:firstLineChars="200"/>
        <w:rPr>
          <w:sz w:val="24"/>
        </w:rPr>
      </w:pPr>
      <w:r>
        <w:rPr>
          <w:rFonts w:hAnsi="宋体"/>
          <w:sz w:val="24"/>
        </w:rPr>
        <w:t>本人</w:t>
      </w:r>
      <w:r>
        <w:rPr>
          <w:rFonts w:hAnsi="宋体"/>
          <w:sz w:val="24"/>
          <w:u w:val="single"/>
        </w:rPr>
        <w:t xml:space="preserve">  （姓名）</w:t>
      </w:r>
      <w:r>
        <w:rPr>
          <w:rFonts w:hAnsi="宋体"/>
          <w:sz w:val="24"/>
        </w:rPr>
        <w:t>系</w:t>
      </w:r>
      <w:r>
        <w:rPr>
          <w:rFonts w:hAnsi="宋体"/>
          <w:sz w:val="24"/>
          <w:u w:val="single"/>
        </w:rPr>
        <w:t>（</w:t>
      </w:r>
      <w:r>
        <w:rPr>
          <w:rFonts w:hint="eastAsia" w:hAnsi="宋体"/>
          <w:sz w:val="24"/>
          <w:u w:val="single"/>
        </w:rPr>
        <w:t>投标人</w:t>
      </w:r>
      <w:r>
        <w:rPr>
          <w:rFonts w:hAnsi="宋体"/>
          <w:sz w:val="24"/>
          <w:u w:val="single"/>
        </w:rPr>
        <w:t>名称）</w:t>
      </w:r>
      <w:r>
        <w:rPr>
          <w:rFonts w:hAnsi="宋体"/>
          <w:sz w:val="24"/>
        </w:rPr>
        <w:t>的法定代表人，现委托</w:t>
      </w:r>
      <w:r>
        <w:rPr>
          <w:sz w:val="24"/>
          <w:u w:val="single"/>
        </w:rPr>
        <w:t xml:space="preserve"> </w:t>
      </w:r>
      <w:r>
        <w:rPr>
          <w:rFonts w:hAnsi="宋体"/>
          <w:sz w:val="24"/>
          <w:u w:val="single"/>
        </w:rPr>
        <w:t>（姓名）</w:t>
      </w:r>
      <w:r>
        <w:rPr>
          <w:rFonts w:hAnsi="宋体"/>
          <w:sz w:val="24"/>
        </w:rPr>
        <w:t>为我方被授权人。被授权人根据授权，以我方名义签署、澄清、说明、补正、递交、撤回、修改</w:t>
      </w:r>
      <w:r>
        <w:rPr>
          <w:rFonts w:hint="eastAsia" w:hAnsi="宋体"/>
          <w:sz w:val="24"/>
          <w:u w:val="single"/>
        </w:rPr>
        <w:t xml:space="preserve"> </w:t>
      </w:r>
      <w:r>
        <w:rPr>
          <w:rFonts w:hint="eastAsia" w:hAnsi="宋体"/>
          <w:sz w:val="24"/>
          <w:u w:val="single"/>
          <w:lang w:eastAsia="zh-CN"/>
        </w:rPr>
        <w:t>2024年周至县道路清扫保洁、垃圾清运、绿化养护、公厕管理市场化运作项目</w:t>
      </w:r>
      <w:r>
        <w:rPr>
          <w:rFonts w:hint="eastAsia" w:hAnsi="宋体"/>
          <w:sz w:val="24"/>
          <w:szCs w:val="24"/>
          <w:u w:val="single"/>
          <w:lang w:eastAsia="zh-CN"/>
        </w:rPr>
        <w:t>（合同包</w:t>
      </w:r>
      <w:r>
        <w:rPr>
          <w:rFonts w:hint="eastAsia" w:hAnsi="宋体"/>
          <w:sz w:val="24"/>
          <w:szCs w:val="24"/>
          <w:u w:val="single"/>
          <w:lang w:val="en-US" w:eastAsia="zh-CN"/>
        </w:rPr>
        <w:t xml:space="preserve"> 1 </w:t>
      </w:r>
      <w:r>
        <w:rPr>
          <w:rFonts w:hint="eastAsia" w:hAnsi="宋体"/>
          <w:sz w:val="24"/>
          <w:szCs w:val="24"/>
          <w:u w:val="single"/>
          <w:lang w:eastAsia="zh-CN"/>
        </w:rPr>
        <w:t>）</w:t>
      </w:r>
      <w:r>
        <w:rPr>
          <w:rFonts w:hint="eastAsia" w:hAnsi="宋体"/>
          <w:sz w:val="24"/>
          <w:u w:val="single"/>
        </w:rPr>
        <w:t xml:space="preserve"> </w:t>
      </w:r>
      <w:r>
        <w:rPr>
          <w:rFonts w:hAnsi="宋体"/>
          <w:sz w:val="24"/>
        </w:rPr>
        <w:t>投标文件、签订合同和处理有关事宜，其法律后果由我方承担。</w:t>
      </w:r>
    </w:p>
    <w:p>
      <w:pPr>
        <w:spacing w:line="500" w:lineRule="exact"/>
        <w:ind w:firstLine="480" w:firstLineChars="200"/>
        <w:rPr>
          <w:sz w:val="24"/>
        </w:rPr>
      </w:pPr>
      <w:r>
        <w:rPr>
          <w:rFonts w:hAnsi="宋体"/>
          <w:sz w:val="24"/>
        </w:rPr>
        <w:t>被授权人无转委托权。</w:t>
      </w:r>
    </w:p>
    <w:p>
      <w:pPr>
        <w:spacing w:line="500" w:lineRule="exact"/>
        <w:ind w:firstLine="480" w:firstLineChars="200"/>
        <w:rPr>
          <w:sz w:val="24"/>
        </w:rPr>
      </w:pPr>
      <w:r>
        <w:rPr>
          <w:rFonts w:hAnsi="宋体"/>
          <w:sz w:val="24"/>
        </w:rPr>
        <w:t>委托期限：从投标截止之日算起90日历天</w:t>
      </w:r>
    </w:p>
    <w:p>
      <w:pPr>
        <w:spacing w:line="500" w:lineRule="exact"/>
        <w:ind w:firstLine="480" w:firstLineChars="200"/>
        <w:rPr>
          <w:sz w:val="24"/>
          <w:u w:val="single"/>
        </w:rPr>
      </w:pPr>
      <w:bookmarkStart w:id="42" w:name="_Toc201637979"/>
      <w:bookmarkStart w:id="43" w:name="_Toc214090947"/>
      <w:r>
        <w:rPr>
          <w:rFonts w:hAnsi="宋体"/>
          <w:sz w:val="24"/>
        </w:rPr>
        <w:t>法定代表人（签字或盖章）：</w:t>
      </w:r>
      <w:r>
        <w:rPr>
          <w:sz w:val="24"/>
          <w:u w:val="single"/>
        </w:rPr>
        <w:t xml:space="preserve">         </w:t>
      </w:r>
      <w:r>
        <w:rPr>
          <w:rFonts w:hint="eastAsia"/>
          <w:sz w:val="24"/>
        </w:rPr>
        <w:tab/>
      </w:r>
      <w:r>
        <w:rPr>
          <w:rFonts w:hAnsi="宋体"/>
          <w:sz w:val="24"/>
        </w:rPr>
        <w:t>被授权人（签字或盖章）：</w:t>
      </w:r>
      <w:bookmarkEnd w:id="42"/>
      <w:bookmarkEnd w:id="43"/>
      <w:r>
        <w:rPr>
          <w:rFonts w:hint="eastAsia" w:hAnsi="宋体"/>
          <w:sz w:val="24"/>
          <w:u w:val="single"/>
        </w:rPr>
        <w:t xml:space="preserve">           </w:t>
      </w:r>
    </w:p>
    <w:p>
      <w:pPr>
        <w:spacing w:line="500" w:lineRule="exact"/>
        <w:ind w:firstLine="480" w:firstLineChars="200"/>
        <w:rPr>
          <w:sz w:val="24"/>
          <w:u w:val="single"/>
        </w:rPr>
      </w:pPr>
      <w:bookmarkStart w:id="44" w:name="_Toc201637980"/>
      <w:bookmarkStart w:id="45" w:name="_Toc214090948"/>
      <w:r>
        <w:rPr>
          <w:rFonts w:hAnsi="宋体"/>
          <w:sz w:val="24"/>
        </w:rPr>
        <w:t>职务：</w:t>
      </w:r>
      <w:r>
        <w:rPr>
          <w:sz w:val="24"/>
          <w:u w:val="single"/>
        </w:rPr>
        <w:t xml:space="preserve">                     </w:t>
      </w:r>
      <w:bookmarkEnd w:id="44"/>
      <w:bookmarkEnd w:id="45"/>
      <w:r>
        <w:rPr>
          <w:rFonts w:hint="eastAsia"/>
          <w:sz w:val="24"/>
          <w:u w:val="single"/>
        </w:rPr>
        <w:tab/>
      </w:r>
      <w:r>
        <w:rPr>
          <w:rFonts w:hint="eastAsia"/>
          <w:sz w:val="24"/>
          <w:u w:val="single"/>
        </w:rPr>
        <w:tab/>
      </w:r>
      <w:r>
        <w:rPr>
          <w:rFonts w:hint="eastAsia"/>
          <w:sz w:val="24"/>
          <w:u w:val="single"/>
        </w:rPr>
        <w:tab/>
      </w:r>
      <w:r>
        <w:rPr>
          <w:rFonts w:hint="eastAsia"/>
          <w:sz w:val="24"/>
        </w:rPr>
        <w:tab/>
      </w:r>
      <w:r>
        <w:rPr>
          <w:rFonts w:hAnsi="宋体"/>
          <w:sz w:val="24"/>
        </w:rPr>
        <w:t>职务：</w:t>
      </w:r>
      <w:r>
        <w:rPr>
          <w:rFonts w:hint="eastAsia" w:hAnsi="宋体"/>
          <w:sz w:val="24"/>
          <w:u w:val="single"/>
        </w:rPr>
        <w:t xml:space="preserve">                            </w:t>
      </w:r>
    </w:p>
    <w:p>
      <w:pPr>
        <w:spacing w:line="500" w:lineRule="exact"/>
        <w:ind w:firstLine="480" w:firstLineChars="200"/>
        <w:rPr>
          <w:sz w:val="24"/>
          <w:u w:val="single"/>
        </w:rPr>
      </w:pPr>
      <w:bookmarkStart w:id="46" w:name="_Toc214090949"/>
      <w:bookmarkStart w:id="47" w:name="_Toc201637981"/>
      <w:r>
        <w:rPr>
          <w:rFonts w:hAnsi="宋体"/>
          <w:sz w:val="24"/>
        </w:rPr>
        <w:t>身份证号：</w:t>
      </w:r>
      <w:r>
        <w:rPr>
          <w:sz w:val="24"/>
          <w:u w:val="single"/>
        </w:rPr>
        <w:t xml:space="preserve">                    </w:t>
      </w:r>
      <w:r>
        <w:rPr>
          <w:rFonts w:hint="eastAsia"/>
          <w:sz w:val="24"/>
          <w:u w:val="single"/>
        </w:rPr>
        <w:tab/>
      </w:r>
      <w:r>
        <w:rPr>
          <w:rFonts w:hint="eastAsia"/>
          <w:sz w:val="24"/>
          <w:u w:val="single"/>
        </w:rPr>
        <w:tab/>
      </w:r>
      <w:r>
        <w:rPr>
          <w:rFonts w:hint="eastAsia"/>
          <w:sz w:val="24"/>
        </w:rPr>
        <w:tab/>
      </w:r>
      <w:r>
        <w:rPr>
          <w:rFonts w:hAnsi="宋体"/>
          <w:sz w:val="24"/>
        </w:rPr>
        <w:t>身份证号：</w:t>
      </w:r>
      <w:bookmarkEnd w:id="46"/>
      <w:bookmarkEnd w:id="47"/>
      <w:r>
        <w:rPr>
          <w:rFonts w:hint="eastAsia" w:hAnsi="宋体"/>
          <w:sz w:val="24"/>
          <w:u w:val="single"/>
        </w:rPr>
        <w:t xml:space="preserve">                        </w:t>
      </w:r>
    </w:p>
    <w:p>
      <w:pPr>
        <w:spacing w:line="500" w:lineRule="exact"/>
        <w:jc w:val="center"/>
        <w:rPr>
          <w:rFonts w:ascii="宋体" w:hAnsi="宋体"/>
          <w:b/>
        </w:rPr>
      </w:pPr>
      <w:bookmarkStart w:id="48" w:name="_Toc214090950"/>
      <w:bookmarkStart w:id="49" w:name="_Toc201637982"/>
      <w:r>
        <w:rPr>
          <w:rFonts w:hAnsi="宋体"/>
          <w:sz w:val="24"/>
        </w:rPr>
        <w:t>附：法定代表人、被授权人身份证复印件。（二代身份证正、反两面都需复印）</w:t>
      </w:r>
      <w:bookmarkEnd w:id="48"/>
      <w:bookmarkEnd w:id="49"/>
    </w:p>
    <w:p>
      <w:pPr>
        <w:spacing w:line="500" w:lineRule="exact"/>
        <w:jc w:val="center"/>
        <w:rPr>
          <w:rFonts w:ascii="宋体" w:hAnsi="宋体"/>
          <w:b/>
        </w:rPr>
      </w:pPr>
    </w:p>
    <w:p>
      <w:pPr>
        <w:jc w:val="center"/>
        <w:rPr>
          <w:rFonts w:ascii="宋体" w:hAnsi="宋体"/>
          <w:b/>
        </w:rPr>
      </w:pPr>
    </w:p>
    <w:p>
      <w:pPr>
        <w:jc w:val="center"/>
        <w:rPr>
          <w:rFonts w:ascii="宋体" w:hAnsi="宋体"/>
          <w:b/>
        </w:rPr>
      </w:pPr>
    </w:p>
    <w:p>
      <w:pPr>
        <w:spacing w:before="240" w:beforeLines="100" w:after="120" w:afterLines="50" w:line="360" w:lineRule="auto"/>
        <w:ind w:firstLine="3408" w:firstLineChars="1420"/>
        <w:jc w:val="left"/>
        <w:rPr>
          <w:rFonts w:ascii="宋体" w:hAnsi="宋体" w:cs="宋体"/>
          <w:spacing w:val="14"/>
          <w:kern w:val="0"/>
          <w:sz w:val="24"/>
          <w:szCs w:val="24"/>
        </w:rPr>
      </w:pPr>
      <w:r>
        <w:rPr>
          <w:rFonts w:hint="eastAsia" w:ascii="宋体" w:hAnsi="宋体"/>
          <w:sz w:val="24"/>
          <w:szCs w:val="24"/>
        </w:rPr>
        <w:t xml:space="preserve"> </w:t>
      </w:r>
      <w:r>
        <w:rPr>
          <w:rFonts w:hint="eastAsia" w:ascii="宋体" w:hAnsi="宋体"/>
          <w:spacing w:val="4"/>
          <w:sz w:val="24"/>
          <w:szCs w:val="24"/>
        </w:rPr>
        <w:t>投标人名称：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line="360" w:lineRule="auto"/>
        <w:ind w:left="1"/>
        <w:jc w:val="right"/>
        <w:rPr>
          <w:rFonts w:hint="eastAsia" w:ascii="宋体" w:hAnsi="宋体"/>
          <w:b/>
          <w:sz w:val="28"/>
          <w:szCs w:val="28"/>
          <w:lang w:eastAsia="zh-CN"/>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r>
        <w:rPr>
          <w:rFonts w:hint="eastAsia" w:ascii="宋体" w:hAnsi="宋体"/>
          <w:b/>
          <w:sz w:val="28"/>
          <w:szCs w:val="28"/>
          <w:lang w:eastAsia="zh-CN"/>
        </w:rPr>
        <w:br w:type="page"/>
      </w:r>
    </w:p>
    <w:p>
      <w:pPr>
        <w:spacing w:line="360" w:lineRule="auto"/>
        <w:ind w:left="1"/>
        <w:jc w:val="both"/>
        <w:rPr>
          <w:rFonts w:ascii="宋体" w:hAnsi="宋体"/>
          <w:b w:val="0"/>
          <w:bCs/>
          <w:sz w:val="24"/>
          <w:szCs w:val="24"/>
        </w:rPr>
      </w:pPr>
      <w:r>
        <w:rPr>
          <w:rFonts w:hint="eastAsia" w:ascii="宋体" w:hAnsi="宋体"/>
          <w:b w:val="0"/>
          <w:bCs/>
          <w:sz w:val="24"/>
          <w:szCs w:val="24"/>
          <w:lang w:eastAsia="zh-CN"/>
        </w:rPr>
        <w:t>附件三：</w:t>
      </w:r>
      <w:r>
        <w:rPr>
          <w:rFonts w:hint="eastAsia" w:ascii="宋体" w:hAnsi="宋体"/>
          <w:b w:val="0"/>
          <w:bCs/>
          <w:sz w:val="24"/>
          <w:szCs w:val="24"/>
        </w:rPr>
        <w:t>投标人无重大违法记录的书面声明格式</w:t>
      </w:r>
    </w:p>
    <w:p>
      <w:pPr>
        <w:spacing w:line="360" w:lineRule="auto"/>
        <w:jc w:val="center"/>
        <w:rPr>
          <w:rFonts w:ascii="宋体" w:hAnsi="宋体"/>
          <w:b/>
          <w:bCs w:val="0"/>
          <w:spacing w:val="4"/>
          <w:sz w:val="30"/>
          <w:szCs w:val="30"/>
          <w:u w:val="single"/>
        </w:rPr>
      </w:pPr>
      <w:r>
        <w:rPr>
          <w:rFonts w:hint="eastAsia" w:ascii="宋体" w:hAnsi="宋体"/>
          <w:b/>
          <w:bCs w:val="0"/>
          <w:sz w:val="24"/>
          <w:szCs w:val="24"/>
        </w:rPr>
        <w:t>投标人无重大违法记录的书面声明格式</w:t>
      </w:r>
    </w:p>
    <w:p>
      <w:pPr>
        <w:spacing w:line="480" w:lineRule="auto"/>
        <w:rPr>
          <w:rFonts w:ascii="宋体" w:hAnsi="宋体"/>
          <w:spacing w:val="4"/>
          <w:sz w:val="24"/>
          <w:szCs w:val="24"/>
          <w:u w:val="single"/>
        </w:rPr>
      </w:pPr>
      <w:r>
        <w:rPr>
          <w:rFonts w:hint="eastAsia" w:ascii="宋体" w:hAnsi="宋体"/>
          <w:spacing w:val="4"/>
          <w:sz w:val="24"/>
          <w:szCs w:val="24"/>
        </w:rPr>
        <w:t>致：</w:t>
      </w:r>
      <w:r>
        <w:rPr>
          <w:rFonts w:ascii="宋体" w:hAnsi="宋体"/>
          <w:spacing w:val="4"/>
          <w:sz w:val="24"/>
          <w:szCs w:val="24"/>
          <w:u w:val="single"/>
        </w:rPr>
        <w:t xml:space="preserve"> </w:t>
      </w:r>
      <w:r>
        <w:rPr>
          <w:rFonts w:hint="eastAsia" w:hAnsi="宋体"/>
          <w:sz w:val="24"/>
          <w:u w:val="single"/>
        </w:rPr>
        <w:t>天煜荣泽工程咨询有限公司</w:t>
      </w:r>
      <w:r>
        <w:rPr>
          <w:rFonts w:ascii="宋体" w:hAnsi="宋体"/>
          <w:spacing w:val="4"/>
          <w:sz w:val="24"/>
          <w:szCs w:val="24"/>
          <w:u w:val="single"/>
        </w:rPr>
        <w:t xml:space="preserve"> </w:t>
      </w:r>
    </w:p>
    <w:p>
      <w:pPr>
        <w:spacing w:line="480" w:lineRule="auto"/>
        <w:ind w:firstLine="496" w:firstLineChars="200"/>
        <w:rPr>
          <w:rFonts w:ascii="宋体" w:hAnsi="宋体"/>
          <w:spacing w:val="4"/>
          <w:sz w:val="24"/>
          <w:szCs w:val="24"/>
          <w:u w:val="single"/>
        </w:rPr>
      </w:pPr>
      <w:r>
        <w:rPr>
          <w:rFonts w:hint="eastAsia" w:ascii="宋体" w:hAnsi="宋体"/>
          <w:spacing w:val="4"/>
          <w:sz w:val="24"/>
          <w:szCs w:val="24"/>
          <w:u w:val="single"/>
        </w:rPr>
        <w:t xml:space="preserve">        （投标人名称）</w:t>
      </w:r>
      <w:r>
        <w:rPr>
          <w:rFonts w:hint="eastAsia" w:ascii="宋体" w:hAnsi="宋体"/>
          <w:spacing w:val="4"/>
          <w:sz w:val="24"/>
          <w:szCs w:val="24"/>
        </w:rPr>
        <w:t>为在中华人民共和国境内合法注册并经营的机构。在此郑重声明，我公司在参与本次政府采购活动前三年内在经营活动中没有重大违法记录。</w:t>
      </w:r>
    </w:p>
    <w:p>
      <w:pPr>
        <w:spacing w:before="240" w:beforeLines="100" w:after="120" w:afterLines="50" w:line="360" w:lineRule="auto"/>
        <w:ind w:firstLine="170"/>
        <w:rPr>
          <w:rFonts w:ascii="宋体" w:hAnsi="宋体"/>
          <w:spacing w:val="4"/>
          <w:sz w:val="24"/>
          <w:szCs w:val="24"/>
        </w:rPr>
      </w:pPr>
    </w:p>
    <w:p>
      <w:pPr>
        <w:spacing w:before="240" w:beforeLines="100" w:after="120" w:afterLines="50" w:line="360" w:lineRule="auto"/>
        <w:ind w:firstLine="170"/>
        <w:rPr>
          <w:rFonts w:ascii="宋体" w:hAnsi="宋体"/>
          <w:spacing w:val="4"/>
          <w:sz w:val="24"/>
          <w:szCs w:val="24"/>
        </w:rPr>
      </w:pPr>
    </w:p>
    <w:p>
      <w:pPr>
        <w:spacing w:before="240" w:beforeLines="100" w:after="120" w:afterLines="50" w:line="360" w:lineRule="auto"/>
        <w:ind w:firstLine="170"/>
        <w:rPr>
          <w:rFonts w:ascii="宋体" w:hAnsi="宋体"/>
          <w:spacing w:val="4"/>
          <w:sz w:val="24"/>
          <w:szCs w:val="24"/>
        </w:rPr>
      </w:pPr>
    </w:p>
    <w:p>
      <w:pPr>
        <w:spacing w:before="240" w:beforeLines="100" w:after="120" w:afterLines="50" w:line="360" w:lineRule="auto"/>
        <w:ind w:firstLine="170"/>
        <w:rPr>
          <w:rFonts w:ascii="宋体" w:hAnsi="宋体"/>
          <w:spacing w:val="4"/>
          <w:sz w:val="24"/>
          <w:szCs w:val="24"/>
        </w:rPr>
      </w:pPr>
    </w:p>
    <w:p>
      <w:pPr>
        <w:spacing w:before="240" w:beforeLines="100" w:after="120" w:afterLines="50" w:line="360" w:lineRule="auto"/>
        <w:ind w:firstLine="3521" w:firstLineChars="1420"/>
        <w:jc w:val="left"/>
        <w:rPr>
          <w:rFonts w:ascii="宋体" w:hAnsi="宋体" w:cs="宋体"/>
          <w:spacing w:val="14"/>
          <w:kern w:val="0"/>
          <w:sz w:val="24"/>
          <w:szCs w:val="24"/>
        </w:rPr>
      </w:pPr>
      <w:r>
        <w:rPr>
          <w:rFonts w:hint="eastAsia" w:ascii="宋体" w:hAnsi="宋体"/>
          <w:spacing w:val="4"/>
          <w:sz w:val="24"/>
          <w:szCs w:val="24"/>
        </w:rPr>
        <w:t>投标人名称：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before="240" w:beforeLines="100" w:after="120" w:afterLines="50" w:line="360" w:lineRule="auto"/>
        <w:ind w:firstLine="2520" w:firstLineChars="1050"/>
        <w:jc w:val="left"/>
        <w:rPr>
          <w:rFonts w:ascii="宋体" w:hAnsi="宋体"/>
          <w:spacing w:val="4"/>
          <w:sz w:val="24"/>
          <w:szCs w:val="24"/>
        </w:rPr>
      </w:pPr>
      <w:r>
        <w:rPr>
          <w:rFonts w:hint="eastAsia" w:ascii="宋体" w:hAnsi="宋体" w:cs="宋体"/>
          <w:kern w:val="0"/>
          <w:sz w:val="24"/>
          <w:szCs w:val="24"/>
        </w:rPr>
        <w:t>法定代表人或被授权人（</w:t>
      </w:r>
      <w:r>
        <w:rPr>
          <w:rFonts w:ascii="宋体" w:hAnsi="宋体" w:cs="宋体"/>
          <w:kern w:val="0"/>
          <w:sz w:val="24"/>
          <w:szCs w:val="24"/>
        </w:rPr>
        <w:t>签字</w:t>
      </w:r>
      <w:r>
        <w:rPr>
          <w:rFonts w:hint="eastAsia" w:ascii="宋体" w:hAnsi="宋体" w:cs="宋体"/>
          <w:kern w:val="0"/>
          <w:sz w:val="24"/>
          <w:szCs w:val="24"/>
        </w:rPr>
        <w:t>或盖章）</w:t>
      </w:r>
      <w:r>
        <w:rPr>
          <w:rFonts w:ascii="宋体" w:hAnsi="宋体" w:cs="宋体"/>
          <w:kern w:val="0"/>
          <w:sz w:val="24"/>
          <w:szCs w:val="24"/>
        </w:rPr>
        <w:t>：</w:t>
      </w:r>
      <w:r>
        <w:rPr>
          <w:rFonts w:hint="eastAsia" w:ascii="宋体" w:hAnsi="宋体" w:cs="宋体"/>
          <w:kern w:val="0"/>
          <w:sz w:val="24"/>
          <w:szCs w:val="24"/>
          <w:u w:val="single"/>
        </w:rPr>
        <w:t xml:space="preserve">             </w:t>
      </w:r>
    </w:p>
    <w:p>
      <w:pPr>
        <w:spacing w:line="360" w:lineRule="auto"/>
        <w:ind w:left="4621" w:firstLine="420"/>
        <w:jc w:val="center"/>
        <w:rPr>
          <w:rFonts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rPr>
          <w:rFonts w:hint="eastAsia" w:ascii="宋体" w:hAnsi="宋体"/>
          <w:b/>
          <w:sz w:val="28"/>
          <w:szCs w:val="28"/>
          <w:lang w:eastAsia="zh-CN"/>
        </w:rPr>
      </w:pPr>
    </w:p>
    <w:p>
      <w:pPr>
        <w:rPr>
          <w:rFonts w:hint="eastAsia" w:ascii="宋体" w:hAnsi="宋体" w:eastAsia="宋体" w:cs="宋体"/>
          <w:spacing w:val="4"/>
          <w:kern w:val="0"/>
          <w:sz w:val="24"/>
          <w:szCs w:val="24"/>
          <w:lang w:val="en-US" w:eastAsia="zh-CN" w:bidi="ar-SA"/>
        </w:rPr>
      </w:pPr>
      <w:r>
        <w:rPr>
          <w:rFonts w:hint="eastAsia"/>
          <w:lang w:eastAsia="zh-CN"/>
        </w:rPr>
        <w:br w:type="page"/>
      </w:r>
      <w:r>
        <w:rPr>
          <w:rFonts w:hint="eastAsia" w:ascii="宋体" w:hAnsi="宋体"/>
          <w:b w:val="0"/>
          <w:bCs/>
          <w:sz w:val="24"/>
          <w:szCs w:val="24"/>
          <w:lang w:eastAsia="zh-CN"/>
        </w:rPr>
        <w:t>附件四：</w:t>
      </w:r>
      <w:r>
        <w:rPr>
          <w:rFonts w:hint="eastAsia" w:ascii="宋体" w:hAnsi="宋体" w:eastAsia="宋体" w:cs="宋体"/>
          <w:spacing w:val="4"/>
          <w:kern w:val="0"/>
          <w:sz w:val="24"/>
          <w:szCs w:val="24"/>
          <w:lang w:val="en-US" w:eastAsia="zh-CN" w:bidi="ar-SA"/>
        </w:rPr>
        <w:t>书面声明</w:t>
      </w:r>
    </w:p>
    <w:p>
      <w:pPr>
        <w:spacing w:before="42"/>
        <w:ind w:left="172" w:right="132" w:firstLine="0"/>
        <w:jc w:val="center"/>
        <w:rPr>
          <w:b/>
          <w:sz w:val="28"/>
        </w:rPr>
      </w:pPr>
    </w:p>
    <w:p>
      <w:pPr>
        <w:spacing w:before="42"/>
        <w:ind w:left="172" w:right="132" w:firstLine="0"/>
        <w:jc w:val="center"/>
        <w:rPr>
          <w:b/>
          <w:sz w:val="28"/>
        </w:rPr>
      </w:pPr>
      <w:r>
        <w:rPr>
          <w:b/>
          <w:sz w:val="28"/>
        </w:rPr>
        <w:t>履行合同所必需的设备和专业技术能力的书面声明</w:t>
      </w:r>
    </w:p>
    <w:p>
      <w:pPr>
        <w:pStyle w:val="12"/>
        <w:keepNext w:val="0"/>
        <w:keepLines w:val="0"/>
        <w:pageBreakBefore w:val="0"/>
        <w:widowControl w:val="0"/>
        <w:kinsoku/>
        <w:wordWrap/>
        <w:overflowPunct/>
        <w:topLinePunct w:val="0"/>
        <w:autoSpaceDE/>
        <w:autoSpaceDN/>
        <w:bidi w:val="0"/>
        <w:adjustRightInd/>
        <w:snapToGrid/>
        <w:spacing w:after="0" w:line="480" w:lineRule="auto"/>
        <w:ind w:right="0"/>
        <w:textAlignment w:val="auto"/>
        <w:rPr>
          <w:sz w:val="24"/>
          <w:szCs w:val="24"/>
        </w:rPr>
      </w:pPr>
      <w:r>
        <w:rPr>
          <w:rFonts w:hint="eastAsia"/>
          <w:sz w:val="24"/>
          <w:szCs w:val="24"/>
        </w:rPr>
        <w:t xml:space="preserve">致： </w:t>
      </w:r>
      <w:r>
        <w:rPr>
          <w:rFonts w:hint="eastAsia"/>
          <w:sz w:val="24"/>
          <w:szCs w:val="24"/>
          <w:u w:val="single"/>
        </w:rPr>
        <w:t xml:space="preserve">天煜荣泽工程咨询有限公司 </w:t>
      </w:r>
    </w:p>
    <w:p>
      <w:pPr>
        <w:pStyle w:val="12"/>
        <w:keepNext w:val="0"/>
        <w:keepLines w:val="0"/>
        <w:pageBreakBefore w:val="0"/>
        <w:widowControl w:val="0"/>
        <w:tabs>
          <w:tab w:val="left" w:pos="1375"/>
          <w:tab w:val="left" w:pos="3788"/>
          <w:tab w:val="left" w:pos="9767"/>
        </w:tabs>
        <w:kinsoku/>
        <w:wordWrap/>
        <w:overflowPunct/>
        <w:topLinePunct w:val="0"/>
        <w:autoSpaceDE/>
        <w:autoSpaceDN/>
        <w:bidi w:val="0"/>
        <w:adjustRightInd/>
        <w:snapToGrid/>
        <w:spacing w:after="0" w:line="480" w:lineRule="auto"/>
        <w:ind w:left="0" w:right="0" w:firstLine="474" w:firstLineChars="200"/>
        <w:textAlignment w:val="auto"/>
        <w:rPr>
          <w:sz w:val="24"/>
          <w:szCs w:val="24"/>
        </w:rPr>
      </w:pPr>
      <w:r>
        <w:rPr>
          <w:rFonts w:ascii="Times New Roman" w:eastAsia="Times New Roman"/>
          <w:w w:val="99"/>
          <w:sz w:val="24"/>
          <w:szCs w:val="24"/>
          <w:u w:val="single"/>
        </w:rPr>
        <w:t xml:space="preserve"> </w:t>
      </w:r>
      <w:r>
        <w:rPr>
          <w:rFonts w:ascii="Times New Roman" w:eastAsia="Times New Roman"/>
          <w:sz w:val="24"/>
          <w:szCs w:val="24"/>
          <w:u w:val="single"/>
        </w:rPr>
        <w:tab/>
      </w:r>
      <w:r>
        <w:rPr>
          <w:spacing w:val="9"/>
          <w:sz w:val="24"/>
          <w:szCs w:val="24"/>
          <w:u w:val="single"/>
        </w:rPr>
        <w:t>（投</w:t>
      </w:r>
      <w:r>
        <w:rPr>
          <w:spacing w:val="7"/>
          <w:sz w:val="24"/>
          <w:szCs w:val="24"/>
          <w:u w:val="single"/>
        </w:rPr>
        <w:t>标</w:t>
      </w:r>
      <w:r>
        <w:rPr>
          <w:spacing w:val="9"/>
          <w:sz w:val="24"/>
          <w:szCs w:val="24"/>
          <w:u w:val="single"/>
        </w:rPr>
        <w:t>供应商名称</w:t>
      </w:r>
      <w:r>
        <w:rPr>
          <w:sz w:val="24"/>
          <w:szCs w:val="24"/>
          <w:u w:val="single"/>
        </w:rPr>
        <w:t>）</w:t>
      </w:r>
      <w:r>
        <w:rPr>
          <w:sz w:val="24"/>
          <w:szCs w:val="24"/>
          <w:u w:val="single"/>
        </w:rPr>
        <w:tab/>
      </w:r>
      <w:r>
        <w:rPr>
          <w:spacing w:val="8"/>
          <w:sz w:val="24"/>
          <w:szCs w:val="24"/>
        </w:rPr>
        <w:t>于</w:t>
      </w:r>
      <w:r>
        <w:rPr>
          <w:spacing w:val="113"/>
          <w:sz w:val="24"/>
          <w:szCs w:val="24"/>
          <w:u w:val="single"/>
        </w:rPr>
        <w:t xml:space="preserve"> </w:t>
      </w:r>
      <w:r>
        <w:rPr>
          <w:spacing w:val="8"/>
          <w:sz w:val="24"/>
          <w:szCs w:val="24"/>
        </w:rPr>
        <w:t>年</w:t>
      </w:r>
      <w:r>
        <w:rPr>
          <w:spacing w:val="113"/>
          <w:sz w:val="24"/>
          <w:szCs w:val="24"/>
          <w:u w:val="single"/>
        </w:rPr>
        <w:t xml:space="preserve"> </w:t>
      </w:r>
      <w:r>
        <w:rPr>
          <w:spacing w:val="8"/>
          <w:sz w:val="24"/>
          <w:szCs w:val="24"/>
        </w:rPr>
        <w:t>月</w:t>
      </w:r>
      <w:r>
        <w:rPr>
          <w:spacing w:val="114"/>
          <w:sz w:val="24"/>
          <w:szCs w:val="24"/>
          <w:u w:val="single"/>
        </w:rPr>
        <w:t xml:space="preserve"> </w:t>
      </w:r>
      <w:r>
        <w:rPr>
          <w:spacing w:val="9"/>
          <w:sz w:val="24"/>
          <w:szCs w:val="24"/>
        </w:rPr>
        <w:t>日在</w:t>
      </w:r>
      <w:r>
        <w:rPr>
          <w:spacing w:val="7"/>
          <w:sz w:val="24"/>
          <w:szCs w:val="24"/>
        </w:rPr>
        <w:t>中</w:t>
      </w:r>
      <w:r>
        <w:rPr>
          <w:spacing w:val="9"/>
          <w:sz w:val="24"/>
          <w:szCs w:val="24"/>
        </w:rPr>
        <w:t>华人民共和</w:t>
      </w:r>
      <w:r>
        <w:rPr>
          <w:spacing w:val="7"/>
          <w:sz w:val="24"/>
          <w:szCs w:val="24"/>
        </w:rPr>
        <w:t>国</w:t>
      </w:r>
      <w:r>
        <w:rPr>
          <w:spacing w:val="9"/>
          <w:sz w:val="24"/>
          <w:szCs w:val="24"/>
        </w:rPr>
        <w:t>境内</w:t>
      </w:r>
      <w:r>
        <w:rPr>
          <w:spacing w:val="9"/>
          <w:sz w:val="24"/>
          <w:szCs w:val="24"/>
          <w:u w:val="single"/>
        </w:rPr>
        <w:t>（详</w:t>
      </w:r>
      <w:r>
        <w:rPr>
          <w:spacing w:val="7"/>
          <w:sz w:val="24"/>
          <w:szCs w:val="24"/>
          <w:u w:val="single"/>
        </w:rPr>
        <w:t>细</w:t>
      </w:r>
      <w:r>
        <w:rPr>
          <w:spacing w:val="9"/>
          <w:sz w:val="24"/>
          <w:szCs w:val="24"/>
          <w:u w:val="single"/>
        </w:rPr>
        <w:t>注册地址</w:t>
      </w:r>
      <w:r>
        <w:rPr>
          <w:sz w:val="24"/>
          <w:szCs w:val="24"/>
          <w:u w:val="single"/>
        </w:rPr>
        <w:t>）</w:t>
      </w:r>
      <w:r>
        <w:rPr>
          <w:sz w:val="24"/>
          <w:szCs w:val="24"/>
          <w:u w:val="single"/>
        </w:rPr>
        <w:tab/>
      </w:r>
      <w:r>
        <w:rPr>
          <w:spacing w:val="9"/>
          <w:sz w:val="24"/>
          <w:szCs w:val="24"/>
        </w:rPr>
        <w:t>合法</w:t>
      </w:r>
      <w:r>
        <w:rPr>
          <w:spacing w:val="7"/>
          <w:sz w:val="24"/>
          <w:szCs w:val="24"/>
        </w:rPr>
        <w:t>注</w:t>
      </w:r>
      <w:r>
        <w:rPr>
          <w:spacing w:val="9"/>
          <w:sz w:val="24"/>
          <w:szCs w:val="24"/>
        </w:rPr>
        <w:t>册并经营，</w:t>
      </w:r>
      <w:r>
        <w:rPr>
          <w:spacing w:val="7"/>
          <w:sz w:val="24"/>
          <w:szCs w:val="24"/>
        </w:rPr>
        <w:t>公</w:t>
      </w:r>
      <w:r>
        <w:rPr>
          <w:spacing w:val="9"/>
          <w:sz w:val="24"/>
          <w:szCs w:val="24"/>
        </w:rPr>
        <w:t>司主营业务</w:t>
      </w:r>
      <w:r>
        <w:rPr>
          <w:spacing w:val="6"/>
          <w:sz w:val="24"/>
          <w:szCs w:val="24"/>
        </w:rPr>
        <w:t>为</w:t>
      </w:r>
      <w:r>
        <w:rPr>
          <w:spacing w:val="6"/>
          <w:sz w:val="24"/>
          <w:szCs w:val="24"/>
          <w:u w:val="single"/>
        </w:rPr>
        <w:t xml:space="preserve"> </w:t>
      </w:r>
      <w:r>
        <w:rPr>
          <w:spacing w:val="115"/>
          <w:sz w:val="24"/>
          <w:szCs w:val="24"/>
          <w:u w:val="single"/>
        </w:rPr>
        <w:t xml:space="preserve"> </w:t>
      </w:r>
      <w:r>
        <w:rPr>
          <w:spacing w:val="9"/>
          <w:sz w:val="24"/>
          <w:szCs w:val="24"/>
        </w:rPr>
        <w:t>，营</w:t>
      </w:r>
      <w:r>
        <w:rPr>
          <w:spacing w:val="7"/>
          <w:sz w:val="24"/>
          <w:szCs w:val="24"/>
        </w:rPr>
        <w:t>业</w:t>
      </w:r>
      <w:r>
        <w:rPr>
          <w:spacing w:val="9"/>
          <w:sz w:val="24"/>
          <w:szCs w:val="24"/>
        </w:rPr>
        <w:t>（生产经营</w:t>
      </w:r>
      <w:r>
        <w:rPr>
          <w:spacing w:val="7"/>
          <w:sz w:val="24"/>
          <w:szCs w:val="24"/>
        </w:rPr>
        <w:t>）</w:t>
      </w:r>
      <w:r>
        <w:rPr>
          <w:spacing w:val="9"/>
          <w:sz w:val="24"/>
          <w:szCs w:val="24"/>
        </w:rPr>
        <w:t>面积为</w:t>
      </w:r>
      <w:r>
        <w:rPr>
          <w:spacing w:val="9"/>
          <w:sz w:val="24"/>
          <w:szCs w:val="24"/>
          <w:u w:val="single"/>
        </w:rPr>
        <w:t xml:space="preserve"> </w:t>
      </w:r>
      <w:r>
        <w:rPr>
          <w:spacing w:val="109"/>
          <w:sz w:val="24"/>
          <w:szCs w:val="24"/>
          <w:u w:val="single"/>
        </w:rPr>
        <w:t xml:space="preserve"> </w:t>
      </w:r>
      <w:r>
        <w:rPr>
          <w:spacing w:val="9"/>
          <w:sz w:val="24"/>
          <w:szCs w:val="24"/>
        </w:rPr>
        <w:t>，现</w:t>
      </w:r>
      <w:r>
        <w:rPr>
          <w:spacing w:val="7"/>
          <w:sz w:val="24"/>
          <w:szCs w:val="24"/>
        </w:rPr>
        <w:t>有</w:t>
      </w:r>
      <w:r>
        <w:rPr>
          <w:spacing w:val="9"/>
          <w:sz w:val="24"/>
          <w:szCs w:val="24"/>
        </w:rPr>
        <w:t>员工数量</w:t>
      </w:r>
      <w:r>
        <w:rPr>
          <w:spacing w:val="6"/>
          <w:sz w:val="24"/>
          <w:szCs w:val="24"/>
        </w:rPr>
        <w:t>为</w:t>
      </w:r>
      <w:r>
        <w:rPr>
          <w:spacing w:val="6"/>
          <w:sz w:val="24"/>
          <w:szCs w:val="24"/>
          <w:u w:val="single"/>
        </w:rPr>
        <w:t xml:space="preserve"> </w:t>
      </w:r>
      <w:r>
        <w:rPr>
          <w:spacing w:val="112"/>
          <w:sz w:val="24"/>
          <w:szCs w:val="24"/>
          <w:u w:val="single"/>
        </w:rPr>
        <w:t xml:space="preserve"> </w:t>
      </w:r>
      <w:r>
        <w:rPr>
          <w:sz w:val="24"/>
          <w:szCs w:val="24"/>
        </w:rPr>
        <w:t xml:space="preserve">， </w:t>
      </w:r>
      <w:r>
        <w:rPr>
          <w:spacing w:val="9"/>
          <w:sz w:val="24"/>
          <w:szCs w:val="24"/>
        </w:rPr>
        <w:t>其中</w:t>
      </w:r>
      <w:r>
        <w:rPr>
          <w:spacing w:val="7"/>
          <w:sz w:val="24"/>
          <w:szCs w:val="24"/>
        </w:rPr>
        <w:t>与</w:t>
      </w:r>
      <w:r>
        <w:rPr>
          <w:spacing w:val="9"/>
          <w:sz w:val="24"/>
          <w:szCs w:val="24"/>
        </w:rPr>
        <w:t>履行本合同</w:t>
      </w:r>
      <w:r>
        <w:rPr>
          <w:spacing w:val="7"/>
          <w:sz w:val="24"/>
          <w:szCs w:val="24"/>
        </w:rPr>
        <w:t>相</w:t>
      </w:r>
      <w:r>
        <w:rPr>
          <w:spacing w:val="9"/>
          <w:sz w:val="24"/>
          <w:szCs w:val="24"/>
        </w:rPr>
        <w:t>关的专业技</w:t>
      </w:r>
      <w:r>
        <w:rPr>
          <w:spacing w:val="7"/>
          <w:sz w:val="24"/>
          <w:szCs w:val="24"/>
        </w:rPr>
        <w:t>术</w:t>
      </w:r>
      <w:r>
        <w:rPr>
          <w:spacing w:val="9"/>
          <w:sz w:val="24"/>
          <w:szCs w:val="24"/>
        </w:rPr>
        <w:t>人员</w:t>
      </w:r>
      <w:r>
        <w:rPr>
          <w:spacing w:val="-5"/>
          <w:sz w:val="24"/>
          <w:szCs w:val="24"/>
        </w:rPr>
        <w:t>有</w:t>
      </w:r>
      <w:r>
        <w:rPr>
          <w:spacing w:val="7"/>
          <w:sz w:val="24"/>
          <w:szCs w:val="24"/>
        </w:rPr>
        <w:t>（</w:t>
      </w:r>
      <w:r>
        <w:rPr>
          <w:spacing w:val="7"/>
          <w:sz w:val="24"/>
          <w:szCs w:val="24"/>
          <w:u w:val="single"/>
        </w:rPr>
        <w:t xml:space="preserve"> </w:t>
      </w:r>
      <w:r>
        <w:rPr>
          <w:spacing w:val="7"/>
          <w:sz w:val="24"/>
          <w:szCs w:val="24"/>
          <w:u w:val="single"/>
        </w:rPr>
        <w:tab/>
      </w:r>
      <w:r>
        <w:rPr>
          <w:spacing w:val="9"/>
          <w:sz w:val="24"/>
          <w:szCs w:val="24"/>
          <w:u w:val="single"/>
        </w:rPr>
        <w:t>专业</w:t>
      </w:r>
      <w:r>
        <w:rPr>
          <w:spacing w:val="7"/>
          <w:sz w:val="24"/>
          <w:szCs w:val="24"/>
          <w:u w:val="single"/>
        </w:rPr>
        <w:t>能</w:t>
      </w:r>
      <w:r>
        <w:rPr>
          <w:spacing w:val="9"/>
          <w:sz w:val="24"/>
          <w:szCs w:val="24"/>
          <w:u w:val="single"/>
        </w:rPr>
        <w:t>力</w:t>
      </w:r>
      <w:r>
        <w:rPr>
          <w:spacing w:val="-5"/>
          <w:sz w:val="24"/>
          <w:szCs w:val="24"/>
          <w:u w:val="single"/>
        </w:rPr>
        <w:t>、</w:t>
      </w:r>
      <w:r>
        <w:rPr>
          <w:spacing w:val="9"/>
          <w:sz w:val="24"/>
          <w:szCs w:val="24"/>
          <w:u w:val="single"/>
        </w:rPr>
        <w:t>数</w:t>
      </w:r>
      <w:r>
        <w:rPr>
          <w:sz w:val="24"/>
          <w:szCs w:val="24"/>
          <w:u w:val="single"/>
        </w:rPr>
        <w:t xml:space="preserve">量      </w:t>
      </w:r>
      <w:r>
        <w:rPr>
          <w:spacing w:val="60"/>
          <w:sz w:val="24"/>
          <w:szCs w:val="24"/>
          <w:u w:val="single"/>
        </w:rPr>
        <w:t xml:space="preserve"> </w:t>
      </w:r>
      <w:r>
        <w:rPr>
          <w:spacing w:val="-7"/>
          <w:sz w:val="24"/>
          <w:szCs w:val="24"/>
        </w:rPr>
        <w:t>），</w:t>
      </w:r>
      <w:r>
        <w:rPr>
          <w:spacing w:val="9"/>
          <w:sz w:val="24"/>
          <w:szCs w:val="24"/>
        </w:rPr>
        <w:t>本公</w:t>
      </w:r>
      <w:r>
        <w:rPr>
          <w:sz w:val="24"/>
          <w:szCs w:val="24"/>
        </w:rPr>
        <w:t>司</w:t>
      </w:r>
      <w:r>
        <w:rPr>
          <w:spacing w:val="9"/>
          <w:sz w:val="24"/>
          <w:szCs w:val="24"/>
        </w:rPr>
        <w:t>郑重</w:t>
      </w:r>
      <w:r>
        <w:rPr>
          <w:spacing w:val="7"/>
          <w:sz w:val="24"/>
          <w:szCs w:val="24"/>
        </w:rPr>
        <w:t>承</w:t>
      </w:r>
      <w:r>
        <w:rPr>
          <w:spacing w:val="9"/>
          <w:sz w:val="24"/>
          <w:szCs w:val="24"/>
        </w:rPr>
        <w:t>诺，具有履</w:t>
      </w:r>
      <w:r>
        <w:rPr>
          <w:spacing w:val="7"/>
          <w:sz w:val="24"/>
          <w:szCs w:val="24"/>
        </w:rPr>
        <w:t>行</w:t>
      </w:r>
      <w:r>
        <w:rPr>
          <w:spacing w:val="9"/>
          <w:sz w:val="24"/>
          <w:szCs w:val="24"/>
        </w:rPr>
        <w:t>本合同所必</w:t>
      </w:r>
      <w:r>
        <w:rPr>
          <w:spacing w:val="7"/>
          <w:sz w:val="24"/>
          <w:szCs w:val="24"/>
        </w:rPr>
        <w:t>需</w:t>
      </w:r>
      <w:r>
        <w:rPr>
          <w:spacing w:val="9"/>
          <w:sz w:val="24"/>
          <w:szCs w:val="24"/>
        </w:rPr>
        <w:t>的设备和专</w:t>
      </w:r>
      <w:r>
        <w:rPr>
          <w:spacing w:val="7"/>
          <w:sz w:val="24"/>
          <w:szCs w:val="24"/>
        </w:rPr>
        <w:t>业</w:t>
      </w:r>
      <w:r>
        <w:rPr>
          <w:spacing w:val="9"/>
          <w:sz w:val="24"/>
          <w:szCs w:val="24"/>
        </w:rPr>
        <w:t>技术能力</w:t>
      </w:r>
      <w:r>
        <w:rPr>
          <w:sz w:val="24"/>
          <w:szCs w:val="24"/>
        </w:rPr>
        <w:t>。</w:t>
      </w:r>
    </w:p>
    <w:p>
      <w:pPr>
        <w:spacing w:before="240" w:beforeLines="100" w:after="120" w:afterLines="50" w:line="360" w:lineRule="auto"/>
        <w:ind w:firstLine="3521" w:firstLineChars="1420"/>
        <w:jc w:val="left"/>
        <w:rPr>
          <w:rFonts w:ascii="宋体" w:hAnsi="宋体" w:cs="宋体"/>
          <w:spacing w:val="14"/>
          <w:kern w:val="0"/>
          <w:sz w:val="24"/>
          <w:szCs w:val="24"/>
        </w:rPr>
      </w:pPr>
      <w:r>
        <w:rPr>
          <w:rFonts w:hint="eastAsia" w:ascii="宋体" w:hAnsi="宋体"/>
          <w:spacing w:val="4"/>
          <w:sz w:val="24"/>
          <w:szCs w:val="24"/>
        </w:rPr>
        <w:t>投标人名称：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before="240" w:beforeLines="100" w:after="120" w:afterLines="50" w:line="360" w:lineRule="auto"/>
        <w:ind w:firstLine="2520" w:firstLineChars="1050"/>
        <w:jc w:val="left"/>
        <w:rPr>
          <w:rFonts w:ascii="宋体" w:hAnsi="宋体"/>
          <w:spacing w:val="4"/>
          <w:sz w:val="24"/>
          <w:szCs w:val="24"/>
        </w:rPr>
      </w:pPr>
      <w:r>
        <w:rPr>
          <w:rFonts w:hint="eastAsia" w:ascii="宋体" w:hAnsi="宋体" w:cs="宋体"/>
          <w:kern w:val="0"/>
          <w:sz w:val="24"/>
          <w:szCs w:val="24"/>
        </w:rPr>
        <w:t>法定代表人或被授权人（</w:t>
      </w:r>
      <w:r>
        <w:rPr>
          <w:rFonts w:ascii="宋体" w:hAnsi="宋体" w:cs="宋体"/>
          <w:kern w:val="0"/>
          <w:sz w:val="24"/>
          <w:szCs w:val="24"/>
        </w:rPr>
        <w:t>签字</w:t>
      </w:r>
      <w:r>
        <w:rPr>
          <w:rFonts w:hint="eastAsia" w:ascii="宋体" w:hAnsi="宋体" w:cs="宋体"/>
          <w:kern w:val="0"/>
          <w:sz w:val="24"/>
          <w:szCs w:val="24"/>
        </w:rPr>
        <w:t>或盖章）</w:t>
      </w:r>
      <w:r>
        <w:rPr>
          <w:rFonts w:ascii="宋体" w:hAnsi="宋体" w:cs="宋体"/>
          <w:kern w:val="0"/>
          <w:sz w:val="24"/>
          <w:szCs w:val="24"/>
        </w:rPr>
        <w:t>：</w:t>
      </w:r>
      <w:r>
        <w:rPr>
          <w:rFonts w:hint="eastAsia" w:ascii="宋体" w:hAnsi="宋体" w:cs="宋体"/>
          <w:kern w:val="0"/>
          <w:sz w:val="24"/>
          <w:szCs w:val="24"/>
          <w:u w:val="single"/>
        </w:rPr>
        <w:t xml:space="preserve">             </w:t>
      </w:r>
    </w:p>
    <w:p>
      <w:pPr>
        <w:spacing w:line="360" w:lineRule="auto"/>
        <w:ind w:left="4621" w:firstLine="420"/>
        <w:jc w:val="center"/>
        <w:rPr>
          <w:rFonts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rPr>
          <w:rFonts w:hint="eastAsia"/>
          <w:lang w:eastAsia="zh-CN"/>
        </w:rPr>
      </w:pPr>
    </w:p>
    <w:p>
      <w:pPr>
        <w:rPr>
          <w:rFonts w:hint="eastAsia"/>
          <w:lang w:eastAsia="zh-CN"/>
        </w:rPr>
      </w:pPr>
      <w:r>
        <w:rPr>
          <w:rFonts w:hint="eastAsia"/>
          <w:lang w:eastAsia="zh-CN"/>
        </w:rPr>
        <w:br w:type="page"/>
      </w:r>
    </w:p>
    <w:p>
      <w:pPr>
        <w:rPr>
          <w:sz w:val="24"/>
          <w:szCs w:val="24"/>
        </w:rPr>
      </w:pPr>
      <w:r>
        <w:rPr>
          <w:rFonts w:hint="eastAsia"/>
          <w:sz w:val="24"/>
          <w:szCs w:val="28"/>
          <w:lang w:eastAsia="zh-CN"/>
        </w:rPr>
        <w:t>附件五</w:t>
      </w:r>
      <w:r>
        <w:rPr>
          <w:rFonts w:hint="eastAsia"/>
          <w:sz w:val="24"/>
          <w:szCs w:val="24"/>
          <w:lang w:eastAsia="zh-CN"/>
        </w:rPr>
        <w:t>：</w:t>
      </w:r>
      <w:r>
        <w:rPr>
          <w:sz w:val="24"/>
          <w:szCs w:val="24"/>
        </w:rPr>
        <w:t>企业关系关联承诺书</w:t>
      </w:r>
    </w:p>
    <w:p>
      <w:pPr>
        <w:pStyle w:val="5"/>
        <w:ind w:left="170"/>
        <w:jc w:val="center"/>
        <w:rPr>
          <w:b/>
          <w:sz w:val="28"/>
        </w:rPr>
      </w:pPr>
      <w:r>
        <w:t>企业关系关联承诺书</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right="0" w:firstLine="420" w:firstLineChars="200"/>
        <w:textAlignment w:val="auto"/>
      </w:pPr>
      <w:r>
        <w:t>1、供应商在本项目投标中，不存在与其它供应商负责人为同一人，有控股、管理等关联关系承诺：</w:t>
      </w:r>
    </w:p>
    <w:p>
      <w:pPr>
        <w:pStyle w:val="56"/>
        <w:keepNext w:val="0"/>
        <w:keepLines w:val="0"/>
        <w:pageBreakBefore w:val="0"/>
        <w:widowControl w:val="0"/>
        <w:numPr>
          <w:ilvl w:val="0"/>
          <w:numId w:val="0"/>
        </w:numPr>
        <w:tabs>
          <w:tab w:val="left" w:pos="1486"/>
        </w:tabs>
        <w:kinsoku/>
        <w:wordWrap/>
        <w:overflowPunct/>
        <w:topLinePunct w:val="0"/>
        <w:autoSpaceDE/>
        <w:autoSpaceDN/>
        <w:bidi w:val="0"/>
        <w:adjustRightInd/>
        <w:snapToGrid/>
        <w:spacing w:line="360" w:lineRule="auto"/>
        <w:ind w:leftChars="200" w:right="0" w:rightChars="0"/>
        <w:jc w:val="left"/>
        <w:textAlignment w:val="auto"/>
        <w:rPr>
          <w:sz w:val="21"/>
        </w:rPr>
      </w:pPr>
      <w:r>
        <w:rPr>
          <w:rFonts w:hint="eastAsia"/>
          <w:sz w:val="21"/>
          <w:lang w:val="en-US" w:eastAsia="zh-CN"/>
        </w:rPr>
        <w:t>1.1</w:t>
      </w:r>
      <w:r>
        <w:rPr>
          <w:sz w:val="21"/>
        </w:rPr>
        <w:t>管理关系说明：</w:t>
      </w:r>
    </w:p>
    <w:p>
      <w:pPr>
        <w:pStyle w:val="12"/>
        <w:keepNext w:val="0"/>
        <w:keepLines w:val="0"/>
        <w:pageBreakBefore w:val="0"/>
        <w:widowControl w:val="0"/>
        <w:tabs>
          <w:tab w:val="left" w:pos="5423"/>
          <w:tab w:val="left" w:pos="6892"/>
        </w:tabs>
        <w:kinsoku/>
        <w:wordWrap/>
        <w:overflowPunct/>
        <w:topLinePunct w:val="0"/>
        <w:autoSpaceDE/>
        <w:autoSpaceDN/>
        <w:bidi w:val="0"/>
        <w:adjustRightInd/>
        <w:snapToGrid/>
        <w:spacing w:after="0" w:line="360" w:lineRule="auto"/>
        <w:ind w:left="0" w:right="0" w:firstLine="420" w:firstLineChars="200"/>
        <w:textAlignment w:val="auto"/>
      </w:pPr>
      <w:r>
        <w:t>我单位管理的具有独立法人的下属单位有：</w:t>
      </w:r>
      <w:r>
        <w:rPr>
          <w:u w:val="single"/>
        </w:rPr>
        <w:t xml:space="preserve"> </w:t>
      </w:r>
      <w:r>
        <w:rPr>
          <w:u w:val="single"/>
        </w:rPr>
        <w:tab/>
      </w:r>
      <w:r>
        <w:rPr>
          <w:u w:val="single"/>
        </w:rPr>
        <w:tab/>
      </w:r>
      <w:r>
        <w:rPr>
          <w:spacing w:val="-17"/>
        </w:rPr>
        <w:t>。</w:t>
      </w:r>
      <w:r>
        <w:t>我单位的上级管理单位有：</w:t>
      </w:r>
      <w:r>
        <w:rPr>
          <w:u w:val="single"/>
        </w:rPr>
        <w:t xml:space="preserve"> </w:t>
      </w:r>
      <w:r>
        <w:rPr>
          <w:u w:val="single"/>
        </w:rPr>
        <w:tab/>
      </w:r>
      <w:r>
        <w:t>。</w:t>
      </w:r>
    </w:p>
    <w:p>
      <w:pPr>
        <w:pStyle w:val="56"/>
        <w:keepNext w:val="0"/>
        <w:keepLines w:val="0"/>
        <w:pageBreakBefore w:val="0"/>
        <w:widowControl w:val="0"/>
        <w:numPr>
          <w:ilvl w:val="0"/>
          <w:numId w:val="0"/>
        </w:numPr>
        <w:tabs>
          <w:tab w:val="left" w:pos="1486"/>
        </w:tabs>
        <w:kinsoku/>
        <w:wordWrap/>
        <w:overflowPunct/>
        <w:topLinePunct w:val="0"/>
        <w:autoSpaceDE/>
        <w:autoSpaceDN/>
        <w:bidi w:val="0"/>
        <w:adjustRightInd/>
        <w:snapToGrid/>
        <w:spacing w:line="360" w:lineRule="auto"/>
        <w:ind w:leftChars="200" w:right="0" w:rightChars="0"/>
        <w:jc w:val="left"/>
        <w:textAlignment w:val="auto"/>
        <w:rPr>
          <w:sz w:val="21"/>
        </w:rPr>
      </w:pPr>
      <w:r>
        <w:rPr>
          <w:rFonts w:hint="eastAsia"/>
          <w:sz w:val="21"/>
          <w:lang w:val="en-US" w:eastAsia="zh-CN"/>
        </w:rPr>
        <w:t>1.2</w:t>
      </w:r>
      <w:r>
        <w:rPr>
          <w:sz w:val="21"/>
        </w:rPr>
        <w:t>股权关系说明：</w:t>
      </w:r>
    </w:p>
    <w:p>
      <w:pPr>
        <w:pStyle w:val="12"/>
        <w:keepNext w:val="0"/>
        <w:keepLines w:val="0"/>
        <w:pageBreakBefore w:val="0"/>
        <w:widowControl w:val="0"/>
        <w:tabs>
          <w:tab w:val="left" w:pos="3638"/>
          <w:tab w:val="left" w:pos="5003"/>
        </w:tabs>
        <w:kinsoku/>
        <w:wordWrap/>
        <w:overflowPunct/>
        <w:topLinePunct w:val="0"/>
        <w:autoSpaceDE/>
        <w:autoSpaceDN/>
        <w:bidi w:val="0"/>
        <w:adjustRightInd/>
        <w:snapToGrid/>
        <w:spacing w:after="0" w:line="360" w:lineRule="auto"/>
        <w:ind w:left="0" w:right="0" w:firstLine="420" w:firstLineChars="200"/>
        <w:textAlignment w:val="auto"/>
      </w:pPr>
      <w:r>
        <w:t>我单位控股的单位有：</w:t>
      </w:r>
      <w:r>
        <w:rPr>
          <w:u w:val="single"/>
        </w:rPr>
        <w:t xml:space="preserve"> </w:t>
      </w:r>
      <w:r>
        <w:rPr>
          <w:u w:val="single"/>
        </w:rPr>
        <w:tab/>
      </w:r>
      <w:r>
        <w:rPr>
          <w:u w:val="single"/>
        </w:rPr>
        <w:tab/>
      </w:r>
      <w:r>
        <w:rPr>
          <w:spacing w:val="-18"/>
        </w:rPr>
        <w:t>。</w:t>
      </w:r>
      <w:r>
        <w:t>我单位被</w:t>
      </w:r>
      <w:r>
        <w:rPr>
          <w:u w:val="single"/>
        </w:rPr>
        <w:t xml:space="preserve"> </w:t>
      </w:r>
      <w:r>
        <w:rPr>
          <w:rFonts w:hint="eastAsia"/>
          <w:u w:val="single"/>
          <w:lang w:val="en-US" w:eastAsia="zh-CN"/>
        </w:rPr>
        <w:t xml:space="preserve">        </w:t>
      </w:r>
      <w:r>
        <w:rPr>
          <w:u w:val="single"/>
        </w:rPr>
        <w:tab/>
      </w:r>
      <w:r>
        <w:t>单位控股。</w:t>
      </w:r>
    </w:p>
    <w:p>
      <w:pPr>
        <w:pStyle w:val="56"/>
        <w:keepNext w:val="0"/>
        <w:keepLines w:val="0"/>
        <w:pageBreakBefore w:val="0"/>
        <w:widowControl w:val="0"/>
        <w:numPr>
          <w:ilvl w:val="0"/>
          <w:numId w:val="0"/>
        </w:numPr>
        <w:tabs>
          <w:tab w:val="left" w:pos="1436"/>
          <w:tab w:val="left" w:pos="4687"/>
        </w:tabs>
        <w:kinsoku/>
        <w:wordWrap/>
        <w:overflowPunct/>
        <w:topLinePunct w:val="0"/>
        <w:autoSpaceDE/>
        <w:autoSpaceDN/>
        <w:bidi w:val="0"/>
        <w:adjustRightInd/>
        <w:snapToGrid/>
        <w:spacing w:line="360" w:lineRule="auto"/>
        <w:ind w:leftChars="200" w:right="0" w:rightChars="0"/>
        <w:jc w:val="left"/>
        <w:textAlignment w:val="auto"/>
        <w:rPr>
          <w:sz w:val="21"/>
        </w:rPr>
      </w:pPr>
      <w:r>
        <w:rPr>
          <w:rFonts w:hint="eastAsia"/>
          <w:sz w:val="21"/>
          <w:lang w:val="en-US" w:eastAsia="zh-CN"/>
        </w:rPr>
        <w:t>1.3</w:t>
      </w:r>
      <w:r>
        <w:rPr>
          <w:sz w:val="21"/>
        </w:rPr>
        <w:t>单位负责人：</w:t>
      </w:r>
      <w:r>
        <w:rPr>
          <w:sz w:val="21"/>
          <w:u w:val="single"/>
        </w:rPr>
        <w:t xml:space="preserve"> </w:t>
      </w:r>
      <w:r>
        <w:rPr>
          <w:sz w:val="21"/>
          <w:u w:val="single"/>
        </w:rPr>
        <w:tab/>
      </w:r>
      <w:r>
        <w:rPr>
          <w:sz w:val="21"/>
        </w:rPr>
        <w:t>。</w:t>
      </w:r>
    </w:p>
    <w:p>
      <w:pPr>
        <w:pStyle w:val="12"/>
        <w:keepNext w:val="0"/>
        <w:keepLines w:val="0"/>
        <w:pageBreakBefore w:val="0"/>
        <w:widowControl w:val="0"/>
        <w:tabs>
          <w:tab w:val="left" w:pos="2728"/>
        </w:tabs>
        <w:kinsoku/>
        <w:wordWrap/>
        <w:overflowPunct/>
        <w:topLinePunct w:val="0"/>
        <w:autoSpaceDE/>
        <w:autoSpaceDN/>
        <w:bidi w:val="0"/>
        <w:adjustRightInd/>
        <w:snapToGrid/>
        <w:spacing w:after="0" w:line="360" w:lineRule="auto"/>
        <w:ind w:left="0" w:right="0" w:firstLine="420" w:firstLineChars="200"/>
        <w:textAlignment w:val="auto"/>
      </w:pPr>
      <w:r>
        <w:t>3</w:t>
      </w:r>
      <w:r>
        <w:rPr>
          <w:spacing w:val="-34"/>
        </w:rPr>
        <w:t>、</w:t>
      </w:r>
      <w:r>
        <w:t>我方</w:t>
      </w:r>
      <w:r>
        <w:rPr>
          <w:u w:val="single"/>
        </w:rPr>
        <w:t xml:space="preserve"> </w:t>
      </w:r>
      <w:r>
        <w:rPr>
          <w:u w:val="single"/>
        </w:rPr>
        <w:tab/>
      </w:r>
      <w:r>
        <w:t>（属于或不属于）</w:t>
      </w:r>
      <w:r>
        <w:rPr>
          <w:spacing w:val="-47"/>
        </w:rPr>
        <w:t xml:space="preserve"> </w:t>
      </w:r>
      <w:r>
        <w:t>为采购项目提供整体设计</w:t>
      </w:r>
      <w:r>
        <w:rPr>
          <w:spacing w:val="-34"/>
        </w:rPr>
        <w:t>、</w:t>
      </w:r>
      <w:r>
        <w:t>规范编制或者项目管理</w:t>
      </w:r>
      <w:r>
        <w:rPr>
          <w:spacing w:val="-34"/>
        </w:rPr>
        <w:t>、</w:t>
      </w:r>
      <w:r>
        <w:t>监理、检测等服务的供应商。</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spacing w:val="-17"/>
        </w:rPr>
      </w:pPr>
      <w:r>
        <w:t>4、其他与本项目有关的利害关系说明：</w:t>
      </w:r>
      <w:r>
        <w:rPr>
          <w:u w:val="single"/>
        </w:rPr>
        <w:t xml:space="preserve"> </w:t>
      </w:r>
      <w:r>
        <w:rPr>
          <w:u w:val="single"/>
        </w:rPr>
        <w:tab/>
      </w:r>
      <w:r>
        <w:rPr>
          <w:rFonts w:hint="eastAsia"/>
          <w:u w:val="single"/>
          <w:lang w:val="en-US" w:eastAsia="zh-CN"/>
        </w:rPr>
        <w:t xml:space="preserve">       </w:t>
      </w:r>
      <w:r>
        <w:rPr>
          <w:spacing w:val="-17"/>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sz w:val="24"/>
          <w:szCs w:val="28"/>
          <w:lang w:eastAsia="zh-CN"/>
        </w:rPr>
      </w:pPr>
      <w:r>
        <w:t>我单位承诺以上说明真实有效，无虚假内容或隐瞒。</w:t>
      </w:r>
    </w:p>
    <w:p>
      <w:pPr>
        <w:spacing w:before="240" w:beforeLines="100" w:after="120" w:afterLines="50" w:line="360" w:lineRule="auto"/>
        <w:ind w:firstLine="3521" w:firstLineChars="1420"/>
        <w:jc w:val="left"/>
        <w:rPr>
          <w:rFonts w:hint="eastAsia" w:ascii="宋体" w:hAnsi="宋体"/>
          <w:spacing w:val="4"/>
          <w:sz w:val="24"/>
          <w:szCs w:val="24"/>
        </w:rPr>
      </w:pPr>
    </w:p>
    <w:p>
      <w:pPr>
        <w:spacing w:before="240" w:beforeLines="100" w:after="120" w:afterLines="50" w:line="360" w:lineRule="auto"/>
        <w:ind w:firstLine="3521" w:firstLineChars="1420"/>
        <w:jc w:val="left"/>
        <w:rPr>
          <w:rFonts w:ascii="宋体" w:hAnsi="宋体" w:cs="宋体"/>
          <w:spacing w:val="14"/>
          <w:kern w:val="0"/>
          <w:sz w:val="24"/>
          <w:szCs w:val="24"/>
        </w:rPr>
      </w:pPr>
      <w:r>
        <w:rPr>
          <w:rFonts w:hint="eastAsia" w:ascii="宋体" w:hAnsi="宋体"/>
          <w:spacing w:val="4"/>
          <w:sz w:val="24"/>
          <w:szCs w:val="24"/>
        </w:rPr>
        <w:t>投标人名称：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before="240" w:beforeLines="100" w:after="120" w:afterLines="50" w:line="360" w:lineRule="auto"/>
        <w:ind w:firstLine="2520" w:firstLineChars="1050"/>
        <w:jc w:val="left"/>
        <w:rPr>
          <w:rFonts w:ascii="宋体" w:hAnsi="宋体"/>
          <w:spacing w:val="4"/>
          <w:sz w:val="24"/>
          <w:szCs w:val="24"/>
        </w:rPr>
      </w:pPr>
      <w:r>
        <w:rPr>
          <w:rFonts w:hint="eastAsia" w:ascii="宋体" w:hAnsi="宋体" w:cs="宋体"/>
          <w:kern w:val="0"/>
          <w:sz w:val="24"/>
          <w:szCs w:val="24"/>
        </w:rPr>
        <w:t>法定代表人或被授权人（</w:t>
      </w:r>
      <w:r>
        <w:rPr>
          <w:rFonts w:ascii="宋体" w:hAnsi="宋体" w:cs="宋体"/>
          <w:kern w:val="0"/>
          <w:sz w:val="24"/>
          <w:szCs w:val="24"/>
        </w:rPr>
        <w:t>签字</w:t>
      </w:r>
      <w:r>
        <w:rPr>
          <w:rFonts w:hint="eastAsia" w:ascii="宋体" w:hAnsi="宋体" w:cs="宋体"/>
          <w:kern w:val="0"/>
          <w:sz w:val="24"/>
          <w:szCs w:val="24"/>
        </w:rPr>
        <w:t>或盖章）</w:t>
      </w:r>
      <w:r>
        <w:rPr>
          <w:rFonts w:ascii="宋体" w:hAnsi="宋体" w:cs="宋体"/>
          <w:kern w:val="0"/>
          <w:sz w:val="24"/>
          <w:szCs w:val="24"/>
        </w:rPr>
        <w:t>：</w:t>
      </w:r>
      <w:r>
        <w:rPr>
          <w:rFonts w:hint="eastAsia" w:ascii="宋体" w:hAnsi="宋体" w:cs="宋体"/>
          <w:kern w:val="0"/>
          <w:sz w:val="24"/>
          <w:szCs w:val="24"/>
          <w:u w:val="single"/>
        </w:rPr>
        <w:t xml:space="preserve">             </w:t>
      </w:r>
    </w:p>
    <w:p>
      <w:pPr>
        <w:jc w:val="right"/>
        <w:rPr>
          <w:rFonts w:hint="eastAsia"/>
          <w:lang w:eastAsia="zh-CN"/>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pStyle w:val="42"/>
        <w:jc w:val="right"/>
        <w:rPr>
          <w:rFonts w:hint="eastAsia"/>
          <w:lang w:eastAsia="zh-CN"/>
        </w:rPr>
      </w:pPr>
    </w:p>
    <w:p>
      <w:pPr>
        <w:rPr>
          <w:rFonts w:hint="eastAsia" w:ascii="宋体" w:hAnsi="宋体"/>
          <w:b/>
          <w:sz w:val="28"/>
          <w:szCs w:val="28"/>
          <w:lang w:eastAsia="zh-CN"/>
        </w:rPr>
      </w:pPr>
      <w:r>
        <w:rPr>
          <w:rFonts w:hint="eastAsia" w:ascii="宋体" w:hAnsi="宋体"/>
          <w:b/>
          <w:sz w:val="28"/>
          <w:szCs w:val="28"/>
          <w:lang w:eastAsia="zh-CN"/>
        </w:rPr>
        <w:br w:type="page"/>
      </w:r>
    </w:p>
    <w:p>
      <w:pPr>
        <w:pStyle w:val="24"/>
        <w:rPr>
          <w:rFonts w:hint="eastAsia"/>
          <w:lang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Times New Roman"/>
          <w:b/>
          <w:kern w:val="2"/>
          <w:sz w:val="28"/>
          <w:szCs w:val="28"/>
          <w:lang w:val="en-US" w:eastAsia="zh-CN" w:bidi="ar-SA"/>
        </w:rPr>
      </w:pPr>
      <w:r>
        <w:rPr>
          <w:rFonts w:hint="eastAsia" w:ascii="宋体" w:hAnsi="宋体"/>
          <w:b/>
          <w:sz w:val="28"/>
          <w:szCs w:val="28"/>
          <w:lang w:eastAsia="zh-CN"/>
        </w:rPr>
        <w:t>七、</w:t>
      </w:r>
      <w:r>
        <w:rPr>
          <w:rFonts w:hint="eastAsia" w:ascii="宋体" w:hAnsi="宋体" w:eastAsia="宋体" w:cs="Times New Roman"/>
          <w:b/>
          <w:kern w:val="2"/>
          <w:sz w:val="28"/>
          <w:szCs w:val="28"/>
          <w:lang w:val="en-US" w:eastAsia="zh-CN" w:bidi="ar-SA"/>
        </w:rPr>
        <w:t>供应商参加政府采购活动承诺书</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ascii="宋体" w:hAnsi="宋体" w:cs="宋体"/>
          <w:kern w:val="0"/>
          <w:sz w:val="24"/>
          <w:szCs w:val="24"/>
        </w:rPr>
      </w:pPr>
      <w:r>
        <w:rPr>
          <w:rFonts w:ascii="宋体" w:hAnsi="宋体" w:cs="宋体"/>
          <w:kern w:val="0"/>
          <w:sz w:val="24"/>
          <w:szCs w:val="24"/>
        </w:rPr>
        <w:t>为响应党中央、国务院关于治理政府采购领域商业贿赂行为的号召，我公司在此庄严承诺：</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1、在参与政府采购活动中遵纪守法、诚信经营、公平竞标。</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2、不向政府</w:t>
      </w:r>
      <w:r>
        <w:rPr>
          <w:rFonts w:hint="eastAsia" w:ascii="宋体" w:hAnsi="宋体" w:cs="宋体"/>
          <w:kern w:val="0"/>
          <w:sz w:val="24"/>
          <w:szCs w:val="24"/>
        </w:rPr>
        <w:t>招标人</w:t>
      </w:r>
      <w:r>
        <w:rPr>
          <w:rFonts w:ascii="宋体" w:hAnsi="宋体" w:cs="宋体"/>
          <w:kern w:val="0"/>
          <w:sz w:val="24"/>
          <w:szCs w:val="24"/>
        </w:rPr>
        <w:t>、采购代理机构和政府采购评审专家进行任何形式的商业贿赂以谋取交易机会。</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3、不向政府采购代理机构和</w:t>
      </w:r>
      <w:r>
        <w:rPr>
          <w:rFonts w:hint="eastAsia" w:ascii="宋体" w:hAnsi="宋体" w:cs="宋体"/>
          <w:kern w:val="0"/>
          <w:sz w:val="24"/>
          <w:szCs w:val="24"/>
        </w:rPr>
        <w:t>招标人</w:t>
      </w:r>
      <w:r>
        <w:rPr>
          <w:rFonts w:ascii="宋体" w:hAnsi="宋体" w:cs="宋体"/>
          <w:kern w:val="0"/>
          <w:sz w:val="24"/>
          <w:szCs w:val="24"/>
        </w:rPr>
        <w:t>提供虚假资质文件或采用虚假应标方式参与政府采购市场竞争并谋取中标、成交。</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4、不采取“围标、陪标”等商业欺诈手段获得政府采购定单。</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5、不采取不正当手段诋毁、排挤其他</w:t>
      </w:r>
      <w:r>
        <w:rPr>
          <w:rFonts w:hint="eastAsia" w:ascii="宋体" w:hAnsi="宋体" w:cs="宋体"/>
          <w:kern w:val="0"/>
          <w:sz w:val="24"/>
          <w:szCs w:val="24"/>
        </w:rPr>
        <w:t>投标人</w:t>
      </w:r>
      <w:r>
        <w:rPr>
          <w:rFonts w:ascii="宋体" w:hAnsi="宋体" w:cs="宋体"/>
          <w:kern w:val="0"/>
          <w:sz w:val="24"/>
          <w:szCs w:val="24"/>
        </w:rPr>
        <w:t>。</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6、不在提供商品和服务时“偷梁换柱、以次充好”损害</w:t>
      </w:r>
      <w:r>
        <w:rPr>
          <w:rFonts w:hint="eastAsia" w:ascii="宋体" w:hAnsi="宋体" w:cs="宋体"/>
          <w:kern w:val="0"/>
          <w:sz w:val="24"/>
          <w:szCs w:val="24"/>
        </w:rPr>
        <w:t>招标人</w:t>
      </w:r>
      <w:r>
        <w:rPr>
          <w:rFonts w:ascii="宋体" w:hAnsi="宋体" w:cs="宋体"/>
          <w:kern w:val="0"/>
          <w:sz w:val="24"/>
          <w:szCs w:val="24"/>
        </w:rPr>
        <w:t>的合法权益。</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7、不与</w:t>
      </w:r>
      <w:r>
        <w:rPr>
          <w:rFonts w:hint="eastAsia" w:ascii="宋体" w:hAnsi="宋体" w:cs="宋体"/>
          <w:kern w:val="0"/>
          <w:sz w:val="24"/>
          <w:szCs w:val="24"/>
        </w:rPr>
        <w:t>招标人</w:t>
      </w:r>
      <w:r>
        <w:rPr>
          <w:rFonts w:ascii="宋体" w:hAnsi="宋体" w:cs="宋体"/>
          <w:kern w:val="0"/>
          <w:sz w:val="24"/>
          <w:szCs w:val="24"/>
        </w:rPr>
        <w:t>、采购代理机构政府采购评审专家或其它</w:t>
      </w:r>
      <w:r>
        <w:rPr>
          <w:rFonts w:hint="eastAsia" w:ascii="宋体" w:hAnsi="宋体" w:cs="宋体"/>
          <w:kern w:val="0"/>
          <w:sz w:val="24"/>
          <w:szCs w:val="24"/>
        </w:rPr>
        <w:t>投标人</w:t>
      </w:r>
      <w:r>
        <w:rPr>
          <w:rFonts w:ascii="宋体" w:hAnsi="宋体" w:cs="宋体"/>
          <w:kern w:val="0"/>
          <w:sz w:val="24"/>
          <w:szCs w:val="24"/>
        </w:rPr>
        <w:t>恶意串通，进行质疑和投诉，维护政府采购市场秩序。</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8、尊重和接受政府采购监督管理部门的监督和政府采购代理机构招标采购要求，承担因违约行为给</w:t>
      </w:r>
      <w:r>
        <w:rPr>
          <w:rFonts w:hint="eastAsia" w:ascii="宋体" w:hAnsi="宋体" w:cs="宋体"/>
          <w:kern w:val="0"/>
          <w:sz w:val="24"/>
          <w:szCs w:val="24"/>
        </w:rPr>
        <w:t>招标人</w:t>
      </w:r>
      <w:r>
        <w:rPr>
          <w:rFonts w:ascii="宋体" w:hAnsi="宋体" w:cs="宋体"/>
          <w:kern w:val="0"/>
          <w:sz w:val="24"/>
          <w:szCs w:val="24"/>
        </w:rPr>
        <w:t>造成的损失。</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9、不发生其他有悖于政府采购公开、公平、公正和诚信原则的行为。</w:t>
      </w:r>
    </w:p>
    <w:p>
      <w:pPr>
        <w:widowControl/>
        <w:spacing w:line="520" w:lineRule="exact"/>
        <w:ind w:left="239" w:leftChars="114" w:firstLine="470" w:firstLineChars="196"/>
        <w:jc w:val="left"/>
        <w:rPr>
          <w:rFonts w:ascii="宋体" w:hAnsi="宋体" w:cs="宋体"/>
          <w:kern w:val="0"/>
          <w:sz w:val="24"/>
          <w:szCs w:val="24"/>
        </w:rPr>
      </w:pPr>
    </w:p>
    <w:p>
      <w:pPr>
        <w:widowControl/>
        <w:spacing w:line="520" w:lineRule="exact"/>
        <w:ind w:left="239" w:leftChars="114" w:firstLine="470" w:firstLineChars="196"/>
        <w:jc w:val="left"/>
        <w:rPr>
          <w:rFonts w:ascii="宋体" w:hAnsi="宋体" w:cs="宋体"/>
          <w:kern w:val="0"/>
          <w:sz w:val="24"/>
          <w:szCs w:val="24"/>
        </w:rPr>
      </w:pPr>
    </w:p>
    <w:p>
      <w:pPr>
        <w:spacing w:before="240" w:beforeLines="100" w:after="120" w:afterLines="50" w:line="360" w:lineRule="auto"/>
        <w:ind w:firstLine="3521" w:firstLineChars="1420"/>
        <w:jc w:val="left"/>
        <w:rPr>
          <w:rFonts w:ascii="宋体" w:hAnsi="宋体" w:cs="宋体"/>
          <w:spacing w:val="14"/>
          <w:kern w:val="0"/>
          <w:sz w:val="24"/>
          <w:szCs w:val="24"/>
        </w:rPr>
      </w:pPr>
      <w:r>
        <w:rPr>
          <w:rFonts w:hint="eastAsia" w:ascii="宋体" w:hAnsi="宋体"/>
          <w:spacing w:val="4"/>
          <w:sz w:val="24"/>
          <w:szCs w:val="24"/>
        </w:rPr>
        <w:t>投标人名称：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before="240" w:beforeLines="100" w:after="120" w:afterLines="50" w:line="360" w:lineRule="auto"/>
        <w:ind w:firstLine="2520" w:firstLineChars="1050"/>
        <w:jc w:val="left"/>
        <w:rPr>
          <w:rFonts w:ascii="宋体" w:hAnsi="宋体"/>
          <w:spacing w:val="4"/>
          <w:sz w:val="24"/>
          <w:szCs w:val="24"/>
        </w:rPr>
      </w:pPr>
      <w:r>
        <w:rPr>
          <w:rFonts w:hint="eastAsia" w:ascii="宋体" w:hAnsi="宋体" w:cs="宋体"/>
          <w:kern w:val="0"/>
          <w:sz w:val="24"/>
          <w:szCs w:val="24"/>
        </w:rPr>
        <w:t>法定代表人或被授权人（</w:t>
      </w:r>
      <w:r>
        <w:rPr>
          <w:rFonts w:ascii="宋体" w:hAnsi="宋体" w:cs="宋体"/>
          <w:kern w:val="0"/>
          <w:sz w:val="24"/>
          <w:szCs w:val="24"/>
        </w:rPr>
        <w:t>签字</w:t>
      </w:r>
      <w:r>
        <w:rPr>
          <w:rFonts w:hint="eastAsia" w:ascii="宋体" w:hAnsi="宋体" w:cs="宋体"/>
          <w:kern w:val="0"/>
          <w:sz w:val="24"/>
          <w:szCs w:val="24"/>
        </w:rPr>
        <w:t>或盖章）</w:t>
      </w:r>
      <w:r>
        <w:rPr>
          <w:rFonts w:ascii="宋体" w:hAnsi="宋体" w:cs="宋体"/>
          <w:kern w:val="0"/>
          <w:sz w:val="24"/>
          <w:szCs w:val="24"/>
        </w:rPr>
        <w:t>：</w:t>
      </w:r>
      <w:r>
        <w:rPr>
          <w:rFonts w:hint="eastAsia" w:ascii="宋体" w:hAnsi="宋体" w:cs="宋体"/>
          <w:kern w:val="0"/>
          <w:sz w:val="24"/>
          <w:szCs w:val="24"/>
          <w:u w:val="single"/>
        </w:rPr>
        <w:t xml:space="preserve">             </w:t>
      </w:r>
    </w:p>
    <w:p>
      <w:pPr>
        <w:spacing w:line="360" w:lineRule="auto"/>
        <w:ind w:left="4621" w:firstLine="420"/>
        <w:jc w:val="center"/>
        <w:rPr>
          <w:rFonts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rPr>
          <w:rFonts w:hint="eastAsia" w:ascii="宋体" w:hAnsi="宋体"/>
          <w:b/>
          <w:sz w:val="28"/>
          <w:szCs w:val="28"/>
          <w:lang w:eastAsia="zh-CN"/>
        </w:rPr>
      </w:pPr>
    </w:p>
    <w:p>
      <w:pPr>
        <w:rPr>
          <w:rFonts w:hint="eastAsia" w:ascii="宋体" w:hAnsi="宋体"/>
          <w:b/>
          <w:sz w:val="28"/>
          <w:szCs w:val="28"/>
          <w:lang w:eastAsia="zh-CN"/>
        </w:rPr>
      </w:pPr>
      <w:r>
        <w:rPr>
          <w:rFonts w:hint="eastAsia" w:ascii="宋体" w:hAnsi="宋体"/>
          <w:b/>
          <w:sz w:val="28"/>
          <w:szCs w:val="28"/>
          <w:lang w:eastAsia="zh-CN"/>
        </w:rPr>
        <w:br w:type="page"/>
      </w:r>
    </w:p>
    <w:p>
      <w:pPr>
        <w:pStyle w:val="42"/>
        <w:jc w:val="center"/>
        <w:rPr>
          <w:rFonts w:hint="eastAsia" w:ascii="宋体" w:hAnsi="宋体"/>
          <w:b/>
          <w:sz w:val="28"/>
          <w:szCs w:val="28"/>
          <w:lang w:eastAsia="zh-CN"/>
        </w:rPr>
      </w:pPr>
      <w:r>
        <w:rPr>
          <w:rFonts w:hint="eastAsia" w:ascii="宋体" w:hAnsi="宋体"/>
          <w:b/>
          <w:sz w:val="28"/>
          <w:szCs w:val="28"/>
          <w:lang w:eastAsia="zh-CN"/>
        </w:rPr>
        <w:t>八、投标方案</w:t>
      </w:r>
    </w:p>
    <w:p>
      <w:pPr>
        <w:pStyle w:val="42"/>
        <w:rPr>
          <w:rFonts w:hint="eastAsia" w:asciiTheme="majorEastAsia" w:hAnsiTheme="majorEastAsia" w:eastAsiaTheme="majorEastAsia" w:cstheme="majorEastAsia"/>
          <w:sz w:val="24"/>
          <w:szCs w:val="24"/>
          <w:lang w:val="zh-CN"/>
        </w:rPr>
      </w:pPr>
      <w:bookmarkStart w:id="50" w:name="_Toc19527_WPSOffice_Level2"/>
      <w:r>
        <w:rPr>
          <w:rFonts w:hint="eastAsia" w:asciiTheme="majorEastAsia" w:hAnsiTheme="majorEastAsia" w:eastAsiaTheme="majorEastAsia" w:cstheme="majorEastAsia"/>
          <w:sz w:val="24"/>
          <w:szCs w:val="24"/>
          <w:lang w:val="zh-CN"/>
        </w:rPr>
        <w:t>投标人依据本项目评审办法编制商务和技术响应内容。（格式自拟）</w:t>
      </w:r>
      <w:bookmarkEnd w:id="50"/>
    </w:p>
    <w:p>
      <w:pPr>
        <w:rPr>
          <w:rFonts w:hint="eastAsia" w:asciiTheme="majorEastAsia" w:hAnsiTheme="majorEastAsia" w:eastAsiaTheme="majorEastAsia" w:cstheme="majorEastAsia"/>
          <w:sz w:val="24"/>
          <w:szCs w:val="24"/>
          <w:lang w:val="zh-CN" w:eastAsia="zh-CN"/>
        </w:rPr>
      </w:pPr>
      <w:r>
        <w:rPr>
          <w:rFonts w:hint="eastAsia" w:asciiTheme="majorEastAsia" w:hAnsiTheme="majorEastAsia" w:eastAsiaTheme="majorEastAsia" w:cstheme="majorEastAsia"/>
          <w:sz w:val="24"/>
          <w:szCs w:val="24"/>
          <w:lang w:val="zh-CN" w:eastAsia="zh-CN"/>
        </w:rPr>
        <w:br w:type="page"/>
      </w:r>
    </w:p>
    <w:p>
      <w:pPr>
        <w:pStyle w:val="42"/>
        <w:rPr>
          <w:rFonts w:hint="eastAsia" w:asciiTheme="majorEastAsia" w:hAnsiTheme="majorEastAsia" w:eastAsiaTheme="majorEastAsia" w:cstheme="majorEastAsia"/>
          <w:sz w:val="24"/>
          <w:szCs w:val="24"/>
          <w:lang w:val="zh-CN" w:eastAsia="zh-CN"/>
        </w:rPr>
      </w:pPr>
    </w:p>
    <w:p>
      <w:pPr>
        <w:jc w:val="left"/>
        <w:outlineLvl w:val="9"/>
        <w:rPr>
          <w:rFonts w:hint="eastAsia" w:ascii="宋体" w:hAnsi="宋体" w:eastAsia="宋体" w:cs="宋体"/>
          <w:b/>
          <w:sz w:val="28"/>
          <w:szCs w:val="28"/>
          <w:lang w:eastAsia="zh-CN"/>
        </w:rPr>
      </w:pPr>
      <w:r>
        <w:rPr>
          <w:rFonts w:hint="eastAsia" w:ascii="宋体" w:hAnsi="宋体" w:eastAsia="宋体" w:cs="宋体"/>
          <w:b/>
          <w:sz w:val="24"/>
          <w:szCs w:val="24"/>
        </w:rPr>
        <w:t>附件</w:t>
      </w:r>
      <w:r>
        <w:rPr>
          <w:rFonts w:hint="eastAsia" w:ascii="宋体" w:hAnsi="宋体" w:cs="宋体"/>
          <w:b/>
          <w:sz w:val="24"/>
          <w:szCs w:val="24"/>
          <w:lang w:eastAsia="zh-CN"/>
        </w:rPr>
        <w:t>：</w:t>
      </w:r>
      <w:r>
        <w:rPr>
          <w:rFonts w:hint="eastAsia" w:ascii="宋体" w:hAnsi="宋体" w:eastAsia="宋体" w:cs="宋体"/>
          <w:b/>
          <w:sz w:val="24"/>
          <w:szCs w:val="24"/>
        </w:rPr>
        <w:t>近三年</w:t>
      </w:r>
      <w:r>
        <w:rPr>
          <w:rFonts w:hint="eastAsia" w:ascii="宋体" w:hAnsi="宋体" w:eastAsia="宋体" w:cs="宋体"/>
          <w:b/>
          <w:sz w:val="24"/>
          <w:szCs w:val="24"/>
          <w:lang w:eastAsia="zh-CN"/>
        </w:rPr>
        <w:t>业绩</w:t>
      </w:r>
      <w:r>
        <w:rPr>
          <w:rFonts w:hint="eastAsia" w:ascii="宋体" w:hAnsi="宋体" w:eastAsia="宋体" w:cs="宋体"/>
          <w:b/>
          <w:sz w:val="24"/>
          <w:szCs w:val="24"/>
        </w:rPr>
        <w:t>情况表</w:t>
      </w:r>
    </w:p>
    <w:p>
      <w:pPr>
        <w:pStyle w:val="24"/>
        <w:outlineLvl w:val="9"/>
        <w:rPr>
          <w:rFonts w:hint="eastAsia" w:ascii="宋体" w:hAnsi="宋体" w:eastAsia="宋体" w:cs="宋体"/>
        </w:rPr>
      </w:pP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887"/>
        <w:gridCol w:w="3750"/>
        <w:gridCol w:w="10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48" w:type="dxa"/>
            <w:noWrap w:val="0"/>
            <w:vAlign w:val="center"/>
          </w:tcPr>
          <w:p>
            <w:pPr>
              <w:jc w:val="center"/>
              <w:outlineLvl w:val="9"/>
              <w:rPr>
                <w:rFonts w:hint="eastAsia" w:ascii="宋体" w:hAnsi="宋体" w:eastAsia="宋体" w:cs="宋体"/>
                <w:b/>
                <w:sz w:val="24"/>
                <w:szCs w:val="24"/>
              </w:rPr>
            </w:pPr>
            <w:r>
              <w:rPr>
                <w:rFonts w:hint="eastAsia" w:ascii="宋体" w:hAnsi="宋体" w:eastAsia="宋体" w:cs="宋体"/>
                <w:b/>
                <w:sz w:val="24"/>
                <w:szCs w:val="24"/>
              </w:rPr>
              <w:t>序号</w:t>
            </w:r>
          </w:p>
        </w:tc>
        <w:tc>
          <w:tcPr>
            <w:tcW w:w="1887" w:type="dxa"/>
            <w:noWrap w:val="0"/>
            <w:vAlign w:val="center"/>
          </w:tcPr>
          <w:p>
            <w:pPr>
              <w:jc w:val="center"/>
              <w:outlineLvl w:val="9"/>
              <w:rPr>
                <w:rFonts w:hint="eastAsia" w:ascii="宋体" w:hAnsi="宋体" w:eastAsia="宋体" w:cs="宋体"/>
                <w:b/>
                <w:sz w:val="24"/>
                <w:szCs w:val="24"/>
              </w:rPr>
            </w:pPr>
            <w:r>
              <w:rPr>
                <w:rFonts w:hint="eastAsia" w:ascii="宋体" w:hAnsi="宋体" w:eastAsia="宋体" w:cs="宋体"/>
                <w:b/>
                <w:sz w:val="24"/>
                <w:szCs w:val="24"/>
              </w:rPr>
              <w:t>合同签订时间</w:t>
            </w:r>
          </w:p>
        </w:tc>
        <w:tc>
          <w:tcPr>
            <w:tcW w:w="3750" w:type="dxa"/>
            <w:noWrap w:val="0"/>
            <w:vAlign w:val="center"/>
          </w:tcPr>
          <w:p>
            <w:pPr>
              <w:jc w:val="center"/>
              <w:outlineLvl w:val="9"/>
              <w:rPr>
                <w:rFonts w:hint="eastAsia" w:ascii="宋体" w:hAnsi="宋体" w:eastAsia="宋体" w:cs="宋体"/>
                <w:b/>
                <w:sz w:val="24"/>
                <w:szCs w:val="24"/>
              </w:rPr>
            </w:pPr>
            <w:r>
              <w:rPr>
                <w:rFonts w:hint="eastAsia" w:ascii="宋体" w:hAnsi="宋体" w:eastAsia="宋体" w:cs="宋体"/>
                <w:b/>
                <w:sz w:val="24"/>
                <w:szCs w:val="24"/>
              </w:rPr>
              <w:t>项目名称</w:t>
            </w:r>
          </w:p>
        </w:tc>
        <w:tc>
          <w:tcPr>
            <w:tcW w:w="1042" w:type="dxa"/>
            <w:noWrap w:val="0"/>
            <w:vAlign w:val="center"/>
          </w:tcPr>
          <w:p>
            <w:pPr>
              <w:jc w:val="center"/>
              <w:outlineLvl w:val="9"/>
              <w:rPr>
                <w:rFonts w:hint="eastAsia" w:ascii="宋体" w:hAnsi="宋体" w:eastAsia="宋体" w:cs="宋体"/>
                <w:b/>
                <w:sz w:val="24"/>
                <w:szCs w:val="24"/>
                <w:lang w:eastAsia="zh-CN"/>
              </w:rPr>
            </w:pPr>
            <w:r>
              <w:rPr>
                <w:rFonts w:hint="eastAsia" w:ascii="宋体" w:hAnsi="宋体" w:eastAsia="宋体" w:cs="宋体"/>
                <w:b/>
                <w:sz w:val="24"/>
                <w:szCs w:val="24"/>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bl>
    <w:p>
      <w:pPr>
        <w:jc w:val="left"/>
        <w:outlineLvl w:val="9"/>
        <w:rPr>
          <w:rFonts w:hint="eastAsia" w:ascii="宋体" w:hAnsi="宋体" w:eastAsia="宋体" w:cs="宋体"/>
          <w:b/>
          <w:bCs/>
          <w:szCs w:val="21"/>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说明：</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rPr>
        <w:t>.</w:t>
      </w:r>
      <w:r>
        <w:rPr>
          <w:rFonts w:hint="eastAsia" w:ascii="宋体" w:hAnsi="宋体" w:cs="宋体"/>
          <w:sz w:val="24"/>
          <w:szCs w:val="24"/>
          <w:lang w:val="zh-CN"/>
        </w:rPr>
        <w:t>投标人</w:t>
      </w:r>
      <w:r>
        <w:rPr>
          <w:rFonts w:hint="eastAsia" w:ascii="宋体" w:hAnsi="宋体" w:eastAsia="宋体" w:cs="宋体"/>
          <w:sz w:val="24"/>
          <w:szCs w:val="24"/>
          <w:lang w:val="zh-CN"/>
        </w:rPr>
        <w:t>应如实列出以上情况，如有隐瞒，一经查实将导致其</w:t>
      </w:r>
      <w:r>
        <w:rPr>
          <w:rFonts w:hint="eastAsia" w:ascii="宋体" w:hAnsi="宋体" w:cs="宋体"/>
          <w:sz w:val="24"/>
          <w:szCs w:val="24"/>
          <w:lang w:val="zh-CN"/>
        </w:rPr>
        <w:t>招标投标文件</w:t>
      </w:r>
      <w:r>
        <w:rPr>
          <w:rFonts w:hint="eastAsia" w:ascii="宋体" w:hAnsi="宋体" w:eastAsia="宋体" w:cs="宋体"/>
          <w:sz w:val="24"/>
          <w:szCs w:val="24"/>
          <w:lang w:val="zh-CN"/>
        </w:rPr>
        <w:t>被拒绝。</w:t>
      </w:r>
    </w:p>
    <w:p>
      <w:pPr>
        <w:keepNext w:val="0"/>
        <w:keepLines w:val="0"/>
        <w:pageBreakBefore w:val="0"/>
        <w:widowControl w:val="0"/>
        <w:kinsoku/>
        <w:wordWrap/>
        <w:overflowPunct/>
        <w:topLinePunct w:val="0"/>
        <w:bidi w:val="0"/>
        <w:snapToGrid/>
        <w:spacing w:line="360" w:lineRule="auto"/>
        <w:ind w:firstLine="480" w:firstLineChars="200"/>
        <w:jc w:val="left"/>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rPr>
        <w:t>.未按上述要求提供、填写的，评审时不予以考虑。</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outlineLvl w:val="9"/>
        <w:rPr>
          <w:rFonts w:hint="eastAsia" w:ascii="宋体" w:hAnsi="宋体" w:eastAsia="宋体" w:cs="宋体"/>
          <w:spacing w:val="4"/>
          <w:sz w:val="24"/>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outlineLvl w:val="9"/>
        <w:rPr>
          <w:rFonts w:hint="eastAsia" w:ascii="宋体" w:hAnsi="宋体" w:eastAsia="宋体" w:cs="宋体"/>
          <w:spacing w:val="4"/>
          <w:sz w:val="24"/>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outlineLvl w:val="9"/>
        <w:rPr>
          <w:rFonts w:hint="eastAsia" w:ascii="宋体" w:hAnsi="宋体" w:eastAsia="宋体" w:cs="宋体"/>
          <w:spacing w:val="14"/>
          <w:kern w:val="0"/>
          <w:sz w:val="24"/>
        </w:rPr>
      </w:pPr>
      <w:r>
        <w:rPr>
          <w:rFonts w:hint="eastAsia" w:ascii="宋体" w:hAnsi="宋体" w:cs="宋体"/>
          <w:spacing w:val="4"/>
          <w:sz w:val="24"/>
          <w:lang w:eastAsia="zh-CN"/>
        </w:rPr>
        <w:t>投标人</w:t>
      </w:r>
      <w:r>
        <w:rPr>
          <w:rFonts w:hint="eastAsia" w:ascii="宋体" w:hAnsi="宋体" w:eastAsia="宋体" w:cs="宋体"/>
          <w:spacing w:val="4"/>
          <w:sz w:val="24"/>
        </w:rPr>
        <w:t>名称（盖章）：</w:t>
      </w:r>
      <w:r>
        <w:rPr>
          <w:rFonts w:hint="eastAsia" w:ascii="宋体" w:hAnsi="宋体" w:eastAsia="宋体" w:cs="宋体"/>
          <w:spacing w:val="4"/>
          <w:sz w:val="24"/>
          <w:u w:val="single"/>
        </w:rPr>
        <w:t xml:space="preserve">         </w:t>
      </w:r>
      <w:r>
        <w:rPr>
          <w:rFonts w:hint="eastAsia" w:ascii="宋体" w:hAnsi="宋体" w:eastAsia="宋体" w:cs="宋体"/>
          <w:spacing w:val="14"/>
          <w:kern w:val="0"/>
          <w:sz w:val="24"/>
          <w:u w:val="single"/>
        </w:rPr>
        <w:t xml:space="preserve">（单位全称）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outlineLvl w:val="9"/>
        <w:rPr>
          <w:rFonts w:hint="eastAsia" w:ascii="宋体" w:hAnsi="宋体" w:eastAsia="宋体" w:cs="宋体"/>
          <w:spacing w:val="4"/>
          <w:sz w:val="24"/>
        </w:rPr>
      </w:pPr>
      <w:r>
        <w:rPr>
          <w:rFonts w:hint="eastAsia" w:ascii="宋体" w:hAnsi="宋体" w:eastAsia="宋体" w:cs="宋体"/>
          <w:kern w:val="0"/>
          <w:sz w:val="24"/>
        </w:rPr>
        <w:t>法定代表人或委托代理人（签字或盖章）：</w:t>
      </w:r>
      <w:r>
        <w:rPr>
          <w:rFonts w:hint="eastAsia" w:ascii="宋体" w:hAnsi="宋体" w:eastAsia="宋体" w:cs="宋体"/>
          <w:kern w:val="0"/>
          <w:sz w:val="24"/>
          <w:u w:val="single"/>
        </w:rPr>
        <w:t xml:space="preserve">                    </w:t>
      </w:r>
    </w:p>
    <w:p>
      <w:pPr>
        <w:pStyle w:val="42"/>
        <w:jc w:val="right"/>
        <w:rPr>
          <w:rFonts w:hint="eastAsia" w:ascii="宋体" w:hAnsi="宋体" w:eastAsia="宋体" w:cs="宋体"/>
          <w:color w:val="000000"/>
          <w:sz w:val="24"/>
        </w:rPr>
      </w:pPr>
      <w:r>
        <w:rPr>
          <w:rFonts w:hint="eastAsia" w:ascii="宋体" w:hAnsi="宋体" w:eastAsia="宋体" w:cs="宋体"/>
          <w:color w:val="000000"/>
          <w:sz w:val="24"/>
        </w:rPr>
        <w:t xml:space="preserve">日期：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pPr>
        <w:rPr>
          <w:rFonts w:hint="eastAsia" w:ascii="宋体" w:hAnsi="宋体" w:eastAsia="宋体" w:cs="宋体"/>
          <w:color w:val="000000"/>
          <w:sz w:val="24"/>
        </w:rPr>
      </w:pPr>
      <w:r>
        <w:rPr>
          <w:rFonts w:hint="eastAsia" w:ascii="宋体" w:hAnsi="宋体" w:eastAsia="宋体" w:cs="宋体"/>
          <w:color w:val="000000"/>
          <w:sz w:val="24"/>
        </w:rPr>
        <w:br w:type="page"/>
      </w:r>
    </w:p>
    <w:p>
      <w:pPr>
        <w:tabs>
          <w:tab w:val="center" w:pos="4756"/>
          <w:tab w:val="right" w:pos="8969"/>
        </w:tabs>
        <w:spacing w:line="360" w:lineRule="auto"/>
        <w:ind w:firstLine="211"/>
        <w:jc w:val="center"/>
        <w:outlineLvl w:val="0"/>
        <w:rPr>
          <w:rFonts w:hint="eastAsia" w:ascii="黑体" w:hAnsi="宋体" w:eastAsia="仿宋"/>
          <w:sz w:val="28"/>
          <w:szCs w:val="28"/>
          <w:lang w:val="en-US" w:eastAsia="zh-CN"/>
        </w:rPr>
      </w:pPr>
      <w:r>
        <w:rPr>
          <w:rFonts w:hint="eastAsia" w:ascii="黑体" w:hAnsi="宋体" w:eastAsia="黑体"/>
          <w:sz w:val="28"/>
          <w:szCs w:val="28"/>
          <w:lang w:val="en-US" w:eastAsia="zh-CN"/>
        </w:rPr>
        <w:t>九、</w:t>
      </w:r>
      <w:r>
        <w:rPr>
          <w:rFonts w:hint="eastAsia" w:ascii="仿宋" w:hAnsi="仿宋" w:eastAsia="仿宋" w:cs="仿宋"/>
          <w:b/>
          <w:color w:val="000000"/>
          <w:sz w:val="32"/>
          <w:szCs w:val="32"/>
          <w:highlight w:val="none"/>
        </w:rPr>
        <w:t>中小企业</w:t>
      </w:r>
      <w:r>
        <w:rPr>
          <w:rFonts w:hint="eastAsia" w:ascii="仿宋" w:hAnsi="仿宋" w:eastAsia="仿宋" w:cs="仿宋"/>
          <w:b/>
          <w:color w:val="000000"/>
          <w:sz w:val="32"/>
          <w:szCs w:val="32"/>
          <w:highlight w:val="none"/>
          <w:lang w:eastAsia="zh-CN"/>
        </w:rPr>
        <w:t>、</w:t>
      </w:r>
      <w:r>
        <w:rPr>
          <w:rFonts w:hint="eastAsia" w:ascii="仿宋" w:hAnsi="仿宋" w:eastAsia="仿宋" w:cs="仿宋"/>
          <w:b/>
          <w:bCs/>
          <w:color w:val="auto"/>
          <w:sz w:val="28"/>
          <w:szCs w:val="28"/>
          <w:highlight w:val="none"/>
          <w:lang w:val="en-US" w:eastAsia="zh-CN"/>
        </w:rPr>
        <w:t>监狱企业、残疾人福利性单位声明函</w:t>
      </w:r>
    </w:p>
    <w:p>
      <w:pPr>
        <w:tabs>
          <w:tab w:val="center" w:pos="4756"/>
          <w:tab w:val="right" w:pos="8969"/>
        </w:tabs>
        <w:spacing w:line="360" w:lineRule="auto"/>
        <w:ind w:firstLine="211"/>
        <w:jc w:val="center"/>
        <w:outlineLvl w:val="0"/>
        <w:rPr>
          <w:rFonts w:hint="eastAsia" w:ascii="仿宋" w:hAnsi="仿宋" w:eastAsia="仿宋" w:cs="仿宋"/>
          <w:b/>
          <w:color w:val="000000"/>
          <w:sz w:val="32"/>
          <w:szCs w:val="32"/>
          <w:highlight w:val="none"/>
        </w:rPr>
      </w:pPr>
      <w:r>
        <w:rPr>
          <w:rFonts w:hint="eastAsia" w:ascii="黑体" w:hAnsi="宋体" w:eastAsia="黑体"/>
          <w:sz w:val="28"/>
          <w:szCs w:val="28"/>
          <w:lang w:val="en-US" w:eastAsia="zh-CN"/>
        </w:rPr>
        <w:t>（一）</w:t>
      </w:r>
      <w:r>
        <w:rPr>
          <w:rFonts w:hint="eastAsia" w:ascii="仿宋" w:hAnsi="仿宋" w:eastAsia="仿宋" w:cs="仿宋"/>
          <w:b/>
          <w:color w:val="000000"/>
          <w:sz w:val="32"/>
          <w:szCs w:val="32"/>
          <w:highlight w:val="none"/>
        </w:rPr>
        <w:t>中小企业声明函</w:t>
      </w:r>
    </w:p>
    <w:p>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本公司（联合体）郑重声明，根据《政府采购促进中小企业发展管理办法》（财库﹝2020﹞46 号）的规定，本公司</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（联合体）参加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（单位名称）的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 xml:space="preserve">（项目名称）采购活动，服务全部由符合政策要求的中小企业承接。相关企业（含联合体中的中小企业、签订分包意向协议的中小企业）的具体情况如下： </w:t>
      </w:r>
    </w:p>
    <w:p>
      <w:pPr>
        <w:widowControl/>
        <w:spacing w:line="360" w:lineRule="auto"/>
        <w:ind w:firstLine="480" w:firstLineChars="200"/>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w:t>
      </w:r>
      <w:r>
        <w:rPr>
          <w:rFonts w:hint="eastAsia" w:ascii="仿宋" w:hAnsi="仿宋" w:eastAsia="仿宋" w:cs="仿宋"/>
          <w:i/>
          <w:iCs/>
          <w:color w:val="000000"/>
          <w:kern w:val="0"/>
          <w:sz w:val="24"/>
          <w:szCs w:val="24"/>
          <w:highlight w:val="none"/>
          <w:u w:val="single"/>
          <w:lang w:bidi="ar"/>
        </w:rPr>
        <w:t xml:space="preserve"> （标的名称） </w:t>
      </w:r>
      <w:r>
        <w:rPr>
          <w:rFonts w:hint="eastAsia" w:ascii="仿宋" w:hAnsi="仿宋" w:eastAsia="仿宋" w:cs="仿宋"/>
          <w:color w:val="000000"/>
          <w:kern w:val="0"/>
          <w:sz w:val="24"/>
          <w:szCs w:val="24"/>
          <w:highlight w:val="none"/>
          <w:lang w:bidi="ar"/>
        </w:rPr>
        <w:t>，属于</w:t>
      </w:r>
      <w:r>
        <w:rPr>
          <w:rFonts w:hint="eastAsia" w:ascii="仿宋" w:hAnsi="仿宋" w:eastAsia="仿宋" w:cs="仿宋"/>
          <w:i/>
          <w:iCs/>
          <w:color w:val="000000"/>
          <w:kern w:val="0"/>
          <w:sz w:val="24"/>
          <w:szCs w:val="24"/>
          <w:highlight w:val="none"/>
          <w:u w:val="single"/>
          <w:lang w:eastAsia="zh-CN" w:bidi="ar"/>
        </w:rPr>
        <w:t>其他未列明行业</w:t>
      </w:r>
      <w:r>
        <w:rPr>
          <w:rFonts w:hint="eastAsia" w:ascii="仿宋" w:hAnsi="仿宋" w:eastAsia="仿宋" w:cs="仿宋"/>
          <w:color w:val="000000"/>
          <w:kern w:val="0"/>
          <w:sz w:val="24"/>
          <w:szCs w:val="24"/>
          <w:highlight w:val="none"/>
          <w:lang w:bidi="ar"/>
        </w:rPr>
        <w:t>；承建（承接）企业为</w:t>
      </w:r>
      <w:r>
        <w:rPr>
          <w:rFonts w:hint="eastAsia" w:ascii="仿宋" w:hAnsi="仿宋" w:eastAsia="仿宋" w:cs="仿宋"/>
          <w:i/>
          <w:iCs/>
          <w:color w:val="000000"/>
          <w:kern w:val="0"/>
          <w:sz w:val="24"/>
          <w:szCs w:val="24"/>
          <w:highlight w:val="none"/>
          <w:u w:val="single"/>
          <w:lang w:bidi="ar"/>
        </w:rPr>
        <w:t>（企业名称）</w:t>
      </w:r>
      <w:r>
        <w:rPr>
          <w:rFonts w:hint="eastAsia" w:ascii="仿宋" w:hAnsi="仿宋" w:eastAsia="仿宋" w:cs="仿宋"/>
          <w:color w:val="000000"/>
          <w:kern w:val="0"/>
          <w:sz w:val="24"/>
          <w:szCs w:val="24"/>
          <w:highlight w:val="none"/>
          <w:lang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万元，资产总额为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万元，属于</w:t>
      </w:r>
      <w:r>
        <w:rPr>
          <w:rFonts w:hint="eastAsia" w:ascii="仿宋" w:hAnsi="仿宋" w:eastAsia="仿宋" w:cs="仿宋"/>
          <w:i/>
          <w:iCs/>
          <w:color w:val="000000"/>
          <w:kern w:val="0"/>
          <w:sz w:val="24"/>
          <w:szCs w:val="24"/>
          <w:highlight w:val="none"/>
          <w:u w:val="single"/>
          <w:lang w:bidi="ar"/>
        </w:rPr>
        <w:t>（中型企业、小型企业、微型企业）</w:t>
      </w:r>
      <w:r>
        <w:rPr>
          <w:rFonts w:hint="eastAsia" w:ascii="仿宋" w:hAnsi="仿宋" w:eastAsia="仿宋" w:cs="仿宋"/>
          <w:color w:val="000000"/>
          <w:kern w:val="0"/>
          <w:sz w:val="24"/>
          <w:szCs w:val="24"/>
          <w:highlight w:val="none"/>
          <w:lang w:bidi="ar"/>
        </w:rPr>
        <w:t>；</w:t>
      </w:r>
    </w:p>
    <w:p>
      <w:pPr>
        <w:widowControl/>
        <w:spacing w:line="360" w:lineRule="auto"/>
        <w:ind w:firstLine="480" w:firstLineChars="200"/>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 xml:space="preserve">2. </w:t>
      </w:r>
      <w:r>
        <w:rPr>
          <w:rFonts w:hint="eastAsia" w:ascii="仿宋" w:hAnsi="仿宋" w:eastAsia="仿宋" w:cs="仿宋"/>
          <w:i/>
          <w:iCs/>
          <w:color w:val="000000"/>
          <w:kern w:val="0"/>
          <w:sz w:val="24"/>
          <w:szCs w:val="24"/>
          <w:highlight w:val="none"/>
          <w:u w:val="single"/>
          <w:lang w:bidi="ar"/>
        </w:rPr>
        <w:t xml:space="preserve"> （标的名称） </w:t>
      </w:r>
      <w:r>
        <w:rPr>
          <w:rFonts w:hint="eastAsia" w:ascii="仿宋" w:hAnsi="仿宋" w:eastAsia="仿宋" w:cs="仿宋"/>
          <w:color w:val="000000"/>
          <w:kern w:val="0"/>
          <w:sz w:val="24"/>
          <w:szCs w:val="24"/>
          <w:highlight w:val="none"/>
          <w:lang w:bidi="ar"/>
        </w:rPr>
        <w:t>，属于</w:t>
      </w:r>
      <w:r>
        <w:rPr>
          <w:rFonts w:hint="eastAsia" w:ascii="仿宋" w:hAnsi="仿宋" w:eastAsia="仿宋" w:cs="仿宋"/>
          <w:i/>
          <w:iCs/>
          <w:color w:val="000000"/>
          <w:kern w:val="0"/>
          <w:sz w:val="24"/>
          <w:szCs w:val="24"/>
          <w:highlight w:val="none"/>
          <w:u w:val="single"/>
          <w:lang w:bidi="ar"/>
        </w:rPr>
        <w:t>（</w:t>
      </w:r>
      <w:r>
        <w:rPr>
          <w:rFonts w:hint="eastAsia" w:ascii="仿宋" w:hAnsi="仿宋" w:eastAsia="仿宋" w:cs="仿宋"/>
          <w:i/>
          <w:iCs/>
          <w:color w:val="000000"/>
          <w:kern w:val="0"/>
          <w:sz w:val="24"/>
          <w:szCs w:val="24"/>
          <w:highlight w:val="none"/>
          <w:u w:val="single"/>
          <w:lang w:eastAsia="zh-CN" w:bidi="ar"/>
        </w:rPr>
        <w:t>其他未列明行业</w:t>
      </w:r>
      <w:r>
        <w:rPr>
          <w:rFonts w:hint="eastAsia" w:ascii="仿宋" w:hAnsi="仿宋" w:eastAsia="仿宋" w:cs="仿宋"/>
          <w:i/>
          <w:iCs/>
          <w:color w:val="000000"/>
          <w:kern w:val="0"/>
          <w:sz w:val="24"/>
          <w:szCs w:val="24"/>
          <w:highlight w:val="none"/>
          <w:u w:val="single"/>
          <w:lang w:bidi="ar"/>
        </w:rPr>
        <w:t>）</w:t>
      </w:r>
      <w:r>
        <w:rPr>
          <w:rFonts w:hint="eastAsia" w:ascii="仿宋" w:hAnsi="仿宋" w:eastAsia="仿宋" w:cs="仿宋"/>
          <w:color w:val="000000"/>
          <w:kern w:val="0"/>
          <w:sz w:val="24"/>
          <w:szCs w:val="24"/>
          <w:highlight w:val="none"/>
          <w:lang w:bidi="ar"/>
        </w:rPr>
        <w:t>；承建（承接）企业为</w:t>
      </w:r>
      <w:r>
        <w:rPr>
          <w:rFonts w:hint="eastAsia" w:ascii="仿宋" w:hAnsi="仿宋" w:eastAsia="仿宋" w:cs="仿宋"/>
          <w:i/>
          <w:iCs/>
          <w:color w:val="000000"/>
          <w:kern w:val="0"/>
          <w:sz w:val="24"/>
          <w:szCs w:val="24"/>
          <w:highlight w:val="none"/>
          <w:u w:val="single"/>
          <w:lang w:bidi="ar"/>
        </w:rPr>
        <w:t>（企业名称）</w:t>
      </w:r>
      <w:r>
        <w:rPr>
          <w:rFonts w:hint="eastAsia" w:ascii="仿宋" w:hAnsi="仿宋" w:eastAsia="仿宋" w:cs="仿宋"/>
          <w:color w:val="000000"/>
          <w:kern w:val="0"/>
          <w:sz w:val="24"/>
          <w:szCs w:val="24"/>
          <w:highlight w:val="none"/>
          <w:lang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万元，资产总额为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万元，属于</w:t>
      </w:r>
      <w:r>
        <w:rPr>
          <w:rFonts w:hint="eastAsia" w:ascii="仿宋" w:hAnsi="仿宋" w:eastAsia="仿宋" w:cs="仿宋"/>
          <w:i/>
          <w:iCs/>
          <w:color w:val="000000"/>
          <w:kern w:val="0"/>
          <w:sz w:val="24"/>
          <w:szCs w:val="24"/>
          <w:highlight w:val="none"/>
          <w:u w:val="single"/>
          <w:lang w:bidi="ar"/>
        </w:rPr>
        <w:t>（中型企业、小型企业、微型企业）</w:t>
      </w:r>
      <w:r>
        <w:rPr>
          <w:rFonts w:hint="eastAsia" w:ascii="仿宋" w:hAnsi="仿宋" w:eastAsia="仿宋" w:cs="仿宋"/>
          <w:color w:val="000000"/>
          <w:kern w:val="0"/>
          <w:sz w:val="24"/>
          <w:szCs w:val="24"/>
          <w:highlight w:val="none"/>
          <w:lang w:bidi="ar"/>
        </w:rPr>
        <w:t xml:space="preserve">； </w:t>
      </w:r>
    </w:p>
    <w:p>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w:t>
      </w:r>
    </w:p>
    <w:p>
      <w:pPr>
        <w:widowControl/>
        <w:spacing w:line="360" w:lineRule="auto"/>
        <w:ind w:firstLine="480" w:firstLineChars="200"/>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 xml:space="preserve">本企业对上述声明内容的真实性负责。如有虚假，将依法承担相应责任。 </w:t>
      </w:r>
    </w:p>
    <w:p>
      <w:pPr>
        <w:spacing w:line="360" w:lineRule="auto"/>
        <w:ind w:firstLine="504" w:firstLineChars="200"/>
        <w:rPr>
          <w:rFonts w:hint="eastAsia" w:ascii="仿宋" w:hAnsi="仿宋" w:eastAsia="仿宋" w:cs="仿宋"/>
          <w:spacing w:val="6"/>
          <w:sz w:val="24"/>
          <w:szCs w:val="24"/>
          <w:highlight w:val="none"/>
        </w:rPr>
      </w:pPr>
    </w:p>
    <w:p>
      <w:pPr>
        <w:spacing w:line="360" w:lineRule="auto"/>
        <w:ind w:firstLine="504" w:firstLineChars="200"/>
        <w:rPr>
          <w:rFonts w:hint="eastAsia" w:ascii="仿宋" w:hAnsi="仿宋" w:eastAsia="仿宋" w:cs="仿宋"/>
          <w:spacing w:val="6"/>
          <w:sz w:val="24"/>
          <w:szCs w:val="24"/>
          <w:highlight w:val="none"/>
        </w:rPr>
      </w:pPr>
    </w:p>
    <w:p>
      <w:pPr>
        <w:tabs>
          <w:tab w:val="left" w:pos="4860"/>
        </w:tabs>
        <w:spacing w:line="360" w:lineRule="auto"/>
        <w:ind w:right="1560" w:firstLine="504" w:firstLineChars="200"/>
        <w:jc w:val="center"/>
        <w:outlineLvl w:val="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 xml:space="preserve">                                单位名称（盖章）：</w:t>
      </w:r>
    </w:p>
    <w:p>
      <w:pPr>
        <w:tabs>
          <w:tab w:val="left" w:pos="4860"/>
        </w:tabs>
        <w:spacing w:line="360" w:lineRule="auto"/>
        <w:ind w:right="1560" w:firstLine="504" w:firstLineChars="200"/>
        <w:jc w:val="center"/>
        <w:outlineLvl w:val="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 xml:space="preserve">                         日  期：</w:t>
      </w:r>
    </w:p>
    <w:p>
      <w:pPr>
        <w:spacing w:line="360" w:lineRule="auto"/>
        <w:jc w:val="center"/>
        <w:rPr>
          <w:rFonts w:hint="eastAsia" w:ascii="仿宋" w:hAnsi="仿宋" w:eastAsia="仿宋" w:cs="仿宋"/>
          <w:b/>
          <w:highlight w:val="none"/>
        </w:rPr>
      </w:pPr>
    </w:p>
    <w:p>
      <w:pPr>
        <w:snapToGrid w:val="0"/>
        <w:spacing w:line="360" w:lineRule="auto"/>
        <w:rPr>
          <w:rFonts w:hint="eastAsia" w:ascii="仿宋" w:hAnsi="仿宋" w:eastAsia="仿宋" w:cs="仿宋"/>
          <w:sz w:val="24"/>
          <w:szCs w:val="24"/>
          <w:highlight w:val="none"/>
        </w:rPr>
      </w:pPr>
    </w:p>
    <w:p>
      <w:pPr>
        <w:snapToGrid w:val="0"/>
        <w:spacing w:line="360" w:lineRule="auto"/>
        <w:rPr>
          <w:rFonts w:hint="eastAsia" w:ascii="仿宋" w:hAnsi="仿宋" w:eastAsia="仿宋" w:cs="仿宋"/>
          <w:sz w:val="24"/>
          <w:szCs w:val="24"/>
          <w:highlight w:val="none"/>
        </w:rPr>
      </w:pPr>
    </w:p>
    <w:p>
      <w:pPr>
        <w:adjustRightInd w:val="0"/>
        <w:snapToGrid w:val="0"/>
        <w:spacing w:line="360" w:lineRule="exact"/>
        <w:ind w:firstLine="602" w:firstLineChars="250"/>
        <w:outlineLvl w:val="9"/>
        <w:rPr>
          <w:rFonts w:hint="eastAsia" w:ascii="仿宋" w:hAnsi="仿宋" w:eastAsia="仿宋" w:cs="仿宋"/>
          <w:b/>
          <w:bCs/>
          <w:sz w:val="24"/>
          <w:szCs w:val="24"/>
          <w:highlight w:val="none"/>
        </w:rPr>
      </w:pPr>
    </w:p>
    <w:p>
      <w:pPr>
        <w:spacing w:line="360" w:lineRule="auto"/>
        <w:jc w:val="left"/>
        <w:rPr>
          <w:rFonts w:hint="eastAsia" w:ascii="仿宋" w:hAnsi="仿宋" w:eastAsia="仿宋" w:cs="仿宋"/>
          <w:b/>
          <w:highlight w:val="none"/>
          <w:lang w:eastAsia="zh-CN"/>
        </w:rPr>
      </w:pPr>
      <w:r>
        <w:rPr>
          <w:rFonts w:hint="eastAsia" w:ascii="仿宋" w:hAnsi="仿宋" w:eastAsia="仿宋" w:cs="仿宋"/>
          <w:b/>
          <w:bCs/>
          <w:sz w:val="24"/>
          <w:szCs w:val="24"/>
          <w:highlight w:val="none"/>
        </w:rPr>
        <w:t>注：如投标单位为中小企业，须按格式逐项填写，否则评审时不予折扣，非中小企业，投标文件此表不需附。</w:t>
      </w:r>
    </w:p>
    <w:p>
      <w:pPr>
        <w:pStyle w:val="24"/>
        <w:ind w:left="0" w:leftChars="0" w:firstLine="0" w:firstLineChars="0"/>
      </w:pPr>
    </w:p>
    <w:p>
      <w:pPr>
        <w:bidi w:val="0"/>
        <w:jc w:val="center"/>
        <w:rPr>
          <w:rFonts w:hint="eastAsia" w:ascii="仿宋" w:hAnsi="仿宋" w:eastAsia="仿宋" w:cs="仿宋"/>
          <w:b/>
          <w:bCs/>
          <w:color w:val="auto"/>
          <w:sz w:val="28"/>
          <w:szCs w:val="28"/>
          <w:highlight w:val="none"/>
          <w:lang w:val="en-US" w:eastAsia="zh-CN"/>
        </w:rPr>
      </w:pPr>
    </w:p>
    <w:p>
      <w:pPr>
        <w:bidi w:val="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w:t>
      </w:r>
      <w:bookmarkStart w:id="51" w:name="_Toc27316"/>
      <w:bookmarkStart w:id="52" w:name="_Toc17605"/>
      <w:bookmarkStart w:id="53" w:name="_Toc2120"/>
      <w:r>
        <w:rPr>
          <w:rFonts w:hint="eastAsia" w:ascii="仿宋" w:hAnsi="仿宋" w:eastAsia="仿宋" w:cs="仿宋"/>
          <w:b/>
          <w:bCs/>
          <w:color w:val="auto"/>
          <w:sz w:val="28"/>
          <w:szCs w:val="28"/>
          <w:highlight w:val="none"/>
          <w:lang w:val="en-US" w:eastAsia="zh-CN"/>
        </w:rPr>
        <w:t>监狱企业声明函（如有）</w:t>
      </w:r>
      <w:bookmarkEnd w:id="51"/>
      <w:bookmarkEnd w:id="52"/>
      <w:bookmarkEnd w:id="53"/>
    </w:p>
    <w:p>
      <w:pPr>
        <w:pStyle w:val="17"/>
        <w:rPr>
          <w:rFonts w:hint="eastAsia"/>
          <w:lang w:val="en-US" w:eastAsia="zh-CN"/>
        </w:rPr>
      </w:pP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本单位郑重声明，根据《财政部、司法部关于政府采购支持监狱企业发展有关问题的通知》（财库〔2014〕68号）的规定。因本单位</w:t>
      </w:r>
      <w:r>
        <w:rPr>
          <w:rFonts w:hint="eastAsia" w:ascii="仿宋" w:hAnsi="仿宋" w:eastAsia="仿宋" w:cs="仿宋"/>
          <w:b/>
          <w:color w:val="auto"/>
          <w:sz w:val="24"/>
          <w:szCs w:val="24"/>
          <w:highlight w:val="none"/>
          <w:u w:val="single"/>
        </w:rPr>
        <w:t>（符合/不符合）</w:t>
      </w:r>
      <w:r>
        <w:rPr>
          <w:rFonts w:hint="eastAsia" w:ascii="仿宋" w:hAnsi="仿宋" w:eastAsia="仿宋" w:cs="仿宋"/>
          <w:color w:val="auto"/>
          <w:sz w:val="24"/>
          <w:szCs w:val="24"/>
          <w:highlight w:val="none"/>
        </w:rPr>
        <w:t>条件，故本单位为</w:t>
      </w:r>
      <w:r>
        <w:rPr>
          <w:rFonts w:hint="eastAsia" w:ascii="仿宋" w:hAnsi="仿宋" w:eastAsia="仿宋" w:cs="仿宋"/>
          <w:b/>
          <w:color w:val="auto"/>
          <w:sz w:val="24"/>
          <w:szCs w:val="24"/>
          <w:highlight w:val="none"/>
          <w:u w:val="single"/>
        </w:rPr>
        <w:t>（监狱/非监狱）</w:t>
      </w:r>
      <w:r>
        <w:rPr>
          <w:rFonts w:hint="eastAsia" w:ascii="仿宋" w:hAnsi="仿宋" w:eastAsia="仿宋" w:cs="仿宋"/>
          <w:color w:val="auto"/>
          <w:sz w:val="24"/>
          <w:szCs w:val="24"/>
          <w:highlight w:val="none"/>
        </w:rPr>
        <w:t xml:space="preserve">企业。 </w:t>
      </w:r>
    </w:p>
    <w:p>
      <w:pPr>
        <w:spacing w:line="48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pPr>
        <w:pStyle w:val="17"/>
        <w:rPr>
          <w:rFonts w:hint="eastAsia" w:ascii="仿宋" w:hAnsi="仿宋" w:eastAsia="仿宋" w:cs="仿宋"/>
          <w:color w:val="auto"/>
          <w:sz w:val="24"/>
          <w:szCs w:val="24"/>
          <w:highlight w:val="none"/>
        </w:rPr>
      </w:pPr>
    </w:p>
    <w:p>
      <w:pPr>
        <w:tabs>
          <w:tab w:val="left" w:pos="4860"/>
        </w:tabs>
        <w:spacing w:line="360" w:lineRule="auto"/>
        <w:ind w:right="-94" w:firstLine="504" w:firstLineChars="200"/>
        <w:jc w:val="center"/>
        <w:rPr>
          <w:rFonts w:ascii="仿宋" w:hAnsi="仿宋" w:eastAsia="仿宋" w:cs="仿宋"/>
          <w:spacing w:val="6"/>
          <w:sz w:val="24"/>
          <w:szCs w:val="24"/>
        </w:rPr>
      </w:pPr>
      <w:r>
        <w:rPr>
          <w:rFonts w:hint="eastAsia" w:ascii="仿宋" w:hAnsi="仿宋" w:eastAsia="仿宋" w:cs="仿宋"/>
          <w:spacing w:val="6"/>
          <w:sz w:val="24"/>
          <w:szCs w:val="24"/>
        </w:rPr>
        <w:t xml:space="preserve">   单位名称：</w:t>
      </w:r>
      <w:r>
        <w:rPr>
          <w:rFonts w:hint="eastAsia" w:ascii="仿宋" w:hAnsi="仿宋" w:eastAsia="仿宋" w:cs="仿宋"/>
          <w:spacing w:val="6"/>
          <w:sz w:val="24"/>
          <w:szCs w:val="24"/>
          <w:u w:val="single"/>
        </w:rPr>
        <w:t xml:space="preserve">              </w:t>
      </w:r>
      <w:r>
        <w:rPr>
          <w:rFonts w:hint="eastAsia" w:ascii="仿宋" w:hAnsi="仿宋" w:eastAsia="仿宋" w:cs="仿宋"/>
          <w:spacing w:val="6"/>
          <w:sz w:val="24"/>
          <w:szCs w:val="24"/>
        </w:rPr>
        <w:t>（盖单位章）</w:t>
      </w:r>
    </w:p>
    <w:p>
      <w:pPr>
        <w:tabs>
          <w:tab w:val="left" w:pos="4860"/>
        </w:tabs>
        <w:spacing w:line="360" w:lineRule="auto"/>
        <w:ind w:right="1560" w:firstLine="504" w:firstLineChars="200"/>
        <w:jc w:val="center"/>
        <w:rPr>
          <w:rFonts w:ascii="仿宋" w:hAnsi="仿宋" w:eastAsia="仿宋" w:cs="仿宋"/>
          <w:spacing w:val="6"/>
          <w:sz w:val="24"/>
          <w:szCs w:val="24"/>
        </w:rPr>
      </w:pPr>
      <w:r>
        <w:rPr>
          <w:rFonts w:hint="eastAsia" w:ascii="仿宋" w:hAnsi="仿宋" w:eastAsia="仿宋" w:cs="仿宋"/>
          <w:spacing w:val="6"/>
          <w:sz w:val="24"/>
          <w:szCs w:val="24"/>
        </w:rPr>
        <w:t xml:space="preserve"> </w:t>
      </w:r>
    </w:p>
    <w:p>
      <w:pPr>
        <w:pStyle w:val="17"/>
        <w:rPr>
          <w:rFonts w:hint="eastAsia" w:ascii="仿宋" w:hAnsi="仿宋" w:eastAsia="仿宋" w:cs="仿宋"/>
          <w:spacing w:val="6"/>
          <w:sz w:val="24"/>
          <w:szCs w:val="24"/>
        </w:rPr>
      </w:pPr>
      <w:r>
        <w:rPr>
          <w:rFonts w:hint="eastAsia" w:ascii="仿宋" w:hAnsi="仿宋" w:eastAsia="仿宋" w:cs="仿宋"/>
          <w:spacing w:val="6"/>
          <w:sz w:val="24"/>
          <w:szCs w:val="24"/>
        </w:rPr>
        <w:t xml:space="preserve">                            日     期：    年   月  日</w:t>
      </w:r>
    </w:p>
    <w:p>
      <w:pPr>
        <w:pStyle w:val="17"/>
        <w:rPr>
          <w:rFonts w:hint="eastAsia" w:ascii="仿宋" w:hAnsi="仿宋" w:eastAsia="仿宋" w:cs="仿宋"/>
          <w:spacing w:val="6"/>
          <w:sz w:val="24"/>
          <w:szCs w:val="24"/>
        </w:rPr>
      </w:pPr>
    </w:p>
    <w:p>
      <w:pPr>
        <w:pStyle w:val="17"/>
        <w:rPr>
          <w:rFonts w:hint="eastAsia" w:ascii="仿宋" w:hAnsi="仿宋" w:eastAsia="仿宋" w:cs="仿宋"/>
          <w:spacing w:val="6"/>
          <w:sz w:val="24"/>
          <w:szCs w:val="24"/>
        </w:rPr>
      </w:pPr>
    </w:p>
    <w:p>
      <w:pPr>
        <w:pStyle w:val="17"/>
        <w:rPr>
          <w:rFonts w:hint="eastAsia" w:ascii="仿宋" w:hAnsi="仿宋" w:eastAsia="仿宋" w:cs="仿宋"/>
          <w:spacing w:val="6"/>
          <w:sz w:val="24"/>
          <w:szCs w:val="24"/>
        </w:rPr>
      </w:pPr>
    </w:p>
    <w:p>
      <w:pPr>
        <w:spacing w:line="480" w:lineRule="auto"/>
        <w:ind w:firstLine="602" w:firstLineChars="2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监狱企业参加政府采购活动时，应当提供由省级以上监狱管理局、戒毒管理局（含新疆生产建设兵团）出具的属于监狱企业的证明文件。</w:t>
      </w:r>
    </w:p>
    <w:p>
      <w:pPr>
        <w:spacing w:line="480" w:lineRule="auto"/>
        <w:ind w:firstLine="602" w:firstLineChars="2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符合以上规定的投标人填写，不符合的不提供本函。</w:t>
      </w:r>
    </w:p>
    <w:p>
      <w:pPr>
        <w:pStyle w:val="17"/>
        <w:rPr>
          <w:rFonts w:hint="eastAsia"/>
        </w:rPr>
      </w:pPr>
    </w:p>
    <w:p>
      <w:pPr>
        <w:widowControl/>
        <w:spacing w:line="480" w:lineRule="auto"/>
        <w:jc w:val="left"/>
        <w:outlineLvl w:val="9"/>
        <w:rPr>
          <w:sz w:val="32"/>
        </w:rPr>
      </w:pPr>
      <w:r>
        <w:rPr>
          <w:sz w:val="32"/>
        </w:rPr>
        <w:br w:type="page"/>
      </w:r>
    </w:p>
    <w:p>
      <w:pPr>
        <w:bidi w:val="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（三）残疾人福利性单位声明函（如有）</w:t>
      </w:r>
    </w:p>
    <w:p>
      <w:pPr>
        <w:pStyle w:val="17"/>
        <w:rPr>
          <w:rFonts w:hint="eastAsia"/>
          <w:lang w:val="en-US" w:eastAsia="zh-CN"/>
        </w:rPr>
      </w:pPr>
    </w:p>
    <w:p>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单位的</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项目采购活动提供本单位制造的货物（由本单位提供服务），或者提供其他残疾人福利性单位制造的货物（不包括使用非残疾人福利性单位注册商标的货物）。</w:t>
      </w:r>
    </w:p>
    <w:p>
      <w:pPr>
        <w:spacing w:line="48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pPr>
        <w:spacing w:line="480" w:lineRule="auto"/>
        <w:ind w:firstLine="602" w:firstLineChars="25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注：非残疾人福利性单位此声明函可不填写。</w:t>
      </w:r>
    </w:p>
    <w:p>
      <w:pPr>
        <w:spacing w:line="480" w:lineRule="auto"/>
        <w:jc w:val="center"/>
        <w:rPr>
          <w:rFonts w:hint="eastAsia" w:ascii="仿宋" w:hAnsi="仿宋" w:eastAsia="仿宋" w:cs="仿宋"/>
          <w:color w:val="auto"/>
          <w:sz w:val="28"/>
          <w:szCs w:val="28"/>
          <w:highlight w:val="none"/>
        </w:rPr>
      </w:pPr>
    </w:p>
    <w:p>
      <w:pPr>
        <w:spacing w:line="480" w:lineRule="auto"/>
        <w:jc w:val="center"/>
        <w:rPr>
          <w:rFonts w:hint="eastAsia" w:ascii="仿宋" w:hAnsi="仿宋" w:eastAsia="仿宋" w:cs="仿宋"/>
          <w:color w:val="auto"/>
          <w:sz w:val="28"/>
          <w:szCs w:val="28"/>
          <w:highlight w:val="none"/>
        </w:rPr>
      </w:pPr>
    </w:p>
    <w:p>
      <w:pPr>
        <w:tabs>
          <w:tab w:val="left" w:pos="4860"/>
        </w:tabs>
        <w:spacing w:line="360" w:lineRule="auto"/>
        <w:ind w:right="1560" w:firstLine="504" w:firstLineChars="200"/>
        <w:jc w:val="center"/>
        <w:outlineLvl w:val="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lang w:val="en-US" w:eastAsia="zh-CN"/>
        </w:rPr>
        <w:tab/>
      </w:r>
      <w:r>
        <w:rPr>
          <w:rFonts w:hint="eastAsia" w:ascii="仿宋" w:hAnsi="仿宋" w:eastAsia="仿宋" w:cs="仿宋"/>
          <w:spacing w:val="6"/>
          <w:sz w:val="24"/>
          <w:szCs w:val="24"/>
          <w:highlight w:val="none"/>
          <w:lang w:val="en-US" w:eastAsia="zh-CN"/>
        </w:rPr>
        <w:tab/>
      </w:r>
      <w:r>
        <w:rPr>
          <w:rFonts w:hint="eastAsia" w:ascii="仿宋" w:hAnsi="仿宋" w:eastAsia="仿宋" w:cs="仿宋"/>
          <w:spacing w:val="6"/>
          <w:sz w:val="24"/>
          <w:szCs w:val="24"/>
          <w:highlight w:val="none"/>
          <w:lang w:val="en-US" w:eastAsia="zh-CN"/>
        </w:rPr>
        <w:tab/>
      </w:r>
      <w:r>
        <w:rPr>
          <w:rFonts w:hint="eastAsia" w:ascii="仿宋" w:hAnsi="仿宋" w:eastAsia="仿宋" w:cs="仿宋"/>
          <w:spacing w:val="6"/>
          <w:sz w:val="24"/>
          <w:szCs w:val="24"/>
          <w:highlight w:val="none"/>
        </w:rPr>
        <w:t>单位名称（盖章）：</w:t>
      </w:r>
    </w:p>
    <w:p>
      <w:pPr>
        <w:spacing w:line="480" w:lineRule="auto"/>
        <w:jc w:val="center"/>
        <w:rPr>
          <w:rFonts w:hint="eastAsia" w:ascii="仿宋" w:hAnsi="仿宋" w:eastAsia="仿宋" w:cs="仿宋"/>
          <w:color w:val="auto"/>
          <w:sz w:val="28"/>
          <w:szCs w:val="28"/>
          <w:highlight w:val="none"/>
        </w:rPr>
      </w:pPr>
      <w:r>
        <w:rPr>
          <w:rFonts w:hint="eastAsia" w:ascii="仿宋" w:hAnsi="仿宋" w:eastAsia="仿宋" w:cs="仿宋"/>
          <w:spacing w:val="6"/>
          <w:sz w:val="24"/>
          <w:szCs w:val="24"/>
          <w:highlight w:val="none"/>
        </w:rPr>
        <w:t xml:space="preserve">                         日  期：</w:t>
      </w:r>
    </w:p>
    <w:p>
      <w:pPr>
        <w:spacing w:line="48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供应商提供的《残疾人福利性单位声明函》必须真实有效，如果被举报经查实出具虚假声明函的，将被取消投标资格，并按有关规定予以处理。</w:t>
      </w:r>
    </w:p>
    <w:p>
      <w:pPr>
        <w:spacing w:line="48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符合条件的残疾人福利性单位请提供本函，不符合的不提供本函</w:t>
      </w:r>
    </w:p>
    <w:p>
      <w:pPr>
        <w:widowControl/>
        <w:spacing w:line="480" w:lineRule="auto"/>
        <w:jc w:val="left"/>
        <w:outlineLvl w:val="9"/>
        <w:rPr>
          <w:b/>
          <w:bCs/>
          <w:sz w:val="32"/>
          <w:szCs w:val="32"/>
        </w:rPr>
      </w:pPr>
    </w:p>
    <w:p>
      <w:pPr>
        <w:adjustRightInd w:val="0"/>
        <w:snapToGrid w:val="0"/>
        <w:spacing w:before="50" w:line="360" w:lineRule="auto"/>
        <w:jc w:val="center"/>
        <w:rPr>
          <w:rFonts w:ascii="宋体" w:hAnsi="宋体"/>
          <w:b/>
          <w:sz w:val="36"/>
          <w:szCs w:val="36"/>
        </w:rPr>
      </w:pPr>
    </w:p>
    <w:p/>
    <w:p/>
    <w:p>
      <w:pPr>
        <w:rPr>
          <w:rFonts w:hint="eastAsia" w:ascii="宋体" w:hAnsi="宋体"/>
          <w:b/>
          <w:sz w:val="28"/>
          <w:szCs w:val="28"/>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S Gothic">
    <w:panose1 w:val="020B0609070205080204"/>
    <w:charset w:val="80"/>
    <w:family w:val="auto"/>
    <w:pitch w:val="default"/>
    <w:sig w:usb0="E00002FF" w:usb1="6AC7FDFB" w:usb2="00000012" w:usb3="00000000" w:csb0="4002009F" w:csb1="DFD70000"/>
  </w:font>
  <w:font w:name="华文中宋">
    <w:altName w:val="宋体"/>
    <w:panose1 w:val="02010600040101010101"/>
    <w:charset w:val="86"/>
    <w:family w:val="auto"/>
    <w:pitch w:val="default"/>
    <w:sig w:usb0="00000000" w:usb1="00000000" w:usb2="00000000" w:usb3="00000000" w:csb0="0004009F" w:csb1="DFD70000"/>
  </w:font>
  <w:font w:name="方正大标宋简体">
    <w:altName w:val="微软雅黑"/>
    <w:panose1 w:val="02010601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汉仪书宋二S">
    <w:altName w:val="宋体"/>
    <w:panose1 w:val="00020600040101010101"/>
    <w:charset w:val="86"/>
    <w:family w:val="auto"/>
    <w:pitch w:val="default"/>
    <w:sig w:usb0="00000000" w:usb1="00000000" w:usb2="00000016"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pPr>
                      <w:pStyle w:val="1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7"/>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031"/>
        <w:tab w:val="clear" w:pos="4153"/>
      </w:tabs>
      <w:rPr>
        <w:rFonts w:hint="eastAsi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031"/>
        <w:tab w:val="clear" w:pos="4153"/>
      </w:tabs>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- 44 -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- 44 -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21" w:rightChars="-153"/>
      <w:rPr>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6D791"/>
    <w:multiLevelType w:val="singleLevel"/>
    <w:tmpl w:val="8816D791"/>
    <w:lvl w:ilvl="0" w:tentative="0">
      <w:start w:val="1"/>
      <w:numFmt w:val="chineseCounting"/>
      <w:suff w:val="nothing"/>
      <w:lvlText w:val="（%1）"/>
      <w:lvlJc w:val="left"/>
      <w:rPr>
        <w:rFonts w:hint="eastAsia"/>
      </w:rPr>
    </w:lvl>
  </w:abstractNum>
  <w:abstractNum w:abstractNumId="1">
    <w:nsid w:val="8F2242C1"/>
    <w:multiLevelType w:val="singleLevel"/>
    <w:tmpl w:val="8F2242C1"/>
    <w:lvl w:ilvl="0" w:tentative="0">
      <w:start w:val="5"/>
      <w:numFmt w:val="chineseCounting"/>
      <w:suff w:val="space"/>
      <w:lvlText w:val="第%1章"/>
      <w:lvlJc w:val="left"/>
      <w:rPr>
        <w:rFonts w:hint="eastAsia"/>
      </w:rPr>
    </w:lvl>
  </w:abstractNum>
  <w:abstractNum w:abstractNumId="2">
    <w:nsid w:val="9A0B3695"/>
    <w:multiLevelType w:val="singleLevel"/>
    <w:tmpl w:val="9A0B3695"/>
    <w:lvl w:ilvl="0" w:tentative="0">
      <w:start w:val="1"/>
      <w:numFmt w:val="chineseCounting"/>
      <w:suff w:val="nothing"/>
      <w:lvlText w:val="%1、"/>
      <w:lvlJc w:val="left"/>
      <w:rPr>
        <w:rFonts w:hint="eastAsia"/>
      </w:rPr>
    </w:lvl>
  </w:abstractNum>
  <w:abstractNum w:abstractNumId="3">
    <w:nsid w:val="A80711AF"/>
    <w:multiLevelType w:val="singleLevel"/>
    <w:tmpl w:val="A80711AF"/>
    <w:lvl w:ilvl="0" w:tentative="0">
      <w:start w:val="2"/>
      <w:numFmt w:val="chineseCounting"/>
      <w:suff w:val="space"/>
      <w:lvlText w:val="第%1章"/>
      <w:lvlJc w:val="left"/>
      <w:rPr>
        <w:rFonts w:hint="eastAsia"/>
      </w:rPr>
    </w:lvl>
  </w:abstractNum>
  <w:abstractNum w:abstractNumId="4">
    <w:nsid w:val="AB916F1B"/>
    <w:multiLevelType w:val="singleLevel"/>
    <w:tmpl w:val="AB916F1B"/>
    <w:lvl w:ilvl="0" w:tentative="0">
      <w:start w:val="1"/>
      <w:numFmt w:val="chineseCounting"/>
      <w:suff w:val="nothing"/>
      <w:lvlText w:val="%1、"/>
      <w:lvlJc w:val="left"/>
      <w:rPr>
        <w:rFonts w:hint="eastAsia"/>
      </w:rPr>
    </w:lvl>
  </w:abstractNum>
  <w:abstractNum w:abstractNumId="5">
    <w:nsid w:val="C220970B"/>
    <w:multiLevelType w:val="singleLevel"/>
    <w:tmpl w:val="C220970B"/>
    <w:lvl w:ilvl="0" w:tentative="0">
      <w:start w:val="2"/>
      <w:numFmt w:val="decimal"/>
      <w:suff w:val="nothing"/>
      <w:lvlText w:val="%1、"/>
      <w:lvlJc w:val="left"/>
    </w:lvl>
  </w:abstractNum>
  <w:abstractNum w:abstractNumId="6">
    <w:nsid w:val="0000000E"/>
    <w:multiLevelType w:val="singleLevel"/>
    <w:tmpl w:val="0000000E"/>
    <w:lvl w:ilvl="0" w:tentative="0">
      <w:start w:val="2"/>
      <w:numFmt w:val="decimal"/>
      <w:suff w:val="nothing"/>
      <w:lvlText w:val="%1）"/>
      <w:lvlJc w:val="left"/>
    </w:lvl>
  </w:abstractNum>
  <w:abstractNum w:abstractNumId="7">
    <w:nsid w:val="0000001F"/>
    <w:multiLevelType w:val="singleLevel"/>
    <w:tmpl w:val="0000001F"/>
    <w:lvl w:ilvl="0" w:tentative="0">
      <w:start w:val="1"/>
      <w:numFmt w:val="decimal"/>
      <w:pStyle w:val="50"/>
      <w:lvlText w:val="%1．"/>
      <w:lvlJc w:val="left"/>
      <w:pPr>
        <w:tabs>
          <w:tab w:val="left" w:pos="720"/>
        </w:tabs>
        <w:ind w:left="720" w:hanging="720"/>
      </w:pPr>
    </w:lvl>
  </w:abstractNum>
  <w:abstractNum w:abstractNumId="8">
    <w:nsid w:val="003A01C5"/>
    <w:multiLevelType w:val="singleLevel"/>
    <w:tmpl w:val="003A01C5"/>
    <w:lvl w:ilvl="0" w:tentative="0">
      <w:start w:val="2"/>
      <w:numFmt w:val="chineseCounting"/>
      <w:suff w:val="nothing"/>
      <w:lvlText w:val="（%1）"/>
      <w:lvlJc w:val="left"/>
      <w:rPr>
        <w:rFonts w:hint="eastAsia"/>
      </w:rPr>
    </w:lvl>
  </w:abstractNum>
  <w:abstractNum w:abstractNumId="9">
    <w:nsid w:val="34D9309C"/>
    <w:multiLevelType w:val="singleLevel"/>
    <w:tmpl w:val="34D9309C"/>
    <w:lvl w:ilvl="0" w:tentative="0">
      <w:start w:val="1"/>
      <w:numFmt w:val="decimal"/>
      <w:suff w:val="nothing"/>
      <w:lvlText w:val="%1、"/>
      <w:lvlJc w:val="left"/>
    </w:lvl>
  </w:abstractNum>
  <w:abstractNum w:abstractNumId="10">
    <w:nsid w:val="5A5C05C4"/>
    <w:multiLevelType w:val="singleLevel"/>
    <w:tmpl w:val="5A5C05C4"/>
    <w:lvl w:ilvl="0" w:tentative="0">
      <w:start w:val="1"/>
      <w:numFmt w:val="chineseCounting"/>
      <w:suff w:val="nothing"/>
      <w:lvlText w:val="%1、"/>
      <w:lvlJc w:val="left"/>
    </w:lvl>
  </w:abstractNum>
  <w:abstractNum w:abstractNumId="11">
    <w:nsid w:val="5A5C15F4"/>
    <w:multiLevelType w:val="singleLevel"/>
    <w:tmpl w:val="5A5C15F4"/>
    <w:lvl w:ilvl="0" w:tentative="0">
      <w:start w:val="1"/>
      <w:numFmt w:val="chineseCounting"/>
      <w:suff w:val="nothing"/>
      <w:lvlText w:val="（%1）"/>
      <w:lvlJc w:val="left"/>
    </w:lvl>
  </w:abstractNum>
  <w:abstractNum w:abstractNumId="12">
    <w:nsid w:val="5A5C1F4D"/>
    <w:multiLevelType w:val="singleLevel"/>
    <w:tmpl w:val="5A5C1F4D"/>
    <w:lvl w:ilvl="0" w:tentative="0">
      <w:start w:val="1"/>
      <w:numFmt w:val="chineseCounting"/>
      <w:suff w:val="nothing"/>
      <w:lvlText w:val="（%1）"/>
      <w:lvlJc w:val="left"/>
    </w:lvl>
  </w:abstractNum>
  <w:abstractNum w:abstractNumId="13">
    <w:nsid w:val="5A5D5740"/>
    <w:multiLevelType w:val="singleLevel"/>
    <w:tmpl w:val="5A5D5740"/>
    <w:lvl w:ilvl="0" w:tentative="0">
      <w:start w:val="1"/>
      <w:numFmt w:val="decimal"/>
      <w:suff w:val="nothing"/>
      <w:lvlText w:val="%1、"/>
      <w:lvlJc w:val="left"/>
    </w:lvl>
  </w:abstractNum>
  <w:abstractNum w:abstractNumId="14">
    <w:nsid w:val="5A5D6497"/>
    <w:multiLevelType w:val="singleLevel"/>
    <w:tmpl w:val="5A5D6497"/>
    <w:lvl w:ilvl="0" w:tentative="0">
      <w:start w:val="1"/>
      <w:numFmt w:val="chineseCounting"/>
      <w:suff w:val="nothing"/>
      <w:lvlText w:val="（%1）"/>
      <w:lvlJc w:val="left"/>
    </w:lvl>
  </w:abstractNum>
  <w:abstractNum w:abstractNumId="15">
    <w:nsid w:val="7D884B97"/>
    <w:multiLevelType w:val="singleLevel"/>
    <w:tmpl w:val="7D884B97"/>
    <w:lvl w:ilvl="0" w:tentative="0">
      <w:start w:val="1"/>
      <w:numFmt w:val="decimal"/>
      <w:suff w:val="nothing"/>
      <w:lvlText w:val="（%1）"/>
      <w:lvlJc w:val="left"/>
    </w:lvl>
  </w:abstractNum>
  <w:num w:numId="1">
    <w:abstractNumId w:val="7"/>
  </w:num>
  <w:num w:numId="2">
    <w:abstractNumId w:val="3"/>
  </w:num>
  <w:num w:numId="3">
    <w:abstractNumId w:val="9"/>
  </w:num>
  <w:num w:numId="4">
    <w:abstractNumId w:val="15"/>
  </w:num>
  <w:num w:numId="5">
    <w:abstractNumId w:val="8"/>
  </w:num>
  <w:num w:numId="6">
    <w:abstractNumId w:val="6"/>
  </w:num>
  <w:num w:numId="7">
    <w:abstractNumId w:val="10"/>
  </w:num>
  <w:num w:numId="8">
    <w:abstractNumId w:val="11"/>
  </w:num>
  <w:num w:numId="9">
    <w:abstractNumId w:val="12"/>
  </w:num>
  <w:num w:numId="10">
    <w:abstractNumId w:val="13"/>
  </w:num>
  <w:num w:numId="11">
    <w:abstractNumId w:val="14"/>
  </w:num>
  <w:num w:numId="12">
    <w:abstractNumId w:val="2"/>
  </w:num>
  <w:num w:numId="13">
    <w:abstractNumId w:val="0"/>
  </w:num>
  <w:num w:numId="14">
    <w:abstractNumId w:val="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0YjA4YjIwNDE2YjI1Y2ZmOGIwYzk5MTgwN2U0N2IifQ=="/>
  </w:docVars>
  <w:rsids>
    <w:rsidRoot w:val="00172A27"/>
    <w:rsid w:val="00172A27"/>
    <w:rsid w:val="00267055"/>
    <w:rsid w:val="003C6770"/>
    <w:rsid w:val="003F707F"/>
    <w:rsid w:val="00401F77"/>
    <w:rsid w:val="00435E0F"/>
    <w:rsid w:val="005B7163"/>
    <w:rsid w:val="00611A70"/>
    <w:rsid w:val="0095224A"/>
    <w:rsid w:val="00E36B8C"/>
    <w:rsid w:val="00E83E01"/>
    <w:rsid w:val="00FE3A99"/>
    <w:rsid w:val="012F3858"/>
    <w:rsid w:val="01472CC0"/>
    <w:rsid w:val="015B0367"/>
    <w:rsid w:val="017956BE"/>
    <w:rsid w:val="01B807CA"/>
    <w:rsid w:val="02652B70"/>
    <w:rsid w:val="028E21B9"/>
    <w:rsid w:val="02FF14A1"/>
    <w:rsid w:val="032A0558"/>
    <w:rsid w:val="03381FC2"/>
    <w:rsid w:val="036D62EE"/>
    <w:rsid w:val="038F676A"/>
    <w:rsid w:val="03DA3D37"/>
    <w:rsid w:val="03F24B22"/>
    <w:rsid w:val="04011D9C"/>
    <w:rsid w:val="05182A48"/>
    <w:rsid w:val="05D02B81"/>
    <w:rsid w:val="05D55F76"/>
    <w:rsid w:val="066909AB"/>
    <w:rsid w:val="068A4760"/>
    <w:rsid w:val="06E12694"/>
    <w:rsid w:val="06F113C0"/>
    <w:rsid w:val="07202074"/>
    <w:rsid w:val="078C7D61"/>
    <w:rsid w:val="07FA7EA1"/>
    <w:rsid w:val="087B32CA"/>
    <w:rsid w:val="09330589"/>
    <w:rsid w:val="09716CC1"/>
    <w:rsid w:val="0AF56A87"/>
    <w:rsid w:val="0B63416C"/>
    <w:rsid w:val="0C34499A"/>
    <w:rsid w:val="0C83280E"/>
    <w:rsid w:val="0D326015"/>
    <w:rsid w:val="0E283D01"/>
    <w:rsid w:val="0ECC12D1"/>
    <w:rsid w:val="0F0772F5"/>
    <w:rsid w:val="0F381499"/>
    <w:rsid w:val="0F714502"/>
    <w:rsid w:val="0FAF2C1E"/>
    <w:rsid w:val="0FD50CBC"/>
    <w:rsid w:val="0FF81F3D"/>
    <w:rsid w:val="10632421"/>
    <w:rsid w:val="10662A09"/>
    <w:rsid w:val="11C819F1"/>
    <w:rsid w:val="121C2975"/>
    <w:rsid w:val="1251211F"/>
    <w:rsid w:val="133A133D"/>
    <w:rsid w:val="13402AAE"/>
    <w:rsid w:val="13C11660"/>
    <w:rsid w:val="143B4BF9"/>
    <w:rsid w:val="14AC4245"/>
    <w:rsid w:val="14B5624E"/>
    <w:rsid w:val="14D61F11"/>
    <w:rsid w:val="157306F8"/>
    <w:rsid w:val="15BB5BFB"/>
    <w:rsid w:val="15C97F83"/>
    <w:rsid w:val="17223588"/>
    <w:rsid w:val="17BE131D"/>
    <w:rsid w:val="18064C76"/>
    <w:rsid w:val="18963AB3"/>
    <w:rsid w:val="18AC61EB"/>
    <w:rsid w:val="199275A7"/>
    <w:rsid w:val="19EA713B"/>
    <w:rsid w:val="1B855047"/>
    <w:rsid w:val="1BDA5679"/>
    <w:rsid w:val="1D832D1B"/>
    <w:rsid w:val="1DB81756"/>
    <w:rsid w:val="1E2E11D5"/>
    <w:rsid w:val="1E851EC5"/>
    <w:rsid w:val="1F714F4F"/>
    <w:rsid w:val="1F723023"/>
    <w:rsid w:val="1F8519CE"/>
    <w:rsid w:val="1FAD0CAB"/>
    <w:rsid w:val="1FBF1FDE"/>
    <w:rsid w:val="1FEB7CE4"/>
    <w:rsid w:val="1FF61994"/>
    <w:rsid w:val="20963FD2"/>
    <w:rsid w:val="20A32951"/>
    <w:rsid w:val="22EE069E"/>
    <w:rsid w:val="22F07798"/>
    <w:rsid w:val="23A6106C"/>
    <w:rsid w:val="23D8425C"/>
    <w:rsid w:val="240D391C"/>
    <w:rsid w:val="24654B8B"/>
    <w:rsid w:val="24C97FFB"/>
    <w:rsid w:val="24F36DF1"/>
    <w:rsid w:val="25654BF9"/>
    <w:rsid w:val="25CA2AC6"/>
    <w:rsid w:val="260F714C"/>
    <w:rsid w:val="26DA704E"/>
    <w:rsid w:val="27521E32"/>
    <w:rsid w:val="27546750"/>
    <w:rsid w:val="27EC0CAA"/>
    <w:rsid w:val="28BB6AFD"/>
    <w:rsid w:val="29CA2F90"/>
    <w:rsid w:val="29D95E78"/>
    <w:rsid w:val="2A2474E2"/>
    <w:rsid w:val="2A30713D"/>
    <w:rsid w:val="2A813D65"/>
    <w:rsid w:val="2AD96156"/>
    <w:rsid w:val="2B231E21"/>
    <w:rsid w:val="2BAD264D"/>
    <w:rsid w:val="2C53467C"/>
    <w:rsid w:val="2C6F15B0"/>
    <w:rsid w:val="2CA50CAA"/>
    <w:rsid w:val="2DD24E04"/>
    <w:rsid w:val="2DE93A97"/>
    <w:rsid w:val="306D2CB5"/>
    <w:rsid w:val="308A63FF"/>
    <w:rsid w:val="30DD29F2"/>
    <w:rsid w:val="31274E1E"/>
    <w:rsid w:val="319318A7"/>
    <w:rsid w:val="31E92469"/>
    <w:rsid w:val="32A00F2D"/>
    <w:rsid w:val="32A66E23"/>
    <w:rsid w:val="32C768D4"/>
    <w:rsid w:val="33615BDC"/>
    <w:rsid w:val="33C51FF3"/>
    <w:rsid w:val="346D1752"/>
    <w:rsid w:val="34D862CC"/>
    <w:rsid w:val="351A24E7"/>
    <w:rsid w:val="35233101"/>
    <w:rsid w:val="35410B17"/>
    <w:rsid w:val="35861510"/>
    <w:rsid w:val="35B82AA8"/>
    <w:rsid w:val="35D356C0"/>
    <w:rsid w:val="35E96C3F"/>
    <w:rsid w:val="370A3BF4"/>
    <w:rsid w:val="37A60136"/>
    <w:rsid w:val="37D51ACE"/>
    <w:rsid w:val="39B05B15"/>
    <w:rsid w:val="39C0439E"/>
    <w:rsid w:val="39D96C03"/>
    <w:rsid w:val="3A0642DB"/>
    <w:rsid w:val="3A5F76FE"/>
    <w:rsid w:val="3A881467"/>
    <w:rsid w:val="3AC014F0"/>
    <w:rsid w:val="3B0D4800"/>
    <w:rsid w:val="3B48618B"/>
    <w:rsid w:val="3B4E6DB7"/>
    <w:rsid w:val="3BF00D0C"/>
    <w:rsid w:val="3C612B89"/>
    <w:rsid w:val="3C681EFA"/>
    <w:rsid w:val="3CB23617"/>
    <w:rsid w:val="3CD16567"/>
    <w:rsid w:val="3CD67F5C"/>
    <w:rsid w:val="3D2B1EF0"/>
    <w:rsid w:val="3DAF5262"/>
    <w:rsid w:val="3DEA05ED"/>
    <w:rsid w:val="3E8406EA"/>
    <w:rsid w:val="3E961EE4"/>
    <w:rsid w:val="3E9A1FA2"/>
    <w:rsid w:val="3ED40781"/>
    <w:rsid w:val="3F4978CC"/>
    <w:rsid w:val="40054222"/>
    <w:rsid w:val="403B26BF"/>
    <w:rsid w:val="40504184"/>
    <w:rsid w:val="407D3C89"/>
    <w:rsid w:val="409A2128"/>
    <w:rsid w:val="40F96549"/>
    <w:rsid w:val="412A241B"/>
    <w:rsid w:val="41FF7485"/>
    <w:rsid w:val="424A0073"/>
    <w:rsid w:val="424F14CB"/>
    <w:rsid w:val="42882097"/>
    <w:rsid w:val="42DE4B54"/>
    <w:rsid w:val="438F3935"/>
    <w:rsid w:val="43E216AD"/>
    <w:rsid w:val="443127FD"/>
    <w:rsid w:val="447A77FD"/>
    <w:rsid w:val="447E5BD1"/>
    <w:rsid w:val="447E7078"/>
    <w:rsid w:val="44A96429"/>
    <w:rsid w:val="44BB10C2"/>
    <w:rsid w:val="450114C5"/>
    <w:rsid w:val="45F0737F"/>
    <w:rsid w:val="46355B6B"/>
    <w:rsid w:val="46873259"/>
    <w:rsid w:val="47256702"/>
    <w:rsid w:val="4866689E"/>
    <w:rsid w:val="48717829"/>
    <w:rsid w:val="493C1ACD"/>
    <w:rsid w:val="4AAA72C4"/>
    <w:rsid w:val="4B8160ED"/>
    <w:rsid w:val="4BA72FB4"/>
    <w:rsid w:val="4C723FEC"/>
    <w:rsid w:val="4CA45AF7"/>
    <w:rsid w:val="4CAD0BAC"/>
    <w:rsid w:val="4D1B0752"/>
    <w:rsid w:val="4DA42E3E"/>
    <w:rsid w:val="4E1D0557"/>
    <w:rsid w:val="4E8E29F3"/>
    <w:rsid w:val="4EA2097E"/>
    <w:rsid w:val="4ED00884"/>
    <w:rsid w:val="4EEE1854"/>
    <w:rsid w:val="507903C6"/>
    <w:rsid w:val="50A6165E"/>
    <w:rsid w:val="50AB184B"/>
    <w:rsid w:val="51100F2D"/>
    <w:rsid w:val="513C50E8"/>
    <w:rsid w:val="51A800FD"/>
    <w:rsid w:val="51C05DF1"/>
    <w:rsid w:val="529D41C2"/>
    <w:rsid w:val="52CB4D9D"/>
    <w:rsid w:val="52DA3949"/>
    <w:rsid w:val="52F13991"/>
    <w:rsid w:val="52F90325"/>
    <w:rsid w:val="530230BE"/>
    <w:rsid w:val="530304D5"/>
    <w:rsid w:val="53BF1DED"/>
    <w:rsid w:val="53F658CF"/>
    <w:rsid w:val="54513AB7"/>
    <w:rsid w:val="54714599"/>
    <w:rsid w:val="54E34890"/>
    <w:rsid w:val="550610E6"/>
    <w:rsid w:val="5557649B"/>
    <w:rsid w:val="556B6A0E"/>
    <w:rsid w:val="55E55E95"/>
    <w:rsid w:val="56307F1D"/>
    <w:rsid w:val="566118CC"/>
    <w:rsid w:val="56887B71"/>
    <w:rsid w:val="578A6A3D"/>
    <w:rsid w:val="57AF4A2D"/>
    <w:rsid w:val="57BD712A"/>
    <w:rsid w:val="57E76427"/>
    <w:rsid w:val="58624313"/>
    <w:rsid w:val="589231AE"/>
    <w:rsid w:val="58984C08"/>
    <w:rsid w:val="58DD7B76"/>
    <w:rsid w:val="593171CA"/>
    <w:rsid w:val="59527A1D"/>
    <w:rsid w:val="596A073D"/>
    <w:rsid w:val="59BF0FEB"/>
    <w:rsid w:val="5A104D79"/>
    <w:rsid w:val="5A5217A5"/>
    <w:rsid w:val="5AA956E4"/>
    <w:rsid w:val="5B734B9C"/>
    <w:rsid w:val="5B8A5421"/>
    <w:rsid w:val="5BE61E70"/>
    <w:rsid w:val="5C530A8C"/>
    <w:rsid w:val="5D0228D3"/>
    <w:rsid w:val="5DB03139"/>
    <w:rsid w:val="5DF27291"/>
    <w:rsid w:val="5DFF2579"/>
    <w:rsid w:val="5E0E0A85"/>
    <w:rsid w:val="5E590139"/>
    <w:rsid w:val="5ED370DF"/>
    <w:rsid w:val="5F8D4901"/>
    <w:rsid w:val="60664297"/>
    <w:rsid w:val="60BA74A1"/>
    <w:rsid w:val="61556623"/>
    <w:rsid w:val="616731FF"/>
    <w:rsid w:val="618C7D31"/>
    <w:rsid w:val="62380440"/>
    <w:rsid w:val="627F21E0"/>
    <w:rsid w:val="62B859AC"/>
    <w:rsid w:val="63AE4F8A"/>
    <w:rsid w:val="64651B65"/>
    <w:rsid w:val="64BA2A51"/>
    <w:rsid w:val="64E90691"/>
    <w:rsid w:val="65D5227D"/>
    <w:rsid w:val="65E54338"/>
    <w:rsid w:val="66D84BA3"/>
    <w:rsid w:val="66FD56DB"/>
    <w:rsid w:val="678D2023"/>
    <w:rsid w:val="688C36E7"/>
    <w:rsid w:val="68A31AB2"/>
    <w:rsid w:val="68C40040"/>
    <w:rsid w:val="698E526D"/>
    <w:rsid w:val="6A2F6DE1"/>
    <w:rsid w:val="6ACF6E07"/>
    <w:rsid w:val="6AF644FA"/>
    <w:rsid w:val="6B0C5BF9"/>
    <w:rsid w:val="6B233BB6"/>
    <w:rsid w:val="6B4E428B"/>
    <w:rsid w:val="6C0D10CA"/>
    <w:rsid w:val="6C16562E"/>
    <w:rsid w:val="6CB423CE"/>
    <w:rsid w:val="6D196069"/>
    <w:rsid w:val="6D2C33FF"/>
    <w:rsid w:val="6D305EC5"/>
    <w:rsid w:val="6D3B3E5D"/>
    <w:rsid w:val="6D3C0118"/>
    <w:rsid w:val="6D4A2C62"/>
    <w:rsid w:val="6D9F6F50"/>
    <w:rsid w:val="6E7C32EF"/>
    <w:rsid w:val="6E96710E"/>
    <w:rsid w:val="6F1C2D0B"/>
    <w:rsid w:val="6F484F7F"/>
    <w:rsid w:val="6F7C326E"/>
    <w:rsid w:val="6F7C6609"/>
    <w:rsid w:val="6F875978"/>
    <w:rsid w:val="70B6742B"/>
    <w:rsid w:val="71017ADB"/>
    <w:rsid w:val="72083CFD"/>
    <w:rsid w:val="722F6C2A"/>
    <w:rsid w:val="725A21C1"/>
    <w:rsid w:val="72A22F46"/>
    <w:rsid w:val="73155B1C"/>
    <w:rsid w:val="73265870"/>
    <w:rsid w:val="73400906"/>
    <w:rsid w:val="73462BAB"/>
    <w:rsid w:val="73626CC3"/>
    <w:rsid w:val="73F05464"/>
    <w:rsid w:val="747D4C3C"/>
    <w:rsid w:val="74E90663"/>
    <w:rsid w:val="75143C3F"/>
    <w:rsid w:val="753C3F14"/>
    <w:rsid w:val="75986EAD"/>
    <w:rsid w:val="759B3924"/>
    <w:rsid w:val="75D9184B"/>
    <w:rsid w:val="75E17EDC"/>
    <w:rsid w:val="765A17CC"/>
    <w:rsid w:val="77497F44"/>
    <w:rsid w:val="77EC39D3"/>
    <w:rsid w:val="77FE3990"/>
    <w:rsid w:val="791A3440"/>
    <w:rsid w:val="79B51ABF"/>
    <w:rsid w:val="7A534C1E"/>
    <w:rsid w:val="7A58553D"/>
    <w:rsid w:val="7B61243E"/>
    <w:rsid w:val="7BF9233D"/>
    <w:rsid w:val="7C081039"/>
    <w:rsid w:val="7C7435A2"/>
    <w:rsid w:val="7CAF759C"/>
    <w:rsid w:val="7D52615C"/>
    <w:rsid w:val="7D735168"/>
    <w:rsid w:val="7DB00A54"/>
    <w:rsid w:val="7E0563F3"/>
    <w:rsid w:val="7E383460"/>
    <w:rsid w:val="7EE03EBA"/>
    <w:rsid w:val="7F466C9F"/>
    <w:rsid w:val="7F904CDA"/>
    <w:rsid w:val="7FE1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autoRedefine/>
    <w:qFormat/>
    <w:uiPriority w:val="99"/>
    <w:pPr>
      <w:keepNext/>
      <w:keepLines/>
      <w:spacing w:before="120" w:after="120" w:line="360" w:lineRule="auto"/>
      <w:jc w:val="center"/>
      <w:outlineLvl w:val="1"/>
    </w:pPr>
    <w:rPr>
      <w:rFonts w:ascii="Arial" w:hAnsi="Arial"/>
      <w:b/>
      <w:bCs/>
      <w:sz w:val="36"/>
      <w:szCs w:val="32"/>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adjustRightInd w:val="0"/>
      <w:spacing w:before="280" w:after="290" w:line="376" w:lineRule="atLeast"/>
      <w:outlineLvl w:val="3"/>
    </w:pPr>
    <w:rPr>
      <w:rFonts w:ascii="Arial" w:hAnsi="Arial" w:eastAsia="黑体"/>
      <w:b/>
      <w:kern w:val="0"/>
      <w:sz w:val="28"/>
    </w:rPr>
  </w:style>
  <w:style w:type="paragraph" w:styleId="6">
    <w:name w:val="heading 6"/>
    <w:basedOn w:val="1"/>
    <w:next w:val="1"/>
    <w:autoRedefine/>
    <w:qFormat/>
    <w:uiPriority w:val="99"/>
    <w:pPr>
      <w:keepNext/>
      <w:keepLines/>
      <w:spacing w:before="240" w:after="64" w:line="320" w:lineRule="auto"/>
      <w:outlineLvl w:val="5"/>
    </w:pPr>
    <w:rPr>
      <w:rFonts w:ascii="Calibri Light" w:hAnsi="Calibri Light"/>
      <w:b/>
      <w:bCs/>
      <w:sz w:val="24"/>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8"/>
    <w:autoRedefine/>
    <w:qFormat/>
    <w:uiPriority w:val="99"/>
    <w:pPr>
      <w:ind w:firstLine="420" w:firstLineChars="200"/>
    </w:pPr>
    <w:rPr>
      <w:rFonts w:ascii="仿宋_GB2312" w:eastAsia="仿宋_GB2312" w:cs="仿宋_GB2312"/>
    </w:rPr>
  </w:style>
  <w:style w:type="paragraph" w:styleId="8">
    <w:name w:val="toc 4"/>
    <w:basedOn w:val="1"/>
    <w:next w:val="1"/>
    <w:autoRedefine/>
    <w:qFormat/>
    <w:uiPriority w:val="0"/>
    <w:pPr>
      <w:ind w:left="1260" w:leftChars="600"/>
    </w:pPr>
    <w:rPr>
      <w:rFonts w:ascii="Times New Roman" w:hAnsi="Times New Roman" w:eastAsia="宋体" w:cs="Times New Roman"/>
    </w:rPr>
  </w:style>
  <w:style w:type="paragraph" w:styleId="9">
    <w:name w:val="Document Map"/>
    <w:basedOn w:val="1"/>
    <w:autoRedefine/>
    <w:qFormat/>
    <w:uiPriority w:val="0"/>
    <w:pPr>
      <w:shd w:val="clear" w:color="auto" w:fill="000080"/>
    </w:pPr>
  </w:style>
  <w:style w:type="paragraph" w:styleId="10">
    <w:name w:val="toa heading"/>
    <w:basedOn w:val="1"/>
    <w:next w:val="1"/>
    <w:autoRedefine/>
    <w:unhideWhenUsed/>
    <w:qFormat/>
    <w:uiPriority w:val="99"/>
    <w:pPr>
      <w:spacing w:before="120"/>
    </w:pPr>
    <w:rPr>
      <w:rFonts w:ascii="Cambria" w:hAnsi="Cambria"/>
      <w:sz w:val="24"/>
      <w:szCs w:val="24"/>
    </w:rPr>
  </w:style>
  <w:style w:type="paragraph" w:styleId="11">
    <w:name w:val="annotation text"/>
    <w:basedOn w:val="1"/>
    <w:link w:val="55"/>
    <w:autoRedefine/>
    <w:qFormat/>
    <w:uiPriority w:val="0"/>
    <w:pPr>
      <w:jc w:val="left"/>
    </w:pPr>
  </w:style>
  <w:style w:type="paragraph" w:styleId="12">
    <w:name w:val="Body Text"/>
    <w:basedOn w:val="1"/>
    <w:next w:val="1"/>
    <w:autoRedefine/>
    <w:unhideWhenUsed/>
    <w:qFormat/>
    <w:uiPriority w:val="1"/>
    <w:pPr>
      <w:spacing w:after="120"/>
    </w:pPr>
  </w:style>
  <w:style w:type="paragraph" w:styleId="13">
    <w:name w:val="Body Text Indent"/>
    <w:basedOn w:val="1"/>
    <w:autoRedefine/>
    <w:unhideWhenUsed/>
    <w:qFormat/>
    <w:uiPriority w:val="99"/>
    <w:pPr>
      <w:spacing w:after="120"/>
      <w:ind w:left="420" w:leftChars="200"/>
    </w:pPr>
  </w:style>
  <w:style w:type="paragraph" w:styleId="14">
    <w:name w:val="Block Text"/>
    <w:basedOn w:val="1"/>
    <w:autoRedefine/>
    <w:qFormat/>
    <w:uiPriority w:val="0"/>
    <w:pPr>
      <w:ind w:left="420" w:leftChars="200" w:right="-70" w:rightChars="-70" w:firstLine="560" w:firstLineChars="200"/>
    </w:pPr>
    <w:rPr>
      <w:rFonts w:ascii="楷体_GB2312" w:eastAsia="楷体_GB2312"/>
      <w:sz w:val="28"/>
      <w:szCs w:val="20"/>
    </w:rPr>
  </w:style>
  <w:style w:type="paragraph" w:styleId="15">
    <w:name w:val="Plain Text"/>
    <w:basedOn w:val="1"/>
    <w:autoRedefine/>
    <w:qFormat/>
    <w:uiPriority w:val="99"/>
    <w:rPr>
      <w:rFonts w:ascii="宋体" w:hAnsi="Courier New"/>
      <w:szCs w:val="21"/>
    </w:rPr>
  </w:style>
  <w:style w:type="paragraph" w:styleId="16">
    <w:name w:val="Balloon Text"/>
    <w:basedOn w:val="1"/>
    <w:link w:val="58"/>
    <w:autoRedefine/>
    <w:qFormat/>
    <w:uiPriority w:val="0"/>
    <w:rPr>
      <w:sz w:val="18"/>
      <w:szCs w:val="18"/>
    </w:rPr>
  </w:style>
  <w:style w:type="paragraph" w:styleId="17">
    <w:name w:val="footer"/>
    <w:basedOn w:val="1"/>
    <w:autoRedefine/>
    <w:unhideWhenUsed/>
    <w:qFormat/>
    <w:uiPriority w:val="99"/>
    <w:pPr>
      <w:tabs>
        <w:tab w:val="center" w:pos="4153"/>
        <w:tab w:val="right" w:pos="8306"/>
      </w:tabs>
      <w:snapToGrid w:val="0"/>
      <w:jc w:val="left"/>
    </w:pPr>
    <w:rPr>
      <w:sz w:val="18"/>
      <w:szCs w:val="18"/>
    </w:rPr>
  </w:style>
  <w:style w:type="paragraph" w:styleId="1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0"/>
  </w:style>
  <w:style w:type="paragraph" w:styleId="20">
    <w:name w:val="Body Text Indent 3"/>
    <w:basedOn w:val="1"/>
    <w:autoRedefine/>
    <w:qFormat/>
    <w:uiPriority w:val="0"/>
    <w:pPr>
      <w:spacing w:line="410" w:lineRule="exact"/>
      <w:ind w:left="619" w:leftChars="295" w:firstLine="390" w:firstLineChars="179"/>
    </w:pPr>
    <w:rPr>
      <w:rFonts w:ascii="宋体" w:hAnsi="宋体"/>
      <w:spacing w:val="4"/>
      <w:kern w:val="0"/>
      <w:sz w:val="20"/>
      <w:szCs w:val="20"/>
    </w:rPr>
  </w:style>
  <w:style w:type="paragraph" w:styleId="21">
    <w:name w:val="Normal (Web)"/>
    <w:basedOn w:val="1"/>
    <w:autoRedefine/>
    <w:qFormat/>
    <w:uiPriority w:val="0"/>
    <w:pPr>
      <w:spacing w:before="100" w:beforeAutospacing="1" w:after="100" w:afterAutospacing="1"/>
      <w:jc w:val="left"/>
    </w:pPr>
    <w:rPr>
      <w:kern w:val="0"/>
      <w:sz w:val="24"/>
    </w:rPr>
  </w:style>
  <w:style w:type="paragraph" w:styleId="22">
    <w:name w:val="Title"/>
    <w:basedOn w:val="1"/>
    <w:next w:val="1"/>
    <w:autoRedefine/>
    <w:qFormat/>
    <w:uiPriority w:val="0"/>
    <w:pPr>
      <w:spacing w:before="240" w:after="60"/>
      <w:jc w:val="center"/>
      <w:outlineLvl w:val="0"/>
    </w:pPr>
    <w:rPr>
      <w:rFonts w:ascii="Cambria" w:hAnsi="Cambria"/>
      <w:b/>
      <w:sz w:val="32"/>
      <w:szCs w:val="20"/>
    </w:rPr>
  </w:style>
  <w:style w:type="paragraph" w:styleId="23">
    <w:name w:val="Body Text First Indent"/>
    <w:basedOn w:val="12"/>
    <w:next w:val="24"/>
    <w:autoRedefine/>
    <w:qFormat/>
    <w:uiPriority w:val="0"/>
    <w:pPr>
      <w:spacing w:line="360" w:lineRule="auto"/>
      <w:ind w:firstLine="420"/>
    </w:pPr>
    <w:rPr>
      <w:rFonts w:ascii="宋体" w:hAnsi="宋体"/>
      <w:sz w:val="24"/>
    </w:rPr>
  </w:style>
  <w:style w:type="paragraph" w:styleId="24">
    <w:name w:val="Body Text First Indent 2"/>
    <w:basedOn w:val="13"/>
    <w:next w:val="23"/>
    <w:autoRedefine/>
    <w:unhideWhenUsed/>
    <w:qFormat/>
    <w:uiPriority w:val="0"/>
    <w:pPr>
      <w:spacing w:line="360" w:lineRule="auto"/>
      <w:ind w:firstLine="420" w:firstLineChars="200"/>
    </w:pPr>
    <w:rPr>
      <w:rFonts w:eastAsia="仿宋_GB2312"/>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22"/>
    <w:rPr>
      <w:b/>
      <w:bCs/>
      <w:shd w:val="clear" w:fill="6A7480"/>
    </w:rPr>
  </w:style>
  <w:style w:type="character" w:styleId="29">
    <w:name w:val="FollowedHyperlink"/>
    <w:basedOn w:val="27"/>
    <w:autoRedefine/>
    <w:qFormat/>
    <w:uiPriority w:val="0"/>
    <w:rPr>
      <w:color w:val="2D5D7D"/>
      <w:u w:val="none"/>
    </w:rPr>
  </w:style>
  <w:style w:type="character" w:styleId="30">
    <w:name w:val="Emphasis"/>
    <w:basedOn w:val="27"/>
    <w:autoRedefine/>
    <w:qFormat/>
    <w:uiPriority w:val="0"/>
    <w:rPr>
      <w:b/>
      <w:bCs/>
    </w:rPr>
  </w:style>
  <w:style w:type="character" w:styleId="31">
    <w:name w:val="HTML Definition"/>
    <w:basedOn w:val="27"/>
    <w:autoRedefine/>
    <w:qFormat/>
    <w:uiPriority w:val="0"/>
  </w:style>
  <w:style w:type="character" w:styleId="32">
    <w:name w:val="HTML Typewriter"/>
    <w:basedOn w:val="27"/>
    <w:autoRedefine/>
    <w:qFormat/>
    <w:uiPriority w:val="0"/>
    <w:rPr>
      <w:rFonts w:hint="default" w:ascii="monospace" w:hAnsi="monospace" w:eastAsia="monospace" w:cs="monospace"/>
      <w:sz w:val="20"/>
    </w:rPr>
  </w:style>
  <w:style w:type="character" w:styleId="33">
    <w:name w:val="HTML Acronym"/>
    <w:basedOn w:val="27"/>
    <w:autoRedefine/>
    <w:qFormat/>
    <w:uiPriority w:val="0"/>
  </w:style>
  <w:style w:type="character" w:styleId="34">
    <w:name w:val="HTML Variable"/>
    <w:basedOn w:val="27"/>
    <w:autoRedefine/>
    <w:qFormat/>
    <w:uiPriority w:val="0"/>
  </w:style>
  <w:style w:type="character" w:styleId="35">
    <w:name w:val="Hyperlink"/>
    <w:basedOn w:val="27"/>
    <w:autoRedefine/>
    <w:qFormat/>
    <w:uiPriority w:val="0"/>
    <w:rPr>
      <w:color w:val="2D5D7D"/>
      <w:u w:val="none"/>
    </w:rPr>
  </w:style>
  <w:style w:type="character" w:styleId="36">
    <w:name w:val="HTML Code"/>
    <w:basedOn w:val="27"/>
    <w:autoRedefine/>
    <w:qFormat/>
    <w:uiPriority w:val="0"/>
    <w:rPr>
      <w:rFonts w:hint="default" w:ascii="monospace" w:hAnsi="monospace" w:eastAsia="monospace" w:cs="monospace"/>
      <w:sz w:val="20"/>
    </w:rPr>
  </w:style>
  <w:style w:type="character" w:styleId="37">
    <w:name w:val="annotation reference"/>
    <w:basedOn w:val="27"/>
    <w:autoRedefine/>
    <w:unhideWhenUsed/>
    <w:qFormat/>
    <w:uiPriority w:val="99"/>
    <w:rPr>
      <w:sz w:val="21"/>
      <w:szCs w:val="21"/>
    </w:rPr>
  </w:style>
  <w:style w:type="character" w:styleId="38">
    <w:name w:val="HTML Cite"/>
    <w:basedOn w:val="27"/>
    <w:autoRedefine/>
    <w:qFormat/>
    <w:uiPriority w:val="0"/>
  </w:style>
  <w:style w:type="character" w:styleId="39">
    <w:name w:val="HTML Keyboard"/>
    <w:basedOn w:val="27"/>
    <w:autoRedefine/>
    <w:qFormat/>
    <w:uiPriority w:val="0"/>
    <w:rPr>
      <w:rFonts w:ascii="monospace" w:hAnsi="monospace" w:eastAsia="monospace" w:cs="monospace"/>
      <w:sz w:val="20"/>
    </w:rPr>
  </w:style>
  <w:style w:type="character" w:styleId="40">
    <w:name w:val="HTML Sample"/>
    <w:basedOn w:val="27"/>
    <w:autoRedefine/>
    <w:qFormat/>
    <w:uiPriority w:val="0"/>
    <w:rPr>
      <w:rFonts w:hint="default" w:ascii="monospace" w:hAnsi="monospace" w:eastAsia="monospace" w:cs="monospace"/>
    </w:rPr>
  </w:style>
  <w:style w:type="paragraph" w:customStyle="1" w:styleId="41">
    <w:name w:val="正文缩进1"/>
    <w:basedOn w:val="1"/>
    <w:autoRedefine/>
    <w:qFormat/>
    <w:uiPriority w:val="0"/>
    <w:pPr>
      <w:widowControl/>
      <w:overflowPunct w:val="0"/>
      <w:autoSpaceDE w:val="0"/>
      <w:autoSpaceDN w:val="0"/>
      <w:adjustRightInd w:val="0"/>
      <w:ind w:firstLine="420"/>
      <w:textAlignment w:val="baseline"/>
    </w:pPr>
    <w:rPr>
      <w:rFonts w:ascii="宋体"/>
      <w:kern w:val="0"/>
      <w:szCs w:val="20"/>
    </w:rPr>
  </w:style>
  <w:style w:type="paragraph" w:customStyle="1" w:styleId="42">
    <w:name w:val="样式 10 磅3111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Heading4"/>
    <w:basedOn w:val="1"/>
    <w:next w:val="1"/>
    <w:autoRedefine/>
    <w:qFormat/>
    <w:uiPriority w:val="0"/>
    <w:pPr>
      <w:keepNext/>
      <w:jc w:val="both"/>
      <w:textAlignment w:val="baseline"/>
    </w:pPr>
    <w:rPr>
      <w:color w:val="FF0000"/>
      <w:kern w:val="2"/>
      <w:sz w:val="28"/>
      <w:u w:val="single"/>
      <w:lang w:val="en-US" w:eastAsia="zh-CN" w:bidi="ar-SA"/>
    </w:rPr>
  </w:style>
  <w:style w:type="paragraph" w:customStyle="1" w:styleId="44">
    <w:name w:val="HTML Preformatted1"/>
    <w:basedOn w:val="1"/>
    <w:autoRedefine/>
    <w:qFormat/>
    <w:uiPriority w:val="0"/>
    <w:rPr>
      <w:rFonts w:ascii="Courier New" w:hAnsi="Courier New"/>
      <w:sz w:val="20"/>
    </w:rPr>
  </w:style>
  <w:style w:type="paragraph" w:customStyle="1" w:styleId="45">
    <w:name w:val="正文1"/>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46">
    <w:name w:val="正文11"/>
    <w:autoRedefine/>
    <w:qFormat/>
    <w:uiPriority w:val="0"/>
    <w:pPr>
      <w:widowControl w:val="0"/>
      <w:adjustRightInd w:val="0"/>
      <w:spacing w:line="315" w:lineRule="atLeast"/>
      <w:textAlignment w:val="baseline"/>
    </w:pPr>
    <w:rPr>
      <w:rFonts w:ascii="宋体" w:hAnsi="Calibri" w:eastAsia="宋体" w:cs="Times New Roman"/>
      <w:sz w:val="24"/>
      <w:lang w:val="en-US" w:eastAsia="zh-CN" w:bidi="ar-SA"/>
    </w:rPr>
  </w:style>
  <w:style w:type="paragraph" w:customStyle="1" w:styleId="47">
    <w:name w:val="WPSOffice手动目录 1"/>
    <w:autoRedefine/>
    <w:qFormat/>
    <w:uiPriority w:val="0"/>
    <w:rPr>
      <w:rFonts w:ascii="Calibri" w:hAnsi="Calibri" w:eastAsia="宋体" w:cs="Times New Roman"/>
      <w:lang w:val="en-US" w:eastAsia="zh-CN" w:bidi="ar-SA"/>
    </w:rPr>
  </w:style>
  <w:style w:type="paragraph" w:customStyle="1" w:styleId="48">
    <w:name w:val="p15"/>
    <w:basedOn w:val="1"/>
    <w:autoRedefine/>
    <w:qFormat/>
    <w:uiPriority w:val="99"/>
    <w:pPr>
      <w:widowControl/>
    </w:pPr>
    <w:rPr>
      <w:kern w:val="0"/>
      <w:szCs w:val="21"/>
    </w:rPr>
  </w:style>
  <w:style w:type="paragraph" w:customStyle="1" w:styleId="49">
    <w:name w:val="列出段落1"/>
    <w:basedOn w:val="1"/>
    <w:autoRedefine/>
    <w:qFormat/>
    <w:uiPriority w:val="0"/>
    <w:pPr>
      <w:ind w:firstLine="420" w:firstLineChars="200"/>
    </w:pPr>
    <w:rPr>
      <w:rFonts w:ascii="Calibri" w:hAnsi="Calibri"/>
      <w:kern w:val="0"/>
      <w:sz w:val="20"/>
    </w:rPr>
  </w:style>
  <w:style w:type="paragraph" w:customStyle="1" w:styleId="50">
    <w:name w:val="Char"/>
    <w:basedOn w:val="9"/>
    <w:next w:val="4"/>
    <w:autoRedefine/>
    <w:qFormat/>
    <w:uiPriority w:val="0"/>
    <w:pPr>
      <w:numPr>
        <w:ilvl w:val="0"/>
        <w:numId w:val="1"/>
      </w:numPr>
      <w:tabs>
        <w:tab w:val="left" w:pos="1200"/>
        <w:tab w:val="clear" w:pos="720"/>
      </w:tabs>
      <w:ind w:left="1200" w:hanging="360"/>
    </w:pPr>
    <w:rPr>
      <w:sz w:val="24"/>
      <w:szCs w:val="24"/>
    </w:rPr>
  </w:style>
  <w:style w:type="paragraph" w:customStyle="1" w:styleId="51">
    <w:name w:val="正文 New"/>
    <w:autoRedefine/>
    <w:qFormat/>
    <w:uiPriority w:val="99"/>
    <w:pPr>
      <w:widowControl w:val="0"/>
      <w:jc w:val="both"/>
    </w:pPr>
    <w:rPr>
      <w:rFonts w:ascii="Times New Roman" w:hAnsi="Times New Roman" w:eastAsia="宋体" w:cs="Times New Roman"/>
      <w:lang w:val="en-US" w:eastAsia="zh-CN" w:bidi="ar-SA"/>
    </w:rPr>
  </w:style>
  <w:style w:type="character" w:customStyle="1" w:styleId="52">
    <w:name w:val="font01"/>
    <w:basedOn w:val="27"/>
    <w:autoRedefine/>
    <w:qFormat/>
    <w:uiPriority w:val="0"/>
    <w:rPr>
      <w:rFonts w:hint="eastAsia" w:ascii="宋体" w:hAnsi="宋体" w:eastAsia="宋体" w:cs="宋体"/>
      <w:b/>
      <w:bCs/>
      <w:color w:val="000000"/>
      <w:sz w:val="36"/>
      <w:szCs w:val="36"/>
      <w:u w:val="none"/>
    </w:rPr>
  </w:style>
  <w:style w:type="character" w:customStyle="1" w:styleId="53">
    <w:name w:val="item-name"/>
    <w:basedOn w:val="27"/>
    <w:autoRedefine/>
    <w:qFormat/>
    <w:uiPriority w:val="0"/>
  </w:style>
  <w:style w:type="character" w:customStyle="1" w:styleId="54">
    <w:name w:val="item-name1"/>
    <w:basedOn w:val="27"/>
    <w:autoRedefine/>
    <w:qFormat/>
    <w:uiPriority w:val="0"/>
  </w:style>
  <w:style w:type="character" w:customStyle="1" w:styleId="55">
    <w:name w:val="批注文字 字符"/>
    <w:basedOn w:val="27"/>
    <w:link w:val="11"/>
    <w:autoRedefine/>
    <w:qFormat/>
    <w:uiPriority w:val="0"/>
    <w:rPr>
      <w:kern w:val="2"/>
      <w:sz w:val="21"/>
      <w:szCs w:val="22"/>
    </w:rPr>
  </w:style>
  <w:style w:type="paragraph" w:styleId="56">
    <w:name w:val="List Paragraph"/>
    <w:basedOn w:val="1"/>
    <w:link w:val="57"/>
    <w:autoRedefine/>
    <w:qFormat/>
    <w:uiPriority w:val="34"/>
    <w:pPr>
      <w:spacing w:line="360" w:lineRule="auto"/>
      <w:ind w:firstLine="420" w:firstLineChars="200"/>
    </w:pPr>
    <w:rPr>
      <w:rFonts w:ascii="宋体" w:hAnsi="宋体" w:cs="宋体"/>
    </w:rPr>
  </w:style>
  <w:style w:type="character" w:customStyle="1" w:styleId="57">
    <w:name w:val="列出段落 字符"/>
    <w:link w:val="56"/>
    <w:autoRedefine/>
    <w:qFormat/>
    <w:uiPriority w:val="34"/>
    <w:rPr>
      <w:rFonts w:ascii="宋体" w:hAnsi="宋体" w:cs="宋体"/>
      <w:kern w:val="2"/>
      <w:sz w:val="21"/>
      <w:szCs w:val="22"/>
    </w:rPr>
  </w:style>
  <w:style w:type="character" w:customStyle="1" w:styleId="58">
    <w:name w:val="批注框文本 字符"/>
    <w:basedOn w:val="27"/>
    <w:link w:val="16"/>
    <w:autoRedefine/>
    <w:qFormat/>
    <w:uiPriority w:val="0"/>
    <w:rPr>
      <w:kern w:val="2"/>
      <w:sz w:val="18"/>
      <w:szCs w:val="18"/>
    </w:rPr>
  </w:style>
  <w:style w:type="paragraph" w:customStyle="1" w:styleId="59">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0">
    <w:name w:val="文档正文"/>
    <w:basedOn w:val="1"/>
    <w:autoRedefine/>
    <w:qFormat/>
    <w:uiPriority w:val="0"/>
    <w:pPr>
      <w:wordWrap w:val="0"/>
      <w:spacing w:before="156" w:after="156" w:line="360" w:lineRule="auto"/>
      <w:ind w:firstLine="480" w:firstLineChars="200"/>
    </w:pPr>
    <w:rPr>
      <w:kern w:val="0"/>
      <w:sz w:val="24"/>
      <w:szCs w:val="20"/>
    </w:rPr>
  </w:style>
  <w:style w:type="paragraph" w:customStyle="1" w:styleId="61">
    <w:name w:val="样式2"/>
    <w:basedOn w:val="17"/>
    <w:autoRedefine/>
    <w:qFormat/>
    <w:uiPriority w:val="0"/>
    <w:pPr>
      <w:pBdr>
        <w:top w:val="single" w:color="auto" w:sz="4" w:space="1"/>
      </w:pBdr>
    </w:pPr>
    <w:rPr>
      <w:szCs w:val="18"/>
    </w:rPr>
  </w:style>
  <w:style w:type="paragraph" w:customStyle="1" w:styleId="62">
    <w:name w:val="！正文"/>
    <w:basedOn w:val="1"/>
    <w:autoRedefine/>
    <w:qFormat/>
    <w:uiPriority w:val="0"/>
    <w:pPr>
      <w:widowControl/>
      <w:spacing w:line="360" w:lineRule="auto"/>
      <w:ind w:firstLine="420" w:firstLineChars="200"/>
    </w:pPr>
    <w:rPr>
      <w:rFonts w:cs="宋体"/>
      <w:kern w:val="0"/>
      <w:szCs w:val="20"/>
    </w:rPr>
  </w:style>
  <w:style w:type="paragraph" w:customStyle="1" w:styleId="63">
    <w:name w:val="Table Paragraph"/>
    <w:basedOn w:val="1"/>
    <w:autoRedefine/>
    <w:qFormat/>
    <w:uiPriority w:val="1"/>
    <w:pPr>
      <w:jc w:val="center"/>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hikvision.com</Company>
  <Pages>85</Pages>
  <Words>48395</Words>
  <Characters>51337</Characters>
  <Lines>400</Lines>
  <Paragraphs>112</Paragraphs>
  <TotalTime>29</TotalTime>
  <ScaleCrop>false</ScaleCrop>
  <LinksUpToDate>false</LinksUpToDate>
  <CharactersWithSpaces>53957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2020-09-22T03:10:00Z</dcterms:created>
  <dc:creator>张晋通</dc:creator>
  <cp:lastModifiedBy>信仰</cp:lastModifiedBy>
  <cp:lastPrinted>2022-03-24T02:43:00Z</cp:lastPrinted>
  <dcterms:modified xsi:type="dcterms:W3CDTF">2024-01-08T07:38:51Z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6EEB0903459D48298D386AC0E26F1FB7_13</vt:lpwstr>
  </property>
</Properties>
</file>