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outlineLvl w:val="0"/>
        <w:rPr>
          <w:rFonts w:ascii="宋体" w:hAnsi="宋体"/>
          <w:sz w:val="24"/>
          <w:bdr w:val="single" w:color="auto" w:sz="4" w:space="0"/>
        </w:rPr>
      </w:pPr>
      <w:bookmarkStart w:id="0" w:name="_Toc503"/>
      <w:bookmarkStart w:id="1" w:name="_Toc2513"/>
      <w:bookmarkStart w:id="2" w:name="_Toc11426"/>
      <w:bookmarkStart w:id="3" w:name="_Toc217446030"/>
      <w:bookmarkStart w:id="4" w:name="_Toc183682338"/>
      <w:r>
        <w:rPr>
          <w:rFonts w:hint="eastAsia" w:ascii="宋体" w:hAnsi="宋体"/>
          <w:b/>
          <w:sz w:val="28"/>
          <w:szCs w:val="28"/>
          <w:bdr w:val="single" w:color="auto" w:sz="4" w:space="0"/>
        </w:rPr>
        <w:t>政府采购项目</w:t>
      </w:r>
      <w:bookmarkEnd w:id="0"/>
      <w:bookmarkEnd w:id="1"/>
      <w:bookmarkEnd w:id="2"/>
    </w:p>
    <w:p>
      <w:pPr>
        <w:jc w:val="center"/>
        <w:rPr>
          <w:rFonts w:ascii="宋体" w:hAnsi="宋体" w:cs="宋体"/>
          <w:sz w:val="44"/>
          <w:szCs w:val="44"/>
          <w:lang w:val="zh-CN"/>
        </w:rPr>
      </w:pPr>
    </w:p>
    <w:p>
      <w:pPr>
        <w:jc w:val="center"/>
        <w:rPr>
          <w:rFonts w:ascii="宋体" w:hAnsi="宋体" w:cs="宋体"/>
          <w:b/>
          <w:sz w:val="48"/>
          <w:szCs w:val="48"/>
        </w:rPr>
      </w:pPr>
    </w:p>
    <w:p>
      <w:pPr>
        <w:jc w:val="center"/>
        <w:outlineLvl w:val="0"/>
        <w:rPr>
          <w:rFonts w:hint="eastAsia" w:ascii="宋体" w:hAnsi="宋体" w:eastAsia="宋体" w:cs="宋体"/>
          <w:b/>
          <w:sz w:val="48"/>
          <w:szCs w:val="48"/>
          <w:lang w:eastAsia="zh-CN"/>
        </w:rPr>
      </w:pPr>
      <w:bookmarkStart w:id="5" w:name="_Toc11534"/>
      <w:bookmarkStart w:id="6" w:name="_Toc9048"/>
      <w:bookmarkStart w:id="7" w:name="_Toc12427"/>
      <w:r>
        <w:rPr>
          <w:rFonts w:hint="eastAsia" w:ascii="宋体" w:hAnsi="宋体" w:cs="宋体"/>
          <w:b/>
          <w:sz w:val="48"/>
          <w:szCs w:val="48"/>
        </w:rPr>
        <w:t>西安高新区草堂科技产业园市政道路、给排水管网养护及园区防汛项目</w:t>
      </w:r>
      <w:bookmarkEnd w:id="5"/>
      <w:bookmarkEnd w:id="6"/>
      <w:bookmarkEnd w:id="7"/>
      <w:r>
        <w:rPr>
          <w:rFonts w:hint="eastAsia" w:ascii="宋体" w:hAnsi="宋体" w:cs="宋体"/>
          <w:b/>
          <w:sz w:val="48"/>
          <w:szCs w:val="48"/>
          <w:lang w:eastAsia="zh-CN"/>
        </w:rPr>
        <w:t>（</w:t>
      </w:r>
      <w:r>
        <w:rPr>
          <w:rFonts w:hint="eastAsia" w:ascii="宋体" w:hAnsi="宋体" w:cs="宋体"/>
          <w:b/>
          <w:sz w:val="48"/>
          <w:szCs w:val="48"/>
          <w:lang w:val="en-US" w:eastAsia="zh-CN"/>
        </w:rPr>
        <w:t>二次</w:t>
      </w:r>
      <w:r>
        <w:rPr>
          <w:rFonts w:hint="eastAsia" w:ascii="宋体" w:hAnsi="宋体" w:cs="宋体"/>
          <w:b/>
          <w:sz w:val="48"/>
          <w:szCs w:val="48"/>
          <w:lang w:eastAsia="zh-CN"/>
        </w:rPr>
        <w:t>）</w:t>
      </w:r>
    </w:p>
    <w:p>
      <w:pPr>
        <w:jc w:val="center"/>
        <w:rPr>
          <w:rFonts w:ascii="宋体" w:hAnsi="宋体" w:cs="宋体"/>
          <w:b/>
          <w:sz w:val="36"/>
          <w:szCs w:val="36"/>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1"/>
        <w:adjustRightInd w:val="0"/>
        <w:snapToGrid w:val="0"/>
        <w:spacing w:line="360" w:lineRule="auto"/>
        <w:jc w:val="center"/>
        <w:rPr>
          <w:rFonts w:hAnsi="宋体" w:cs="宋体"/>
          <w:b/>
          <w:sz w:val="84"/>
          <w:szCs w:val="84"/>
        </w:rPr>
      </w:pPr>
      <w:r>
        <w:rPr>
          <w:rFonts w:hint="eastAsia" w:hAnsi="宋体" w:cs="宋体"/>
          <w:b/>
          <w:sz w:val="84"/>
          <w:szCs w:val="84"/>
        </w:rPr>
        <w:t>招 标 文 件</w:t>
      </w:r>
    </w:p>
    <w:p>
      <w:pPr>
        <w:pStyle w:val="21"/>
        <w:adjustRightInd w:val="0"/>
        <w:snapToGrid w:val="0"/>
        <w:spacing w:before="156" w:beforeLines="50" w:line="360" w:lineRule="auto"/>
        <w:jc w:val="center"/>
        <w:outlineLvl w:val="0"/>
        <w:rPr>
          <w:rFonts w:hint="eastAsia" w:hAnsi="宋体" w:eastAsia="宋体"/>
          <w:lang w:eastAsia="zh-CN"/>
        </w:rPr>
      </w:pPr>
      <w:bookmarkStart w:id="8" w:name="_Toc22365"/>
      <w:bookmarkStart w:id="9" w:name="_Toc19395"/>
      <w:bookmarkStart w:id="10" w:name="_Toc26551"/>
      <w:r>
        <w:rPr>
          <w:rFonts w:hint="eastAsia" w:hAnsi="宋体"/>
          <w:b/>
          <w:kern w:val="0"/>
          <w:sz w:val="30"/>
          <w:szCs w:val="30"/>
        </w:rPr>
        <w:t>项目编号：</w:t>
      </w:r>
      <w:bookmarkEnd w:id="8"/>
      <w:bookmarkEnd w:id="9"/>
      <w:bookmarkEnd w:id="10"/>
      <w:r>
        <w:rPr>
          <w:rFonts w:hint="eastAsia" w:hAnsi="宋体"/>
          <w:b/>
          <w:kern w:val="0"/>
          <w:sz w:val="30"/>
          <w:szCs w:val="30"/>
        </w:rPr>
        <w:t>DZDL-2022-088.1B1</w:t>
      </w:r>
    </w:p>
    <w:p>
      <w:pPr>
        <w:pStyle w:val="21"/>
        <w:adjustRightInd w:val="0"/>
        <w:snapToGrid w:val="0"/>
        <w:spacing w:before="156" w:beforeLines="50" w:line="360" w:lineRule="auto"/>
        <w:jc w:val="center"/>
        <w:rPr>
          <w:rFonts w:hAnsi="宋体"/>
        </w:rPr>
      </w:pPr>
    </w:p>
    <w:p>
      <w:pPr>
        <w:pStyle w:val="21"/>
        <w:adjustRightInd w:val="0"/>
        <w:snapToGrid w:val="0"/>
        <w:spacing w:before="156" w:beforeLines="50" w:line="360" w:lineRule="auto"/>
        <w:jc w:val="center"/>
        <w:rPr>
          <w:rFonts w:hAnsi="宋体"/>
        </w:rPr>
      </w:pPr>
    </w:p>
    <w:p>
      <w:pPr>
        <w:pStyle w:val="21"/>
        <w:adjustRightInd w:val="0"/>
        <w:snapToGrid w:val="0"/>
        <w:spacing w:before="156" w:beforeLines="50" w:line="360" w:lineRule="auto"/>
        <w:jc w:val="center"/>
        <w:rPr>
          <w:rFonts w:hAnsi="宋体"/>
        </w:rPr>
      </w:pPr>
    </w:p>
    <w:p>
      <w:pPr>
        <w:pStyle w:val="21"/>
        <w:adjustRightInd w:val="0"/>
        <w:snapToGrid w:val="0"/>
        <w:spacing w:line="360" w:lineRule="auto"/>
        <w:jc w:val="center"/>
        <w:rPr>
          <w:rFonts w:ascii="华文中宋" w:hAnsi="华文中宋" w:eastAsia="华文中宋"/>
          <w:sz w:val="32"/>
          <w:szCs w:val="32"/>
        </w:rPr>
      </w:pPr>
    </w:p>
    <w:p>
      <w:pPr>
        <w:pStyle w:val="21"/>
        <w:adjustRightInd w:val="0"/>
        <w:snapToGrid w:val="0"/>
        <w:jc w:val="both"/>
        <w:outlineLvl w:val="0"/>
        <w:rPr>
          <w:rFonts w:hAnsi="宋体"/>
          <w:b/>
          <w:sz w:val="32"/>
          <w:szCs w:val="32"/>
        </w:rPr>
      </w:pPr>
      <w:r>
        <w:rPr>
          <w:rFonts w:hint="eastAsia" w:hAnsi="宋体"/>
          <w:b/>
          <w:sz w:val="32"/>
          <w:szCs w:val="32"/>
        </w:rPr>
        <w:t xml:space="preserve"> </w:t>
      </w:r>
      <w:bookmarkStart w:id="11" w:name="_Toc2702"/>
      <w:bookmarkStart w:id="12" w:name="_Toc4486"/>
      <w:bookmarkStart w:id="13" w:name="_Toc10421"/>
      <w:r>
        <w:rPr>
          <w:rFonts w:hint="eastAsia" w:hAnsi="宋体"/>
          <w:b/>
          <w:sz w:val="32"/>
          <w:szCs w:val="32"/>
        </w:rPr>
        <w:t>采购人：西安高新</w:t>
      </w:r>
      <w:r>
        <w:rPr>
          <w:rFonts w:hint="eastAsia" w:hAnsi="宋体"/>
          <w:b/>
          <w:sz w:val="32"/>
          <w:szCs w:val="32"/>
          <w:lang w:val="en-US" w:eastAsia="zh-CN"/>
        </w:rPr>
        <w:t>技术产业开发</w:t>
      </w:r>
      <w:r>
        <w:rPr>
          <w:rFonts w:hint="eastAsia" w:hAnsi="宋体"/>
          <w:b/>
          <w:sz w:val="32"/>
          <w:szCs w:val="32"/>
        </w:rPr>
        <w:t>区草堂科技产业园发展中心</w:t>
      </w:r>
      <w:bookmarkEnd w:id="11"/>
      <w:bookmarkEnd w:id="12"/>
      <w:bookmarkEnd w:id="13"/>
    </w:p>
    <w:p>
      <w:pPr>
        <w:pStyle w:val="21"/>
        <w:adjustRightInd w:val="0"/>
        <w:snapToGrid w:val="0"/>
        <w:ind w:firstLine="643" w:firstLineChars="200"/>
        <w:jc w:val="center"/>
        <w:rPr>
          <w:rFonts w:hAnsi="宋体"/>
          <w:b/>
          <w:sz w:val="32"/>
          <w:szCs w:val="32"/>
        </w:rPr>
      </w:pPr>
    </w:p>
    <w:p>
      <w:pPr>
        <w:pStyle w:val="21"/>
        <w:adjustRightInd w:val="0"/>
        <w:snapToGrid w:val="0"/>
        <w:jc w:val="both"/>
        <w:rPr>
          <w:rFonts w:hAnsi="宋体"/>
          <w:b/>
          <w:sz w:val="32"/>
          <w:szCs w:val="32"/>
        </w:rPr>
      </w:pPr>
      <w:r>
        <w:rPr>
          <w:rFonts w:hint="eastAsia" w:hAnsi="宋体"/>
          <w:b/>
          <w:sz w:val="32"/>
          <w:szCs w:val="32"/>
        </w:rPr>
        <w:t>采购代理机构:  中建鼎正项目管理有限公司</w:t>
      </w:r>
    </w:p>
    <w:p>
      <w:pPr>
        <w:pStyle w:val="21"/>
        <w:adjustRightInd w:val="0"/>
        <w:snapToGrid w:val="0"/>
        <w:ind w:firstLine="643" w:firstLineChars="200"/>
        <w:jc w:val="center"/>
        <w:rPr>
          <w:rFonts w:hAnsi="宋体"/>
          <w:b/>
          <w:sz w:val="32"/>
          <w:szCs w:val="32"/>
        </w:rPr>
      </w:pPr>
    </w:p>
    <w:p>
      <w:pPr>
        <w:pStyle w:val="21"/>
        <w:tabs>
          <w:tab w:val="left" w:pos="268"/>
        </w:tabs>
        <w:adjustRightInd w:val="0"/>
        <w:snapToGrid w:val="0"/>
        <w:ind w:firstLine="643" w:firstLineChars="200"/>
        <w:jc w:val="center"/>
        <w:rPr>
          <w:rFonts w:hAnsi="宋体"/>
          <w:b/>
          <w:sz w:val="28"/>
          <w:szCs w:val="28"/>
          <w:lang w:val="zh-CN"/>
        </w:rPr>
      </w:pPr>
      <w:r>
        <w:rPr>
          <w:rFonts w:hint="eastAsia" w:hAnsi="宋体"/>
          <w:b/>
          <w:sz w:val="32"/>
          <w:szCs w:val="32"/>
        </w:rPr>
        <w:t>二〇二</w:t>
      </w:r>
      <w:r>
        <w:rPr>
          <w:rFonts w:hint="eastAsia" w:hAnsi="宋体"/>
          <w:b/>
          <w:sz w:val="32"/>
          <w:szCs w:val="32"/>
          <w:lang w:val="en-US" w:eastAsia="zh-CN"/>
        </w:rPr>
        <w:t>三</w:t>
      </w:r>
      <w:r>
        <w:rPr>
          <w:rFonts w:hint="eastAsia" w:hAnsi="宋体"/>
          <w:b/>
          <w:sz w:val="32"/>
          <w:szCs w:val="32"/>
        </w:rPr>
        <w:t>年</w:t>
      </w:r>
      <w:r>
        <w:rPr>
          <w:rFonts w:hint="eastAsia" w:hAnsi="宋体"/>
          <w:b/>
          <w:sz w:val="32"/>
          <w:szCs w:val="32"/>
          <w:lang w:val="en-US" w:eastAsia="zh-CN"/>
        </w:rPr>
        <w:t>一</w:t>
      </w:r>
      <w:r>
        <w:rPr>
          <w:rFonts w:hint="eastAsia" w:hAnsi="宋体"/>
          <w:b/>
          <w:sz w:val="32"/>
          <w:szCs w:val="32"/>
        </w:rPr>
        <w:t>月</w:t>
      </w:r>
    </w:p>
    <w:p>
      <w:pPr>
        <w:pStyle w:val="83"/>
        <w:jc w:val="center"/>
        <w:sectPr>
          <w:footerReference r:id="rId5" w:type="first"/>
          <w:footerReference r:id="rId3" w:type="default"/>
          <w:footerReference r:id="rId4" w:type="even"/>
          <w:pgSz w:w="11906" w:h="16838"/>
          <w:pgMar w:top="1440" w:right="1440" w:bottom="1440" w:left="1440" w:header="567" w:footer="284" w:gutter="567"/>
          <w:pgNumType w:fmt="numberInDash"/>
          <w:cols w:space="720" w:num="1"/>
          <w:titlePg/>
          <w:docGrid w:type="lines" w:linePitch="312" w:charSpace="0"/>
        </w:sectPr>
      </w:pPr>
    </w:p>
    <w:bookmarkEnd w:id="3"/>
    <w:bookmarkEnd w:id="4"/>
    <w:sdt>
      <w:sdtPr>
        <w:rPr>
          <w:rFonts w:ascii="宋体" w:hAnsi="宋体"/>
        </w:rPr>
        <w:id w:val="147477034"/>
        <w:docPartObj>
          <w:docPartGallery w:val="Table of Contents"/>
          <w:docPartUnique/>
        </w:docPartObj>
      </w:sdtPr>
      <w:sdtEndPr>
        <w:rPr>
          <w:rFonts w:ascii="宋体" w:hAnsi="宋体"/>
          <w:b/>
        </w:rPr>
      </w:sdtEndPr>
      <w:sdtContent>
        <w:p>
          <w:pPr>
            <w:jc w:val="center"/>
          </w:pPr>
          <w:bookmarkStart w:id="14" w:name="_Toc20496"/>
          <w:r>
            <w:rPr>
              <w:rFonts w:ascii="宋体" w:hAnsi="宋体"/>
            </w:rPr>
            <w:t>目录</w:t>
          </w:r>
        </w:p>
        <w:p>
          <w:pPr>
            <w:pStyle w:val="28"/>
            <w:tabs>
              <w:tab w:val="right" w:leader="dot" w:pos="8459"/>
            </w:tabs>
          </w:pPr>
          <w:r>
            <w:fldChar w:fldCharType="begin"/>
          </w:r>
          <w:r>
            <w:instrText xml:space="preserve">TOC \o "1-2" \h \u </w:instrText>
          </w:r>
          <w:r>
            <w:fldChar w:fldCharType="separate"/>
          </w:r>
        </w:p>
        <w:p>
          <w:pPr>
            <w:pStyle w:val="28"/>
            <w:tabs>
              <w:tab w:val="right" w:leader="dot" w:pos="8459"/>
            </w:tabs>
          </w:pPr>
          <w:r>
            <w:fldChar w:fldCharType="begin"/>
          </w:r>
          <w:r>
            <w:instrText xml:space="preserve"> HYPERLINK \l "_Toc23488" </w:instrText>
          </w:r>
          <w:r>
            <w:fldChar w:fldCharType="separate"/>
          </w:r>
          <w:r>
            <w:rPr>
              <w:rFonts w:hint="eastAsia"/>
              <w:szCs w:val="32"/>
            </w:rPr>
            <w:t>第一章  招标公告</w:t>
          </w:r>
          <w:r>
            <w:tab/>
          </w:r>
          <w:r>
            <w:fldChar w:fldCharType="begin"/>
          </w:r>
          <w:r>
            <w:instrText xml:space="preserve"> PAGEREF _Toc23488 \h </w:instrText>
          </w:r>
          <w:r>
            <w:fldChar w:fldCharType="separate"/>
          </w:r>
          <w:r>
            <w:t>1</w:t>
          </w:r>
          <w:r>
            <w:fldChar w:fldCharType="end"/>
          </w:r>
          <w:r>
            <w:fldChar w:fldCharType="end"/>
          </w:r>
        </w:p>
        <w:p>
          <w:pPr>
            <w:pStyle w:val="34"/>
            <w:tabs>
              <w:tab w:val="right" w:leader="dot" w:pos="8459"/>
            </w:tabs>
          </w:pPr>
          <w:r>
            <w:fldChar w:fldCharType="begin"/>
          </w:r>
          <w:r>
            <w:instrText xml:space="preserve"> HYPERLINK \l "_Toc9191" </w:instrText>
          </w:r>
          <w:r>
            <w:fldChar w:fldCharType="separate"/>
          </w:r>
          <w:r>
            <w:rPr>
              <w:rFonts w:hint="eastAsia" w:ascii="宋体" w:hAnsi="宋体"/>
              <w:kern w:val="0"/>
              <w:szCs w:val="30"/>
            </w:rPr>
            <w:t>一、项目基本情况：</w:t>
          </w:r>
          <w:r>
            <w:tab/>
          </w:r>
          <w:r>
            <w:fldChar w:fldCharType="begin"/>
          </w:r>
          <w:r>
            <w:instrText xml:space="preserve"> PAGEREF _Toc9191 \h </w:instrText>
          </w:r>
          <w:r>
            <w:fldChar w:fldCharType="separate"/>
          </w:r>
          <w:r>
            <w:t>1</w:t>
          </w:r>
          <w:r>
            <w:fldChar w:fldCharType="end"/>
          </w:r>
          <w:r>
            <w:fldChar w:fldCharType="end"/>
          </w:r>
        </w:p>
        <w:p>
          <w:pPr>
            <w:pStyle w:val="34"/>
            <w:tabs>
              <w:tab w:val="right" w:leader="dot" w:pos="8459"/>
            </w:tabs>
          </w:pPr>
          <w:r>
            <w:fldChar w:fldCharType="begin"/>
          </w:r>
          <w:r>
            <w:instrText xml:space="preserve"> HYPERLINK \l "_Toc10957" </w:instrText>
          </w:r>
          <w:r>
            <w:fldChar w:fldCharType="separate"/>
          </w:r>
          <w:r>
            <w:rPr>
              <w:rFonts w:hint="eastAsia" w:ascii="宋体" w:hAnsi="宋体"/>
              <w:kern w:val="0"/>
              <w:szCs w:val="30"/>
            </w:rPr>
            <w:t>二、 投标人的资格要求</w:t>
          </w:r>
          <w:r>
            <w:tab/>
          </w:r>
          <w:r>
            <w:fldChar w:fldCharType="begin"/>
          </w:r>
          <w:r>
            <w:instrText xml:space="preserve"> PAGEREF _Toc10957 \h </w:instrText>
          </w:r>
          <w:r>
            <w:fldChar w:fldCharType="separate"/>
          </w:r>
          <w:r>
            <w:t>1</w:t>
          </w:r>
          <w:r>
            <w:fldChar w:fldCharType="end"/>
          </w:r>
          <w:r>
            <w:fldChar w:fldCharType="end"/>
          </w:r>
        </w:p>
        <w:p>
          <w:pPr>
            <w:pStyle w:val="34"/>
            <w:tabs>
              <w:tab w:val="right" w:leader="dot" w:pos="8459"/>
            </w:tabs>
          </w:pPr>
          <w:r>
            <w:fldChar w:fldCharType="begin"/>
          </w:r>
          <w:r>
            <w:instrText xml:space="preserve"> HYPERLINK \l "_Toc11899" </w:instrText>
          </w:r>
          <w:r>
            <w:fldChar w:fldCharType="separate"/>
          </w:r>
          <w:r>
            <w:rPr>
              <w:rFonts w:hint="eastAsia" w:ascii="宋体" w:hAnsi="宋体"/>
              <w:kern w:val="0"/>
              <w:szCs w:val="30"/>
            </w:rPr>
            <w:t>三、 招标文件的获取方式</w:t>
          </w:r>
          <w:r>
            <w:tab/>
          </w:r>
          <w:r>
            <w:fldChar w:fldCharType="begin"/>
          </w:r>
          <w:r>
            <w:instrText xml:space="preserve"> PAGEREF _Toc11899 \h </w:instrText>
          </w:r>
          <w:r>
            <w:fldChar w:fldCharType="separate"/>
          </w:r>
          <w:r>
            <w:t>2</w:t>
          </w:r>
          <w:r>
            <w:fldChar w:fldCharType="end"/>
          </w:r>
          <w:r>
            <w:fldChar w:fldCharType="end"/>
          </w:r>
        </w:p>
        <w:p>
          <w:pPr>
            <w:pStyle w:val="34"/>
            <w:tabs>
              <w:tab w:val="right" w:leader="dot" w:pos="8459"/>
            </w:tabs>
          </w:pPr>
          <w:r>
            <w:fldChar w:fldCharType="begin"/>
          </w:r>
          <w:r>
            <w:instrText xml:space="preserve"> HYPERLINK \l "_Toc30467" </w:instrText>
          </w:r>
          <w:r>
            <w:fldChar w:fldCharType="separate"/>
          </w:r>
          <w:r>
            <w:rPr>
              <w:rFonts w:hint="eastAsia" w:ascii="宋体" w:hAnsi="宋体"/>
              <w:kern w:val="0"/>
              <w:szCs w:val="30"/>
            </w:rPr>
            <w:t>四、投标文件递交截止时间、开标时间和地点</w:t>
          </w:r>
          <w:r>
            <w:tab/>
          </w:r>
          <w:r>
            <w:fldChar w:fldCharType="begin"/>
          </w:r>
          <w:r>
            <w:instrText xml:space="preserve"> PAGEREF _Toc30467 \h </w:instrText>
          </w:r>
          <w:r>
            <w:fldChar w:fldCharType="separate"/>
          </w:r>
          <w:r>
            <w:t>2</w:t>
          </w:r>
          <w:r>
            <w:fldChar w:fldCharType="end"/>
          </w:r>
          <w:r>
            <w:fldChar w:fldCharType="end"/>
          </w:r>
        </w:p>
        <w:p>
          <w:pPr>
            <w:pStyle w:val="34"/>
            <w:tabs>
              <w:tab w:val="right" w:leader="dot" w:pos="8459"/>
            </w:tabs>
          </w:pPr>
          <w:r>
            <w:fldChar w:fldCharType="begin"/>
          </w:r>
          <w:r>
            <w:instrText xml:space="preserve"> HYPERLINK \l "_Toc3237" </w:instrText>
          </w:r>
          <w:r>
            <w:fldChar w:fldCharType="separate"/>
          </w:r>
          <w:r>
            <w:rPr>
              <w:rFonts w:hint="eastAsia" w:ascii="宋体" w:hAnsi="宋体"/>
              <w:kern w:val="0"/>
              <w:szCs w:val="30"/>
            </w:rPr>
            <w:t>五、公告期限</w:t>
          </w:r>
          <w:r>
            <w:tab/>
          </w:r>
          <w:r>
            <w:fldChar w:fldCharType="begin"/>
          </w:r>
          <w:r>
            <w:instrText xml:space="preserve"> PAGEREF _Toc3237 \h </w:instrText>
          </w:r>
          <w:r>
            <w:fldChar w:fldCharType="separate"/>
          </w:r>
          <w:r>
            <w:t>3</w:t>
          </w:r>
          <w:r>
            <w:fldChar w:fldCharType="end"/>
          </w:r>
          <w:r>
            <w:fldChar w:fldCharType="end"/>
          </w:r>
        </w:p>
        <w:p>
          <w:pPr>
            <w:pStyle w:val="34"/>
            <w:tabs>
              <w:tab w:val="right" w:leader="dot" w:pos="8459"/>
            </w:tabs>
          </w:pPr>
          <w:r>
            <w:fldChar w:fldCharType="begin"/>
          </w:r>
          <w:r>
            <w:instrText xml:space="preserve"> HYPERLINK \l "_Toc61" </w:instrText>
          </w:r>
          <w:r>
            <w:fldChar w:fldCharType="separate"/>
          </w:r>
          <w:r>
            <w:rPr>
              <w:rFonts w:hint="eastAsia" w:ascii="宋体" w:hAnsi="宋体"/>
              <w:kern w:val="0"/>
              <w:szCs w:val="30"/>
            </w:rPr>
            <w:t>六、其他补充事宜</w:t>
          </w:r>
          <w:r>
            <w:tab/>
          </w:r>
          <w:r>
            <w:fldChar w:fldCharType="begin"/>
          </w:r>
          <w:r>
            <w:instrText xml:space="preserve"> PAGEREF _Toc61 \h </w:instrText>
          </w:r>
          <w:r>
            <w:fldChar w:fldCharType="separate"/>
          </w:r>
          <w:r>
            <w:t>3</w:t>
          </w:r>
          <w:r>
            <w:fldChar w:fldCharType="end"/>
          </w:r>
          <w:r>
            <w:fldChar w:fldCharType="end"/>
          </w:r>
        </w:p>
        <w:p>
          <w:pPr>
            <w:pStyle w:val="34"/>
            <w:tabs>
              <w:tab w:val="right" w:leader="dot" w:pos="8459"/>
            </w:tabs>
          </w:pPr>
          <w:r>
            <w:fldChar w:fldCharType="begin"/>
          </w:r>
          <w:r>
            <w:instrText xml:space="preserve"> HYPERLINK \l "_Toc16742" </w:instrText>
          </w:r>
          <w:r>
            <w:fldChar w:fldCharType="separate"/>
          </w:r>
          <w:r>
            <w:rPr>
              <w:rFonts w:hint="eastAsia" w:ascii="宋体" w:hAnsi="宋体"/>
              <w:kern w:val="0"/>
              <w:szCs w:val="30"/>
            </w:rPr>
            <w:t>七、对本次招标提出询问，请按以下方式联系。</w:t>
          </w:r>
          <w:r>
            <w:tab/>
          </w:r>
          <w:r>
            <w:fldChar w:fldCharType="begin"/>
          </w:r>
          <w:r>
            <w:instrText xml:space="preserve"> PAGEREF _Toc16742 \h </w:instrText>
          </w:r>
          <w:r>
            <w:fldChar w:fldCharType="separate"/>
          </w:r>
          <w:r>
            <w:t>3</w:t>
          </w:r>
          <w:r>
            <w:fldChar w:fldCharType="end"/>
          </w:r>
          <w:r>
            <w:fldChar w:fldCharType="end"/>
          </w:r>
        </w:p>
        <w:p>
          <w:pPr>
            <w:pStyle w:val="28"/>
            <w:tabs>
              <w:tab w:val="right" w:leader="dot" w:pos="8459"/>
            </w:tabs>
          </w:pPr>
          <w:r>
            <w:fldChar w:fldCharType="begin"/>
          </w:r>
          <w:r>
            <w:instrText xml:space="preserve"> HYPERLINK \l "_Toc15816" </w:instrText>
          </w:r>
          <w:r>
            <w:fldChar w:fldCharType="separate"/>
          </w:r>
          <w:r>
            <w:rPr>
              <w:rFonts w:hint="eastAsia" w:ascii="宋体" w:hAnsi="宋体" w:cs="宋体"/>
              <w:szCs w:val="32"/>
            </w:rPr>
            <w:t>第二章  投标人须知</w:t>
          </w:r>
          <w:r>
            <w:tab/>
          </w:r>
          <w:r>
            <w:fldChar w:fldCharType="begin"/>
          </w:r>
          <w:r>
            <w:instrText xml:space="preserve"> PAGEREF _Toc15816 \h </w:instrText>
          </w:r>
          <w:r>
            <w:fldChar w:fldCharType="separate"/>
          </w:r>
          <w:r>
            <w:t>5</w:t>
          </w:r>
          <w:r>
            <w:fldChar w:fldCharType="end"/>
          </w:r>
          <w:r>
            <w:fldChar w:fldCharType="end"/>
          </w:r>
        </w:p>
        <w:p>
          <w:pPr>
            <w:pStyle w:val="34"/>
            <w:tabs>
              <w:tab w:val="right" w:leader="dot" w:pos="8459"/>
            </w:tabs>
          </w:pPr>
          <w:r>
            <w:fldChar w:fldCharType="begin"/>
          </w:r>
          <w:r>
            <w:instrText xml:space="preserve"> HYPERLINK \l "_Toc3582" </w:instrText>
          </w:r>
          <w:r>
            <w:fldChar w:fldCharType="separate"/>
          </w:r>
          <w:r>
            <w:rPr>
              <w:rFonts w:hint="eastAsia" w:asciiTheme="majorEastAsia" w:hAnsiTheme="majorEastAsia" w:eastAsiaTheme="majorEastAsia" w:cstheme="majorEastAsia"/>
              <w:szCs w:val="30"/>
            </w:rPr>
            <w:t>投标人须知前附表</w:t>
          </w:r>
          <w:r>
            <w:tab/>
          </w:r>
          <w:r>
            <w:fldChar w:fldCharType="begin"/>
          </w:r>
          <w:r>
            <w:instrText xml:space="preserve"> PAGEREF _Toc3582 \h </w:instrText>
          </w:r>
          <w:r>
            <w:fldChar w:fldCharType="separate"/>
          </w:r>
          <w:r>
            <w:t>5</w:t>
          </w:r>
          <w:r>
            <w:fldChar w:fldCharType="end"/>
          </w:r>
          <w:r>
            <w:fldChar w:fldCharType="end"/>
          </w:r>
        </w:p>
        <w:p>
          <w:pPr>
            <w:pStyle w:val="34"/>
            <w:tabs>
              <w:tab w:val="right" w:leader="dot" w:pos="8459"/>
            </w:tabs>
          </w:pPr>
          <w:r>
            <w:fldChar w:fldCharType="begin"/>
          </w:r>
          <w:r>
            <w:instrText xml:space="preserve"> HYPERLINK \l "_Toc32381" </w:instrText>
          </w:r>
          <w:r>
            <w:fldChar w:fldCharType="separate"/>
          </w:r>
          <w:r>
            <w:rPr>
              <w:rFonts w:hint="eastAsia" w:ascii="宋体" w:hAnsi="宋体" w:cs="宋体"/>
              <w:szCs w:val="30"/>
            </w:rPr>
            <w:t>一、有关定义</w:t>
          </w:r>
          <w:r>
            <w:tab/>
          </w:r>
          <w:r>
            <w:fldChar w:fldCharType="begin"/>
          </w:r>
          <w:r>
            <w:instrText xml:space="preserve"> PAGEREF _Toc32381 \h </w:instrText>
          </w:r>
          <w:r>
            <w:fldChar w:fldCharType="separate"/>
          </w:r>
          <w:r>
            <w:t>8</w:t>
          </w:r>
          <w:r>
            <w:fldChar w:fldCharType="end"/>
          </w:r>
          <w:r>
            <w:fldChar w:fldCharType="end"/>
          </w:r>
        </w:p>
        <w:p>
          <w:pPr>
            <w:pStyle w:val="34"/>
            <w:tabs>
              <w:tab w:val="right" w:leader="dot" w:pos="8459"/>
            </w:tabs>
          </w:pPr>
          <w:r>
            <w:fldChar w:fldCharType="begin"/>
          </w:r>
          <w:r>
            <w:instrText xml:space="preserve"> HYPERLINK \l "_Toc13838" </w:instrText>
          </w:r>
          <w:r>
            <w:fldChar w:fldCharType="separate"/>
          </w:r>
          <w:r>
            <w:rPr>
              <w:rFonts w:hint="eastAsia" w:ascii="宋体" w:hAnsi="宋体" w:cs="宋体"/>
              <w:szCs w:val="30"/>
            </w:rPr>
            <w:t>二、供应商注意事项</w:t>
          </w:r>
          <w:r>
            <w:tab/>
          </w:r>
          <w:r>
            <w:fldChar w:fldCharType="begin"/>
          </w:r>
          <w:r>
            <w:instrText xml:space="preserve"> PAGEREF _Toc13838 \h </w:instrText>
          </w:r>
          <w:r>
            <w:fldChar w:fldCharType="separate"/>
          </w:r>
          <w:r>
            <w:t>9</w:t>
          </w:r>
          <w:r>
            <w:fldChar w:fldCharType="end"/>
          </w:r>
          <w:r>
            <w:fldChar w:fldCharType="end"/>
          </w:r>
        </w:p>
        <w:p>
          <w:pPr>
            <w:pStyle w:val="34"/>
            <w:tabs>
              <w:tab w:val="right" w:leader="dot" w:pos="8459"/>
            </w:tabs>
          </w:pPr>
          <w:r>
            <w:fldChar w:fldCharType="begin"/>
          </w:r>
          <w:r>
            <w:instrText xml:space="preserve"> HYPERLINK \l "_Toc11998" </w:instrText>
          </w:r>
          <w:r>
            <w:fldChar w:fldCharType="separate"/>
          </w:r>
          <w:r>
            <w:rPr>
              <w:rFonts w:hint="eastAsia" w:ascii="宋体" w:hAnsi="宋体" w:cs="宋体"/>
              <w:szCs w:val="30"/>
            </w:rPr>
            <w:t>三、招标文件</w:t>
          </w:r>
          <w:r>
            <w:tab/>
          </w:r>
          <w:r>
            <w:fldChar w:fldCharType="begin"/>
          </w:r>
          <w:r>
            <w:instrText xml:space="preserve"> PAGEREF _Toc11998 \h </w:instrText>
          </w:r>
          <w:r>
            <w:fldChar w:fldCharType="separate"/>
          </w:r>
          <w:r>
            <w:t>17</w:t>
          </w:r>
          <w:r>
            <w:fldChar w:fldCharType="end"/>
          </w:r>
          <w:r>
            <w:fldChar w:fldCharType="end"/>
          </w:r>
        </w:p>
        <w:p>
          <w:pPr>
            <w:pStyle w:val="34"/>
            <w:tabs>
              <w:tab w:val="right" w:leader="dot" w:pos="8459"/>
            </w:tabs>
          </w:pPr>
          <w:r>
            <w:fldChar w:fldCharType="begin"/>
          </w:r>
          <w:r>
            <w:instrText xml:space="preserve"> HYPERLINK \l "_Toc30165" </w:instrText>
          </w:r>
          <w:r>
            <w:fldChar w:fldCharType="separate"/>
          </w:r>
          <w:r>
            <w:rPr>
              <w:rFonts w:hint="eastAsia" w:asciiTheme="majorEastAsia" w:hAnsiTheme="majorEastAsia" w:eastAsiaTheme="majorEastAsia" w:cstheme="majorEastAsia"/>
              <w:szCs w:val="30"/>
            </w:rPr>
            <w:t>四、投标文件</w:t>
          </w:r>
          <w:r>
            <w:tab/>
          </w:r>
          <w:r>
            <w:fldChar w:fldCharType="begin"/>
          </w:r>
          <w:r>
            <w:instrText xml:space="preserve"> PAGEREF _Toc30165 \h </w:instrText>
          </w:r>
          <w:r>
            <w:fldChar w:fldCharType="separate"/>
          </w:r>
          <w:r>
            <w:t>18</w:t>
          </w:r>
          <w:r>
            <w:fldChar w:fldCharType="end"/>
          </w:r>
          <w:r>
            <w:fldChar w:fldCharType="end"/>
          </w:r>
        </w:p>
        <w:p>
          <w:pPr>
            <w:pStyle w:val="34"/>
            <w:tabs>
              <w:tab w:val="right" w:leader="dot" w:pos="8459"/>
            </w:tabs>
          </w:pPr>
          <w:r>
            <w:fldChar w:fldCharType="begin"/>
          </w:r>
          <w:r>
            <w:instrText xml:space="preserve"> HYPERLINK \l "_Toc7404" </w:instrText>
          </w:r>
          <w:r>
            <w:fldChar w:fldCharType="separate"/>
          </w:r>
          <w:r>
            <w:rPr>
              <w:rFonts w:hint="eastAsia" w:ascii="宋体" w:hAnsi="宋体" w:cs="宋体"/>
              <w:szCs w:val="30"/>
            </w:rPr>
            <w:t>五、开标程序</w:t>
          </w:r>
          <w:r>
            <w:tab/>
          </w:r>
          <w:r>
            <w:fldChar w:fldCharType="begin"/>
          </w:r>
          <w:r>
            <w:instrText xml:space="preserve"> PAGEREF _Toc7404 \h </w:instrText>
          </w:r>
          <w:r>
            <w:fldChar w:fldCharType="separate"/>
          </w:r>
          <w:r>
            <w:t>22</w:t>
          </w:r>
          <w:r>
            <w:fldChar w:fldCharType="end"/>
          </w:r>
          <w:r>
            <w:fldChar w:fldCharType="end"/>
          </w:r>
        </w:p>
        <w:p>
          <w:pPr>
            <w:pStyle w:val="34"/>
            <w:tabs>
              <w:tab w:val="right" w:leader="dot" w:pos="8459"/>
            </w:tabs>
          </w:pPr>
          <w:r>
            <w:fldChar w:fldCharType="begin"/>
          </w:r>
          <w:r>
            <w:instrText xml:space="preserve"> HYPERLINK \l "_Toc17183" </w:instrText>
          </w:r>
          <w:r>
            <w:fldChar w:fldCharType="separate"/>
          </w:r>
          <w:r>
            <w:rPr>
              <w:rFonts w:hint="eastAsia" w:ascii="宋体" w:hAnsi="宋体" w:cs="宋体"/>
              <w:szCs w:val="30"/>
            </w:rPr>
            <w:t>六、资格审查</w:t>
          </w:r>
          <w:r>
            <w:tab/>
          </w:r>
          <w:r>
            <w:fldChar w:fldCharType="begin"/>
          </w:r>
          <w:r>
            <w:instrText xml:space="preserve"> PAGEREF _Toc17183 \h </w:instrText>
          </w:r>
          <w:r>
            <w:fldChar w:fldCharType="separate"/>
          </w:r>
          <w:r>
            <w:t>23</w:t>
          </w:r>
          <w:r>
            <w:fldChar w:fldCharType="end"/>
          </w:r>
          <w:r>
            <w:fldChar w:fldCharType="end"/>
          </w:r>
        </w:p>
        <w:p>
          <w:pPr>
            <w:pStyle w:val="34"/>
            <w:tabs>
              <w:tab w:val="right" w:leader="dot" w:pos="8459"/>
            </w:tabs>
          </w:pPr>
          <w:r>
            <w:fldChar w:fldCharType="begin"/>
          </w:r>
          <w:r>
            <w:instrText xml:space="preserve"> HYPERLINK \l "_Toc4045" </w:instrText>
          </w:r>
          <w:r>
            <w:fldChar w:fldCharType="separate"/>
          </w:r>
          <w:r>
            <w:rPr>
              <w:rFonts w:hint="eastAsia" w:ascii="宋体" w:hAnsi="宋体" w:cs="宋体"/>
              <w:szCs w:val="30"/>
            </w:rPr>
            <w:t>七、评标</w:t>
          </w:r>
          <w:r>
            <w:tab/>
          </w:r>
          <w:r>
            <w:fldChar w:fldCharType="begin"/>
          </w:r>
          <w:r>
            <w:instrText xml:space="preserve"> PAGEREF _Toc4045 \h </w:instrText>
          </w:r>
          <w:r>
            <w:fldChar w:fldCharType="separate"/>
          </w:r>
          <w:r>
            <w:t>24</w:t>
          </w:r>
          <w:r>
            <w:fldChar w:fldCharType="end"/>
          </w:r>
          <w:r>
            <w:fldChar w:fldCharType="end"/>
          </w:r>
        </w:p>
        <w:p>
          <w:pPr>
            <w:pStyle w:val="34"/>
            <w:tabs>
              <w:tab w:val="right" w:leader="dot" w:pos="8459"/>
            </w:tabs>
          </w:pPr>
          <w:r>
            <w:fldChar w:fldCharType="begin"/>
          </w:r>
          <w:r>
            <w:instrText xml:space="preserve"> HYPERLINK \l "_Toc30434" </w:instrText>
          </w:r>
          <w:r>
            <w:fldChar w:fldCharType="separate"/>
          </w:r>
          <w:r>
            <w:rPr>
              <w:rFonts w:hint="eastAsia" w:ascii="宋体" w:hAnsi="宋体" w:cs="宋体"/>
              <w:szCs w:val="30"/>
            </w:rPr>
            <w:t>八、中标</w:t>
          </w:r>
          <w:r>
            <w:tab/>
          </w:r>
          <w:r>
            <w:fldChar w:fldCharType="begin"/>
          </w:r>
          <w:r>
            <w:instrText xml:space="preserve"> PAGEREF _Toc30434 \h </w:instrText>
          </w:r>
          <w:r>
            <w:fldChar w:fldCharType="separate"/>
          </w:r>
          <w:r>
            <w:t>26</w:t>
          </w:r>
          <w:r>
            <w:fldChar w:fldCharType="end"/>
          </w:r>
          <w:r>
            <w:fldChar w:fldCharType="end"/>
          </w:r>
        </w:p>
        <w:p>
          <w:pPr>
            <w:pStyle w:val="34"/>
            <w:tabs>
              <w:tab w:val="right" w:leader="dot" w:pos="8459"/>
            </w:tabs>
          </w:pPr>
          <w:r>
            <w:fldChar w:fldCharType="begin"/>
          </w:r>
          <w:r>
            <w:instrText xml:space="preserve"> HYPERLINK \l "_Toc31097" </w:instrText>
          </w:r>
          <w:r>
            <w:fldChar w:fldCharType="separate"/>
          </w:r>
          <w:r>
            <w:rPr>
              <w:rFonts w:hint="eastAsia" w:ascii="宋体" w:hAnsi="宋体" w:cs="宋体"/>
              <w:szCs w:val="30"/>
            </w:rPr>
            <w:t>九、合同签订、履行及验收</w:t>
          </w:r>
          <w:r>
            <w:tab/>
          </w:r>
          <w:r>
            <w:fldChar w:fldCharType="begin"/>
          </w:r>
          <w:r>
            <w:instrText xml:space="preserve"> PAGEREF _Toc31097 \h </w:instrText>
          </w:r>
          <w:r>
            <w:fldChar w:fldCharType="separate"/>
          </w:r>
          <w:r>
            <w:t>27</w:t>
          </w:r>
          <w:r>
            <w:fldChar w:fldCharType="end"/>
          </w:r>
          <w:r>
            <w:fldChar w:fldCharType="end"/>
          </w:r>
        </w:p>
        <w:p>
          <w:pPr>
            <w:pStyle w:val="34"/>
            <w:tabs>
              <w:tab w:val="right" w:leader="dot" w:pos="8459"/>
            </w:tabs>
          </w:pPr>
          <w:r>
            <w:fldChar w:fldCharType="begin"/>
          </w:r>
          <w:r>
            <w:instrText xml:space="preserve"> HYPERLINK \l "_Toc31500" </w:instrText>
          </w:r>
          <w:r>
            <w:fldChar w:fldCharType="separate"/>
          </w:r>
          <w:r>
            <w:rPr>
              <w:rFonts w:hint="eastAsia" w:ascii="宋体" w:hAnsi="宋体" w:cs="宋体"/>
              <w:szCs w:val="30"/>
            </w:rPr>
            <w:t>十、废标及重新招标</w:t>
          </w:r>
          <w:r>
            <w:tab/>
          </w:r>
          <w:r>
            <w:fldChar w:fldCharType="begin"/>
          </w:r>
          <w:r>
            <w:instrText xml:space="preserve"> PAGEREF _Toc31500 \h </w:instrText>
          </w:r>
          <w:r>
            <w:fldChar w:fldCharType="separate"/>
          </w:r>
          <w:r>
            <w:t>28</w:t>
          </w:r>
          <w:r>
            <w:fldChar w:fldCharType="end"/>
          </w:r>
          <w:r>
            <w:fldChar w:fldCharType="end"/>
          </w:r>
        </w:p>
        <w:p>
          <w:pPr>
            <w:pStyle w:val="28"/>
            <w:tabs>
              <w:tab w:val="right" w:leader="dot" w:pos="8459"/>
            </w:tabs>
          </w:pPr>
          <w:r>
            <w:fldChar w:fldCharType="begin"/>
          </w:r>
          <w:r>
            <w:instrText xml:space="preserve"> HYPERLINK \l "_Toc19983" </w:instrText>
          </w:r>
          <w:r>
            <w:fldChar w:fldCharType="separate"/>
          </w:r>
          <w:r>
            <w:rPr>
              <w:rFonts w:hint="eastAsia"/>
              <w:szCs w:val="32"/>
            </w:rPr>
            <w:t>第三章  评标办法</w:t>
          </w:r>
          <w:r>
            <w:tab/>
          </w:r>
          <w:r>
            <w:fldChar w:fldCharType="begin"/>
          </w:r>
          <w:r>
            <w:instrText xml:space="preserve"> PAGEREF _Toc19983 \h </w:instrText>
          </w:r>
          <w:r>
            <w:fldChar w:fldCharType="separate"/>
          </w:r>
          <w:r>
            <w:t>29</w:t>
          </w:r>
          <w:r>
            <w:fldChar w:fldCharType="end"/>
          </w:r>
          <w:r>
            <w:fldChar w:fldCharType="end"/>
          </w:r>
        </w:p>
        <w:p>
          <w:pPr>
            <w:pStyle w:val="34"/>
            <w:tabs>
              <w:tab w:val="right" w:leader="dot" w:pos="8459"/>
            </w:tabs>
          </w:pPr>
          <w:r>
            <w:fldChar w:fldCharType="begin"/>
          </w:r>
          <w:r>
            <w:instrText xml:space="preserve"> HYPERLINK \l "_Toc30832" </w:instrText>
          </w:r>
          <w:r>
            <w:fldChar w:fldCharType="separate"/>
          </w:r>
          <w:r>
            <w:rPr>
              <w:rFonts w:hint="eastAsia" w:ascii="宋体" w:hAnsi="宋体"/>
              <w:szCs w:val="32"/>
            </w:rPr>
            <w:t>一、评标方法</w:t>
          </w:r>
          <w:r>
            <w:tab/>
          </w:r>
          <w:r>
            <w:fldChar w:fldCharType="begin"/>
          </w:r>
          <w:r>
            <w:instrText xml:space="preserve"> PAGEREF _Toc30832 \h </w:instrText>
          </w:r>
          <w:r>
            <w:fldChar w:fldCharType="separate"/>
          </w:r>
          <w:r>
            <w:t>29</w:t>
          </w:r>
          <w:r>
            <w:fldChar w:fldCharType="end"/>
          </w:r>
          <w:r>
            <w:fldChar w:fldCharType="end"/>
          </w:r>
        </w:p>
        <w:p>
          <w:pPr>
            <w:pStyle w:val="34"/>
            <w:tabs>
              <w:tab w:val="right" w:leader="dot" w:pos="8459"/>
            </w:tabs>
          </w:pPr>
          <w:r>
            <w:fldChar w:fldCharType="begin"/>
          </w:r>
          <w:r>
            <w:instrText xml:space="preserve"> HYPERLINK \l "_Toc13438" </w:instrText>
          </w:r>
          <w:r>
            <w:fldChar w:fldCharType="separate"/>
          </w:r>
          <w:r>
            <w:rPr>
              <w:rFonts w:hint="eastAsia" w:ascii="宋体" w:hAnsi="宋体"/>
              <w:szCs w:val="32"/>
            </w:rPr>
            <w:t>二、评标程序</w:t>
          </w:r>
          <w:r>
            <w:tab/>
          </w:r>
          <w:r>
            <w:fldChar w:fldCharType="begin"/>
          </w:r>
          <w:r>
            <w:instrText xml:space="preserve"> PAGEREF _Toc13438 \h </w:instrText>
          </w:r>
          <w:r>
            <w:fldChar w:fldCharType="separate"/>
          </w:r>
          <w:r>
            <w:t>29</w:t>
          </w:r>
          <w:r>
            <w:fldChar w:fldCharType="end"/>
          </w:r>
          <w:r>
            <w:fldChar w:fldCharType="end"/>
          </w:r>
        </w:p>
        <w:p>
          <w:pPr>
            <w:pStyle w:val="34"/>
            <w:tabs>
              <w:tab w:val="right" w:leader="dot" w:pos="8459"/>
            </w:tabs>
          </w:pPr>
          <w:r>
            <w:fldChar w:fldCharType="begin"/>
          </w:r>
          <w:r>
            <w:instrText xml:space="preserve"> HYPERLINK \l "_Toc7796" </w:instrText>
          </w:r>
          <w:r>
            <w:fldChar w:fldCharType="separate"/>
          </w:r>
          <w:r>
            <w:rPr>
              <w:rFonts w:hint="eastAsia" w:ascii="宋体" w:hAnsi="宋体"/>
              <w:szCs w:val="32"/>
            </w:rPr>
            <w:t>三、评标争议处理原则</w:t>
          </w:r>
          <w:r>
            <w:tab/>
          </w:r>
          <w:r>
            <w:fldChar w:fldCharType="begin"/>
          </w:r>
          <w:r>
            <w:instrText xml:space="preserve"> PAGEREF _Toc7796 \h </w:instrText>
          </w:r>
          <w:r>
            <w:fldChar w:fldCharType="separate"/>
          </w:r>
          <w:r>
            <w:t>34</w:t>
          </w:r>
          <w:r>
            <w:fldChar w:fldCharType="end"/>
          </w:r>
          <w:r>
            <w:fldChar w:fldCharType="end"/>
          </w:r>
        </w:p>
        <w:p>
          <w:pPr>
            <w:pStyle w:val="34"/>
            <w:tabs>
              <w:tab w:val="right" w:leader="dot" w:pos="8459"/>
            </w:tabs>
          </w:pPr>
          <w:r>
            <w:fldChar w:fldCharType="begin"/>
          </w:r>
          <w:r>
            <w:instrText xml:space="preserve"> HYPERLINK \l "_Toc22306" </w:instrText>
          </w:r>
          <w:r>
            <w:fldChar w:fldCharType="separate"/>
          </w:r>
          <w:r>
            <w:rPr>
              <w:rFonts w:hint="eastAsia" w:ascii="宋体" w:hAnsi="宋体"/>
              <w:szCs w:val="32"/>
            </w:rPr>
            <w:t>四、评审现场人员的保密责任</w:t>
          </w:r>
          <w:r>
            <w:tab/>
          </w:r>
          <w:r>
            <w:fldChar w:fldCharType="begin"/>
          </w:r>
          <w:r>
            <w:instrText xml:space="preserve"> PAGEREF _Toc22306 \h </w:instrText>
          </w:r>
          <w:r>
            <w:fldChar w:fldCharType="separate"/>
          </w:r>
          <w:r>
            <w:t>34</w:t>
          </w:r>
          <w:r>
            <w:fldChar w:fldCharType="end"/>
          </w:r>
          <w:r>
            <w:fldChar w:fldCharType="end"/>
          </w:r>
        </w:p>
        <w:p>
          <w:pPr>
            <w:pStyle w:val="34"/>
            <w:tabs>
              <w:tab w:val="right" w:leader="dot" w:pos="8459"/>
            </w:tabs>
          </w:pPr>
          <w:r>
            <w:fldChar w:fldCharType="begin"/>
          </w:r>
          <w:r>
            <w:instrText xml:space="preserve"> HYPERLINK \l "_Toc5779" </w:instrText>
          </w:r>
          <w:r>
            <w:fldChar w:fldCharType="separate"/>
          </w:r>
          <w:r>
            <w:rPr>
              <w:rFonts w:hint="eastAsia" w:ascii="宋体" w:hAnsi="宋体"/>
              <w:szCs w:val="32"/>
            </w:rPr>
            <w:t>五</w:t>
          </w:r>
          <w:r>
            <w:rPr>
              <w:rFonts w:ascii="宋体" w:hAnsi="宋体"/>
              <w:szCs w:val="32"/>
            </w:rPr>
            <w:t>、</w:t>
          </w:r>
          <w:r>
            <w:rPr>
              <w:rFonts w:hint="eastAsia" w:ascii="宋体" w:hAnsi="宋体"/>
              <w:szCs w:val="32"/>
            </w:rPr>
            <w:t>视同供应商串通投标的情形，其投标无效</w:t>
          </w:r>
          <w:r>
            <w:tab/>
          </w:r>
          <w:r>
            <w:fldChar w:fldCharType="begin"/>
          </w:r>
          <w:r>
            <w:instrText xml:space="preserve"> PAGEREF _Toc5779 \h </w:instrText>
          </w:r>
          <w:r>
            <w:fldChar w:fldCharType="separate"/>
          </w:r>
          <w:r>
            <w:t>34</w:t>
          </w:r>
          <w:r>
            <w:fldChar w:fldCharType="end"/>
          </w:r>
          <w:r>
            <w:fldChar w:fldCharType="end"/>
          </w:r>
        </w:p>
        <w:p>
          <w:pPr>
            <w:pStyle w:val="28"/>
            <w:tabs>
              <w:tab w:val="right" w:leader="dot" w:pos="8459"/>
            </w:tabs>
          </w:pPr>
          <w:r>
            <w:fldChar w:fldCharType="begin"/>
          </w:r>
          <w:r>
            <w:instrText xml:space="preserve"> HYPERLINK \l "_Toc29758" </w:instrText>
          </w:r>
          <w:r>
            <w:fldChar w:fldCharType="separate"/>
          </w:r>
          <w:r>
            <w:rPr>
              <w:rFonts w:hint="eastAsia"/>
            </w:rPr>
            <w:t>第四章  政府采购合同格式</w:t>
          </w:r>
          <w:r>
            <w:tab/>
          </w:r>
          <w:r>
            <w:fldChar w:fldCharType="begin"/>
          </w:r>
          <w:r>
            <w:instrText xml:space="preserve"> PAGEREF _Toc29758 \h </w:instrText>
          </w:r>
          <w:r>
            <w:fldChar w:fldCharType="separate"/>
          </w:r>
          <w:r>
            <w:t>35</w:t>
          </w:r>
          <w:r>
            <w:fldChar w:fldCharType="end"/>
          </w:r>
          <w:r>
            <w:fldChar w:fldCharType="end"/>
          </w:r>
        </w:p>
        <w:p>
          <w:pPr>
            <w:pStyle w:val="28"/>
            <w:tabs>
              <w:tab w:val="right" w:leader="dot" w:pos="8459"/>
            </w:tabs>
          </w:pPr>
          <w:r>
            <w:fldChar w:fldCharType="begin"/>
          </w:r>
          <w:r>
            <w:instrText xml:space="preserve"> HYPERLINK \l "_Toc15861" </w:instrText>
          </w:r>
          <w:r>
            <w:fldChar w:fldCharType="separate"/>
          </w:r>
          <w:r>
            <w:rPr>
              <w:rFonts w:hint="eastAsia"/>
            </w:rPr>
            <w:t>第五章  采购内容及要求</w:t>
          </w:r>
          <w:r>
            <w:tab/>
          </w:r>
          <w:r>
            <w:fldChar w:fldCharType="begin"/>
          </w:r>
          <w:r>
            <w:instrText xml:space="preserve"> PAGEREF _Toc15861 \h </w:instrText>
          </w:r>
          <w:r>
            <w:fldChar w:fldCharType="separate"/>
          </w:r>
          <w:r>
            <w:t>47</w:t>
          </w:r>
          <w:r>
            <w:fldChar w:fldCharType="end"/>
          </w:r>
          <w:r>
            <w:fldChar w:fldCharType="end"/>
          </w:r>
        </w:p>
        <w:p>
          <w:pPr>
            <w:pStyle w:val="34"/>
            <w:tabs>
              <w:tab w:val="right" w:leader="dot" w:pos="8459"/>
            </w:tabs>
          </w:pPr>
          <w:r>
            <w:fldChar w:fldCharType="begin"/>
          </w:r>
          <w:r>
            <w:instrText xml:space="preserve"> HYPERLINK \l "_Toc21661" </w:instrText>
          </w:r>
          <w:r>
            <w:fldChar w:fldCharType="separate"/>
          </w:r>
          <w:r>
            <w:rPr>
              <w:rFonts w:hint="eastAsia" w:ascii="宋体" w:hAnsi="宋体"/>
              <w:bCs/>
            </w:rPr>
            <w:t>一、项目名称</w:t>
          </w:r>
          <w:r>
            <w:tab/>
          </w:r>
          <w:r>
            <w:fldChar w:fldCharType="begin"/>
          </w:r>
          <w:r>
            <w:instrText xml:space="preserve"> PAGEREF _Toc21661 \h </w:instrText>
          </w:r>
          <w:r>
            <w:fldChar w:fldCharType="separate"/>
          </w:r>
          <w:r>
            <w:t>47</w:t>
          </w:r>
          <w:r>
            <w:fldChar w:fldCharType="end"/>
          </w:r>
          <w:r>
            <w:fldChar w:fldCharType="end"/>
          </w:r>
        </w:p>
        <w:p>
          <w:pPr>
            <w:pStyle w:val="34"/>
            <w:tabs>
              <w:tab w:val="right" w:leader="dot" w:pos="8459"/>
            </w:tabs>
          </w:pPr>
          <w:r>
            <w:fldChar w:fldCharType="begin"/>
          </w:r>
          <w:r>
            <w:instrText xml:space="preserve"> HYPERLINK \l "_Toc8557" </w:instrText>
          </w:r>
          <w:r>
            <w:fldChar w:fldCharType="separate"/>
          </w:r>
          <w:r>
            <w:rPr>
              <w:rFonts w:hint="eastAsia" w:ascii="宋体" w:hAnsi="宋体"/>
              <w:bCs/>
            </w:rPr>
            <w:t>二、项目概况</w:t>
          </w:r>
          <w:r>
            <w:tab/>
          </w:r>
          <w:r>
            <w:fldChar w:fldCharType="begin"/>
          </w:r>
          <w:r>
            <w:instrText xml:space="preserve"> PAGEREF _Toc8557 \h </w:instrText>
          </w:r>
          <w:r>
            <w:fldChar w:fldCharType="separate"/>
          </w:r>
          <w:r>
            <w:t>47</w:t>
          </w:r>
          <w:r>
            <w:fldChar w:fldCharType="end"/>
          </w:r>
          <w:r>
            <w:fldChar w:fldCharType="end"/>
          </w:r>
        </w:p>
        <w:p>
          <w:pPr>
            <w:pStyle w:val="34"/>
            <w:tabs>
              <w:tab w:val="right" w:leader="dot" w:pos="8459"/>
            </w:tabs>
          </w:pPr>
          <w:r>
            <w:fldChar w:fldCharType="begin"/>
          </w:r>
          <w:r>
            <w:instrText xml:space="preserve"> HYPERLINK \l "_Toc1044" </w:instrText>
          </w:r>
          <w:r>
            <w:fldChar w:fldCharType="separate"/>
          </w:r>
          <w:r>
            <w:rPr>
              <w:rFonts w:hint="eastAsia" w:ascii="宋体" w:hAnsi="宋体"/>
              <w:bCs/>
            </w:rPr>
            <w:t>三、工程内容</w:t>
          </w:r>
          <w:r>
            <w:tab/>
          </w:r>
          <w:r>
            <w:fldChar w:fldCharType="begin"/>
          </w:r>
          <w:r>
            <w:instrText xml:space="preserve"> PAGEREF _Toc1044 \h </w:instrText>
          </w:r>
          <w:r>
            <w:fldChar w:fldCharType="separate"/>
          </w:r>
          <w:r>
            <w:t>47</w:t>
          </w:r>
          <w:r>
            <w:fldChar w:fldCharType="end"/>
          </w:r>
          <w:r>
            <w:fldChar w:fldCharType="end"/>
          </w:r>
        </w:p>
        <w:p>
          <w:pPr>
            <w:pStyle w:val="34"/>
            <w:tabs>
              <w:tab w:val="right" w:leader="dot" w:pos="8459"/>
            </w:tabs>
          </w:pPr>
          <w:r>
            <w:fldChar w:fldCharType="begin"/>
          </w:r>
          <w:r>
            <w:instrText xml:space="preserve"> HYPERLINK \l "_Toc20104" </w:instrText>
          </w:r>
          <w:r>
            <w:fldChar w:fldCharType="separate"/>
          </w:r>
          <w:r>
            <w:rPr>
              <w:rFonts w:hint="eastAsia" w:ascii="宋体" w:hAnsi="宋体"/>
              <w:bCs/>
            </w:rPr>
            <w:t>四、服务期限</w:t>
          </w:r>
          <w:r>
            <w:tab/>
          </w:r>
          <w:r>
            <w:fldChar w:fldCharType="begin"/>
          </w:r>
          <w:r>
            <w:instrText xml:space="preserve"> PAGEREF _Toc20104 \h </w:instrText>
          </w:r>
          <w:r>
            <w:fldChar w:fldCharType="separate"/>
          </w:r>
          <w:r>
            <w:t>48</w:t>
          </w:r>
          <w:r>
            <w:fldChar w:fldCharType="end"/>
          </w:r>
          <w:r>
            <w:fldChar w:fldCharType="end"/>
          </w:r>
        </w:p>
        <w:p>
          <w:pPr>
            <w:pStyle w:val="34"/>
            <w:tabs>
              <w:tab w:val="right" w:leader="dot" w:pos="8459"/>
            </w:tabs>
          </w:pPr>
          <w:r>
            <w:fldChar w:fldCharType="begin"/>
          </w:r>
          <w:r>
            <w:instrText xml:space="preserve"> HYPERLINK \l "_Toc28386" </w:instrText>
          </w:r>
          <w:r>
            <w:fldChar w:fldCharType="separate"/>
          </w:r>
          <w:r>
            <w:rPr>
              <w:rFonts w:hint="eastAsia" w:ascii="宋体" w:hAnsi="宋体"/>
              <w:bCs/>
            </w:rPr>
            <w:t>五、具体要求</w:t>
          </w:r>
          <w:r>
            <w:tab/>
          </w:r>
          <w:r>
            <w:fldChar w:fldCharType="begin"/>
          </w:r>
          <w:r>
            <w:instrText xml:space="preserve"> PAGEREF _Toc28386 \h </w:instrText>
          </w:r>
          <w:r>
            <w:fldChar w:fldCharType="separate"/>
          </w:r>
          <w:r>
            <w:t>48</w:t>
          </w:r>
          <w:r>
            <w:fldChar w:fldCharType="end"/>
          </w:r>
          <w:r>
            <w:fldChar w:fldCharType="end"/>
          </w:r>
        </w:p>
        <w:p>
          <w:pPr>
            <w:pStyle w:val="34"/>
            <w:tabs>
              <w:tab w:val="right" w:leader="dot" w:pos="8459"/>
            </w:tabs>
          </w:pPr>
          <w:r>
            <w:fldChar w:fldCharType="begin"/>
          </w:r>
          <w:r>
            <w:instrText xml:space="preserve"> HYPERLINK \l "_Toc18915" </w:instrText>
          </w:r>
          <w:r>
            <w:fldChar w:fldCharType="separate"/>
          </w:r>
          <w:r>
            <w:rPr>
              <w:rFonts w:hint="eastAsia" w:ascii="宋体" w:hAnsi="宋体"/>
              <w:bCs/>
            </w:rPr>
            <w:t>六、执行规范及标准</w:t>
          </w:r>
          <w:r>
            <w:tab/>
          </w:r>
          <w:r>
            <w:fldChar w:fldCharType="begin"/>
          </w:r>
          <w:r>
            <w:instrText xml:space="preserve"> PAGEREF _Toc18915 \h </w:instrText>
          </w:r>
          <w:r>
            <w:fldChar w:fldCharType="separate"/>
          </w:r>
          <w:r>
            <w:t>54</w:t>
          </w:r>
          <w:r>
            <w:fldChar w:fldCharType="end"/>
          </w:r>
          <w:r>
            <w:fldChar w:fldCharType="end"/>
          </w:r>
        </w:p>
        <w:p>
          <w:pPr>
            <w:pStyle w:val="34"/>
            <w:tabs>
              <w:tab w:val="right" w:leader="dot" w:pos="8459"/>
            </w:tabs>
          </w:pPr>
          <w:r>
            <w:fldChar w:fldCharType="begin"/>
          </w:r>
          <w:r>
            <w:instrText xml:space="preserve"> HYPERLINK \l "_Toc4894" </w:instrText>
          </w:r>
          <w:r>
            <w:fldChar w:fldCharType="separate"/>
          </w:r>
          <w:r>
            <w:rPr>
              <w:rFonts w:hint="eastAsia" w:ascii="宋体" w:hAnsi="宋体"/>
              <w:spacing w:val="-3"/>
            </w:rPr>
            <w:t>七、 清单</w:t>
          </w:r>
          <w:r>
            <w:tab/>
          </w:r>
          <w:r>
            <w:fldChar w:fldCharType="begin"/>
          </w:r>
          <w:r>
            <w:instrText xml:space="preserve"> PAGEREF _Toc4894 \h </w:instrText>
          </w:r>
          <w:r>
            <w:fldChar w:fldCharType="separate"/>
          </w:r>
          <w:r>
            <w:t>55</w:t>
          </w:r>
          <w:r>
            <w:fldChar w:fldCharType="end"/>
          </w:r>
          <w:r>
            <w:fldChar w:fldCharType="end"/>
          </w:r>
        </w:p>
        <w:p>
          <w:pPr>
            <w:pStyle w:val="28"/>
            <w:tabs>
              <w:tab w:val="right" w:leader="dot" w:pos="8459"/>
            </w:tabs>
          </w:pPr>
          <w:r>
            <w:fldChar w:fldCharType="begin"/>
          </w:r>
          <w:r>
            <w:instrText xml:space="preserve"> HYPERLINK \l "_Toc15716" </w:instrText>
          </w:r>
          <w:r>
            <w:fldChar w:fldCharType="separate"/>
          </w:r>
          <w:r>
            <w:rPr>
              <w:rFonts w:hint="eastAsia"/>
            </w:rPr>
            <w:t>第六章  投标文件格式</w:t>
          </w:r>
          <w:r>
            <w:tab/>
          </w:r>
          <w:r>
            <w:fldChar w:fldCharType="begin"/>
          </w:r>
          <w:r>
            <w:instrText xml:space="preserve"> PAGEREF _Toc15716 \h </w:instrText>
          </w:r>
          <w:r>
            <w:fldChar w:fldCharType="separate"/>
          </w:r>
          <w:r>
            <w:t>57</w:t>
          </w:r>
          <w:r>
            <w:fldChar w:fldCharType="end"/>
          </w:r>
          <w:r>
            <w:fldChar w:fldCharType="end"/>
          </w:r>
        </w:p>
        <w:p>
          <w:pPr>
            <w:pStyle w:val="34"/>
            <w:tabs>
              <w:tab w:val="right" w:leader="dot" w:pos="8459"/>
            </w:tabs>
          </w:pPr>
          <w:r>
            <w:fldChar w:fldCharType="begin"/>
          </w:r>
          <w:r>
            <w:instrText xml:space="preserve"> HYPERLINK \l "_Toc11931" </w:instrText>
          </w:r>
          <w:r>
            <w:fldChar w:fldCharType="separate"/>
          </w:r>
          <w:r>
            <w:rPr>
              <w:rFonts w:hint="eastAsia"/>
            </w:rPr>
            <w:t>第一部分、资格审查文件部分</w:t>
          </w:r>
          <w:r>
            <w:tab/>
          </w:r>
          <w:r>
            <w:fldChar w:fldCharType="begin"/>
          </w:r>
          <w:r>
            <w:instrText xml:space="preserve"> PAGEREF _Toc11931 \h </w:instrText>
          </w:r>
          <w:r>
            <w:fldChar w:fldCharType="separate"/>
          </w:r>
          <w:r>
            <w:t>59</w:t>
          </w:r>
          <w:r>
            <w:fldChar w:fldCharType="end"/>
          </w:r>
          <w:r>
            <w:fldChar w:fldCharType="end"/>
          </w:r>
        </w:p>
        <w:p>
          <w:pPr>
            <w:pStyle w:val="34"/>
            <w:tabs>
              <w:tab w:val="right" w:leader="dot" w:pos="8459"/>
            </w:tabs>
          </w:pPr>
          <w:r>
            <w:fldChar w:fldCharType="begin"/>
          </w:r>
          <w:r>
            <w:instrText xml:space="preserve"> HYPERLINK \l "_Toc17676" </w:instrText>
          </w:r>
          <w:r>
            <w:fldChar w:fldCharType="separate"/>
          </w:r>
          <w:r>
            <w:rPr>
              <w:rFonts w:hint="eastAsia"/>
            </w:rPr>
            <w:t>第二部分、技术和商务文件部分</w:t>
          </w:r>
          <w:r>
            <w:tab/>
          </w:r>
          <w:r>
            <w:fldChar w:fldCharType="begin"/>
          </w:r>
          <w:r>
            <w:instrText xml:space="preserve"> PAGEREF _Toc17676 \h </w:instrText>
          </w:r>
          <w:r>
            <w:fldChar w:fldCharType="separate"/>
          </w:r>
          <w:r>
            <w:t>74</w:t>
          </w:r>
          <w:r>
            <w:fldChar w:fldCharType="end"/>
          </w:r>
          <w:r>
            <w:fldChar w:fldCharType="end"/>
          </w:r>
        </w:p>
        <w:p>
          <w:r>
            <w:fldChar w:fldCharType="end"/>
          </w:r>
        </w:p>
      </w:sdtContent>
    </w:sdt>
    <w:p>
      <w:pPr>
        <w:pStyle w:val="3"/>
        <w:rPr>
          <w:rFonts w:hint="eastAsia"/>
          <w:sz w:val="32"/>
          <w:szCs w:val="32"/>
        </w:rPr>
        <w:sectPr>
          <w:footerReference r:id="rId6" w:type="default"/>
          <w:footerReference r:id="rId7" w:type="even"/>
          <w:pgSz w:w="11906" w:h="16838"/>
          <w:pgMar w:top="1440" w:right="1440" w:bottom="1440" w:left="1440" w:header="567" w:footer="284" w:gutter="567"/>
          <w:pgNumType w:start="0"/>
          <w:cols w:space="720" w:num="1"/>
          <w:titlePg/>
          <w:docGrid w:type="lines" w:linePitch="312" w:charSpace="0"/>
        </w:sectPr>
      </w:pPr>
      <w:bookmarkStart w:id="15" w:name="_Toc23488"/>
    </w:p>
    <w:p>
      <w:pPr>
        <w:pStyle w:val="3"/>
        <w:rPr>
          <w:rFonts w:ascii="宋体" w:hAnsi="宋体"/>
          <w:sz w:val="32"/>
          <w:szCs w:val="32"/>
        </w:rPr>
      </w:pPr>
      <w:r>
        <w:rPr>
          <w:sz w:val="32"/>
          <w:szCs w:val="32"/>
        </w:rPr>
        <mc:AlternateContent>
          <mc:Choice Requires="wps">
            <w:drawing>
              <wp:anchor distT="0" distB="0" distL="114300" distR="114300" simplePos="0" relativeHeight="251660288" behindDoc="1" locked="0" layoutInCell="1" allowOverlap="1">
                <wp:simplePos x="0" y="0"/>
                <wp:positionH relativeFrom="page">
                  <wp:posOffset>735330</wp:posOffset>
                </wp:positionH>
                <wp:positionV relativeFrom="paragraph">
                  <wp:posOffset>746125</wp:posOffset>
                </wp:positionV>
                <wp:extent cx="6083935" cy="1334770"/>
                <wp:effectExtent l="0" t="0" r="12065" b="17780"/>
                <wp:wrapTopAndBottom/>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083935" cy="1334770"/>
                        </a:xfrm>
                        <a:prstGeom prst="rect">
                          <a:avLst/>
                        </a:prstGeom>
                        <a:noFill/>
                        <a:ln w="6096">
                          <a:solidFill>
                            <a:srgbClr val="000000"/>
                          </a:solidFill>
                          <a:miter lim="800000"/>
                        </a:ln>
                      </wps:spPr>
                      <wps:txbx>
                        <w:txbxContent>
                          <w:p>
                            <w:pPr>
                              <w:pStyle w:val="16"/>
                              <w:spacing w:before="149"/>
                              <w:ind w:left="561"/>
                              <w:rPr>
                                <w:rFonts w:ascii="宋体" w:hAnsi="宋体" w:cs="宋体"/>
                                <w:sz w:val="24"/>
                                <w:szCs w:val="24"/>
                              </w:rPr>
                            </w:pPr>
                            <w:r>
                              <w:rPr>
                                <w:rFonts w:hint="eastAsia" w:ascii="宋体" w:hAnsi="宋体" w:cs="宋体"/>
                                <w:sz w:val="24"/>
                                <w:szCs w:val="24"/>
                              </w:rPr>
                              <w:t>项目概况</w:t>
                            </w:r>
                          </w:p>
                          <w:p>
                            <w:pPr>
                              <w:pStyle w:val="16"/>
                              <w:spacing w:before="74" w:line="271" w:lineRule="auto"/>
                              <w:ind w:left="81" w:right="70" w:firstLine="480"/>
                              <w:rPr>
                                <w:rFonts w:ascii="宋体" w:hAnsi="宋体" w:cs="宋体"/>
                                <w:sz w:val="24"/>
                                <w:szCs w:val="24"/>
                              </w:rPr>
                            </w:pPr>
                            <w:r>
                              <w:rPr>
                                <w:rFonts w:hint="eastAsia" w:ascii="宋体" w:hAnsi="宋体" w:cs="宋体"/>
                                <w:sz w:val="24"/>
                                <w:szCs w:val="24"/>
                                <w:u w:val="single"/>
                              </w:rPr>
                              <w:t>西安高新区草堂科技产业园市政道路、给排水管网养护及园区防汛项目</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二次</w:t>
                            </w:r>
                            <w:r>
                              <w:rPr>
                                <w:rFonts w:hint="eastAsia" w:ascii="宋体" w:hAnsi="宋体" w:cs="宋体"/>
                                <w:sz w:val="24"/>
                                <w:szCs w:val="24"/>
                                <w:u w:val="single"/>
                                <w:lang w:eastAsia="zh-CN"/>
                              </w:rPr>
                              <w:t>）</w:t>
                            </w:r>
                            <w:r>
                              <w:rPr>
                                <w:rFonts w:hint="eastAsia" w:ascii="宋体" w:hAnsi="宋体" w:cs="宋体"/>
                                <w:spacing w:val="7"/>
                                <w:sz w:val="24"/>
                                <w:szCs w:val="24"/>
                              </w:rPr>
                              <w:t>的潜在投标人应在</w:t>
                            </w:r>
                            <w:r>
                              <w:rPr>
                                <w:rFonts w:hint="eastAsia" w:ascii="宋体" w:hAnsi="宋体" w:cs="宋体"/>
                                <w:spacing w:val="3"/>
                                <w:sz w:val="24"/>
                                <w:szCs w:val="24"/>
                                <w:u w:val="single"/>
                              </w:rPr>
                              <w:t>全国公共资源交易平台（陕西省·西安市）网站【首页）电子交易平台）陕西政府采购交易系统）企业端】</w:t>
                            </w:r>
                            <w:r>
                              <w:rPr>
                                <w:rFonts w:hint="eastAsia" w:ascii="宋体" w:hAnsi="宋体" w:cs="宋体"/>
                                <w:spacing w:val="3"/>
                                <w:sz w:val="24"/>
                                <w:szCs w:val="24"/>
                              </w:rPr>
                              <w:t>获取招标文件，并</w:t>
                            </w:r>
                            <w:r>
                              <w:rPr>
                                <w:rFonts w:hint="eastAsia" w:ascii="宋体" w:hAnsi="宋体" w:cs="宋体"/>
                                <w:sz w:val="24"/>
                                <w:szCs w:val="24"/>
                                <w:u w:val="single"/>
                              </w:rPr>
                              <w:t>于2023 年0</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月 </w:t>
                            </w:r>
                            <w:r>
                              <w:rPr>
                                <w:rFonts w:hint="eastAsia" w:ascii="宋体" w:hAnsi="宋体" w:cs="宋体"/>
                                <w:sz w:val="24"/>
                                <w:szCs w:val="24"/>
                                <w:u w:val="single"/>
                                <w:lang w:val="en-US" w:eastAsia="zh-CN"/>
                              </w:rPr>
                              <w:t>8</w:t>
                            </w:r>
                            <w:r>
                              <w:rPr>
                                <w:rFonts w:hint="eastAsia" w:ascii="宋体" w:hAnsi="宋体" w:cs="宋体"/>
                                <w:sz w:val="24"/>
                                <w:szCs w:val="24"/>
                                <w:u w:val="single"/>
                              </w:rPr>
                              <w:t>日 0 9时</w:t>
                            </w:r>
                            <w:r>
                              <w:rPr>
                                <w:rFonts w:hint="eastAsia" w:ascii="宋体" w:hAnsi="宋体" w:cs="宋体"/>
                                <w:sz w:val="24"/>
                                <w:szCs w:val="24"/>
                                <w:u w:val="single"/>
                                <w:lang w:val="en-US" w:eastAsia="zh-CN"/>
                              </w:rPr>
                              <w:t>00</w:t>
                            </w:r>
                            <w:r>
                              <w:rPr>
                                <w:rFonts w:hint="eastAsia" w:ascii="宋体" w:hAnsi="宋体" w:cs="宋体"/>
                                <w:sz w:val="24"/>
                                <w:szCs w:val="24"/>
                                <w:u w:val="single"/>
                              </w:rPr>
                              <w:t xml:space="preserve"> 分（</w:t>
                            </w:r>
                            <w:r>
                              <w:rPr>
                                <w:rFonts w:hint="eastAsia" w:ascii="宋体" w:hAnsi="宋体" w:cs="宋体"/>
                                <w:spacing w:val="3"/>
                                <w:sz w:val="24"/>
                                <w:szCs w:val="24"/>
                              </w:rPr>
                              <w:t>北京时间）前递交投标文件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7.9pt;margin-top:58.75pt;height:105.1pt;width:479.05pt;mso-position-horizontal-relative:page;mso-wrap-distance-bottom:0pt;mso-wrap-distance-top:0pt;z-index:-251656192;mso-width-relative:page;mso-height-relative:page;" filled="f" stroked="t" coordsize="21600,21600" o:gfxdata="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BFYdcAAAAMAQAADwAAAAAAAAABACAAAAAiAAAAZHJzL2Rvd25yZXYu&#10;eG1sUEsBAhQAFAAAAAgAh07iQOT6VaQ1AgAATwQAAA4AAAAAAAAAAQAgAAAAJgEAAGRycy9lMm9E&#10;b2MueG1sUEsFBgAAAAAGAAYAWQEAAM0FAAAAAA==&#10;">
                <v:fill on="f" focussize="0,0"/>
                <v:stroke weight="0.48pt" color="#000000" miterlimit="8" joinstyle="miter"/>
                <v:imagedata o:title=""/>
                <o:lock v:ext="edit" aspectratio="f"/>
                <v:textbox inset="0mm,0mm,0mm,0mm">
                  <w:txbxContent>
                    <w:p>
                      <w:pPr>
                        <w:pStyle w:val="16"/>
                        <w:spacing w:before="149"/>
                        <w:ind w:left="561"/>
                        <w:rPr>
                          <w:rFonts w:ascii="宋体" w:hAnsi="宋体" w:cs="宋体"/>
                          <w:sz w:val="24"/>
                          <w:szCs w:val="24"/>
                        </w:rPr>
                      </w:pPr>
                      <w:r>
                        <w:rPr>
                          <w:rFonts w:hint="eastAsia" w:ascii="宋体" w:hAnsi="宋体" w:cs="宋体"/>
                          <w:sz w:val="24"/>
                          <w:szCs w:val="24"/>
                        </w:rPr>
                        <w:t>项目概况</w:t>
                      </w:r>
                    </w:p>
                    <w:p>
                      <w:pPr>
                        <w:pStyle w:val="16"/>
                        <w:spacing w:before="74" w:line="271" w:lineRule="auto"/>
                        <w:ind w:left="81" w:right="70" w:firstLine="480"/>
                        <w:rPr>
                          <w:rFonts w:ascii="宋体" w:hAnsi="宋体" w:cs="宋体"/>
                          <w:sz w:val="24"/>
                          <w:szCs w:val="24"/>
                        </w:rPr>
                      </w:pPr>
                      <w:r>
                        <w:rPr>
                          <w:rFonts w:hint="eastAsia" w:ascii="宋体" w:hAnsi="宋体" w:cs="宋体"/>
                          <w:sz w:val="24"/>
                          <w:szCs w:val="24"/>
                          <w:u w:val="single"/>
                        </w:rPr>
                        <w:t>西安高新区草堂科技产业园市政道路、给排水管网养护及园区防汛项目</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二次</w:t>
                      </w:r>
                      <w:r>
                        <w:rPr>
                          <w:rFonts w:hint="eastAsia" w:ascii="宋体" w:hAnsi="宋体" w:cs="宋体"/>
                          <w:sz w:val="24"/>
                          <w:szCs w:val="24"/>
                          <w:u w:val="single"/>
                          <w:lang w:eastAsia="zh-CN"/>
                        </w:rPr>
                        <w:t>）</w:t>
                      </w:r>
                      <w:r>
                        <w:rPr>
                          <w:rFonts w:hint="eastAsia" w:ascii="宋体" w:hAnsi="宋体" w:cs="宋体"/>
                          <w:spacing w:val="7"/>
                          <w:sz w:val="24"/>
                          <w:szCs w:val="24"/>
                        </w:rPr>
                        <w:t>的潜在投标人应在</w:t>
                      </w:r>
                      <w:r>
                        <w:rPr>
                          <w:rFonts w:hint="eastAsia" w:ascii="宋体" w:hAnsi="宋体" w:cs="宋体"/>
                          <w:spacing w:val="3"/>
                          <w:sz w:val="24"/>
                          <w:szCs w:val="24"/>
                          <w:u w:val="single"/>
                        </w:rPr>
                        <w:t>全国公共资源交易平台（陕西省·西安市）网站【首页）电子交易平台）陕西政府采购交易系统）企业端】</w:t>
                      </w:r>
                      <w:r>
                        <w:rPr>
                          <w:rFonts w:hint="eastAsia" w:ascii="宋体" w:hAnsi="宋体" w:cs="宋体"/>
                          <w:spacing w:val="3"/>
                          <w:sz w:val="24"/>
                          <w:szCs w:val="24"/>
                        </w:rPr>
                        <w:t>获取招标文件，并</w:t>
                      </w:r>
                      <w:r>
                        <w:rPr>
                          <w:rFonts w:hint="eastAsia" w:ascii="宋体" w:hAnsi="宋体" w:cs="宋体"/>
                          <w:sz w:val="24"/>
                          <w:szCs w:val="24"/>
                          <w:u w:val="single"/>
                        </w:rPr>
                        <w:t>于2023 年0</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月 </w:t>
                      </w:r>
                      <w:r>
                        <w:rPr>
                          <w:rFonts w:hint="eastAsia" w:ascii="宋体" w:hAnsi="宋体" w:cs="宋体"/>
                          <w:sz w:val="24"/>
                          <w:szCs w:val="24"/>
                          <w:u w:val="single"/>
                          <w:lang w:val="en-US" w:eastAsia="zh-CN"/>
                        </w:rPr>
                        <w:t>8</w:t>
                      </w:r>
                      <w:r>
                        <w:rPr>
                          <w:rFonts w:hint="eastAsia" w:ascii="宋体" w:hAnsi="宋体" w:cs="宋体"/>
                          <w:sz w:val="24"/>
                          <w:szCs w:val="24"/>
                          <w:u w:val="single"/>
                        </w:rPr>
                        <w:t>日 0 9时</w:t>
                      </w:r>
                      <w:r>
                        <w:rPr>
                          <w:rFonts w:hint="eastAsia" w:ascii="宋体" w:hAnsi="宋体" w:cs="宋体"/>
                          <w:sz w:val="24"/>
                          <w:szCs w:val="24"/>
                          <w:u w:val="single"/>
                          <w:lang w:val="en-US" w:eastAsia="zh-CN"/>
                        </w:rPr>
                        <w:t>00</w:t>
                      </w:r>
                      <w:r>
                        <w:rPr>
                          <w:rFonts w:hint="eastAsia" w:ascii="宋体" w:hAnsi="宋体" w:cs="宋体"/>
                          <w:sz w:val="24"/>
                          <w:szCs w:val="24"/>
                          <w:u w:val="single"/>
                        </w:rPr>
                        <w:t xml:space="preserve"> 分（</w:t>
                      </w:r>
                      <w:r>
                        <w:rPr>
                          <w:rFonts w:hint="eastAsia" w:ascii="宋体" w:hAnsi="宋体" w:cs="宋体"/>
                          <w:spacing w:val="3"/>
                          <w:sz w:val="24"/>
                          <w:szCs w:val="24"/>
                        </w:rPr>
                        <w:t>北京时间）前递交投标文件</w:t>
                      </w:r>
                    </w:p>
                  </w:txbxContent>
                </v:textbox>
                <w10:wrap type="topAndBottom"/>
              </v:shape>
            </w:pict>
          </mc:Fallback>
        </mc:AlternateContent>
      </w:r>
      <w:r>
        <w:rPr>
          <w:rFonts w:hint="eastAsia"/>
          <w:sz w:val="32"/>
          <w:szCs w:val="32"/>
        </w:rPr>
        <w:t>第一章  招标公告</w:t>
      </w:r>
      <w:bookmarkEnd w:id="14"/>
      <w:bookmarkEnd w:id="15"/>
    </w:p>
    <w:p>
      <w:pPr>
        <w:spacing w:line="360" w:lineRule="auto"/>
        <w:outlineLvl w:val="1"/>
        <w:rPr>
          <w:rFonts w:ascii="宋体" w:hAnsi="宋体"/>
          <w:b/>
          <w:kern w:val="0"/>
          <w:sz w:val="30"/>
          <w:szCs w:val="30"/>
        </w:rPr>
      </w:pPr>
      <w:bookmarkStart w:id="16" w:name="_Toc9191"/>
      <w:bookmarkStart w:id="17" w:name="_Toc16892"/>
      <w:r>
        <w:rPr>
          <w:rFonts w:hint="eastAsia" w:ascii="宋体" w:hAnsi="宋体"/>
          <w:b/>
          <w:kern w:val="0"/>
          <w:sz w:val="30"/>
          <w:szCs w:val="30"/>
        </w:rPr>
        <w:t>一、项目基本情况：</w:t>
      </w:r>
      <w:bookmarkEnd w:id="16"/>
      <w:bookmarkEnd w:id="17"/>
    </w:p>
    <w:p>
      <w:pPr>
        <w:spacing w:line="360" w:lineRule="auto"/>
        <w:ind w:firstLine="480" w:firstLineChars="200"/>
        <w:rPr>
          <w:rFonts w:hint="eastAsia" w:ascii="宋体" w:hAnsi="宋体"/>
          <w:sz w:val="24"/>
          <w:lang w:val="zh-CN"/>
        </w:rPr>
      </w:pPr>
      <w:r>
        <w:rPr>
          <w:rFonts w:hint="eastAsia" w:ascii="宋体" w:hAnsi="宋体"/>
          <w:sz w:val="24"/>
          <w:lang w:val="zh-CN"/>
        </w:rPr>
        <w:t>1、项目编号：DZDL-2022-088.1B1</w:t>
      </w:r>
    </w:p>
    <w:p>
      <w:pPr>
        <w:spacing w:line="360" w:lineRule="auto"/>
        <w:ind w:firstLine="480" w:firstLineChars="200"/>
        <w:rPr>
          <w:rFonts w:ascii="宋体" w:hAnsi="宋体"/>
          <w:kern w:val="0"/>
          <w:sz w:val="24"/>
          <w:lang w:val="zh-CN"/>
        </w:rPr>
      </w:pPr>
      <w:r>
        <w:rPr>
          <w:rFonts w:hint="eastAsia" w:ascii="宋体" w:hAnsi="宋体"/>
          <w:kern w:val="0"/>
          <w:sz w:val="24"/>
          <w:lang w:val="zh-CN"/>
        </w:rPr>
        <w:t>2、项目名称：</w:t>
      </w:r>
      <w:r>
        <w:rPr>
          <w:rFonts w:hint="eastAsia" w:ascii="宋体" w:hAnsi="宋体"/>
          <w:sz w:val="24"/>
          <w:lang w:val="zh-CN"/>
        </w:rPr>
        <w:t>西安高新区草堂科技产业园市政道路、给排水管网养护及园区防汛项目</w:t>
      </w:r>
      <w:r>
        <w:rPr>
          <w:rFonts w:hint="eastAsia" w:ascii="宋体" w:hAnsi="宋体" w:cs="宋体"/>
          <w:sz w:val="24"/>
          <w:szCs w:val="24"/>
          <w:u w:val="none"/>
          <w:lang w:eastAsia="zh-CN"/>
        </w:rPr>
        <w:t>（</w:t>
      </w:r>
      <w:r>
        <w:rPr>
          <w:rFonts w:hint="eastAsia" w:ascii="宋体" w:hAnsi="宋体" w:cs="宋体"/>
          <w:sz w:val="24"/>
          <w:szCs w:val="24"/>
          <w:u w:val="none"/>
          <w:lang w:val="en-US" w:eastAsia="zh-CN"/>
        </w:rPr>
        <w:t>二次）</w:t>
      </w:r>
    </w:p>
    <w:p>
      <w:pPr>
        <w:spacing w:line="360" w:lineRule="auto"/>
        <w:ind w:firstLine="480" w:firstLineChars="200"/>
        <w:rPr>
          <w:rFonts w:ascii="宋体" w:hAnsi="宋体"/>
          <w:kern w:val="0"/>
          <w:sz w:val="24"/>
          <w:lang w:val="zh-CN"/>
        </w:rPr>
      </w:pPr>
      <w:r>
        <w:rPr>
          <w:rFonts w:hint="eastAsia" w:ascii="宋体" w:hAnsi="宋体"/>
          <w:kern w:val="0"/>
          <w:sz w:val="24"/>
          <w:lang w:val="zh-CN"/>
        </w:rPr>
        <w:t>3、预算金额：</w:t>
      </w:r>
      <w:r>
        <w:rPr>
          <w:rFonts w:hint="eastAsia" w:ascii="宋体" w:hAnsi="宋体"/>
          <w:kern w:val="0"/>
          <w:sz w:val="24"/>
        </w:rPr>
        <w:t>21951800.00</w:t>
      </w:r>
      <w:r>
        <w:rPr>
          <w:rFonts w:hint="eastAsia" w:ascii="宋体" w:hAnsi="宋体"/>
          <w:kern w:val="0"/>
          <w:sz w:val="24"/>
          <w:lang w:val="zh-CN"/>
        </w:rPr>
        <w:t>元</w:t>
      </w:r>
    </w:p>
    <w:p>
      <w:pPr>
        <w:spacing w:line="360" w:lineRule="auto"/>
        <w:ind w:firstLine="480" w:firstLineChars="200"/>
        <w:rPr>
          <w:rFonts w:hint="eastAsia" w:ascii="宋体" w:hAnsi="宋体" w:eastAsia="宋体"/>
          <w:kern w:val="0"/>
          <w:sz w:val="24"/>
          <w:lang w:val="en-US" w:eastAsia="zh-CN"/>
        </w:rPr>
      </w:pPr>
      <w:r>
        <w:rPr>
          <w:rFonts w:hint="eastAsia" w:ascii="宋体" w:hAnsi="宋体"/>
          <w:sz w:val="24"/>
        </w:rPr>
        <w:t>4、</w:t>
      </w:r>
      <w:r>
        <w:rPr>
          <w:rFonts w:hint="eastAsia" w:ascii="宋体" w:hAnsi="宋体"/>
          <w:sz w:val="24"/>
          <w:highlight w:val="none"/>
        </w:rPr>
        <w:t>最高限价：</w:t>
      </w:r>
      <w:r>
        <w:rPr>
          <w:rFonts w:hint="eastAsia" w:ascii="宋体" w:hAnsi="宋体"/>
          <w:kern w:val="0"/>
          <w:sz w:val="24"/>
          <w:highlight w:val="none"/>
        </w:rPr>
        <w:t>21951800.00</w:t>
      </w:r>
      <w:r>
        <w:rPr>
          <w:rFonts w:hint="eastAsia" w:ascii="宋体" w:hAnsi="宋体"/>
          <w:kern w:val="0"/>
          <w:sz w:val="24"/>
          <w:highlight w:val="none"/>
          <w:lang w:val="en-US" w:eastAsia="zh-CN"/>
        </w:rPr>
        <w:t>元</w:t>
      </w:r>
    </w:p>
    <w:p>
      <w:pPr>
        <w:spacing w:line="360" w:lineRule="auto"/>
        <w:ind w:firstLine="480" w:firstLineChars="200"/>
        <w:rPr>
          <w:rFonts w:ascii="宋体" w:hAnsi="宋体"/>
          <w:sz w:val="24"/>
          <w:lang w:val="zh-CN"/>
        </w:rPr>
      </w:pPr>
      <w:r>
        <w:rPr>
          <w:rFonts w:hint="eastAsia" w:ascii="宋体" w:hAnsi="宋体"/>
          <w:sz w:val="24"/>
        </w:rPr>
        <w:t>5</w:t>
      </w:r>
      <w:r>
        <w:rPr>
          <w:rFonts w:hint="eastAsia" w:ascii="宋体" w:hAnsi="宋体"/>
          <w:sz w:val="24"/>
          <w:lang w:val="zh-CN"/>
        </w:rPr>
        <w:t>、采购需求：西安高新区草堂科技产业园市政道路、给排水管网养护及园区防汛项目（二次），1项，预算金额：</w:t>
      </w:r>
      <w:r>
        <w:rPr>
          <w:rFonts w:hint="eastAsia" w:ascii="宋体" w:hAnsi="宋体"/>
          <w:sz w:val="24"/>
        </w:rPr>
        <w:t>21951800.00</w:t>
      </w:r>
      <w:r>
        <w:rPr>
          <w:rFonts w:hint="eastAsia" w:ascii="宋体" w:hAnsi="宋体"/>
          <w:sz w:val="24"/>
          <w:lang w:val="zh-CN"/>
        </w:rPr>
        <w:t xml:space="preserve">元。项目概况：该项目位于草堂科技产业园内简要技术要求、用途：市政养护 </w:t>
      </w:r>
    </w:p>
    <w:p>
      <w:pPr>
        <w:spacing w:line="360" w:lineRule="auto"/>
        <w:ind w:firstLine="480" w:firstLineChars="200"/>
        <w:rPr>
          <w:rFonts w:hint="eastAsia" w:ascii="宋体" w:hAnsi="宋体"/>
          <w:kern w:val="0"/>
          <w:sz w:val="24"/>
          <w:lang w:val="zh-CN"/>
        </w:rPr>
      </w:pPr>
      <w:r>
        <w:rPr>
          <w:rFonts w:hint="eastAsia" w:ascii="宋体" w:hAnsi="宋体"/>
          <w:sz w:val="24"/>
          <w:lang w:val="zh-CN"/>
        </w:rPr>
        <w:t>6、合同履</w:t>
      </w:r>
      <w:r>
        <w:rPr>
          <w:rFonts w:hint="eastAsia" w:ascii="宋体" w:hAnsi="宋体"/>
          <w:kern w:val="0"/>
          <w:sz w:val="24"/>
          <w:lang w:val="zh-CN"/>
        </w:rPr>
        <w:t>行期限：1 年</w:t>
      </w:r>
    </w:p>
    <w:p>
      <w:pPr>
        <w:spacing w:line="360" w:lineRule="auto"/>
        <w:ind w:firstLine="480" w:firstLineChars="200"/>
        <w:rPr>
          <w:rFonts w:ascii="宋体" w:hAnsi="宋体"/>
          <w:kern w:val="0"/>
          <w:sz w:val="24"/>
          <w:lang w:val="zh-CN"/>
        </w:rPr>
      </w:pPr>
      <w:r>
        <w:rPr>
          <w:rFonts w:hint="eastAsia" w:ascii="宋体" w:hAnsi="宋体"/>
          <w:kern w:val="0"/>
          <w:sz w:val="24"/>
          <w:lang w:val="zh-CN"/>
        </w:rPr>
        <w:t>7、本项目不接受联合体投标</w:t>
      </w:r>
    </w:p>
    <w:p>
      <w:pPr>
        <w:spacing w:line="360" w:lineRule="auto"/>
        <w:outlineLvl w:val="1"/>
        <w:rPr>
          <w:rFonts w:ascii="宋体" w:hAnsi="宋体"/>
          <w:b/>
          <w:kern w:val="0"/>
          <w:sz w:val="30"/>
          <w:szCs w:val="30"/>
        </w:rPr>
      </w:pPr>
      <w:bookmarkStart w:id="18" w:name="_Toc17871"/>
      <w:bookmarkStart w:id="19" w:name="_Toc10957"/>
      <w:r>
        <w:rPr>
          <w:rFonts w:hint="eastAsia" w:ascii="宋体" w:hAnsi="宋体"/>
          <w:b/>
          <w:kern w:val="0"/>
          <w:sz w:val="30"/>
          <w:szCs w:val="30"/>
        </w:rPr>
        <w:t>二、 投标人的资格要求</w:t>
      </w:r>
      <w:bookmarkEnd w:id="18"/>
      <w:bookmarkEnd w:id="19"/>
    </w:p>
    <w:p>
      <w:pPr>
        <w:spacing w:line="360" w:lineRule="auto"/>
        <w:ind w:firstLine="480" w:firstLineChars="200"/>
        <w:rPr>
          <w:rFonts w:ascii="宋体" w:hAnsi="宋体"/>
          <w:kern w:val="0"/>
          <w:sz w:val="24"/>
          <w:lang w:val="zh-CN"/>
        </w:rPr>
      </w:pPr>
      <w:r>
        <w:rPr>
          <w:rFonts w:hint="eastAsia" w:ascii="宋体" w:hAnsi="宋体"/>
          <w:kern w:val="0"/>
          <w:sz w:val="24"/>
          <w:lang w:val="zh-CN"/>
        </w:rPr>
        <w:t>1、满足《中华人民共和国政府采购法》第二十二条规定</w:t>
      </w:r>
    </w:p>
    <w:p>
      <w:pPr>
        <w:spacing w:line="360" w:lineRule="auto"/>
        <w:ind w:firstLine="480" w:firstLineChars="200"/>
        <w:rPr>
          <w:rFonts w:ascii="宋体" w:hAnsi="宋体"/>
          <w:kern w:val="0"/>
          <w:sz w:val="24"/>
          <w:lang w:val="zh-CN"/>
        </w:rPr>
      </w:pPr>
      <w:r>
        <w:rPr>
          <w:rFonts w:hint="eastAsia" w:ascii="宋体" w:hAnsi="宋体"/>
          <w:kern w:val="0"/>
          <w:sz w:val="24"/>
          <w:lang w:val="zh-CN"/>
        </w:rPr>
        <w:t>2、落实政府采购政策需满足的资格要求：（1）《财政部国家发展改革委关于印发〈节能产品政府采购实施意见〉的通知》（财库〔2004〕185号）； （2）《国务院办公厅关于建立政府强制采购节能产品制度的通知》（国办发〔2007〕51号）； （3）《关于环境标志产品政府采购实施的意见》（财库〔2006〕90号）； （4）《关于印发〈政府采购促进中小企业发展管理办法〉的通知》（财库〔2020〕46号）； （5）《财政部司法部关于政府采购支持监狱企业发展有关问题的通知》（财库〔2014〕68号）； （6）《关于促进残疾人就业政府采购政策的通知》（财库〔2017〕141号）； （7）《财政部发展改革委生态环境部市场监管总局关于调整优化节能产品、环境标志产品政府采购执行机制的通知》（财库〔2019〕9号）； （8）《关于运用政府采购政策支持脱贫攻坚的通知》（财库〔2019〕27号）；（9）《陕西省中小企业政府采购信用融资办法》（陕财办采〔2018〕23号）；（10）如有最新颁布的政府采购政策，按最新的文件执行。</w:t>
      </w:r>
    </w:p>
    <w:p>
      <w:pPr>
        <w:spacing w:line="360" w:lineRule="auto"/>
        <w:ind w:firstLine="240" w:firstLineChars="100"/>
        <w:rPr>
          <w:rFonts w:ascii="宋体" w:hAnsi="宋体"/>
          <w:kern w:val="0"/>
          <w:sz w:val="24"/>
          <w:lang w:val="zh-CN"/>
        </w:rPr>
      </w:pPr>
      <w:r>
        <w:rPr>
          <w:rFonts w:hint="eastAsia" w:ascii="宋体" w:hAnsi="宋体"/>
          <w:kern w:val="0"/>
          <w:sz w:val="24"/>
          <w:lang w:val="zh-CN"/>
        </w:rPr>
        <w:t>注：本项目专门面向中小企业采购。</w:t>
      </w:r>
    </w:p>
    <w:p>
      <w:pPr>
        <w:spacing w:line="360" w:lineRule="auto"/>
        <w:ind w:left="120" w:firstLine="480" w:firstLineChars="200"/>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本项目的特定资格要求：（1）具有独立承担民事责任能力的法人、其他组织或自然人，并出具合法有效的营业执照或事业单位法人证书等国家规定的相关证明，自然人参与的提供其身份证明；</w:t>
      </w:r>
      <w:r>
        <w:rPr>
          <w:rFonts w:hint="eastAsia" w:ascii="宋体" w:hAnsi="宋体"/>
          <w:kern w:val="0"/>
          <w:sz w:val="24"/>
          <w:highlight w:val="none"/>
          <w:lang w:val="zh-CN"/>
        </w:rPr>
        <w:t xml:space="preserve">（2） </w:t>
      </w:r>
      <w:r>
        <w:rPr>
          <w:rFonts w:hint="eastAsia" w:ascii="宋体" w:hAnsi="宋体"/>
          <w:kern w:val="0"/>
          <w:sz w:val="24"/>
          <w:lang w:val="zh-CN"/>
        </w:rPr>
        <w:t>企业法定代表人授权书（附法定代表人有效身份证复印件，法定代表人直接参加只须提供法定代表人有效身份证）及被授权人有效身份证原件和复印件；（3）供应商须具备建设行政主管部门颁发的市政公用工程施工总承包</w:t>
      </w:r>
      <w:r>
        <w:rPr>
          <w:rFonts w:hint="eastAsia" w:ascii="宋体" w:hAnsi="宋体"/>
          <w:kern w:val="0"/>
          <w:sz w:val="24"/>
        </w:rPr>
        <w:t>三</w:t>
      </w:r>
      <w:r>
        <w:rPr>
          <w:rFonts w:hint="eastAsia" w:ascii="宋体" w:hAnsi="宋体"/>
          <w:kern w:val="0"/>
          <w:sz w:val="24"/>
          <w:lang w:val="zh-CN"/>
        </w:rPr>
        <w:t>级（含</w:t>
      </w:r>
      <w:r>
        <w:rPr>
          <w:rFonts w:hint="eastAsia" w:ascii="宋体" w:hAnsi="宋体"/>
          <w:kern w:val="0"/>
          <w:sz w:val="24"/>
        </w:rPr>
        <w:t>三</w:t>
      </w:r>
      <w:r>
        <w:rPr>
          <w:rFonts w:hint="eastAsia" w:ascii="宋体" w:hAnsi="宋体"/>
          <w:kern w:val="0"/>
          <w:sz w:val="24"/>
          <w:lang w:val="zh-CN"/>
        </w:rPr>
        <w:t>级）及以上资质并具有有效的安全生产许可证；（4）拟派项目经理须具备市政公用工程专业二级（含二级）及以上注册建造师证书，具备有效的安全生产考核合格证书（B证），且未担任其他在建工程项目的项目经理（</w:t>
      </w:r>
      <w:r>
        <w:rPr>
          <w:rFonts w:hint="eastAsia" w:ascii="宋体" w:hAnsi="宋体"/>
          <w:kern w:val="0"/>
          <w:sz w:val="24"/>
        </w:rPr>
        <w:t>提供承诺函</w:t>
      </w:r>
      <w:r>
        <w:rPr>
          <w:rFonts w:hint="eastAsia" w:ascii="宋体" w:hAnsi="宋体"/>
          <w:kern w:val="0"/>
          <w:sz w:val="24"/>
          <w:lang w:val="zh-CN"/>
        </w:rPr>
        <w:t>）；（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 （6）本项目不允许联合体</w:t>
      </w:r>
      <w:r>
        <w:rPr>
          <w:rFonts w:hint="eastAsia" w:ascii="宋体" w:hAnsi="宋体"/>
          <w:kern w:val="0"/>
          <w:sz w:val="24"/>
          <w:lang w:val="en-US" w:eastAsia="zh-CN"/>
        </w:rPr>
        <w:t>投标</w:t>
      </w:r>
      <w:r>
        <w:rPr>
          <w:rFonts w:hint="eastAsia" w:ascii="宋体" w:hAnsi="宋体"/>
          <w:kern w:val="0"/>
          <w:sz w:val="24"/>
          <w:lang w:val="zh-CN"/>
        </w:rPr>
        <w:t>。（非联合体声明，格式自拟）</w:t>
      </w:r>
    </w:p>
    <w:p>
      <w:pPr>
        <w:spacing w:line="360" w:lineRule="auto"/>
        <w:ind w:left="120" w:firstLine="301" w:firstLineChars="100"/>
        <w:outlineLvl w:val="1"/>
        <w:rPr>
          <w:rFonts w:ascii="宋体" w:hAnsi="宋体"/>
          <w:b/>
          <w:kern w:val="0"/>
          <w:sz w:val="30"/>
          <w:szCs w:val="30"/>
        </w:rPr>
      </w:pPr>
      <w:bookmarkStart w:id="20" w:name="_Toc2757"/>
      <w:bookmarkStart w:id="21" w:name="_Toc11899"/>
      <w:r>
        <w:rPr>
          <w:rFonts w:hint="eastAsia" w:ascii="宋体" w:hAnsi="宋体"/>
          <w:b/>
          <w:kern w:val="0"/>
          <w:sz w:val="30"/>
          <w:szCs w:val="30"/>
        </w:rPr>
        <w:t>三、 招标文件的获取方式</w:t>
      </w:r>
      <w:bookmarkEnd w:id="20"/>
      <w:bookmarkEnd w:id="21"/>
    </w:p>
    <w:p>
      <w:pPr>
        <w:spacing w:line="360" w:lineRule="auto"/>
        <w:ind w:firstLine="480" w:firstLineChars="200"/>
        <w:rPr>
          <w:rFonts w:ascii="宋体" w:hAnsi="宋体"/>
          <w:kern w:val="0"/>
          <w:sz w:val="24"/>
          <w:lang w:val="zh-CN"/>
        </w:rPr>
      </w:pPr>
      <w:r>
        <w:rPr>
          <w:rFonts w:hint="eastAsia" w:ascii="宋体" w:hAnsi="宋体"/>
          <w:kern w:val="0"/>
          <w:sz w:val="24"/>
          <w:lang w:val="zh-CN"/>
        </w:rPr>
        <w:t>时间：</w:t>
      </w:r>
      <w:r>
        <w:rPr>
          <w:rFonts w:hint="eastAsia" w:ascii="宋体" w:hAnsi="宋体"/>
          <w:color w:val="auto"/>
          <w:kern w:val="0"/>
          <w:sz w:val="24"/>
          <w:highlight w:val="none"/>
          <w:lang w:val="zh-CN"/>
        </w:rPr>
        <w:t>202</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年</w:t>
      </w:r>
      <w:r>
        <w:rPr>
          <w:rFonts w:hint="eastAsia" w:ascii="宋体" w:hAnsi="宋体"/>
          <w:color w:val="auto"/>
          <w:kern w:val="0"/>
          <w:sz w:val="24"/>
          <w:highlight w:val="none"/>
        </w:rPr>
        <w:t>1</w:t>
      </w:r>
      <w:r>
        <w:rPr>
          <w:rFonts w:hint="eastAsia" w:ascii="宋体" w:hAnsi="宋体"/>
          <w:color w:val="auto"/>
          <w:kern w:val="0"/>
          <w:sz w:val="24"/>
          <w:highlight w:val="none"/>
          <w:lang w:val="zh-CN"/>
        </w:rPr>
        <w:t xml:space="preserve">月 </w:t>
      </w:r>
      <w:r>
        <w:rPr>
          <w:rFonts w:hint="eastAsia" w:ascii="宋体" w:hAnsi="宋体"/>
          <w:color w:val="auto"/>
          <w:kern w:val="0"/>
          <w:sz w:val="24"/>
          <w:highlight w:val="none"/>
          <w:lang w:val="en-US" w:eastAsia="zh-CN"/>
        </w:rPr>
        <w:t>19</w:t>
      </w:r>
      <w:r>
        <w:rPr>
          <w:rFonts w:hint="eastAsia" w:ascii="宋体" w:hAnsi="宋体"/>
          <w:color w:val="auto"/>
          <w:kern w:val="0"/>
          <w:sz w:val="24"/>
          <w:highlight w:val="none"/>
          <w:lang w:val="zh-CN"/>
        </w:rPr>
        <w:t>日至202</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年</w:t>
      </w:r>
      <w:r>
        <w:rPr>
          <w:rFonts w:hint="eastAsia" w:ascii="宋体" w:hAnsi="宋体"/>
          <w:color w:val="auto"/>
          <w:kern w:val="0"/>
          <w:sz w:val="24"/>
          <w:highlight w:val="none"/>
        </w:rPr>
        <w:t>1</w:t>
      </w:r>
      <w:r>
        <w:rPr>
          <w:rFonts w:hint="eastAsia" w:ascii="宋体" w:hAnsi="宋体"/>
          <w:color w:val="auto"/>
          <w:kern w:val="0"/>
          <w:sz w:val="24"/>
          <w:highlight w:val="none"/>
          <w:lang w:val="zh-CN"/>
        </w:rPr>
        <w:t>月</w:t>
      </w:r>
      <w:r>
        <w:rPr>
          <w:rFonts w:hint="eastAsia" w:ascii="宋体" w:hAnsi="宋体"/>
          <w:color w:val="auto"/>
          <w:kern w:val="0"/>
          <w:sz w:val="24"/>
          <w:highlight w:val="none"/>
        </w:rPr>
        <w:t>30</w:t>
      </w:r>
      <w:r>
        <w:rPr>
          <w:rFonts w:hint="eastAsia" w:ascii="宋体" w:hAnsi="宋体"/>
          <w:color w:val="auto"/>
          <w:kern w:val="0"/>
          <w:sz w:val="24"/>
          <w:highlight w:val="none"/>
          <w:lang w:val="zh-CN"/>
        </w:rPr>
        <w:t xml:space="preserve"> 日，每天上午</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lang w:val="zh-CN"/>
        </w:rPr>
        <w:t xml:space="preserve">:00:00 至 12:00:00 ，下午 </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lang w:val="zh-CN"/>
        </w:rPr>
        <w:t xml:space="preserve">:00:00 至 </w:t>
      </w:r>
      <w:r>
        <w:rPr>
          <w:rFonts w:hint="eastAsia" w:ascii="宋体" w:hAnsi="宋体"/>
          <w:color w:val="auto"/>
          <w:kern w:val="0"/>
          <w:sz w:val="24"/>
          <w:highlight w:val="none"/>
          <w:lang w:val="en-US" w:eastAsia="zh-CN"/>
        </w:rPr>
        <w:t>23</w:t>
      </w:r>
      <w:r>
        <w:rPr>
          <w:rFonts w:hint="eastAsia" w:ascii="宋体" w:hAnsi="宋体"/>
          <w:color w:val="auto"/>
          <w:kern w:val="0"/>
          <w:sz w:val="24"/>
          <w:highlight w:val="none"/>
          <w:lang w:val="zh-CN"/>
        </w:rPr>
        <w:t>:</w:t>
      </w:r>
      <w:r>
        <w:rPr>
          <w:rFonts w:hint="eastAsia" w:ascii="宋体" w:hAnsi="宋体"/>
          <w:color w:val="auto"/>
          <w:kern w:val="0"/>
          <w:sz w:val="24"/>
          <w:highlight w:val="none"/>
          <w:lang w:val="en-US" w:eastAsia="zh-CN"/>
        </w:rPr>
        <w:t>59</w:t>
      </w:r>
      <w:r>
        <w:rPr>
          <w:rFonts w:hint="eastAsia" w:ascii="宋体" w:hAnsi="宋体"/>
          <w:color w:val="auto"/>
          <w:kern w:val="0"/>
          <w:sz w:val="24"/>
          <w:highlight w:val="none"/>
          <w:lang w:val="zh-CN"/>
        </w:rPr>
        <w:t>:</w:t>
      </w:r>
      <w:r>
        <w:rPr>
          <w:rFonts w:hint="eastAsia" w:ascii="宋体" w:hAnsi="宋体"/>
          <w:color w:val="auto"/>
          <w:kern w:val="0"/>
          <w:sz w:val="24"/>
          <w:highlight w:val="none"/>
          <w:lang w:val="en-US" w:eastAsia="zh-CN"/>
        </w:rPr>
        <w:t>59</w:t>
      </w:r>
      <w:r>
        <w:rPr>
          <w:rFonts w:hint="eastAsia" w:ascii="宋体" w:hAnsi="宋体"/>
          <w:color w:val="auto"/>
          <w:kern w:val="0"/>
          <w:sz w:val="24"/>
          <w:highlight w:val="none"/>
          <w:lang w:val="zh-CN"/>
        </w:rPr>
        <w:t>（北京时间）</w:t>
      </w:r>
    </w:p>
    <w:p>
      <w:pPr>
        <w:spacing w:line="360" w:lineRule="auto"/>
        <w:ind w:firstLine="480" w:firstLineChars="200"/>
        <w:rPr>
          <w:rFonts w:ascii="宋体" w:hAnsi="宋体"/>
          <w:kern w:val="0"/>
          <w:sz w:val="24"/>
          <w:lang w:val="zh-CN"/>
        </w:rPr>
      </w:pPr>
      <w:r>
        <w:rPr>
          <w:rFonts w:hint="eastAsia" w:ascii="宋体" w:hAnsi="宋体"/>
          <w:kern w:val="0"/>
          <w:sz w:val="24"/>
          <w:lang w:val="zh-CN"/>
        </w:rPr>
        <w:t>地点：</w:t>
      </w:r>
      <w:r>
        <w:rPr>
          <w:rFonts w:hint="eastAsia" w:ascii="宋体" w:hAnsi="宋体"/>
          <w:sz w:val="24"/>
        </w:rPr>
        <w:t>全国公共资源交易平台（陕西省·西安市）网站【首页〉电子交易平台〉陕西政府采购交易系统〉企业端】</w:t>
      </w:r>
    </w:p>
    <w:p>
      <w:pPr>
        <w:spacing w:line="360" w:lineRule="auto"/>
        <w:ind w:firstLine="480" w:firstLineChars="200"/>
        <w:rPr>
          <w:rFonts w:ascii="宋体" w:hAnsi="宋体"/>
          <w:kern w:val="0"/>
          <w:sz w:val="24"/>
          <w:lang w:val="zh-CN"/>
        </w:rPr>
      </w:pPr>
      <w:r>
        <w:rPr>
          <w:rFonts w:hint="eastAsia" w:ascii="宋体" w:hAnsi="宋体"/>
          <w:kern w:val="0"/>
          <w:sz w:val="24"/>
          <w:lang w:val="zh-CN"/>
        </w:rPr>
        <w:t>方式：在线获取</w:t>
      </w:r>
    </w:p>
    <w:p>
      <w:pPr>
        <w:spacing w:line="360" w:lineRule="auto"/>
        <w:ind w:firstLine="480" w:firstLineChars="200"/>
        <w:rPr>
          <w:rFonts w:ascii="宋体" w:hAnsi="宋体"/>
          <w:kern w:val="0"/>
          <w:sz w:val="24"/>
          <w:lang w:val="zh-CN"/>
        </w:rPr>
      </w:pPr>
      <w:r>
        <w:rPr>
          <w:rFonts w:hint="eastAsia" w:ascii="宋体" w:hAnsi="宋体"/>
          <w:kern w:val="0"/>
          <w:sz w:val="24"/>
          <w:lang w:val="zh-CN"/>
        </w:rPr>
        <w:t>售价：免费获取</w:t>
      </w:r>
    </w:p>
    <w:p>
      <w:pPr>
        <w:spacing w:line="360" w:lineRule="auto"/>
        <w:outlineLvl w:val="1"/>
        <w:rPr>
          <w:rFonts w:ascii="宋体" w:hAnsi="宋体"/>
          <w:b/>
          <w:kern w:val="0"/>
          <w:sz w:val="30"/>
          <w:szCs w:val="30"/>
        </w:rPr>
      </w:pPr>
      <w:bookmarkStart w:id="22" w:name="_Toc29446"/>
      <w:bookmarkStart w:id="23" w:name="_Toc30467"/>
      <w:r>
        <w:rPr>
          <w:rFonts w:hint="eastAsia" w:ascii="宋体" w:hAnsi="宋体"/>
          <w:b/>
          <w:kern w:val="0"/>
          <w:sz w:val="30"/>
          <w:szCs w:val="30"/>
        </w:rPr>
        <w:t>四、投标文件递交截止时间、开标时间和地点</w:t>
      </w:r>
      <w:bookmarkEnd w:id="22"/>
      <w:bookmarkEnd w:id="23"/>
    </w:p>
    <w:p>
      <w:pPr>
        <w:spacing w:line="360" w:lineRule="auto"/>
        <w:ind w:firstLine="480" w:firstLineChars="200"/>
        <w:rPr>
          <w:rFonts w:ascii="宋体" w:hAnsi="宋体"/>
          <w:kern w:val="0"/>
          <w:sz w:val="24"/>
          <w:lang w:val="zh-CN"/>
        </w:rPr>
      </w:pPr>
      <w:r>
        <w:rPr>
          <w:rFonts w:hint="eastAsia" w:ascii="宋体" w:hAnsi="宋体"/>
          <w:kern w:val="0"/>
          <w:sz w:val="24"/>
          <w:lang w:val="zh-CN"/>
        </w:rPr>
        <w:t>截止时间：202</w:t>
      </w:r>
      <w:r>
        <w:rPr>
          <w:rFonts w:hint="eastAsia" w:ascii="宋体" w:hAnsi="宋体"/>
          <w:color w:val="auto"/>
          <w:kern w:val="0"/>
          <w:sz w:val="24"/>
        </w:rPr>
        <w:t>3</w:t>
      </w:r>
      <w:r>
        <w:rPr>
          <w:rFonts w:hint="eastAsia" w:ascii="宋体" w:hAnsi="宋体"/>
          <w:color w:val="auto"/>
          <w:kern w:val="0"/>
          <w:sz w:val="24"/>
          <w:lang w:val="zh-CN"/>
        </w:rPr>
        <w:t xml:space="preserve"> 年 </w:t>
      </w:r>
      <w:r>
        <w:rPr>
          <w:rFonts w:hint="eastAsia" w:ascii="宋体" w:hAnsi="宋体"/>
          <w:color w:val="auto"/>
          <w:kern w:val="0"/>
          <w:sz w:val="24"/>
          <w:lang w:val="en-US" w:eastAsia="zh-CN"/>
        </w:rPr>
        <w:t>2</w:t>
      </w:r>
      <w:r>
        <w:rPr>
          <w:rFonts w:hint="eastAsia" w:ascii="宋体" w:hAnsi="宋体"/>
          <w:color w:val="auto"/>
          <w:kern w:val="0"/>
          <w:sz w:val="24"/>
          <w:lang w:val="zh-CN"/>
        </w:rPr>
        <w:t>月</w:t>
      </w:r>
      <w:r>
        <w:rPr>
          <w:rFonts w:hint="eastAsia" w:ascii="宋体" w:hAnsi="宋体"/>
          <w:color w:val="auto"/>
          <w:kern w:val="0"/>
          <w:sz w:val="24"/>
          <w:lang w:val="en-US" w:eastAsia="zh-CN"/>
        </w:rPr>
        <w:t>8</w:t>
      </w:r>
      <w:r>
        <w:rPr>
          <w:rFonts w:hint="eastAsia" w:ascii="宋体" w:hAnsi="宋体"/>
          <w:color w:val="auto"/>
          <w:kern w:val="0"/>
          <w:sz w:val="24"/>
          <w:lang w:val="zh-CN"/>
        </w:rPr>
        <w:t xml:space="preserve">日 </w:t>
      </w:r>
      <w:r>
        <w:rPr>
          <w:rFonts w:hint="eastAsia" w:ascii="宋体" w:hAnsi="宋体"/>
          <w:color w:val="auto"/>
          <w:kern w:val="0"/>
          <w:sz w:val="24"/>
        </w:rPr>
        <w:t>09</w:t>
      </w:r>
      <w:r>
        <w:rPr>
          <w:rFonts w:hint="eastAsia" w:ascii="宋体" w:hAnsi="宋体"/>
          <w:color w:val="auto"/>
          <w:kern w:val="0"/>
          <w:sz w:val="24"/>
          <w:lang w:val="zh-CN"/>
        </w:rPr>
        <w:t xml:space="preserve"> 时 </w:t>
      </w:r>
      <w:r>
        <w:rPr>
          <w:rFonts w:hint="eastAsia" w:ascii="宋体" w:hAnsi="宋体"/>
          <w:color w:val="auto"/>
          <w:kern w:val="0"/>
          <w:sz w:val="24"/>
          <w:lang w:val="en-US" w:eastAsia="zh-CN"/>
        </w:rPr>
        <w:t>00</w:t>
      </w:r>
      <w:r>
        <w:rPr>
          <w:rFonts w:hint="eastAsia" w:ascii="宋体" w:hAnsi="宋体"/>
          <w:color w:val="auto"/>
          <w:kern w:val="0"/>
          <w:sz w:val="24"/>
          <w:lang w:val="zh-CN"/>
        </w:rPr>
        <w:t xml:space="preserve">分 </w:t>
      </w:r>
      <w:r>
        <w:rPr>
          <w:rFonts w:hint="eastAsia" w:ascii="宋体" w:hAnsi="宋体"/>
          <w:kern w:val="0"/>
          <w:sz w:val="24"/>
          <w:lang w:val="zh-CN"/>
        </w:rPr>
        <w:t>00 秒 （北京时间）</w:t>
      </w:r>
    </w:p>
    <w:p>
      <w:pPr>
        <w:spacing w:line="360" w:lineRule="auto"/>
        <w:ind w:firstLine="480" w:firstLineChars="200"/>
        <w:rPr>
          <w:rFonts w:ascii="宋体" w:hAnsi="宋体"/>
          <w:kern w:val="0"/>
          <w:sz w:val="24"/>
          <w:lang w:val="zh-CN"/>
        </w:rPr>
      </w:pPr>
      <w:r>
        <w:rPr>
          <w:rFonts w:hint="eastAsia" w:ascii="宋体" w:hAnsi="宋体"/>
          <w:kern w:val="0"/>
          <w:sz w:val="24"/>
          <w:lang w:val="zh-CN"/>
        </w:rPr>
        <w:t>地点：全国公共资源交易平台（陕西省·西安市）网站〖首页〉电子交易平台〉陕西政府采购交易系统〉企业端〗，在线提交。</w:t>
      </w:r>
    </w:p>
    <w:p>
      <w:pPr>
        <w:spacing w:line="360" w:lineRule="auto"/>
        <w:outlineLvl w:val="1"/>
        <w:rPr>
          <w:rFonts w:ascii="宋体" w:hAnsi="宋体"/>
          <w:b/>
          <w:kern w:val="0"/>
          <w:sz w:val="30"/>
          <w:szCs w:val="30"/>
        </w:rPr>
      </w:pPr>
      <w:bookmarkStart w:id="24" w:name="_Toc3237"/>
      <w:bookmarkStart w:id="25" w:name="_Toc23437"/>
      <w:r>
        <w:rPr>
          <w:rFonts w:hint="eastAsia" w:ascii="宋体" w:hAnsi="宋体"/>
          <w:b/>
          <w:kern w:val="0"/>
          <w:sz w:val="30"/>
          <w:szCs w:val="30"/>
        </w:rPr>
        <w:t>五、公告期限</w:t>
      </w:r>
      <w:bookmarkEnd w:id="24"/>
      <w:bookmarkEnd w:id="25"/>
    </w:p>
    <w:p>
      <w:pPr>
        <w:spacing w:line="360" w:lineRule="auto"/>
        <w:ind w:firstLine="480" w:firstLineChars="200"/>
        <w:rPr>
          <w:rFonts w:ascii="宋体" w:hAnsi="宋体"/>
          <w:kern w:val="0"/>
          <w:sz w:val="24"/>
          <w:lang w:val="zh-CN"/>
        </w:rPr>
      </w:pPr>
      <w:r>
        <w:rPr>
          <w:rFonts w:hint="eastAsia" w:ascii="宋体" w:hAnsi="宋体"/>
          <w:kern w:val="0"/>
          <w:sz w:val="24"/>
          <w:lang w:val="zh-CN"/>
        </w:rPr>
        <w:t>自本公告发布之日起5个工作日。</w:t>
      </w:r>
    </w:p>
    <w:p>
      <w:pPr>
        <w:spacing w:line="360" w:lineRule="auto"/>
        <w:outlineLvl w:val="1"/>
        <w:rPr>
          <w:rFonts w:ascii="宋体" w:hAnsi="宋体"/>
          <w:b/>
          <w:kern w:val="0"/>
          <w:sz w:val="30"/>
          <w:szCs w:val="30"/>
        </w:rPr>
      </w:pPr>
      <w:bookmarkStart w:id="26" w:name="_Toc61"/>
      <w:bookmarkStart w:id="27" w:name="_Toc10760"/>
      <w:r>
        <w:rPr>
          <w:rFonts w:hint="eastAsia" w:ascii="宋体" w:hAnsi="宋体"/>
          <w:b/>
          <w:kern w:val="0"/>
          <w:sz w:val="30"/>
          <w:szCs w:val="30"/>
        </w:rPr>
        <w:t>六、其他补充事宜</w:t>
      </w:r>
      <w:bookmarkEnd w:id="26"/>
      <w:bookmarkEnd w:id="27"/>
    </w:p>
    <w:p>
      <w:pPr>
        <w:pStyle w:val="2"/>
        <w:spacing w:line="360" w:lineRule="auto"/>
        <w:rPr>
          <w:sz w:val="24"/>
          <w:szCs w:val="24"/>
        </w:rPr>
      </w:pPr>
      <w:r>
        <w:rPr>
          <w:rFonts w:hint="eastAsia"/>
          <w:sz w:val="24"/>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 认证及企业信息绑定。</w:t>
      </w:r>
    </w:p>
    <w:p>
      <w:pPr>
        <w:pStyle w:val="2"/>
        <w:spacing w:line="360" w:lineRule="auto"/>
        <w:jc w:val="left"/>
        <w:rPr>
          <w:sz w:val="24"/>
          <w:szCs w:val="24"/>
        </w:rPr>
      </w:pPr>
      <w:r>
        <w:rPr>
          <w:rFonts w:hint="eastAsia"/>
          <w:sz w:val="24"/>
          <w:szCs w:val="24"/>
        </w:rPr>
        <w:t>2.办理 CA 认证：电子交易平台现已接入陕西 CA、深圳 CA、西部 CA、北京 CA 四家数字证书公司，各供应商在交易过程中登录系统、加密/解密投标文件、文件签章等 均 可 使 用 上 述 四 家 CA 公 司 签 发 的 数 字 证 书 。 办 理 须 知 及 所 需 资 料 详</w:t>
      </w:r>
      <w:r>
        <w:fldChar w:fldCharType="begin"/>
      </w:r>
      <w:r>
        <w:instrText xml:space="preserve"> HYPERLINK "http://www.sxggzyjy.cn/fwzn/004003/20220701/6972fe02-f996-4928-951e-545dab02e53c.html" </w:instrText>
      </w:r>
      <w:r>
        <w:fldChar w:fldCharType="separate"/>
      </w:r>
      <w:r>
        <w:rPr>
          <w:rStyle w:val="47"/>
          <w:rFonts w:hint="eastAsia"/>
          <w:szCs w:val="21"/>
        </w:rPr>
        <w:t>h</w:t>
      </w:r>
      <w:r>
        <w:rPr>
          <w:rStyle w:val="47"/>
          <w:szCs w:val="21"/>
        </w:rPr>
        <w:t>ttp://www.sxggzyjy.cn/fwzn/004003/20220701/6972fe02-f996-4928-951e-545dab02e53c.html</w:t>
      </w:r>
      <w:r>
        <w:rPr>
          <w:rStyle w:val="47"/>
          <w:szCs w:val="21"/>
        </w:rPr>
        <w:fldChar w:fldCharType="end"/>
      </w:r>
      <w:r>
        <w:rPr>
          <w:rFonts w:hint="eastAsia"/>
          <w:szCs w:val="21"/>
        </w:rPr>
        <w:t xml:space="preserve"> 。</w:t>
      </w:r>
    </w:p>
    <w:p>
      <w:pPr>
        <w:pStyle w:val="2"/>
        <w:spacing w:line="360" w:lineRule="auto"/>
        <w:rPr>
          <w:sz w:val="24"/>
          <w:szCs w:val="24"/>
        </w:rPr>
      </w:pPr>
      <w:r>
        <w:rPr>
          <w:rFonts w:hint="eastAsia"/>
          <w:sz w:val="24"/>
          <w:szCs w:val="24"/>
        </w:rPr>
        <w:t>3.请供应商务必及时下载招标文件并做好备份，否则会影响投标文件编制及后续投标活动。</w:t>
      </w:r>
    </w:p>
    <w:p>
      <w:pPr>
        <w:pStyle w:val="2"/>
        <w:spacing w:line="360" w:lineRule="auto"/>
        <w:rPr>
          <w:rFonts w:ascii="宋体" w:hAnsi="宋体"/>
          <w:sz w:val="24"/>
          <w:szCs w:val="24"/>
        </w:rPr>
      </w:pPr>
      <w:r>
        <w:rPr>
          <w:rFonts w:hint="eastAsia" w:ascii="宋体" w:hAnsi="宋体"/>
          <w:sz w:val="24"/>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2"/>
        <w:spacing w:line="360" w:lineRule="auto"/>
        <w:rPr>
          <w:rFonts w:ascii="宋体" w:hAnsi="宋体"/>
          <w:sz w:val="24"/>
          <w:szCs w:val="24"/>
        </w:rPr>
      </w:pPr>
      <w:r>
        <w:rPr>
          <w:rFonts w:hint="eastAsia" w:ascii="宋体" w:hAnsi="宋体"/>
          <w:sz w:val="24"/>
          <w:szCs w:val="24"/>
        </w:rPr>
        <w:t>5.按照陕西省财政厅《关于政府采购供应商注册登记有关事项的通知》中的要求，供应商应通过陕西省政府采购网（http://www.ccgp-shaanxi.gov.cn/）注册登记，加入陕西省政府采购供应商库。</w:t>
      </w:r>
    </w:p>
    <w:p>
      <w:pPr>
        <w:pStyle w:val="2"/>
        <w:spacing w:line="360" w:lineRule="auto"/>
        <w:rPr>
          <w:rFonts w:ascii="宋体" w:hAnsi="宋体"/>
          <w:sz w:val="24"/>
          <w:szCs w:val="24"/>
        </w:rPr>
      </w:pPr>
      <w:r>
        <w:rPr>
          <w:rFonts w:hint="eastAsia" w:ascii="宋体" w:hAnsi="宋体"/>
          <w:sz w:val="24"/>
          <w:szCs w:val="24"/>
        </w:rPr>
        <w:t>6.因投标人自身设施故障或自身原因导致无法完成签到、解密或投标的，由投标人自行承担后果。</w:t>
      </w:r>
    </w:p>
    <w:p>
      <w:pPr>
        <w:pStyle w:val="2"/>
        <w:spacing w:line="360" w:lineRule="auto"/>
      </w:pPr>
      <w:r>
        <w:rPr>
          <w:rFonts w:hint="eastAsia" w:ascii="宋体" w:hAnsi="宋体"/>
          <w:sz w:val="24"/>
          <w:szCs w:val="24"/>
        </w:rPr>
        <w:t>7. 本次招标公告同时在《西安市公共资源交易中心平台》、《陕西省政府采购网》发布。</w:t>
      </w:r>
    </w:p>
    <w:p>
      <w:pPr>
        <w:spacing w:line="360" w:lineRule="auto"/>
        <w:outlineLvl w:val="1"/>
        <w:rPr>
          <w:rFonts w:ascii="宋体" w:hAnsi="宋体"/>
          <w:b/>
          <w:kern w:val="0"/>
          <w:sz w:val="30"/>
          <w:szCs w:val="30"/>
        </w:rPr>
      </w:pPr>
      <w:bookmarkStart w:id="28" w:name="_Toc16742"/>
      <w:bookmarkStart w:id="29" w:name="_Toc8851"/>
      <w:r>
        <w:rPr>
          <w:rFonts w:hint="eastAsia" w:ascii="宋体" w:hAnsi="宋体"/>
          <w:b/>
          <w:kern w:val="0"/>
          <w:sz w:val="30"/>
          <w:szCs w:val="30"/>
        </w:rPr>
        <w:t>七、对本次招标提出询问，请按以下方式联系。</w:t>
      </w:r>
      <w:bookmarkEnd w:id="28"/>
      <w:bookmarkEnd w:id="29"/>
    </w:p>
    <w:p>
      <w:pPr>
        <w:widowControl/>
        <w:spacing w:line="360" w:lineRule="auto"/>
        <w:ind w:firstLine="420"/>
        <w:jc w:val="left"/>
        <w:rPr>
          <w:rFonts w:ascii="宋体" w:hAnsi="宋体" w:cs="宋体"/>
          <w:kern w:val="0"/>
          <w:sz w:val="24"/>
        </w:rPr>
      </w:pPr>
      <w:r>
        <w:rPr>
          <w:rFonts w:hint="eastAsia" w:ascii="宋体" w:hAnsi="宋体" w:cs="宋体"/>
          <w:kern w:val="0"/>
          <w:sz w:val="24"/>
        </w:rPr>
        <w:t>1、采购人信息：西安高新技术产业开发区草堂科技产业园发展中心</w:t>
      </w:r>
    </w:p>
    <w:p>
      <w:pPr>
        <w:widowControl/>
        <w:spacing w:line="360" w:lineRule="auto"/>
        <w:ind w:firstLine="420"/>
        <w:jc w:val="left"/>
        <w:rPr>
          <w:rFonts w:ascii="宋体" w:hAnsi="宋体" w:cs="宋体"/>
          <w:kern w:val="0"/>
          <w:sz w:val="24"/>
        </w:rPr>
      </w:pPr>
      <w:r>
        <w:rPr>
          <w:rFonts w:hint="eastAsia" w:ascii="宋体" w:hAnsi="宋体" w:cs="宋体"/>
          <w:kern w:val="0"/>
          <w:sz w:val="24"/>
        </w:rPr>
        <w:t>联系人：孟工</w:t>
      </w:r>
    </w:p>
    <w:p>
      <w:pPr>
        <w:widowControl/>
        <w:spacing w:line="360" w:lineRule="auto"/>
        <w:ind w:firstLine="420"/>
        <w:jc w:val="left"/>
        <w:rPr>
          <w:rFonts w:ascii="宋体" w:hAnsi="宋体" w:cs="宋体"/>
          <w:kern w:val="0"/>
          <w:sz w:val="24"/>
        </w:rPr>
      </w:pPr>
      <w:r>
        <w:rPr>
          <w:rFonts w:hint="eastAsia" w:ascii="宋体" w:hAnsi="宋体" w:cs="宋体"/>
          <w:kern w:val="0"/>
          <w:sz w:val="24"/>
        </w:rPr>
        <w:t>联系地址：</w:t>
      </w:r>
      <w:r>
        <w:rPr>
          <w:rFonts w:hint="eastAsia"/>
          <w:sz w:val="24"/>
        </w:rPr>
        <w:t>西安市鄠邑区</w:t>
      </w:r>
      <w:r>
        <w:rPr>
          <w:rFonts w:hint="eastAsia"/>
          <w:sz w:val="24"/>
          <w:lang w:val="en-US" w:eastAsia="zh-CN"/>
        </w:rPr>
        <w:t>草堂科技产业园</w:t>
      </w:r>
      <w:r>
        <w:rPr>
          <w:rFonts w:hint="eastAsia"/>
          <w:sz w:val="24"/>
        </w:rPr>
        <w:t>秦岭三路</w:t>
      </w:r>
    </w:p>
    <w:p>
      <w:pPr>
        <w:widowControl/>
        <w:spacing w:line="360" w:lineRule="auto"/>
        <w:ind w:firstLine="42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联系电话：</w:t>
      </w:r>
      <w:r>
        <w:rPr>
          <w:rFonts w:hint="eastAsia" w:ascii="宋体" w:hAnsi="宋体" w:cs="宋体"/>
          <w:color w:val="auto"/>
          <w:kern w:val="0"/>
          <w:sz w:val="24"/>
          <w:lang w:val="en-US" w:eastAsia="zh-CN"/>
        </w:rPr>
        <w:t>029-84867813</w:t>
      </w:r>
    </w:p>
    <w:p>
      <w:pPr>
        <w:widowControl/>
        <w:spacing w:line="360" w:lineRule="auto"/>
        <w:ind w:firstLine="420"/>
        <w:jc w:val="left"/>
        <w:rPr>
          <w:rFonts w:ascii="宋体" w:hAnsi="宋体" w:cs="宋体"/>
          <w:kern w:val="0"/>
          <w:sz w:val="24"/>
        </w:rPr>
      </w:pPr>
      <w:r>
        <w:rPr>
          <w:rFonts w:hint="eastAsia" w:ascii="宋体" w:hAnsi="宋体" w:cs="宋体"/>
          <w:kern w:val="0"/>
          <w:sz w:val="24"/>
        </w:rPr>
        <w:t>2、项目联系方式</w:t>
      </w:r>
    </w:p>
    <w:p>
      <w:pPr>
        <w:widowControl/>
        <w:spacing w:line="360" w:lineRule="auto"/>
        <w:ind w:firstLine="420"/>
        <w:jc w:val="left"/>
        <w:rPr>
          <w:rFonts w:ascii="宋体" w:hAnsi="宋体" w:cs="宋体"/>
          <w:kern w:val="0"/>
          <w:sz w:val="24"/>
        </w:rPr>
      </w:pPr>
      <w:r>
        <w:rPr>
          <w:rFonts w:hint="eastAsia" w:ascii="宋体" w:hAnsi="宋体" w:cs="宋体"/>
          <w:kern w:val="0"/>
          <w:sz w:val="24"/>
        </w:rPr>
        <w:t>项目联系人：闫工</w:t>
      </w:r>
    </w:p>
    <w:p>
      <w:pPr>
        <w:widowControl/>
        <w:spacing w:line="360" w:lineRule="auto"/>
        <w:ind w:firstLine="420"/>
        <w:jc w:val="left"/>
        <w:rPr>
          <w:rFonts w:ascii="宋体" w:hAnsi="宋体" w:cs="宋体"/>
          <w:kern w:val="0"/>
          <w:sz w:val="24"/>
        </w:rPr>
      </w:pPr>
      <w:r>
        <w:rPr>
          <w:rFonts w:hint="eastAsia" w:ascii="宋体" w:hAnsi="宋体" w:cs="宋体"/>
          <w:kern w:val="0"/>
          <w:sz w:val="24"/>
        </w:rPr>
        <w:t>电 话：029-88861150</w:t>
      </w:r>
    </w:p>
    <w:p>
      <w:pPr>
        <w:widowControl/>
        <w:spacing w:line="360" w:lineRule="auto"/>
        <w:ind w:firstLine="420"/>
        <w:jc w:val="left"/>
        <w:rPr>
          <w:rFonts w:ascii="宋体" w:hAnsi="宋体" w:cs="宋体"/>
          <w:kern w:val="0"/>
          <w:sz w:val="24"/>
        </w:rPr>
      </w:pPr>
      <w:r>
        <w:rPr>
          <w:rFonts w:hint="eastAsia" w:ascii="宋体" w:hAnsi="宋体" w:cs="宋体"/>
          <w:kern w:val="0"/>
          <w:sz w:val="24"/>
        </w:rPr>
        <w:t>3、采购代理机构信息</w:t>
      </w:r>
    </w:p>
    <w:p>
      <w:pPr>
        <w:widowControl/>
        <w:spacing w:line="360" w:lineRule="auto"/>
        <w:ind w:firstLine="420"/>
        <w:jc w:val="left"/>
        <w:rPr>
          <w:rFonts w:ascii="宋体" w:hAnsi="宋体" w:cs="宋体"/>
          <w:kern w:val="0"/>
          <w:sz w:val="24"/>
        </w:rPr>
      </w:pPr>
      <w:r>
        <w:rPr>
          <w:rFonts w:hint="eastAsia" w:ascii="宋体" w:hAnsi="宋体" w:cs="宋体"/>
          <w:kern w:val="0"/>
          <w:sz w:val="24"/>
        </w:rPr>
        <w:t xml:space="preserve">名称： 中建鼎正项目管理有限公司 </w:t>
      </w:r>
    </w:p>
    <w:p>
      <w:pPr>
        <w:widowControl/>
        <w:spacing w:line="360" w:lineRule="auto"/>
        <w:ind w:firstLine="420"/>
        <w:jc w:val="left"/>
        <w:rPr>
          <w:rFonts w:ascii="宋体" w:hAnsi="宋体" w:cs="宋体"/>
          <w:kern w:val="0"/>
          <w:sz w:val="24"/>
        </w:rPr>
      </w:pPr>
      <w:r>
        <w:rPr>
          <w:rFonts w:hint="eastAsia" w:ascii="宋体" w:hAnsi="宋体" w:cs="宋体"/>
          <w:kern w:val="0"/>
          <w:sz w:val="24"/>
        </w:rPr>
        <w:t>联系地址：西安市高新区科技路48号创业广场B座1506室</w:t>
      </w:r>
    </w:p>
    <w:p>
      <w:pPr>
        <w:widowControl/>
        <w:spacing w:line="360" w:lineRule="auto"/>
        <w:ind w:firstLine="420"/>
        <w:jc w:val="left"/>
        <w:rPr>
          <w:rFonts w:ascii="宋体" w:hAnsi="宋体" w:cs="宋体"/>
          <w:kern w:val="0"/>
          <w:sz w:val="24"/>
        </w:rPr>
      </w:pPr>
      <w:r>
        <w:rPr>
          <w:rFonts w:hint="eastAsia" w:ascii="宋体" w:hAnsi="宋体" w:cs="宋体"/>
          <w:kern w:val="0"/>
          <w:sz w:val="24"/>
        </w:rPr>
        <w:t>联系方式：</w:t>
      </w:r>
      <w:r>
        <w:fldChar w:fldCharType="begin"/>
      </w:r>
      <w:r>
        <w:instrText xml:space="preserve"> HYPERLINK "http://www.ccgp.gov.cn/agency/a_agencylist.html" \t "http://www.ccgp-shaanxi.gov.cn/gpex/buyprojectnotice/_blank" </w:instrText>
      </w:r>
      <w:r>
        <w:fldChar w:fldCharType="separate"/>
      </w:r>
      <w:r>
        <w:rPr>
          <w:rFonts w:hint="eastAsia" w:ascii="宋体" w:hAnsi="宋体" w:cs="宋体"/>
          <w:color w:val="000000"/>
          <w:kern w:val="0"/>
          <w:sz w:val="24"/>
        </w:rPr>
        <w:t>http://www.ccgp.gov.cn/agency/a_agencylist.html</w:t>
      </w:r>
      <w:r>
        <w:rPr>
          <w:rFonts w:hint="eastAsia" w:ascii="宋体" w:hAnsi="宋体" w:cs="宋体"/>
          <w:color w:val="000000"/>
          <w:kern w:val="0"/>
          <w:sz w:val="24"/>
        </w:rPr>
        <w:fldChar w:fldCharType="end"/>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pStyle w:val="2"/>
        <w:spacing w:line="360" w:lineRule="auto"/>
        <w:rPr>
          <w:rFonts w:ascii="宋体" w:hAnsi="宋体"/>
          <w:sz w:val="24"/>
          <w:szCs w:val="24"/>
          <w:lang w:val="zh-CN"/>
        </w:rPr>
      </w:pPr>
    </w:p>
    <w:p>
      <w:pPr>
        <w:rPr>
          <w:rFonts w:hint="eastAsia" w:ascii="宋体" w:hAnsi="宋体" w:cs="宋体"/>
          <w:sz w:val="32"/>
          <w:szCs w:val="32"/>
        </w:rPr>
      </w:pPr>
      <w:bookmarkStart w:id="30" w:name="_Toc22639"/>
      <w:bookmarkStart w:id="31" w:name="_Toc15816"/>
      <w:bookmarkStart w:id="32" w:name="_Toc111853885"/>
      <w:r>
        <w:rPr>
          <w:rFonts w:hint="eastAsia" w:ascii="宋体" w:hAnsi="宋体" w:cs="宋体"/>
          <w:sz w:val="32"/>
          <w:szCs w:val="32"/>
        </w:rPr>
        <w:br w:type="page"/>
      </w:r>
    </w:p>
    <w:p>
      <w:pPr>
        <w:pStyle w:val="3"/>
        <w:rPr>
          <w:rFonts w:ascii="宋体" w:hAnsi="宋体" w:cs="宋体"/>
          <w:sz w:val="32"/>
          <w:szCs w:val="32"/>
          <w:lang w:val="zh-CN"/>
        </w:rPr>
      </w:pPr>
      <w:r>
        <w:rPr>
          <w:rFonts w:hint="eastAsia" w:ascii="宋体" w:hAnsi="宋体" w:cs="宋体"/>
          <w:sz w:val="32"/>
          <w:szCs w:val="32"/>
        </w:rPr>
        <w:t>第二章  投标人须知</w:t>
      </w:r>
      <w:bookmarkEnd w:id="30"/>
      <w:bookmarkEnd w:id="31"/>
      <w:bookmarkEnd w:id="32"/>
      <w:bookmarkStart w:id="33" w:name="_Toc213396760"/>
      <w:bookmarkStart w:id="34" w:name="_Toc213396946"/>
      <w:bookmarkStart w:id="35" w:name="_Toc184283909"/>
      <w:bookmarkStart w:id="36" w:name="_Toc217446032"/>
      <w:bookmarkStart w:id="37" w:name="_Toc213496268"/>
      <w:bookmarkStart w:id="38" w:name="_Toc213397010"/>
      <w:bookmarkStart w:id="39" w:name="_Toc184274915"/>
      <w:bookmarkStart w:id="40" w:name="_Toc189727030"/>
    </w:p>
    <w:p>
      <w:pPr>
        <w:spacing w:before="312" w:beforeLines="100" w:after="50" w:line="600" w:lineRule="exact"/>
        <w:jc w:val="center"/>
        <w:outlineLvl w:val="1"/>
        <w:rPr>
          <w:rFonts w:asciiTheme="majorEastAsia" w:hAnsiTheme="majorEastAsia" w:eastAsiaTheme="majorEastAsia" w:cstheme="majorEastAsia"/>
          <w:b/>
          <w:sz w:val="30"/>
          <w:szCs w:val="30"/>
        </w:rPr>
      </w:pPr>
      <w:bookmarkStart w:id="41" w:name="_Toc13847"/>
      <w:bookmarkStart w:id="42" w:name="_Toc3582"/>
      <w:r>
        <w:rPr>
          <w:rFonts w:hint="eastAsia" w:asciiTheme="majorEastAsia" w:hAnsiTheme="majorEastAsia" w:eastAsiaTheme="majorEastAsia" w:cstheme="majorEastAsia"/>
          <w:sz w:val="30"/>
          <w:szCs w:val="30"/>
        </w:rPr>
        <w:t>投标人须知前附表</w:t>
      </w:r>
      <w:bookmarkEnd w:id="33"/>
      <w:bookmarkEnd w:id="34"/>
      <w:bookmarkEnd w:id="35"/>
      <w:bookmarkEnd w:id="36"/>
      <w:bookmarkEnd w:id="37"/>
      <w:bookmarkEnd w:id="38"/>
      <w:bookmarkEnd w:id="39"/>
      <w:bookmarkEnd w:id="40"/>
      <w:bookmarkEnd w:id="41"/>
      <w:bookmarkEnd w:id="42"/>
    </w:p>
    <w:tbl>
      <w:tblPr>
        <w:tblStyle w:val="40"/>
        <w:tblW w:w="91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8"/>
        <w:gridCol w:w="1687"/>
        <w:gridCol w:w="689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588" w:type="dxa"/>
            <w:tcBorders>
              <w:top w:val="single" w:color="auto" w:sz="18" w:space="0"/>
              <w:left w:val="single" w:color="auto" w:sz="18" w:space="0"/>
              <w:bottom w:val="single" w:color="auto" w:sz="8" w:space="0"/>
              <w:right w:val="single" w:color="auto" w:sz="8" w:space="0"/>
            </w:tcBorders>
            <w:vAlign w:val="center"/>
          </w:tcPr>
          <w:p>
            <w:pPr>
              <w:pStyle w:val="85"/>
              <w:ind w:left="9"/>
              <w:jc w:val="center"/>
              <w:rPr>
                <w:lang w:val="zh-CN"/>
              </w:rPr>
            </w:pPr>
            <w:r>
              <w:rPr>
                <w:rFonts w:hint="eastAsia"/>
                <w:lang w:val="zh-CN"/>
              </w:rPr>
              <w:t xml:space="preserve">序号 </w:t>
            </w:r>
          </w:p>
        </w:tc>
        <w:tc>
          <w:tcPr>
            <w:tcW w:w="1687" w:type="dxa"/>
            <w:tcBorders>
              <w:top w:val="single" w:color="auto" w:sz="1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内容</w:t>
            </w:r>
          </w:p>
        </w:tc>
        <w:tc>
          <w:tcPr>
            <w:tcW w:w="6898" w:type="dxa"/>
            <w:tcBorders>
              <w:top w:val="single" w:color="auto" w:sz="18" w:space="0"/>
              <w:left w:val="single" w:color="auto" w:sz="8" w:space="0"/>
              <w:bottom w:val="single" w:color="auto" w:sz="8" w:space="0"/>
              <w:right w:val="single" w:color="auto" w:sz="18" w:space="0"/>
            </w:tcBorders>
            <w:vAlign w:val="center"/>
          </w:tcPr>
          <w:p>
            <w:pPr>
              <w:pStyle w:val="85"/>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12"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lang w:val="zh-CN"/>
              </w:rPr>
            </w:pPr>
            <w:r>
              <w:rPr>
                <w:rFonts w:hint="eastAsia"/>
                <w:lang w:val="zh-CN"/>
              </w:rPr>
              <w:t>1</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采购人</w:t>
            </w:r>
          </w:p>
        </w:tc>
        <w:tc>
          <w:tcPr>
            <w:tcW w:w="6898" w:type="dxa"/>
            <w:tcBorders>
              <w:top w:val="single" w:color="auto" w:sz="8" w:space="0"/>
              <w:left w:val="single" w:color="auto" w:sz="8" w:space="0"/>
              <w:bottom w:val="single" w:color="auto" w:sz="8" w:space="0"/>
              <w:right w:val="single" w:color="auto" w:sz="18" w:space="0"/>
            </w:tcBorders>
            <w:vAlign w:val="center"/>
          </w:tcPr>
          <w:p>
            <w:pPr>
              <w:widowControl/>
              <w:tabs>
                <w:tab w:val="left" w:pos="1620"/>
              </w:tabs>
              <w:ind w:right="-197" w:rightChars="-94"/>
              <w:jc w:val="left"/>
            </w:pPr>
            <w:r>
              <w:rPr>
                <w:rFonts w:hint="eastAsia"/>
              </w:rPr>
              <w:t xml:space="preserve">名称: </w:t>
            </w:r>
            <w:r>
              <w:rPr>
                <w:rFonts w:hint="eastAsia" w:ascii="宋体" w:hAnsi="宋体" w:cs="宋体"/>
                <w:kern w:val="0"/>
                <w:sz w:val="24"/>
              </w:rPr>
              <w:t>西安高新技术产业开发区草堂科技产业园发展中心</w:t>
            </w:r>
          </w:p>
          <w:p>
            <w:pPr>
              <w:widowControl/>
              <w:tabs>
                <w:tab w:val="left" w:pos="1620"/>
              </w:tabs>
              <w:ind w:right="-197" w:rightChars="-94"/>
              <w:jc w:val="left"/>
            </w:pPr>
            <w:r>
              <w:rPr>
                <w:rFonts w:hint="eastAsia"/>
              </w:rPr>
              <w:t>地址：</w:t>
            </w:r>
            <w:r>
              <w:rPr>
                <w:rFonts w:hint="eastAsia"/>
                <w:sz w:val="24"/>
              </w:rPr>
              <w:t>西安市鄠邑区秦岭</w:t>
            </w:r>
            <w:r>
              <w:rPr>
                <w:rFonts w:hint="eastAsia"/>
                <w:sz w:val="24"/>
                <w:lang w:val="en-US" w:eastAsia="zh-CN"/>
              </w:rPr>
              <w:t>草堂科技产业园</w:t>
            </w:r>
            <w:r>
              <w:rPr>
                <w:rFonts w:hint="eastAsia"/>
                <w:sz w:val="24"/>
              </w:rPr>
              <w:t>三路</w:t>
            </w:r>
          </w:p>
          <w:p>
            <w:pPr>
              <w:widowControl/>
              <w:tabs>
                <w:tab w:val="left" w:pos="1620"/>
              </w:tabs>
              <w:ind w:right="-197" w:rightChars="-94"/>
              <w:jc w:val="left"/>
            </w:pPr>
            <w:r>
              <w:rPr>
                <w:rFonts w:hint="eastAsia"/>
              </w:rPr>
              <w:t>联系人：</w:t>
            </w:r>
            <w:r>
              <w:rPr>
                <w:rFonts w:hint="eastAsia" w:ascii="宋体" w:hAnsi="宋体" w:cs="宋体"/>
                <w:kern w:val="0"/>
                <w:sz w:val="24"/>
              </w:rPr>
              <w:t>孟工</w:t>
            </w:r>
          </w:p>
          <w:p>
            <w:pPr>
              <w:widowControl/>
              <w:spacing w:line="360" w:lineRule="auto"/>
              <w:jc w:val="left"/>
              <w:rPr>
                <w:lang w:val="zh-CN"/>
              </w:rPr>
            </w:pPr>
            <w:r>
              <w:rPr>
                <w:rFonts w:hint="eastAsia"/>
              </w:rPr>
              <w:t>电话：</w:t>
            </w:r>
            <w:r>
              <w:rPr>
                <w:rFonts w:hint="eastAsia" w:ascii="宋体" w:hAnsi="宋体" w:cs="宋体"/>
                <w:color w:val="auto"/>
                <w:kern w:val="0"/>
                <w:sz w:val="24"/>
                <w:lang w:val="en-US" w:eastAsia="zh-CN"/>
              </w:rPr>
              <w:t>029-84867813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lang w:val="zh-CN"/>
              </w:rPr>
            </w:pPr>
            <w:r>
              <w:rPr>
                <w:rFonts w:hint="eastAsia"/>
                <w:lang w:val="zh-CN"/>
              </w:rPr>
              <w:t>2</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采购代理机构</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rPr>
                <w:lang w:val="zh-CN"/>
              </w:rPr>
            </w:pPr>
            <w:r>
              <w:rPr>
                <w:rFonts w:hint="eastAsia"/>
                <w:lang w:val="zh-CN"/>
              </w:rPr>
              <w:t>名称:</w:t>
            </w:r>
            <w:r>
              <w:rPr>
                <w:rFonts w:hint="eastAsia"/>
              </w:rPr>
              <w:t xml:space="preserve">中建鼎正项目管理有限公司 </w:t>
            </w:r>
          </w:p>
          <w:p>
            <w:pPr>
              <w:widowControl/>
              <w:tabs>
                <w:tab w:val="left" w:pos="1620"/>
              </w:tabs>
              <w:ind w:right="-197" w:rightChars="-94"/>
              <w:jc w:val="left"/>
              <w:rPr>
                <w:rFonts w:ascii="宋体" w:hAnsi="宋体" w:cs="宋体"/>
                <w:kern w:val="0"/>
                <w:sz w:val="24"/>
              </w:rPr>
            </w:pPr>
            <w:r>
              <w:rPr>
                <w:rFonts w:hint="eastAsia" w:ascii="宋体" w:hAnsi="宋体" w:cs="宋体"/>
                <w:sz w:val="24"/>
                <w:lang w:val="zh-CN"/>
              </w:rPr>
              <w:t>地址：</w:t>
            </w:r>
            <w:r>
              <w:rPr>
                <w:rFonts w:hint="eastAsia" w:ascii="宋体" w:hAnsi="宋体" w:cs="宋体"/>
                <w:kern w:val="0"/>
                <w:sz w:val="24"/>
              </w:rPr>
              <w:t>西安市高新区科技路48号创业广场B座1506室</w:t>
            </w:r>
          </w:p>
          <w:p>
            <w:pPr>
              <w:pStyle w:val="85"/>
              <w:rPr>
                <w:lang w:val="zh-CN"/>
              </w:rPr>
            </w:pPr>
            <w:r>
              <w:rPr>
                <w:rFonts w:hint="eastAsia"/>
                <w:lang w:val="zh-CN"/>
              </w:rPr>
              <w:t>联系人:</w:t>
            </w:r>
            <w:r>
              <w:rPr>
                <w:rFonts w:hint="eastAsia"/>
              </w:rPr>
              <w:t>闫工</w:t>
            </w:r>
          </w:p>
          <w:p>
            <w:pPr>
              <w:pStyle w:val="85"/>
              <w:rPr>
                <w:lang w:val="zh-CN"/>
              </w:rPr>
            </w:pPr>
            <w:r>
              <w:rPr>
                <w:rFonts w:hint="eastAsia"/>
                <w:lang w:val="zh-CN"/>
              </w:rPr>
              <w:t>电话:</w:t>
            </w:r>
            <w:r>
              <w:rPr>
                <w:rFonts w:hint="eastAsia"/>
              </w:rPr>
              <w:t>029-88861150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3</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采购项目名称</w:t>
            </w:r>
          </w:p>
        </w:tc>
        <w:tc>
          <w:tcPr>
            <w:tcW w:w="6898" w:type="dxa"/>
            <w:tcBorders>
              <w:top w:val="single" w:color="auto" w:sz="8" w:space="0"/>
              <w:left w:val="single" w:color="auto" w:sz="8" w:space="0"/>
              <w:bottom w:val="single" w:color="auto" w:sz="8" w:space="0"/>
              <w:right w:val="single" w:color="auto" w:sz="18" w:space="0"/>
            </w:tcBorders>
            <w:vAlign w:val="center"/>
          </w:tcPr>
          <w:p>
            <w:pPr>
              <w:rPr>
                <w:rFonts w:ascii="宋体" w:hAnsi="宋体"/>
                <w:sz w:val="24"/>
                <w:lang w:val="zh-CN"/>
              </w:rPr>
            </w:pPr>
            <w:r>
              <w:rPr>
                <w:rFonts w:hint="eastAsia" w:ascii="宋体" w:hAnsi="宋体"/>
                <w:sz w:val="24"/>
                <w:lang w:val="zh-CN"/>
              </w:rPr>
              <w:t>西安高新区草堂科技产业园市政道路、给排水管网养护及园区防汛项目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4</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pPr>
            <w:r>
              <w:rPr>
                <w:rFonts w:hint="eastAsia"/>
              </w:rPr>
              <w:t>资金来源</w:t>
            </w:r>
          </w:p>
        </w:tc>
        <w:tc>
          <w:tcPr>
            <w:tcW w:w="6898" w:type="dxa"/>
            <w:tcBorders>
              <w:top w:val="single" w:color="auto" w:sz="8" w:space="0"/>
              <w:left w:val="single" w:color="auto" w:sz="8" w:space="0"/>
              <w:bottom w:val="single" w:color="auto" w:sz="8" w:space="0"/>
              <w:right w:val="single" w:color="auto" w:sz="18" w:space="0"/>
            </w:tcBorders>
            <w:vAlign w:val="center"/>
          </w:tcPr>
          <w:p>
            <w:pPr>
              <w:rPr>
                <w:rFonts w:hint="eastAsia" w:ascii="宋体" w:hAnsi="宋体" w:eastAsia="宋体"/>
                <w:sz w:val="24"/>
                <w:lang w:eastAsia="zh-CN"/>
              </w:rPr>
            </w:pPr>
            <w:r>
              <w:rPr>
                <w:rFonts w:hint="eastAsia" w:ascii="宋体" w:hAnsi="宋体"/>
                <w:sz w:val="24"/>
              </w:rPr>
              <w:t>财政</w:t>
            </w:r>
            <w:r>
              <w:rPr>
                <w:rFonts w:hint="eastAsia" w:ascii="宋体" w:hAnsi="宋体"/>
                <w:sz w:val="24"/>
                <w:lang w:val="en-US" w:eastAsia="zh-CN"/>
              </w:rPr>
              <w:t>拨款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8"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5</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是否预留份额专门面向中小企业采购</w:t>
            </w:r>
          </w:p>
        </w:tc>
        <w:tc>
          <w:tcPr>
            <w:tcW w:w="6898" w:type="dxa"/>
            <w:tcBorders>
              <w:top w:val="single" w:color="auto" w:sz="8" w:space="0"/>
              <w:left w:val="single" w:color="auto" w:sz="8" w:space="0"/>
              <w:bottom w:val="single" w:color="auto" w:sz="8" w:space="0"/>
              <w:right w:val="single" w:color="auto" w:sz="18" w:space="0"/>
            </w:tcBorders>
            <w:vAlign w:val="center"/>
          </w:tcPr>
          <w:p>
            <w:pPr>
              <w:ind w:firstLine="241" w:firstLineChars="100"/>
              <w:rPr>
                <w:rFonts w:ascii="宋体" w:hAnsi="宋体"/>
                <w:sz w:val="24"/>
              </w:rPr>
            </w:pPr>
            <w:r>
              <w:rPr>
                <w:rFonts w:hint="eastAsia" w:ascii="宋体" w:hAnsi="宋体"/>
                <w:b/>
                <w:sz w:val="24"/>
                <w:lang w:val="zh-CN"/>
              </w:rPr>
              <w:sym w:font="Wingdings 2" w:char="0052"/>
            </w:r>
            <w:r>
              <w:rPr>
                <w:rFonts w:hint="eastAsia" w:ascii="宋体" w:hAnsi="宋体"/>
                <w:b/>
                <w:sz w:val="24"/>
                <w:lang w:val="zh-CN"/>
              </w:rPr>
              <w:t xml:space="preserve">是     </w:t>
            </w:r>
            <w:r>
              <w:rPr>
                <w:rFonts w:hint="eastAsia" w:ascii="宋体" w:hAnsi="宋体"/>
                <w:sz w:val="24"/>
              </w:rPr>
              <w:t>□</w:t>
            </w:r>
            <w:r>
              <w:rPr>
                <w:rFonts w:hint="eastAsia" w:ascii="宋体" w:hAnsi="宋体"/>
                <w:sz w:val="24"/>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93" w:hRule="exact"/>
          <w:jc w:val="center"/>
        </w:trPr>
        <w:tc>
          <w:tcPr>
            <w:tcW w:w="588" w:type="dxa"/>
            <w:tcBorders>
              <w:top w:val="single" w:color="auto" w:sz="8" w:space="0"/>
              <w:left w:val="single" w:color="auto" w:sz="18" w:space="0"/>
              <w:right w:val="single" w:color="auto" w:sz="8" w:space="0"/>
            </w:tcBorders>
            <w:vAlign w:val="center"/>
          </w:tcPr>
          <w:p>
            <w:pPr>
              <w:pStyle w:val="85"/>
              <w:jc w:val="center"/>
              <w:rPr>
                <w:rFonts w:cs="Courier New"/>
                <w:lang w:val="zh-CN"/>
              </w:rPr>
            </w:pPr>
            <w:r>
              <w:rPr>
                <w:rFonts w:hint="eastAsia" w:cs="Courier New"/>
                <w:lang w:val="zh-CN"/>
              </w:rPr>
              <w:t>6</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采购预算金额</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firstLine="240" w:firstLineChars="100"/>
              <w:jc w:val="both"/>
              <w:rPr>
                <w:lang w:val="zh-CN"/>
              </w:rPr>
            </w:pPr>
            <w:r>
              <w:rPr>
                <w:rFonts w:hint="eastAsia"/>
              </w:rPr>
              <w:t>21951800.00元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39"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7</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招标范围</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ind w:firstLine="240" w:firstLineChars="100"/>
              <w:jc w:val="both"/>
              <w:rPr>
                <w:rFonts w:cs="Times New Roman"/>
                <w:kern w:val="2"/>
                <w:lang w:val="zh-CN"/>
              </w:rPr>
            </w:pPr>
            <w:r>
              <w:rPr>
                <w:rFonts w:hint="eastAsia"/>
                <w:lang w:val="zh-CN"/>
              </w:rPr>
              <w:t>养护范围：南起秦岭一路、北至秦岭九路、西起草堂一路、东至盈川路。市政道路、给排水设施养护路段有：草堂一路、草堂二路、草堂三路、草堂四路、草堂五路、草堂六路、文济路、草堂七路、草堂八路、林谷路、草堂大道、草堂九路、秦岭二路、秦岭三路、秦岭四路、秦岭大道及其西延伸段、秦岭东五路、秦岭西五路、秦岭东六路、秦岭西六路、秦岭东七路、秦岭西七路、秦岭东八路、秦岭西八路、秦岭九路及其西延伸段、余沣路(环山路-六岔路口段)等路段。目前已经竣工验收道路总长度约为55.5km，另外还有庞光镇农村供水管道约25km。防汛河道有：化羊峪河、黄柏峪河、乌桑峪河、太平峪河等4条河流流经园区的范围段，河流总长度约13km。</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8</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采购方式</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jc w:val="both"/>
              <w:rPr>
                <w:lang w:val="zh-CN"/>
              </w:rPr>
            </w:pPr>
            <w:r>
              <w:rPr>
                <w:rFonts w:hint="eastAsia"/>
                <w:lang w:val="zh-CN"/>
              </w:rPr>
              <w:t xml:space="preserve"> 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9</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8"/>
              <w:jc w:val="center"/>
              <w:rPr>
                <w:lang w:val="zh-CN"/>
              </w:rPr>
            </w:pPr>
            <w:r>
              <w:rPr>
                <w:rFonts w:hint="eastAsia"/>
                <w:lang w:val="zh-CN"/>
              </w:rPr>
              <w:t>采购内容</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jc w:val="both"/>
              <w:rPr>
                <w:lang w:val="zh-CN"/>
              </w:rPr>
            </w:pPr>
            <w:r>
              <w:rPr>
                <w:rFonts w:hint="eastAsia"/>
                <w:lang w:val="zh-CN"/>
              </w:rPr>
              <w:t xml:space="preserve"> 详见第五章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10</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96"/>
              <w:jc w:val="center"/>
              <w:rPr>
                <w:lang w:val="zh-CN"/>
              </w:rPr>
            </w:pPr>
            <w:r>
              <w:rPr>
                <w:rFonts w:hint="eastAsia"/>
              </w:rPr>
              <w:t>工期</w:t>
            </w:r>
          </w:p>
        </w:tc>
        <w:tc>
          <w:tcPr>
            <w:tcW w:w="6898" w:type="dxa"/>
            <w:tcBorders>
              <w:top w:val="single" w:color="auto" w:sz="8" w:space="0"/>
              <w:left w:val="single" w:color="auto" w:sz="8" w:space="0"/>
              <w:bottom w:val="single" w:color="auto" w:sz="8" w:space="0"/>
              <w:right w:val="single" w:color="auto" w:sz="18" w:space="0"/>
            </w:tcBorders>
            <w:vAlign w:val="center"/>
          </w:tcPr>
          <w:p>
            <w:pPr>
              <w:ind w:firstLine="240" w:firstLineChars="100"/>
              <w:rPr>
                <w:rFonts w:hint="default" w:ascii="宋体" w:hAnsi="宋体" w:eastAsia="宋体" w:cs="宋体"/>
                <w:kern w:val="0"/>
                <w:sz w:val="24"/>
                <w:lang w:val="en-US" w:eastAsia="zh-CN"/>
              </w:rPr>
            </w:pPr>
            <w:r>
              <w:rPr>
                <w:rFonts w:hint="eastAsia" w:ascii="宋体" w:hAnsi="宋体" w:eastAsia="宋体" w:cs="宋体"/>
                <w:kern w:val="0"/>
                <w:sz w:val="24"/>
                <w:szCs w:val="24"/>
                <w:lang w:val="zh-CN" w:eastAsia="zh-CN" w:bidi="ar-SA"/>
              </w:rPr>
              <w:t>1年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11</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96"/>
              <w:jc w:val="center"/>
              <w:rPr>
                <w:lang w:val="zh-CN"/>
              </w:rPr>
            </w:pPr>
            <w:r>
              <w:rPr>
                <w:rFonts w:hint="eastAsia"/>
                <w:lang w:val="zh-CN"/>
              </w:rPr>
              <w:t>地点</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rPr>
                <w:lang w:val="zh-CN"/>
              </w:rPr>
            </w:pPr>
            <w:r>
              <w:rPr>
                <w:rFonts w:hint="eastAsia"/>
              </w:rPr>
              <w:t>采购人指定地点</w:t>
            </w:r>
            <w: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0"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12</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96"/>
              <w:jc w:val="center"/>
              <w:rPr>
                <w:lang w:val="zh-CN"/>
              </w:rPr>
            </w:pPr>
            <w:r>
              <w:rPr>
                <w:rFonts w:hint="eastAsia"/>
                <w:lang w:val="zh-CN"/>
              </w:rPr>
              <w:t>质量要求、验收标准</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firstLine="240" w:firstLineChars="100"/>
              <w:jc w:val="both"/>
            </w:pPr>
            <w:r>
              <w:rPr>
                <w:rFonts w:hint="eastAsia"/>
              </w:rPr>
              <w:t>质量标准：合格</w:t>
            </w:r>
          </w:p>
          <w:p>
            <w:pPr>
              <w:pStyle w:val="85"/>
              <w:spacing w:line="320" w:lineRule="exact"/>
              <w:ind w:firstLine="240" w:firstLineChars="100"/>
              <w:jc w:val="both"/>
            </w:pPr>
            <w:r>
              <w:rPr>
                <w:rFonts w:hint="eastAsia"/>
              </w:rPr>
              <w:t>验收标准：符合国家、行业规定标准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7"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w:t>
            </w:r>
            <w:r>
              <w:rPr>
                <w:rFonts w:hint="eastAsia" w:cs="Courier New"/>
              </w:rPr>
              <w:t>3</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联合体投标</w:t>
            </w:r>
          </w:p>
        </w:tc>
        <w:tc>
          <w:tcPr>
            <w:tcW w:w="6898" w:type="dxa"/>
            <w:tcBorders>
              <w:top w:val="single" w:color="auto" w:sz="8" w:space="0"/>
              <w:left w:val="single" w:color="auto" w:sz="8" w:space="0"/>
              <w:bottom w:val="single" w:color="auto" w:sz="8" w:space="0"/>
              <w:right w:val="single" w:color="auto" w:sz="18" w:space="0"/>
            </w:tcBorders>
          </w:tcPr>
          <w:p>
            <w:pPr>
              <w:spacing w:line="340" w:lineRule="exact"/>
              <w:ind w:left="105" w:leftChars="50" w:right="105" w:rightChars="50" w:firstLine="120" w:firstLineChars="50"/>
              <w:rPr>
                <w:rFonts w:ascii="宋体" w:hAnsi="宋体"/>
                <w:b/>
                <w:sz w:val="24"/>
              </w:rPr>
            </w:pPr>
            <w:r>
              <w:rPr>
                <w:rFonts w:hint="eastAsia" w:ascii="宋体" w:hAnsi="宋体"/>
                <w:b/>
                <w:sz w:val="24"/>
              </w:rPr>
              <w:sym w:font="Wingdings 2" w:char="0052"/>
            </w:r>
            <w:r>
              <w:rPr>
                <w:rFonts w:hint="eastAsia" w:ascii="宋体" w:hAnsi="宋体"/>
                <w:b/>
                <w:sz w:val="24"/>
              </w:rPr>
              <w:t>不接受</w:t>
            </w:r>
          </w:p>
          <w:p>
            <w:pPr>
              <w:spacing w:line="340" w:lineRule="exact"/>
              <w:ind w:left="105" w:leftChars="50" w:right="105" w:rightChars="50" w:firstLine="120" w:firstLineChars="50"/>
              <w:rPr>
                <w:rFonts w:ascii="宋体" w:hAnsi="宋体"/>
                <w:sz w:val="24"/>
              </w:rPr>
            </w:pPr>
            <w:r>
              <w:rPr>
                <w:rFonts w:hint="eastAsia" w:ascii="宋体" w:hAnsi="宋体"/>
                <w:sz w:val="24"/>
              </w:rPr>
              <w:t>□接受，详见投标人须知第3.3条款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7"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w:t>
            </w:r>
            <w:r>
              <w:rPr>
                <w:rFonts w:hint="eastAsia" w:cs="Courier New"/>
              </w:rPr>
              <w:t>4</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考察现场、标前答疑会</w:t>
            </w:r>
          </w:p>
        </w:tc>
        <w:tc>
          <w:tcPr>
            <w:tcW w:w="6898" w:type="dxa"/>
            <w:tcBorders>
              <w:top w:val="single" w:color="auto" w:sz="8" w:space="0"/>
              <w:left w:val="single" w:color="auto" w:sz="8" w:space="0"/>
              <w:bottom w:val="single" w:color="auto" w:sz="8" w:space="0"/>
              <w:right w:val="single" w:color="auto" w:sz="18" w:space="0"/>
            </w:tcBorders>
          </w:tcPr>
          <w:p>
            <w:pPr>
              <w:pStyle w:val="85"/>
              <w:spacing w:line="320" w:lineRule="exact"/>
              <w:ind w:left="210" w:leftChars="100"/>
              <w:rPr>
                <w:b/>
                <w:lang w:val="zh-CN"/>
              </w:rPr>
            </w:pPr>
            <w:r>
              <w:rPr>
                <w:rFonts w:hint="eastAsia"/>
                <w:b/>
                <w:lang w:val="zh-CN"/>
              </w:rPr>
              <w:sym w:font="Wingdings 2" w:char="0052"/>
            </w:r>
            <w:r>
              <w:rPr>
                <w:rFonts w:hint="eastAsia"/>
                <w:b/>
                <w:lang w:val="zh-CN"/>
              </w:rPr>
              <w:t>不组织</w:t>
            </w:r>
          </w:p>
          <w:p>
            <w:pPr>
              <w:spacing w:line="320" w:lineRule="exact"/>
              <w:ind w:left="105" w:leftChars="50" w:right="105" w:rightChars="50" w:firstLine="120" w:firstLineChars="50"/>
              <w:rPr>
                <w:rFonts w:ascii="宋体" w:hAnsi="宋体"/>
                <w:sz w:val="24"/>
              </w:rPr>
            </w:pPr>
            <w:r>
              <w:rPr>
                <w:rFonts w:hint="eastAsia" w:ascii="宋体" w:hAnsi="宋体"/>
                <w:sz w:val="24"/>
                <w:lang w:val="zh-CN"/>
              </w:rPr>
              <w:t>□组织，时间、地点另行书面通知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7"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w:t>
            </w:r>
            <w:r>
              <w:rPr>
                <w:rFonts w:hint="eastAsia" w:cs="Courier New"/>
              </w:rPr>
              <w:t>5</w:t>
            </w:r>
          </w:p>
        </w:tc>
        <w:tc>
          <w:tcPr>
            <w:tcW w:w="1687"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询问和质疑</w:t>
            </w:r>
          </w:p>
        </w:tc>
        <w:tc>
          <w:tcPr>
            <w:tcW w:w="6898" w:type="dxa"/>
            <w:tcBorders>
              <w:top w:val="single" w:color="auto" w:sz="8" w:space="0"/>
              <w:left w:val="single" w:color="auto" w:sz="8" w:space="0"/>
              <w:bottom w:val="single" w:color="auto" w:sz="8" w:space="0"/>
              <w:right w:val="single" w:color="auto" w:sz="18" w:space="0"/>
            </w:tcBorders>
            <w:vAlign w:val="center"/>
          </w:tcPr>
          <w:p>
            <w:pPr>
              <w:ind w:firstLine="240" w:firstLineChars="100"/>
              <w:jc w:val="left"/>
              <w:rPr>
                <w:sz w:val="24"/>
              </w:rPr>
            </w:pPr>
            <w:r>
              <w:rPr>
                <w:rFonts w:hint="eastAsia"/>
                <w:sz w:val="24"/>
              </w:rPr>
              <w:t>见招标公告中的“联系方式”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401"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color w:val="auto"/>
                <w:lang w:val="zh-CN"/>
              </w:rPr>
            </w:pPr>
            <w:r>
              <w:rPr>
                <w:rFonts w:hint="eastAsia" w:cs="Courier New"/>
                <w:color w:val="auto"/>
                <w:lang w:val="zh-CN"/>
              </w:rPr>
              <w:t>1</w:t>
            </w:r>
            <w:r>
              <w:rPr>
                <w:rFonts w:hint="eastAsia" w:cs="Courier New"/>
                <w:color w:val="auto"/>
              </w:rPr>
              <w:t>6</w:t>
            </w:r>
          </w:p>
        </w:tc>
        <w:tc>
          <w:tcPr>
            <w:tcW w:w="168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rPr>
            </w:pPr>
            <w:r>
              <w:rPr>
                <w:rFonts w:hint="eastAsia" w:ascii="宋体" w:hAnsi="宋体"/>
                <w:color w:val="auto"/>
                <w:sz w:val="24"/>
              </w:rPr>
              <w:t>投标文件份数</w:t>
            </w:r>
          </w:p>
        </w:tc>
        <w:tc>
          <w:tcPr>
            <w:tcW w:w="6898" w:type="dxa"/>
            <w:tcBorders>
              <w:top w:val="single" w:color="auto" w:sz="8" w:space="0"/>
              <w:left w:val="single" w:color="auto" w:sz="8" w:space="0"/>
              <w:bottom w:val="single" w:color="auto" w:sz="8" w:space="0"/>
              <w:right w:val="single" w:color="auto" w:sz="18" w:space="0"/>
            </w:tcBorders>
            <w:vAlign w:val="center"/>
          </w:tcPr>
          <w:p>
            <w:pPr>
              <w:ind w:firstLine="240" w:firstLineChars="100"/>
              <w:rPr>
                <w:rFonts w:ascii="宋体" w:hAnsi="宋体"/>
                <w:color w:val="auto"/>
                <w:sz w:val="24"/>
              </w:rPr>
            </w:pPr>
            <w:r>
              <w:rPr>
                <w:rFonts w:ascii="宋体" w:hAnsi="宋体"/>
                <w:color w:val="auto"/>
                <w:sz w:val="24"/>
              </w:rPr>
              <w:t>投标供应商无需提供；</w:t>
            </w:r>
          </w:p>
          <w:p>
            <w:pPr>
              <w:ind w:firstLine="240" w:firstLineChars="100"/>
              <w:rPr>
                <w:rFonts w:ascii="宋体" w:hAnsi="宋体"/>
                <w:color w:val="auto"/>
                <w:sz w:val="24"/>
              </w:rPr>
            </w:pPr>
            <w:r>
              <w:rPr>
                <w:rFonts w:ascii="宋体" w:hAnsi="宋体"/>
                <w:color w:val="auto"/>
                <w:sz w:val="24"/>
              </w:rPr>
              <w:t>中标供应商在领取中标通知书时提供</w:t>
            </w:r>
            <w:r>
              <w:rPr>
                <w:rFonts w:hint="eastAsia" w:ascii="宋体" w:hAnsi="宋体"/>
                <w:color w:val="auto"/>
                <w:sz w:val="24"/>
              </w:rPr>
              <w:t>正本壹份，副本贰份</w:t>
            </w:r>
            <w:r>
              <w:rPr>
                <w:rFonts w:hint="eastAsia" w:ascii="宋体" w:hAnsi="宋体"/>
                <w:color w:val="auto"/>
                <w:sz w:val="24"/>
                <w:lang w:eastAsia="zh-CN"/>
              </w:rPr>
              <w:t>、</w:t>
            </w:r>
            <w:r>
              <w:rPr>
                <w:rFonts w:hint="eastAsia" w:ascii="宋体" w:hAnsi="宋体"/>
                <w:color w:val="auto"/>
                <w:sz w:val="24"/>
              </w:rPr>
              <w:t>电子版1份，装订成册递交至采购代理机构。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2"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1</w:t>
            </w:r>
            <w:r>
              <w:rPr>
                <w:rFonts w:hint="eastAsia" w:cs="Courier New"/>
              </w:rPr>
              <w:t>7</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投标有效期</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ind w:firstLine="240" w:firstLineChars="100"/>
            </w:pPr>
            <w:r>
              <w:rPr>
                <w:rFonts w:hint="eastAsia"/>
                <w:lang w:val="zh-CN"/>
              </w:rPr>
              <w:t>从投标截止日起90日历天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18</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3"/>
              <w:jc w:val="center"/>
              <w:rPr>
                <w:lang w:val="zh-CN"/>
              </w:rPr>
            </w:pPr>
            <w:r>
              <w:rPr>
                <w:rFonts w:hint="eastAsia"/>
                <w:lang w:val="zh-CN"/>
              </w:rPr>
              <w:t>是否允许递交多个备选投标方案</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ind w:left="210"/>
              <w:jc w:val="both"/>
              <w:rPr>
                <w:lang w:val="zh-CN"/>
              </w:rPr>
            </w:pPr>
            <w:r>
              <w:rPr>
                <w:rFonts w:hint="eastAsia"/>
                <w:b/>
                <w:lang w:val="zh-CN"/>
              </w:rPr>
              <w:sym w:font="Wingdings 2" w:char="0052"/>
            </w:r>
            <w:r>
              <w:rPr>
                <w:rFonts w:hint="eastAsia"/>
                <w:b/>
                <w:lang w:val="zh-CN"/>
              </w:rPr>
              <w:t xml:space="preserve">不允许     </w:t>
            </w:r>
            <w:r>
              <w:rPr>
                <w:rFonts w:hint="eastAsia"/>
              </w:rPr>
              <w:t>□</w:t>
            </w:r>
            <w:r>
              <w:rPr>
                <w:rFonts w:hint="eastAsia"/>
                <w:lang w:val="zh-CN"/>
              </w:rPr>
              <w:t>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19</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33"/>
              <w:jc w:val="center"/>
              <w:rPr>
                <w:lang w:val="zh-CN"/>
              </w:rPr>
            </w:pPr>
            <w:r>
              <w:rPr>
                <w:rFonts w:hint="eastAsia"/>
                <w:lang w:val="zh-CN"/>
              </w:rPr>
              <w:t>投标保证金</w:t>
            </w:r>
          </w:p>
        </w:tc>
        <w:tc>
          <w:tcPr>
            <w:tcW w:w="6898" w:type="dxa"/>
            <w:tcBorders>
              <w:top w:val="single" w:color="auto" w:sz="8" w:space="0"/>
              <w:left w:val="single" w:color="auto" w:sz="8" w:space="0"/>
              <w:bottom w:val="single" w:color="auto" w:sz="8" w:space="0"/>
              <w:right w:val="single" w:color="auto" w:sz="18" w:space="0"/>
            </w:tcBorders>
            <w:vAlign w:val="center"/>
          </w:tcPr>
          <w:p>
            <w:pPr>
              <w:spacing w:line="360" w:lineRule="auto"/>
              <w:ind w:left="210"/>
              <w:rPr>
                <w:rFonts w:ascii="宋体" w:hAnsi="宋体"/>
                <w:sz w:val="24"/>
              </w:rPr>
            </w:pPr>
            <w:r>
              <w:rPr>
                <w:rFonts w:hint="eastAsia" w:ascii="宋体" w:hAnsi="宋体"/>
                <w:sz w:val="24"/>
              </w:rPr>
              <w:t xml:space="preserve">□要求     </w:t>
            </w:r>
            <w:r>
              <w:rPr>
                <w:rFonts w:hint="eastAsia" w:ascii="宋体" w:hAnsi="宋体"/>
                <w:b/>
                <w:sz w:val="24"/>
              </w:rPr>
              <w:t xml:space="preserve">  </w:t>
            </w:r>
            <w:r>
              <w:rPr>
                <w:rFonts w:hint="eastAsia" w:ascii="宋体" w:hAnsi="宋体"/>
                <w:b/>
                <w:sz w:val="24"/>
                <w:lang w:val="zh-CN"/>
              </w:rPr>
              <w:sym w:font="Wingdings 2" w:char="0052"/>
            </w:r>
            <w:r>
              <w:rPr>
                <w:rFonts w:hint="eastAsia" w:ascii="宋体" w:hAnsi="宋体"/>
                <w:b/>
                <w:sz w:val="24"/>
              </w:rPr>
              <w:t>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20</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投标人信用信息</w:t>
            </w:r>
          </w:p>
          <w:p>
            <w:pPr>
              <w:pStyle w:val="85"/>
              <w:ind w:left="96"/>
              <w:jc w:val="center"/>
              <w:rPr>
                <w:lang w:val="zh-CN"/>
              </w:rPr>
            </w:pPr>
            <w:r>
              <w:rPr>
                <w:rFonts w:hint="eastAsia"/>
                <w:lang w:val="zh-CN"/>
              </w:rPr>
              <w:t>查询截至时点</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ind w:firstLine="240" w:firstLineChars="100"/>
              <w:rPr>
                <w:lang w:val="zh-CN"/>
              </w:rPr>
            </w:pPr>
            <w:r>
              <w:rPr>
                <w:rFonts w:hint="eastAsia"/>
                <w:lang w:val="zh-CN"/>
              </w:rPr>
              <w:t>投标文件递交截止时间。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2"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21</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投标截止时间</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firstLine="240" w:firstLineChars="100"/>
              <w:jc w:val="both"/>
              <w:rPr>
                <w:lang w:val="zh-CN"/>
              </w:rPr>
            </w:pPr>
            <w:r>
              <w:rPr>
                <w:rFonts w:hint="eastAsia"/>
                <w:highlight w:val="none"/>
                <w:lang w:val="zh-CN"/>
              </w:rPr>
              <w:t>202</w:t>
            </w:r>
            <w:r>
              <w:rPr>
                <w:rFonts w:hint="eastAsia"/>
                <w:highlight w:val="none"/>
              </w:rPr>
              <w:t>3</w:t>
            </w:r>
            <w:r>
              <w:rPr>
                <w:rFonts w:hint="eastAsia"/>
                <w:highlight w:val="none"/>
                <w:lang w:val="zh-CN"/>
              </w:rPr>
              <w:t>年</w:t>
            </w:r>
            <w:r>
              <w:rPr>
                <w:rFonts w:hint="eastAsia"/>
                <w:highlight w:val="none"/>
              </w:rPr>
              <w:t>0</w:t>
            </w:r>
            <w:r>
              <w:rPr>
                <w:rFonts w:hint="eastAsia"/>
                <w:highlight w:val="none"/>
                <w:lang w:val="en-US" w:eastAsia="zh-CN"/>
              </w:rPr>
              <w:t>2</w:t>
            </w:r>
            <w:r>
              <w:rPr>
                <w:rFonts w:hint="eastAsia"/>
                <w:highlight w:val="none"/>
                <w:lang w:val="zh-CN"/>
              </w:rPr>
              <w:t>月</w:t>
            </w:r>
            <w:r>
              <w:rPr>
                <w:rFonts w:hint="eastAsia"/>
                <w:highlight w:val="none"/>
                <w:lang w:val="en-US" w:eastAsia="zh-CN"/>
              </w:rPr>
              <w:t>8</w:t>
            </w:r>
            <w:r>
              <w:rPr>
                <w:rFonts w:hint="eastAsia"/>
                <w:highlight w:val="none"/>
                <w:lang w:val="zh-CN"/>
              </w:rPr>
              <w:t xml:space="preserve"> 日09时</w:t>
            </w:r>
            <w:r>
              <w:rPr>
                <w:rFonts w:hint="eastAsia"/>
                <w:highlight w:val="none"/>
                <w:lang w:val="en-US" w:eastAsia="zh-CN"/>
              </w:rPr>
              <w:t>00</w:t>
            </w:r>
            <w:r>
              <w:rPr>
                <w:rFonts w:hint="eastAsia"/>
                <w:highlight w:val="none"/>
                <w:lang w:val="zh-CN"/>
              </w:rPr>
              <w:t>分前。</w:t>
            </w:r>
            <w:r>
              <w:rPr>
                <w:rFonts w:hint="eastAsia"/>
                <w:lang w:val="zh-CN"/>
              </w:rPr>
              <w:t>逾期提交的，系统将拒绝接收。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6"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22</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递交投标文件地点</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firstLine="240" w:firstLineChars="100"/>
            </w:pPr>
            <w:r>
              <w:rPr>
                <w:rFonts w:hint="eastAsia"/>
              </w:rPr>
              <w:t>全国公共资源交易平台（陕西省·西安市</w:t>
            </w:r>
          </w:p>
          <w:p>
            <w:pPr>
              <w:pStyle w:val="85"/>
              <w:spacing w:line="320" w:lineRule="exact"/>
              <w:ind w:firstLine="240" w:firstLineChars="100"/>
              <w:jc w:val="both"/>
            </w:pPr>
            <w:r>
              <w:rPr>
                <w:rFonts w:hint="eastAsia"/>
              </w:rPr>
              <w:t>（http://sxggzyjy.xa.gov.cn/）电子上传文件递交。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23</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lang w:val="zh-CN"/>
              </w:rPr>
              <w:t>开标形式</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firstLine="240" w:firstLineChars="100"/>
              <w:rPr>
                <w:lang w:val="zh-CN"/>
              </w:rPr>
            </w:pPr>
            <w:r>
              <w:rPr>
                <w:rFonts w:hint="eastAsia"/>
                <w:lang w:val="zh-CN"/>
              </w:rPr>
              <w:t>本项目将采用“不见面开标”形式。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24</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开标时间和地点</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ind w:firstLine="240" w:firstLineChars="100"/>
              <w:rPr>
                <w:lang w:val="zh-CN"/>
              </w:rPr>
            </w:pPr>
            <w:r>
              <w:rPr>
                <w:rFonts w:hint="eastAsia"/>
                <w:lang w:val="zh-CN"/>
              </w:rPr>
              <w:t>开标时间：同投标截止时间</w:t>
            </w:r>
          </w:p>
          <w:p>
            <w:pPr>
              <w:autoSpaceDE w:val="0"/>
              <w:autoSpaceDN w:val="0"/>
              <w:adjustRightInd w:val="0"/>
              <w:ind w:firstLine="240" w:firstLineChars="100"/>
              <w:jc w:val="left"/>
              <w:rPr>
                <w:rFonts w:ascii="宋体" w:hAnsi="宋体"/>
                <w:sz w:val="24"/>
              </w:rPr>
            </w:pPr>
            <w:r>
              <w:rPr>
                <w:rFonts w:hint="eastAsia" w:ascii="宋体" w:hAnsi="宋体"/>
                <w:sz w:val="24"/>
                <w:lang w:val="zh-CN"/>
              </w:rPr>
              <w:t>开标地点：同递交投标文件地点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9"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25</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rFonts w:cs="Arial"/>
                <w:lang w:val="zh-CN"/>
              </w:rPr>
            </w:pPr>
            <w:r>
              <w:rPr>
                <w:rFonts w:hint="eastAsia"/>
                <w:lang w:val="zh-CN"/>
              </w:rPr>
              <w:t>评标委员会的组建</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firstLine="240" w:firstLineChars="100"/>
            </w:pPr>
            <w:r>
              <w:rPr>
                <w:rFonts w:hint="eastAsia"/>
                <w:lang w:val="zh-CN"/>
              </w:rPr>
              <w:t>评标委员会构成：</w:t>
            </w:r>
            <w:r>
              <w:rPr>
                <w:rFonts w:hint="eastAsia"/>
              </w:rPr>
              <w:t>7人，其中采购人代表2人，专家5人。</w:t>
            </w:r>
          </w:p>
          <w:p>
            <w:pPr>
              <w:pStyle w:val="85"/>
              <w:spacing w:line="320" w:lineRule="exact"/>
              <w:ind w:firstLine="240" w:firstLineChars="100"/>
            </w:pPr>
            <w:r>
              <w:rPr>
                <w:rFonts w:hint="eastAsia"/>
              </w:rPr>
              <w:t>评标专家确定方式：开标前在省级财政部门设立的政府采购评审专家库中随机抽取。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4"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2</w:t>
            </w:r>
            <w:r>
              <w:rPr>
                <w:rFonts w:hint="eastAsia" w:cs="Courier New"/>
              </w:rPr>
              <w:t>6</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96"/>
              <w:jc w:val="center"/>
              <w:rPr>
                <w:lang w:val="zh-CN"/>
              </w:rPr>
            </w:pPr>
            <w:r>
              <w:rPr>
                <w:rFonts w:hint="eastAsia"/>
                <w:lang w:val="zh-CN"/>
              </w:rPr>
              <w:t>评标方法及标准</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spacing w:line="320" w:lineRule="exact"/>
              <w:ind w:left="694" w:leftChars="102" w:hanging="480" w:hangingChars="200"/>
              <w:rPr>
                <w:lang w:val="zh-CN"/>
              </w:rPr>
            </w:pPr>
            <w:r>
              <w:rPr>
                <w:rFonts w:hint="eastAsia"/>
                <w:lang w:val="zh-CN"/>
              </w:rPr>
              <w:t>综合评估法</w:t>
            </w:r>
          </w:p>
          <w:p>
            <w:pPr>
              <w:pStyle w:val="85"/>
              <w:spacing w:line="320" w:lineRule="exact"/>
              <w:ind w:left="694" w:leftChars="102" w:hanging="480" w:hangingChars="200"/>
              <w:rPr>
                <w:lang w:val="zh-CN"/>
              </w:rPr>
            </w:pPr>
            <w:r>
              <w:rPr>
                <w:rFonts w:hint="eastAsia"/>
                <w:lang w:val="zh-CN"/>
              </w:rPr>
              <w:t>详见第三章评标办法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2</w:t>
            </w:r>
            <w:r>
              <w:rPr>
                <w:rFonts w:hint="eastAsia" w:cs="Courier New"/>
              </w:rPr>
              <w:t>7</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96"/>
              <w:jc w:val="center"/>
              <w:rPr>
                <w:lang w:val="zh-CN"/>
              </w:rPr>
            </w:pPr>
            <w:r>
              <w:rPr>
                <w:rFonts w:hint="eastAsia"/>
                <w:lang w:val="zh-CN"/>
              </w:rPr>
              <w:t>评标委员会推荐中标候选人的人数</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ind w:left="694" w:leftChars="102" w:hanging="480" w:hangingChars="200"/>
              <w:rPr>
                <w:lang w:val="zh-CN"/>
              </w:rPr>
            </w:pPr>
            <w:r>
              <w:rPr>
                <w:rFonts w:hint="eastAsia"/>
                <w:lang w:val="zh-CN"/>
              </w:rPr>
              <w:t>推荐3名中标候选人。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4"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Arial"/>
              </w:rPr>
            </w:pPr>
            <w:r>
              <w:rPr>
                <w:rFonts w:hint="eastAsia" w:cs="Courier New"/>
              </w:rPr>
              <w:t>28</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ind w:left="96"/>
              <w:jc w:val="center"/>
              <w:rPr>
                <w:lang w:val="zh-CN"/>
              </w:rPr>
            </w:pPr>
            <w:r>
              <w:rPr>
                <w:rFonts w:hint="eastAsia"/>
                <w:lang w:val="zh-CN"/>
              </w:rPr>
              <w:t>是否授权评标委员会确定中标人</w:t>
            </w:r>
          </w:p>
        </w:tc>
        <w:tc>
          <w:tcPr>
            <w:tcW w:w="6898" w:type="dxa"/>
            <w:tcBorders>
              <w:top w:val="single" w:color="auto" w:sz="8" w:space="0"/>
              <w:left w:val="single" w:color="auto" w:sz="8" w:space="0"/>
              <w:bottom w:val="single" w:color="auto" w:sz="8" w:space="0"/>
              <w:right w:val="single" w:color="auto" w:sz="18" w:space="0"/>
            </w:tcBorders>
            <w:vAlign w:val="center"/>
          </w:tcPr>
          <w:p>
            <w:pPr>
              <w:pStyle w:val="85"/>
              <w:numPr>
                <w:ilvl w:val="0"/>
                <w:numId w:val="1"/>
              </w:numPr>
              <w:rPr>
                <w:lang w:val="zh-CN"/>
              </w:rPr>
            </w:pPr>
            <w:r>
              <w:rPr>
                <w:rFonts w:hint="eastAsia"/>
                <w:lang w:val="zh-CN"/>
              </w:rPr>
              <w:t>是</w:t>
            </w:r>
          </w:p>
          <w:p>
            <w:pPr>
              <w:pStyle w:val="85"/>
              <w:ind w:firstLine="241" w:firstLineChars="100"/>
              <w:rPr>
                <w:b/>
                <w:lang w:val="zh-CN"/>
              </w:rPr>
            </w:pPr>
            <w:r>
              <w:rPr>
                <w:rFonts w:hint="eastAsia" w:ascii="MS Gothic" w:hAnsi="MS Gothic" w:eastAsia="MS Gothic" w:cs="MS Gothic"/>
                <w:b/>
                <w:lang w:val="zh-CN"/>
              </w:rPr>
              <w:t>☑</w:t>
            </w:r>
            <w:r>
              <w:rPr>
                <w:rFonts w:hint="eastAsia"/>
                <w:b/>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1"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rPr>
            </w:pPr>
            <w:r>
              <w:rPr>
                <w:rFonts w:hint="eastAsia" w:cs="Courier New"/>
              </w:rPr>
              <w:t>29</w:t>
            </w:r>
          </w:p>
        </w:tc>
        <w:tc>
          <w:tcPr>
            <w:tcW w:w="168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24"/>
              </w:rPr>
            </w:pPr>
            <w:r>
              <w:rPr>
                <w:rFonts w:hint="eastAsia" w:ascii="宋体" w:hAnsi="宋体"/>
                <w:sz w:val="24"/>
              </w:rPr>
              <w:t>政府采购信息发布媒体</w:t>
            </w:r>
            <w:r>
              <w:rPr>
                <w:rFonts w:ascii="宋体" w:hAnsi="宋体"/>
                <w:sz w:val="24"/>
              </w:rPr>
              <w:t>（采购公告、采购结果公告、变更公告）</w:t>
            </w:r>
          </w:p>
        </w:tc>
        <w:tc>
          <w:tcPr>
            <w:tcW w:w="6898" w:type="dxa"/>
            <w:tcBorders>
              <w:top w:val="single" w:color="auto" w:sz="8" w:space="0"/>
              <w:left w:val="single" w:color="auto" w:sz="8" w:space="0"/>
              <w:bottom w:val="single" w:color="auto" w:sz="8" w:space="0"/>
              <w:right w:val="single" w:color="auto" w:sz="18" w:space="0"/>
            </w:tcBorders>
            <w:vAlign w:val="center"/>
          </w:tcPr>
          <w:p>
            <w:pPr>
              <w:jc w:val="left"/>
              <w:rPr>
                <w:rFonts w:ascii="宋体" w:hAnsi="宋体"/>
                <w:sz w:val="24"/>
              </w:rPr>
            </w:pPr>
            <w:r>
              <w:rPr>
                <w:rFonts w:hint="eastAsia" w:ascii="宋体" w:hAnsi="宋体"/>
                <w:sz w:val="24"/>
              </w:rPr>
              <w:t>1．陕西省政府采购网：仅提供项目公告，官网地址：http://ccgp-shaanxi.gov.cn/。</w:t>
            </w:r>
          </w:p>
          <w:p>
            <w:pPr>
              <w:jc w:val="left"/>
              <w:rPr>
                <w:rFonts w:ascii="宋体" w:hAnsi="宋体"/>
                <w:sz w:val="24"/>
              </w:rPr>
            </w:pPr>
            <w:r>
              <w:rPr>
                <w:rFonts w:hint="eastAsia" w:ascii="宋体" w:hAnsi="宋体"/>
                <w:sz w:val="24"/>
              </w:rPr>
              <w:t>2．全国公共资源交易平台（陕西省</w:t>
            </w:r>
            <w:r>
              <w:rPr>
                <w:rFonts w:ascii="宋体" w:hAnsi="宋体"/>
                <w:sz w:val="24"/>
              </w:rPr>
              <w:t>·</w:t>
            </w:r>
            <w:r>
              <w:rPr>
                <w:rFonts w:hint="eastAsia" w:ascii="宋体" w:hAnsi="宋体"/>
                <w:sz w:val="24"/>
              </w:rPr>
              <w:t>西安市）：即西安市公共资源交易平台，提供项目公告和采购文件下载。官网地址：http://sxggzyjy.xa.gov.cn/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3</w:t>
            </w:r>
            <w:r>
              <w:rPr>
                <w:rFonts w:hint="eastAsia" w:cs="Courier New"/>
              </w:rPr>
              <w:t>0</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采购标的对应的中小企业划分标准所属行业</w:t>
            </w:r>
          </w:p>
        </w:tc>
        <w:tc>
          <w:tcPr>
            <w:tcW w:w="6898" w:type="dxa"/>
            <w:tcBorders>
              <w:top w:val="single" w:color="auto" w:sz="8" w:space="0"/>
              <w:left w:val="single" w:color="auto" w:sz="8" w:space="0"/>
              <w:bottom w:val="single" w:color="auto" w:sz="8" w:space="0"/>
              <w:right w:val="single" w:color="auto" w:sz="18" w:space="0"/>
            </w:tcBorders>
            <w:vAlign w:val="center"/>
          </w:tcPr>
          <w:p>
            <w:pPr>
              <w:spacing w:line="320" w:lineRule="exact"/>
              <w:ind w:right="105" w:rightChars="50" w:firstLine="240" w:firstLineChars="100"/>
              <w:rPr>
                <w:rFonts w:ascii="宋体" w:hAnsi="宋体"/>
                <w:sz w:val="24"/>
              </w:rPr>
            </w:pPr>
            <w:r>
              <w:rPr>
                <w:rFonts w:hint="eastAsia" w:ascii="宋体" w:hAnsi="宋体"/>
                <w:sz w:val="24"/>
              </w:rPr>
              <w:t>详见《关于印发中小企业划型标准规定的通知》（工信部联企业[2011]300号）中划分标准。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32"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3</w:t>
            </w:r>
            <w:r>
              <w:rPr>
                <w:rFonts w:hint="eastAsia" w:cs="Courier New"/>
              </w:rPr>
              <w:t>1</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招标代理服务费</w:t>
            </w:r>
          </w:p>
        </w:tc>
        <w:tc>
          <w:tcPr>
            <w:tcW w:w="6898" w:type="dxa"/>
            <w:tcBorders>
              <w:top w:val="single" w:color="auto" w:sz="8" w:space="0"/>
              <w:left w:val="single" w:color="auto" w:sz="8" w:space="0"/>
              <w:bottom w:val="single" w:color="auto" w:sz="8" w:space="0"/>
              <w:right w:val="single" w:color="auto" w:sz="18" w:space="0"/>
            </w:tcBorders>
            <w:vAlign w:val="center"/>
          </w:tcPr>
          <w:p>
            <w:pPr>
              <w:pStyle w:val="2"/>
              <w:ind w:firstLine="0"/>
              <w:rPr>
                <w:rFonts w:ascii="宋体" w:hAnsi="宋体" w:cs="宋体"/>
                <w:sz w:val="24"/>
                <w:szCs w:val="24"/>
              </w:rPr>
            </w:pPr>
            <w:r>
              <w:rPr>
                <w:rFonts w:hint="eastAsia" w:ascii="宋体" w:hAnsi="宋体" w:cs="宋体"/>
                <w:sz w:val="24"/>
                <w:szCs w:val="24"/>
              </w:rPr>
              <w:t>1.招标代理费按国家发展与改革委员会《招标代理服务收费暂行办法》（计价格[2002]1980号）及发改办价格[2003]857号的收费标准计取，招标代理服务费由中标人支付，在领取中标通知书时一次性缴纳；</w:t>
            </w:r>
          </w:p>
          <w:p>
            <w:pPr>
              <w:pStyle w:val="2"/>
              <w:ind w:firstLine="0"/>
              <w:rPr>
                <w:rFonts w:ascii="宋体" w:hAnsi="宋体" w:cs="宋体"/>
                <w:sz w:val="24"/>
                <w:szCs w:val="24"/>
              </w:rPr>
            </w:pPr>
            <w:r>
              <w:rPr>
                <w:rFonts w:hint="eastAsia" w:ascii="宋体" w:hAnsi="宋体" w:cs="宋体"/>
                <w:sz w:val="24"/>
                <w:szCs w:val="24"/>
              </w:rPr>
              <w:t>2.招标代理服务费可以采取现金、支票、银行汇票、电汇、网银等方式交纳。</w:t>
            </w:r>
          </w:p>
          <w:p>
            <w:pPr>
              <w:pStyle w:val="2"/>
              <w:ind w:firstLine="0"/>
              <w:rPr>
                <w:rFonts w:ascii="宋体" w:hAnsi="宋体" w:cs="宋体"/>
                <w:sz w:val="24"/>
                <w:szCs w:val="24"/>
              </w:rPr>
            </w:pPr>
            <w:r>
              <w:rPr>
                <w:rFonts w:hint="eastAsia" w:ascii="宋体" w:hAnsi="宋体" w:cs="宋体"/>
                <w:sz w:val="24"/>
                <w:szCs w:val="24"/>
              </w:rPr>
              <w:t>招标代理服务费交纳信息：</w:t>
            </w:r>
          </w:p>
          <w:p>
            <w:pPr>
              <w:pStyle w:val="2"/>
              <w:ind w:firstLine="0"/>
              <w:rPr>
                <w:rFonts w:ascii="宋体" w:hAnsi="宋体" w:cs="宋体"/>
                <w:sz w:val="24"/>
                <w:szCs w:val="24"/>
              </w:rPr>
            </w:pPr>
            <w:r>
              <w:rPr>
                <w:rFonts w:hint="eastAsia" w:ascii="宋体" w:hAnsi="宋体" w:cs="宋体"/>
                <w:sz w:val="24"/>
                <w:szCs w:val="24"/>
              </w:rPr>
              <w:t xml:space="preserve">账户名称： 中建鼎正项目管理有限公司 </w:t>
            </w:r>
          </w:p>
          <w:p>
            <w:pPr>
              <w:pStyle w:val="2"/>
              <w:ind w:firstLine="0"/>
              <w:rPr>
                <w:rFonts w:ascii="宋体" w:hAnsi="宋体" w:cs="宋体"/>
                <w:sz w:val="24"/>
                <w:szCs w:val="24"/>
              </w:rPr>
            </w:pPr>
            <w:r>
              <w:rPr>
                <w:rFonts w:hint="eastAsia" w:ascii="宋体" w:hAnsi="宋体" w:cs="宋体"/>
                <w:sz w:val="24"/>
                <w:szCs w:val="24"/>
              </w:rPr>
              <w:t>开 户 行：中国建设银行西安高新科技支行</w:t>
            </w:r>
          </w:p>
          <w:p>
            <w:pPr>
              <w:pStyle w:val="2"/>
              <w:ind w:firstLine="0"/>
              <w:rPr>
                <w:rFonts w:ascii="宋体" w:hAnsi="宋体" w:cs="宋体"/>
                <w:sz w:val="24"/>
                <w:szCs w:val="24"/>
              </w:rPr>
            </w:pPr>
            <w:r>
              <w:rPr>
                <w:rFonts w:hint="eastAsia" w:ascii="宋体" w:hAnsi="宋体" w:cs="宋体"/>
                <w:sz w:val="24"/>
                <w:szCs w:val="24"/>
              </w:rPr>
              <w:t>账号：61001925700052502502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9"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Arial"/>
                <w:lang w:val="zh-CN"/>
              </w:rPr>
            </w:pPr>
            <w:r>
              <w:rPr>
                <w:rFonts w:hint="eastAsia" w:cs="Courier New"/>
                <w:lang w:val="zh-CN"/>
              </w:rPr>
              <w:t>3</w:t>
            </w:r>
            <w:r>
              <w:rPr>
                <w:rFonts w:hint="eastAsia" w:cs="Courier New"/>
              </w:rPr>
              <w:t>2</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成交通知书</w:t>
            </w:r>
          </w:p>
        </w:tc>
        <w:tc>
          <w:tcPr>
            <w:tcW w:w="6898" w:type="dxa"/>
            <w:tcBorders>
              <w:top w:val="single" w:color="auto" w:sz="8" w:space="0"/>
              <w:left w:val="single" w:color="auto" w:sz="8" w:space="0"/>
              <w:bottom w:val="single" w:color="auto" w:sz="8" w:space="0"/>
              <w:right w:val="single" w:color="auto" w:sz="18" w:space="0"/>
            </w:tcBorders>
            <w:vAlign w:val="center"/>
          </w:tcPr>
          <w:p>
            <w:pPr>
              <w:widowControl/>
              <w:tabs>
                <w:tab w:val="left" w:pos="1620"/>
              </w:tabs>
              <w:ind w:right="-197" w:rightChars="-94"/>
              <w:jc w:val="left"/>
              <w:rPr>
                <w:rFonts w:ascii="宋体" w:hAnsi="宋体" w:cs="宋体"/>
                <w:kern w:val="0"/>
                <w:sz w:val="24"/>
              </w:rPr>
            </w:pPr>
            <w:r>
              <w:rPr>
                <w:rFonts w:hint="eastAsia" w:ascii="宋体" w:hAnsi="宋体" w:cs="宋体"/>
                <w:sz w:val="24"/>
              </w:rPr>
              <w:t>领取</w:t>
            </w:r>
            <w:r>
              <w:rPr>
                <w:rFonts w:hint="eastAsia" w:ascii="宋体" w:hAnsi="宋体" w:cs="宋体"/>
                <w:sz w:val="24"/>
                <w:lang w:val="zh-CN"/>
              </w:rPr>
              <w:t>地址：</w:t>
            </w:r>
            <w:r>
              <w:rPr>
                <w:rFonts w:hint="eastAsia" w:ascii="宋体" w:hAnsi="宋体" w:cs="宋体"/>
                <w:kern w:val="0"/>
                <w:sz w:val="24"/>
              </w:rPr>
              <w:t>西安市高新区科技路48号创业广场B座1506室</w:t>
            </w:r>
          </w:p>
          <w:p>
            <w:pPr>
              <w:pStyle w:val="85"/>
            </w:pPr>
            <w:r>
              <w:rPr>
                <w:rFonts w:hint="eastAsia"/>
                <w:lang w:val="zh-CN"/>
              </w:rPr>
              <w:t>联系人:</w:t>
            </w:r>
            <w:r>
              <w:rPr>
                <w:rFonts w:hint="eastAsia"/>
              </w:rPr>
              <w:t>闫</w:t>
            </w:r>
            <w:r>
              <w:rPr>
                <w:rFonts w:hint="eastAsia"/>
                <w:lang w:val="zh-CN"/>
              </w:rPr>
              <w:t>工    电话:</w:t>
            </w:r>
            <w:r>
              <w:rPr>
                <w:rFonts w:hint="eastAsia"/>
              </w:rPr>
              <w:t>029-88861150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31" w:hRule="exac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Arial"/>
                <w:lang w:val="zh-CN"/>
              </w:rPr>
            </w:pPr>
            <w:r>
              <w:rPr>
                <w:rFonts w:hint="eastAsia" w:cs="Arial"/>
                <w:lang w:val="zh-CN"/>
              </w:rPr>
              <w:t>3</w:t>
            </w:r>
            <w:r>
              <w:rPr>
                <w:rFonts w:hint="eastAsia" w:cs="Arial"/>
              </w:rPr>
              <w:t>3</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left"/>
              <w:rPr>
                <w:lang w:val="zh-CN"/>
              </w:rPr>
            </w:pPr>
            <w:r>
              <w:rPr>
                <w:rFonts w:hint="eastAsia"/>
                <w:lang w:val="zh-CN"/>
              </w:rPr>
              <w:t>西安市公共资源交易中心电子化政府采购系统技术支持（软件开发商）</w:t>
            </w:r>
          </w:p>
        </w:tc>
        <w:tc>
          <w:tcPr>
            <w:tcW w:w="6898" w:type="dxa"/>
            <w:tcBorders>
              <w:top w:val="single" w:color="auto" w:sz="8" w:space="0"/>
              <w:left w:val="single" w:color="auto" w:sz="8" w:space="0"/>
              <w:bottom w:val="single" w:color="auto" w:sz="8" w:space="0"/>
              <w:right w:val="single" w:color="auto" w:sz="18" w:space="0"/>
            </w:tcBorders>
            <w:vAlign w:val="center"/>
          </w:tcPr>
          <w:p>
            <w:pPr>
              <w:spacing w:line="320" w:lineRule="exact"/>
              <w:ind w:right="105" w:rightChars="50" w:firstLine="240" w:firstLineChars="100"/>
              <w:rPr>
                <w:rFonts w:ascii="宋体" w:hAnsi="宋体"/>
                <w:sz w:val="24"/>
              </w:rPr>
            </w:pPr>
            <w:r>
              <w:rPr>
                <w:rFonts w:hint="eastAsia" w:ascii="宋体" w:hAnsi="宋体"/>
                <w:sz w:val="24"/>
              </w:rPr>
              <w:t>国泰新点软件股份有限公司</w:t>
            </w:r>
          </w:p>
          <w:p>
            <w:pPr>
              <w:spacing w:line="320" w:lineRule="exact"/>
              <w:ind w:right="105" w:rightChars="50" w:firstLine="240" w:firstLineChars="100"/>
              <w:rPr>
                <w:rFonts w:ascii="宋体" w:hAnsi="宋体"/>
                <w:sz w:val="24"/>
              </w:rPr>
            </w:pPr>
            <w:r>
              <w:rPr>
                <w:rFonts w:hint="eastAsia" w:ascii="宋体" w:hAnsi="宋体"/>
                <w:sz w:val="24"/>
              </w:rPr>
              <w:t>1．技术支持热线：400-998-0000/400-928-0095</w:t>
            </w:r>
          </w:p>
          <w:p>
            <w:pPr>
              <w:spacing w:line="320" w:lineRule="exact"/>
              <w:ind w:right="105" w:rightChars="50" w:firstLine="240" w:firstLineChars="100"/>
              <w:rPr>
                <w:rFonts w:ascii="宋体" w:hAnsi="宋体"/>
                <w:sz w:val="24"/>
              </w:rPr>
            </w:pPr>
            <w:r>
              <w:rPr>
                <w:rFonts w:hint="eastAsia" w:ascii="宋体" w:hAnsi="宋体"/>
                <w:sz w:val="24"/>
              </w:rPr>
              <w:t>2．驻场技术人员：029-86510166/86510167转80310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87"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3</w:t>
            </w:r>
            <w:r>
              <w:rPr>
                <w:rFonts w:hint="eastAsia" w:cs="Courier New"/>
              </w:rPr>
              <w:t>4</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CA 业务网点</w:t>
            </w:r>
          </w:p>
        </w:tc>
        <w:tc>
          <w:tcPr>
            <w:tcW w:w="6898" w:type="dxa"/>
            <w:tcBorders>
              <w:top w:val="single" w:color="auto" w:sz="8" w:space="0"/>
              <w:left w:val="single" w:color="auto" w:sz="8" w:space="0"/>
              <w:bottom w:val="single" w:color="auto" w:sz="8" w:space="0"/>
              <w:right w:val="single" w:color="auto" w:sz="18" w:space="0"/>
            </w:tcBorders>
            <w:vAlign w:val="center"/>
          </w:tcPr>
          <w:p>
            <w:pPr>
              <w:spacing w:line="320" w:lineRule="exact"/>
              <w:ind w:right="105" w:rightChars="50" w:firstLine="240" w:firstLineChars="100"/>
              <w:rPr>
                <w:rFonts w:ascii="宋体" w:hAnsi="宋体"/>
                <w:sz w:val="24"/>
              </w:rPr>
            </w:pPr>
            <w:r>
              <w:rPr>
                <w:rFonts w:hint="eastAsia" w:ascii="宋体" w:hAnsi="宋体"/>
                <w:sz w:val="24"/>
              </w:rPr>
              <w:t>陕西省数字证书认证中心股份有限公司</w:t>
            </w:r>
          </w:p>
          <w:p>
            <w:pPr>
              <w:spacing w:line="320" w:lineRule="exact"/>
              <w:ind w:right="105" w:rightChars="50" w:firstLine="240" w:firstLineChars="100"/>
              <w:rPr>
                <w:rFonts w:ascii="宋体" w:hAnsi="宋体"/>
                <w:sz w:val="24"/>
              </w:rPr>
            </w:pPr>
            <w:r>
              <w:rPr>
                <w:rFonts w:hint="eastAsia" w:ascii="宋体" w:hAnsi="宋体"/>
                <w:sz w:val="24"/>
              </w:rPr>
              <w:t>网点1：西安市高新三路信息港大厦1楼客服中心</w:t>
            </w:r>
          </w:p>
          <w:p>
            <w:pPr>
              <w:spacing w:line="320" w:lineRule="exact"/>
              <w:ind w:right="105" w:rightChars="50" w:firstLine="240" w:firstLineChars="100"/>
              <w:rPr>
                <w:rFonts w:ascii="宋体" w:hAnsi="宋体"/>
                <w:sz w:val="24"/>
              </w:rPr>
            </w:pPr>
            <w:r>
              <w:rPr>
                <w:rFonts w:hint="eastAsia" w:ascii="宋体" w:hAnsi="宋体"/>
                <w:sz w:val="24"/>
              </w:rPr>
              <w:t>客服电话：4006-369-888</w:t>
            </w:r>
          </w:p>
          <w:p>
            <w:pPr>
              <w:spacing w:line="320" w:lineRule="exact"/>
              <w:ind w:right="105" w:rightChars="50" w:firstLine="240" w:firstLineChars="100"/>
              <w:rPr>
                <w:rFonts w:ascii="宋体" w:hAnsi="宋体"/>
                <w:sz w:val="24"/>
              </w:rPr>
            </w:pPr>
            <w:r>
              <w:rPr>
                <w:rFonts w:hint="eastAsia" w:ascii="宋体" w:hAnsi="宋体"/>
                <w:sz w:val="24"/>
              </w:rPr>
              <w:t>网点2：西安市长安北路14号省体育公寓B座一楼</w:t>
            </w:r>
          </w:p>
          <w:p>
            <w:pPr>
              <w:spacing w:line="320" w:lineRule="exact"/>
              <w:ind w:right="105" w:rightChars="50" w:firstLine="240" w:firstLineChars="100"/>
              <w:rPr>
                <w:rFonts w:ascii="宋体" w:hAnsi="宋体"/>
                <w:sz w:val="24"/>
              </w:rPr>
            </w:pPr>
            <w:r>
              <w:rPr>
                <w:rFonts w:hint="eastAsia" w:ascii="宋体" w:hAnsi="宋体"/>
                <w:sz w:val="24"/>
              </w:rPr>
              <w:t>咨询电话：029-88661241</w:t>
            </w:r>
          </w:p>
          <w:p>
            <w:pPr>
              <w:spacing w:line="320" w:lineRule="exact"/>
              <w:ind w:right="105" w:rightChars="50" w:firstLine="240" w:firstLineChars="100"/>
              <w:rPr>
                <w:rFonts w:ascii="宋体" w:hAnsi="宋体"/>
                <w:sz w:val="24"/>
              </w:rPr>
            </w:pPr>
            <w:r>
              <w:rPr>
                <w:rFonts w:hint="eastAsia" w:ascii="宋体" w:hAnsi="宋体"/>
                <w:sz w:val="24"/>
              </w:rPr>
              <w:t>网点3：西安市文景北路16号白桦林国际B座2楼11#窗口</w:t>
            </w:r>
          </w:p>
          <w:p>
            <w:pPr>
              <w:spacing w:line="320" w:lineRule="exact"/>
              <w:ind w:right="105" w:rightChars="50" w:firstLine="240" w:firstLineChars="100"/>
              <w:rPr>
                <w:rFonts w:ascii="宋体" w:hAnsi="宋体"/>
                <w:sz w:val="24"/>
              </w:rPr>
            </w:pPr>
            <w:r>
              <w:rPr>
                <w:rFonts w:hint="eastAsia" w:ascii="宋体" w:hAnsi="宋体"/>
                <w:sz w:val="24"/>
              </w:rPr>
              <w:t>咨询电话：029-86510073转80211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588" w:type="dxa"/>
            <w:tcBorders>
              <w:top w:val="single" w:color="auto" w:sz="8" w:space="0"/>
              <w:left w:val="single" w:color="auto" w:sz="18" w:space="0"/>
              <w:bottom w:val="single" w:color="auto" w:sz="8" w:space="0"/>
              <w:right w:val="single" w:color="auto" w:sz="8" w:space="0"/>
            </w:tcBorders>
            <w:vAlign w:val="center"/>
          </w:tcPr>
          <w:p>
            <w:pPr>
              <w:pStyle w:val="85"/>
              <w:jc w:val="center"/>
              <w:rPr>
                <w:rFonts w:cs="Courier New"/>
                <w:lang w:val="zh-CN"/>
              </w:rPr>
            </w:pPr>
            <w:r>
              <w:rPr>
                <w:rFonts w:hint="eastAsia" w:cs="Courier New"/>
                <w:lang w:val="zh-CN"/>
              </w:rPr>
              <w:t>3</w:t>
            </w:r>
            <w:r>
              <w:rPr>
                <w:rFonts w:hint="eastAsia" w:cs="Courier New"/>
              </w:rPr>
              <w:t>5</w:t>
            </w:r>
          </w:p>
        </w:tc>
        <w:tc>
          <w:tcPr>
            <w:tcW w:w="1687" w:type="dxa"/>
            <w:tcBorders>
              <w:top w:val="single" w:color="auto" w:sz="8" w:space="0"/>
              <w:left w:val="single" w:color="auto" w:sz="8" w:space="0"/>
              <w:bottom w:val="single" w:color="auto" w:sz="8" w:space="0"/>
              <w:right w:val="single" w:color="auto" w:sz="8" w:space="0"/>
            </w:tcBorders>
            <w:vAlign w:val="center"/>
          </w:tcPr>
          <w:p>
            <w:pPr>
              <w:pStyle w:val="85"/>
              <w:jc w:val="center"/>
              <w:rPr>
                <w:lang w:val="zh-CN"/>
              </w:rPr>
            </w:pPr>
            <w:r>
              <w:rPr>
                <w:rFonts w:hint="eastAsia"/>
                <w:lang w:val="zh-CN"/>
              </w:rPr>
              <w:t>其他</w:t>
            </w:r>
          </w:p>
        </w:tc>
        <w:tc>
          <w:tcPr>
            <w:tcW w:w="6898" w:type="dxa"/>
            <w:tcBorders>
              <w:top w:val="single" w:color="auto" w:sz="8" w:space="0"/>
              <w:left w:val="single" w:color="auto" w:sz="8" w:space="0"/>
              <w:bottom w:val="single" w:color="auto" w:sz="8" w:space="0"/>
              <w:right w:val="single" w:color="auto" w:sz="18" w:space="0"/>
            </w:tcBorders>
            <w:vAlign w:val="center"/>
          </w:tcPr>
          <w:p>
            <w:pPr>
              <w:spacing w:line="340" w:lineRule="exact"/>
              <w:ind w:right="105" w:rightChars="50" w:firstLine="240" w:firstLineChars="100"/>
              <w:rPr>
                <w:rFonts w:ascii="宋体" w:hAnsi="宋体"/>
                <w:sz w:val="24"/>
              </w:rPr>
            </w:pPr>
            <w:r>
              <w:rPr>
                <w:rFonts w:hint="eastAsia" w:ascii="宋体" w:hAnsi="宋体"/>
                <w:sz w:val="24"/>
              </w:rPr>
              <w:t>1.按&lt;西安市财政局关于促进政府采购公平竞争优化营商环境的通知&gt;(市财函(2021)431 号)规定:供应商登记免费领取招标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p>
            <w:pPr>
              <w:pStyle w:val="2"/>
              <w:rPr>
                <w:sz w:val="24"/>
                <w:szCs w:val="24"/>
              </w:rPr>
            </w:pPr>
          </w:p>
        </w:tc>
      </w:tr>
    </w:tbl>
    <w:p>
      <w:pPr>
        <w:pStyle w:val="37"/>
        <w:spacing w:before="0" w:after="0"/>
        <w:jc w:val="both"/>
        <w:outlineLvl w:val="9"/>
      </w:pPr>
      <w:bookmarkStart w:id="43" w:name="_Toc217446034"/>
      <w:bookmarkStart w:id="44" w:name="_Toc183682342"/>
      <w:bookmarkStart w:id="45" w:name="_Toc183582205"/>
    </w:p>
    <w:p>
      <w:pPr>
        <w:pStyle w:val="4"/>
        <w:spacing w:before="0" w:after="0" w:line="500" w:lineRule="exact"/>
        <w:jc w:val="center"/>
        <w:rPr>
          <w:rFonts w:ascii="宋体" w:hAnsi="宋体" w:eastAsia="宋体" w:cs="宋体"/>
          <w:sz w:val="30"/>
          <w:szCs w:val="30"/>
        </w:rPr>
      </w:pPr>
      <w:bookmarkStart w:id="46" w:name="_Toc32381"/>
      <w:bookmarkStart w:id="47" w:name="_Toc111853886"/>
      <w:bookmarkStart w:id="48" w:name="_Toc18008"/>
      <w:r>
        <w:rPr>
          <w:rFonts w:hint="eastAsia" w:ascii="宋体" w:hAnsi="宋体" w:eastAsia="宋体" w:cs="宋体"/>
          <w:sz w:val="30"/>
          <w:szCs w:val="30"/>
        </w:rPr>
        <w:t>一、有关定义</w:t>
      </w:r>
      <w:bookmarkEnd w:id="46"/>
      <w:bookmarkEnd w:id="47"/>
      <w:bookmarkEnd w:id="48"/>
    </w:p>
    <w:bookmarkEnd w:id="43"/>
    <w:bookmarkEnd w:id="44"/>
    <w:bookmarkEnd w:id="45"/>
    <w:p>
      <w:pPr>
        <w:tabs>
          <w:tab w:val="left" w:pos="7665"/>
        </w:tabs>
        <w:spacing w:line="500" w:lineRule="exact"/>
        <w:ind w:firstLine="482" w:firstLineChars="200"/>
        <w:rPr>
          <w:sz w:val="24"/>
        </w:rPr>
      </w:pPr>
      <w:bookmarkStart w:id="49" w:name="_Toc217390843"/>
      <w:bookmarkStart w:id="50" w:name="_Toc183582207"/>
      <w:bookmarkStart w:id="51" w:name="_Toc217446036"/>
      <w:bookmarkStart w:id="52" w:name="_Toc183682344"/>
      <w:r>
        <w:rPr>
          <w:rFonts w:hint="eastAsia"/>
          <w:b/>
          <w:sz w:val="24"/>
        </w:rPr>
        <w:t>1．采购人：</w:t>
      </w:r>
      <w:r>
        <w:rPr>
          <w:rFonts w:hint="eastAsia"/>
          <w:sz w:val="24"/>
        </w:rPr>
        <w:t>依法进行政府采购的西安市市级机关、事业单位或团体组织。本招标文件中提到的采购人、招标人、建设单位、甲方均指西安市城市管理和综合执法局。</w:t>
      </w:r>
    </w:p>
    <w:p>
      <w:pPr>
        <w:tabs>
          <w:tab w:val="left" w:pos="7665"/>
        </w:tabs>
        <w:spacing w:line="500" w:lineRule="exact"/>
        <w:ind w:firstLine="482" w:firstLineChars="200"/>
        <w:rPr>
          <w:sz w:val="24"/>
        </w:rPr>
      </w:pPr>
      <w:r>
        <w:rPr>
          <w:rFonts w:hint="eastAsia"/>
          <w:b/>
          <w:sz w:val="24"/>
        </w:rPr>
        <w:t>2．供应商：</w:t>
      </w:r>
      <w:r>
        <w:rPr>
          <w:rFonts w:hint="eastAsia"/>
          <w:sz w:val="24"/>
        </w:rPr>
        <w:t>指向采购人提供货物、工程或者服务的法人、其他组织或者自然人。本招标文件中也称投标人。</w:t>
      </w:r>
    </w:p>
    <w:p>
      <w:pPr>
        <w:tabs>
          <w:tab w:val="left" w:pos="7665"/>
        </w:tabs>
        <w:spacing w:line="500" w:lineRule="exact"/>
        <w:ind w:firstLine="482" w:firstLineChars="200"/>
        <w:rPr>
          <w:sz w:val="24"/>
        </w:rPr>
      </w:pPr>
      <w:r>
        <w:rPr>
          <w:rFonts w:hint="eastAsia"/>
          <w:b/>
          <w:sz w:val="24"/>
        </w:rPr>
        <w:t>3．同级政府采购监管部门：</w:t>
      </w:r>
      <w:r>
        <w:rPr>
          <w:rFonts w:hint="eastAsia"/>
          <w:sz w:val="24"/>
        </w:rPr>
        <w:t>西安市财政局政府采购管理处。</w:t>
      </w:r>
    </w:p>
    <w:p>
      <w:pPr>
        <w:tabs>
          <w:tab w:val="left" w:pos="7665"/>
        </w:tabs>
        <w:spacing w:line="500" w:lineRule="exact"/>
        <w:ind w:firstLine="482" w:firstLineChars="200"/>
        <w:rPr>
          <w:sz w:val="24"/>
        </w:rPr>
      </w:pPr>
      <w:r>
        <w:rPr>
          <w:rFonts w:hint="eastAsia"/>
          <w:b/>
          <w:sz w:val="24"/>
        </w:rPr>
        <w:t>4．西安市公共资源交易平台：</w:t>
      </w:r>
      <w:r>
        <w:rPr>
          <w:rFonts w:hint="eastAsia"/>
          <w:sz w:val="24"/>
        </w:rPr>
        <w:t>即【全国公共资源交易平台（陕西省•西安市）】的简称，官网地址http://sxggzyjy.xa.gov.cn/。</w:t>
      </w:r>
    </w:p>
    <w:p>
      <w:pPr>
        <w:tabs>
          <w:tab w:val="left" w:pos="7665"/>
        </w:tabs>
        <w:spacing w:line="500" w:lineRule="exact"/>
        <w:ind w:firstLine="482" w:firstLineChars="200"/>
        <w:rPr>
          <w:sz w:val="24"/>
        </w:rPr>
      </w:pPr>
      <w:r>
        <w:rPr>
          <w:rFonts w:hint="eastAsia"/>
          <w:b/>
          <w:sz w:val="24"/>
        </w:rPr>
        <w:t>5. 企业端：</w:t>
      </w:r>
      <w:r>
        <w:rPr>
          <w:rFonts w:hint="eastAsia"/>
          <w:sz w:val="24"/>
        </w:rPr>
        <w:t>指西安市公共资源交易平台〖首页•〉电子交易平台•〉陕西政府采购交易系统•〉企业端〗。</w:t>
      </w:r>
    </w:p>
    <w:p>
      <w:pPr>
        <w:tabs>
          <w:tab w:val="left" w:pos="7665"/>
        </w:tabs>
        <w:spacing w:line="500" w:lineRule="exact"/>
        <w:ind w:firstLine="482" w:firstLineChars="200"/>
        <w:rPr>
          <w:rFonts w:ascii="宋体" w:hAnsi="宋体"/>
          <w:sz w:val="24"/>
        </w:rPr>
      </w:pPr>
      <w:r>
        <w:rPr>
          <w:rFonts w:hint="eastAsia" w:ascii="宋体" w:hAnsi="宋体"/>
          <w:b/>
          <w:sz w:val="24"/>
        </w:rPr>
        <w:t>6. 节能产品：</w:t>
      </w:r>
      <w:r>
        <w:rPr>
          <w:rFonts w:hint="eastAsia" w:ascii="宋体" w:hAnsi="宋体"/>
          <w:sz w:val="24"/>
        </w:rPr>
        <w:t>指财政部、发展改革委、生态环境部等部门发布的《节能产品品目清单》中的产品。</w:t>
      </w:r>
    </w:p>
    <w:p>
      <w:pPr>
        <w:adjustRightInd w:val="0"/>
        <w:snapToGrid w:val="0"/>
        <w:spacing w:line="500" w:lineRule="exact"/>
        <w:ind w:firstLine="482" w:firstLineChars="200"/>
        <w:rPr>
          <w:rFonts w:ascii="宋体" w:hAnsi="宋体"/>
          <w:sz w:val="24"/>
        </w:rPr>
      </w:pPr>
      <w:r>
        <w:rPr>
          <w:rFonts w:hint="eastAsia" w:ascii="宋体" w:hAnsi="宋体"/>
          <w:b/>
          <w:sz w:val="24"/>
        </w:rPr>
        <w:t>7. 环境标志产品：</w:t>
      </w:r>
      <w:r>
        <w:rPr>
          <w:rFonts w:hint="eastAsia" w:ascii="宋体" w:hAnsi="宋体"/>
          <w:sz w:val="24"/>
        </w:rPr>
        <w:t>是指财政部、发展改革委、生态环境部等部门发布的《环境标志产品品目清单》中的产品。</w:t>
      </w:r>
    </w:p>
    <w:p>
      <w:pPr>
        <w:adjustRightInd w:val="0"/>
        <w:snapToGrid w:val="0"/>
        <w:spacing w:line="500" w:lineRule="exact"/>
        <w:ind w:firstLine="482" w:firstLineChars="200"/>
        <w:rPr>
          <w:rFonts w:ascii="宋体" w:hAnsi="宋体" w:cs="宋体"/>
          <w:kern w:val="0"/>
          <w:sz w:val="24"/>
        </w:rPr>
      </w:pPr>
      <w:r>
        <w:rPr>
          <w:rFonts w:hint="eastAsia" w:ascii="宋体" w:hAnsi="宋体" w:cs="宋体"/>
          <w:b/>
          <w:kern w:val="0"/>
          <w:sz w:val="24"/>
        </w:rPr>
        <w:t>8. 进口产品：</w:t>
      </w:r>
      <w:r>
        <w:rPr>
          <w:rFonts w:hint="eastAsia" w:ascii="宋体" w:hAnsi="宋体" w:cs="宋体"/>
          <w:kern w:val="0"/>
          <w:sz w:val="24"/>
        </w:rPr>
        <w:t>是指通过中国海关报关验放进入中国境内且产自关境外的产品，详见《</w:t>
      </w:r>
      <w:r>
        <w:rPr>
          <w:rFonts w:ascii="宋体" w:hAnsi="宋体" w:cs="宋体"/>
          <w:kern w:val="0"/>
          <w:sz w:val="24"/>
        </w:rPr>
        <w:t>关于政府采购进口产品管理有关问题的通知</w:t>
      </w:r>
      <w:r>
        <w:rPr>
          <w:rFonts w:hint="eastAsia" w:ascii="宋体" w:hAnsi="宋体" w:cs="宋体"/>
          <w:kern w:val="0"/>
          <w:sz w:val="24"/>
        </w:rPr>
        <w:t>》(财库[2007]119号)。</w:t>
      </w:r>
    </w:p>
    <w:p>
      <w:pPr>
        <w:adjustRightInd w:val="0"/>
        <w:snapToGrid w:val="0"/>
        <w:spacing w:line="500" w:lineRule="exact"/>
        <w:ind w:firstLine="482" w:firstLineChars="200"/>
        <w:rPr>
          <w:rFonts w:ascii="宋体" w:hAnsi="宋体"/>
          <w:sz w:val="24"/>
        </w:rPr>
      </w:pPr>
      <w:r>
        <w:rPr>
          <w:rFonts w:hint="eastAsia" w:ascii="宋体" w:hAnsi="宋体" w:cs="宋体"/>
          <w:b/>
          <w:kern w:val="0"/>
          <w:sz w:val="24"/>
        </w:rPr>
        <w:t xml:space="preserve">9. </w:t>
      </w:r>
      <w:r>
        <w:rPr>
          <w:rFonts w:hint="eastAsia" w:ascii="宋体" w:hAnsi="宋体"/>
          <w:b/>
          <w:sz w:val="24"/>
        </w:rPr>
        <w:t>中小企业：</w:t>
      </w:r>
      <w:r>
        <w:rPr>
          <w:rFonts w:hint="eastAsia" w:ascii="宋体" w:hAnsi="宋体"/>
          <w:sz w:val="24"/>
        </w:rPr>
        <w:t>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2" w:firstLineChars="200"/>
        <w:rPr>
          <w:rFonts w:ascii="宋体" w:hAnsi="宋体"/>
          <w:sz w:val="24"/>
        </w:rPr>
      </w:pPr>
      <w:r>
        <w:rPr>
          <w:rFonts w:hint="eastAsia" w:ascii="宋体" w:hAnsi="宋体"/>
          <w:b/>
          <w:sz w:val="24"/>
        </w:rPr>
        <w:t>10. 监狱企业：</w:t>
      </w:r>
      <w:r>
        <w:rPr>
          <w:rFonts w:hint="eastAsia" w:ascii="宋体" w:hAnsi="宋体"/>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2" w:firstLineChars="200"/>
        <w:rPr>
          <w:rFonts w:ascii="宋体" w:hAnsi="宋体"/>
          <w:spacing w:val="6"/>
          <w:sz w:val="24"/>
        </w:rPr>
      </w:pPr>
      <w:r>
        <w:rPr>
          <w:rFonts w:hint="eastAsia" w:ascii="宋体" w:hAnsi="宋体"/>
          <w:b/>
          <w:sz w:val="24"/>
        </w:rPr>
        <w:t xml:space="preserve">11. </w:t>
      </w:r>
      <w:r>
        <w:rPr>
          <w:rFonts w:hint="eastAsia" w:ascii="宋体" w:hAnsi="宋体" w:cs="宋体"/>
          <w:b/>
          <w:kern w:val="0"/>
          <w:sz w:val="24"/>
        </w:rPr>
        <w:t>残疾人福利性单位：</w:t>
      </w:r>
      <w:r>
        <w:rPr>
          <w:rFonts w:hint="eastAsia" w:ascii="宋体" w:hAnsi="宋体" w:cs="宋体"/>
          <w:kern w:val="0"/>
          <w:sz w:val="24"/>
        </w:rPr>
        <w:t>是指符合</w:t>
      </w:r>
      <w:r>
        <w:rPr>
          <w:rFonts w:hint="eastAsia" w:ascii="宋体" w:hAnsi="宋体"/>
          <w:spacing w:val="6"/>
          <w:sz w:val="24"/>
        </w:rPr>
        <w:t>《财政部、民政部、中国残疾人联合会关于促进残疾人就业政府采购政策的通知》（财库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号）规定条件的单位。</w:t>
      </w:r>
    </w:p>
    <w:p>
      <w:pPr>
        <w:pStyle w:val="2"/>
        <w:spacing w:line="500" w:lineRule="exact"/>
        <w:ind w:firstLine="482" w:firstLineChars="200"/>
        <w:rPr>
          <w:rFonts w:ascii="宋体" w:hAnsi="宋体"/>
          <w:sz w:val="24"/>
          <w:szCs w:val="24"/>
        </w:rPr>
      </w:pPr>
      <w:r>
        <w:rPr>
          <w:rFonts w:hint="eastAsia" w:ascii="宋体" w:hAnsi="宋体"/>
          <w:b/>
          <w:sz w:val="24"/>
          <w:szCs w:val="24"/>
        </w:rPr>
        <w:t>12. 不良记录</w:t>
      </w:r>
      <w:r>
        <w:rPr>
          <w:rFonts w:hint="eastAsia" w:ascii="宋体" w:hAnsi="宋体"/>
          <w:sz w:val="24"/>
          <w:szCs w:val="24"/>
        </w:rPr>
        <w:t>：是指因违反有关工程建设的法律、法规、规章或强制性标准和执业行为规范，受到县级以上建设行政主管部门的行政处罚，且处罚中规定该投标人不得进入建设项目所在地建筑市场投标或施工，并且本项目开标时间仍在处罚执行期的情况。</w:t>
      </w:r>
    </w:p>
    <w:p>
      <w:pPr>
        <w:pStyle w:val="2"/>
        <w:spacing w:line="500" w:lineRule="exact"/>
        <w:ind w:firstLine="480" w:firstLineChars="200"/>
        <w:rPr>
          <w:rFonts w:ascii="宋体" w:hAnsi="宋体"/>
          <w:sz w:val="24"/>
          <w:szCs w:val="24"/>
        </w:rPr>
      </w:pPr>
    </w:p>
    <w:p>
      <w:pPr>
        <w:pStyle w:val="4"/>
        <w:jc w:val="center"/>
        <w:rPr>
          <w:rFonts w:ascii="宋体" w:hAnsi="宋体" w:eastAsia="宋体" w:cs="宋体"/>
          <w:sz w:val="30"/>
          <w:szCs w:val="30"/>
        </w:rPr>
      </w:pPr>
      <w:bookmarkStart w:id="53" w:name="_Toc111853887"/>
      <w:bookmarkStart w:id="54" w:name="_Toc25882"/>
      <w:bookmarkStart w:id="55" w:name="_Toc13838"/>
      <w:r>
        <w:rPr>
          <w:rFonts w:hint="eastAsia" w:ascii="宋体" w:hAnsi="宋体" w:eastAsia="宋体" w:cs="宋体"/>
          <w:sz w:val="30"/>
          <w:szCs w:val="30"/>
        </w:rPr>
        <w:t>二、供应商注意事项</w:t>
      </w:r>
      <w:bookmarkEnd w:id="53"/>
      <w:bookmarkEnd w:id="54"/>
      <w:bookmarkEnd w:id="55"/>
    </w:p>
    <w:p>
      <w:pPr>
        <w:pStyle w:val="5"/>
        <w:spacing w:before="156" w:after="156"/>
      </w:pPr>
      <w:bookmarkStart w:id="56" w:name="_Toc111853888"/>
      <w:r>
        <w:rPr>
          <w:rFonts w:hint="eastAsia"/>
        </w:rPr>
        <w:t>（一）供应商投标流程</w:t>
      </w:r>
      <w:bookmarkEnd w:id="56"/>
    </w:p>
    <w:p>
      <w:pPr>
        <w:spacing w:line="500" w:lineRule="exact"/>
        <w:ind w:firstLine="480" w:firstLineChars="200"/>
        <w:rPr>
          <w:rFonts w:ascii="宋体" w:hAnsi="宋体"/>
          <w:sz w:val="24"/>
        </w:rPr>
      </w:pPr>
      <w:r>
        <w:rPr>
          <w:rFonts w:hint="eastAsia" w:ascii="宋体" w:hAnsi="宋体"/>
          <w:sz w:val="24"/>
        </w:rPr>
        <w:t>使用电子交易系统的采购项目（即线上项目），将同时提供WORD/PDF格式（仅用于预览）和SXSZF格式（用于制作电子投标文件）两个版本，文件内容一致。</w:t>
      </w:r>
    </w:p>
    <w:p>
      <w:pPr>
        <w:spacing w:line="500" w:lineRule="exact"/>
        <w:ind w:firstLine="480" w:firstLineChars="200"/>
        <w:rPr>
          <w:rFonts w:ascii="宋体" w:hAnsi="宋体"/>
          <w:sz w:val="24"/>
        </w:rPr>
      </w:pPr>
      <w:r>
        <w:rPr>
          <w:rFonts w:hint="eastAsia" w:ascii="宋体" w:hAnsi="宋体"/>
          <w:sz w:val="24"/>
        </w:rPr>
        <w:t>1．预览采购文件：打开西安市公共资源交易平台〖首页·〉交易大厅·〉政府采购〗栏目，下载和阅读本项目采购文件的预览版本（WORD/PDF格式）；</w:t>
      </w:r>
    </w:p>
    <w:p>
      <w:pPr>
        <w:spacing w:line="500" w:lineRule="exact"/>
        <w:ind w:firstLine="480" w:firstLineChars="200"/>
        <w:rPr>
          <w:rFonts w:ascii="宋体" w:hAnsi="宋体"/>
          <w:sz w:val="24"/>
        </w:rPr>
      </w:pPr>
      <w:r>
        <w:rPr>
          <w:rFonts w:hint="eastAsia" w:ascii="宋体" w:hAnsi="宋体"/>
          <w:sz w:val="24"/>
        </w:rPr>
        <w:t>2．办理注册登记（针对初次使用电子交易系统的用户）：</w:t>
      </w:r>
    </w:p>
    <w:p>
      <w:pPr>
        <w:spacing w:line="500" w:lineRule="exact"/>
        <w:ind w:firstLine="480" w:firstLineChars="200"/>
        <w:rPr>
          <w:rFonts w:ascii="宋体" w:hAnsi="宋体"/>
          <w:sz w:val="24"/>
        </w:rPr>
      </w:pPr>
      <w:r>
        <w:rPr>
          <w:rFonts w:hint="eastAsia" w:ascii="宋体" w:hAnsi="宋体"/>
          <w:sz w:val="24"/>
        </w:rPr>
        <w:t>（1）办理诚信入库注册：在决定参加本项目采购活动后，供应商应先在西安市公共资源交易平台上完成“诚信入库登记”；</w:t>
      </w:r>
    </w:p>
    <w:p>
      <w:pPr>
        <w:spacing w:line="500" w:lineRule="exact"/>
        <w:ind w:firstLine="480" w:firstLineChars="200"/>
        <w:rPr>
          <w:rFonts w:ascii="宋体" w:hAnsi="宋体"/>
          <w:sz w:val="24"/>
        </w:rPr>
      </w:pPr>
      <w:r>
        <w:rPr>
          <w:rFonts w:hint="eastAsia" w:ascii="宋体" w:hAnsi="宋体"/>
          <w:sz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spacing w:line="500" w:lineRule="exact"/>
        <w:ind w:firstLine="480" w:firstLineChars="200"/>
        <w:rPr>
          <w:rFonts w:ascii="宋体" w:hAnsi="宋体"/>
          <w:sz w:val="24"/>
        </w:rPr>
      </w:pPr>
      <w:r>
        <w:rPr>
          <w:rFonts w:hint="eastAsia" w:ascii="宋体" w:hAnsi="宋体"/>
          <w:sz w:val="24"/>
        </w:rPr>
        <w:t>办理须知：http://</w:t>
      </w:r>
      <w:r>
        <w:fldChar w:fldCharType="begin"/>
      </w:r>
      <w:r>
        <w:instrText xml:space="preserve"> HYPERLINK "http://www.snca.com.cn/channel/show/27.html" </w:instrText>
      </w:r>
      <w:r>
        <w:fldChar w:fldCharType="separate"/>
      </w:r>
      <w:r>
        <w:rPr>
          <w:rStyle w:val="47"/>
          <w:rFonts w:hint="eastAsia" w:ascii="宋体" w:hAnsi="宋体"/>
          <w:sz w:val="24"/>
        </w:rPr>
        <w:t>www.snca.com.cn/channel/show/27.html</w:t>
      </w:r>
      <w:r>
        <w:rPr>
          <w:rStyle w:val="47"/>
          <w:rFonts w:hint="eastAsia" w:ascii="宋体" w:hAnsi="宋体"/>
          <w:sz w:val="24"/>
        </w:rPr>
        <w:fldChar w:fldCharType="end"/>
      </w:r>
    </w:p>
    <w:p>
      <w:pPr>
        <w:spacing w:line="500" w:lineRule="exact"/>
        <w:ind w:firstLine="480" w:firstLineChars="200"/>
        <w:rPr>
          <w:rFonts w:ascii="宋体" w:hAnsi="宋体"/>
          <w:sz w:val="24"/>
        </w:rPr>
      </w:pPr>
      <w:r>
        <w:rPr>
          <w:rFonts w:hint="eastAsia" w:ascii="宋体" w:hAnsi="宋体"/>
          <w:sz w:val="24"/>
        </w:rPr>
        <w:t>（3）绑定和激活CA：将数字证书与诚信库中的供应商账户进行绑定。</w:t>
      </w:r>
    </w:p>
    <w:p>
      <w:pPr>
        <w:spacing w:line="500" w:lineRule="exact"/>
        <w:ind w:firstLine="480" w:firstLineChars="200"/>
        <w:rPr>
          <w:rFonts w:ascii="宋体" w:hAnsi="宋体"/>
          <w:sz w:val="24"/>
        </w:rPr>
      </w:pPr>
      <w:r>
        <w:rPr>
          <w:rFonts w:hint="eastAsia" w:ascii="宋体" w:hAnsi="宋体"/>
          <w:sz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00" w:lineRule="exact"/>
        <w:ind w:firstLine="480" w:firstLineChars="200"/>
        <w:rPr>
          <w:rFonts w:ascii="宋体" w:hAnsi="宋体"/>
          <w:sz w:val="24"/>
        </w:rPr>
      </w:pPr>
      <w:r>
        <w:rPr>
          <w:rFonts w:hint="eastAsia" w:ascii="宋体" w:hAnsi="宋体"/>
          <w:sz w:val="24"/>
        </w:rPr>
        <w:t>4．制作电子投标文件：需要使用专用制作软件“新点投标文件制作软件（陕西公共资源）”进行编制，编制完成后使用CA锁对电子投标文件进行签章、加密。详见本章中的“投标文件”相关内容。</w:t>
      </w:r>
    </w:p>
    <w:p>
      <w:pPr>
        <w:spacing w:line="500" w:lineRule="exact"/>
        <w:ind w:firstLine="480" w:firstLineChars="200"/>
        <w:rPr>
          <w:rFonts w:ascii="宋体" w:hAnsi="宋体"/>
          <w:sz w:val="24"/>
        </w:rPr>
      </w:pPr>
      <w:r>
        <w:rPr>
          <w:rFonts w:hint="eastAsia" w:ascii="宋体" w:hAnsi="宋体"/>
          <w:sz w:val="24"/>
        </w:rPr>
        <w:t>5．提交电子投标文件：在提交投标文件截止时间前及时提交加密后电子投标文件，逾期提交的，系统将会拒收；</w:t>
      </w:r>
    </w:p>
    <w:p>
      <w:pPr>
        <w:spacing w:line="500" w:lineRule="exact"/>
        <w:ind w:firstLine="480" w:firstLineChars="200"/>
        <w:rPr>
          <w:rFonts w:ascii="宋体" w:hAnsi="宋体"/>
          <w:sz w:val="24"/>
        </w:rPr>
      </w:pPr>
      <w:r>
        <w:rPr>
          <w:rFonts w:hint="eastAsia" w:ascii="宋体" w:hAnsi="宋体"/>
          <w:sz w:val="24"/>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00" w:lineRule="exact"/>
        <w:ind w:firstLine="480" w:firstLineChars="200"/>
        <w:rPr>
          <w:rFonts w:ascii="宋体" w:hAnsi="宋体"/>
          <w:sz w:val="24"/>
        </w:rPr>
      </w:pPr>
      <w:r>
        <w:rPr>
          <w:rFonts w:hint="eastAsia" w:ascii="宋体" w:hAnsi="宋体"/>
          <w:sz w:val="24"/>
        </w:rPr>
        <w:t>7．等待专家评审：评审期间，可能需要对评审专家提出的问题进行澄清或答复。在主持人宣布评审结束前，供应商请勿擅自离席，否则由此造成的不利后果，由供应商自行承担。</w:t>
      </w:r>
    </w:p>
    <w:p>
      <w:pPr>
        <w:spacing w:line="500" w:lineRule="exact"/>
        <w:ind w:firstLine="480" w:firstLineChars="200"/>
        <w:rPr>
          <w:rFonts w:ascii="宋体" w:hAnsi="宋体"/>
          <w:sz w:val="24"/>
        </w:rPr>
      </w:pPr>
      <w:r>
        <w:rPr>
          <w:rFonts w:hint="eastAsia" w:ascii="宋体" w:hAnsi="宋体"/>
          <w:sz w:val="24"/>
        </w:rPr>
        <w:t>8．中标供应商注册：按照陕西省政府采购监管部门的要求，采购代理机构在发布中标公告前，应由中标供应商在陕西省政府采购网上完成注册。</w:t>
      </w:r>
    </w:p>
    <w:p>
      <w:pPr>
        <w:pStyle w:val="5"/>
        <w:spacing w:before="156" w:after="156"/>
        <w:rPr>
          <w:rFonts w:ascii="宋体" w:hAnsi="宋体"/>
          <w:sz w:val="24"/>
        </w:rPr>
      </w:pPr>
      <w:bookmarkStart w:id="57" w:name="_Toc111853889"/>
      <w:r>
        <w:rPr>
          <w:rFonts w:hint="eastAsia"/>
        </w:rPr>
        <w:t>（二）关于询问、质疑和投诉</w:t>
      </w:r>
      <w:bookmarkEnd w:id="57"/>
    </w:p>
    <w:p>
      <w:pPr>
        <w:spacing w:line="500" w:lineRule="exact"/>
        <w:ind w:firstLine="480" w:firstLineChars="200"/>
        <w:rPr>
          <w:rFonts w:ascii="宋体" w:hAnsi="宋体"/>
          <w:sz w:val="24"/>
        </w:rPr>
      </w:pPr>
      <w:r>
        <w:rPr>
          <w:rFonts w:hint="eastAsia" w:ascii="宋体" w:hAnsi="宋体"/>
          <w:sz w:val="24"/>
        </w:rPr>
        <w:t>1.询问</w:t>
      </w:r>
    </w:p>
    <w:p>
      <w:pPr>
        <w:spacing w:line="500" w:lineRule="exact"/>
        <w:ind w:firstLine="480" w:firstLineChars="200"/>
        <w:rPr>
          <w:rFonts w:ascii="宋体" w:hAnsi="宋体"/>
          <w:sz w:val="24"/>
        </w:rPr>
      </w:pPr>
      <w:r>
        <w:rPr>
          <w:rFonts w:hint="eastAsia" w:ascii="宋体" w:hAnsi="宋体"/>
          <w:sz w:val="24"/>
        </w:rPr>
        <w:t>供应商对政府采购活动事项有疑问的，可以向采购人或采购代理机构提出询问。采购人或采购代理机构将在3个工作日内对供应商依法提出的询问作出答复。</w:t>
      </w:r>
    </w:p>
    <w:p>
      <w:pPr>
        <w:spacing w:line="500" w:lineRule="exact"/>
        <w:ind w:firstLine="480" w:firstLineChars="200"/>
        <w:rPr>
          <w:rFonts w:ascii="宋体" w:hAnsi="宋体"/>
          <w:sz w:val="24"/>
        </w:rPr>
      </w:pPr>
      <w:r>
        <w:rPr>
          <w:rFonts w:hint="eastAsia" w:ascii="宋体" w:hAnsi="宋体"/>
          <w:sz w:val="24"/>
        </w:rPr>
        <w:t>询问内容超出采购人对集中采购代理机构委托授权范围的，供应商应当向采购人提出。</w:t>
      </w:r>
    </w:p>
    <w:p>
      <w:pPr>
        <w:spacing w:line="500" w:lineRule="exact"/>
        <w:ind w:firstLine="480" w:firstLineChars="200"/>
        <w:rPr>
          <w:rFonts w:ascii="宋体" w:hAnsi="宋体"/>
          <w:sz w:val="24"/>
        </w:rPr>
      </w:pPr>
      <w:r>
        <w:rPr>
          <w:rFonts w:hint="eastAsia" w:ascii="宋体" w:hAnsi="宋体"/>
          <w:sz w:val="24"/>
        </w:rPr>
        <w:t>2．质疑</w:t>
      </w:r>
    </w:p>
    <w:p>
      <w:pPr>
        <w:spacing w:line="500" w:lineRule="exact"/>
        <w:ind w:firstLine="480" w:firstLineChars="200"/>
        <w:rPr>
          <w:rFonts w:ascii="宋体" w:hAnsi="宋体"/>
          <w:sz w:val="24"/>
        </w:rPr>
      </w:pPr>
      <w:r>
        <w:rPr>
          <w:rFonts w:hint="eastAsia" w:ascii="宋体" w:hAnsi="宋体"/>
          <w:sz w:val="24"/>
        </w:rPr>
        <w:t>（1）供应商认为采购文件、采购过程、中标或成交结果使自己的权益受到损害的，可以在知道或应知其权益受到损害之日起7个工作日内以书面形式向采购人、采购代理机构提出。</w:t>
      </w:r>
    </w:p>
    <w:p>
      <w:pPr>
        <w:spacing w:line="500" w:lineRule="exact"/>
        <w:ind w:firstLine="480" w:firstLineChars="200"/>
        <w:rPr>
          <w:rFonts w:ascii="宋体" w:hAnsi="宋体"/>
          <w:sz w:val="24"/>
        </w:rPr>
      </w:pPr>
      <w:r>
        <w:rPr>
          <w:rFonts w:hint="eastAsia" w:ascii="宋体" w:hAnsi="宋体"/>
          <w:sz w:val="24"/>
        </w:rPr>
        <w:t>（2）质疑方式：</w:t>
      </w:r>
    </w:p>
    <w:p>
      <w:pPr>
        <w:spacing w:line="500" w:lineRule="exact"/>
        <w:ind w:firstLine="480" w:firstLineChars="200"/>
        <w:rPr>
          <w:rFonts w:ascii="宋体" w:hAnsi="宋体"/>
          <w:sz w:val="24"/>
        </w:rPr>
      </w:pPr>
      <w:r>
        <w:rPr>
          <w:rFonts w:hint="eastAsia" w:ascii="宋体" w:hAnsi="宋体"/>
          <w:sz w:val="24"/>
        </w:rPr>
        <w:t>① 在线质疑：</w:t>
      </w:r>
    </w:p>
    <w:p>
      <w:pPr>
        <w:spacing w:line="500" w:lineRule="exact"/>
        <w:ind w:firstLine="480" w:firstLineChars="200"/>
        <w:rPr>
          <w:rFonts w:ascii="宋体" w:hAnsi="宋体"/>
          <w:sz w:val="24"/>
        </w:rPr>
      </w:pPr>
      <w:r>
        <w:rPr>
          <w:rFonts w:hint="eastAsia" w:ascii="宋体" w:hAnsi="宋体"/>
          <w:sz w:val="24"/>
        </w:rPr>
        <w:t>登录西安市公共资源交易平台【首页·〉电子交易平台·〉企业端】，在〖我的项目〗中点击“项目流程·〉提出质疑”，填写表单并提交质疑。</w:t>
      </w:r>
    </w:p>
    <w:p>
      <w:pPr>
        <w:spacing w:line="500" w:lineRule="exact"/>
        <w:ind w:firstLine="480" w:firstLineChars="200"/>
        <w:rPr>
          <w:rFonts w:ascii="宋体" w:hAnsi="宋体"/>
          <w:sz w:val="24"/>
        </w:rPr>
      </w:pPr>
      <w:r>
        <w:rPr>
          <w:rFonts w:hint="eastAsia" w:ascii="宋体" w:hAnsi="宋体"/>
          <w:sz w:val="24"/>
        </w:rPr>
        <w:t>② 书面质疑：</w:t>
      </w:r>
    </w:p>
    <w:p>
      <w:pPr>
        <w:spacing w:line="500" w:lineRule="exact"/>
        <w:ind w:firstLine="480" w:firstLineChars="200"/>
        <w:rPr>
          <w:rFonts w:ascii="宋体" w:hAnsi="宋体"/>
          <w:sz w:val="24"/>
        </w:rPr>
      </w:pPr>
      <w:r>
        <w:rPr>
          <w:rFonts w:hint="eastAsia" w:ascii="宋体" w:hAnsi="宋体"/>
          <w:sz w:val="24"/>
        </w:rPr>
        <w:t>书面质疑函应按照财政部国库司制定的《政府采购供应商质疑函范本》（见下方链接）进行填写，签字、盖章后提交至采购人、采购代理机构。</w:t>
      </w:r>
    </w:p>
    <w:p>
      <w:pPr>
        <w:spacing w:line="500" w:lineRule="exact"/>
        <w:ind w:firstLine="480" w:firstLineChars="200"/>
        <w:rPr>
          <w:rFonts w:ascii="宋体" w:hAnsi="宋体"/>
          <w:sz w:val="24"/>
        </w:rPr>
      </w:pPr>
      <w:r>
        <w:rPr>
          <w:rFonts w:hint="eastAsia" w:ascii="宋体" w:hAnsi="宋体"/>
          <w:sz w:val="24"/>
        </w:rPr>
        <w:t>质疑函范本地址：</w:t>
      </w:r>
      <w:r>
        <w:fldChar w:fldCharType="begin"/>
      </w:r>
      <w:r>
        <w:instrText xml:space="preserve"> HYPERLINK "http://download.ccgp.gov.cn/2018/zhiyihanfanben.zip" </w:instrText>
      </w:r>
      <w:r>
        <w:fldChar w:fldCharType="separate"/>
      </w:r>
      <w:r>
        <w:rPr>
          <w:rStyle w:val="47"/>
          <w:rFonts w:hint="eastAsia" w:ascii="宋体" w:hAnsi="宋体"/>
          <w:sz w:val="24"/>
        </w:rPr>
        <w:t>http://download.ccgp.gov.cn/2018/zhiyihanfanben.zip</w:t>
      </w:r>
      <w:r>
        <w:rPr>
          <w:rStyle w:val="47"/>
          <w:rFonts w:hint="eastAsia" w:ascii="宋体" w:hAnsi="宋体"/>
          <w:sz w:val="24"/>
        </w:rPr>
        <w:fldChar w:fldCharType="end"/>
      </w:r>
    </w:p>
    <w:p>
      <w:pPr>
        <w:spacing w:line="500" w:lineRule="exact"/>
        <w:ind w:firstLine="480" w:firstLineChars="200"/>
        <w:rPr>
          <w:rFonts w:ascii="宋体" w:hAnsi="宋体"/>
          <w:sz w:val="24"/>
        </w:rPr>
      </w:pPr>
      <w:r>
        <w:rPr>
          <w:rFonts w:hint="eastAsia" w:ascii="宋体" w:hAnsi="宋体"/>
          <w:sz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00" w:lineRule="exact"/>
        <w:ind w:firstLine="480" w:firstLineChars="200"/>
        <w:rPr>
          <w:rFonts w:ascii="宋体" w:hAnsi="宋体"/>
          <w:sz w:val="24"/>
        </w:rPr>
      </w:pPr>
      <w:r>
        <w:rPr>
          <w:rFonts w:hint="eastAsia" w:ascii="宋体" w:hAnsi="宋体"/>
          <w:sz w:val="24"/>
        </w:rPr>
        <w:t>（4）在法定质疑期内，针对同一采购程序环节的质疑应当一次性提出。采购人、采购代理机构将在收到书面质疑后7个工作日内做出答复，并以书面形式通知质疑人和其他有关供应商。</w:t>
      </w:r>
    </w:p>
    <w:p>
      <w:pPr>
        <w:spacing w:line="500" w:lineRule="exact"/>
        <w:ind w:firstLine="480" w:firstLineChars="200"/>
        <w:rPr>
          <w:rFonts w:ascii="宋体" w:hAnsi="宋体"/>
          <w:sz w:val="24"/>
        </w:rPr>
      </w:pPr>
      <w:r>
        <w:rPr>
          <w:rFonts w:hint="eastAsia" w:ascii="宋体" w:hAnsi="宋体"/>
          <w:sz w:val="24"/>
        </w:rPr>
        <w:t>（5）有下列情形之一的，属于无效质疑：</w:t>
      </w:r>
    </w:p>
    <w:p>
      <w:pPr>
        <w:spacing w:line="500" w:lineRule="exact"/>
        <w:ind w:firstLine="480" w:firstLineChars="200"/>
        <w:rPr>
          <w:rFonts w:ascii="宋体" w:hAnsi="宋体"/>
          <w:sz w:val="24"/>
        </w:rPr>
      </w:pPr>
      <w:r>
        <w:rPr>
          <w:rFonts w:hint="eastAsia" w:ascii="宋体" w:hAnsi="宋体"/>
          <w:sz w:val="24"/>
        </w:rPr>
        <w:t>① 对采购文件提出质疑的质疑人不是依法获取采购文件的潜在供应商；对采购过程、中标结果提出质疑的质疑人不是参与本次政府采购项目的供应商；</w:t>
      </w:r>
    </w:p>
    <w:p>
      <w:pPr>
        <w:spacing w:line="500" w:lineRule="exact"/>
        <w:ind w:firstLine="480" w:firstLineChars="200"/>
        <w:rPr>
          <w:rFonts w:ascii="宋体" w:hAnsi="宋体"/>
          <w:sz w:val="24"/>
        </w:rPr>
      </w:pPr>
      <w:r>
        <w:rPr>
          <w:rFonts w:hint="eastAsia" w:ascii="宋体" w:hAnsi="宋体"/>
          <w:sz w:val="24"/>
        </w:rPr>
        <w:t>② 超过法定期限或未以书面形式提出的；</w:t>
      </w:r>
    </w:p>
    <w:p>
      <w:pPr>
        <w:spacing w:line="500" w:lineRule="exact"/>
        <w:ind w:firstLine="480" w:firstLineChars="200"/>
        <w:rPr>
          <w:rFonts w:ascii="宋体" w:hAnsi="宋体"/>
          <w:sz w:val="24"/>
        </w:rPr>
      </w:pPr>
      <w:r>
        <w:rPr>
          <w:rFonts w:hint="eastAsia" w:ascii="宋体" w:hAnsi="宋体"/>
          <w:sz w:val="24"/>
        </w:rPr>
        <w:t>③ 缺乏必要的证明材料，或捏造事实、提供虚假材料，或以非法手段取得证明材料的；</w:t>
      </w:r>
    </w:p>
    <w:p>
      <w:pPr>
        <w:spacing w:line="500" w:lineRule="exact"/>
        <w:ind w:firstLine="480" w:firstLineChars="200"/>
        <w:rPr>
          <w:rFonts w:ascii="宋体" w:hAnsi="宋体"/>
          <w:sz w:val="24"/>
        </w:rPr>
      </w:pPr>
      <w:r>
        <w:rPr>
          <w:rFonts w:hint="eastAsia" w:ascii="宋体" w:hAnsi="宋体"/>
          <w:sz w:val="24"/>
        </w:rPr>
        <w:t>④ 质疑函没有合法有效的签字、盖章或委托授权书的（代理人提出质疑和投诉，应当提交供应商签署的授权委托书）；</w:t>
      </w:r>
    </w:p>
    <w:p>
      <w:pPr>
        <w:spacing w:line="500" w:lineRule="exact"/>
        <w:ind w:firstLine="480" w:firstLineChars="200"/>
        <w:rPr>
          <w:rFonts w:ascii="宋体" w:hAnsi="宋体"/>
          <w:sz w:val="24"/>
        </w:rPr>
      </w:pPr>
      <w:r>
        <w:rPr>
          <w:rFonts w:hint="eastAsia" w:ascii="宋体" w:hAnsi="宋体"/>
          <w:sz w:val="24"/>
        </w:rPr>
        <w:t>⑤ 针对同一采购程序环节又提出其他质疑事项的，或质疑答复后就同一事项再次提出质疑的；</w:t>
      </w:r>
    </w:p>
    <w:p>
      <w:pPr>
        <w:spacing w:line="500" w:lineRule="exact"/>
        <w:ind w:firstLine="480" w:firstLineChars="200"/>
        <w:rPr>
          <w:rFonts w:ascii="宋体" w:hAnsi="宋体"/>
          <w:sz w:val="24"/>
        </w:rPr>
      </w:pPr>
      <w:r>
        <w:rPr>
          <w:rFonts w:hint="eastAsia" w:ascii="宋体" w:hAnsi="宋体"/>
          <w:sz w:val="24"/>
        </w:rPr>
        <w:t>⑥ 不符合法律、法规、规章和政府采购监管机构规定的其他条件的。</w:t>
      </w:r>
    </w:p>
    <w:p>
      <w:pPr>
        <w:spacing w:line="500" w:lineRule="exact"/>
        <w:ind w:firstLine="480" w:firstLineChars="200"/>
        <w:rPr>
          <w:rFonts w:ascii="宋体" w:hAnsi="宋体"/>
          <w:sz w:val="24"/>
        </w:rPr>
      </w:pPr>
      <w:r>
        <w:rPr>
          <w:rFonts w:hint="eastAsia" w:ascii="宋体" w:hAnsi="宋体"/>
          <w:sz w:val="24"/>
        </w:rPr>
        <w:t>3．投诉</w:t>
      </w:r>
    </w:p>
    <w:p>
      <w:pPr>
        <w:spacing w:line="500" w:lineRule="exact"/>
        <w:ind w:firstLine="480" w:firstLineChars="200"/>
        <w:rPr>
          <w:rFonts w:ascii="宋体" w:hAnsi="宋体"/>
          <w:sz w:val="24"/>
        </w:rPr>
      </w:pPr>
      <w:r>
        <w:rPr>
          <w:rFonts w:hint="eastAsia" w:ascii="宋体" w:hAnsi="宋体"/>
          <w:sz w:val="24"/>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联系电话：029-89821846，地址：西安市未央区西北国金中心 A 座 18 层。</w:t>
      </w:r>
    </w:p>
    <w:p>
      <w:pPr>
        <w:spacing w:line="500" w:lineRule="exact"/>
        <w:ind w:firstLine="480" w:firstLineChars="200"/>
        <w:rPr>
          <w:rFonts w:ascii="宋体" w:hAnsi="宋体"/>
          <w:sz w:val="24"/>
        </w:rPr>
      </w:pPr>
      <w:r>
        <w:rPr>
          <w:rFonts w:hint="eastAsia" w:ascii="宋体" w:hAnsi="宋体"/>
          <w:sz w:val="24"/>
        </w:rPr>
        <w:t>（2）供应商投诉的事项不得超出已质疑事项的范围。供应商提出投诉时，应当提交投诉书和必要的证明材料，并按财政部《投诉书范本》给定的格式进行填写。</w:t>
      </w:r>
    </w:p>
    <w:p>
      <w:pPr>
        <w:spacing w:line="500" w:lineRule="exact"/>
        <w:ind w:firstLine="480" w:firstLineChars="200"/>
        <w:rPr>
          <w:rFonts w:ascii="宋体" w:hAnsi="宋体"/>
          <w:sz w:val="24"/>
        </w:rPr>
      </w:pPr>
      <w:r>
        <w:rPr>
          <w:rFonts w:hint="eastAsia" w:ascii="宋体" w:hAnsi="宋体"/>
          <w:sz w:val="24"/>
        </w:rPr>
        <w:t>投诉书范本地址：</w:t>
      </w:r>
      <w:r>
        <w:fldChar w:fldCharType="begin"/>
      </w:r>
      <w:r>
        <w:instrText xml:space="preserve"> HYPERLINK "http://download.ccgp.gov.cn/2018/tousushufanben.zip" </w:instrText>
      </w:r>
      <w:r>
        <w:fldChar w:fldCharType="separate"/>
      </w:r>
      <w:r>
        <w:rPr>
          <w:rStyle w:val="47"/>
          <w:rFonts w:hint="eastAsia" w:ascii="宋体" w:hAnsi="宋体"/>
          <w:sz w:val="24"/>
        </w:rPr>
        <w:t>http://download.ccgp.gov.cn/2018/tousushufanben.zip</w:t>
      </w:r>
      <w:r>
        <w:rPr>
          <w:rStyle w:val="47"/>
          <w:rFonts w:hint="eastAsia" w:ascii="宋体" w:hAnsi="宋体"/>
          <w:sz w:val="24"/>
        </w:rPr>
        <w:fldChar w:fldCharType="end"/>
      </w:r>
    </w:p>
    <w:p>
      <w:pPr>
        <w:spacing w:line="500" w:lineRule="exact"/>
        <w:ind w:firstLine="480" w:firstLineChars="200"/>
        <w:rPr>
          <w:rFonts w:ascii="宋体" w:hAnsi="宋体"/>
          <w:sz w:val="24"/>
        </w:rPr>
      </w:pPr>
      <w:r>
        <w:rPr>
          <w:rFonts w:hint="eastAsia" w:ascii="宋体" w:hAnsi="宋体"/>
          <w:sz w:val="24"/>
        </w:rPr>
        <w:t>4．恶意质疑、投诉的法律后果</w:t>
      </w:r>
    </w:p>
    <w:p>
      <w:pPr>
        <w:spacing w:line="500" w:lineRule="exact"/>
        <w:ind w:firstLine="480" w:firstLineChars="200"/>
        <w:rPr>
          <w:rFonts w:ascii="宋体" w:hAnsi="宋体"/>
          <w:sz w:val="24"/>
        </w:rPr>
      </w:pPr>
      <w:r>
        <w:rPr>
          <w:rFonts w:hint="eastAsia" w:ascii="宋体" w:hAnsi="宋体"/>
          <w:sz w:val="24"/>
        </w:rPr>
        <w:t>（1）对捏造事实、提供虚假材料进行质疑、投诉的行为予以严肃处理：</w:t>
      </w:r>
    </w:p>
    <w:p>
      <w:pPr>
        <w:spacing w:line="500" w:lineRule="exact"/>
        <w:ind w:firstLine="480" w:firstLineChars="200"/>
        <w:rPr>
          <w:rFonts w:ascii="宋体" w:hAnsi="宋体"/>
          <w:sz w:val="24"/>
        </w:rPr>
      </w:pPr>
      <w:r>
        <w:rPr>
          <w:rFonts w:hint="eastAsia" w:ascii="宋体" w:hAnsi="宋体"/>
          <w:sz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00" w:lineRule="exact"/>
        <w:ind w:firstLine="480" w:firstLineChars="200"/>
        <w:rPr>
          <w:rFonts w:ascii="宋体" w:hAnsi="宋体"/>
          <w:sz w:val="24"/>
        </w:rPr>
      </w:pPr>
      <w:r>
        <w:rPr>
          <w:rFonts w:hint="eastAsia" w:ascii="宋体" w:hAnsi="宋体"/>
          <w:sz w:val="24"/>
        </w:rPr>
        <w:t>（2）对捏造事实诬告陷害他人、诽谤他人的法律适用：</w:t>
      </w:r>
    </w:p>
    <w:p>
      <w:pPr>
        <w:spacing w:line="500" w:lineRule="exact"/>
        <w:ind w:firstLine="480" w:firstLineChars="200"/>
        <w:rPr>
          <w:rFonts w:ascii="宋体" w:hAnsi="宋体"/>
          <w:sz w:val="24"/>
        </w:rPr>
      </w:pPr>
      <w:r>
        <w:rPr>
          <w:rFonts w:hint="eastAsia" w:ascii="宋体" w:hAnsi="宋体"/>
          <w:sz w:val="24"/>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480" w:firstLineChars="200"/>
        <w:rPr>
          <w:rFonts w:ascii="宋体" w:hAnsi="宋体"/>
          <w:sz w:val="24"/>
        </w:rPr>
      </w:pPr>
      <w:r>
        <w:rPr>
          <w:rFonts w:hint="eastAsia" w:ascii="宋体" w:hAnsi="宋体"/>
          <w:sz w:val="24"/>
        </w:rPr>
        <w:t>《中华人民共和国刑法》第246条【侮辱罪、诽谤罪】以暴力或者其他方法公然侮辱他人或者捏造事实诽谤他人，情节严重的，处三年以下有期徒刑、拘役、管制或者剥夺政治权利。</w:t>
      </w:r>
    </w:p>
    <w:p>
      <w:pPr>
        <w:pStyle w:val="5"/>
        <w:spacing w:before="156" w:after="156"/>
      </w:pPr>
      <w:bookmarkStart w:id="58" w:name="_Toc111853890"/>
      <w:r>
        <w:rPr>
          <w:rFonts w:hint="eastAsia"/>
        </w:rPr>
        <w:t>（三）关于保证金</w:t>
      </w:r>
      <w:bookmarkEnd w:id="58"/>
    </w:p>
    <w:p>
      <w:pPr>
        <w:spacing w:line="500" w:lineRule="exact"/>
        <w:ind w:firstLine="482" w:firstLineChars="200"/>
        <w:rPr>
          <w:rFonts w:ascii="宋体" w:hAnsi="宋体"/>
          <w:sz w:val="24"/>
        </w:rPr>
      </w:pPr>
      <w:r>
        <w:rPr>
          <w:rFonts w:hint="eastAsia" w:ascii="宋体" w:hAnsi="宋体"/>
          <w:b/>
          <w:sz w:val="24"/>
        </w:rPr>
        <w:t>本项目免交投标保证金及履约保证金。</w:t>
      </w:r>
    </w:p>
    <w:p>
      <w:pPr>
        <w:pStyle w:val="5"/>
        <w:spacing w:before="156" w:after="156"/>
      </w:pPr>
      <w:bookmarkStart w:id="59" w:name="_Toc111853891"/>
      <w:r>
        <w:rPr>
          <w:rFonts w:hint="eastAsia"/>
        </w:rPr>
        <w:t>（四）关于政府采购政策</w:t>
      </w:r>
      <w:bookmarkEnd w:id="59"/>
    </w:p>
    <w:p>
      <w:pPr>
        <w:spacing w:line="500" w:lineRule="exact"/>
        <w:ind w:firstLine="480" w:firstLineChars="200"/>
        <w:rPr>
          <w:rFonts w:ascii="宋体" w:hAnsi="宋体"/>
          <w:sz w:val="24"/>
        </w:rPr>
      </w:pPr>
      <w:r>
        <w:rPr>
          <w:rFonts w:hint="eastAsia" w:ascii="宋体" w:hAnsi="宋体"/>
          <w:sz w:val="24"/>
        </w:rPr>
        <w:t>1．对中小企业、监狱企业、残疾人福利性单位的优惠政策</w:t>
      </w:r>
    </w:p>
    <w:p>
      <w:pPr>
        <w:spacing w:line="500" w:lineRule="exact"/>
        <w:ind w:firstLine="480" w:firstLineChars="200"/>
        <w:rPr>
          <w:rFonts w:ascii="宋体" w:hAnsi="宋体"/>
          <w:sz w:val="24"/>
        </w:rPr>
      </w:pPr>
      <w:r>
        <w:rPr>
          <w:rFonts w:hint="eastAsia" w:ascii="宋体" w:hAnsi="宋体"/>
          <w:sz w:val="24"/>
        </w:rPr>
        <w:t>（1）</w:t>
      </w:r>
      <w:r>
        <w:rPr>
          <w:rFonts w:ascii="宋体" w:hAnsi="宋体"/>
          <w:sz w:val="24"/>
        </w:rPr>
        <w:t>根据《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w:t>
      </w:r>
      <w:r>
        <w:rPr>
          <w:rFonts w:hint="eastAsia" w:ascii="宋体" w:hAnsi="宋体"/>
          <w:sz w:val="24"/>
        </w:rPr>
        <w:t>-</w:t>
      </w:r>
      <w:r>
        <w:rPr>
          <w:rFonts w:ascii="宋体" w:hAnsi="宋体"/>
          <w:sz w:val="24"/>
        </w:rPr>
        <w:t>20%（工程项目 3%</w:t>
      </w:r>
      <w:r>
        <w:rPr>
          <w:rFonts w:hint="eastAsia" w:ascii="宋体" w:hAnsi="宋体"/>
          <w:sz w:val="24"/>
        </w:rPr>
        <w:t>-</w:t>
      </w:r>
      <w:r>
        <w:rPr>
          <w:rFonts w:ascii="宋体" w:hAnsi="宋体"/>
          <w:sz w:val="24"/>
        </w:rPr>
        <w:t>5%）的扣除，用扣除后的价格参加评审。同时，依据〔2022〕46 号文第四条第二款规定在货物采购项目中，服务商提供的货物既有中小企业制造货物，也有大型企业制造货物的，不享受中小企业扶持政策</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（2）根据财政部、司法部联合下发的《关于政府采购支持监狱企业发展有关问题的通知》（财库〔2014〕68号）的规定，监狱企业视同小型、微型企业。</w:t>
      </w:r>
    </w:p>
    <w:p>
      <w:pPr>
        <w:spacing w:line="500" w:lineRule="exact"/>
        <w:ind w:firstLine="480" w:firstLineChars="200"/>
        <w:rPr>
          <w:rFonts w:ascii="宋体" w:hAnsi="宋体"/>
          <w:sz w:val="24"/>
        </w:rPr>
      </w:pPr>
      <w:r>
        <w:rPr>
          <w:rFonts w:hint="eastAsia" w:ascii="宋体" w:hAnsi="宋体"/>
          <w:sz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00" w:lineRule="exact"/>
        <w:ind w:firstLine="480" w:firstLineChars="200"/>
        <w:rPr>
          <w:rFonts w:ascii="宋体" w:hAnsi="宋体"/>
          <w:sz w:val="24"/>
        </w:rPr>
      </w:pPr>
      <w:r>
        <w:rPr>
          <w:rFonts w:hint="eastAsia" w:ascii="宋体" w:hAnsi="宋体"/>
          <w:sz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spacing w:line="500" w:lineRule="exact"/>
        <w:ind w:firstLine="480" w:firstLineChars="200"/>
        <w:rPr>
          <w:rFonts w:ascii="宋体" w:hAnsi="宋体"/>
          <w:sz w:val="24"/>
        </w:rPr>
      </w:pPr>
      <w:r>
        <w:rPr>
          <w:rFonts w:hint="eastAsia" w:ascii="宋体" w:hAnsi="宋体"/>
          <w:sz w:val="24"/>
        </w:rPr>
        <w:t>2．节能、环保产品采购政策</w:t>
      </w:r>
    </w:p>
    <w:p>
      <w:pPr>
        <w:spacing w:line="500" w:lineRule="exact"/>
        <w:ind w:firstLine="480" w:firstLineChars="200"/>
        <w:rPr>
          <w:rFonts w:ascii="宋体" w:hAnsi="宋体"/>
          <w:sz w:val="24"/>
        </w:rPr>
      </w:pPr>
      <w:r>
        <w:rPr>
          <w:rFonts w:hint="eastAsia" w:ascii="宋体" w:hAnsi="宋体"/>
          <w:sz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00" w:lineRule="exact"/>
        <w:ind w:firstLine="480" w:firstLineChars="200"/>
        <w:rPr>
          <w:rFonts w:ascii="宋体" w:hAnsi="宋体"/>
          <w:sz w:val="24"/>
        </w:rPr>
      </w:pPr>
      <w:r>
        <w:rPr>
          <w:rFonts w:hint="eastAsia" w:ascii="宋体" w:hAnsi="宋体"/>
          <w:sz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00" w:lineRule="exact"/>
        <w:ind w:firstLine="480" w:firstLineChars="200"/>
        <w:rPr>
          <w:rFonts w:ascii="宋体" w:hAnsi="宋体"/>
          <w:sz w:val="24"/>
        </w:rPr>
      </w:pPr>
      <w:r>
        <w:rPr>
          <w:rFonts w:hint="eastAsia" w:ascii="宋体" w:hAnsi="宋体"/>
          <w:sz w:val="24"/>
        </w:rPr>
        <w:t>（3）《节能产品政府采购品目清单》见财政部、发展改革委《关于印发节能产品政府采购品目清单的通知》（财库〔2019〕19号）附件。</w:t>
      </w:r>
    </w:p>
    <w:p>
      <w:pPr>
        <w:spacing w:line="500" w:lineRule="exact"/>
        <w:ind w:firstLine="480" w:firstLineChars="200"/>
        <w:rPr>
          <w:rFonts w:ascii="宋体" w:hAnsi="宋体"/>
          <w:sz w:val="24"/>
        </w:rPr>
      </w:pPr>
      <w:r>
        <w:rPr>
          <w:rFonts w:hint="eastAsia" w:ascii="宋体" w:hAnsi="宋体"/>
          <w:sz w:val="24"/>
        </w:rPr>
        <w:t>（4）《环境标志产品政府采购品目清单》见财政部、生态环境部《关于印发环境标志产品政府采购品目清单的通知》（财库〔2019〕18号）附件。</w:t>
      </w:r>
    </w:p>
    <w:p>
      <w:pPr>
        <w:spacing w:line="500" w:lineRule="exact"/>
        <w:ind w:firstLine="480" w:firstLineChars="200"/>
        <w:rPr>
          <w:rFonts w:ascii="宋体" w:hAnsi="宋体"/>
          <w:sz w:val="24"/>
        </w:rPr>
      </w:pPr>
      <w:r>
        <w:rPr>
          <w:rFonts w:hint="eastAsia" w:ascii="宋体" w:hAnsi="宋体"/>
          <w:sz w:val="24"/>
        </w:rPr>
        <w:t>（5）“国家确定的认证机构”名单见市场监管总局《关于发布参与实施政府采购节能产品、环境标志产品认证机构名录的公告》（2019年第16号）。</w:t>
      </w:r>
    </w:p>
    <w:p>
      <w:pPr>
        <w:spacing w:line="500" w:lineRule="exact"/>
        <w:ind w:firstLine="480" w:firstLineChars="200"/>
        <w:rPr>
          <w:rFonts w:ascii="宋体" w:hAnsi="宋体"/>
          <w:sz w:val="24"/>
        </w:rPr>
      </w:pPr>
      <w:r>
        <w:rPr>
          <w:rFonts w:hint="eastAsia" w:ascii="宋体" w:hAnsi="宋体"/>
          <w:sz w:val="24"/>
        </w:rPr>
        <w:t>3．陕西省中小企业政府采购信用融资办法</w:t>
      </w:r>
    </w:p>
    <w:p>
      <w:pPr>
        <w:spacing w:line="500" w:lineRule="exact"/>
        <w:ind w:firstLine="480" w:firstLineChars="200"/>
        <w:rPr>
          <w:rFonts w:ascii="宋体" w:hAnsi="宋体"/>
          <w:sz w:val="24"/>
        </w:rPr>
      </w:pPr>
      <w:r>
        <w:rPr>
          <w:rFonts w:hint="eastAsia" w:ascii="宋体" w:hAnsi="宋体"/>
          <w:sz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00" w:lineRule="exact"/>
        <w:ind w:firstLine="480" w:firstLineChars="200"/>
        <w:jc w:val="left"/>
        <w:rPr>
          <w:rFonts w:ascii="宋体" w:hAnsi="宋体"/>
          <w:sz w:val="24"/>
        </w:rPr>
      </w:pPr>
      <w:r>
        <w:rPr>
          <w:rFonts w:hint="eastAsia" w:ascii="宋体" w:hAnsi="宋体"/>
          <w:sz w:val="24"/>
        </w:rPr>
        <w:t>链接地址：</w:t>
      </w:r>
      <w:r>
        <w:fldChar w:fldCharType="begin"/>
      </w:r>
      <w:r>
        <w:instrText xml:space="preserve"> HYPERLINK "http://www.ccgp-shaanxi.gov.cn/zcdservice/zcd/shanxi/article/zcdt/1390497710741917696" </w:instrText>
      </w:r>
      <w:r>
        <w:fldChar w:fldCharType="separate"/>
      </w:r>
      <w:r>
        <w:rPr>
          <w:rStyle w:val="47"/>
          <w:rFonts w:hint="eastAsia" w:ascii="宋体" w:hAnsi="宋体"/>
          <w:sz w:val="24"/>
        </w:rPr>
        <w:t>http://www.ccgp-shaanxi.gov.cn/zcdservice/zcd/shanxi/article/zcdt/1390497710741917696</w:t>
      </w:r>
      <w:r>
        <w:rPr>
          <w:rStyle w:val="47"/>
          <w:rFonts w:hint="eastAsia" w:ascii="宋体" w:hAnsi="宋体"/>
          <w:sz w:val="24"/>
        </w:rPr>
        <w:fldChar w:fldCharType="end"/>
      </w:r>
    </w:p>
    <w:p>
      <w:pPr>
        <w:pStyle w:val="5"/>
        <w:spacing w:before="156" w:after="156"/>
      </w:pPr>
      <w:bookmarkStart w:id="60" w:name="_Toc111853892"/>
      <w:r>
        <w:rPr>
          <w:rFonts w:hint="eastAsia"/>
        </w:rPr>
        <w:t>（五）关于现场踏勘和集中答疑</w:t>
      </w:r>
      <w:bookmarkEnd w:id="60"/>
    </w:p>
    <w:p>
      <w:pPr>
        <w:spacing w:line="500" w:lineRule="exact"/>
        <w:ind w:firstLine="480" w:firstLineChars="200"/>
        <w:rPr>
          <w:rFonts w:ascii="宋体" w:hAnsi="宋体"/>
          <w:sz w:val="24"/>
        </w:rPr>
      </w:pPr>
      <w:r>
        <w:rPr>
          <w:rFonts w:hint="eastAsia" w:ascii="宋体" w:hAnsi="宋体"/>
          <w:sz w:val="24"/>
        </w:rPr>
        <w:t>不组织。</w:t>
      </w:r>
    </w:p>
    <w:p>
      <w:pPr>
        <w:pStyle w:val="5"/>
        <w:spacing w:before="156" w:after="156"/>
      </w:pPr>
      <w:bookmarkStart w:id="61" w:name="_Toc111853893"/>
      <w:r>
        <w:rPr>
          <w:rFonts w:hint="eastAsia"/>
        </w:rPr>
        <w:t>（六）关于同一品牌产品的处理</w:t>
      </w:r>
      <w:bookmarkEnd w:id="61"/>
    </w:p>
    <w:p>
      <w:pPr>
        <w:spacing w:line="500" w:lineRule="exact"/>
        <w:ind w:firstLine="480" w:firstLineChars="200"/>
        <w:rPr>
          <w:rFonts w:ascii="宋体" w:hAnsi="宋体"/>
          <w:sz w:val="24"/>
        </w:rPr>
      </w:pPr>
      <w:r>
        <w:rPr>
          <w:rFonts w:hint="eastAsia" w:ascii="宋体" w:hAnsi="宋体"/>
          <w:sz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spacing w:line="500" w:lineRule="exact"/>
        <w:ind w:firstLine="480" w:firstLineChars="200"/>
        <w:rPr>
          <w:rFonts w:ascii="宋体" w:hAnsi="宋体"/>
          <w:sz w:val="24"/>
        </w:rPr>
      </w:pPr>
      <w:r>
        <w:rPr>
          <w:rFonts w:hint="eastAsia" w:ascii="宋体" w:hAnsi="宋体"/>
          <w:sz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00" w:lineRule="exact"/>
        <w:ind w:firstLine="480" w:firstLineChars="200"/>
        <w:rPr>
          <w:rFonts w:ascii="宋体" w:hAnsi="宋体"/>
          <w:sz w:val="24"/>
        </w:rPr>
      </w:pPr>
      <w:r>
        <w:rPr>
          <w:rFonts w:hint="eastAsia" w:ascii="宋体" w:hAnsi="宋体"/>
          <w:sz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5"/>
        <w:spacing w:before="156" w:after="156"/>
      </w:pPr>
      <w:bookmarkStart w:id="62" w:name="_Toc111853894"/>
      <w:r>
        <w:rPr>
          <w:rFonts w:hint="eastAsia"/>
        </w:rPr>
        <w:t>（七）关于知识产权和保密事项</w:t>
      </w:r>
      <w:bookmarkEnd w:id="62"/>
    </w:p>
    <w:p>
      <w:pPr>
        <w:spacing w:line="500" w:lineRule="exact"/>
        <w:ind w:firstLine="480" w:firstLineChars="200"/>
        <w:rPr>
          <w:rFonts w:ascii="宋体" w:hAnsi="宋体"/>
          <w:sz w:val="24"/>
        </w:rPr>
      </w:pPr>
      <w:r>
        <w:rPr>
          <w:rFonts w:hint="eastAsia" w:ascii="宋体" w:hAnsi="宋体"/>
          <w:sz w:val="24"/>
        </w:rPr>
        <w:t>1．所有涉及知识产权的产品及设计，供应商必须确保委托人、采购人拥有其合法的、不受限制的无偿使用权，并免受任何侵权诉讼或索偿；否则，由此产生的一切经济损失和法律责任由供应商承担。</w:t>
      </w:r>
    </w:p>
    <w:p>
      <w:pPr>
        <w:spacing w:line="500" w:lineRule="exact"/>
        <w:ind w:firstLine="480" w:firstLineChars="200"/>
        <w:rPr>
          <w:rFonts w:ascii="宋体" w:hAnsi="宋体"/>
          <w:sz w:val="24"/>
        </w:rPr>
      </w:pPr>
      <w:r>
        <w:rPr>
          <w:rFonts w:hint="eastAsia" w:ascii="宋体" w:hAnsi="宋体"/>
          <w:sz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5"/>
        <w:spacing w:before="156" w:after="156"/>
      </w:pPr>
      <w:bookmarkStart w:id="63" w:name="_Toc111853895"/>
      <w:r>
        <w:rPr>
          <w:rFonts w:hint="eastAsia"/>
        </w:rPr>
        <w:t>（八）关于信用记录的查询和使用</w:t>
      </w:r>
      <w:bookmarkEnd w:id="63"/>
    </w:p>
    <w:p>
      <w:pPr>
        <w:spacing w:line="500" w:lineRule="exact"/>
        <w:ind w:firstLine="480" w:firstLineChars="200"/>
        <w:rPr>
          <w:rFonts w:ascii="宋体" w:hAnsi="宋体"/>
          <w:sz w:val="24"/>
        </w:rPr>
      </w:pPr>
      <w:r>
        <w:rPr>
          <w:rFonts w:hint="eastAsia" w:ascii="宋体" w:hAnsi="宋体"/>
          <w:sz w:val="24"/>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7"/>
          <w:rFonts w:hint="eastAsia" w:ascii="宋体" w:hAnsi="宋体"/>
          <w:sz w:val="24"/>
        </w:rPr>
        <w:t>https://www.creditchina.gov.cn</w:t>
      </w:r>
      <w:r>
        <w:rPr>
          <w:rStyle w:val="47"/>
          <w:rFonts w:hint="eastAsia" w:ascii="宋体" w:hAnsi="宋体"/>
          <w:sz w:val="24"/>
        </w:rPr>
        <w:fldChar w:fldCharType="end"/>
      </w:r>
      <w:r>
        <w:rPr>
          <w:rFonts w:hint="eastAsia" w:ascii="宋体" w:hAnsi="宋体"/>
          <w:sz w:val="24"/>
        </w:rPr>
        <w:t>/）和【中国政府采购网】（</w:t>
      </w:r>
      <w:r>
        <w:fldChar w:fldCharType="begin"/>
      </w:r>
      <w:r>
        <w:instrText xml:space="preserve"> HYPERLINK "http://www.ccgp.gov.cn/" </w:instrText>
      </w:r>
      <w:r>
        <w:fldChar w:fldCharType="separate"/>
      </w:r>
      <w:r>
        <w:rPr>
          <w:rStyle w:val="47"/>
          <w:rFonts w:hint="eastAsia" w:ascii="宋体" w:hAnsi="宋体"/>
          <w:sz w:val="24"/>
        </w:rPr>
        <w:t>http://www.ccgp.gov.cn/）</w:t>
      </w:r>
      <w:r>
        <w:rPr>
          <w:rStyle w:val="47"/>
          <w:rFonts w:hint="eastAsia" w:ascii="宋体" w:hAnsi="宋体"/>
          <w:sz w:val="24"/>
        </w:rPr>
        <w:fldChar w:fldCharType="end"/>
      </w:r>
      <w:r>
        <w:rPr>
          <w:rFonts w:hint="eastAsia" w:ascii="宋体" w:hAnsi="宋体"/>
          <w:sz w:val="24"/>
        </w:rPr>
        <w:t>对供应商的信用情况进行甄别。</w:t>
      </w:r>
    </w:p>
    <w:p>
      <w:pPr>
        <w:spacing w:line="500" w:lineRule="exact"/>
        <w:ind w:firstLine="480" w:firstLineChars="200"/>
        <w:rPr>
          <w:rFonts w:ascii="宋体" w:hAnsi="宋体"/>
          <w:sz w:val="24"/>
        </w:rPr>
      </w:pPr>
      <w:r>
        <w:rPr>
          <w:rFonts w:hint="eastAsia" w:ascii="宋体" w:hAnsi="宋体"/>
          <w:sz w:val="24"/>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00" w:lineRule="exact"/>
        <w:ind w:firstLine="480" w:firstLineChars="200"/>
        <w:rPr>
          <w:rFonts w:ascii="宋体" w:hAnsi="宋体"/>
          <w:sz w:val="24"/>
        </w:rPr>
      </w:pPr>
      <w:r>
        <w:rPr>
          <w:rFonts w:hint="eastAsia" w:ascii="宋体" w:hAnsi="宋体"/>
          <w:sz w:val="24"/>
        </w:rPr>
        <w:t>3．供应商在参加政府采购活动前3年内因违法经营被禁止在一定期限内参加政府采购活动，期限届满的，可以参加政府采购活动的，但供应商应提供相关证明材料。</w:t>
      </w:r>
    </w:p>
    <w:p>
      <w:pPr>
        <w:spacing w:line="500" w:lineRule="exact"/>
        <w:ind w:firstLine="480" w:firstLineChars="200"/>
        <w:rPr>
          <w:rFonts w:ascii="宋体" w:hAnsi="宋体"/>
          <w:sz w:val="24"/>
        </w:rPr>
      </w:pPr>
      <w:r>
        <w:rPr>
          <w:rFonts w:hint="eastAsia" w:ascii="宋体" w:hAnsi="宋体"/>
          <w:sz w:val="24"/>
        </w:rPr>
        <w:t>4．信用记录核查的截止时点为“资格审查当日”，查询结果将与其他采购文件一并保存。信用记录查询方法及查询结果如下：</w:t>
      </w:r>
    </w:p>
    <w:p>
      <w:pPr>
        <w:spacing w:line="500" w:lineRule="exact"/>
        <w:ind w:firstLine="480" w:firstLineChars="200"/>
        <w:rPr>
          <w:rFonts w:ascii="宋体" w:hAnsi="宋体"/>
          <w:sz w:val="24"/>
        </w:rPr>
      </w:pPr>
      <w:r>
        <w:rPr>
          <w:rFonts w:hint="eastAsia" w:ascii="宋体" w:hAnsi="宋体"/>
          <w:sz w:val="24"/>
        </w:rPr>
        <w:t>（1）信用中国上的信用报告：信用中国首页·〉“信用信息”查询框·〉下载信用信息（PDF 格式），并打印。</w:t>
      </w:r>
    </w:p>
    <w:p>
      <w:pPr>
        <w:spacing w:line="500" w:lineRule="exact"/>
        <w:ind w:firstLine="480" w:firstLineChars="200"/>
        <w:rPr>
          <w:rFonts w:ascii="宋体" w:hAnsi="宋体"/>
          <w:sz w:val="24"/>
        </w:rPr>
      </w:pPr>
      <w:r>
        <w:rPr>
          <w:rFonts w:hint="eastAsia" w:ascii="宋体" w:hAnsi="宋体"/>
          <w:sz w:val="24"/>
        </w:rPr>
        <w:t>（2）政府采购严重违法失信行为记录：中国政府采购网首页·〉政府采购严重违法失信行为记录名单，将查询结果截图并打印。</w:t>
      </w:r>
    </w:p>
    <w:p>
      <w:pPr>
        <w:pStyle w:val="5"/>
        <w:spacing w:before="156" w:after="156"/>
      </w:pPr>
      <w:bookmarkStart w:id="64" w:name="_Toc111853896"/>
      <w:r>
        <w:rPr>
          <w:rFonts w:hint="eastAsia"/>
        </w:rPr>
        <w:t>（九）其他重要事项</w:t>
      </w:r>
      <w:bookmarkEnd w:id="64"/>
    </w:p>
    <w:p>
      <w:pPr>
        <w:spacing w:line="500" w:lineRule="exact"/>
        <w:ind w:firstLine="480" w:firstLineChars="200"/>
        <w:rPr>
          <w:rFonts w:ascii="宋体" w:hAnsi="宋体"/>
          <w:sz w:val="24"/>
        </w:rPr>
      </w:pPr>
      <w:r>
        <w:rPr>
          <w:rFonts w:hint="eastAsia" w:ascii="宋体" w:hAnsi="宋体"/>
          <w:sz w:val="24"/>
        </w:rPr>
        <w:t>1．招标文件内所附网络链接仅供参考，不保证其长期有效性。</w:t>
      </w:r>
    </w:p>
    <w:p>
      <w:pPr>
        <w:spacing w:line="500" w:lineRule="exact"/>
        <w:ind w:firstLine="480" w:firstLineChars="200"/>
        <w:rPr>
          <w:rFonts w:ascii="宋体" w:hAnsi="宋体"/>
          <w:sz w:val="24"/>
        </w:rPr>
      </w:pPr>
      <w:r>
        <w:rPr>
          <w:rFonts w:hint="eastAsia" w:ascii="宋体" w:hAnsi="宋体"/>
          <w:sz w:val="24"/>
        </w:rPr>
        <w:t>2．供应商的投标费用自理。</w:t>
      </w:r>
    </w:p>
    <w:p>
      <w:pPr>
        <w:pStyle w:val="2"/>
      </w:pPr>
    </w:p>
    <w:p>
      <w:pPr>
        <w:pStyle w:val="4"/>
        <w:jc w:val="center"/>
        <w:rPr>
          <w:rFonts w:ascii="宋体" w:hAnsi="宋体" w:eastAsia="宋体" w:cs="宋体"/>
          <w:sz w:val="30"/>
          <w:szCs w:val="30"/>
        </w:rPr>
      </w:pPr>
      <w:bookmarkStart w:id="65" w:name="_Toc30902"/>
      <w:bookmarkStart w:id="66" w:name="_Toc111853897"/>
      <w:bookmarkStart w:id="67" w:name="_Toc11998"/>
      <w:r>
        <w:rPr>
          <w:rFonts w:hint="eastAsia" w:ascii="宋体" w:hAnsi="宋体" w:eastAsia="宋体" w:cs="宋体"/>
          <w:sz w:val="30"/>
          <w:szCs w:val="30"/>
        </w:rPr>
        <w:t>三、招标文件</w:t>
      </w:r>
      <w:bookmarkEnd w:id="65"/>
      <w:bookmarkEnd w:id="66"/>
      <w:bookmarkEnd w:id="67"/>
    </w:p>
    <w:p>
      <w:pPr>
        <w:pStyle w:val="5"/>
        <w:spacing w:before="156" w:after="156"/>
      </w:pPr>
      <w:bookmarkStart w:id="68" w:name="_Toc111853898"/>
      <w:r>
        <w:t>（一）招标</w:t>
      </w:r>
      <w:r>
        <w:rPr>
          <w:rFonts w:hint="eastAsia"/>
        </w:rPr>
        <w:t>文件的解释权</w:t>
      </w:r>
      <w:bookmarkEnd w:id="68"/>
    </w:p>
    <w:p>
      <w:pPr>
        <w:spacing w:line="500" w:lineRule="exact"/>
        <w:ind w:firstLine="480" w:firstLineChars="200"/>
        <w:rPr>
          <w:rFonts w:ascii="宋体" w:hAnsi="宋体"/>
          <w:sz w:val="24"/>
        </w:rPr>
      </w:pPr>
      <w:r>
        <w:rPr>
          <w:rFonts w:hint="eastAsia" w:ascii="宋体" w:hAnsi="宋体"/>
          <w:sz w:val="24"/>
        </w:rPr>
        <w:t>本项目招标文件的解释权归采购代理机构，评标委员会成员应根据政府采购法律法规和招标文件所载明的评审方法、标准进行评审。</w:t>
      </w:r>
    </w:p>
    <w:p>
      <w:pPr>
        <w:pStyle w:val="5"/>
        <w:spacing w:before="156" w:after="156"/>
      </w:pPr>
      <w:bookmarkStart w:id="69" w:name="_Toc111853899"/>
      <w:r>
        <w:rPr>
          <w:rFonts w:hint="eastAsia"/>
        </w:rPr>
        <w:t>（二）招标文件主要内容</w:t>
      </w:r>
      <w:bookmarkEnd w:id="69"/>
    </w:p>
    <w:p>
      <w:pPr>
        <w:spacing w:line="500" w:lineRule="exact"/>
        <w:ind w:firstLine="480" w:firstLineChars="200"/>
        <w:rPr>
          <w:rFonts w:ascii="宋体" w:hAnsi="宋体"/>
          <w:sz w:val="24"/>
        </w:rPr>
      </w:pPr>
      <w:r>
        <w:rPr>
          <w:rFonts w:hint="eastAsia" w:ascii="宋体" w:hAnsi="宋体"/>
          <w:sz w:val="24"/>
        </w:rPr>
        <w:t>第一章  招标公告</w:t>
      </w:r>
    </w:p>
    <w:p>
      <w:pPr>
        <w:spacing w:line="500" w:lineRule="exact"/>
        <w:ind w:firstLine="480" w:firstLineChars="200"/>
        <w:rPr>
          <w:rFonts w:ascii="宋体" w:hAnsi="宋体"/>
          <w:sz w:val="24"/>
        </w:rPr>
      </w:pPr>
      <w:r>
        <w:rPr>
          <w:rFonts w:hint="eastAsia" w:ascii="宋体" w:hAnsi="宋体"/>
          <w:sz w:val="24"/>
        </w:rPr>
        <w:t>第二章  投标人须知</w:t>
      </w:r>
    </w:p>
    <w:p>
      <w:pPr>
        <w:spacing w:line="500" w:lineRule="exact"/>
        <w:ind w:firstLine="480" w:firstLineChars="200"/>
        <w:rPr>
          <w:rFonts w:ascii="宋体" w:hAnsi="宋体"/>
          <w:sz w:val="24"/>
        </w:rPr>
      </w:pPr>
      <w:r>
        <w:rPr>
          <w:rFonts w:hint="eastAsia" w:ascii="宋体" w:hAnsi="宋体"/>
          <w:sz w:val="24"/>
        </w:rPr>
        <w:t>第三章  评标办法</w:t>
      </w:r>
    </w:p>
    <w:p>
      <w:pPr>
        <w:spacing w:line="500" w:lineRule="exact"/>
        <w:ind w:firstLine="480" w:firstLineChars="200"/>
        <w:rPr>
          <w:rFonts w:ascii="宋体" w:hAnsi="宋体"/>
          <w:sz w:val="24"/>
        </w:rPr>
      </w:pPr>
      <w:r>
        <w:rPr>
          <w:rFonts w:hint="eastAsia" w:ascii="宋体" w:hAnsi="宋体"/>
          <w:sz w:val="24"/>
        </w:rPr>
        <w:t>第四章  招标内容及要求</w:t>
      </w:r>
    </w:p>
    <w:p>
      <w:pPr>
        <w:spacing w:line="500" w:lineRule="exact"/>
        <w:ind w:firstLine="480" w:firstLineChars="200"/>
        <w:rPr>
          <w:rFonts w:ascii="宋体" w:hAnsi="宋体"/>
          <w:sz w:val="24"/>
        </w:rPr>
      </w:pPr>
      <w:r>
        <w:rPr>
          <w:rFonts w:hint="eastAsia" w:ascii="宋体" w:hAnsi="宋体"/>
          <w:sz w:val="24"/>
        </w:rPr>
        <w:t>第五章  合同文本</w:t>
      </w:r>
    </w:p>
    <w:p>
      <w:pPr>
        <w:spacing w:line="500" w:lineRule="exact"/>
        <w:ind w:firstLine="480" w:firstLineChars="200"/>
        <w:rPr>
          <w:rFonts w:ascii="宋体" w:hAnsi="宋体"/>
          <w:sz w:val="24"/>
        </w:rPr>
      </w:pPr>
      <w:r>
        <w:rPr>
          <w:rFonts w:hint="eastAsia" w:ascii="宋体" w:hAnsi="宋体"/>
          <w:sz w:val="24"/>
        </w:rPr>
        <w:t>第六章  投标文件构成及格式</w:t>
      </w:r>
    </w:p>
    <w:p>
      <w:pPr>
        <w:pStyle w:val="5"/>
        <w:spacing w:before="156" w:after="156"/>
      </w:pPr>
      <w:bookmarkStart w:id="70" w:name="_Toc111853900"/>
      <w:r>
        <w:rPr>
          <w:rFonts w:hint="eastAsia"/>
        </w:rPr>
        <w:t>（三）招标文件的检查及阅读</w:t>
      </w:r>
      <w:bookmarkEnd w:id="70"/>
    </w:p>
    <w:p>
      <w:pPr>
        <w:spacing w:line="500" w:lineRule="exact"/>
        <w:ind w:firstLine="480" w:firstLineChars="200"/>
        <w:rPr>
          <w:rFonts w:ascii="宋体" w:hAnsi="宋体"/>
          <w:sz w:val="24"/>
        </w:rPr>
      </w:pPr>
      <w:r>
        <w:rPr>
          <w:rFonts w:hint="eastAsia" w:ascii="宋体" w:hAnsi="宋体"/>
          <w:sz w:val="24"/>
        </w:rPr>
        <w:t>供应商应认真阅读和充分理解招标文件中所有的事项、格式条款和规范要求，在投标文件中对招标文件做出全面响 应，并按招标文件的要求提交全部资料。</w:t>
      </w:r>
    </w:p>
    <w:p>
      <w:pPr>
        <w:spacing w:line="500" w:lineRule="exact"/>
        <w:ind w:firstLine="480" w:firstLineChars="200"/>
        <w:rPr>
          <w:rFonts w:ascii="宋体" w:hAnsi="宋体"/>
          <w:sz w:val="24"/>
        </w:rPr>
      </w:pPr>
      <w:r>
        <w:rPr>
          <w:rFonts w:hint="eastAsia" w:ascii="宋体" w:hAnsi="宋体"/>
          <w:sz w:val="24"/>
        </w:rPr>
        <w:t>项目废标后重新组织招标的，采购代理机构将重新编制、发布新版招标文件，供应商应按新版招标文件重新编制投标文件。原招标文件及投标文件失效。</w:t>
      </w:r>
    </w:p>
    <w:p>
      <w:pPr>
        <w:pStyle w:val="5"/>
        <w:spacing w:before="156" w:after="156"/>
      </w:pPr>
      <w:bookmarkStart w:id="71" w:name="_Toc111853901"/>
      <w:r>
        <w:rPr>
          <w:rFonts w:hint="eastAsia"/>
        </w:rPr>
        <w:t>（四）招标文件的修改、澄清</w:t>
      </w:r>
      <w:bookmarkEnd w:id="71"/>
    </w:p>
    <w:p>
      <w:pPr>
        <w:spacing w:line="500" w:lineRule="exact"/>
        <w:ind w:firstLine="480" w:firstLineChars="200"/>
        <w:rPr>
          <w:rFonts w:ascii="宋体" w:hAnsi="宋体"/>
          <w:sz w:val="24"/>
        </w:rPr>
      </w:pPr>
      <w:r>
        <w:rPr>
          <w:rFonts w:hint="eastAsia" w:ascii="宋体" w:hAnsi="宋体"/>
          <w:sz w:val="24"/>
        </w:rPr>
        <w:t>1．提交投标文件截止之日前，采购人或采购代理机构可能对已发出的招标文件进行澄清或者修改，澄清或者修改的内容为招标文件的组成部分。</w:t>
      </w:r>
    </w:p>
    <w:p>
      <w:pPr>
        <w:spacing w:line="500" w:lineRule="exact"/>
        <w:ind w:firstLine="480" w:firstLineChars="200"/>
        <w:rPr>
          <w:rFonts w:ascii="宋体" w:hAnsi="宋体"/>
          <w:sz w:val="24"/>
        </w:rPr>
      </w:pPr>
      <w:r>
        <w:rPr>
          <w:rFonts w:hint="eastAsia" w:ascii="宋体" w:hAnsi="宋体"/>
          <w:sz w:val="24"/>
        </w:rPr>
        <w:t>2．当需要澄清或修改时，采购代理机构将在提交投标文件截止之日15日前，在财政部门指定的“政府采购信息发布媒体”上发布变更公告；不足15日的，将顺延提交投标文件截止时间。</w:t>
      </w:r>
    </w:p>
    <w:p>
      <w:pPr>
        <w:spacing w:line="500" w:lineRule="exact"/>
        <w:ind w:firstLine="480" w:firstLineChars="200"/>
        <w:rPr>
          <w:rFonts w:ascii="宋体" w:hAnsi="宋体"/>
          <w:sz w:val="24"/>
        </w:rPr>
      </w:pPr>
      <w:r>
        <w:rPr>
          <w:rFonts w:hint="eastAsia" w:ascii="宋体" w:hAnsi="宋体"/>
          <w:sz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00" w:lineRule="exact"/>
        <w:ind w:firstLine="480" w:firstLineChars="200"/>
        <w:rPr>
          <w:rFonts w:ascii="宋体" w:hAnsi="宋体"/>
          <w:sz w:val="24"/>
        </w:rPr>
      </w:pPr>
      <w:r>
        <w:rPr>
          <w:rFonts w:hint="eastAsia" w:ascii="宋体" w:hAnsi="宋体"/>
          <w:sz w:val="24"/>
        </w:rPr>
        <w:t>4. 供应商对招标文件提出质疑的，应在采购文件公告期限届满之日起7 个工作日内以书面形式提出，采购人或采购代理机构将以书面形式予以答复；在此之后提出的针对招标文件的质疑为无效质疑。答复的内容可能影响投标文件编制的，采购代理机构将在财政部门指定的政府采购信息发布媒体上发布变更公告。</w:t>
      </w:r>
    </w:p>
    <w:p>
      <w:pPr>
        <w:spacing w:line="500" w:lineRule="exact"/>
        <w:ind w:firstLine="480" w:firstLineChars="200"/>
        <w:rPr>
          <w:rFonts w:ascii="宋体" w:hAnsi="宋体"/>
          <w:sz w:val="24"/>
        </w:rPr>
      </w:pPr>
      <w:r>
        <w:rPr>
          <w:rFonts w:hint="eastAsia" w:ascii="宋体" w:hAnsi="宋体"/>
          <w:sz w:val="24"/>
        </w:rPr>
        <w:t>5.采购代理机构可以视采购具体情况，暂停项目的执行或延长投标截止时间和开标时间，但至少会在招标文件要求的提交投标文件的截止时间 3日前，在财政部门指定的政府采购信息发布媒体上发布变更公告。不足 3日的，将另行通知。</w:t>
      </w:r>
    </w:p>
    <w:p>
      <w:pPr>
        <w:spacing w:line="500" w:lineRule="exact"/>
        <w:ind w:firstLine="480" w:firstLineChars="200"/>
        <w:rPr>
          <w:rFonts w:ascii="宋体" w:hAnsi="宋体"/>
          <w:sz w:val="24"/>
        </w:rPr>
      </w:pPr>
      <w:r>
        <w:rPr>
          <w:rFonts w:hint="eastAsia" w:ascii="宋体" w:hAnsi="宋体"/>
          <w:sz w:val="24"/>
        </w:rPr>
        <w:t>6．</w:t>
      </w:r>
      <w:r>
        <w:rPr>
          <w:rFonts w:hint="eastAsia" w:ascii="宋体" w:hAnsi="宋体"/>
          <w:b/>
          <w:sz w:val="24"/>
        </w:rPr>
        <w:t>请各供应商在提交投标文件截止时间之前，务必自行关注下列地址发布的变更公告，采购代理机构不再另行通知，因供应商未及时关注所造成的一切后果由供应商自行承担：</w:t>
      </w:r>
    </w:p>
    <w:p>
      <w:pPr>
        <w:spacing w:line="500" w:lineRule="exact"/>
        <w:ind w:firstLine="480" w:firstLineChars="200"/>
        <w:rPr>
          <w:rFonts w:ascii="宋体" w:hAnsi="宋体"/>
          <w:sz w:val="24"/>
        </w:rPr>
      </w:pPr>
      <w:r>
        <w:rPr>
          <w:rFonts w:hint="eastAsia" w:ascii="宋体" w:hAnsi="宋体"/>
          <w:sz w:val="24"/>
        </w:rPr>
        <w:t>（1）【</w:t>
      </w:r>
      <w:r>
        <w:fldChar w:fldCharType="begin"/>
      </w:r>
      <w:r>
        <w:instrText xml:space="preserve"> HYPERLINK "http://www.ccgp-shaanxi.gov.cn" </w:instrText>
      </w:r>
      <w:r>
        <w:fldChar w:fldCharType="separate"/>
      </w:r>
      <w:r>
        <w:rPr>
          <w:rStyle w:val="47"/>
          <w:rFonts w:hint="eastAsia" w:ascii="宋体" w:hAnsi="宋体"/>
          <w:sz w:val="24"/>
        </w:rPr>
        <w:t>陕西省政府采购网</w:t>
      </w:r>
      <w:r>
        <w:rPr>
          <w:rStyle w:val="47"/>
          <w:rFonts w:hint="eastAsia" w:ascii="宋体" w:hAnsi="宋体"/>
          <w:sz w:val="24"/>
        </w:rPr>
        <w:fldChar w:fldCharType="end"/>
      </w:r>
      <w:r>
        <w:rPr>
          <w:rFonts w:hint="eastAsia" w:ascii="宋体" w:hAnsi="宋体"/>
          <w:sz w:val="24"/>
        </w:rPr>
        <w:t>】（</w:t>
      </w:r>
      <w:r>
        <w:fldChar w:fldCharType="begin"/>
      </w:r>
      <w:r>
        <w:instrText xml:space="preserve"> HYPERLINK "http://www.ccgp-shaanxi.gov.cn/" </w:instrText>
      </w:r>
      <w:r>
        <w:fldChar w:fldCharType="separate"/>
      </w:r>
      <w:r>
        <w:rPr>
          <w:rStyle w:val="47"/>
          <w:rFonts w:hint="eastAsia" w:ascii="宋体" w:hAnsi="宋体"/>
          <w:sz w:val="24"/>
        </w:rPr>
        <w:t>http://www.ccgp-shaanxi.gov.cn/</w:t>
      </w:r>
      <w:r>
        <w:rPr>
          <w:rStyle w:val="47"/>
          <w:rFonts w:hint="eastAsia" w:ascii="宋体" w:hAnsi="宋体"/>
          <w:sz w:val="24"/>
        </w:rPr>
        <w:fldChar w:fldCharType="end"/>
      </w:r>
      <w:r>
        <w:rPr>
          <w:rFonts w:hint="eastAsia" w:ascii="宋体" w:hAnsi="宋体"/>
          <w:sz w:val="24"/>
        </w:rPr>
        <w:t>）中的〖首页·〉信息公告·〉市级·〉西安市〗；</w:t>
      </w:r>
    </w:p>
    <w:p>
      <w:pPr>
        <w:spacing w:line="500" w:lineRule="exact"/>
        <w:ind w:firstLine="480" w:firstLineChars="200"/>
        <w:rPr>
          <w:rFonts w:ascii="宋体" w:hAnsi="宋体"/>
          <w:sz w:val="24"/>
        </w:rPr>
      </w:pPr>
      <w:r>
        <w:rPr>
          <w:rFonts w:hint="eastAsia" w:ascii="宋体" w:hAnsi="宋体"/>
          <w:sz w:val="24"/>
        </w:rPr>
        <w:t>（2）【</w:t>
      </w:r>
      <w:r>
        <w:fldChar w:fldCharType="begin"/>
      </w:r>
      <w:r>
        <w:instrText xml:space="preserve"> HYPERLINK "http://xa.sxggzyjy.cn/" </w:instrText>
      </w:r>
      <w:r>
        <w:fldChar w:fldCharType="separate"/>
      </w:r>
      <w:r>
        <w:rPr>
          <w:rStyle w:val="47"/>
          <w:rFonts w:hint="eastAsia" w:ascii="宋体" w:hAnsi="宋体"/>
          <w:sz w:val="24"/>
        </w:rPr>
        <w:t>全国公共资源交易网（陕西省·西安市）</w:t>
      </w:r>
      <w:r>
        <w:rPr>
          <w:rStyle w:val="47"/>
          <w:rFonts w:hint="eastAsia" w:ascii="宋体" w:hAnsi="宋体"/>
          <w:sz w:val="24"/>
        </w:rPr>
        <w:fldChar w:fldCharType="end"/>
      </w:r>
      <w:r>
        <w:rPr>
          <w:rFonts w:hint="eastAsia" w:ascii="宋体" w:hAnsi="宋体"/>
          <w:sz w:val="24"/>
        </w:rPr>
        <w:t>】（</w:t>
      </w:r>
      <w:r>
        <w:fldChar w:fldCharType="begin"/>
      </w:r>
      <w:r>
        <w:instrText xml:space="preserve"> HYPERLINK "http://sxggzyjy.xa.gov.cn/" </w:instrText>
      </w:r>
      <w:r>
        <w:fldChar w:fldCharType="separate"/>
      </w:r>
      <w:r>
        <w:rPr>
          <w:rStyle w:val="47"/>
          <w:rFonts w:hint="eastAsia" w:ascii="宋体" w:hAnsi="宋体"/>
          <w:sz w:val="24"/>
        </w:rPr>
        <w:t>http://sxggzyjy.xa.gov.cn/</w:t>
      </w:r>
      <w:r>
        <w:rPr>
          <w:rStyle w:val="47"/>
          <w:rFonts w:hint="eastAsia" w:ascii="宋体" w:hAnsi="宋体"/>
          <w:sz w:val="24"/>
        </w:rPr>
        <w:fldChar w:fldCharType="end"/>
      </w:r>
      <w:r>
        <w:rPr>
          <w:rFonts w:hint="eastAsia" w:ascii="宋体" w:hAnsi="宋体"/>
          <w:sz w:val="24"/>
        </w:rPr>
        <w:t>）中的〖首页·〉交易大厅·〉政府采购〗。</w:t>
      </w:r>
    </w:p>
    <w:p>
      <w:pPr>
        <w:pStyle w:val="4"/>
        <w:jc w:val="center"/>
        <w:rPr>
          <w:rFonts w:asciiTheme="majorEastAsia" w:hAnsiTheme="majorEastAsia" w:eastAsiaTheme="majorEastAsia" w:cstheme="majorEastAsia"/>
          <w:sz w:val="30"/>
          <w:szCs w:val="30"/>
        </w:rPr>
      </w:pPr>
      <w:bookmarkStart w:id="72" w:name="_Toc4846"/>
      <w:bookmarkStart w:id="73" w:name="_Toc30165"/>
      <w:bookmarkStart w:id="74" w:name="_Toc111853902"/>
      <w:r>
        <w:rPr>
          <w:rFonts w:hint="eastAsia" w:asciiTheme="majorEastAsia" w:hAnsiTheme="majorEastAsia" w:eastAsiaTheme="majorEastAsia" w:cstheme="majorEastAsia"/>
          <w:sz w:val="30"/>
          <w:szCs w:val="30"/>
        </w:rPr>
        <w:t>四、投标文件</w:t>
      </w:r>
      <w:bookmarkEnd w:id="72"/>
      <w:bookmarkEnd w:id="73"/>
      <w:bookmarkEnd w:id="74"/>
    </w:p>
    <w:p>
      <w:pPr>
        <w:pStyle w:val="5"/>
        <w:spacing w:before="156" w:after="156"/>
      </w:pPr>
      <w:bookmarkStart w:id="75" w:name="_Toc111853903"/>
      <w:r>
        <w:rPr>
          <w:rFonts w:hint="eastAsia"/>
        </w:rPr>
        <w:t>（一）投标文件的式样</w:t>
      </w:r>
      <w:bookmarkEnd w:id="75"/>
    </w:p>
    <w:p>
      <w:pPr>
        <w:spacing w:line="500" w:lineRule="exact"/>
        <w:ind w:firstLine="480" w:firstLineChars="200"/>
        <w:rPr>
          <w:rFonts w:ascii="宋体" w:hAnsi="宋体"/>
          <w:sz w:val="24"/>
        </w:rPr>
      </w:pPr>
      <w:r>
        <w:rPr>
          <w:rFonts w:hint="eastAsia" w:ascii="宋体" w:hAnsi="宋体"/>
          <w:sz w:val="24"/>
        </w:rPr>
        <w:t>1.组成及格式</w:t>
      </w:r>
    </w:p>
    <w:p>
      <w:pPr>
        <w:spacing w:line="500" w:lineRule="exact"/>
        <w:ind w:firstLine="480" w:firstLineChars="200"/>
        <w:rPr>
          <w:rFonts w:ascii="宋体" w:hAnsi="宋体"/>
          <w:sz w:val="24"/>
        </w:rPr>
      </w:pPr>
      <w:r>
        <w:rPr>
          <w:rFonts w:hint="eastAsia" w:ascii="宋体" w:hAnsi="宋体"/>
          <w:sz w:val="24"/>
        </w:rPr>
        <w:t>供应商依照招标文件第六章《投标文件构成及格式》给定形式进行编制投标文件。项目分标段的，应按所投标段分别准备投标文件。</w:t>
      </w:r>
    </w:p>
    <w:p>
      <w:pPr>
        <w:spacing w:line="500" w:lineRule="exact"/>
        <w:ind w:firstLine="480" w:firstLineChars="200"/>
        <w:rPr>
          <w:rFonts w:ascii="宋体" w:hAnsi="宋体"/>
          <w:sz w:val="24"/>
        </w:rPr>
      </w:pPr>
      <w:r>
        <w:rPr>
          <w:rFonts w:hint="eastAsia" w:ascii="宋体" w:hAnsi="宋体"/>
          <w:sz w:val="24"/>
        </w:rPr>
        <w:t>2．语言</w:t>
      </w:r>
    </w:p>
    <w:p>
      <w:pPr>
        <w:spacing w:line="500" w:lineRule="exact"/>
        <w:ind w:firstLine="480" w:firstLineChars="200"/>
        <w:rPr>
          <w:rFonts w:ascii="宋体" w:hAnsi="宋体"/>
          <w:sz w:val="24"/>
        </w:rPr>
      </w:pPr>
      <w:r>
        <w:rPr>
          <w:rFonts w:hint="eastAsia" w:ascii="宋体" w:hAnsi="宋体"/>
          <w:sz w:val="24"/>
        </w:rPr>
        <w:t>招标活动的所有文件、资料、函电文字均使用简体中文，确需提交用其他语言形成的资料，必须翻译成简体中文，如有差异，以简体中文为准。</w:t>
      </w:r>
    </w:p>
    <w:p>
      <w:pPr>
        <w:spacing w:line="500" w:lineRule="exact"/>
        <w:ind w:firstLine="480" w:firstLineChars="200"/>
        <w:rPr>
          <w:rFonts w:ascii="宋体" w:hAnsi="宋体"/>
          <w:sz w:val="24"/>
        </w:rPr>
      </w:pPr>
      <w:r>
        <w:rPr>
          <w:rFonts w:hint="eastAsia" w:ascii="宋体" w:hAnsi="宋体"/>
          <w:sz w:val="24"/>
        </w:rPr>
        <w:t>3．</w:t>
      </w:r>
      <w:r>
        <w:rPr>
          <w:rFonts w:ascii="宋体" w:hAnsi="宋体"/>
          <w:sz w:val="24"/>
        </w:rPr>
        <w:t>计量单位</w:t>
      </w:r>
    </w:p>
    <w:p>
      <w:pPr>
        <w:spacing w:line="500" w:lineRule="exact"/>
        <w:ind w:firstLine="480" w:firstLineChars="200"/>
        <w:rPr>
          <w:rFonts w:ascii="宋体" w:hAnsi="宋体"/>
          <w:sz w:val="24"/>
        </w:rPr>
      </w:pPr>
      <w:r>
        <w:rPr>
          <w:rFonts w:hint="eastAsia" w:ascii="宋体" w:hAnsi="宋体"/>
          <w:sz w:val="24"/>
        </w:rPr>
        <w:t>投标文件的计量单位应使用中华人民共和国法定计量单位，但招标文件另有规定的除外。</w:t>
      </w:r>
    </w:p>
    <w:p>
      <w:pPr>
        <w:pStyle w:val="5"/>
        <w:spacing w:before="156" w:after="156"/>
      </w:pPr>
      <w:bookmarkStart w:id="76" w:name="_Toc111853904"/>
      <w:r>
        <w:rPr>
          <w:rFonts w:hint="eastAsia"/>
        </w:rPr>
        <w:t>（二）投标文件的有效期</w:t>
      </w:r>
      <w:bookmarkEnd w:id="76"/>
    </w:p>
    <w:p>
      <w:pPr>
        <w:spacing w:line="500" w:lineRule="exact"/>
        <w:ind w:firstLine="480" w:firstLineChars="200"/>
        <w:rPr>
          <w:rFonts w:ascii="宋体" w:hAnsi="宋体"/>
          <w:sz w:val="24"/>
        </w:rPr>
      </w:pPr>
      <w:r>
        <w:rPr>
          <w:rFonts w:hint="eastAsia" w:ascii="宋体" w:hAnsi="宋体"/>
          <w:sz w:val="24"/>
        </w:rPr>
        <w:t>投标文件有效期为自开标之日起不少于90个日历日。如中标，延长至合同执行完毕时止。</w:t>
      </w:r>
    </w:p>
    <w:p>
      <w:pPr>
        <w:pStyle w:val="5"/>
        <w:spacing w:before="156" w:after="156"/>
      </w:pPr>
      <w:bookmarkStart w:id="77" w:name="_Toc111853905"/>
      <w:r>
        <w:rPr>
          <w:rFonts w:hint="eastAsia"/>
        </w:rPr>
        <w:t>（三）投标报价</w:t>
      </w:r>
      <w:bookmarkEnd w:id="77"/>
    </w:p>
    <w:p>
      <w:pPr>
        <w:spacing w:line="500" w:lineRule="exact"/>
        <w:ind w:firstLine="480" w:firstLineChars="200"/>
        <w:rPr>
          <w:rFonts w:ascii="宋体" w:hAnsi="宋体"/>
          <w:sz w:val="24"/>
        </w:rPr>
      </w:pPr>
      <w:r>
        <w:rPr>
          <w:rFonts w:hint="eastAsia" w:ascii="宋体" w:hAnsi="宋体"/>
          <w:sz w:val="24"/>
        </w:rPr>
        <w:t>投标报价是供应商响应采购项目要求的全部工作内容的价格体现，本项目采用全费用固定综合单价，包括项目实施过程中人工费、材料费、机械设备使用费、管理费、规费、税金、利润、招标代理费、造价费、保险等一切费用。不受国家政策性调价或原材料价格变化及外汇汇率变化的影响，不受市场价格变化的影响。中标的投标综合单价（除招标文件规定可以调整的外）在合同实施期间固定不变，任何可能影响合同价格的风险和因素应由投标人承担，投标人应在投标价格中予以充分考虑并报价。</w:t>
      </w:r>
    </w:p>
    <w:p>
      <w:pPr>
        <w:spacing w:line="500" w:lineRule="exact"/>
        <w:ind w:firstLine="480" w:firstLineChars="200"/>
        <w:rPr>
          <w:rFonts w:ascii="宋体" w:hAnsi="宋体"/>
          <w:sz w:val="24"/>
        </w:rPr>
      </w:pPr>
      <w:r>
        <w:rPr>
          <w:rFonts w:hint="eastAsia" w:ascii="宋体" w:hAnsi="宋体"/>
          <w:sz w:val="24"/>
        </w:rPr>
        <w:t>1．供应商在报价时应充分考虑所有可能发生的费用，招标文件未列明，而供应商认为应当计取的费用均应列入报价中。报价时不论是否计取，采购人均按已计取对待。</w:t>
      </w:r>
    </w:p>
    <w:p>
      <w:pPr>
        <w:spacing w:line="500" w:lineRule="exact"/>
        <w:ind w:firstLine="480" w:firstLineChars="200"/>
        <w:rPr>
          <w:rFonts w:ascii="宋体" w:hAnsi="宋体"/>
          <w:sz w:val="24"/>
        </w:rPr>
      </w:pPr>
      <w:r>
        <w:rPr>
          <w:rFonts w:hint="eastAsia" w:ascii="宋体" w:hAnsi="宋体"/>
          <w:sz w:val="24"/>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00" w:lineRule="exact"/>
        <w:ind w:firstLine="480" w:firstLineChars="200"/>
        <w:rPr>
          <w:rFonts w:ascii="宋体" w:hAnsi="宋体"/>
          <w:sz w:val="24"/>
        </w:rPr>
      </w:pPr>
      <w:r>
        <w:rPr>
          <w:rFonts w:hint="eastAsia" w:ascii="宋体" w:hAnsi="宋体"/>
          <w:sz w:val="24"/>
        </w:rPr>
        <w:t>3．投标报价货币：人民币；单位：元。</w:t>
      </w:r>
    </w:p>
    <w:p>
      <w:pPr>
        <w:spacing w:line="500" w:lineRule="exact"/>
        <w:ind w:firstLine="480" w:firstLineChars="200"/>
        <w:rPr>
          <w:rFonts w:ascii="宋体" w:hAnsi="宋体"/>
          <w:sz w:val="24"/>
        </w:rPr>
      </w:pPr>
      <w:r>
        <w:rPr>
          <w:rFonts w:hint="eastAsia" w:ascii="宋体" w:hAnsi="宋体"/>
          <w:sz w:val="24"/>
        </w:rPr>
        <w:t>4．投标文件报价出现前后不一致的，除招标文件另有规定外，按照下列规则修正：</w:t>
      </w:r>
    </w:p>
    <w:p>
      <w:pPr>
        <w:spacing w:line="500" w:lineRule="exact"/>
        <w:ind w:firstLine="480" w:firstLineChars="200"/>
        <w:rPr>
          <w:rFonts w:ascii="宋体" w:hAnsi="宋体"/>
          <w:sz w:val="24"/>
        </w:rPr>
      </w:pPr>
      <w:r>
        <w:rPr>
          <w:rFonts w:hint="eastAsia" w:ascii="宋体" w:hAnsi="宋体"/>
          <w:sz w:val="24"/>
        </w:rPr>
        <w:t>（1）投标文件中开标一览表内容与投标文件中其他位置相应内容表述不一致的，以开标一览表为准；</w:t>
      </w:r>
    </w:p>
    <w:p>
      <w:pPr>
        <w:spacing w:line="500" w:lineRule="exact"/>
        <w:ind w:firstLine="480" w:firstLineChars="200"/>
        <w:rPr>
          <w:rFonts w:ascii="宋体" w:hAnsi="宋体"/>
          <w:sz w:val="24"/>
        </w:rPr>
      </w:pPr>
      <w:r>
        <w:rPr>
          <w:rFonts w:hint="eastAsia" w:ascii="宋体" w:hAnsi="宋体"/>
          <w:sz w:val="24"/>
        </w:rPr>
        <w:t>（2）大写金额和小写金额不一致的，以大写金额为准；</w:t>
      </w:r>
    </w:p>
    <w:p>
      <w:pPr>
        <w:spacing w:line="500" w:lineRule="exact"/>
        <w:ind w:firstLine="480" w:firstLineChars="200"/>
        <w:rPr>
          <w:rFonts w:ascii="宋体" w:hAnsi="宋体"/>
          <w:sz w:val="24"/>
        </w:rPr>
      </w:pPr>
      <w:r>
        <w:rPr>
          <w:rFonts w:hint="eastAsia" w:ascii="宋体" w:hAnsi="宋体"/>
          <w:sz w:val="24"/>
        </w:rPr>
        <w:t>（3）单价金额小数点或者百分比有明显错位的，以开标一览表的总价为准，并修改单价；</w:t>
      </w:r>
    </w:p>
    <w:p>
      <w:pPr>
        <w:spacing w:line="500" w:lineRule="exact"/>
        <w:ind w:firstLine="480" w:firstLineChars="200"/>
        <w:rPr>
          <w:rFonts w:ascii="宋体" w:hAnsi="宋体"/>
          <w:sz w:val="24"/>
        </w:rPr>
      </w:pPr>
      <w:r>
        <w:rPr>
          <w:rFonts w:hint="eastAsia" w:ascii="宋体" w:hAnsi="宋体"/>
          <w:sz w:val="24"/>
        </w:rPr>
        <w:t>（4）总价金额与按单价汇总金额不一致的，以单价金额计算结果为准。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同时出现两种以上不一致的，按照前款规定的顺序修正。修正后的报价经供应商确认后产生约束力，供应商不确认的，其投标无效。</w:t>
      </w:r>
    </w:p>
    <w:p>
      <w:pPr>
        <w:spacing w:line="500" w:lineRule="exact"/>
        <w:ind w:firstLine="480" w:firstLineChars="200"/>
        <w:rPr>
          <w:rFonts w:ascii="宋体" w:hAnsi="宋体"/>
          <w:sz w:val="24"/>
        </w:rPr>
      </w:pPr>
      <w:r>
        <w:rPr>
          <w:rFonts w:hint="eastAsia" w:ascii="宋体" w:hAnsi="宋体"/>
          <w:sz w:val="24"/>
        </w:rPr>
        <w:t>5．因供应商对招标文件理解不透、误解、疏漏或对市场行情了解不清造成的后果和风险，均由供应商自己负责。</w:t>
      </w:r>
    </w:p>
    <w:p>
      <w:pPr>
        <w:pStyle w:val="5"/>
        <w:spacing w:before="156" w:after="156"/>
      </w:pPr>
      <w:bookmarkStart w:id="78" w:name="_Toc111853906"/>
      <w:r>
        <w:rPr>
          <w:rFonts w:hint="eastAsia"/>
        </w:rPr>
        <w:t>（四）投标文件的制作和签章</w:t>
      </w:r>
      <w:bookmarkEnd w:id="78"/>
    </w:p>
    <w:p>
      <w:pPr>
        <w:spacing w:line="500" w:lineRule="exact"/>
        <w:ind w:firstLine="480" w:firstLineChars="200"/>
        <w:rPr>
          <w:rFonts w:ascii="宋体" w:hAnsi="宋体"/>
          <w:sz w:val="24"/>
        </w:rPr>
      </w:pPr>
      <w:r>
        <w:rPr>
          <w:rFonts w:hint="eastAsia" w:ascii="宋体" w:hAnsi="宋体"/>
          <w:sz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00" w:lineRule="exact"/>
        <w:ind w:firstLine="480" w:firstLineChars="200"/>
        <w:rPr>
          <w:rFonts w:ascii="宋体" w:hAnsi="宋体"/>
          <w:sz w:val="24"/>
        </w:rPr>
      </w:pPr>
      <w:r>
        <w:rPr>
          <w:rFonts w:hint="eastAsia" w:ascii="宋体" w:hAnsi="宋体"/>
          <w:sz w:val="24"/>
        </w:rPr>
        <w:t>链接地址：</w:t>
      </w:r>
    </w:p>
    <w:p>
      <w:pPr>
        <w:spacing w:line="500" w:lineRule="exact"/>
        <w:ind w:firstLine="420" w:firstLineChars="200"/>
        <w:rPr>
          <w:rFonts w:ascii="宋体" w:hAnsi="宋体"/>
          <w:sz w:val="24"/>
        </w:rPr>
      </w:pPr>
      <w:r>
        <w:fldChar w:fldCharType="begin"/>
      </w:r>
      <w:r>
        <w:instrText xml:space="preserve"> HYPERLINK "http://sxggzyjy.xa.gov.cn/fwzn/004003/20181115/4d59c184-e8f6-4d5a-a416-c2f6b0601e66.html" </w:instrText>
      </w:r>
      <w:r>
        <w:fldChar w:fldCharType="separate"/>
      </w:r>
      <w:r>
        <w:rPr>
          <w:rStyle w:val="47"/>
          <w:rFonts w:hint="eastAsia" w:ascii="宋体" w:hAnsi="宋体"/>
          <w:sz w:val="24"/>
        </w:rPr>
        <w:t>http://sxggzyjy.xa.gov.cn/fwzn/004003/20181115/4d59c184-e8f6-4d5a-a416-c2f6b0601e66.html</w:t>
      </w:r>
      <w:r>
        <w:rPr>
          <w:rStyle w:val="47"/>
          <w:rFonts w:hint="eastAsia" w:ascii="宋体" w:hAnsi="宋体"/>
          <w:sz w:val="24"/>
        </w:rPr>
        <w:fldChar w:fldCharType="end"/>
      </w:r>
    </w:p>
    <w:p>
      <w:pPr>
        <w:spacing w:line="500" w:lineRule="exact"/>
        <w:ind w:firstLine="480" w:firstLineChars="200"/>
        <w:rPr>
          <w:rFonts w:ascii="宋体" w:hAnsi="宋体"/>
          <w:sz w:val="24"/>
        </w:rPr>
      </w:pPr>
      <w:r>
        <w:rPr>
          <w:rFonts w:hint="eastAsia" w:ascii="宋体" w:hAnsi="宋体"/>
          <w:sz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00" w:lineRule="exact"/>
        <w:ind w:firstLine="482" w:firstLineChars="200"/>
        <w:rPr>
          <w:rFonts w:ascii="宋体" w:hAnsi="宋体"/>
          <w:b/>
          <w:sz w:val="24"/>
        </w:rPr>
      </w:pPr>
      <w:r>
        <w:rPr>
          <w:rFonts w:hint="eastAsia" w:ascii="宋体" w:hAnsi="宋体"/>
          <w:b/>
          <w:sz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00" w:lineRule="exact"/>
        <w:ind w:firstLine="480" w:firstLineChars="200"/>
        <w:rPr>
          <w:rFonts w:ascii="宋体" w:hAnsi="宋体"/>
          <w:sz w:val="24"/>
        </w:rPr>
      </w:pPr>
      <w:r>
        <w:rPr>
          <w:rFonts w:hint="eastAsia" w:ascii="宋体" w:hAnsi="宋体"/>
          <w:sz w:val="24"/>
        </w:rPr>
        <w:t>3．电子投标文件制作过程中，需要法定代表人签字或盖章的地方，请使用“法人CA锁”进行签章；需要加盖供应商公章的地方，请使用“企业CA锁”进行签章。</w:t>
      </w:r>
    </w:p>
    <w:p>
      <w:pPr>
        <w:spacing w:line="500" w:lineRule="exact"/>
        <w:ind w:firstLine="480" w:firstLineChars="200"/>
        <w:rPr>
          <w:rFonts w:ascii="宋体" w:hAnsi="宋体"/>
          <w:sz w:val="24"/>
        </w:rPr>
      </w:pPr>
      <w:r>
        <w:rPr>
          <w:rFonts w:hint="eastAsia" w:ascii="宋体" w:hAnsi="宋体"/>
          <w:sz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5"/>
        <w:spacing w:before="156" w:after="156"/>
      </w:pPr>
      <w:bookmarkStart w:id="79" w:name="_Toc111853907"/>
      <w:r>
        <w:rPr>
          <w:rFonts w:hint="eastAsia"/>
        </w:rPr>
        <w:t>（五）投标文件的加密和提交</w:t>
      </w:r>
      <w:bookmarkEnd w:id="79"/>
    </w:p>
    <w:p>
      <w:pPr>
        <w:spacing w:line="500" w:lineRule="exact"/>
        <w:ind w:firstLine="480" w:firstLineChars="200"/>
        <w:rPr>
          <w:rFonts w:ascii="宋体" w:hAnsi="宋体"/>
          <w:sz w:val="24"/>
        </w:rPr>
      </w:pPr>
      <w:r>
        <w:rPr>
          <w:rFonts w:hint="eastAsia" w:ascii="宋体" w:hAnsi="宋体"/>
          <w:sz w:val="24"/>
        </w:rPr>
        <w:t>1．在生成电子投标文件时，需要使用CA锁对投标文件进行加密。</w:t>
      </w:r>
    </w:p>
    <w:p>
      <w:pPr>
        <w:spacing w:line="500" w:lineRule="exact"/>
        <w:ind w:firstLine="480" w:firstLineChars="200"/>
        <w:rPr>
          <w:rFonts w:ascii="宋体" w:hAnsi="宋体"/>
          <w:sz w:val="24"/>
        </w:rPr>
      </w:pPr>
      <w:r>
        <w:rPr>
          <w:rFonts w:hint="eastAsia" w:ascii="宋体" w:hAnsi="宋体"/>
          <w:sz w:val="24"/>
        </w:rPr>
        <w:t>注意：加密投标文件和开标时解密投标文件应当使用同一CA，否则将会导致解密失败。</w:t>
      </w:r>
    </w:p>
    <w:p>
      <w:pPr>
        <w:spacing w:line="500" w:lineRule="exact"/>
        <w:ind w:firstLine="480" w:firstLineChars="200"/>
        <w:rPr>
          <w:rFonts w:ascii="宋体" w:hAnsi="宋体"/>
          <w:sz w:val="24"/>
        </w:rPr>
      </w:pPr>
      <w:r>
        <w:rPr>
          <w:rFonts w:hint="eastAsia" w:ascii="宋体" w:hAnsi="宋体"/>
          <w:sz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00" w:lineRule="exact"/>
        <w:ind w:firstLine="480" w:firstLineChars="200"/>
        <w:rPr>
          <w:rFonts w:ascii="宋体" w:hAnsi="宋体"/>
          <w:sz w:val="24"/>
        </w:rPr>
      </w:pPr>
      <w:r>
        <w:rPr>
          <w:rFonts w:hint="eastAsia" w:ascii="宋体" w:hAnsi="宋体"/>
          <w:sz w:val="24"/>
        </w:rPr>
        <w:t>3．上传文件有误或需要重新提交的，可先撤销已经上传的文件，然后重新上传新文件。</w:t>
      </w:r>
    </w:p>
    <w:p>
      <w:pPr>
        <w:pStyle w:val="5"/>
        <w:spacing w:before="156" w:after="156"/>
      </w:pPr>
      <w:bookmarkStart w:id="80" w:name="_Toc111853908"/>
      <w:r>
        <w:rPr>
          <w:rFonts w:hint="eastAsia"/>
        </w:rPr>
        <w:t>（六）投标文件的补充、修改和撤回</w:t>
      </w:r>
      <w:bookmarkEnd w:id="80"/>
    </w:p>
    <w:p>
      <w:pPr>
        <w:spacing w:line="500" w:lineRule="exact"/>
        <w:ind w:firstLine="480" w:firstLineChars="200"/>
        <w:rPr>
          <w:rFonts w:ascii="宋体" w:hAnsi="宋体"/>
          <w:sz w:val="24"/>
        </w:rPr>
      </w:pPr>
      <w:r>
        <w:rPr>
          <w:rFonts w:hint="eastAsia" w:ascii="宋体" w:hAnsi="宋体"/>
          <w:sz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00" w:lineRule="exact"/>
        <w:ind w:firstLine="480" w:firstLineChars="200"/>
        <w:rPr>
          <w:rFonts w:ascii="宋体" w:hAnsi="宋体"/>
          <w:sz w:val="24"/>
        </w:rPr>
      </w:pPr>
      <w:r>
        <w:rPr>
          <w:rFonts w:hint="eastAsia" w:ascii="宋体" w:hAnsi="宋体"/>
          <w:sz w:val="24"/>
        </w:rPr>
        <w:t>2．供应商在提交投标文件截止时间后，撤回投标文件的，投标保证金不予退还。</w:t>
      </w:r>
    </w:p>
    <w:p>
      <w:pPr>
        <w:spacing w:line="500" w:lineRule="exact"/>
        <w:ind w:firstLine="480" w:firstLineChars="200"/>
        <w:rPr>
          <w:rFonts w:ascii="宋体" w:hAnsi="宋体"/>
          <w:sz w:val="24"/>
        </w:rPr>
      </w:pPr>
      <w:r>
        <w:rPr>
          <w:rFonts w:hint="eastAsia" w:ascii="宋体" w:hAnsi="宋体"/>
          <w:sz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5"/>
        <w:spacing w:before="156" w:after="156"/>
      </w:pPr>
      <w:bookmarkStart w:id="81" w:name="_Toc111853909"/>
      <w:r>
        <w:rPr>
          <w:rFonts w:hint="eastAsia"/>
        </w:rPr>
        <w:t>（七）关于投标文件的雷同性分析</w:t>
      </w:r>
      <w:bookmarkEnd w:id="81"/>
    </w:p>
    <w:p>
      <w:pPr>
        <w:spacing w:line="500" w:lineRule="exact"/>
        <w:ind w:firstLine="480" w:firstLineChars="200"/>
        <w:rPr>
          <w:rFonts w:ascii="宋体" w:hAnsi="宋体"/>
          <w:sz w:val="24"/>
        </w:rPr>
      </w:pPr>
      <w:r>
        <w:rPr>
          <w:rFonts w:hint="eastAsia" w:ascii="宋体" w:hAnsi="宋体"/>
          <w:sz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00" w:lineRule="exact"/>
        <w:ind w:firstLine="480" w:firstLineChars="200"/>
        <w:rPr>
          <w:rFonts w:ascii="宋体" w:hAnsi="宋体"/>
          <w:sz w:val="24"/>
        </w:rPr>
      </w:pPr>
      <w:r>
        <w:rPr>
          <w:rFonts w:hint="eastAsia" w:ascii="宋体" w:hAnsi="宋体"/>
          <w:sz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00" w:lineRule="exact"/>
        <w:ind w:firstLine="480" w:firstLineChars="200"/>
        <w:rPr>
          <w:rFonts w:ascii="宋体" w:hAnsi="宋体"/>
          <w:sz w:val="24"/>
        </w:rPr>
      </w:pPr>
      <w:r>
        <w:rPr>
          <w:rFonts w:hint="eastAsia" w:ascii="宋体" w:hAnsi="宋体"/>
          <w:sz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00" w:lineRule="exact"/>
        <w:ind w:firstLine="480" w:firstLineChars="200"/>
        <w:rPr>
          <w:rFonts w:ascii="宋体" w:hAnsi="宋体"/>
          <w:sz w:val="24"/>
        </w:rPr>
      </w:pPr>
      <w:r>
        <w:rPr>
          <w:rFonts w:hint="eastAsia" w:ascii="宋体" w:hAnsi="宋体"/>
          <w:sz w:val="24"/>
        </w:rPr>
        <w:t>若“文件创建标识码”一致，则表示不同投标供应商使用投标文件制作软件时，使用同一源工程文件，该情形建议由评标委员会结合项目情况综合判定。</w:t>
      </w:r>
    </w:p>
    <w:p>
      <w:pPr>
        <w:pStyle w:val="5"/>
        <w:spacing w:before="156" w:after="156"/>
      </w:pPr>
      <w:bookmarkStart w:id="82" w:name="_Toc111853910"/>
      <w:r>
        <w:rPr>
          <w:rFonts w:hint="eastAsia"/>
        </w:rPr>
        <w:t>（八）投标文件被拒绝接收的情形</w:t>
      </w:r>
      <w:bookmarkEnd w:id="82"/>
    </w:p>
    <w:p>
      <w:pPr>
        <w:spacing w:line="500" w:lineRule="exact"/>
        <w:ind w:firstLine="480" w:firstLineChars="200"/>
        <w:rPr>
          <w:rFonts w:ascii="宋体" w:hAnsi="宋体"/>
          <w:sz w:val="24"/>
        </w:rPr>
      </w:pPr>
      <w:r>
        <w:rPr>
          <w:rFonts w:hint="eastAsia" w:ascii="宋体" w:hAnsi="宋体"/>
          <w:sz w:val="24"/>
        </w:rPr>
        <w:t>1．误投的或采用旧版电子招标文件制作的；</w:t>
      </w:r>
    </w:p>
    <w:p>
      <w:pPr>
        <w:spacing w:line="500" w:lineRule="exact"/>
        <w:ind w:firstLine="480" w:firstLineChars="200"/>
        <w:rPr>
          <w:rFonts w:ascii="宋体" w:hAnsi="宋体"/>
          <w:sz w:val="24"/>
        </w:rPr>
      </w:pPr>
      <w:r>
        <w:rPr>
          <w:rFonts w:hint="eastAsia" w:ascii="宋体" w:hAnsi="宋体"/>
          <w:sz w:val="24"/>
        </w:rPr>
        <w:t>2．逾期提交电子投标文件的。</w:t>
      </w:r>
    </w:p>
    <w:p>
      <w:pPr>
        <w:spacing w:line="500" w:lineRule="exact"/>
        <w:ind w:firstLine="480" w:firstLineChars="200"/>
        <w:rPr>
          <w:rFonts w:ascii="宋体" w:hAnsi="宋体"/>
          <w:sz w:val="24"/>
        </w:rPr>
      </w:pPr>
    </w:p>
    <w:p>
      <w:pPr>
        <w:pStyle w:val="4"/>
        <w:jc w:val="center"/>
        <w:rPr>
          <w:rFonts w:ascii="宋体" w:hAnsi="宋体" w:eastAsia="宋体" w:cs="宋体"/>
          <w:sz w:val="30"/>
          <w:szCs w:val="30"/>
        </w:rPr>
      </w:pPr>
      <w:bookmarkStart w:id="83" w:name="_Toc111853911"/>
      <w:bookmarkStart w:id="84" w:name="_Toc7404"/>
      <w:bookmarkStart w:id="85" w:name="_Toc5907"/>
      <w:r>
        <w:rPr>
          <w:rFonts w:hint="eastAsia" w:ascii="宋体" w:hAnsi="宋体" w:eastAsia="宋体" w:cs="宋体"/>
          <w:sz w:val="30"/>
          <w:szCs w:val="30"/>
        </w:rPr>
        <w:t>五、开标程序</w:t>
      </w:r>
      <w:bookmarkEnd w:id="83"/>
      <w:bookmarkEnd w:id="84"/>
      <w:bookmarkEnd w:id="85"/>
    </w:p>
    <w:p>
      <w:pPr>
        <w:spacing w:line="500" w:lineRule="exact"/>
        <w:ind w:firstLine="480" w:firstLineChars="200"/>
        <w:rPr>
          <w:rFonts w:ascii="宋体" w:hAnsi="宋体"/>
          <w:sz w:val="24"/>
        </w:rPr>
      </w:pPr>
      <w:r>
        <w:rPr>
          <w:rFonts w:hint="eastAsia" w:ascii="宋体" w:hAnsi="宋体"/>
          <w:sz w:val="24"/>
        </w:rPr>
        <w:t>开标工作由采购代理机构组织实施，整个过程受同级政府采购监管机构的监督、管理。</w:t>
      </w:r>
    </w:p>
    <w:p>
      <w:pPr>
        <w:pStyle w:val="5"/>
        <w:spacing w:before="156" w:after="156"/>
      </w:pPr>
      <w:bookmarkStart w:id="86" w:name="_Toc111853912"/>
      <w:r>
        <w:rPr>
          <w:rFonts w:hint="eastAsia"/>
        </w:rPr>
        <w:t>（一）“不见面开标”基本流程</w:t>
      </w:r>
      <w:bookmarkEnd w:id="86"/>
    </w:p>
    <w:p>
      <w:pPr>
        <w:spacing w:line="500" w:lineRule="exact"/>
        <w:ind w:firstLine="480" w:firstLineChars="200"/>
        <w:rPr>
          <w:rFonts w:ascii="宋体" w:hAnsi="宋体"/>
          <w:sz w:val="24"/>
        </w:rPr>
      </w:pPr>
      <w:r>
        <w:rPr>
          <w:rFonts w:hint="eastAsia" w:ascii="宋体" w:hAnsi="宋体"/>
          <w:sz w:val="24"/>
        </w:rPr>
        <w:t>“不见面开标”是依托政府采购云平台实现的供应商在线参与开标的一种组织形式。供应商无需抵达开标现场，即可在线实现开标、解密、澄清等操作。</w:t>
      </w:r>
    </w:p>
    <w:p>
      <w:pPr>
        <w:spacing w:line="500" w:lineRule="exact"/>
        <w:ind w:firstLine="480" w:firstLineChars="200"/>
        <w:rPr>
          <w:rFonts w:ascii="宋体" w:hAnsi="宋体"/>
          <w:sz w:val="24"/>
        </w:rPr>
      </w:pPr>
      <w:r>
        <w:rPr>
          <w:rFonts w:hint="eastAsia" w:ascii="宋体" w:hAnsi="宋体"/>
          <w:sz w:val="24"/>
        </w:rPr>
        <w:t>1．供应商登录：开标前，请各供应商至少提前半小时登录西安市公共资源交易平台〖首页·〉不见面开标〗系统。</w:t>
      </w:r>
    </w:p>
    <w:p>
      <w:pPr>
        <w:spacing w:line="500" w:lineRule="exact"/>
        <w:ind w:firstLine="480" w:firstLineChars="200"/>
        <w:rPr>
          <w:rFonts w:ascii="宋体" w:hAnsi="宋体"/>
          <w:sz w:val="24"/>
        </w:rPr>
      </w:pPr>
      <w:r>
        <w:rPr>
          <w:rFonts w:hint="eastAsia" w:ascii="宋体" w:hAnsi="宋体"/>
          <w:sz w:val="24"/>
        </w:rPr>
        <w:t>2．主持人宣布开标：提交投标文件截止时间过后，系统将不再接收任何投标文件。</w:t>
      </w:r>
    </w:p>
    <w:p>
      <w:pPr>
        <w:spacing w:line="500" w:lineRule="exact"/>
        <w:ind w:firstLine="480" w:firstLineChars="200"/>
        <w:rPr>
          <w:rFonts w:ascii="宋体" w:hAnsi="宋体"/>
          <w:sz w:val="24"/>
        </w:rPr>
      </w:pPr>
      <w:r>
        <w:rPr>
          <w:rFonts w:hint="eastAsia" w:ascii="宋体" w:hAnsi="宋体"/>
          <w:sz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00" w:lineRule="exact"/>
        <w:ind w:firstLine="480" w:firstLineChars="200"/>
        <w:rPr>
          <w:rFonts w:ascii="宋体" w:hAnsi="宋体"/>
          <w:sz w:val="24"/>
        </w:rPr>
      </w:pPr>
      <w:r>
        <w:rPr>
          <w:rFonts w:hint="eastAsia" w:ascii="宋体" w:hAnsi="宋体"/>
          <w:sz w:val="24"/>
        </w:rPr>
        <w:t>4．唱标：对于公开招标项目，“不见面开标”系统将自动展示供应商名单及其投标报价。</w:t>
      </w:r>
    </w:p>
    <w:p>
      <w:pPr>
        <w:spacing w:line="500" w:lineRule="exact"/>
        <w:ind w:firstLine="480" w:firstLineChars="200"/>
        <w:rPr>
          <w:rFonts w:ascii="宋体" w:hAnsi="宋体"/>
          <w:sz w:val="24"/>
        </w:rPr>
      </w:pPr>
      <w:r>
        <w:rPr>
          <w:rFonts w:hint="eastAsia" w:ascii="宋体" w:hAnsi="宋体"/>
          <w:sz w:val="24"/>
        </w:rPr>
        <w:t>5．开标结束：进入评审环节。供应商请保持在线，评审期间评标委员会可能会要求供应商做相应的澄清。因供应商擅自离席造成的不利后果，由供应商自行承担。</w:t>
      </w:r>
    </w:p>
    <w:p>
      <w:pPr>
        <w:spacing w:line="500" w:lineRule="exact"/>
        <w:ind w:firstLine="480" w:firstLineChars="200"/>
        <w:rPr>
          <w:rFonts w:ascii="宋体" w:hAnsi="宋体"/>
          <w:sz w:val="24"/>
        </w:rPr>
      </w:pPr>
      <w:r>
        <w:rPr>
          <w:rFonts w:hint="eastAsia" w:ascii="宋体" w:hAnsi="宋体"/>
          <w:sz w:val="24"/>
        </w:rPr>
        <w:t>“不见面开标”系统操作说明：详见西安市公共资源交易平台〖首页·〉服务指南·〉下载专区〗中的《西安公共资源交易不见面开标大厅供应商操作手册》。</w:t>
      </w:r>
    </w:p>
    <w:p>
      <w:pPr>
        <w:pStyle w:val="2"/>
        <w:spacing w:line="500" w:lineRule="exact"/>
        <w:rPr>
          <w:rFonts w:ascii="宋体" w:hAnsi="宋体"/>
          <w:sz w:val="24"/>
          <w:szCs w:val="24"/>
        </w:rPr>
      </w:pPr>
      <w:r>
        <w:rPr>
          <w:rFonts w:hint="eastAsia" w:ascii="宋体" w:hAnsi="宋体"/>
          <w:sz w:val="24"/>
          <w:szCs w:val="24"/>
        </w:rPr>
        <w:t>链接地址：</w:t>
      </w:r>
    </w:p>
    <w:p>
      <w:pPr>
        <w:pStyle w:val="2"/>
        <w:spacing w:line="500" w:lineRule="exact"/>
        <w:rPr>
          <w:rFonts w:ascii="宋体" w:hAnsi="宋体"/>
          <w:sz w:val="24"/>
          <w:szCs w:val="24"/>
        </w:rPr>
      </w:pPr>
      <w:r>
        <w:rPr>
          <w:rFonts w:ascii="宋体" w:hAnsi="宋体"/>
          <w:sz w:val="24"/>
          <w:szCs w:val="24"/>
        </w:rPr>
        <w:t>http://sxggzyjy.xa.gov.cn/fwzn/004003/20200426/bc8b2c1e-abe2-4168-913c-68ff93345faf.html</w:t>
      </w:r>
    </w:p>
    <w:p>
      <w:pPr>
        <w:pStyle w:val="5"/>
        <w:spacing w:before="156" w:after="156"/>
      </w:pPr>
      <w:bookmarkStart w:id="87" w:name="_Toc111853913"/>
      <w:r>
        <w:rPr>
          <w:rFonts w:hint="eastAsia"/>
        </w:rPr>
        <w:t>（二）开标环节投标文件视为无效的情形</w:t>
      </w:r>
      <w:bookmarkEnd w:id="87"/>
    </w:p>
    <w:p>
      <w:pPr>
        <w:spacing w:line="500" w:lineRule="exact"/>
        <w:ind w:firstLine="480" w:firstLineChars="200"/>
        <w:rPr>
          <w:rFonts w:ascii="宋体" w:hAnsi="宋体"/>
          <w:sz w:val="24"/>
        </w:rPr>
      </w:pPr>
      <w:r>
        <w:rPr>
          <w:rFonts w:hint="eastAsia" w:ascii="宋体" w:hAnsi="宋体"/>
          <w:sz w:val="24"/>
        </w:rPr>
        <w:t>1．供应商放弃或拒绝对电子投标文件进行解密的；</w:t>
      </w:r>
    </w:p>
    <w:p>
      <w:pPr>
        <w:spacing w:line="500" w:lineRule="exact"/>
        <w:ind w:firstLine="480" w:firstLineChars="200"/>
        <w:rPr>
          <w:rFonts w:ascii="宋体" w:hAnsi="宋体"/>
          <w:sz w:val="24"/>
        </w:rPr>
      </w:pPr>
      <w:r>
        <w:rPr>
          <w:rFonts w:hint="eastAsia" w:ascii="宋体" w:hAnsi="宋体"/>
          <w:sz w:val="24"/>
        </w:rPr>
        <w:t>2．因供应商自身原因，导致未在规定的解密时限内完整解密的，如忘带CA锁、或携带的CA锁与加密文件的CA锁不同、或使用旧版招标文件编制投标文件等情形；</w:t>
      </w:r>
    </w:p>
    <w:p>
      <w:pPr>
        <w:spacing w:line="500" w:lineRule="exact"/>
        <w:ind w:firstLine="480" w:firstLineChars="200"/>
        <w:rPr>
          <w:rFonts w:ascii="宋体" w:hAnsi="宋体"/>
          <w:sz w:val="24"/>
        </w:rPr>
      </w:pPr>
      <w:r>
        <w:rPr>
          <w:rFonts w:hint="eastAsia" w:ascii="宋体" w:hAnsi="宋体"/>
          <w:sz w:val="24"/>
        </w:rPr>
        <w:t>3．上传的电子投标文件无法正常打开的；</w:t>
      </w:r>
    </w:p>
    <w:p>
      <w:pPr>
        <w:spacing w:line="500" w:lineRule="exact"/>
        <w:ind w:firstLine="480" w:firstLineChars="200"/>
        <w:rPr>
          <w:rFonts w:ascii="宋体" w:hAnsi="宋体"/>
          <w:sz w:val="24"/>
        </w:rPr>
      </w:pPr>
      <w:r>
        <w:rPr>
          <w:rFonts w:hint="eastAsia" w:ascii="宋体" w:hAnsi="宋体"/>
          <w:sz w:val="24"/>
        </w:rPr>
        <w:t>4．政府采购法律法规规定的其他无效情形。</w:t>
      </w:r>
    </w:p>
    <w:p>
      <w:pPr>
        <w:pStyle w:val="5"/>
        <w:spacing w:before="156" w:after="156"/>
      </w:pPr>
      <w:bookmarkStart w:id="88" w:name="_Toc111853914"/>
      <w:r>
        <w:rPr>
          <w:rFonts w:hint="eastAsia"/>
        </w:rPr>
        <w:t>（三）突发状况的应急处置</w:t>
      </w:r>
      <w:bookmarkEnd w:id="88"/>
    </w:p>
    <w:p>
      <w:pPr>
        <w:spacing w:line="500" w:lineRule="exact"/>
        <w:ind w:firstLine="480" w:firstLineChars="200"/>
        <w:rPr>
          <w:rFonts w:ascii="宋体" w:hAnsi="宋体"/>
          <w:sz w:val="24"/>
        </w:rPr>
      </w:pPr>
      <w:r>
        <w:rPr>
          <w:rFonts w:hint="eastAsia" w:ascii="宋体" w:hAnsi="宋体"/>
          <w:sz w:val="24"/>
        </w:rPr>
        <w:t>在开评标过程中，如因停电、断网、电子化系统故障等特殊原因导致电子化开、评标工作无法正常进行时，采购代理机构将及时汇报政府采购监管部门，并等待或中止后续活动。</w:t>
      </w:r>
    </w:p>
    <w:p>
      <w:pPr>
        <w:pStyle w:val="4"/>
        <w:jc w:val="center"/>
        <w:rPr>
          <w:rFonts w:ascii="宋体" w:hAnsi="宋体" w:eastAsia="宋体" w:cs="宋体"/>
          <w:sz w:val="30"/>
          <w:szCs w:val="30"/>
        </w:rPr>
      </w:pPr>
      <w:bookmarkStart w:id="89" w:name="_Toc23661"/>
      <w:bookmarkStart w:id="90" w:name="_Toc17183"/>
      <w:bookmarkStart w:id="91" w:name="_Toc111853915"/>
      <w:r>
        <w:rPr>
          <w:rFonts w:hint="eastAsia" w:ascii="宋体" w:hAnsi="宋体" w:eastAsia="宋体" w:cs="宋体"/>
          <w:sz w:val="30"/>
          <w:szCs w:val="30"/>
        </w:rPr>
        <w:t>六、资格审查</w:t>
      </w:r>
      <w:bookmarkEnd w:id="89"/>
      <w:bookmarkEnd w:id="90"/>
      <w:bookmarkEnd w:id="91"/>
    </w:p>
    <w:p>
      <w:pPr>
        <w:spacing w:line="500" w:lineRule="exact"/>
        <w:ind w:firstLine="480" w:firstLineChars="200"/>
        <w:rPr>
          <w:rFonts w:ascii="宋体" w:hAnsi="宋体"/>
          <w:sz w:val="24"/>
        </w:rPr>
      </w:pPr>
      <w:r>
        <w:rPr>
          <w:rFonts w:hint="eastAsia" w:ascii="宋体" w:hAnsi="宋体"/>
          <w:sz w:val="24"/>
        </w:rPr>
        <w:t>开标结束后，由采购人委派的资格审查小组（由至少3人以上单数组成，采购人应出具书面授权函，并指定组长）按照《政府采购货物和服务招标投标管理办法》（财政部第87号令）有关规定，对投标文件中的供应商资格证明文件及信用记录进行审查。详见第三章评标办法中“资格性审查表”。</w:t>
      </w:r>
    </w:p>
    <w:p>
      <w:pPr>
        <w:spacing w:line="500" w:lineRule="exact"/>
        <w:ind w:firstLine="480" w:firstLineChars="200"/>
        <w:rPr>
          <w:rFonts w:ascii="宋体" w:hAnsi="宋体"/>
          <w:sz w:val="24"/>
        </w:rPr>
      </w:pPr>
      <w:r>
        <w:rPr>
          <w:rFonts w:hint="eastAsia" w:ascii="宋体" w:hAnsi="宋体"/>
          <w:sz w:val="24"/>
        </w:rPr>
        <w:t>供应商提供的资格证明文件缺少任何一项或有任何一项不满足，都将被视为无效投标。供应商所提供的资格证明文件应图文清晰、易于辨识，否则由此带来的不利后果由供应商自行承担。</w:t>
      </w:r>
    </w:p>
    <w:p>
      <w:pPr>
        <w:spacing w:line="500" w:lineRule="exact"/>
        <w:ind w:firstLine="480" w:firstLineChars="200"/>
        <w:rPr>
          <w:rFonts w:ascii="宋体" w:hAnsi="宋体"/>
          <w:sz w:val="24"/>
        </w:rPr>
      </w:pPr>
      <w:r>
        <w:rPr>
          <w:rFonts w:hint="eastAsia" w:ascii="宋体" w:hAnsi="宋体"/>
          <w:sz w:val="24"/>
        </w:rPr>
        <w:t>资格审查结束后，资格审查小组成员应当对审查结果进行签字确认；对未通过资格审查的供应商，资格审查小组应当场告知其未通过的原因。</w:t>
      </w:r>
    </w:p>
    <w:p>
      <w:pPr>
        <w:spacing w:line="500" w:lineRule="exact"/>
        <w:ind w:firstLine="480" w:firstLineChars="200"/>
        <w:rPr>
          <w:rFonts w:ascii="宋体" w:hAnsi="宋体"/>
          <w:sz w:val="24"/>
        </w:rPr>
      </w:pPr>
      <w:r>
        <w:rPr>
          <w:rFonts w:hint="eastAsia" w:ascii="宋体" w:hAnsi="宋体"/>
          <w:sz w:val="24"/>
        </w:rPr>
        <w:t>合格供应商不足3家的，不得评标。</w:t>
      </w:r>
    </w:p>
    <w:p>
      <w:pPr>
        <w:pStyle w:val="4"/>
        <w:jc w:val="center"/>
        <w:rPr>
          <w:rFonts w:ascii="宋体" w:hAnsi="宋体" w:eastAsia="宋体" w:cs="宋体"/>
          <w:sz w:val="30"/>
          <w:szCs w:val="30"/>
        </w:rPr>
      </w:pPr>
      <w:bookmarkStart w:id="92" w:name="_Toc4045"/>
      <w:bookmarkStart w:id="93" w:name="_Toc111853916"/>
      <w:bookmarkStart w:id="94" w:name="_Toc30835"/>
      <w:r>
        <w:rPr>
          <w:rFonts w:hint="eastAsia" w:ascii="宋体" w:hAnsi="宋体" w:eastAsia="宋体" w:cs="宋体"/>
          <w:sz w:val="30"/>
          <w:szCs w:val="30"/>
        </w:rPr>
        <w:t>七、评标</w:t>
      </w:r>
      <w:bookmarkEnd w:id="92"/>
      <w:bookmarkEnd w:id="93"/>
      <w:bookmarkEnd w:id="94"/>
    </w:p>
    <w:p>
      <w:pPr>
        <w:pStyle w:val="5"/>
        <w:spacing w:before="156" w:after="156"/>
      </w:pPr>
      <w:bookmarkStart w:id="95" w:name="_Toc111853917"/>
      <w:r>
        <w:rPr>
          <w:rFonts w:hint="eastAsia"/>
        </w:rPr>
        <w:t>（一）评标方法</w:t>
      </w:r>
      <w:bookmarkEnd w:id="95"/>
    </w:p>
    <w:bookmarkEnd w:id="49"/>
    <w:bookmarkEnd w:id="50"/>
    <w:bookmarkEnd w:id="51"/>
    <w:bookmarkEnd w:id="52"/>
    <w:p>
      <w:pPr>
        <w:widowControl/>
        <w:shd w:val="clear" w:color="auto" w:fill="FFFFFF"/>
        <w:spacing w:line="360" w:lineRule="auto"/>
        <w:ind w:firstLine="480" w:firstLineChars="200"/>
        <w:jc w:val="left"/>
        <w:rPr>
          <w:rFonts w:ascii="宋体" w:hAnsi="宋体"/>
          <w:kern w:val="0"/>
          <w:sz w:val="24"/>
        </w:rPr>
      </w:pPr>
      <w:r>
        <w:rPr>
          <w:rFonts w:hint="eastAsia" w:ascii="宋体" w:hAnsi="宋体"/>
          <w:kern w:val="0"/>
          <w:sz w:val="24"/>
        </w:rPr>
        <w:t>1. 评标由</w:t>
      </w:r>
      <w:r>
        <w:rPr>
          <w:rFonts w:hint="eastAsia" w:ascii="宋体" w:hAnsi="宋体" w:cs="宋体"/>
          <w:kern w:val="0"/>
          <w:sz w:val="24"/>
        </w:rPr>
        <w:t>采购代理机构依法组建的评标委员会负责。评标委员会组成详见投标人须知前附表</w:t>
      </w:r>
      <w:r>
        <w:rPr>
          <w:rFonts w:ascii="宋体" w:hAnsi="宋体"/>
          <w:spacing w:val="6"/>
          <w:kern w:val="0"/>
          <w:sz w:val="24"/>
        </w:rPr>
        <w:t>。</w:t>
      </w:r>
      <w:r>
        <w:rPr>
          <w:rFonts w:hint="eastAsia" w:ascii="宋体" w:hAnsi="宋体"/>
          <w:spacing w:val="6"/>
          <w:kern w:val="0"/>
          <w:sz w:val="24"/>
        </w:rPr>
        <w:t>评审</w:t>
      </w:r>
      <w:r>
        <w:rPr>
          <w:rFonts w:hint="eastAsia" w:ascii="宋体" w:hAnsi="宋体"/>
          <w:kern w:val="0"/>
          <w:sz w:val="24"/>
        </w:rPr>
        <w:t>专家人选在省级财政部门设立的政府采购评审专家库中随机抽取。</w:t>
      </w:r>
    </w:p>
    <w:p>
      <w:pPr>
        <w:widowControl/>
        <w:shd w:val="clear" w:color="auto" w:fill="FFFFFF"/>
        <w:spacing w:line="360" w:lineRule="auto"/>
        <w:ind w:firstLine="480" w:firstLineChars="200"/>
        <w:jc w:val="left"/>
        <w:rPr>
          <w:bCs/>
          <w:sz w:val="24"/>
        </w:rPr>
      </w:pPr>
      <w:r>
        <w:rPr>
          <w:rFonts w:hAnsi="Helvetica"/>
          <w:bCs/>
          <w:sz w:val="24"/>
        </w:rPr>
        <w:t>对技术复杂、专业性强的采购项目，通过随机方式难以确定合适评</w:t>
      </w:r>
      <w:r>
        <w:rPr>
          <w:rFonts w:hint="eastAsia" w:hAnsi="Helvetica"/>
          <w:bCs/>
          <w:sz w:val="24"/>
        </w:rPr>
        <w:t>审</w:t>
      </w:r>
      <w:r>
        <w:rPr>
          <w:rFonts w:hAnsi="Helvetica"/>
          <w:bCs/>
          <w:sz w:val="24"/>
        </w:rPr>
        <w:t>专家的，经主管预算单位同意，采购人</w:t>
      </w:r>
      <w:r>
        <w:rPr>
          <w:rFonts w:hint="eastAsia" w:hAnsi="Helvetica"/>
          <w:bCs/>
          <w:sz w:val="24"/>
        </w:rPr>
        <w:t>或采购代理机构</w:t>
      </w:r>
      <w:r>
        <w:rPr>
          <w:rFonts w:hAnsi="Helvetica"/>
          <w:bCs/>
          <w:sz w:val="24"/>
        </w:rPr>
        <w:t>可以自行选定相应专业领域的评</w:t>
      </w:r>
      <w:r>
        <w:rPr>
          <w:rFonts w:hint="eastAsia" w:hAnsi="Helvetica"/>
          <w:bCs/>
          <w:sz w:val="24"/>
        </w:rPr>
        <w:t>审</w:t>
      </w:r>
      <w:r>
        <w:rPr>
          <w:rFonts w:hAnsi="Helvetica"/>
          <w:bCs/>
          <w:sz w:val="24"/>
        </w:rPr>
        <w:t>专家。</w:t>
      </w:r>
    </w:p>
    <w:p>
      <w:pPr>
        <w:spacing w:line="360" w:lineRule="auto"/>
        <w:ind w:left="120" w:leftChars="57" w:firstLine="360" w:firstLineChars="150"/>
        <w:rPr>
          <w:rFonts w:ascii="宋体" w:hAnsi="宋体"/>
          <w:sz w:val="24"/>
        </w:rPr>
      </w:pPr>
      <w:r>
        <w:rPr>
          <w:rFonts w:hint="eastAsia" w:ascii="宋体" w:hAnsi="宋体"/>
          <w:sz w:val="24"/>
        </w:rPr>
        <w:t>2. 评标委员会成员到位后，推荐一名评审专家担任评标组长，并由评标组长牵头组织该项目评标工作，采购人代表，不得担任评标组长。</w:t>
      </w:r>
    </w:p>
    <w:p>
      <w:pPr>
        <w:spacing w:line="360" w:lineRule="auto"/>
        <w:ind w:left="120" w:leftChars="57" w:firstLine="360" w:firstLineChars="150"/>
        <w:rPr>
          <w:rFonts w:ascii="宋体" w:hAnsi="宋体"/>
          <w:sz w:val="24"/>
        </w:rPr>
      </w:pPr>
      <w:r>
        <w:rPr>
          <w:rFonts w:hint="eastAsia" w:ascii="宋体" w:hAnsi="宋体"/>
          <w:sz w:val="24"/>
        </w:rPr>
        <w:t xml:space="preserve">3. </w:t>
      </w:r>
      <w:bookmarkStart w:id="96" w:name="_Toc111853918"/>
      <w:r>
        <w:rPr>
          <w:rFonts w:hint="eastAsia" w:ascii="宋体" w:hAnsi="宋体"/>
          <w:sz w:val="24"/>
        </w:rPr>
        <w:t>评审专家与参加采购活动的供应商存在下列利害关系之一的，应当回避：</w:t>
      </w:r>
    </w:p>
    <w:p>
      <w:pPr>
        <w:spacing w:line="360" w:lineRule="auto"/>
        <w:ind w:left="120" w:leftChars="57" w:firstLine="360" w:firstLineChars="150"/>
        <w:rPr>
          <w:rFonts w:ascii="宋体" w:hAnsi="宋体"/>
          <w:sz w:val="24"/>
        </w:rPr>
      </w:pPr>
      <w:r>
        <w:rPr>
          <w:rFonts w:hint="eastAsia" w:ascii="宋体" w:hAnsi="宋体"/>
          <w:sz w:val="24"/>
        </w:rPr>
        <w:t>（一）担任过供应商的董事、监事，或者是供应商的控股股东或实际控制人；</w:t>
      </w:r>
    </w:p>
    <w:p>
      <w:pPr>
        <w:spacing w:line="360" w:lineRule="auto"/>
        <w:ind w:left="120" w:leftChars="57" w:firstLine="360" w:firstLineChars="150"/>
        <w:rPr>
          <w:rFonts w:ascii="宋体" w:hAnsi="宋体"/>
          <w:sz w:val="24"/>
        </w:rPr>
      </w:pPr>
      <w:r>
        <w:rPr>
          <w:rFonts w:hint="eastAsia" w:ascii="宋体" w:hAnsi="宋体"/>
          <w:sz w:val="24"/>
        </w:rPr>
        <w:t>（二）参加采购活动前3年内与供应商发生过法律纠纷；</w:t>
      </w:r>
    </w:p>
    <w:p>
      <w:pPr>
        <w:spacing w:line="360" w:lineRule="auto"/>
        <w:ind w:left="120" w:leftChars="57" w:firstLine="360" w:firstLineChars="150"/>
        <w:rPr>
          <w:rFonts w:ascii="宋体" w:hAnsi="宋体"/>
          <w:sz w:val="24"/>
        </w:rPr>
      </w:pPr>
      <w:r>
        <w:rPr>
          <w:rFonts w:hint="eastAsia" w:ascii="宋体" w:hAnsi="宋体"/>
          <w:sz w:val="24"/>
        </w:rPr>
        <w:t>（三）与供应商的法定代表人或者负责人有夫妻、直系血亲、三代以内旁系血亲或者近姻亲关系；</w:t>
      </w:r>
    </w:p>
    <w:p>
      <w:pPr>
        <w:spacing w:line="360" w:lineRule="auto"/>
        <w:ind w:left="120" w:leftChars="57" w:firstLine="360" w:firstLineChars="150"/>
        <w:rPr>
          <w:rFonts w:ascii="宋体" w:hAnsi="宋体"/>
          <w:sz w:val="24"/>
        </w:rPr>
      </w:pPr>
      <w:r>
        <w:rPr>
          <w:rFonts w:hint="eastAsia" w:ascii="宋体" w:hAnsi="宋体"/>
          <w:sz w:val="24"/>
        </w:rPr>
        <w:t>（四）与供应商有其他可能影响政府采购活动公平、公正进行的关系。</w:t>
      </w:r>
    </w:p>
    <w:p>
      <w:pPr>
        <w:spacing w:line="360" w:lineRule="auto"/>
        <w:ind w:left="120" w:leftChars="57" w:firstLine="360" w:firstLineChars="150"/>
        <w:rPr>
          <w:rFonts w:ascii="宋体" w:hAnsi="宋体"/>
          <w:sz w:val="24"/>
        </w:rPr>
      </w:pPr>
      <w:r>
        <w:rPr>
          <w:rFonts w:hint="eastAsia" w:ascii="宋体" w:hAnsi="宋体"/>
          <w:sz w:val="24"/>
        </w:rPr>
        <w:t>评审专家发现本人与参加采购活动的供应商有利害关系的，应当主动提出回避；评审专家发现本人与参加采购活动的其他评审专家有利害（亲属）关系的，应当主动提出回避。</w:t>
      </w:r>
    </w:p>
    <w:p>
      <w:pPr>
        <w:spacing w:line="360" w:lineRule="auto"/>
        <w:ind w:left="120" w:leftChars="57" w:firstLine="360" w:firstLineChars="150"/>
        <w:rPr>
          <w:rFonts w:ascii="宋体" w:hAnsi="宋体"/>
          <w:sz w:val="24"/>
        </w:rPr>
      </w:pPr>
      <w:r>
        <w:rPr>
          <w:rFonts w:hint="eastAsia" w:ascii="宋体" w:hAnsi="宋体"/>
          <w:sz w:val="24"/>
        </w:rPr>
        <w:t>参加过采购项目前期咨询、论证的专家，不得再参加该采购项目的评审活动。</w:t>
      </w:r>
    </w:p>
    <w:p>
      <w:pPr>
        <w:spacing w:line="360" w:lineRule="auto"/>
        <w:ind w:left="120" w:leftChars="57" w:firstLine="360" w:firstLineChars="150"/>
        <w:rPr>
          <w:rFonts w:ascii="宋体" w:hAnsi="宋体"/>
          <w:sz w:val="24"/>
        </w:rPr>
      </w:pPr>
      <w:r>
        <w:rPr>
          <w:rFonts w:hint="eastAsia" w:ascii="宋体" w:hAnsi="宋体"/>
          <w:sz w:val="24"/>
        </w:rPr>
        <w:t>各级财政政府采购监管部门的工作人员，不得作为评审专家参与本行政区域政府采购项目的评审活动。</w:t>
      </w:r>
    </w:p>
    <w:p>
      <w:pPr>
        <w:spacing w:line="360" w:lineRule="auto"/>
        <w:ind w:left="120" w:leftChars="57" w:firstLine="360" w:firstLineChars="150"/>
        <w:rPr>
          <w:rFonts w:ascii="宋体" w:hAnsi="宋体"/>
          <w:sz w:val="24"/>
        </w:rPr>
      </w:pPr>
      <w:r>
        <w:rPr>
          <w:rFonts w:hint="eastAsia" w:ascii="宋体" w:hAnsi="宋体"/>
          <w:sz w:val="24"/>
        </w:rPr>
        <w:t>采购人及其预算主管部门的人员，不得作为评审专家参与本部门本单位或被管理预算单位政府采购项目的评审活动，只能作为采购人代表参与评审活动。</w:t>
      </w:r>
    </w:p>
    <w:p>
      <w:pPr>
        <w:spacing w:line="360" w:lineRule="auto"/>
        <w:ind w:left="120" w:leftChars="57" w:firstLine="360" w:firstLineChars="150"/>
        <w:rPr>
          <w:rFonts w:ascii="宋体" w:hAnsi="宋体"/>
          <w:sz w:val="24"/>
        </w:rPr>
      </w:pPr>
      <w:r>
        <w:rPr>
          <w:rFonts w:hint="eastAsia" w:ascii="宋体" w:hAnsi="宋体"/>
          <w:sz w:val="24"/>
        </w:rPr>
        <w:t>同一采购项目不得有两个或两个以上来自同一单位的评审专家。</w:t>
      </w:r>
    </w:p>
    <w:p>
      <w:pPr>
        <w:pStyle w:val="5"/>
        <w:spacing w:before="156" w:after="156"/>
      </w:pPr>
      <w:r>
        <w:rPr>
          <w:rFonts w:hint="eastAsia"/>
        </w:rPr>
        <w:t>（二）评标原则</w:t>
      </w:r>
      <w:bookmarkEnd w:id="96"/>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1. “客观、公正、审慎”为本次评标的基本原则，评标委员会按照这一原则的要求，公正、平等地对待各投标人。同时，在评审中恪守以下原则：</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（1）统一性原则：评标委员会将按照统一的评标原则和评审方法，用统一标准进行评审。</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（2）独立性原则：评标工作在评标委员会内部独立进行，不受外界任何因素的干扰和影响。评标委员会成员对其出具的意见承担个人责任。投标人</w:t>
      </w:r>
      <w:r>
        <w:rPr>
          <w:rFonts w:hint="eastAsia" w:ascii="宋体" w:hAnsi="宋体" w:cs="宋体"/>
          <w:kern w:val="0"/>
          <w:sz w:val="24"/>
        </w:rPr>
        <w:t>试图影响或干预评审的任何行为，将导致其丧失投标的资格，并承担相应的法律责任。</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（3）客观性原则：评标委员会将严格按照招标文件要求，对投标人的投标文件进行认真评审；评标委员会对投标文件的评审仅依据投标文件本身，而不依据投标文件以外的任何因素。</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（4）保密性原则：代理机构应当采取必要的措施，保证评标在严格保密情况下进行。</w:t>
      </w:r>
    </w:p>
    <w:p>
      <w:pPr>
        <w:tabs>
          <w:tab w:val="left" w:pos="0"/>
        </w:tabs>
        <w:adjustRightInd w:val="0"/>
        <w:snapToGrid w:val="0"/>
        <w:spacing w:line="360" w:lineRule="auto"/>
        <w:ind w:firstLine="470" w:firstLineChars="196"/>
        <w:rPr>
          <w:rFonts w:ascii="宋体" w:hAnsi="宋体"/>
          <w:sz w:val="24"/>
        </w:rPr>
      </w:pPr>
      <w:r>
        <w:rPr>
          <w:rFonts w:hint="eastAsia" w:ascii="宋体" w:hAnsi="宋体"/>
          <w:sz w:val="24"/>
        </w:rPr>
        <w:t>（6）综合性原则：评标委员会将综合分析、评审投标人的各项指标，而不以单项指标的优劣评定出中标人。</w:t>
      </w:r>
    </w:p>
    <w:p>
      <w:pPr>
        <w:spacing w:line="360" w:lineRule="auto"/>
        <w:ind w:firstLine="480" w:firstLineChars="200"/>
        <w:rPr>
          <w:rFonts w:ascii="宋体" w:hAnsi="宋体"/>
          <w:sz w:val="24"/>
        </w:rPr>
      </w:pPr>
      <w:r>
        <w:rPr>
          <w:rFonts w:hint="eastAsia" w:ascii="宋体" w:hAnsi="宋体"/>
          <w:sz w:val="24"/>
        </w:rPr>
        <w:t>2.  评标委员会有权对整个招标过程中出现的一切问题，根据《中华人民共和国政府采购法》及实施条例和《政府采购货物和服务招标投标管理办法》等相关规定进行处理。</w:t>
      </w:r>
    </w:p>
    <w:p>
      <w:pPr>
        <w:pStyle w:val="5"/>
        <w:spacing w:before="156" w:after="156"/>
      </w:pPr>
      <w:r>
        <w:rPr>
          <w:rFonts w:hint="eastAsia"/>
        </w:rPr>
        <w:t>（三）评标</w:t>
      </w:r>
    </w:p>
    <w:p>
      <w:pPr>
        <w:spacing w:line="500" w:lineRule="exact"/>
        <w:ind w:firstLine="480" w:firstLineChars="200"/>
        <w:rPr>
          <w:rFonts w:ascii="宋体" w:hAnsi="宋体"/>
          <w:sz w:val="24"/>
        </w:rPr>
      </w:pPr>
      <w:r>
        <w:rPr>
          <w:rFonts w:hint="eastAsia" w:ascii="宋体" w:hAnsi="宋体"/>
          <w:sz w:val="24"/>
        </w:rPr>
        <w:t>1. 评标委员会按照招标文件第三章“评标办法”规定的方法、评审因素、标准和程序对投标文件进行评审。第三章“评标办法”没有规定的方法、评审因素和标准，不作为评标依据。</w:t>
      </w:r>
    </w:p>
    <w:p>
      <w:pPr>
        <w:spacing w:line="500" w:lineRule="exact"/>
        <w:ind w:firstLine="480" w:firstLineChars="200"/>
        <w:rPr>
          <w:rFonts w:ascii="宋体" w:hAnsi="宋体"/>
          <w:sz w:val="24"/>
        </w:rPr>
      </w:pPr>
      <w:r>
        <w:rPr>
          <w:rFonts w:hint="eastAsia" w:ascii="宋体" w:hAnsi="宋体"/>
          <w:sz w:val="24"/>
        </w:rPr>
        <w:t>2. 小型和微型企业政策性扣减方式</w:t>
      </w:r>
    </w:p>
    <w:p>
      <w:pPr>
        <w:spacing w:line="500" w:lineRule="exact"/>
        <w:ind w:firstLine="480" w:firstLineChars="200"/>
        <w:rPr>
          <w:rFonts w:ascii="宋体" w:hAnsi="宋体"/>
          <w:sz w:val="24"/>
        </w:rPr>
      </w:pPr>
      <w:r>
        <w:rPr>
          <w:rFonts w:hint="eastAsia" w:ascii="宋体" w:hAnsi="宋体"/>
          <w:sz w:val="24"/>
        </w:rPr>
        <w:t>2.1专门面向中小企业采购的项目或者采购包，不再执行价格评审优惠的扶持政策。</w:t>
      </w:r>
    </w:p>
    <w:p>
      <w:pPr>
        <w:spacing w:line="500" w:lineRule="exact"/>
        <w:ind w:firstLine="480" w:firstLineChars="200"/>
        <w:rPr>
          <w:rFonts w:ascii="宋体" w:hAnsi="宋体"/>
          <w:sz w:val="24"/>
        </w:rPr>
      </w:pPr>
      <w:r>
        <w:rPr>
          <w:rFonts w:hint="eastAsia" w:ascii="宋体" w:hAnsi="宋体"/>
          <w:sz w:val="24"/>
        </w:rPr>
        <w:t>2.2对于未预留份额专门面向中小企业采购的采购项目，以及预留份额项目的非预留部分采购包中符合条件的小微企业报价给予10%的扣除（工程项目为综合评估法但未采用低价优先法计算价格分的，评标时应当在采用原报价进行评分的基础上增加其价格得分的 3%作为其价格分。</w:t>
      </w:r>
    </w:p>
    <w:p>
      <w:pPr>
        <w:spacing w:line="500" w:lineRule="exact"/>
        <w:ind w:firstLine="480" w:firstLineChars="200"/>
        <w:rPr>
          <w:rFonts w:ascii="宋体" w:hAnsi="宋体"/>
          <w:sz w:val="24"/>
        </w:rPr>
      </w:pPr>
      <w:r>
        <w:rPr>
          <w:rFonts w:hint="eastAsia" w:ascii="宋体" w:hAnsi="宋体"/>
          <w:sz w:val="24"/>
        </w:rPr>
        <w:t>2.3接受大中型企业与小微企业组成联合体或者允许大中型企业向一家或者多家小微企业分包的采购项目，对于联合协议或者分包意向协议约定小微企业的合同份额占到合同总金30%以上的，对联合体或者大中型企业的报价给予 4%（工程项目为 1%）的扣除，用扣除后的价格参加评审。适用招标投标法的政府采购工程建设项目，采用综合评估法但未采用低价优先法计算价格分的，评标时应当在采用原报价进行评分的基础上增加其价格得分的 1% 作为其价格分。组成联合体或者接受分包的小微企业与联合体内其他企业、分包企业之间存在直接控股、 管理关系的，不享受价格扣除优惠政策。</w:t>
      </w:r>
    </w:p>
    <w:p>
      <w:pPr>
        <w:spacing w:line="500" w:lineRule="exact"/>
        <w:ind w:firstLine="480" w:firstLineChars="200"/>
        <w:rPr>
          <w:rFonts w:ascii="宋体" w:hAnsi="宋体"/>
          <w:sz w:val="24"/>
        </w:rPr>
      </w:pPr>
      <w:r>
        <w:rPr>
          <w:rFonts w:hint="eastAsia" w:ascii="宋体" w:hAnsi="宋体"/>
          <w:sz w:val="24"/>
        </w:rPr>
        <w:t>2.4 监狱企业、残疾人福利性单位视同小微企业，享受预留份额、评审中价格扣除等促进中小企业发展的政府采购政策。监狱企业、残疾人福利性单位属于小微企业的，不重复享受政策。</w:t>
      </w:r>
    </w:p>
    <w:p>
      <w:pPr>
        <w:spacing w:line="500" w:lineRule="exact"/>
        <w:ind w:firstLine="480" w:firstLineChars="200"/>
        <w:rPr>
          <w:rFonts w:ascii="宋体" w:hAnsi="宋体"/>
          <w:bCs/>
          <w:sz w:val="24"/>
        </w:rPr>
      </w:pPr>
      <w:r>
        <w:rPr>
          <w:rFonts w:hint="eastAsia" w:ascii="宋体" w:hAnsi="宋体"/>
          <w:sz w:val="24"/>
        </w:rPr>
        <w:t>2.5供应商享受支持中小型企业发展政策优惠的，可以同时享受节能、环境标志产品优先采购政策。</w:t>
      </w:r>
    </w:p>
    <w:p>
      <w:pPr>
        <w:pStyle w:val="4"/>
        <w:jc w:val="center"/>
        <w:rPr>
          <w:rFonts w:ascii="宋体" w:hAnsi="宋体" w:eastAsia="宋体" w:cs="宋体"/>
          <w:sz w:val="30"/>
          <w:szCs w:val="30"/>
        </w:rPr>
      </w:pPr>
      <w:bookmarkStart w:id="97" w:name="_Toc31703"/>
      <w:bookmarkStart w:id="98" w:name="_Toc111853919"/>
      <w:bookmarkStart w:id="99" w:name="_Toc30434"/>
      <w:r>
        <w:rPr>
          <w:rFonts w:hint="eastAsia" w:ascii="宋体" w:hAnsi="宋体" w:eastAsia="宋体" w:cs="宋体"/>
          <w:sz w:val="30"/>
          <w:szCs w:val="30"/>
        </w:rPr>
        <w:t>八、中标</w:t>
      </w:r>
      <w:bookmarkEnd w:id="97"/>
      <w:bookmarkEnd w:id="98"/>
      <w:bookmarkEnd w:id="99"/>
    </w:p>
    <w:p>
      <w:pPr>
        <w:spacing w:line="500" w:lineRule="exact"/>
        <w:ind w:firstLine="480" w:firstLineChars="200"/>
        <w:rPr>
          <w:rFonts w:ascii="宋体" w:hAnsi="宋体"/>
          <w:sz w:val="24"/>
        </w:rPr>
      </w:pPr>
      <w:r>
        <w:rPr>
          <w:rFonts w:hint="eastAsia" w:ascii="宋体" w:hAnsi="宋体"/>
          <w:sz w:val="24"/>
        </w:rPr>
        <w:t>1．采购代理机构在评标工作结束后2个工作日内将评审报告送采购人。</w:t>
      </w:r>
    </w:p>
    <w:p>
      <w:pPr>
        <w:spacing w:line="500" w:lineRule="exact"/>
        <w:ind w:firstLine="480" w:firstLineChars="200"/>
        <w:rPr>
          <w:rFonts w:ascii="宋体" w:hAnsi="宋体"/>
          <w:sz w:val="24"/>
        </w:rPr>
      </w:pPr>
      <w:r>
        <w:rPr>
          <w:rFonts w:hint="eastAsia" w:ascii="宋体" w:hAnsi="宋体"/>
          <w:sz w:val="24"/>
        </w:rPr>
        <w:t>2．采购人应当自收到评标报告之日起５个工作日内，在评标报告确定的中标候选人名单中按次序确定排名第一的中标候选人为中标人。中标候选人并列的，由采购人邀请中标候选人按照随机抽取的方式确定。采购人逾期不予确认，又不能说明合法理由的，视同按评标报告推荐的次序确定排名第一的中标候选人为中标人。</w:t>
      </w:r>
    </w:p>
    <w:p>
      <w:pPr>
        <w:spacing w:line="500" w:lineRule="exact"/>
        <w:ind w:firstLine="480" w:firstLineChars="200"/>
        <w:rPr>
          <w:rFonts w:ascii="宋体" w:hAnsi="宋体"/>
          <w:sz w:val="24"/>
        </w:rPr>
      </w:pPr>
      <w:r>
        <w:rPr>
          <w:rFonts w:hint="eastAsia" w:ascii="宋体" w:hAnsi="宋体"/>
          <w:sz w:val="24"/>
        </w:rPr>
        <w:t>3．采购代理机构将在中标供应商确定之日起2个工作日内，在【</w:t>
      </w:r>
      <w:r>
        <w:fldChar w:fldCharType="begin"/>
      </w:r>
      <w:r>
        <w:instrText xml:space="preserve"> HYPERLINK "http://www.ccgp-shaanxi.gov.cn" </w:instrText>
      </w:r>
      <w:r>
        <w:fldChar w:fldCharType="separate"/>
      </w:r>
      <w:r>
        <w:rPr>
          <w:rStyle w:val="47"/>
          <w:rFonts w:hint="eastAsia" w:ascii="宋体" w:hAnsi="宋体"/>
          <w:sz w:val="24"/>
        </w:rPr>
        <w:t>陕西省政府采购网</w:t>
      </w:r>
      <w:r>
        <w:rPr>
          <w:rStyle w:val="47"/>
          <w:rFonts w:hint="eastAsia" w:ascii="宋体" w:hAnsi="宋体"/>
          <w:sz w:val="24"/>
        </w:rPr>
        <w:fldChar w:fldCharType="end"/>
      </w:r>
      <w:r>
        <w:rPr>
          <w:rFonts w:hint="eastAsia" w:ascii="宋体" w:hAnsi="宋体"/>
          <w:sz w:val="24"/>
        </w:rPr>
        <w:t>】（</w:t>
      </w:r>
      <w:r>
        <w:fldChar w:fldCharType="begin"/>
      </w:r>
      <w:r>
        <w:instrText xml:space="preserve"> HYPERLINK "http://www.ccgp-shaanxi.gov.cn/" </w:instrText>
      </w:r>
      <w:r>
        <w:fldChar w:fldCharType="separate"/>
      </w:r>
      <w:r>
        <w:rPr>
          <w:rStyle w:val="47"/>
          <w:rFonts w:hint="eastAsia" w:ascii="宋体" w:hAnsi="宋体"/>
          <w:sz w:val="24"/>
        </w:rPr>
        <w:t>http://www.ccgp-shaanxi.gov.cn/</w:t>
      </w:r>
      <w:r>
        <w:rPr>
          <w:rStyle w:val="47"/>
          <w:rFonts w:hint="eastAsia" w:ascii="宋体" w:hAnsi="宋体"/>
          <w:sz w:val="24"/>
        </w:rPr>
        <w:fldChar w:fldCharType="end"/>
      </w:r>
      <w:r>
        <w:rPr>
          <w:rFonts w:hint="eastAsia" w:ascii="宋体" w:hAnsi="宋体"/>
          <w:sz w:val="24"/>
        </w:rPr>
        <w:t>）上公布中标结果。中标公告期限为1个工作日。</w:t>
      </w:r>
    </w:p>
    <w:p>
      <w:pPr>
        <w:spacing w:line="500" w:lineRule="exact"/>
        <w:ind w:firstLine="480" w:firstLineChars="200"/>
        <w:rPr>
          <w:rFonts w:ascii="宋体" w:hAnsi="宋体"/>
          <w:sz w:val="24"/>
        </w:rPr>
      </w:pPr>
      <w:r>
        <w:rPr>
          <w:rFonts w:hint="eastAsia" w:ascii="宋体" w:hAnsi="宋体"/>
          <w:sz w:val="24"/>
        </w:rPr>
        <w:t>4．在公告中标结果的同时，采购代理机构将向中标供应商发出中标通知书，中标供应商在领取中标通知书时提供一正两副纸质投标文件用于备案。</w:t>
      </w:r>
    </w:p>
    <w:p>
      <w:pPr>
        <w:spacing w:line="500" w:lineRule="exact"/>
        <w:ind w:firstLine="480" w:firstLineChars="200"/>
        <w:rPr>
          <w:rFonts w:ascii="宋体" w:hAnsi="宋体"/>
          <w:sz w:val="24"/>
        </w:rPr>
      </w:pPr>
      <w:r>
        <w:rPr>
          <w:rFonts w:hint="eastAsia" w:ascii="宋体" w:hAnsi="宋体"/>
          <w:sz w:val="24"/>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00" w:lineRule="exact"/>
        <w:ind w:firstLine="480" w:firstLineChars="200"/>
        <w:rPr>
          <w:rFonts w:ascii="宋体" w:hAnsi="宋体"/>
          <w:sz w:val="24"/>
        </w:rPr>
      </w:pPr>
      <w:r>
        <w:rPr>
          <w:rFonts w:hint="eastAsia" w:ascii="宋体" w:hAnsi="宋体"/>
          <w:sz w:val="24"/>
        </w:rPr>
        <w:t>6．采购代理机构按照相关规定将评审报告送监管机构备案。</w:t>
      </w:r>
    </w:p>
    <w:p>
      <w:pPr>
        <w:pStyle w:val="4"/>
        <w:jc w:val="center"/>
        <w:rPr>
          <w:rFonts w:ascii="宋体" w:hAnsi="宋体" w:eastAsia="宋体" w:cs="宋体"/>
          <w:sz w:val="30"/>
          <w:szCs w:val="30"/>
        </w:rPr>
      </w:pPr>
      <w:bookmarkStart w:id="100" w:name="_Toc22583"/>
      <w:bookmarkStart w:id="101" w:name="_Toc111853920"/>
      <w:bookmarkStart w:id="102" w:name="_Toc31097"/>
      <w:r>
        <w:rPr>
          <w:rFonts w:hint="eastAsia" w:ascii="宋体" w:hAnsi="宋体" w:eastAsia="宋体" w:cs="宋体"/>
          <w:sz w:val="30"/>
          <w:szCs w:val="30"/>
        </w:rPr>
        <w:t>九、合同签订、履行及验收</w:t>
      </w:r>
      <w:bookmarkEnd w:id="100"/>
      <w:bookmarkEnd w:id="101"/>
      <w:bookmarkEnd w:id="102"/>
    </w:p>
    <w:p>
      <w:pPr>
        <w:spacing w:line="500" w:lineRule="exact"/>
        <w:ind w:firstLine="480" w:firstLineChars="200"/>
        <w:rPr>
          <w:rFonts w:ascii="宋体" w:hAnsi="宋体"/>
          <w:sz w:val="24"/>
        </w:rPr>
      </w:pPr>
      <w:r>
        <w:rPr>
          <w:rFonts w:hint="eastAsia" w:ascii="宋体" w:hAnsi="宋体"/>
          <w:sz w:val="24"/>
        </w:rPr>
        <w:t>招标文件、投标文件、澄清、补充合同等为合同文本的组成部分，具有同等法律效力。</w:t>
      </w:r>
    </w:p>
    <w:p>
      <w:pPr>
        <w:pStyle w:val="5"/>
        <w:spacing w:before="156" w:after="156"/>
      </w:pPr>
      <w:bookmarkStart w:id="103" w:name="_Toc111853921"/>
      <w:r>
        <w:rPr>
          <w:rFonts w:hint="eastAsia"/>
        </w:rPr>
        <w:t>（一）签订政府采购合同</w:t>
      </w:r>
      <w:bookmarkEnd w:id="103"/>
    </w:p>
    <w:p>
      <w:pPr>
        <w:spacing w:line="500" w:lineRule="exact"/>
        <w:ind w:firstLine="480" w:firstLineChars="200"/>
        <w:rPr>
          <w:rFonts w:ascii="宋体" w:hAnsi="宋体"/>
          <w:sz w:val="24"/>
        </w:rPr>
      </w:pPr>
      <w:r>
        <w:rPr>
          <w:rFonts w:hint="eastAsia" w:ascii="宋体" w:hAnsi="宋体"/>
          <w:sz w:val="24"/>
        </w:rPr>
        <w:t>1．自中标通知书发出之日起30日内，采购人与中标供应商应按招标文件和中标供应商投标文件的约定，签订书面合同。</w:t>
      </w:r>
    </w:p>
    <w:p>
      <w:pPr>
        <w:spacing w:line="500" w:lineRule="exact"/>
        <w:ind w:firstLine="480" w:firstLineChars="200"/>
        <w:rPr>
          <w:rFonts w:ascii="宋体" w:hAnsi="宋体"/>
          <w:sz w:val="24"/>
        </w:rPr>
      </w:pPr>
      <w:r>
        <w:rPr>
          <w:rFonts w:hint="eastAsia" w:ascii="宋体" w:hAnsi="宋体"/>
          <w:sz w:val="24"/>
        </w:rPr>
        <w:t>2．中标供应商拒绝与采购人签订合同的，采购人可以按照《政府采购法实施条例》第四十九条规定，确定下一候选人为中标供应商，也可以重新开展政府采购活动。</w:t>
      </w:r>
    </w:p>
    <w:p>
      <w:pPr>
        <w:spacing w:line="500" w:lineRule="exact"/>
        <w:ind w:firstLine="480" w:firstLineChars="200"/>
        <w:rPr>
          <w:rFonts w:ascii="宋体" w:hAnsi="宋体"/>
          <w:sz w:val="24"/>
        </w:rPr>
      </w:pPr>
      <w:r>
        <w:rPr>
          <w:rFonts w:hint="eastAsia" w:ascii="宋体" w:hAnsi="宋体"/>
          <w:sz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00" w:lineRule="exact"/>
        <w:ind w:firstLine="480" w:firstLineChars="200"/>
        <w:rPr>
          <w:rFonts w:ascii="宋体" w:hAnsi="宋体"/>
          <w:sz w:val="24"/>
        </w:rPr>
      </w:pPr>
      <w:r>
        <w:rPr>
          <w:rFonts w:hint="eastAsia" w:ascii="宋体" w:hAnsi="宋体"/>
          <w:sz w:val="24"/>
        </w:rPr>
        <w:t>4．质疑或者投诉事项可能影响中标、成交结果的，采购人应当暂停签订合同，已经签订合同的，应当中止履行合同。</w:t>
      </w:r>
    </w:p>
    <w:p>
      <w:pPr>
        <w:pStyle w:val="5"/>
        <w:spacing w:before="156" w:after="156"/>
      </w:pPr>
      <w:bookmarkStart w:id="104" w:name="_Toc111853922"/>
      <w:r>
        <w:rPr>
          <w:rFonts w:hint="eastAsia"/>
        </w:rPr>
        <w:t>（二）合同公告及备案</w:t>
      </w:r>
      <w:bookmarkEnd w:id="104"/>
    </w:p>
    <w:p>
      <w:pPr>
        <w:spacing w:line="500" w:lineRule="exact"/>
        <w:ind w:firstLine="480" w:firstLineChars="200"/>
        <w:rPr>
          <w:rFonts w:ascii="宋体" w:hAnsi="宋体"/>
          <w:sz w:val="24"/>
        </w:rPr>
      </w:pPr>
      <w:r>
        <w:rPr>
          <w:rFonts w:hint="eastAsia" w:ascii="宋体" w:hAnsi="宋体"/>
          <w:sz w:val="24"/>
        </w:rPr>
        <w:t>1．采购人应当自政府采购合同签订之日起2个工作日内，在陕西省政府采购网对合同进行公示，但政府采购合同中涉及国家秘密、商业秘密的内容除外。</w:t>
      </w:r>
    </w:p>
    <w:p>
      <w:pPr>
        <w:spacing w:line="500" w:lineRule="exact"/>
        <w:ind w:firstLine="480" w:firstLineChars="200"/>
        <w:rPr>
          <w:rFonts w:ascii="宋体" w:hAnsi="宋体"/>
          <w:sz w:val="24"/>
        </w:rPr>
      </w:pPr>
      <w:r>
        <w:rPr>
          <w:rFonts w:hint="eastAsia" w:ascii="宋体" w:hAnsi="宋体"/>
          <w:sz w:val="24"/>
        </w:rPr>
        <w:t>2．采购人应自合同签订之日起7个工作日内将政府采购合同报送监管机构备案。</w:t>
      </w:r>
    </w:p>
    <w:p>
      <w:pPr>
        <w:pStyle w:val="5"/>
        <w:spacing w:before="156" w:after="156"/>
      </w:pPr>
      <w:bookmarkStart w:id="105" w:name="_Toc111853923"/>
      <w:r>
        <w:rPr>
          <w:rFonts w:hint="eastAsia"/>
        </w:rPr>
        <w:t>（三）履行合同</w:t>
      </w:r>
      <w:bookmarkEnd w:id="105"/>
    </w:p>
    <w:p>
      <w:pPr>
        <w:spacing w:line="500" w:lineRule="exact"/>
        <w:ind w:firstLine="480" w:firstLineChars="200"/>
        <w:rPr>
          <w:rFonts w:ascii="宋体" w:hAnsi="宋体"/>
          <w:sz w:val="24"/>
        </w:rPr>
      </w:pPr>
      <w:r>
        <w:rPr>
          <w:rFonts w:hint="eastAsia" w:ascii="宋体" w:hAnsi="宋体"/>
          <w:sz w:val="24"/>
        </w:rPr>
        <w:t>1．合同一经签订，双方应严格履行合同规定的义务。</w:t>
      </w:r>
    </w:p>
    <w:p>
      <w:pPr>
        <w:spacing w:line="500" w:lineRule="exact"/>
        <w:ind w:firstLine="480" w:firstLineChars="200"/>
        <w:rPr>
          <w:rFonts w:ascii="宋体" w:hAnsi="宋体"/>
          <w:sz w:val="24"/>
        </w:rPr>
      </w:pPr>
      <w:r>
        <w:rPr>
          <w:rFonts w:hint="eastAsia" w:ascii="宋体" w:hAnsi="宋体"/>
          <w:sz w:val="24"/>
        </w:rPr>
        <w:t>2．在合同履行过程中，如发生合同纠纷，合同双方应按照《中华人民共和国民法典》及合同条款的有关规定进行处理。</w:t>
      </w:r>
    </w:p>
    <w:p>
      <w:pPr>
        <w:pStyle w:val="5"/>
        <w:spacing w:before="156" w:after="156"/>
      </w:pPr>
      <w:bookmarkStart w:id="106" w:name="_Toc111853924"/>
      <w:r>
        <w:rPr>
          <w:rFonts w:hint="eastAsia"/>
        </w:rPr>
        <w:t>（四）验收或考核</w:t>
      </w:r>
      <w:bookmarkEnd w:id="106"/>
    </w:p>
    <w:p>
      <w:pPr>
        <w:spacing w:line="500" w:lineRule="exact"/>
        <w:ind w:firstLine="480" w:firstLineChars="200"/>
        <w:rPr>
          <w:rFonts w:ascii="宋体" w:hAnsi="宋体"/>
          <w:sz w:val="24"/>
        </w:rPr>
      </w:pPr>
      <w:r>
        <w:rPr>
          <w:rFonts w:hint="eastAsia" w:ascii="宋体" w:hAnsi="宋体"/>
          <w:sz w:val="24"/>
        </w:rPr>
        <w:t>1．采购人严格按照国家相关法律法规的要求及招标文件的要求组织验收或考核。</w:t>
      </w:r>
    </w:p>
    <w:p>
      <w:pPr>
        <w:spacing w:line="500" w:lineRule="exact"/>
        <w:ind w:firstLine="480" w:firstLineChars="200"/>
        <w:rPr>
          <w:rFonts w:ascii="宋体" w:hAnsi="宋体"/>
          <w:sz w:val="24"/>
        </w:rPr>
      </w:pPr>
      <w:r>
        <w:rPr>
          <w:rFonts w:hint="eastAsia" w:ascii="宋体" w:hAnsi="宋体"/>
          <w:sz w:val="24"/>
        </w:rPr>
        <w:t>2．采购人按《关于促进政府采购公平竞争优化营商环境的通知》（财库〔2019〕38号）、《保障中小企业款项支付条例》（国务院令第728号）等规定及采购合同的约定进行支付合同款项。</w:t>
      </w:r>
    </w:p>
    <w:p>
      <w:pPr>
        <w:pStyle w:val="4"/>
        <w:jc w:val="center"/>
        <w:rPr>
          <w:rFonts w:ascii="宋体" w:hAnsi="宋体" w:eastAsia="宋体" w:cs="宋体"/>
          <w:sz w:val="30"/>
          <w:szCs w:val="30"/>
        </w:rPr>
      </w:pPr>
      <w:bookmarkStart w:id="107" w:name="_Toc31500"/>
      <w:bookmarkStart w:id="108" w:name="_Toc111853925"/>
      <w:bookmarkStart w:id="109" w:name="_Toc2210"/>
      <w:r>
        <w:rPr>
          <w:rFonts w:hint="eastAsia" w:ascii="宋体" w:hAnsi="宋体" w:eastAsia="宋体" w:cs="宋体"/>
          <w:sz w:val="30"/>
          <w:szCs w:val="30"/>
        </w:rPr>
        <w:t>十、废标及重新招标</w:t>
      </w:r>
      <w:bookmarkEnd w:id="107"/>
      <w:bookmarkEnd w:id="108"/>
      <w:bookmarkEnd w:id="109"/>
    </w:p>
    <w:p>
      <w:pPr>
        <w:spacing w:line="500" w:lineRule="exact"/>
        <w:ind w:firstLine="480" w:firstLineChars="200"/>
        <w:rPr>
          <w:rFonts w:ascii="宋体" w:hAnsi="宋体"/>
          <w:sz w:val="24"/>
        </w:rPr>
      </w:pPr>
      <w:r>
        <w:rPr>
          <w:rFonts w:hint="eastAsia" w:ascii="宋体" w:hAnsi="宋体"/>
          <w:sz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00" w:lineRule="exact"/>
        <w:ind w:firstLine="480" w:firstLineChars="200"/>
        <w:rPr>
          <w:rFonts w:ascii="宋体" w:hAnsi="宋体"/>
          <w:sz w:val="24"/>
        </w:rPr>
      </w:pPr>
      <w:r>
        <w:rPr>
          <w:rFonts w:hint="eastAsia" w:ascii="宋体" w:hAnsi="宋体"/>
          <w:sz w:val="24"/>
        </w:rPr>
        <w:t>2．根据《政府采购法》第三十六条规定，在招标采购中，出现下列情形之一的，本项目按废标处理：</w:t>
      </w:r>
    </w:p>
    <w:p>
      <w:pPr>
        <w:spacing w:line="500" w:lineRule="exact"/>
        <w:ind w:firstLine="480" w:firstLineChars="200"/>
        <w:rPr>
          <w:rFonts w:ascii="宋体" w:hAnsi="宋体"/>
          <w:sz w:val="24"/>
        </w:rPr>
      </w:pPr>
      <w:r>
        <w:rPr>
          <w:rFonts w:hint="eastAsia" w:ascii="宋体" w:hAnsi="宋体"/>
          <w:sz w:val="24"/>
        </w:rPr>
        <w:t>（1）出现影响采购公正的违法、违规行为的；</w:t>
      </w:r>
    </w:p>
    <w:p>
      <w:pPr>
        <w:spacing w:line="500" w:lineRule="exact"/>
        <w:ind w:firstLine="480" w:firstLineChars="200"/>
        <w:rPr>
          <w:rFonts w:ascii="宋体" w:hAnsi="宋体"/>
          <w:sz w:val="24"/>
        </w:rPr>
      </w:pPr>
      <w:r>
        <w:rPr>
          <w:rFonts w:hint="eastAsia" w:ascii="宋体" w:hAnsi="宋体"/>
          <w:sz w:val="24"/>
        </w:rPr>
        <w:t>（2）供应商的报价均超过了采购预算，采购人不能支付的；</w:t>
      </w:r>
    </w:p>
    <w:p>
      <w:pPr>
        <w:spacing w:line="500" w:lineRule="exact"/>
        <w:ind w:firstLine="480" w:firstLineChars="200"/>
        <w:rPr>
          <w:rFonts w:ascii="宋体" w:hAnsi="宋体"/>
          <w:sz w:val="24"/>
        </w:rPr>
      </w:pPr>
      <w:r>
        <w:rPr>
          <w:rFonts w:hint="eastAsia" w:ascii="宋体" w:hAnsi="宋体"/>
          <w:sz w:val="24"/>
        </w:rPr>
        <w:t>（3）因重大变故，采购任务取消的。</w:t>
      </w:r>
    </w:p>
    <w:p>
      <w:pPr>
        <w:spacing w:line="500" w:lineRule="exact"/>
        <w:ind w:firstLine="480" w:firstLineChars="200"/>
        <w:rPr>
          <w:rFonts w:ascii="宋体" w:hAnsi="宋体"/>
          <w:sz w:val="24"/>
        </w:rPr>
      </w:pPr>
      <w:r>
        <w:rPr>
          <w:rFonts w:hint="eastAsia" w:ascii="宋体" w:hAnsi="宋体"/>
          <w:sz w:val="24"/>
        </w:rPr>
        <w:t>废标后，除采购任务取消外，本项目将重新组织招标。</w:t>
      </w:r>
    </w:p>
    <w:p>
      <w:pPr>
        <w:spacing w:line="500" w:lineRule="exact"/>
        <w:ind w:firstLine="480" w:firstLineChars="200"/>
        <w:rPr>
          <w:rFonts w:ascii="宋体" w:hAnsi="宋体"/>
          <w:sz w:val="24"/>
        </w:rPr>
      </w:pPr>
      <w:r>
        <w:rPr>
          <w:rFonts w:hint="eastAsia" w:ascii="宋体" w:hAnsi="宋体"/>
          <w:sz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00" w:lineRule="exact"/>
        <w:ind w:firstLine="480" w:firstLineChars="200"/>
        <w:rPr>
          <w:rFonts w:ascii="宋体" w:hAnsi="宋体"/>
          <w:sz w:val="24"/>
        </w:rPr>
      </w:pPr>
      <w:r>
        <w:rPr>
          <w:rFonts w:hint="eastAsia" w:ascii="宋体" w:hAnsi="宋体"/>
          <w:sz w:val="24"/>
        </w:rPr>
        <w:t>4．招标文件未明确的其他事项，按《政府采购法》及其相关法律法规执行。</w:t>
      </w:r>
    </w:p>
    <w:p>
      <w:bookmarkStart w:id="110" w:name="_Toc111853926"/>
      <w:bookmarkStart w:id="111" w:name="_Toc217446081"/>
      <w:r>
        <w:rPr>
          <w:rFonts w:hint="eastAsia"/>
        </w:rPr>
        <w:br w:type="page"/>
      </w:r>
    </w:p>
    <w:p>
      <w:pPr>
        <w:pStyle w:val="3"/>
        <w:rPr>
          <w:sz w:val="32"/>
          <w:szCs w:val="32"/>
        </w:rPr>
      </w:pPr>
      <w:bookmarkStart w:id="112" w:name="_Toc19983"/>
      <w:bookmarkStart w:id="113" w:name="_Toc31538"/>
      <w:r>
        <w:rPr>
          <w:rFonts w:hint="eastAsia"/>
          <w:sz w:val="32"/>
          <w:szCs w:val="32"/>
        </w:rPr>
        <w:t>第三章</w:t>
      </w:r>
      <w:bookmarkStart w:id="114" w:name="_Toc217446093"/>
      <w:r>
        <w:rPr>
          <w:rFonts w:hint="eastAsia"/>
          <w:sz w:val="32"/>
          <w:szCs w:val="32"/>
        </w:rPr>
        <w:t xml:space="preserve">  评标办法</w:t>
      </w:r>
      <w:bookmarkEnd w:id="110"/>
      <w:bookmarkEnd w:id="112"/>
      <w:bookmarkEnd w:id="113"/>
    </w:p>
    <w:p>
      <w:pPr>
        <w:spacing w:line="360" w:lineRule="auto"/>
        <w:ind w:firstLine="480" w:firstLineChars="200"/>
        <w:rPr>
          <w:rFonts w:ascii="宋体" w:hAnsi="宋体"/>
          <w:sz w:val="24"/>
        </w:rPr>
      </w:pPr>
      <w:r>
        <w:rPr>
          <w:rFonts w:hint="eastAsia" w:ascii="宋体" w:hAnsi="宋体"/>
          <w:sz w:val="24"/>
        </w:rPr>
        <w:t>根据《中华人民共和国政府采购法》及其实施条例、《中华人民共和国招投标法》及其实施条例等法律规章，结合采购项目特点，制定本评标办法。</w:t>
      </w:r>
    </w:p>
    <w:p>
      <w:pPr>
        <w:spacing w:before="156" w:beforeLines="50" w:after="156" w:afterLines="50"/>
        <w:ind w:firstLine="321" w:firstLineChars="100"/>
        <w:jc w:val="left"/>
        <w:outlineLvl w:val="1"/>
        <w:rPr>
          <w:rFonts w:ascii="宋体" w:hAnsi="宋体"/>
          <w:b/>
          <w:sz w:val="32"/>
          <w:szCs w:val="32"/>
        </w:rPr>
      </w:pPr>
      <w:bookmarkStart w:id="115" w:name="_Toc30832"/>
      <w:bookmarkStart w:id="116" w:name="_Toc23231"/>
      <w:r>
        <w:rPr>
          <w:rFonts w:hint="eastAsia" w:ascii="宋体" w:hAnsi="宋体"/>
          <w:b/>
          <w:sz w:val="32"/>
          <w:szCs w:val="32"/>
        </w:rPr>
        <w:t>一、评标方法</w:t>
      </w:r>
      <w:bookmarkEnd w:id="115"/>
      <w:bookmarkEnd w:id="116"/>
    </w:p>
    <w:p>
      <w:pPr>
        <w:pStyle w:val="90"/>
        <w:shd w:val="clear" w:color="auto" w:fill="FFFFFF"/>
        <w:tabs>
          <w:tab w:val="left" w:pos="949"/>
        </w:tabs>
        <w:autoSpaceDE w:val="0"/>
        <w:autoSpaceDN w:val="0"/>
        <w:spacing w:line="360" w:lineRule="auto"/>
        <w:ind w:left="0" w:leftChars="0" w:right="245" w:firstLine="480" w:firstLineChars="200"/>
        <w:jc w:val="left"/>
        <w:rPr>
          <w:b/>
          <w:bCs/>
          <w:sz w:val="24"/>
          <w:highlight w:val="yellow"/>
          <w:shd w:val="clear" w:color="auto" w:fill="FFFFFF"/>
        </w:rPr>
      </w:pPr>
      <w:bookmarkStart w:id="238" w:name="_GoBack"/>
      <w:bookmarkEnd w:id="238"/>
      <w:r>
        <w:rPr>
          <w:rFonts w:hint="eastAsia" w:ascii="宋体" w:hAnsi="宋体"/>
          <w:sz w:val="24"/>
          <w:szCs w:val="24"/>
        </w:rPr>
        <w:t>本次评标采用综合评估法，即在最大限度地满足招标文件实质性要求前提下，按照招标文件中规定的各项因素和相应的权重分值进行综合评审后，以总得分最高的投标人作为中标候选人并依次排序（最低投标报价不是中标的唯一标准）。</w:t>
      </w:r>
    </w:p>
    <w:p>
      <w:pPr>
        <w:spacing w:before="156" w:beforeLines="50" w:after="156" w:afterLines="50"/>
        <w:ind w:firstLine="321" w:firstLineChars="100"/>
        <w:jc w:val="left"/>
        <w:outlineLvl w:val="1"/>
        <w:rPr>
          <w:rFonts w:ascii="宋体" w:hAnsi="宋体"/>
          <w:b/>
          <w:sz w:val="32"/>
          <w:szCs w:val="32"/>
        </w:rPr>
      </w:pPr>
      <w:bookmarkStart w:id="117" w:name="_Toc3662"/>
      <w:bookmarkStart w:id="118" w:name="_Toc13438"/>
      <w:r>
        <w:rPr>
          <w:rFonts w:hint="eastAsia" w:ascii="宋体" w:hAnsi="宋体"/>
          <w:b/>
          <w:sz w:val="32"/>
          <w:szCs w:val="32"/>
        </w:rPr>
        <w:t>二、评标程序</w:t>
      </w:r>
      <w:bookmarkEnd w:id="117"/>
      <w:bookmarkEnd w:id="118"/>
    </w:p>
    <w:p>
      <w:pPr>
        <w:spacing w:before="312" w:beforeLines="100" w:after="156" w:afterLines="50" w:line="360" w:lineRule="auto"/>
        <w:ind w:firstLine="562" w:firstLineChars="200"/>
        <w:rPr>
          <w:rFonts w:ascii="宋体" w:hAnsi="宋体"/>
          <w:b/>
          <w:sz w:val="28"/>
          <w:szCs w:val="28"/>
        </w:rPr>
      </w:pPr>
      <w:r>
        <w:rPr>
          <w:rFonts w:hint="eastAsia" w:ascii="宋体" w:hAnsi="宋体"/>
          <w:b/>
          <w:sz w:val="28"/>
          <w:szCs w:val="28"/>
        </w:rPr>
        <w:t>1、资格性审查表</w:t>
      </w:r>
    </w:p>
    <w:p>
      <w:pPr>
        <w:tabs>
          <w:tab w:val="left" w:pos="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由采购人或者采购代理机构负责资格审查工作，资格审查小组将按下表所列举的审查标准对投标人基本资格条件进行</w:t>
      </w:r>
      <w:r>
        <w:rPr>
          <w:rFonts w:hint="eastAsia" w:ascii="宋体" w:cs="宋体"/>
          <w:bCs/>
          <w:sz w:val="24"/>
        </w:rPr>
        <w:t>审查，投标人若</w:t>
      </w:r>
      <w:r>
        <w:rPr>
          <w:rFonts w:hint="eastAsia" w:ascii="宋体" w:hAnsi="宋体" w:cs="宋体"/>
          <w:kern w:val="0"/>
          <w:sz w:val="24"/>
        </w:rPr>
        <w:t>有一项不合格，即判定其基本资格条件审查结果为不合格，投标文件无效，不得进入后续评审阶段。</w:t>
      </w:r>
    </w:p>
    <w:tbl>
      <w:tblPr>
        <w:tblStyle w:val="40"/>
        <w:tblW w:w="86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87"/>
        <w:gridCol w:w="50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31" w:type="dxa"/>
            <w:shd w:val="clear" w:color="auto" w:fill="F1F1F1" w:themeFill="background1" w:themeFillShade="F2"/>
            <w:vAlign w:val="center"/>
          </w:tcPr>
          <w:p>
            <w:pPr>
              <w:tabs>
                <w:tab w:val="left" w:pos="0"/>
              </w:tabs>
              <w:adjustRightInd w:val="0"/>
              <w:snapToGrid w:val="0"/>
              <w:jc w:val="center"/>
              <w:rPr>
                <w:rFonts w:ascii="宋体" w:hAnsi="宋体" w:cs="宋体"/>
                <w:b/>
                <w:kern w:val="0"/>
                <w:sz w:val="24"/>
              </w:rPr>
            </w:pPr>
            <w:r>
              <w:rPr>
                <w:rFonts w:hint="eastAsia" w:ascii="宋体" w:hAnsi="宋体" w:cs="宋体"/>
                <w:b/>
                <w:kern w:val="0"/>
                <w:sz w:val="24"/>
              </w:rPr>
              <w:t>序号</w:t>
            </w:r>
          </w:p>
        </w:tc>
        <w:tc>
          <w:tcPr>
            <w:tcW w:w="1387" w:type="dxa"/>
            <w:shd w:val="clear" w:color="auto" w:fill="F1F1F1" w:themeFill="background1" w:themeFillShade="F2"/>
            <w:vAlign w:val="center"/>
          </w:tcPr>
          <w:p>
            <w:pPr>
              <w:tabs>
                <w:tab w:val="left" w:pos="0"/>
              </w:tabs>
              <w:adjustRightInd w:val="0"/>
              <w:snapToGrid w:val="0"/>
              <w:jc w:val="center"/>
              <w:rPr>
                <w:rFonts w:ascii="宋体" w:hAnsi="宋体" w:cs="宋体"/>
                <w:b/>
                <w:kern w:val="0"/>
                <w:sz w:val="24"/>
              </w:rPr>
            </w:pPr>
            <w:r>
              <w:rPr>
                <w:rFonts w:hint="eastAsia" w:ascii="宋体" w:hAnsi="宋体" w:cs="宋体"/>
                <w:b/>
                <w:kern w:val="0"/>
                <w:sz w:val="24"/>
              </w:rPr>
              <w:t>审查因素</w:t>
            </w:r>
          </w:p>
        </w:tc>
        <w:tc>
          <w:tcPr>
            <w:tcW w:w="5076" w:type="dxa"/>
            <w:shd w:val="clear" w:color="auto" w:fill="F1F1F1" w:themeFill="background1" w:themeFillShade="F2"/>
            <w:vAlign w:val="center"/>
          </w:tcPr>
          <w:p>
            <w:pPr>
              <w:tabs>
                <w:tab w:val="left" w:pos="0"/>
              </w:tabs>
              <w:adjustRightInd w:val="0"/>
              <w:snapToGrid w:val="0"/>
              <w:jc w:val="center"/>
              <w:rPr>
                <w:rFonts w:ascii="宋体" w:hAnsi="宋体" w:cs="宋体"/>
                <w:b/>
                <w:kern w:val="0"/>
                <w:sz w:val="24"/>
              </w:rPr>
            </w:pPr>
            <w:r>
              <w:rPr>
                <w:rFonts w:hint="eastAsia" w:ascii="宋体" w:hAnsi="宋体" w:cs="宋体"/>
                <w:b/>
                <w:kern w:val="0"/>
                <w:sz w:val="24"/>
              </w:rPr>
              <w:t>审查标准</w:t>
            </w:r>
          </w:p>
        </w:tc>
        <w:tc>
          <w:tcPr>
            <w:tcW w:w="1476" w:type="dxa"/>
            <w:shd w:val="clear" w:color="auto" w:fill="F1F1F1" w:themeFill="background1" w:themeFillShade="F2"/>
            <w:vAlign w:val="center"/>
          </w:tcPr>
          <w:p>
            <w:pPr>
              <w:tabs>
                <w:tab w:val="left" w:pos="0"/>
              </w:tabs>
              <w:adjustRightInd w:val="0"/>
              <w:snapToGrid w:val="0"/>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1</w:t>
            </w:r>
          </w:p>
        </w:tc>
        <w:tc>
          <w:tcPr>
            <w:tcW w:w="1387" w:type="dxa"/>
            <w:vAlign w:val="center"/>
          </w:tcPr>
          <w:p>
            <w:pPr>
              <w:spacing w:before="32"/>
              <w:ind w:left="68" w:right="48"/>
              <w:jc w:val="center"/>
              <w:rPr>
                <w:rFonts w:ascii="宋体" w:hAnsi="宋体" w:cs="宋体"/>
                <w:kern w:val="0"/>
                <w:sz w:val="24"/>
              </w:rPr>
            </w:pPr>
            <w:r>
              <w:rPr>
                <w:rFonts w:ascii="宋体" w:hAnsi="宋体" w:cs="楷体"/>
                <w:sz w:val="24"/>
              </w:rPr>
              <w:t>营业执照等主体资格证明文件</w:t>
            </w:r>
          </w:p>
        </w:tc>
        <w:tc>
          <w:tcPr>
            <w:tcW w:w="5076" w:type="dxa"/>
            <w:vAlign w:val="center"/>
          </w:tcPr>
          <w:p>
            <w:pPr>
              <w:tabs>
                <w:tab w:val="left" w:pos="0"/>
              </w:tabs>
              <w:adjustRightInd w:val="0"/>
              <w:snapToGrid w:val="0"/>
              <w:jc w:val="left"/>
              <w:rPr>
                <w:rFonts w:ascii="宋体" w:hAnsi="宋体" w:cs="宋体"/>
                <w:kern w:val="0"/>
                <w:sz w:val="24"/>
              </w:rPr>
            </w:pPr>
            <w:r>
              <w:rPr>
                <w:rFonts w:hint="eastAsia" w:ascii="宋体" w:hAnsi="宋体" w:cs="宋体"/>
                <w:kern w:val="0"/>
                <w:sz w:val="24"/>
              </w:rPr>
              <w:t>提供合格有效的法人或者其他组织的营业执照等证明文件，自然人的身份证明;</w:t>
            </w:r>
          </w:p>
        </w:tc>
        <w:tc>
          <w:tcPr>
            <w:tcW w:w="1476" w:type="dxa"/>
            <w:vAlign w:val="center"/>
          </w:tcPr>
          <w:p>
            <w:pPr>
              <w:tabs>
                <w:tab w:val="left" w:pos="0"/>
              </w:tabs>
              <w:adjustRightInd w:val="0"/>
              <w:snapToGrid w:val="0"/>
              <w:rPr>
                <w:rFonts w:ascii="宋体" w:hAnsi="宋体" w:cs="宋体"/>
                <w:kern w:val="0"/>
                <w:sz w:val="24"/>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2</w:t>
            </w:r>
          </w:p>
        </w:tc>
        <w:tc>
          <w:tcPr>
            <w:tcW w:w="1387" w:type="dxa"/>
            <w:vAlign w:val="center"/>
          </w:tcPr>
          <w:p>
            <w:pPr>
              <w:tabs>
                <w:tab w:val="left" w:pos="0"/>
              </w:tabs>
              <w:adjustRightInd w:val="0"/>
              <w:snapToGrid w:val="0"/>
              <w:jc w:val="center"/>
              <w:rPr>
                <w:rFonts w:ascii="宋体" w:hAnsi="宋体" w:cs="宋体"/>
                <w:kern w:val="0"/>
                <w:sz w:val="24"/>
              </w:rPr>
            </w:pPr>
            <w:r>
              <w:rPr>
                <w:rFonts w:ascii="宋体" w:hAnsi="宋体" w:cs="楷体"/>
                <w:sz w:val="24"/>
              </w:rPr>
              <w:t>法定代表人授权书或法定代表人身份证明</w:t>
            </w:r>
          </w:p>
        </w:tc>
        <w:tc>
          <w:tcPr>
            <w:tcW w:w="5076" w:type="dxa"/>
            <w:vAlign w:val="center"/>
          </w:tcPr>
          <w:p>
            <w:pPr>
              <w:tabs>
                <w:tab w:val="left" w:pos="0"/>
              </w:tabs>
              <w:adjustRightInd w:val="0"/>
              <w:snapToGrid w:val="0"/>
              <w:jc w:val="left"/>
              <w:rPr>
                <w:rFonts w:ascii="宋体" w:hAnsi="宋体" w:cs="宋体"/>
                <w:kern w:val="0"/>
                <w:sz w:val="24"/>
              </w:rPr>
            </w:pPr>
            <w:r>
              <w:rPr>
                <w:rFonts w:hint="eastAsia" w:ascii="宋体" w:hAnsi="宋体" w:cs="宋体"/>
                <w:kern w:val="0"/>
                <w:sz w:val="24"/>
              </w:rPr>
              <w:t>法定代表人授权书（附法定代表人、被授权人身份证复印件）及被授权人身份证；</w:t>
            </w:r>
          </w:p>
          <w:p>
            <w:pPr>
              <w:tabs>
                <w:tab w:val="left" w:pos="0"/>
              </w:tabs>
              <w:adjustRightInd w:val="0"/>
              <w:snapToGrid w:val="0"/>
              <w:jc w:val="left"/>
              <w:rPr>
                <w:rFonts w:ascii="宋体" w:hAnsi="宋体" w:cs="宋体"/>
                <w:kern w:val="0"/>
                <w:sz w:val="24"/>
              </w:rPr>
            </w:pPr>
            <w:r>
              <w:rPr>
                <w:rFonts w:hint="eastAsia" w:ascii="宋体" w:hAnsi="宋体" w:cs="宋体"/>
                <w:kern w:val="0"/>
                <w:sz w:val="24"/>
              </w:rPr>
              <w:t>（法定代表人直接参加投标，须提供法定代表人身份证明及身份证原件）。</w:t>
            </w:r>
          </w:p>
        </w:tc>
        <w:tc>
          <w:tcPr>
            <w:tcW w:w="1476" w:type="dxa"/>
            <w:vAlign w:val="center"/>
          </w:tcPr>
          <w:p>
            <w:pPr>
              <w:tabs>
                <w:tab w:val="left" w:pos="0"/>
              </w:tabs>
              <w:adjustRightInd w:val="0"/>
              <w:snapToGrid w:val="0"/>
              <w:rPr>
                <w:rFonts w:ascii="宋体" w:hAnsi="宋体" w:cs="宋体"/>
                <w:kern w:val="0"/>
                <w:sz w:val="24"/>
              </w:rPr>
            </w:pPr>
            <w:r>
              <w:rPr>
                <w:rFonts w:hint="eastAsia" w:ascii="宋体" w:hAnsi="宋体" w:cs="宋体"/>
                <w:kern w:val="0"/>
                <w:sz w:val="24"/>
              </w:rPr>
              <w:t>审查原件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731" w:type="dxa"/>
            <w:vAlign w:val="center"/>
          </w:tcPr>
          <w:p>
            <w:pPr>
              <w:tabs>
                <w:tab w:val="left" w:pos="0"/>
              </w:tabs>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1387" w:type="dxa"/>
            <w:vAlign w:val="center"/>
          </w:tcPr>
          <w:p>
            <w:pPr>
              <w:tabs>
                <w:tab w:val="left" w:pos="0"/>
              </w:tabs>
              <w:adjustRightInd w:val="0"/>
              <w:snapToGrid w:val="0"/>
              <w:jc w:val="center"/>
              <w:rPr>
                <w:rFonts w:ascii="宋体" w:hAnsi="宋体" w:cs="宋体"/>
                <w:kern w:val="0"/>
                <w:sz w:val="24"/>
              </w:rPr>
            </w:pPr>
            <w:r>
              <w:rPr>
                <w:rFonts w:ascii="宋体" w:hAnsi="宋体" w:cs="宋体"/>
                <w:kern w:val="0"/>
                <w:sz w:val="24"/>
              </w:rPr>
              <w:t>财务状况</w:t>
            </w:r>
          </w:p>
        </w:tc>
        <w:tc>
          <w:tcPr>
            <w:tcW w:w="5076" w:type="dxa"/>
            <w:vAlign w:val="center"/>
          </w:tcPr>
          <w:p>
            <w:pPr>
              <w:tabs>
                <w:tab w:val="left" w:pos="0"/>
              </w:tabs>
              <w:adjustRightInd w:val="0"/>
              <w:snapToGrid w:val="0"/>
              <w:jc w:val="left"/>
              <w:rPr>
                <w:rFonts w:ascii="宋体" w:hAnsi="宋体" w:cs="宋体"/>
                <w:kern w:val="0"/>
                <w:sz w:val="24"/>
              </w:rPr>
            </w:pPr>
            <w:r>
              <w:rPr>
                <w:rFonts w:hint="eastAsia" w:ascii="宋体" w:hAnsi="宋体" w:cs="宋体"/>
                <w:kern w:val="0"/>
                <w:sz w:val="24"/>
              </w:rPr>
              <w:t>提供2021年度财务状况报告</w:t>
            </w:r>
            <w:r>
              <w:rPr>
                <w:rFonts w:ascii="宋体" w:hAnsi="宋体"/>
                <w:sz w:val="24"/>
              </w:rPr>
              <w:t>（至少包括审计报告、资产负债表和利润表，成立时间至提交投标文件截止时间不足一年的可提供成立后任意时段的资产负债表）</w:t>
            </w:r>
            <w:r>
              <w:rPr>
                <w:rFonts w:hint="eastAsia" w:ascii="宋体" w:hAnsi="宋体"/>
                <w:sz w:val="24"/>
              </w:rPr>
              <w:t>或健全的财务会计制度</w:t>
            </w:r>
            <w:r>
              <w:rPr>
                <w:rFonts w:ascii="宋体" w:hAnsi="宋体"/>
                <w:sz w:val="24"/>
              </w:rPr>
              <w:t>或</w:t>
            </w:r>
            <w:r>
              <w:rPr>
                <w:rFonts w:hint="eastAsia" w:ascii="宋体" w:hAnsi="宋体"/>
                <w:sz w:val="24"/>
              </w:rPr>
              <w:t>其</w:t>
            </w:r>
            <w:r>
              <w:rPr>
                <w:rFonts w:ascii="宋体" w:hAnsi="宋体"/>
                <w:sz w:val="24"/>
              </w:rPr>
              <w:t>基本存款账户信息及</w:t>
            </w:r>
            <w:r>
              <w:rPr>
                <w:rFonts w:hint="eastAsia" w:ascii="宋体" w:hAnsi="宋体"/>
                <w:sz w:val="24"/>
              </w:rPr>
              <w:t>开标</w:t>
            </w:r>
            <w:r>
              <w:rPr>
                <w:rFonts w:ascii="宋体" w:hAnsi="宋体"/>
                <w:sz w:val="24"/>
              </w:rPr>
              <w:t>日期前三个月内其基本存款账户开户银行出具的资信证明或西安市政府采购信用担保机构出具的投标担保函。</w:t>
            </w:r>
          </w:p>
        </w:tc>
        <w:tc>
          <w:tcPr>
            <w:tcW w:w="1476" w:type="dxa"/>
            <w:vAlign w:val="center"/>
          </w:tcPr>
          <w:p>
            <w:pPr>
              <w:tabs>
                <w:tab w:val="left" w:pos="0"/>
              </w:tabs>
              <w:adjustRightInd w:val="0"/>
              <w:snapToGrid w:val="0"/>
              <w:rPr>
                <w:rFonts w:ascii="宋体" w:hAnsi="宋体" w:cs="宋体"/>
                <w:kern w:val="0"/>
                <w:sz w:val="24"/>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31" w:type="dxa"/>
            <w:vAlign w:val="center"/>
          </w:tcPr>
          <w:p>
            <w:pPr>
              <w:tabs>
                <w:tab w:val="left" w:pos="0"/>
              </w:tabs>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1387" w:type="dxa"/>
            <w:vAlign w:val="center"/>
          </w:tcPr>
          <w:p>
            <w:pPr>
              <w:jc w:val="center"/>
              <w:rPr>
                <w:rFonts w:ascii="宋体" w:hAnsi="宋体" w:cs="宋体"/>
                <w:kern w:val="0"/>
                <w:sz w:val="24"/>
              </w:rPr>
            </w:pPr>
            <w:r>
              <w:rPr>
                <w:rFonts w:ascii="宋体" w:hAnsi="宋体" w:cs="宋体"/>
                <w:kern w:val="0"/>
                <w:sz w:val="24"/>
              </w:rPr>
              <w:t>税收缴纳证明</w:t>
            </w:r>
          </w:p>
        </w:tc>
        <w:tc>
          <w:tcPr>
            <w:tcW w:w="5076" w:type="dxa"/>
            <w:vAlign w:val="center"/>
          </w:tcPr>
          <w:p>
            <w:pPr>
              <w:jc w:val="left"/>
              <w:rPr>
                <w:rFonts w:ascii="宋体" w:hAnsi="宋体" w:cs="宋体"/>
                <w:kern w:val="0"/>
                <w:sz w:val="24"/>
              </w:rPr>
            </w:pPr>
            <w:r>
              <w:rPr>
                <w:rFonts w:hint="eastAsia" w:ascii="宋体" w:hAnsi="宋体" w:cs="宋体"/>
                <w:kern w:val="0"/>
                <w:sz w:val="24"/>
              </w:rPr>
              <w:t>投标人提供2022年至今已缴纳的至少一个月的纳税证明或完税证明（任意税种）；依法免税的应提供相关文件证明</w:t>
            </w:r>
          </w:p>
        </w:tc>
        <w:tc>
          <w:tcPr>
            <w:tcW w:w="1476" w:type="dxa"/>
            <w:vAlign w:val="center"/>
          </w:tcPr>
          <w:p>
            <w:pPr>
              <w:tabs>
                <w:tab w:val="left" w:pos="0"/>
              </w:tabs>
              <w:adjustRightInd w:val="0"/>
              <w:snapToGrid w:val="0"/>
              <w:rPr>
                <w:rFonts w:ascii="宋体" w:hAnsi="宋体" w:cs="宋体"/>
                <w:kern w:val="0"/>
                <w:sz w:val="24"/>
                <w:highlight w:val="yellow"/>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5</w:t>
            </w:r>
          </w:p>
        </w:tc>
        <w:tc>
          <w:tcPr>
            <w:tcW w:w="1387" w:type="dxa"/>
            <w:vAlign w:val="center"/>
          </w:tcPr>
          <w:p>
            <w:pPr>
              <w:jc w:val="center"/>
              <w:rPr>
                <w:rFonts w:ascii="宋体" w:hAnsi="宋体" w:cs="宋体"/>
                <w:kern w:val="0"/>
                <w:sz w:val="24"/>
              </w:rPr>
            </w:pPr>
            <w:r>
              <w:rPr>
                <w:rFonts w:hint="eastAsia" w:ascii="宋体" w:hAnsi="宋体"/>
                <w:sz w:val="24"/>
              </w:rPr>
              <w:t>社会保障资金缴纳证明</w:t>
            </w:r>
          </w:p>
        </w:tc>
        <w:tc>
          <w:tcPr>
            <w:tcW w:w="5076" w:type="dxa"/>
            <w:vAlign w:val="center"/>
          </w:tcPr>
          <w:p>
            <w:pPr>
              <w:jc w:val="left"/>
              <w:rPr>
                <w:rFonts w:ascii="宋体" w:hAnsi="宋体" w:cs="宋体"/>
                <w:kern w:val="0"/>
                <w:sz w:val="24"/>
              </w:rPr>
            </w:pPr>
            <w:r>
              <w:rPr>
                <w:rFonts w:hint="eastAsia" w:ascii="宋体" w:hAnsi="宋体"/>
                <w:sz w:val="24"/>
              </w:rPr>
              <w:t>投标人提供2022年至今已缴存的至少一个月的社会保障资金缴存单据或社保机构开具的社会保险参保缴费情况证明；依法不需要缴纳社会保障资金的应提供相关文件证明</w:t>
            </w:r>
          </w:p>
        </w:tc>
        <w:tc>
          <w:tcPr>
            <w:tcW w:w="1476" w:type="dxa"/>
            <w:vAlign w:val="center"/>
          </w:tcPr>
          <w:p>
            <w:pPr>
              <w:tabs>
                <w:tab w:val="left" w:pos="0"/>
              </w:tabs>
              <w:adjustRightInd w:val="0"/>
              <w:snapToGrid w:val="0"/>
              <w:rPr>
                <w:rFonts w:ascii="宋体" w:hAnsi="宋体" w:cs="宋体"/>
                <w:kern w:val="0"/>
                <w:sz w:val="24"/>
                <w:highlight w:val="yellow"/>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6</w:t>
            </w:r>
          </w:p>
        </w:tc>
        <w:tc>
          <w:tcPr>
            <w:tcW w:w="1387" w:type="dxa"/>
            <w:vAlign w:val="center"/>
          </w:tcPr>
          <w:p>
            <w:pPr>
              <w:jc w:val="center"/>
              <w:rPr>
                <w:rFonts w:ascii="宋体" w:hAnsi="宋体"/>
                <w:sz w:val="24"/>
              </w:rPr>
            </w:pPr>
            <w:r>
              <w:rPr>
                <w:rFonts w:ascii="宋体" w:hAnsi="宋体"/>
                <w:sz w:val="24"/>
              </w:rPr>
              <w:t>承诺</w:t>
            </w:r>
          </w:p>
        </w:tc>
        <w:tc>
          <w:tcPr>
            <w:tcW w:w="5076" w:type="dxa"/>
            <w:vAlign w:val="center"/>
          </w:tcPr>
          <w:p>
            <w:pPr>
              <w:jc w:val="left"/>
              <w:rPr>
                <w:rFonts w:ascii="宋体" w:hAnsi="宋体"/>
                <w:sz w:val="24"/>
              </w:rPr>
            </w:pPr>
            <w:r>
              <w:rPr>
                <w:rFonts w:hint="eastAsia" w:ascii="宋体" w:hAnsi="宋体" w:cs="宋体"/>
                <w:kern w:val="0"/>
                <w:sz w:val="24"/>
                <w:lang w:val="zh-CN"/>
              </w:rPr>
              <w:t>投标人具备履行合同所必需的设备和专业技术能力</w:t>
            </w:r>
          </w:p>
        </w:tc>
        <w:tc>
          <w:tcPr>
            <w:tcW w:w="1476" w:type="dxa"/>
            <w:vAlign w:val="center"/>
          </w:tcPr>
          <w:p>
            <w:pPr>
              <w:tabs>
                <w:tab w:val="left" w:pos="0"/>
              </w:tabs>
              <w:adjustRightInd w:val="0"/>
              <w:snapToGrid w:val="0"/>
              <w:rPr>
                <w:rFonts w:ascii="宋体" w:hAnsi="宋体" w:cs="宋体"/>
                <w:kern w:val="0"/>
                <w:sz w:val="24"/>
                <w:highlight w:val="yellow"/>
              </w:rPr>
            </w:pPr>
            <w:r>
              <w:rPr>
                <w:rFonts w:hint="eastAsia" w:ascii="宋体" w:hAnsi="宋体" w:cs="宋体"/>
                <w:kern w:val="0"/>
                <w:sz w:val="24"/>
              </w:rPr>
              <w:t>提供承诺书原件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7</w:t>
            </w:r>
          </w:p>
        </w:tc>
        <w:tc>
          <w:tcPr>
            <w:tcW w:w="1387" w:type="dxa"/>
            <w:vAlign w:val="center"/>
          </w:tcPr>
          <w:p>
            <w:pPr>
              <w:tabs>
                <w:tab w:val="left" w:pos="0"/>
              </w:tabs>
              <w:adjustRightInd w:val="0"/>
              <w:snapToGrid w:val="0"/>
              <w:jc w:val="center"/>
              <w:rPr>
                <w:rFonts w:ascii="宋体" w:hAnsi="宋体" w:cs="宋体"/>
                <w:kern w:val="0"/>
                <w:sz w:val="24"/>
              </w:rPr>
            </w:pPr>
            <w:r>
              <w:rPr>
                <w:rFonts w:ascii="宋体" w:hAnsi="宋体" w:cs="宋体"/>
                <w:kern w:val="0"/>
                <w:sz w:val="24"/>
              </w:rPr>
              <w:t>书面申明</w:t>
            </w:r>
          </w:p>
        </w:tc>
        <w:tc>
          <w:tcPr>
            <w:tcW w:w="5076" w:type="dxa"/>
            <w:vAlign w:val="center"/>
          </w:tcPr>
          <w:p>
            <w:pPr>
              <w:tabs>
                <w:tab w:val="left" w:pos="0"/>
              </w:tabs>
              <w:adjustRightInd w:val="0"/>
              <w:snapToGrid w:val="0"/>
              <w:jc w:val="left"/>
              <w:rPr>
                <w:rFonts w:ascii="宋体" w:hAnsi="宋体" w:cs="宋体"/>
                <w:kern w:val="0"/>
                <w:sz w:val="24"/>
              </w:rPr>
            </w:pPr>
            <w:r>
              <w:rPr>
                <w:rFonts w:hint="eastAsia" w:ascii="宋体" w:hAnsi="宋体" w:cs="宋体"/>
                <w:kern w:val="0"/>
                <w:sz w:val="24"/>
              </w:rPr>
              <w:t>参加政府采购活动前3年内，在经营活动中没有重大违法记录的书面声明</w:t>
            </w:r>
          </w:p>
        </w:tc>
        <w:tc>
          <w:tcPr>
            <w:tcW w:w="1476" w:type="dxa"/>
            <w:vAlign w:val="center"/>
          </w:tcPr>
          <w:p>
            <w:pPr>
              <w:tabs>
                <w:tab w:val="left" w:pos="0"/>
              </w:tabs>
              <w:adjustRightInd w:val="0"/>
              <w:snapToGrid w:val="0"/>
              <w:rPr>
                <w:rFonts w:ascii="宋体" w:hAnsi="宋体" w:cs="宋体"/>
                <w:kern w:val="0"/>
                <w:sz w:val="24"/>
                <w:highlight w:val="yellow"/>
              </w:rPr>
            </w:pPr>
            <w:r>
              <w:rPr>
                <w:rFonts w:hint="eastAsia" w:ascii="宋体" w:hAnsi="宋体" w:cs="宋体"/>
                <w:kern w:val="0"/>
                <w:sz w:val="24"/>
              </w:rPr>
              <w:t>提供声明书原件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8</w:t>
            </w:r>
          </w:p>
        </w:tc>
        <w:tc>
          <w:tcPr>
            <w:tcW w:w="1387" w:type="dxa"/>
            <w:vAlign w:val="center"/>
          </w:tcPr>
          <w:p>
            <w:pPr>
              <w:tabs>
                <w:tab w:val="left" w:pos="0"/>
              </w:tabs>
              <w:adjustRightInd w:val="0"/>
              <w:snapToGrid w:val="0"/>
              <w:jc w:val="center"/>
              <w:rPr>
                <w:rFonts w:ascii="宋体" w:hAnsi="宋体" w:cs="宋体"/>
                <w:kern w:val="0"/>
                <w:sz w:val="24"/>
              </w:rPr>
            </w:pPr>
            <w:r>
              <w:rPr>
                <w:rFonts w:ascii="宋体" w:hAnsi="宋体" w:cs="宋体"/>
                <w:kern w:val="0"/>
                <w:sz w:val="24"/>
              </w:rPr>
              <w:t>控股管理关系</w:t>
            </w:r>
          </w:p>
        </w:tc>
        <w:tc>
          <w:tcPr>
            <w:tcW w:w="5076" w:type="dxa"/>
            <w:vAlign w:val="center"/>
          </w:tcPr>
          <w:p>
            <w:pPr>
              <w:tabs>
                <w:tab w:val="left" w:pos="0"/>
              </w:tabs>
              <w:adjustRightInd w:val="0"/>
              <w:snapToGrid w:val="0"/>
              <w:jc w:val="left"/>
              <w:rPr>
                <w:rFonts w:ascii="宋体" w:hAnsi="宋体" w:cs="宋体"/>
                <w:kern w:val="0"/>
                <w:sz w:val="24"/>
              </w:rPr>
            </w:pPr>
            <w:r>
              <w:rPr>
                <w:rFonts w:hint="eastAsia" w:ascii="宋体" w:hAnsi="宋体" w:cs="宋体"/>
                <w:kern w:val="0"/>
                <w:sz w:val="24"/>
                <w:lang w:val="zh-CN"/>
              </w:rPr>
              <w:t>单位负责人为同一人或者存在直接控股、管理关系的不同供应商，不得参加同一合同项下的政府采购活动。</w:t>
            </w:r>
          </w:p>
        </w:tc>
        <w:tc>
          <w:tcPr>
            <w:tcW w:w="1476" w:type="dxa"/>
            <w:vAlign w:val="center"/>
          </w:tcPr>
          <w:p>
            <w:pPr>
              <w:tabs>
                <w:tab w:val="left" w:pos="0"/>
              </w:tabs>
              <w:adjustRightInd w:val="0"/>
              <w:snapToGrid w:val="0"/>
              <w:rPr>
                <w:rFonts w:ascii="宋体" w:hAnsi="宋体" w:cs="宋体"/>
                <w:kern w:val="0"/>
                <w:sz w:val="24"/>
              </w:rPr>
            </w:pPr>
            <w:r>
              <w:rPr>
                <w:rFonts w:hint="eastAsia" w:ascii="宋体" w:hAnsi="宋体" w:cs="宋体"/>
                <w:kern w:val="0"/>
                <w:sz w:val="24"/>
              </w:rPr>
              <w:t>提供承诺书原件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9</w:t>
            </w:r>
          </w:p>
        </w:tc>
        <w:tc>
          <w:tcPr>
            <w:tcW w:w="1387" w:type="dxa"/>
            <w:vAlign w:val="center"/>
          </w:tcPr>
          <w:p>
            <w:pPr>
              <w:tabs>
                <w:tab w:val="left" w:pos="0"/>
              </w:tabs>
              <w:adjustRightInd w:val="0"/>
              <w:snapToGrid w:val="0"/>
              <w:jc w:val="center"/>
              <w:rPr>
                <w:rFonts w:ascii="宋体" w:hAnsi="宋体" w:cs="宋体"/>
                <w:kern w:val="0"/>
                <w:sz w:val="24"/>
                <w:lang w:val="zh-CN"/>
              </w:rPr>
            </w:pPr>
            <w:r>
              <w:rPr>
                <w:rFonts w:ascii="宋体" w:hAnsi="宋体" w:cs="宋体"/>
                <w:kern w:val="0"/>
                <w:sz w:val="24"/>
                <w:lang w:val="zh-CN"/>
              </w:rPr>
              <w:t>信用记录</w:t>
            </w:r>
          </w:p>
        </w:tc>
        <w:tc>
          <w:tcPr>
            <w:tcW w:w="5076" w:type="dxa"/>
            <w:vAlign w:val="center"/>
          </w:tcPr>
          <w:p>
            <w:pPr>
              <w:tabs>
                <w:tab w:val="left" w:pos="0"/>
              </w:tabs>
              <w:adjustRightInd w:val="0"/>
              <w:snapToGrid w:val="0"/>
              <w:jc w:val="left"/>
              <w:rPr>
                <w:rFonts w:ascii="宋体" w:hAnsi="宋体" w:cs="宋体"/>
                <w:kern w:val="0"/>
                <w:sz w:val="24"/>
                <w:lang w:val="zh-CN"/>
              </w:rPr>
            </w:pPr>
            <w:r>
              <w:rPr>
                <w:rFonts w:hint="eastAsia" w:ascii="宋体" w:hAnsi="宋体" w:cs="宋体"/>
                <w:kern w:val="0"/>
                <w:sz w:val="24"/>
                <w:lang w:val="zh-CN"/>
              </w:rPr>
              <w:t>“信用中国”网站(www.creditchina.gov.cn) （包括未被列入失信被执行人、未被列入重大税收违法案件当事人、未被列入政府采购不良行为记录）、中国政府采购网(www.ccgp.gov.cn) （未被列入政府采购严重违法失信行为信息记录）</w:t>
            </w:r>
          </w:p>
        </w:tc>
        <w:tc>
          <w:tcPr>
            <w:tcW w:w="1476" w:type="dxa"/>
            <w:vAlign w:val="center"/>
          </w:tcPr>
          <w:p>
            <w:pPr>
              <w:tabs>
                <w:tab w:val="left" w:pos="0"/>
              </w:tabs>
              <w:adjustRightInd w:val="0"/>
              <w:snapToGrid w:val="0"/>
              <w:rPr>
                <w:rFonts w:ascii="宋体" w:hAnsi="宋体"/>
                <w:sz w:val="24"/>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10</w:t>
            </w:r>
          </w:p>
        </w:tc>
        <w:tc>
          <w:tcPr>
            <w:tcW w:w="1387"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供应商资质</w:t>
            </w:r>
          </w:p>
        </w:tc>
        <w:tc>
          <w:tcPr>
            <w:tcW w:w="5076" w:type="dxa"/>
            <w:vAlign w:val="center"/>
          </w:tcPr>
          <w:p>
            <w:pPr>
              <w:tabs>
                <w:tab w:val="left" w:pos="0"/>
              </w:tabs>
              <w:adjustRightInd w:val="0"/>
              <w:snapToGrid w:val="0"/>
              <w:jc w:val="left"/>
              <w:rPr>
                <w:rFonts w:ascii="宋体" w:hAnsi="宋体" w:cs="宋体"/>
                <w:kern w:val="0"/>
                <w:sz w:val="24"/>
                <w:lang w:val="zh-CN"/>
              </w:rPr>
            </w:pPr>
            <w:r>
              <w:rPr>
                <w:rFonts w:hint="eastAsia" w:ascii="宋体" w:hAnsi="宋体" w:cs="宋体"/>
                <w:kern w:val="0"/>
                <w:sz w:val="24"/>
              </w:rPr>
              <w:t>供应商须具备建设行政主管部门颁发的市政公用工程施工总承包二级（含二级）及以上资质并具有有效的安全生产许可证</w:t>
            </w:r>
          </w:p>
        </w:tc>
        <w:tc>
          <w:tcPr>
            <w:tcW w:w="1476" w:type="dxa"/>
            <w:vAlign w:val="center"/>
          </w:tcPr>
          <w:p>
            <w:pPr>
              <w:tabs>
                <w:tab w:val="left" w:pos="0"/>
              </w:tabs>
              <w:adjustRightInd w:val="0"/>
              <w:snapToGrid w:val="0"/>
              <w:rPr>
                <w:rFonts w:ascii="宋体" w:hAnsi="宋体"/>
                <w:sz w:val="24"/>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11</w:t>
            </w:r>
          </w:p>
        </w:tc>
        <w:tc>
          <w:tcPr>
            <w:tcW w:w="1387" w:type="dxa"/>
            <w:vAlign w:val="center"/>
          </w:tcPr>
          <w:p>
            <w:pPr>
              <w:tabs>
                <w:tab w:val="left" w:pos="0"/>
              </w:tabs>
              <w:adjustRightInd w:val="0"/>
              <w:snapToGrid w:val="0"/>
              <w:jc w:val="center"/>
              <w:rPr>
                <w:rFonts w:ascii="宋体" w:hAnsi="宋体" w:cs="宋体"/>
                <w:kern w:val="0"/>
                <w:sz w:val="24"/>
                <w:lang w:val="zh-CN"/>
              </w:rPr>
            </w:pPr>
            <w:r>
              <w:rPr>
                <w:rFonts w:ascii="宋体" w:hAnsi="宋体" w:cs="宋体"/>
                <w:kern w:val="0"/>
                <w:sz w:val="24"/>
                <w:lang w:val="zh-CN"/>
              </w:rPr>
              <w:t>项目经理</w:t>
            </w:r>
          </w:p>
        </w:tc>
        <w:tc>
          <w:tcPr>
            <w:tcW w:w="5076" w:type="dxa"/>
            <w:vAlign w:val="center"/>
          </w:tcPr>
          <w:p>
            <w:pPr>
              <w:tabs>
                <w:tab w:val="left" w:pos="0"/>
              </w:tabs>
              <w:adjustRightInd w:val="0"/>
              <w:snapToGrid w:val="0"/>
              <w:jc w:val="left"/>
              <w:rPr>
                <w:rFonts w:ascii="宋体" w:hAnsi="宋体" w:cs="宋体"/>
                <w:kern w:val="0"/>
                <w:sz w:val="24"/>
                <w:lang w:val="zh-CN"/>
              </w:rPr>
            </w:pPr>
            <w:r>
              <w:rPr>
                <w:rFonts w:hint="eastAsia" w:ascii="宋体" w:hAnsi="宋体" w:cs="宋体"/>
                <w:kern w:val="0"/>
                <w:sz w:val="24"/>
              </w:rPr>
              <w:t>拟派项目经理须具备市政公用工程专业二级（含二级）及以上注册建造师证书，具备有效的安全生产考核合格证书（B证），且未担任其他在建工程项目的项目经理（提供无在建承诺书）；</w:t>
            </w:r>
          </w:p>
        </w:tc>
        <w:tc>
          <w:tcPr>
            <w:tcW w:w="1476" w:type="dxa"/>
            <w:vAlign w:val="center"/>
          </w:tcPr>
          <w:p>
            <w:pPr>
              <w:tabs>
                <w:tab w:val="left" w:pos="0"/>
              </w:tabs>
              <w:adjustRightInd w:val="0"/>
              <w:snapToGrid w:val="0"/>
              <w:rPr>
                <w:rFonts w:ascii="宋体" w:hAnsi="宋体"/>
                <w:sz w:val="24"/>
              </w:rPr>
            </w:pPr>
            <w:r>
              <w:rPr>
                <w:rFonts w:hint="eastAsia" w:ascii="宋体" w:hAnsi="宋体"/>
                <w:sz w:val="24"/>
              </w:rPr>
              <w:t>以提供加盖公章的复印件为准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12</w:t>
            </w:r>
          </w:p>
        </w:tc>
        <w:tc>
          <w:tcPr>
            <w:tcW w:w="1387" w:type="dxa"/>
            <w:vAlign w:val="center"/>
          </w:tcPr>
          <w:p>
            <w:pPr>
              <w:tabs>
                <w:tab w:val="left" w:pos="0"/>
              </w:tabs>
              <w:adjustRightInd w:val="0"/>
              <w:snapToGrid w:val="0"/>
              <w:jc w:val="center"/>
              <w:rPr>
                <w:rFonts w:ascii="宋体" w:hAnsi="宋体" w:cs="宋体"/>
                <w:kern w:val="0"/>
                <w:sz w:val="24"/>
                <w:lang w:val="zh-CN"/>
              </w:rPr>
            </w:pPr>
            <w:r>
              <w:rPr>
                <w:rFonts w:hint="eastAsia" w:ascii="宋体" w:hAnsi="宋体" w:cs="宋体"/>
                <w:kern w:val="0"/>
                <w:sz w:val="24"/>
              </w:rPr>
              <w:t>非联合体声明</w:t>
            </w:r>
          </w:p>
        </w:tc>
        <w:tc>
          <w:tcPr>
            <w:tcW w:w="5076" w:type="dxa"/>
            <w:vAlign w:val="center"/>
          </w:tcPr>
          <w:p>
            <w:pPr>
              <w:tabs>
                <w:tab w:val="left" w:pos="0"/>
              </w:tabs>
              <w:adjustRightInd w:val="0"/>
              <w:snapToGrid w:val="0"/>
              <w:jc w:val="left"/>
              <w:rPr>
                <w:rFonts w:ascii="宋体" w:hAnsi="宋体" w:cs="宋体"/>
                <w:kern w:val="0"/>
                <w:sz w:val="24"/>
              </w:rPr>
            </w:pPr>
            <w:r>
              <w:rPr>
                <w:rFonts w:hint="eastAsia" w:ascii="宋体" w:hAnsi="宋体" w:cs="宋体"/>
                <w:kern w:val="0"/>
                <w:szCs w:val="21"/>
              </w:rPr>
              <w:t>本项目不接受联合体投标</w:t>
            </w:r>
          </w:p>
        </w:tc>
        <w:tc>
          <w:tcPr>
            <w:tcW w:w="1476" w:type="dxa"/>
            <w:vAlign w:val="center"/>
          </w:tcPr>
          <w:p>
            <w:pPr>
              <w:tabs>
                <w:tab w:val="left" w:pos="0"/>
              </w:tabs>
              <w:adjustRightInd w:val="0"/>
              <w:snapToGrid w:val="0"/>
              <w:rPr>
                <w:rFonts w:ascii="宋体" w:hAnsi="宋体"/>
                <w:sz w:val="24"/>
              </w:rPr>
            </w:pPr>
            <w:r>
              <w:rPr>
                <w:rFonts w:hint="eastAsia" w:ascii="宋体" w:hAnsi="宋体" w:cs="宋体"/>
                <w:kern w:val="0"/>
                <w:sz w:val="24"/>
              </w:rPr>
              <w:t>提供承诺书原件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31" w:type="dxa"/>
            <w:vAlign w:val="center"/>
          </w:tcPr>
          <w:p>
            <w:pPr>
              <w:tabs>
                <w:tab w:val="left" w:pos="0"/>
              </w:tabs>
              <w:adjustRightInd w:val="0"/>
              <w:snapToGrid w:val="0"/>
              <w:jc w:val="center"/>
              <w:rPr>
                <w:rFonts w:ascii="宋体" w:hAnsi="宋体" w:cs="宋体"/>
                <w:kern w:val="0"/>
                <w:sz w:val="24"/>
              </w:rPr>
            </w:pPr>
            <w:r>
              <w:rPr>
                <w:rFonts w:hint="eastAsia" w:ascii="宋体" w:hAnsi="宋体" w:cs="宋体"/>
                <w:kern w:val="0"/>
                <w:sz w:val="24"/>
              </w:rPr>
              <w:t>备注</w:t>
            </w:r>
          </w:p>
        </w:tc>
        <w:tc>
          <w:tcPr>
            <w:tcW w:w="7939" w:type="dxa"/>
            <w:gridSpan w:val="3"/>
            <w:vAlign w:val="center"/>
          </w:tcPr>
          <w:p>
            <w:pPr>
              <w:tabs>
                <w:tab w:val="left" w:pos="0"/>
              </w:tabs>
              <w:adjustRightInd w:val="0"/>
              <w:snapToGrid w:val="0"/>
              <w:rPr>
                <w:rFonts w:ascii="宋体" w:hAnsi="宋体" w:cs="宋体"/>
                <w:b/>
                <w:kern w:val="0"/>
                <w:sz w:val="24"/>
              </w:rPr>
            </w:pPr>
            <w:r>
              <w:rPr>
                <w:rFonts w:hint="eastAsia" w:ascii="宋体" w:hAnsi="宋体"/>
                <w:b/>
                <w:sz w:val="24"/>
              </w:rPr>
              <w:t>以上各项有1项不合格，评审不予通过。若复印件不清晰的，投标人需提供原件备查。</w:t>
            </w:r>
          </w:p>
        </w:tc>
      </w:tr>
    </w:tbl>
    <w:p>
      <w:pPr>
        <w:spacing w:before="312" w:beforeLines="100" w:after="156" w:afterLines="50" w:line="360" w:lineRule="auto"/>
        <w:ind w:firstLine="562" w:firstLineChars="200"/>
        <w:rPr>
          <w:rFonts w:ascii="宋体" w:hAnsi="宋体"/>
          <w:b/>
          <w:sz w:val="28"/>
          <w:szCs w:val="28"/>
        </w:rPr>
      </w:pPr>
      <w:r>
        <w:rPr>
          <w:rFonts w:hint="eastAsia" w:ascii="宋体" w:hAnsi="宋体"/>
          <w:b/>
          <w:sz w:val="28"/>
          <w:szCs w:val="28"/>
        </w:rPr>
        <w:t>2、投标文件符合性审查</w:t>
      </w:r>
    </w:p>
    <w:p>
      <w:pPr>
        <w:spacing w:line="360" w:lineRule="auto"/>
        <w:ind w:firstLine="470" w:firstLineChars="196"/>
        <w:rPr>
          <w:rFonts w:ascii="宋体" w:hAnsi="宋体"/>
          <w:sz w:val="24"/>
        </w:rPr>
      </w:pPr>
      <w:r>
        <w:rPr>
          <w:rFonts w:hint="eastAsia" w:ascii="宋体" w:hAnsi="宋体"/>
          <w:sz w:val="24"/>
        </w:rPr>
        <w:t>评标委员会依法对符合资格条件的投标人的投标文件进行符合性审查。未通过符合性审查的投标文件，不得进入后续评标环节。</w:t>
      </w:r>
    </w:p>
    <w:p>
      <w:pPr>
        <w:spacing w:line="360" w:lineRule="auto"/>
        <w:ind w:firstLine="470" w:firstLineChars="196"/>
        <w:rPr>
          <w:rFonts w:ascii="宋体" w:hAnsi="宋体"/>
          <w:sz w:val="24"/>
        </w:rPr>
      </w:pPr>
      <w:r>
        <w:rPr>
          <w:rFonts w:hint="eastAsia" w:ascii="宋体" w:hAnsi="宋体"/>
          <w:sz w:val="24"/>
        </w:rPr>
        <w:t>评标委员会按下列评审标准进行符合性审查：</w:t>
      </w:r>
      <w:r>
        <w:rPr>
          <w:rFonts w:ascii="宋体" w:hAnsi="宋体"/>
          <w:sz w:val="24"/>
        </w:rPr>
        <w:t xml:space="preserve"> </w:t>
      </w:r>
    </w:p>
    <w:tbl>
      <w:tblPr>
        <w:tblStyle w:val="4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7"/>
        <w:gridCol w:w="499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75" w:type="dxa"/>
            <w:shd w:val="clear" w:color="auto" w:fill="F1F1F1" w:themeFill="background1" w:themeFillShade="F2"/>
            <w:vAlign w:val="center"/>
          </w:tcPr>
          <w:p>
            <w:pPr>
              <w:tabs>
                <w:tab w:val="left" w:pos="0"/>
              </w:tabs>
              <w:adjustRightInd w:val="0"/>
              <w:snapToGrid w:val="0"/>
              <w:jc w:val="center"/>
              <w:rPr>
                <w:rFonts w:ascii="宋体" w:hAnsi="宋体"/>
                <w:b/>
                <w:sz w:val="24"/>
              </w:rPr>
            </w:pPr>
            <w:r>
              <w:rPr>
                <w:rFonts w:hint="eastAsia" w:ascii="宋体" w:hAnsi="宋体"/>
                <w:b/>
                <w:sz w:val="24"/>
              </w:rPr>
              <w:t>序号</w:t>
            </w:r>
          </w:p>
        </w:tc>
        <w:tc>
          <w:tcPr>
            <w:tcW w:w="2317" w:type="dxa"/>
            <w:shd w:val="clear" w:color="auto" w:fill="F1F1F1" w:themeFill="background1" w:themeFillShade="F2"/>
            <w:vAlign w:val="center"/>
          </w:tcPr>
          <w:p>
            <w:pPr>
              <w:tabs>
                <w:tab w:val="left" w:pos="0"/>
              </w:tabs>
              <w:adjustRightInd w:val="0"/>
              <w:snapToGrid w:val="0"/>
              <w:jc w:val="center"/>
              <w:rPr>
                <w:rFonts w:ascii="宋体" w:hAnsi="宋体"/>
                <w:b/>
                <w:sz w:val="24"/>
              </w:rPr>
            </w:pPr>
            <w:r>
              <w:rPr>
                <w:rFonts w:hint="eastAsia" w:ascii="宋体" w:hAnsi="宋体"/>
                <w:b/>
                <w:sz w:val="24"/>
              </w:rPr>
              <w:t>评审因素</w:t>
            </w:r>
          </w:p>
        </w:tc>
        <w:tc>
          <w:tcPr>
            <w:tcW w:w="4992" w:type="dxa"/>
            <w:shd w:val="clear" w:color="auto" w:fill="F1F1F1" w:themeFill="background1" w:themeFillShade="F2"/>
            <w:vAlign w:val="center"/>
          </w:tcPr>
          <w:p>
            <w:pPr>
              <w:tabs>
                <w:tab w:val="left" w:pos="0"/>
              </w:tabs>
              <w:adjustRightInd w:val="0"/>
              <w:snapToGrid w:val="0"/>
              <w:jc w:val="center"/>
              <w:rPr>
                <w:rFonts w:ascii="宋体" w:hAnsi="宋体"/>
                <w:b/>
                <w:sz w:val="24"/>
              </w:rPr>
            </w:pPr>
            <w:r>
              <w:rPr>
                <w:rFonts w:hint="eastAsia" w:ascii="宋体" w:hAnsi="宋体"/>
                <w:b/>
                <w:sz w:val="24"/>
              </w:rPr>
              <w:t>评审标准</w:t>
            </w:r>
          </w:p>
        </w:tc>
        <w:tc>
          <w:tcPr>
            <w:tcW w:w="1200" w:type="dxa"/>
            <w:shd w:val="clear" w:color="auto" w:fill="F1F1F1" w:themeFill="background1" w:themeFillShade="F2"/>
            <w:vAlign w:val="center"/>
          </w:tcPr>
          <w:p>
            <w:pPr>
              <w:tabs>
                <w:tab w:val="left" w:pos="0"/>
              </w:tabs>
              <w:adjustRightInd w:val="0"/>
              <w:snapToGrid w:val="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1</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投标文件的签署盖章</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按要求签字盖章</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2</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投标文件格式</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应符合“投标文件格式”和招标文件要求</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3</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报价唯一</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只能有一个有效报价，不得提交选择性报价，且报价不超过采购预算金额或最高限价</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4</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投标文件份数</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应符合“投标人须知前附表”规定的正本、副本、电子文件数量</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5</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投标文件内容</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投标文件内容齐全、无遗漏</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6</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对招标文件响应程度</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要求全面响应，不能有任何采购人不能接受的附加条件</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7</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投标范围</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符合“投标人须知”第7款规定</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8</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服务期限</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符合“投标人须知”第10款规定</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9</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服务质量、服务标准</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符合“投标人须知”第12款规定</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10</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投标有效期</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应满足招标文件中的规定</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 w:val="24"/>
              </w:rPr>
            </w:pPr>
            <w:r>
              <w:rPr>
                <w:rFonts w:hint="eastAsia" w:ascii="宋体" w:hAnsi="宋体"/>
                <w:sz w:val="24"/>
              </w:rPr>
              <w:t>11</w:t>
            </w:r>
          </w:p>
        </w:tc>
        <w:tc>
          <w:tcPr>
            <w:tcW w:w="2317" w:type="dxa"/>
            <w:vAlign w:val="center"/>
          </w:tcPr>
          <w:p>
            <w:pPr>
              <w:tabs>
                <w:tab w:val="left" w:pos="0"/>
              </w:tabs>
              <w:adjustRightInd w:val="0"/>
              <w:snapToGrid w:val="0"/>
              <w:rPr>
                <w:rFonts w:ascii="宋体" w:hAnsi="宋体"/>
                <w:sz w:val="24"/>
              </w:rPr>
            </w:pPr>
            <w:r>
              <w:rPr>
                <w:rFonts w:hint="eastAsia" w:ascii="宋体" w:hAnsi="宋体"/>
                <w:sz w:val="24"/>
              </w:rPr>
              <w:t xml:space="preserve">清单 </w:t>
            </w:r>
          </w:p>
        </w:tc>
        <w:tc>
          <w:tcPr>
            <w:tcW w:w="4992" w:type="dxa"/>
            <w:vAlign w:val="center"/>
          </w:tcPr>
          <w:p>
            <w:pPr>
              <w:tabs>
                <w:tab w:val="left" w:pos="0"/>
              </w:tabs>
              <w:adjustRightInd w:val="0"/>
              <w:snapToGrid w:val="0"/>
              <w:rPr>
                <w:rFonts w:ascii="宋体" w:hAnsi="宋体"/>
                <w:sz w:val="24"/>
              </w:rPr>
            </w:pPr>
            <w:r>
              <w:rPr>
                <w:rFonts w:hint="eastAsia" w:ascii="宋体" w:hAnsi="宋体"/>
                <w:sz w:val="24"/>
              </w:rPr>
              <w:t>符合第五章“清单”给出的范围及数量</w:t>
            </w:r>
          </w:p>
        </w:tc>
        <w:tc>
          <w:tcPr>
            <w:tcW w:w="1200" w:type="dxa"/>
          </w:tcPr>
          <w:p>
            <w:pPr>
              <w:tabs>
                <w:tab w:val="left" w:pos="0"/>
              </w:tabs>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pPr>
              <w:tabs>
                <w:tab w:val="left" w:pos="0"/>
              </w:tabs>
              <w:adjustRightInd w:val="0"/>
              <w:snapToGrid w:val="0"/>
              <w:jc w:val="center"/>
              <w:rPr>
                <w:rFonts w:ascii="宋体" w:hAnsi="宋体"/>
                <w:szCs w:val="21"/>
              </w:rPr>
            </w:pPr>
            <w:r>
              <w:rPr>
                <w:rFonts w:hint="eastAsia" w:ascii="宋体" w:hAnsi="宋体"/>
                <w:szCs w:val="21"/>
              </w:rPr>
              <w:t>备注</w:t>
            </w:r>
          </w:p>
        </w:tc>
        <w:tc>
          <w:tcPr>
            <w:tcW w:w="8509" w:type="dxa"/>
            <w:gridSpan w:val="3"/>
            <w:vAlign w:val="center"/>
          </w:tcPr>
          <w:p>
            <w:pPr>
              <w:tabs>
                <w:tab w:val="left" w:pos="0"/>
              </w:tabs>
              <w:adjustRightInd w:val="0"/>
              <w:snapToGrid w:val="0"/>
              <w:rPr>
                <w:rFonts w:ascii="宋体" w:hAnsi="宋体"/>
                <w:sz w:val="24"/>
              </w:rPr>
            </w:pPr>
            <w:r>
              <w:rPr>
                <w:rFonts w:hint="eastAsia" w:ascii="宋体" w:hAnsi="宋体"/>
                <w:b/>
                <w:sz w:val="24"/>
              </w:rPr>
              <w:t>以上各项有1项不合格，评审不予通过，作为</w:t>
            </w:r>
            <w:r>
              <w:rPr>
                <w:rFonts w:hint="eastAsia" w:ascii="宋体" w:hAnsi="宋体" w:cs="宋体"/>
                <w:b/>
                <w:kern w:val="0"/>
                <w:sz w:val="24"/>
              </w:rPr>
              <w:t>未实质性响应招标文件。</w:t>
            </w:r>
          </w:p>
        </w:tc>
      </w:tr>
    </w:tbl>
    <w:p>
      <w:pPr>
        <w:numPr>
          <w:ilvl w:val="0"/>
          <w:numId w:val="2"/>
        </w:numPr>
        <w:spacing w:before="312" w:beforeLines="100" w:after="156" w:afterLines="50" w:line="360" w:lineRule="auto"/>
        <w:rPr>
          <w:rFonts w:ascii="宋体" w:hAnsi="宋体"/>
          <w:b/>
          <w:sz w:val="28"/>
          <w:szCs w:val="28"/>
        </w:rPr>
      </w:pPr>
      <w:r>
        <w:rPr>
          <w:rFonts w:hint="eastAsia" w:ascii="宋体" w:hAnsi="宋体"/>
          <w:b/>
          <w:sz w:val="28"/>
          <w:szCs w:val="28"/>
        </w:rPr>
        <w:t>综合评分明细表（满分100分）</w:t>
      </w:r>
    </w:p>
    <w:tbl>
      <w:tblPr>
        <w:tblStyle w:val="40"/>
        <w:tblW w:w="9174"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99"/>
        <w:gridCol w:w="1010"/>
        <w:gridCol w:w="864"/>
        <w:gridCol w:w="502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672" w:type="dxa"/>
            <w:vAlign w:val="center"/>
          </w:tcPr>
          <w:p>
            <w:pPr>
              <w:spacing w:line="400" w:lineRule="exact"/>
              <w:ind w:firstLine="28"/>
              <w:jc w:val="center"/>
              <w:rPr>
                <w:rFonts w:ascii="宋体" w:hAnsi="宋体" w:cs="宋体"/>
                <w:b/>
                <w:sz w:val="24"/>
              </w:rPr>
            </w:pPr>
            <w:r>
              <w:rPr>
                <w:rFonts w:hint="eastAsia" w:ascii="宋体" w:hAnsi="宋体" w:cs="宋体"/>
                <w:b/>
                <w:sz w:val="24"/>
              </w:rPr>
              <w:t>序号</w:t>
            </w:r>
          </w:p>
        </w:tc>
        <w:tc>
          <w:tcPr>
            <w:tcW w:w="1409" w:type="dxa"/>
            <w:gridSpan w:val="2"/>
            <w:vAlign w:val="center"/>
          </w:tcPr>
          <w:p>
            <w:pPr>
              <w:spacing w:line="400" w:lineRule="exact"/>
              <w:ind w:firstLine="28"/>
              <w:jc w:val="center"/>
              <w:rPr>
                <w:rFonts w:ascii="宋体" w:hAnsi="宋体" w:cs="宋体"/>
                <w:b/>
                <w:sz w:val="24"/>
              </w:rPr>
            </w:pPr>
            <w:r>
              <w:rPr>
                <w:rFonts w:hint="eastAsia" w:ascii="宋体" w:hAnsi="宋体" w:cs="宋体"/>
                <w:b/>
                <w:sz w:val="24"/>
              </w:rPr>
              <w:t>评分因素</w:t>
            </w:r>
          </w:p>
          <w:p>
            <w:pPr>
              <w:spacing w:line="400" w:lineRule="exact"/>
              <w:ind w:firstLine="28"/>
              <w:jc w:val="center"/>
              <w:rPr>
                <w:rFonts w:ascii="宋体" w:hAnsi="宋体" w:cs="宋体"/>
                <w:b/>
                <w:sz w:val="24"/>
              </w:rPr>
            </w:pPr>
            <w:r>
              <w:rPr>
                <w:rFonts w:hint="eastAsia" w:ascii="宋体" w:hAnsi="宋体" w:cs="宋体"/>
                <w:b/>
                <w:sz w:val="24"/>
              </w:rPr>
              <w:t>及权重</w:t>
            </w:r>
          </w:p>
        </w:tc>
        <w:tc>
          <w:tcPr>
            <w:tcW w:w="864" w:type="dxa"/>
            <w:vAlign w:val="center"/>
          </w:tcPr>
          <w:p>
            <w:pPr>
              <w:spacing w:line="400" w:lineRule="exact"/>
              <w:ind w:firstLine="28"/>
              <w:jc w:val="center"/>
              <w:rPr>
                <w:rFonts w:ascii="宋体" w:hAnsi="宋体" w:cs="宋体"/>
                <w:b/>
                <w:sz w:val="24"/>
              </w:rPr>
            </w:pPr>
            <w:r>
              <w:rPr>
                <w:rFonts w:hint="eastAsia" w:ascii="宋体" w:hAnsi="宋体" w:cs="宋体"/>
                <w:b/>
                <w:sz w:val="24"/>
              </w:rPr>
              <w:t>分值</w:t>
            </w:r>
          </w:p>
        </w:tc>
        <w:tc>
          <w:tcPr>
            <w:tcW w:w="5023" w:type="dxa"/>
            <w:vAlign w:val="center"/>
          </w:tcPr>
          <w:p>
            <w:pPr>
              <w:spacing w:line="400" w:lineRule="exact"/>
              <w:ind w:firstLine="28"/>
              <w:jc w:val="center"/>
              <w:rPr>
                <w:rFonts w:ascii="宋体" w:hAnsi="宋体" w:cs="宋体"/>
                <w:b/>
                <w:sz w:val="24"/>
              </w:rPr>
            </w:pPr>
            <w:r>
              <w:rPr>
                <w:rFonts w:hint="eastAsia" w:ascii="宋体" w:hAnsi="宋体" w:cs="宋体"/>
                <w:b/>
                <w:sz w:val="24"/>
              </w:rPr>
              <w:t>评分标准</w:t>
            </w:r>
          </w:p>
        </w:tc>
        <w:tc>
          <w:tcPr>
            <w:tcW w:w="1206" w:type="dxa"/>
            <w:vAlign w:val="center"/>
          </w:tcPr>
          <w:p>
            <w:pPr>
              <w:spacing w:line="400" w:lineRule="exact"/>
              <w:jc w:val="center"/>
              <w:rPr>
                <w:rFonts w:ascii="宋体" w:hAnsi="宋体" w:cs="宋体"/>
                <w:b/>
                <w:sz w:val="24"/>
              </w:rPr>
            </w:pPr>
            <w:r>
              <w:rPr>
                <w:rFonts w:hint="eastAsia" w:ascii="宋体" w:hAnsi="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2" w:type="dxa"/>
            <w:vAlign w:val="center"/>
          </w:tcPr>
          <w:p>
            <w:pPr>
              <w:spacing w:line="400" w:lineRule="exact"/>
              <w:ind w:firstLine="28"/>
              <w:rPr>
                <w:rFonts w:ascii="宋体" w:hAnsi="宋体" w:cs="宋体"/>
                <w:sz w:val="24"/>
              </w:rPr>
            </w:pPr>
            <w:r>
              <w:rPr>
                <w:rFonts w:hint="eastAsia" w:ascii="宋体" w:hAnsi="宋体" w:cs="宋体"/>
                <w:sz w:val="24"/>
              </w:rPr>
              <w:t>1</w:t>
            </w:r>
          </w:p>
        </w:tc>
        <w:tc>
          <w:tcPr>
            <w:tcW w:w="1409" w:type="dxa"/>
            <w:gridSpan w:val="2"/>
            <w:vAlign w:val="center"/>
          </w:tcPr>
          <w:p>
            <w:pPr>
              <w:ind w:firstLine="28"/>
              <w:rPr>
                <w:rFonts w:ascii="宋体" w:hAnsi="宋体" w:cs="宋体"/>
                <w:szCs w:val="21"/>
              </w:rPr>
            </w:pPr>
            <w:r>
              <w:rPr>
                <w:rFonts w:hint="eastAsia" w:ascii="宋体" w:hAnsi="宋体" w:cs="宋体"/>
                <w:szCs w:val="21"/>
              </w:rPr>
              <w:t>报价15%</w:t>
            </w:r>
          </w:p>
        </w:tc>
        <w:tc>
          <w:tcPr>
            <w:tcW w:w="864" w:type="dxa"/>
            <w:vAlign w:val="center"/>
          </w:tcPr>
          <w:p>
            <w:pPr>
              <w:ind w:firstLine="28"/>
              <w:rPr>
                <w:rFonts w:ascii="宋体" w:hAnsi="宋体" w:cs="宋体"/>
                <w:szCs w:val="21"/>
              </w:rPr>
            </w:pPr>
            <w:r>
              <w:rPr>
                <w:rFonts w:hint="eastAsia" w:ascii="宋体" w:hAnsi="宋体" w:cs="宋体"/>
                <w:szCs w:val="21"/>
              </w:rPr>
              <w:t>15分</w:t>
            </w:r>
          </w:p>
        </w:tc>
        <w:tc>
          <w:tcPr>
            <w:tcW w:w="5023" w:type="dxa"/>
            <w:vAlign w:val="center"/>
          </w:tcPr>
          <w:p>
            <w:pPr>
              <w:spacing w:line="300" w:lineRule="exact"/>
            </w:pPr>
            <w:r>
              <w:rPr>
                <w:rFonts w:hint="eastAsia"/>
              </w:rPr>
              <w:t>采用低价优先法计算，即满足</w:t>
            </w:r>
            <w:r>
              <w:rPr>
                <w:rFonts w:hint="eastAsia"/>
                <w:lang w:eastAsia="zh-CN"/>
              </w:rPr>
              <w:t>投标</w:t>
            </w:r>
            <w:r>
              <w:rPr>
                <w:rFonts w:hint="eastAsia"/>
              </w:rPr>
              <w:t>文件要求且价格最低的报价为评标基准价，其价格分为满分。</w:t>
            </w:r>
          </w:p>
          <w:p>
            <w:pPr>
              <w:spacing w:before="156" w:beforeLines="50"/>
              <w:rPr>
                <w:rFonts w:ascii="宋体" w:hAnsi="宋体" w:cs="宋体"/>
                <w:szCs w:val="21"/>
              </w:rPr>
            </w:pPr>
            <w:r>
              <w:rPr>
                <w:rFonts w:hint="eastAsia"/>
              </w:rPr>
              <w:t>报价得分＝（评标基准价/</w:t>
            </w:r>
            <w:r>
              <w:rPr>
                <w:rFonts w:hint="eastAsia"/>
                <w:lang w:eastAsia="zh-CN"/>
              </w:rPr>
              <w:t>投标</w:t>
            </w:r>
            <w:r>
              <w:rPr>
                <w:rFonts w:hint="eastAsia"/>
              </w:rPr>
              <w:t>报价）×15</w:t>
            </w:r>
          </w:p>
        </w:tc>
        <w:tc>
          <w:tcPr>
            <w:tcW w:w="1206" w:type="dxa"/>
            <w:vAlign w:val="center"/>
          </w:tcPr>
          <w:p>
            <w:pPr>
              <w:ind w:left="-4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2" w:type="dxa"/>
            <w:vAlign w:val="center"/>
          </w:tcPr>
          <w:p>
            <w:pPr>
              <w:spacing w:line="400" w:lineRule="exact"/>
              <w:ind w:firstLine="28"/>
              <w:rPr>
                <w:rFonts w:ascii="宋体" w:hAnsi="宋体" w:cs="宋体"/>
                <w:sz w:val="24"/>
              </w:rPr>
            </w:pPr>
            <w:r>
              <w:rPr>
                <w:rFonts w:hint="eastAsia" w:ascii="宋体" w:hAnsi="宋体" w:cs="宋体"/>
                <w:sz w:val="24"/>
              </w:rPr>
              <w:t>2</w:t>
            </w:r>
          </w:p>
        </w:tc>
        <w:tc>
          <w:tcPr>
            <w:tcW w:w="1409" w:type="dxa"/>
            <w:gridSpan w:val="2"/>
            <w:vAlign w:val="center"/>
          </w:tcPr>
          <w:p>
            <w:pPr>
              <w:ind w:firstLine="28"/>
              <w:rPr>
                <w:rFonts w:ascii="宋体" w:hAnsi="宋体" w:cs="宋体"/>
                <w:szCs w:val="21"/>
              </w:rPr>
            </w:pPr>
            <w:r>
              <w:rPr>
                <w:rFonts w:hint="eastAsia" w:ascii="宋体" w:hAnsi="宋体" w:cs="宋体"/>
                <w:szCs w:val="21"/>
              </w:rPr>
              <w:t>业绩10%</w:t>
            </w:r>
          </w:p>
        </w:tc>
        <w:tc>
          <w:tcPr>
            <w:tcW w:w="864" w:type="dxa"/>
            <w:vAlign w:val="center"/>
          </w:tcPr>
          <w:p>
            <w:pPr>
              <w:ind w:firstLine="28"/>
              <w:rPr>
                <w:rFonts w:ascii="宋体" w:hAnsi="宋体" w:cs="宋体"/>
                <w:szCs w:val="21"/>
              </w:rPr>
            </w:pPr>
            <w:r>
              <w:rPr>
                <w:rFonts w:hint="eastAsia" w:ascii="宋体" w:hAnsi="宋体" w:cs="宋体"/>
                <w:szCs w:val="21"/>
              </w:rPr>
              <w:t>10分</w:t>
            </w:r>
          </w:p>
        </w:tc>
        <w:tc>
          <w:tcPr>
            <w:tcW w:w="5023" w:type="dxa"/>
            <w:vAlign w:val="center"/>
          </w:tcPr>
          <w:p>
            <w:pPr>
              <w:spacing w:before="156" w:beforeLines="50"/>
              <w:rPr>
                <w:rFonts w:ascii="宋体" w:hAnsi="宋体" w:cs="宋体"/>
                <w:szCs w:val="21"/>
              </w:rPr>
            </w:pPr>
            <w:r>
              <w:rPr>
                <w:rFonts w:hint="eastAsia" w:ascii="宋体" w:hAnsi="宋体" w:cs="宋体"/>
                <w:szCs w:val="21"/>
              </w:rPr>
              <w:t>提供2019年1月至今企业类似项目业绩，每提供一个得2分，满分10分；不提供者不得分。</w:t>
            </w:r>
          </w:p>
        </w:tc>
        <w:tc>
          <w:tcPr>
            <w:tcW w:w="1206" w:type="dxa"/>
            <w:vAlign w:val="center"/>
          </w:tcPr>
          <w:p>
            <w:pPr>
              <w:ind w:left="-40"/>
              <w:rPr>
                <w:rFonts w:ascii="宋体" w:hAnsi="宋体" w:cs="宋体"/>
                <w:szCs w:val="21"/>
              </w:rPr>
            </w:pPr>
            <w:r>
              <w:rPr>
                <w:rFonts w:hint="eastAsia" w:ascii="宋体" w:hAnsi="宋体" w:cs="宋体"/>
                <w:szCs w:val="21"/>
              </w:rPr>
              <w:t>提供合同或中标通知书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2"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3</w:t>
            </w:r>
          </w:p>
        </w:tc>
        <w:tc>
          <w:tcPr>
            <w:tcW w:w="399" w:type="dxa"/>
            <w:vMerge w:val="restart"/>
            <w:tcBorders>
              <w:top w:val="single" w:color="auto" w:sz="4" w:space="0"/>
              <w:left w:val="single" w:color="auto" w:sz="4" w:space="0"/>
              <w:right w:val="single" w:color="auto" w:sz="4" w:space="0"/>
            </w:tcBorders>
            <w:vAlign w:val="center"/>
          </w:tcPr>
          <w:p>
            <w:pPr>
              <w:spacing w:line="400" w:lineRule="exact"/>
              <w:ind w:firstLine="28"/>
              <w:rPr>
                <w:rFonts w:ascii="宋体" w:hAnsi="宋体" w:cs="宋体"/>
                <w:sz w:val="24"/>
              </w:rPr>
            </w:pPr>
            <w:r>
              <w:rPr>
                <w:rFonts w:hint="eastAsia" w:ascii="宋体" w:hAnsi="宋体" w:cs="仿宋"/>
                <w:sz w:val="24"/>
              </w:rPr>
              <w:t>技术服务方案</w:t>
            </w:r>
            <w:r>
              <w:rPr>
                <w:rFonts w:hint="eastAsia" w:ascii="宋体" w:hAnsi="宋体" w:cs="宋体"/>
                <w:sz w:val="24"/>
              </w:rPr>
              <w:t>75%</w:t>
            </w:r>
          </w:p>
          <w:p>
            <w:pPr>
              <w:spacing w:line="400" w:lineRule="exact"/>
              <w:ind w:firstLine="28"/>
              <w:rPr>
                <w:rFonts w:ascii="宋体" w:hAnsi="宋体" w:cs="宋体"/>
                <w:sz w:val="24"/>
              </w:rPr>
            </w:pPr>
          </w:p>
        </w:tc>
        <w:tc>
          <w:tcPr>
            <w:tcW w:w="1010" w:type="dxa"/>
            <w:vMerge w:val="restart"/>
            <w:tcBorders>
              <w:top w:val="single" w:color="auto" w:sz="4" w:space="0"/>
              <w:left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养护施工组织方案20%</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10分</w:t>
            </w:r>
          </w:p>
        </w:tc>
        <w:tc>
          <w:tcPr>
            <w:tcW w:w="5023"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日常巡查方案（包含人员安排、车辆安排、路线安排、巡查计划等）。按其响应程度计1-10分；</w:t>
            </w:r>
          </w:p>
        </w:tc>
        <w:tc>
          <w:tcPr>
            <w:tcW w:w="1206"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2" w:type="dxa"/>
            <w:vMerge w:val="continue"/>
            <w:tcBorders>
              <w:left w:val="single" w:color="auto" w:sz="4" w:space="0"/>
              <w:right w:val="single" w:color="auto" w:sz="4" w:space="0"/>
            </w:tcBorders>
            <w:vAlign w:val="center"/>
          </w:tcPr>
          <w:p>
            <w:pPr>
              <w:spacing w:line="360" w:lineRule="auto"/>
              <w:rPr>
                <w:rFonts w:ascii="宋体" w:hAnsi="宋体" w:cs="宋体"/>
                <w:sz w:val="24"/>
              </w:rPr>
            </w:pPr>
          </w:p>
        </w:tc>
        <w:tc>
          <w:tcPr>
            <w:tcW w:w="399" w:type="dxa"/>
            <w:vMerge w:val="continue"/>
            <w:tcBorders>
              <w:left w:val="single" w:color="auto" w:sz="4" w:space="0"/>
              <w:right w:val="single" w:color="auto" w:sz="4" w:space="0"/>
            </w:tcBorders>
            <w:vAlign w:val="center"/>
          </w:tcPr>
          <w:p>
            <w:pPr>
              <w:spacing w:line="400" w:lineRule="exact"/>
              <w:ind w:firstLine="28"/>
              <w:rPr>
                <w:rFonts w:ascii="宋体" w:hAnsi="宋体" w:cs="宋体"/>
                <w:sz w:val="24"/>
              </w:rPr>
            </w:pPr>
          </w:p>
        </w:tc>
        <w:tc>
          <w:tcPr>
            <w:tcW w:w="1010" w:type="dxa"/>
            <w:vMerge w:val="continue"/>
            <w:tcBorders>
              <w:left w:val="single" w:color="auto" w:sz="4" w:space="0"/>
              <w:right w:val="single" w:color="auto" w:sz="4" w:space="0"/>
            </w:tcBorders>
            <w:vAlign w:val="center"/>
          </w:tcPr>
          <w:p>
            <w:pPr>
              <w:spacing w:before="156" w:beforeLines="50"/>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宋体" w:hAnsi="宋体" w:cs="宋体"/>
                <w:szCs w:val="21"/>
              </w:rPr>
            </w:pPr>
            <w:r>
              <w:rPr>
                <w:rFonts w:hint="eastAsia" w:ascii="宋体" w:hAnsi="宋体" w:cs="宋体"/>
                <w:szCs w:val="21"/>
              </w:rPr>
              <w:t>10分</w:t>
            </w:r>
          </w:p>
        </w:tc>
        <w:tc>
          <w:tcPr>
            <w:tcW w:w="5023"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维修养护方案（包含人员配备、车辆、设备、材料配备、养护技术方案）。按其响应程度计1-10分。</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2" w:type="dxa"/>
            <w:vMerge w:val="continue"/>
            <w:tcBorders>
              <w:left w:val="single" w:color="auto" w:sz="4" w:space="0"/>
              <w:right w:val="single" w:color="auto" w:sz="4" w:space="0"/>
            </w:tcBorders>
            <w:vAlign w:val="center"/>
          </w:tcPr>
          <w:p>
            <w:pPr>
              <w:spacing w:line="360" w:lineRule="auto"/>
              <w:rPr>
                <w:rFonts w:ascii="宋体" w:hAnsi="宋体" w:cs="宋体"/>
                <w:sz w:val="24"/>
              </w:rPr>
            </w:pPr>
          </w:p>
        </w:tc>
        <w:tc>
          <w:tcPr>
            <w:tcW w:w="399" w:type="dxa"/>
            <w:vMerge w:val="continue"/>
            <w:tcBorders>
              <w:left w:val="single" w:color="auto" w:sz="4" w:space="0"/>
              <w:right w:val="single" w:color="auto" w:sz="4" w:space="0"/>
            </w:tcBorders>
            <w:vAlign w:val="center"/>
          </w:tcPr>
          <w:p>
            <w:pPr>
              <w:spacing w:line="400" w:lineRule="exact"/>
              <w:ind w:firstLine="28"/>
              <w:rPr>
                <w:rFonts w:ascii="宋体" w:hAnsi="宋体" w:cs="宋体"/>
                <w:sz w:val="24"/>
              </w:rPr>
            </w:pPr>
          </w:p>
        </w:tc>
        <w:tc>
          <w:tcPr>
            <w:tcW w:w="1010" w:type="dxa"/>
            <w:vMerge w:val="restart"/>
            <w:tcBorders>
              <w:top w:val="single" w:color="auto" w:sz="4" w:space="0"/>
              <w:left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服务保障措施40%</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10分</w:t>
            </w:r>
          </w:p>
        </w:tc>
        <w:tc>
          <w:tcPr>
            <w:tcW w:w="5023"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养护方法及标准的正确性、规范性及质量保证措施。按其响应程度计1-10分。</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2" w:type="dxa"/>
            <w:vMerge w:val="continue"/>
            <w:tcBorders>
              <w:left w:val="single" w:color="auto" w:sz="4" w:space="0"/>
              <w:right w:val="single" w:color="auto" w:sz="4" w:space="0"/>
            </w:tcBorders>
            <w:vAlign w:val="center"/>
          </w:tcPr>
          <w:p>
            <w:pPr>
              <w:spacing w:line="360" w:lineRule="auto"/>
              <w:rPr>
                <w:rFonts w:ascii="宋体" w:hAnsi="宋体" w:cs="宋体"/>
                <w:sz w:val="24"/>
              </w:rPr>
            </w:pPr>
          </w:p>
        </w:tc>
        <w:tc>
          <w:tcPr>
            <w:tcW w:w="399" w:type="dxa"/>
            <w:vMerge w:val="continue"/>
            <w:tcBorders>
              <w:left w:val="single" w:color="auto" w:sz="4" w:space="0"/>
              <w:right w:val="single" w:color="auto" w:sz="4" w:space="0"/>
            </w:tcBorders>
            <w:vAlign w:val="center"/>
          </w:tcPr>
          <w:p>
            <w:pPr>
              <w:spacing w:line="400" w:lineRule="exact"/>
              <w:ind w:firstLine="28"/>
              <w:rPr>
                <w:rFonts w:ascii="宋体" w:hAnsi="宋体" w:cs="宋体"/>
                <w:sz w:val="24"/>
              </w:rPr>
            </w:pPr>
          </w:p>
        </w:tc>
        <w:tc>
          <w:tcPr>
            <w:tcW w:w="1010" w:type="dxa"/>
            <w:vMerge w:val="continue"/>
            <w:tcBorders>
              <w:left w:val="single" w:color="auto" w:sz="4" w:space="0"/>
              <w:right w:val="single" w:color="auto" w:sz="4" w:space="0"/>
            </w:tcBorders>
            <w:vAlign w:val="center"/>
          </w:tcPr>
          <w:p>
            <w:pPr>
              <w:spacing w:before="156" w:beforeLines="50"/>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8分</w:t>
            </w:r>
          </w:p>
        </w:tc>
        <w:tc>
          <w:tcPr>
            <w:tcW w:w="5023"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组织管理体系、教育培训、责任监督措施。按其响应程度计1-8分。</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672" w:type="dxa"/>
            <w:vMerge w:val="continue"/>
            <w:tcBorders>
              <w:left w:val="single" w:color="auto" w:sz="4" w:space="0"/>
              <w:right w:val="single" w:color="auto" w:sz="4" w:space="0"/>
            </w:tcBorders>
            <w:vAlign w:val="center"/>
          </w:tcPr>
          <w:p>
            <w:pPr>
              <w:spacing w:line="360" w:lineRule="auto"/>
              <w:rPr>
                <w:rFonts w:ascii="宋体" w:hAnsi="宋体" w:cs="宋体"/>
                <w:sz w:val="24"/>
              </w:rPr>
            </w:pPr>
          </w:p>
        </w:tc>
        <w:tc>
          <w:tcPr>
            <w:tcW w:w="399" w:type="dxa"/>
            <w:vMerge w:val="continue"/>
            <w:tcBorders>
              <w:left w:val="single" w:color="auto" w:sz="4" w:space="0"/>
              <w:right w:val="single" w:color="auto" w:sz="4" w:space="0"/>
            </w:tcBorders>
            <w:vAlign w:val="center"/>
          </w:tcPr>
          <w:p>
            <w:pPr>
              <w:spacing w:line="400" w:lineRule="exact"/>
              <w:ind w:firstLine="28"/>
              <w:rPr>
                <w:rFonts w:ascii="宋体" w:hAnsi="宋体" w:cs="宋体"/>
                <w:sz w:val="24"/>
              </w:rPr>
            </w:pPr>
          </w:p>
        </w:tc>
        <w:tc>
          <w:tcPr>
            <w:tcW w:w="1010" w:type="dxa"/>
            <w:vMerge w:val="continue"/>
            <w:tcBorders>
              <w:left w:val="single" w:color="auto" w:sz="4" w:space="0"/>
              <w:right w:val="single" w:color="auto" w:sz="4" w:space="0"/>
            </w:tcBorders>
            <w:vAlign w:val="center"/>
          </w:tcPr>
          <w:p>
            <w:pPr>
              <w:spacing w:line="400" w:lineRule="exact"/>
              <w:ind w:firstLine="28"/>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10分</w:t>
            </w:r>
          </w:p>
        </w:tc>
        <w:tc>
          <w:tcPr>
            <w:tcW w:w="5023"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文明作业计划安排措施及安全生产防范保障措施。按其响应程度计1-10分。</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672" w:type="dxa"/>
            <w:vMerge w:val="continue"/>
            <w:tcBorders>
              <w:left w:val="single" w:color="auto" w:sz="4" w:space="0"/>
              <w:right w:val="single" w:color="auto" w:sz="4" w:space="0"/>
            </w:tcBorders>
            <w:vAlign w:val="center"/>
          </w:tcPr>
          <w:p>
            <w:pPr>
              <w:spacing w:line="360" w:lineRule="auto"/>
              <w:rPr>
                <w:rFonts w:ascii="宋体" w:hAnsi="宋体" w:cs="宋体"/>
                <w:sz w:val="24"/>
              </w:rPr>
            </w:pPr>
          </w:p>
        </w:tc>
        <w:tc>
          <w:tcPr>
            <w:tcW w:w="399" w:type="dxa"/>
            <w:vMerge w:val="continue"/>
            <w:tcBorders>
              <w:left w:val="single" w:color="auto" w:sz="4" w:space="0"/>
              <w:right w:val="single" w:color="auto" w:sz="4" w:space="0"/>
            </w:tcBorders>
            <w:vAlign w:val="center"/>
          </w:tcPr>
          <w:p>
            <w:pPr>
              <w:spacing w:line="400" w:lineRule="exact"/>
              <w:ind w:firstLine="28"/>
              <w:rPr>
                <w:rFonts w:ascii="宋体" w:hAnsi="宋体" w:cs="宋体"/>
                <w:sz w:val="24"/>
              </w:rPr>
            </w:pPr>
          </w:p>
        </w:tc>
        <w:tc>
          <w:tcPr>
            <w:tcW w:w="1010" w:type="dxa"/>
            <w:vMerge w:val="continue"/>
            <w:tcBorders>
              <w:left w:val="single" w:color="auto" w:sz="4" w:space="0"/>
              <w:right w:val="single" w:color="auto" w:sz="4" w:space="0"/>
            </w:tcBorders>
            <w:vAlign w:val="center"/>
          </w:tcPr>
          <w:p>
            <w:pPr>
              <w:spacing w:line="400" w:lineRule="exact"/>
              <w:ind w:firstLine="28"/>
              <w:rPr>
                <w:rFonts w:ascii="宋体" w:hAnsi="宋体" w:cs="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12分</w:t>
            </w:r>
          </w:p>
        </w:tc>
        <w:tc>
          <w:tcPr>
            <w:tcW w:w="5023" w:type="dxa"/>
            <w:tcBorders>
              <w:top w:val="single" w:color="auto" w:sz="4" w:space="0"/>
              <w:left w:val="single" w:color="auto" w:sz="4" w:space="0"/>
              <w:bottom w:val="single" w:color="auto" w:sz="4" w:space="0"/>
              <w:right w:val="single" w:color="auto" w:sz="4" w:space="0"/>
            </w:tcBorders>
            <w:vAlign w:val="center"/>
          </w:tcPr>
          <w:p>
            <w:pPr>
              <w:spacing w:before="156" w:beforeLines="50"/>
              <w:rPr>
                <w:rFonts w:ascii="宋体" w:hAnsi="宋体" w:cs="宋体"/>
                <w:szCs w:val="21"/>
              </w:rPr>
            </w:pPr>
            <w:r>
              <w:rPr>
                <w:rFonts w:hint="eastAsia" w:ascii="宋体" w:hAnsi="宋体" w:cs="宋体"/>
                <w:szCs w:val="21"/>
              </w:rPr>
              <w:t>发生突发事故应急反应措施，针对汛期编制完善的防汛应急预案。按其响应程度计1-12分</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72" w:type="dxa"/>
            <w:vMerge w:val="continue"/>
            <w:tcBorders>
              <w:left w:val="single" w:color="auto" w:sz="4" w:space="0"/>
              <w:right w:val="single" w:color="auto" w:sz="4" w:space="0"/>
            </w:tcBorders>
            <w:vAlign w:val="center"/>
          </w:tcPr>
          <w:p>
            <w:pPr>
              <w:spacing w:line="360" w:lineRule="auto"/>
              <w:rPr>
                <w:rFonts w:ascii="宋体" w:hAnsi="宋体" w:cs="宋体"/>
                <w:sz w:val="24"/>
              </w:rPr>
            </w:pPr>
          </w:p>
        </w:tc>
        <w:tc>
          <w:tcPr>
            <w:tcW w:w="399" w:type="dxa"/>
            <w:vMerge w:val="continue"/>
            <w:tcBorders>
              <w:left w:val="single" w:color="auto" w:sz="4" w:space="0"/>
              <w:right w:val="single" w:color="auto" w:sz="4" w:space="0"/>
            </w:tcBorders>
            <w:vAlign w:val="center"/>
          </w:tcPr>
          <w:p>
            <w:pPr>
              <w:spacing w:line="400" w:lineRule="exact"/>
              <w:ind w:firstLine="28"/>
              <w:rPr>
                <w:rFonts w:ascii="宋体" w:hAnsi="宋体" w:cs="宋体"/>
                <w:sz w:val="24"/>
              </w:rPr>
            </w:pPr>
          </w:p>
        </w:tc>
        <w:tc>
          <w:tcPr>
            <w:tcW w:w="1010" w:type="dxa"/>
            <w:tcBorders>
              <w:left w:val="single" w:color="auto" w:sz="4" w:space="0"/>
              <w:bottom w:val="single" w:color="auto" w:sz="4" w:space="0"/>
              <w:right w:val="single" w:color="auto" w:sz="4" w:space="0"/>
            </w:tcBorders>
            <w:vAlign w:val="center"/>
          </w:tcPr>
          <w:p>
            <w:pPr>
              <w:spacing w:line="400" w:lineRule="exact"/>
              <w:ind w:firstLine="28"/>
              <w:rPr>
                <w:rFonts w:ascii="宋体" w:hAnsi="宋体" w:cs="宋体"/>
                <w:szCs w:val="21"/>
              </w:rPr>
            </w:pPr>
            <w:r>
              <w:rPr>
                <w:rFonts w:hint="eastAsia" w:ascii="宋体" w:hAnsi="宋体" w:cs="宋体"/>
                <w:szCs w:val="21"/>
              </w:rPr>
              <w:t>服务承诺15%</w:t>
            </w:r>
          </w:p>
        </w:tc>
        <w:tc>
          <w:tcPr>
            <w:tcW w:w="864"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r>
              <w:rPr>
                <w:rFonts w:hint="eastAsia" w:ascii="宋体" w:hAnsi="宋体" w:cs="宋体"/>
                <w:szCs w:val="21"/>
              </w:rPr>
              <w:t>15分</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r>
              <w:rPr>
                <w:rFonts w:hint="eastAsia" w:ascii="宋体" w:hAnsi="宋体" w:cs="宋体"/>
                <w:szCs w:val="21"/>
              </w:rPr>
              <w:t>具有完整的配合养护服务及河道防汛服务考核的措施与承诺。其响应程度计8-15分</w:t>
            </w:r>
          </w:p>
        </w:tc>
        <w:tc>
          <w:tcPr>
            <w:tcW w:w="1206" w:type="dxa"/>
            <w:tcBorders>
              <w:top w:val="single" w:color="auto" w:sz="4" w:space="0"/>
              <w:left w:val="single" w:color="auto" w:sz="4" w:space="0"/>
              <w:bottom w:val="single" w:color="auto" w:sz="4" w:space="0"/>
              <w:right w:val="single" w:color="auto" w:sz="4" w:space="0"/>
            </w:tcBorders>
            <w:vAlign w:val="center"/>
          </w:tcPr>
          <w:p>
            <w:pPr>
              <w:spacing w:line="36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17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textAlignment w:val="baseline"/>
              <w:rPr>
                <w:rFonts w:ascii="宋体" w:hAnsi="宋体" w:cs="宋体"/>
                <w:sz w:val="24"/>
              </w:rPr>
            </w:pPr>
            <w:r>
              <w:rPr>
                <w:rFonts w:hint="eastAsia" w:ascii="宋体" w:hAnsi="宋体" w:cs="宋体"/>
                <w:sz w:val="24"/>
              </w:rPr>
              <w:t>备注：</w:t>
            </w:r>
          </w:p>
          <w:p>
            <w:pPr>
              <w:widowControl/>
              <w:snapToGrid w:val="0"/>
              <w:spacing w:line="360" w:lineRule="auto"/>
              <w:textAlignment w:val="baseline"/>
              <w:rPr>
                <w:rFonts w:ascii="宋体" w:hAnsi="宋体" w:cs="宋体"/>
                <w:sz w:val="24"/>
              </w:rPr>
            </w:pPr>
            <w:r>
              <w:rPr>
                <w:rFonts w:hint="eastAsia" w:ascii="宋体" w:hAnsi="宋体" w:cs="宋体"/>
                <w:sz w:val="24"/>
              </w:rPr>
              <w:t>1) 若出现综合得分并列时，比较报价得分，此分项得分高者排序在前；若报价得分仍相同，比较技术部分得分，此分项得分高者排序在前；若技术部分得分仍相同，则由评标小组无记名投票，得票高者排序在前。</w:t>
            </w:r>
          </w:p>
          <w:p>
            <w:pPr>
              <w:widowControl/>
              <w:snapToGrid w:val="0"/>
              <w:spacing w:line="360" w:lineRule="auto"/>
              <w:textAlignment w:val="baseline"/>
              <w:rPr>
                <w:rFonts w:ascii="宋体" w:hAnsi="宋体" w:cs="宋体"/>
                <w:sz w:val="24"/>
              </w:rPr>
            </w:pPr>
            <w:r>
              <w:rPr>
                <w:rFonts w:hint="eastAsia" w:ascii="宋体" w:hAnsi="宋体" w:cs="宋体"/>
                <w:sz w:val="24"/>
              </w:rPr>
              <w:t>2) 报价文件中缺少某分项或有严重错误时，该分项为0分。</w:t>
            </w:r>
          </w:p>
          <w:p>
            <w:pPr>
              <w:widowControl/>
              <w:snapToGrid w:val="0"/>
              <w:spacing w:line="360" w:lineRule="auto"/>
              <w:textAlignment w:val="baseline"/>
              <w:rPr>
                <w:rFonts w:ascii="宋体" w:hAnsi="宋体" w:cs="宋体"/>
                <w:sz w:val="24"/>
              </w:rPr>
            </w:pPr>
            <w:r>
              <w:rPr>
                <w:rFonts w:hint="eastAsia" w:ascii="宋体" w:hAnsi="宋体" w:cs="宋体"/>
                <w:sz w:val="24"/>
              </w:rPr>
              <w:t>3) 各种计算采用插入法，数字均保留两位小数，第三位“四舍五入”。</w:t>
            </w:r>
          </w:p>
          <w:p>
            <w:pPr>
              <w:spacing w:line="440" w:lineRule="exact"/>
              <w:rPr>
                <w:rFonts w:ascii="宋体" w:hAnsi="宋体" w:cs="宋体"/>
                <w:szCs w:val="21"/>
              </w:rPr>
            </w:pPr>
            <w:r>
              <w:rPr>
                <w:rFonts w:hint="eastAsia" w:ascii="宋体" w:hAnsi="宋体" w:cs="宋体"/>
                <w:sz w:val="24"/>
              </w:rPr>
              <w:t>4)最低报价不是中标的唯一条件。</w:t>
            </w:r>
          </w:p>
        </w:tc>
      </w:tr>
    </w:tbl>
    <w:p>
      <w:pPr>
        <w:spacing w:before="312" w:beforeLines="100" w:after="156" w:afterLines="50" w:line="360" w:lineRule="auto"/>
        <w:ind w:firstLine="562" w:firstLineChars="200"/>
        <w:rPr>
          <w:rFonts w:ascii="宋体" w:hAnsi="宋体"/>
          <w:b/>
          <w:sz w:val="28"/>
          <w:szCs w:val="28"/>
        </w:rPr>
      </w:pPr>
      <w:r>
        <w:rPr>
          <w:rFonts w:hint="eastAsia" w:ascii="宋体" w:hAnsi="宋体"/>
          <w:b/>
          <w:sz w:val="28"/>
          <w:szCs w:val="28"/>
        </w:rPr>
        <w:t>4、</w:t>
      </w:r>
      <w:r>
        <w:rPr>
          <w:rFonts w:ascii="宋体" w:hAnsi="宋体"/>
          <w:b/>
          <w:sz w:val="28"/>
          <w:szCs w:val="28"/>
        </w:rPr>
        <w:t>推荐中标候选人</w:t>
      </w:r>
    </w:p>
    <w:p>
      <w:pPr>
        <w:spacing w:line="500" w:lineRule="exact"/>
        <w:ind w:firstLine="480" w:firstLineChars="200"/>
        <w:rPr>
          <w:rFonts w:ascii="宋体" w:hAnsi="宋体"/>
          <w:sz w:val="24"/>
        </w:rPr>
      </w:pPr>
      <w:r>
        <w:rPr>
          <w:rFonts w:hint="eastAsia" w:ascii="宋体" w:hAnsi="宋体"/>
          <w:sz w:val="24"/>
        </w:rPr>
        <w:t>评标委员会根据综合评分情况，按照评审后得分由高到低顺序推荐中标候选人。得分相同的，按投标报价由低到高顺序排列。得分且投标报价相同的并列。投标文件满足招标文件全部实质性要求，且按照评审因素的量化指标评审得分最高的供应商为排名第一的中标候选人。</w:t>
      </w:r>
    </w:p>
    <w:p>
      <w:pPr>
        <w:spacing w:before="312" w:beforeLines="100" w:after="156" w:afterLines="50" w:line="360" w:lineRule="auto"/>
        <w:ind w:firstLine="562" w:firstLineChars="200"/>
        <w:rPr>
          <w:rFonts w:ascii="宋体" w:hAnsi="宋体"/>
          <w:b/>
          <w:sz w:val="28"/>
          <w:szCs w:val="28"/>
        </w:rPr>
      </w:pPr>
      <w:r>
        <w:rPr>
          <w:rFonts w:hint="eastAsia" w:ascii="宋体" w:hAnsi="宋体"/>
          <w:b/>
          <w:sz w:val="28"/>
          <w:szCs w:val="28"/>
        </w:rPr>
        <w:t>5、</w:t>
      </w:r>
      <w:r>
        <w:rPr>
          <w:rFonts w:ascii="宋体" w:hAnsi="宋体"/>
          <w:b/>
          <w:sz w:val="28"/>
          <w:szCs w:val="28"/>
        </w:rPr>
        <w:t>编写评审报告</w:t>
      </w:r>
    </w:p>
    <w:p>
      <w:pPr>
        <w:spacing w:line="500" w:lineRule="exact"/>
        <w:ind w:firstLine="480" w:firstLineChars="200"/>
        <w:rPr>
          <w:rFonts w:ascii="宋体" w:hAnsi="宋体"/>
          <w:sz w:val="24"/>
        </w:rPr>
      </w:pPr>
      <w:r>
        <w:rPr>
          <w:rFonts w:hint="eastAsia" w:ascii="宋体" w:hAnsi="宋体"/>
          <w:sz w:val="24"/>
        </w:rPr>
        <w:t>评审报告是评标委员会根据全体评标成员签字的原始评标记录和评标结果编写的报告，其主要内容包括：</w:t>
      </w:r>
    </w:p>
    <w:p>
      <w:pPr>
        <w:spacing w:line="500" w:lineRule="exact"/>
        <w:ind w:firstLine="480" w:firstLineChars="200"/>
        <w:rPr>
          <w:rFonts w:ascii="宋体" w:hAnsi="宋体"/>
          <w:sz w:val="24"/>
        </w:rPr>
      </w:pPr>
      <w:r>
        <w:rPr>
          <w:rFonts w:hint="eastAsia" w:ascii="宋体" w:hAnsi="宋体"/>
          <w:sz w:val="24"/>
        </w:rPr>
        <w:t>（1）招标公告刊登的媒体名称、开标日期和地点；</w:t>
      </w:r>
    </w:p>
    <w:p>
      <w:pPr>
        <w:spacing w:line="500" w:lineRule="exact"/>
        <w:ind w:firstLine="480" w:firstLineChars="200"/>
        <w:rPr>
          <w:rFonts w:ascii="宋体" w:hAnsi="宋体"/>
          <w:sz w:val="24"/>
        </w:rPr>
      </w:pPr>
      <w:r>
        <w:rPr>
          <w:rFonts w:hint="eastAsia" w:ascii="宋体" w:hAnsi="宋体"/>
          <w:sz w:val="24"/>
        </w:rPr>
        <w:t>（2）投标供应商名单和评标委员会成员名单；</w:t>
      </w:r>
    </w:p>
    <w:p>
      <w:pPr>
        <w:spacing w:line="500" w:lineRule="exact"/>
        <w:ind w:firstLine="480" w:firstLineChars="200"/>
        <w:rPr>
          <w:rFonts w:ascii="宋体" w:hAnsi="宋体"/>
          <w:sz w:val="24"/>
        </w:rPr>
      </w:pPr>
      <w:r>
        <w:rPr>
          <w:rFonts w:hint="eastAsia" w:ascii="宋体" w:hAnsi="宋体"/>
          <w:sz w:val="24"/>
        </w:rPr>
        <w:t>（3）评标方法；</w:t>
      </w:r>
    </w:p>
    <w:p>
      <w:pPr>
        <w:spacing w:line="500" w:lineRule="exact"/>
        <w:ind w:firstLine="480" w:firstLineChars="200"/>
        <w:rPr>
          <w:rFonts w:ascii="宋体" w:hAnsi="宋体"/>
          <w:sz w:val="24"/>
        </w:rPr>
      </w:pPr>
      <w:r>
        <w:rPr>
          <w:rFonts w:hint="eastAsia" w:ascii="宋体" w:hAnsi="宋体"/>
          <w:sz w:val="24"/>
        </w:rPr>
        <w:t>（4）开标记录和评标情况及说明，包括投标无效供应商名单及原因；</w:t>
      </w:r>
    </w:p>
    <w:p>
      <w:pPr>
        <w:spacing w:line="500" w:lineRule="exact"/>
        <w:ind w:firstLine="480" w:firstLineChars="200"/>
        <w:rPr>
          <w:rFonts w:ascii="宋体" w:hAnsi="宋体"/>
          <w:sz w:val="24"/>
        </w:rPr>
      </w:pPr>
      <w:r>
        <w:rPr>
          <w:rFonts w:hint="eastAsia" w:ascii="宋体" w:hAnsi="宋体"/>
          <w:sz w:val="24"/>
        </w:rPr>
        <w:t>（5）评标结果，确定的中标候选人名单或者经采购人委托直接确定的中标供应商；</w:t>
      </w:r>
    </w:p>
    <w:p>
      <w:pPr>
        <w:spacing w:line="500" w:lineRule="exact"/>
        <w:ind w:firstLine="480" w:firstLineChars="200"/>
        <w:rPr>
          <w:rFonts w:ascii="宋体" w:hAnsi="宋体"/>
          <w:sz w:val="24"/>
        </w:rPr>
      </w:pPr>
      <w:r>
        <w:rPr>
          <w:rFonts w:hint="eastAsia" w:ascii="宋体" w:hAnsi="宋体"/>
          <w:sz w:val="24"/>
        </w:rPr>
        <w:t>（6）其他需要说明的情况，包括评标过程中投标供应商根据评标委员会要求进行的澄清、说明或者补正，评标委员会成员的更换等。</w:t>
      </w:r>
    </w:p>
    <w:p>
      <w:pPr>
        <w:pStyle w:val="2"/>
        <w:spacing w:line="500" w:lineRule="exact"/>
        <w:rPr>
          <w:rFonts w:ascii="宋体" w:hAnsi="宋体"/>
          <w:sz w:val="24"/>
          <w:szCs w:val="24"/>
        </w:rPr>
      </w:pPr>
      <w:r>
        <w:rPr>
          <w:rFonts w:hint="eastAsia" w:ascii="宋体" w:hAnsi="宋体"/>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before="156" w:beforeLines="50" w:after="156" w:afterLines="50"/>
        <w:ind w:firstLine="321" w:firstLineChars="100"/>
        <w:jc w:val="left"/>
        <w:outlineLvl w:val="1"/>
        <w:rPr>
          <w:rFonts w:ascii="宋体" w:hAnsi="宋体"/>
          <w:b/>
          <w:sz w:val="32"/>
          <w:szCs w:val="32"/>
        </w:rPr>
      </w:pPr>
      <w:bookmarkStart w:id="119" w:name="_Toc21800"/>
      <w:bookmarkStart w:id="120" w:name="_Toc7796"/>
      <w:r>
        <w:rPr>
          <w:rFonts w:hint="eastAsia" w:ascii="宋体" w:hAnsi="宋体"/>
          <w:b/>
          <w:sz w:val="32"/>
          <w:szCs w:val="32"/>
        </w:rPr>
        <w:t>三、评标争议处理原则</w:t>
      </w:r>
      <w:bookmarkEnd w:id="119"/>
      <w:bookmarkEnd w:id="120"/>
    </w:p>
    <w:p>
      <w:pPr>
        <w:tabs>
          <w:tab w:val="left" w:pos="600"/>
        </w:tabs>
        <w:spacing w:line="500" w:lineRule="exact"/>
        <w:ind w:firstLine="480" w:firstLineChars="200"/>
        <w:rPr>
          <w:rFonts w:ascii="宋体" w:hAnsi="宋体"/>
          <w:sz w:val="24"/>
        </w:rPr>
      </w:pPr>
      <w:r>
        <w:rPr>
          <w:rFonts w:hint="eastAsia" w:ascii="宋体" w:hAnsi="宋体"/>
          <w:sz w:val="24"/>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pPr>
        <w:pStyle w:val="2"/>
        <w:spacing w:line="500" w:lineRule="exact"/>
      </w:pPr>
    </w:p>
    <w:p>
      <w:pPr>
        <w:spacing w:line="500" w:lineRule="exact"/>
        <w:ind w:firstLine="321" w:firstLineChars="100"/>
        <w:jc w:val="left"/>
        <w:outlineLvl w:val="1"/>
        <w:rPr>
          <w:rFonts w:ascii="宋体" w:hAnsi="宋体"/>
          <w:b/>
          <w:sz w:val="32"/>
          <w:szCs w:val="32"/>
        </w:rPr>
      </w:pPr>
      <w:bookmarkStart w:id="121" w:name="_Toc4982"/>
      <w:bookmarkStart w:id="122" w:name="_Toc22306"/>
      <w:r>
        <w:rPr>
          <w:rFonts w:hint="eastAsia" w:ascii="宋体" w:hAnsi="宋体"/>
          <w:b/>
          <w:sz w:val="32"/>
          <w:szCs w:val="32"/>
        </w:rPr>
        <w:t>四、评审现场人员的保密责任</w:t>
      </w:r>
      <w:bookmarkEnd w:id="121"/>
      <w:bookmarkEnd w:id="122"/>
    </w:p>
    <w:p>
      <w:pPr>
        <w:tabs>
          <w:tab w:val="left" w:pos="600"/>
        </w:tabs>
        <w:spacing w:line="500" w:lineRule="exact"/>
        <w:ind w:firstLine="480" w:firstLineChars="200"/>
        <w:rPr>
          <w:rFonts w:ascii="宋体" w:hAnsi="宋体"/>
          <w:sz w:val="24"/>
        </w:rPr>
      </w:pPr>
      <w:r>
        <w:rPr>
          <w:rFonts w:hint="eastAsia" w:ascii="宋体" w:hAnsi="宋体"/>
          <w:sz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2"/>
        <w:spacing w:line="500" w:lineRule="exact"/>
      </w:pPr>
    </w:p>
    <w:p>
      <w:pPr>
        <w:spacing w:line="500" w:lineRule="exact"/>
        <w:ind w:firstLine="321" w:firstLineChars="100"/>
        <w:jc w:val="left"/>
        <w:outlineLvl w:val="1"/>
        <w:rPr>
          <w:rFonts w:ascii="宋体" w:hAnsi="宋体"/>
          <w:b/>
          <w:sz w:val="32"/>
          <w:szCs w:val="32"/>
        </w:rPr>
      </w:pPr>
      <w:bookmarkStart w:id="123" w:name="_Toc14765"/>
      <w:bookmarkStart w:id="124" w:name="_Toc5779"/>
      <w:r>
        <w:rPr>
          <w:rFonts w:hint="eastAsia" w:ascii="宋体" w:hAnsi="宋体"/>
          <w:b/>
          <w:sz w:val="32"/>
          <w:szCs w:val="32"/>
        </w:rPr>
        <w:t>五</w:t>
      </w:r>
      <w:r>
        <w:rPr>
          <w:rFonts w:ascii="宋体" w:hAnsi="宋体"/>
          <w:b/>
          <w:sz w:val="32"/>
          <w:szCs w:val="32"/>
        </w:rPr>
        <w:t>、</w:t>
      </w:r>
      <w:r>
        <w:rPr>
          <w:rFonts w:hint="eastAsia" w:ascii="宋体" w:hAnsi="宋体"/>
          <w:b/>
          <w:sz w:val="32"/>
          <w:szCs w:val="32"/>
        </w:rPr>
        <w:t>视同供应商串通投标的情形，其投标无效</w:t>
      </w:r>
      <w:bookmarkEnd w:id="123"/>
      <w:bookmarkEnd w:id="124"/>
    </w:p>
    <w:p>
      <w:pPr>
        <w:tabs>
          <w:tab w:val="left" w:pos="600"/>
        </w:tabs>
        <w:spacing w:line="500" w:lineRule="exact"/>
        <w:ind w:firstLine="480" w:firstLineChars="200"/>
        <w:rPr>
          <w:rFonts w:ascii="宋体" w:hAnsi="宋体"/>
          <w:sz w:val="24"/>
        </w:rPr>
      </w:pPr>
      <w:r>
        <w:rPr>
          <w:rFonts w:hint="eastAsia" w:ascii="宋体" w:hAnsi="宋体"/>
          <w:sz w:val="24"/>
        </w:rPr>
        <w:t>1. 不同供应商的投标文件由同一单位或者个人编制；</w:t>
      </w:r>
    </w:p>
    <w:p>
      <w:pPr>
        <w:tabs>
          <w:tab w:val="left" w:pos="600"/>
        </w:tabs>
        <w:spacing w:line="500" w:lineRule="exact"/>
        <w:ind w:firstLine="480" w:firstLineChars="200"/>
        <w:rPr>
          <w:rFonts w:ascii="宋体" w:hAnsi="宋体"/>
          <w:sz w:val="24"/>
        </w:rPr>
      </w:pPr>
      <w:r>
        <w:rPr>
          <w:rFonts w:hint="eastAsia" w:ascii="宋体" w:hAnsi="宋体"/>
          <w:sz w:val="24"/>
        </w:rPr>
        <w:t>2. 不同供应商委托同一单位或者个人办理投标事宜；</w:t>
      </w:r>
    </w:p>
    <w:p>
      <w:pPr>
        <w:spacing w:line="500" w:lineRule="exact"/>
        <w:ind w:firstLine="480" w:firstLineChars="200"/>
        <w:rPr>
          <w:rFonts w:ascii="宋体" w:hAnsi="宋体"/>
          <w:sz w:val="24"/>
        </w:rPr>
      </w:pPr>
      <w:r>
        <w:rPr>
          <w:rFonts w:hint="eastAsia" w:ascii="宋体" w:hAnsi="宋体"/>
          <w:sz w:val="24"/>
        </w:rPr>
        <w:t>3. 不同供应商的投标文件载明的项目管理成员或者联系人员为同一人；</w:t>
      </w:r>
    </w:p>
    <w:p>
      <w:pPr>
        <w:tabs>
          <w:tab w:val="left" w:pos="600"/>
        </w:tabs>
        <w:spacing w:line="500" w:lineRule="exact"/>
        <w:ind w:firstLine="480" w:firstLineChars="200"/>
        <w:rPr>
          <w:rFonts w:ascii="宋体" w:hAnsi="宋体"/>
          <w:sz w:val="24"/>
        </w:rPr>
      </w:pPr>
      <w:r>
        <w:rPr>
          <w:rFonts w:hint="eastAsia" w:ascii="宋体" w:hAnsi="宋体"/>
          <w:sz w:val="24"/>
        </w:rPr>
        <w:t>4. 不同供应商的投标文件异常一致或者投标报价呈规律性差异；</w:t>
      </w:r>
    </w:p>
    <w:p>
      <w:pPr>
        <w:pStyle w:val="2"/>
      </w:pPr>
    </w:p>
    <w:p>
      <w:pPr>
        <w:pStyle w:val="2"/>
      </w:pPr>
    </w:p>
    <w:bookmarkEnd w:id="114"/>
    <w:p>
      <w:bookmarkStart w:id="125" w:name="_Toc111853927"/>
      <w:r>
        <w:rPr>
          <w:rFonts w:hint="eastAsia"/>
        </w:rPr>
        <w:br w:type="page"/>
      </w:r>
    </w:p>
    <w:p>
      <w:pPr>
        <w:pStyle w:val="3"/>
      </w:pPr>
      <w:bookmarkStart w:id="126" w:name="_Toc29758"/>
      <w:bookmarkStart w:id="127" w:name="_Toc5782"/>
      <w:r>
        <w:rPr>
          <w:rFonts w:hint="eastAsia"/>
        </w:rPr>
        <w:t xml:space="preserve">第四章  </w:t>
      </w:r>
      <w:bookmarkEnd w:id="125"/>
      <w:bookmarkStart w:id="128" w:name="_Toc111853931"/>
      <w:r>
        <w:rPr>
          <w:rFonts w:hint="eastAsia"/>
        </w:rPr>
        <w:t>政府采购合同格式</w:t>
      </w:r>
      <w:bookmarkEnd w:id="126"/>
      <w:bookmarkEnd w:id="127"/>
    </w:p>
    <w:p>
      <w:pPr>
        <w:jc w:val="center"/>
        <w:rPr>
          <w:rFonts w:hint="eastAsia" w:ascii="黑体" w:eastAsia="黑体"/>
          <w:bCs/>
          <w:color w:val="000000"/>
          <w:sz w:val="48"/>
          <w:szCs w:val="48"/>
          <w:lang w:eastAsia="zh-CN"/>
        </w:rPr>
      </w:pPr>
      <w:r>
        <w:rPr>
          <w:rFonts w:hint="eastAsia" w:ascii="黑体" w:eastAsia="黑体"/>
          <w:bCs/>
          <w:color w:val="000000"/>
          <w:sz w:val="48"/>
          <w:szCs w:val="48"/>
        </w:rPr>
        <w:t>西安高新区草堂科技产业</w:t>
      </w:r>
      <w:r>
        <w:rPr>
          <w:rFonts w:hint="eastAsia" w:ascii="黑体" w:eastAsia="黑体"/>
          <w:bCs/>
          <w:color w:val="000000"/>
          <w:sz w:val="48"/>
          <w:szCs w:val="48"/>
          <w:lang w:val="en-US" w:eastAsia="zh-CN"/>
        </w:rPr>
        <w:t>园</w:t>
      </w:r>
    </w:p>
    <w:p>
      <w:pPr>
        <w:jc w:val="center"/>
        <w:rPr>
          <w:rFonts w:hint="eastAsia" w:ascii="黑体" w:eastAsia="黑体"/>
          <w:b/>
          <w:bCs/>
          <w:color w:val="000000"/>
          <w:sz w:val="48"/>
          <w:szCs w:val="48"/>
        </w:rPr>
      </w:pPr>
      <w:r>
        <w:rPr>
          <w:rFonts w:hint="eastAsia" w:ascii="黑体" w:eastAsia="黑体"/>
          <w:bCs/>
          <w:color w:val="000000"/>
          <w:sz w:val="48"/>
          <w:szCs w:val="48"/>
        </w:rPr>
        <w:t>市政道路给排水养护及园区防汛合同</w:t>
      </w:r>
    </w:p>
    <w:p>
      <w:pPr>
        <w:rPr>
          <w:rFonts w:hint="eastAsia"/>
          <w:color w:val="000000"/>
        </w:rPr>
      </w:pPr>
    </w:p>
    <w:p>
      <w:pPr>
        <w:rPr>
          <w:rFonts w:hint="eastAsia"/>
          <w:color w:val="000000"/>
        </w:rPr>
      </w:pPr>
    </w:p>
    <w:p>
      <w:pPr>
        <w:ind w:firstLine="2530" w:firstLineChars="900"/>
        <w:jc w:val="both"/>
        <w:rPr>
          <w:rFonts w:hint="eastAsia" w:eastAsia="宋体"/>
          <w:b/>
          <w:color w:val="000000"/>
          <w:sz w:val="28"/>
          <w:szCs w:val="28"/>
          <w:lang w:eastAsia="zh-CN"/>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p>
    <w:p>
      <w:pPr>
        <w:rPr>
          <w:color w:val="000000"/>
        </w:rPr>
      </w:pPr>
    </w:p>
    <w:p>
      <w:pPr>
        <w:rPr>
          <w:color w:val="000000"/>
        </w:rPr>
      </w:pPr>
    </w:p>
    <w:p>
      <w:pPr>
        <w:ind w:firstLine="600" w:firstLineChars="200"/>
        <w:rPr>
          <w:rFonts w:hint="eastAsia" w:ascii="黑体" w:eastAsia="黑体"/>
          <w:color w:val="000000"/>
          <w:sz w:val="30"/>
          <w:szCs w:val="30"/>
          <w:u w:val="single"/>
        </w:rPr>
      </w:pPr>
      <w:r>
        <w:rPr>
          <w:rFonts w:hint="eastAsia" w:ascii="黑体" w:eastAsia="黑体"/>
          <w:color w:val="000000"/>
          <w:sz w:val="30"/>
          <w:szCs w:val="30"/>
        </w:rPr>
        <w:t>甲    方</w:t>
      </w:r>
      <w:r>
        <w:rPr>
          <w:rFonts w:hint="eastAsia" w:ascii="方正楷体简体" w:eastAsia="方正楷体简体"/>
          <w:color w:val="000000"/>
          <w:sz w:val="30"/>
          <w:szCs w:val="30"/>
        </w:rPr>
        <w:t>：</w:t>
      </w:r>
      <w:r>
        <w:rPr>
          <w:rFonts w:hint="eastAsia" w:ascii="黑体" w:eastAsia="黑体"/>
          <w:color w:val="000000"/>
          <w:sz w:val="30"/>
          <w:szCs w:val="30"/>
          <w:highlight w:val="none"/>
          <w:u w:val="single"/>
        </w:rPr>
        <w:t>西安高新区草堂科技产业</w:t>
      </w:r>
      <w:r>
        <w:rPr>
          <w:rFonts w:hint="eastAsia" w:ascii="黑体" w:eastAsia="黑体"/>
          <w:color w:val="000000"/>
          <w:sz w:val="30"/>
          <w:szCs w:val="30"/>
          <w:highlight w:val="none"/>
          <w:u w:val="single"/>
          <w:lang w:val="en-US" w:eastAsia="zh-CN"/>
        </w:rPr>
        <w:t>园发展中心</w:t>
      </w:r>
    </w:p>
    <w:p>
      <w:pPr>
        <w:ind w:firstLine="560" w:firstLineChars="200"/>
        <w:rPr>
          <w:rFonts w:ascii="黑体" w:eastAsia="黑体"/>
          <w:color w:val="000000"/>
          <w:sz w:val="28"/>
          <w:u w:val="single"/>
        </w:rPr>
      </w:pPr>
    </w:p>
    <w:p>
      <w:pPr>
        <w:ind w:left="598" w:leftChars="285"/>
        <w:rPr>
          <w:rFonts w:hint="default" w:ascii="黑体" w:eastAsia="黑体"/>
          <w:color w:val="000000"/>
          <w:sz w:val="30"/>
          <w:szCs w:val="30"/>
          <w:u w:val="single"/>
          <w:lang w:val="en-US" w:eastAsia="zh-CN"/>
        </w:rPr>
      </w:pPr>
      <w:r>
        <w:rPr>
          <w:rFonts w:hint="eastAsia" w:ascii="黑体" w:eastAsia="黑体"/>
          <w:color w:val="000000"/>
          <w:sz w:val="30"/>
          <w:szCs w:val="30"/>
        </w:rPr>
        <w:t>乙    方：</w:t>
      </w:r>
      <w:r>
        <w:rPr>
          <w:rFonts w:hint="eastAsia" w:ascii="黑体" w:eastAsia="黑体"/>
          <w:color w:val="000000"/>
          <w:sz w:val="30"/>
          <w:szCs w:val="30"/>
          <w:u w:val="single"/>
          <w:lang w:val="en-US" w:eastAsia="zh-CN"/>
        </w:rPr>
        <w:t xml:space="preserve">                                </w:t>
      </w:r>
    </w:p>
    <w:p>
      <w:pPr>
        <w:ind w:left="598" w:leftChars="285"/>
        <w:rPr>
          <w:rFonts w:hint="eastAsia" w:ascii="黑体" w:eastAsia="黑体"/>
          <w:color w:val="000000"/>
          <w:sz w:val="28"/>
          <w:u w:val="single"/>
        </w:rPr>
      </w:pPr>
    </w:p>
    <w:p>
      <w:pPr>
        <w:ind w:firstLine="600" w:firstLineChars="200"/>
        <w:jc w:val="left"/>
        <w:rPr>
          <w:rFonts w:hint="default" w:ascii="黑体" w:eastAsia="黑体"/>
          <w:color w:val="000000"/>
          <w:sz w:val="30"/>
          <w:szCs w:val="30"/>
          <w:lang w:val="en-US" w:eastAsia="zh-CN"/>
        </w:rPr>
      </w:pPr>
      <w:r>
        <w:rPr>
          <w:rFonts w:hint="eastAsia" w:ascii="黑体" w:eastAsia="黑体"/>
          <w:color w:val="000000"/>
          <w:sz w:val="30"/>
          <w:szCs w:val="30"/>
        </w:rPr>
        <w:t>签订时间：</w:t>
      </w:r>
      <w:r>
        <w:rPr>
          <w:rFonts w:hint="eastAsia" w:ascii="黑体" w:eastAsia="黑体"/>
          <w:color w:val="000000"/>
          <w:sz w:val="30"/>
          <w:szCs w:val="30"/>
          <w:lang w:val="en-US" w:eastAsia="zh-CN"/>
        </w:rPr>
        <w:t xml:space="preserve">     年    月    日</w:t>
      </w:r>
    </w:p>
    <w:p>
      <w:pPr>
        <w:ind w:firstLine="600" w:firstLineChars="200"/>
        <w:jc w:val="left"/>
        <w:rPr>
          <w:rFonts w:ascii="黑体" w:eastAsia="黑体"/>
          <w:color w:val="000000"/>
          <w:sz w:val="30"/>
          <w:szCs w:val="30"/>
        </w:rPr>
      </w:pPr>
    </w:p>
    <w:p>
      <w:pPr>
        <w:ind w:firstLine="600" w:firstLineChars="200"/>
        <w:jc w:val="left"/>
        <w:rPr>
          <w:rFonts w:hint="eastAsia" w:ascii="黑体" w:eastAsia="黑体"/>
          <w:color w:val="000000"/>
          <w:sz w:val="30"/>
          <w:szCs w:val="30"/>
          <w:highlight w:val="none"/>
        </w:rPr>
      </w:pPr>
      <w:r>
        <w:rPr>
          <w:rFonts w:hint="eastAsia" w:ascii="黑体" w:eastAsia="黑体"/>
          <w:color w:val="000000"/>
          <w:sz w:val="30"/>
          <w:szCs w:val="30"/>
        </w:rPr>
        <w:t>签订地点：</w:t>
      </w:r>
      <w:r>
        <w:rPr>
          <w:rFonts w:ascii="黑体" w:eastAsia="黑体"/>
          <w:color w:val="000000"/>
          <w:sz w:val="30"/>
          <w:szCs w:val="30"/>
          <w:highlight w:val="none"/>
        </w:rPr>
        <w:t>西安</w:t>
      </w:r>
      <w:r>
        <w:rPr>
          <w:rFonts w:hint="eastAsia" w:ascii="黑体" w:eastAsia="黑体"/>
          <w:color w:val="000000"/>
          <w:sz w:val="30"/>
          <w:szCs w:val="30"/>
          <w:highlight w:val="none"/>
        </w:rPr>
        <w:t>高新区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eastAsia="黑体"/>
          <w:bCs/>
          <w:color w:val="000000"/>
          <w:sz w:val="32"/>
          <w:szCs w:val="32"/>
        </w:rPr>
      </w:pPr>
    </w:p>
    <w:p>
      <w:pPr>
        <w:pStyle w:val="2"/>
        <w:rPr>
          <w:rFonts w:hint="eastAsia" w:ascii="黑体" w:eastAsia="黑体"/>
          <w:bCs/>
          <w:color w:val="000000"/>
          <w:sz w:val="32"/>
          <w:szCs w:val="32"/>
        </w:rPr>
      </w:pPr>
    </w:p>
    <w:p>
      <w:pPr>
        <w:rPr>
          <w:rFonts w:hint="eastAsia"/>
        </w:rPr>
      </w:pPr>
    </w:p>
    <w:p>
      <w:pPr>
        <w:rPr>
          <w:rFonts w:hint="eastAsia" w:ascii="黑体" w:eastAsia="黑体"/>
          <w:bCs/>
          <w:color w:val="000000"/>
          <w:sz w:val="32"/>
          <w:szCs w:val="32"/>
        </w:rPr>
      </w:pPr>
      <w:r>
        <w:rPr>
          <w:rFonts w:hint="eastAsia" w:ascii="黑体" w:eastAsia="黑体"/>
          <w:bCs/>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eastAsia="黑体"/>
          <w:bCs/>
          <w:color w:val="000000"/>
          <w:sz w:val="32"/>
          <w:szCs w:val="32"/>
          <w:lang w:eastAsia="zh-CN"/>
        </w:rPr>
      </w:pPr>
      <w:r>
        <w:rPr>
          <w:rFonts w:hint="eastAsia" w:ascii="黑体" w:eastAsia="黑体"/>
          <w:bCs/>
          <w:color w:val="000000"/>
          <w:sz w:val="32"/>
          <w:szCs w:val="32"/>
        </w:rPr>
        <w:t>西安高新区草堂科技产业</w:t>
      </w:r>
      <w:r>
        <w:rPr>
          <w:rFonts w:hint="eastAsia" w:ascii="黑体" w:eastAsia="黑体"/>
          <w:bCs/>
          <w:color w:val="000000"/>
          <w:sz w:val="32"/>
          <w:szCs w:val="32"/>
          <w:lang w:val="en-US" w:eastAsia="zh-CN"/>
        </w:rPr>
        <w:t>园</w:t>
      </w:r>
    </w:p>
    <w:p>
      <w:pPr>
        <w:pStyle w:val="37"/>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宋体" w:hAnsi="宋体"/>
          <w:lang w:eastAsia="zh-CN"/>
        </w:rPr>
      </w:pPr>
      <w:r>
        <w:rPr>
          <w:rFonts w:hint="eastAsia" w:ascii="黑体" w:hAnsi="Times New Roman" w:eastAsia="黑体"/>
          <w:b w:val="0"/>
          <w:bCs w:val="0"/>
          <w:color w:val="000000"/>
        </w:rPr>
        <w:t>市政道路给排水养护及</w:t>
      </w:r>
      <w:r>
        <w:rPr>
          <w:rFonts w:hint="eastAsia" w:ascii="黑体" w:hAnsi="Times New Roman" w:eastAsia="黑体"/>
          <w:b w:val="0"/>
          <w:bCs w:val="0"/>
          <w:color w:val="000000"/>
          <w:lang w:eastAsia="zh-CN"/>
        </w:rPr>
        <w:t>园区</w:t>
      </w:r>
      <w:r>
        <w:rPr>
          <w:rFonts w:hint="eastAsia" w:ascii="黑体" w:hAnsi="Times New Roman" w:eastAsia="黑体"/>
          <w:b w:val="0"/>
          <w:bCs w:val="0"/>
          <w:color w:val="000000"/>
        </w:rPr>
        <w:t>防汛</w:t>
      </w:r>
      <w:r>
        <w:rPr>
          <w:rFonts w:hint="eastAsia" w:ascii="黑体" w:eastAsia="黑体"/>
          <w:b w:val="0"/>
          <w:bCs w:val="0"/>
          <w:color w:val="000000"/>
        </w:rPr>
        <w:t>合同</w:t>
      </w:r>
    </w:p>
    <w:p>
      <w:pPr>
        <w:jc w:val="both"/>
        <w:rPr>
          <w:rFonts w:hint="eastAsia"/>
          <w:sz w:val="24"/>
        </w:rPr>
      </w:pPr>
    </w:p>
    <w:p>
      <w:pPr>
        <w:spacing w:line="500" w:lineRule="exact"/>
        <w:rPr>
          <w:rFonts w:hint="default" w:ascii="宋体" w:hAnsi="宋体" w:eastAsia="宋体"/>
          <w:b/>
          <w:bCs/>
          <w:sz w:val="24"/>
          <w:highlight w:val="none"/>
          <w:lang w:val="en-US" w:eastAsia="zh-CN"/>
        </w:rPr>
      </w:pPr>
      <w:r>
        <w:rPr>
          <w:rFonts w:hint="eastAsia" w:ascii="宋体" w:hAnsi="宋体"/>
          <w:b/>
          <w:bCs/>
          <w:sz w:val="24"/>
        </w:rPr>
        <w:t>甲方：</w:t>
      </w:r>
      <w:r>
        <w:rPr>
          <w:rFonts w:hint="eastAsia" w:ascii="宋体" w:hAnsi="宋体"/>
          <w:b/>
          <w:bCs/>
          <w:sz w:val="24"/>
          <w:highlight w:val="none"/>
        </w:rPr>
        <w:t>西安高新区草堂科技产业</w:t>
      </w:r>
      <w:r>
        <w:rPr>
          <w:rFonts w:hint="eastAsia" w:ascii="宋体" w:hAnsi="宋体"/>
          <w:b/>
          <w:bCs/>
          <w:sz w:val="24"/>
          <w:highlight w:val="none"/>
          <w:lang w:val="en-US" w:eastAsia="zh-CN"/>
        </w:rPr>
        <w:t>园发展中心</w:t>
      </w:r>
    </w:p>
    <w:p>
      <w:pPr>
        <w:spacing w:line="500" w:lineRule="exact"/>
        <w:rPr>
          <w:rFonts w:hint="default" w:ascii="宋体" w:hAnsi="宋体" w:eastAsia="宋体"/>
          <w:b/>
          <w:bCs/>
          <w:sz w:val="24"/>
          <w:lang w:val="en-US" w:eastAsia="zh-CN"/>
        </w:rPr>
      </w:pPr>
      <w:r>
        <w:rPr>
          <w:rFonts w:hint="eastAsia" w:ascii="宋体" w:hAnsi="宋体"/>
          <w:b/>
          <w:bCs/>
          <w:sz w:val="24"/>
        </w:rPr>
        <w:t>乙方：</w:t>
      </w:r>
      <w:r>
        <w:rPr>
          <w:rFonts w:hint="eastAsia" w:ascii="宋体" w:hAnsi="宋体"/>
          <w:b/>
          <w:bCs/>
          <w:sz w:val="24"/>
          <w:lang w:val="en-US" w:eastAsia="zh-CN"/>
        </w:rPr>
        <w:t xml:space="preserve">   </w:t>
      </w:r>
    </w:p>
    <w:p>
      <w:pPr>
        <w:spacing w:line="500" w:lineRule="exact"/>
        <w:ind w:firstLine="480" w:firstLineChars="200"/>
        <w:rPr>
          <w:rFonts w:ascii="宋体" w:hAnsi="宋体"/>
          <w:sz w:val="24"/>
        </w:rPr>
      </w:pPr>
      <w:r>
        <w:rPr>
          <w:rFonts w:hint="eastAsia" w:ascii="宋体" w:hAnsi="宋体"/>
          <w:sz w:val="24"/>
        </w:rPr>
        <w:t>为了保持西安高新区草堂科技产业</w:t>
      </w:r>
      <w:r>
        <w:rPr>
          <w:rFonts w:hint="eastAsia" w:ascii="宋体" w:hAnsi="宋体"/>
          <w:sz w:val="24"/>
          <w:lang w:val="en-US" w:eastAsia="zh-CN"/>
        </w:rPr>
        <w:t>园</w:t>
      </w:r>
      <w:r>
        <w:rPr>
          <w:rFonts w:hint="eastAsia" w:ascii="宋体" w:hAnsi="宋体"/>
          <w:sz w:val="24"/>
        </w:rPr>
        <w:t>的良好环境，方便群众生活，同时本着合作互利的原则，</w:t>
      </w:r>
      <w:r>
        <w:rPr>
          <w:rFonts w:hint="eastAsia" w:ascii="宋体" w:hAnsi="宋体"/>
          <w:sz w:val="24"/>
          <w:highlight w:val="none"/>
          <w:lang w:val="en-US" w:eastAsia="zh-CN"/>
        </w:rPr>
        <w:t>根据招标文件、投标文件、</w:t>
      </w:r>
      <w:r>
        <w:rPr>
          <w:rFonts w:hint="eastAsia" w:ascii="宋体" w:hAnsi="宋体"/>
          <w:sz w:val="24"/>
          <w:highlight w:val="none"/>
        </w:rPr>
        <w:t>《中华人民共和国</w:t>
      </w:r>
      <w:r>
        <w:rPr>
          <w:rFonts w:hint="eastAsia" w:ascii="宋体" w:hAnsi="宋体"/>
          <w:sz w:val="24"/>
          <w:highlight w:val="none"/>
          <w:lang w:val="en-US" w:eastAsia="zh-CN"/>
        </w:rPr>
        <w:t>民法典</w:t>
      </w:r>
      <w:r>
        <w:rPr>
          <w:rFonts w:hint="eastAsia" w:ascii="宋体" w:hAnsi="宋体"/>
          <w:sz w:val="24"/>
          <w:highlight w:val="none"/>
        </w:rPr>
        <w:t>》</w:t>
      </w:r>
      <w:r>
        <w:rPr>
          <w:rFonts w:hint="eastAsia" w:ascii="宋体" w:hAnsi="宋体"/>
          <w:sz w:val="24"/>
        </w:rPr>
        <w:t>和《中华人民共和国建筑法》及有关法律、法规和甲乙双方关于草堂</w:t>
      </w:r>
      <w:r>
        <w:rPr>
          <w:rFonts w:hint="eastAsia" w:ascii="宋体" w:hAnsi="宋体"/>
          <w:sz w:val="24"/>
          <w:lang w:val="en-US" w:eastAsia="zh-CN"/>
        </w:rPr>
        <w:t>科技产业</w:t>
      </w:r>
      <w:r>
        <w:rPr>
          <w:rFonts w:hint="eastAsia" w:ascii="宋体" w:hAnsi="宋体"/>
          <w:sz w:val="24"/>
        </w:rPr>
        <w:t>园区内工程项目的合作协议，遵循平等、自愿和诚实信用的原则，经</w:t>
      </w:r>
      <w:r>
        <w:rPr>
          <w:rFonts w:hint="eastAsia" w:ascii="宋体" w:hAnsi="宋体"/>
          <w:sz w:val="24"/>
          <w:lang w:val="en-US" w:eastAsia="zh-CN"/>
        </w:rPr>
        <w:t>双</w:t>
      </w:r>
      <w:r>
        <w:rPr>
          <w:rFonts w:hint="eastAsia" w:ascii="宋体" w:hAnsi="宋体"/>
          <w:sz w:val="24"/>
        </w:rPr>
        <w:t>方协商一致就高新区草堂</w:t>
      </w:r>
      <w:r>
        <w:rPr>
          <w:rFonts w:hint="eastAsia" w:ascii="宋体" w:hAnsi="宋体"/>
          <w:sz w:val="24"/>
          <w:lang w:val="en-US" w:eastAsia="zh-CN"/>
        </w:rPr>
        <w:t>科技产业园区</w:t>
      </w:r>
      <w:r>
        <w:rPr>
          <w:rFonts w:hint="eastAsia" w:ascii="宋体" w:hAnsi="宋体"/>
          <w:sz w:val="24"/>
        </w:rPr>
        <w:t>道路给排水设施养护及河道防汛事宜达成如下合同内容，供</w:t>
      </w:r>
      <w:r>
        <w:rPr>
          <w:rFonts w:hint="eastAsia" w:ascii="宋体" w:hAnsi="宋体"/>
          <w:sz w:val="24"/>
          <w:lang w:val="en-US" w:eastAsia="zh-CN"/>
        </w:rPr>
        <w:t>双</w:t>
      </w:r>
      <w:r>
        <w:rPr>
          <w:rFonts w:hint="eastAsia" w:ascii="宋体" w:hAnsi="宋体"/>
          <w:sz w:val="24"/>
        </w:rPr>
        <w:t>方遵照执行。</w:t>
      </w:r>
    </w:p>
    <w:p>
      <w:pPr>
        <w:spacing w:before="156" w:beforeLines="50" w:after="156" w:afterLines="50" w:line="360" w:lineRule="auto"/>
        <w:rPr>
          <w:rFonts w:hint="eastAsia" w:ascii="宋体" w:hAnsi="宋体"/>
          <w:b/>
          <w:bCs/>
          <w:sz w:val="28"/>
          <w:szCs w:val="28"/>
        </w:rPr>
      </w:pPr>
      <w:r>
        <w:rPr>
          <w:rFonts w:hint="eastAsia" w:ascii="宋体" w:hAnsi="宋体"/>
          <w:b/>
          <w:sz w:val="28"/>
          <w:szCs w:val="28"/>
        </w:rPr>
        <w:t xml:space="preserve">第一条  </w:t>
      </w:r>
      <w:r>
        <w:rPr>
          <w:rFonts w:hint="eastAsia" w:ascii="宋体" w:hAnsi="宋体"/>
          <w:b/>
          <w:sz w:val="28"/>
          <w:szCs w:val="28"/>
          <w:lang w:val="en-US" w:eastAsia="zh-CN"/>
        </w:rPr>
        <w:t>项目</w:t>
      </w:r>
      <w:r>
        <w:rPr>
          <w:rFonts w:hint="eastAsia" w:ascii="宋体" w:hAnsi="宋体"/>
          <w:b/>
          <w:sz w:val="28"/>
          <w:szCs w:val="28"/>
        </w:rPr>
        <w:t>概况</w:t>
      </w:r>
    </w:p>
    <w:p>
      <w:pPr>
        <w:spacing w:line="500" w:lineRule="exact"/>
        <w:ind w:firstLine="482" w:firstLineChars="200"/>
        <w:rPr>
          <w:rFonts w:hint="eastAsia" w:ascii="宋体" w:hAnsi="宋体"/>
          <w:b/>
          <w:bCs/>
          <w:sz w:val="24"/>
        </w:rPr>
      </w:pPr>
      <w:r>
        <w:rPr>
          <w:rFonts w:hint="eastAsia" w:ascii="宋体" w:hAnsi="宋体"/>
          <w:b/>
          <w:sz w:val="24"/>
        </w:rPr>
        <w:t>1、</w:t>
      </w:r>
      <w:r>
        <w:rPr>
          <w:rFonts w:hint="eastAsia" w:ascii="宋体" w:hAnsi="宋体"/>
          <w:b/>
          <w:sz w:val="24"/>
          <w:lang w:val="en-US" w:eastAsia="zh-CN"/>
        </w:rPr>
        <w:t>项目</w:t>
      </w:r>
      <w:r>
        <w:rPr>
          <w:rFonts w:hint="eastAsia" w:ascii="宋体" w:hAnsi="宋体"/>
          <w:b/>
          <w:sz w:val="24"/>
        </w:rPr>
        <w:t>名称：</w:t>
      </w:r>
      <w:r>
        <w:rPr>
          <w:rFonts w:hint="eastAsia" w:ascii="宋体" w:hAnsi="宋体" w:cs="仿宋"/>
          <w:sz w:val="24"/>
        </w:rPr>
        <w:t>西安高新区草堂科技产业</w:t>
      </w:r>
      <w:r>
        <w:rPr>
          <w:rFonts w:hint="eastAsia" w:ascii="宋体" w:hAnsi="宋体" w:cs="仿宋"/>
          <w:sz w:val="24"/>
          <w:lang w:val="en-US" w:eastAsia="zh-CN"/>
        </w:rPr>
        <w:t>园</w:t>
      </w:r>
      <w:r>
        <w:rPr>
          <w:rFonts w:hint="eastAsia" w:ascii="宋体" w:hAnsi="宋体" w:cs="仿宋"/>
          <w:sz w:val="24"/>
        </w:rPr>
        <w:t>市政道路给排水管网养护及园区防汛工程</w:t>
      </w:r>
    </w:p>
    <w:p>
      <w:pPr>
        <w:spacing w:line="500" w:lineRule="exact"/>
        <w:ind w:firstLine="482" w:firstLineChars="200"/>
        <w:rPr>
          <w:rFonts w:hint="eastAsia" w:ascii="宋体" w:hAnsi="宋体" w:eastAsia="宋体"/>
          <w:sz w:val="24"/>
          <w:highlight w:val="none"/>
          <w:lang w:eastAsia="zh-CN"/>
        </w:rPr>
      </w:pPr>
      <w:r>
        <w:rPr>
          <w:rFonts w:hint="eastAsia" w:ascii="宋体" w:hAnsi="宋体"/>
          <w:b/>
          <w:sz w:val="24"/>
        </w:rPr>
        <w:t>2、</w:t>
      </w:r>
      <w:r>
        <w:rPr>
          <w:rFonts w:hint="eastAsia" w:ascii="宋体" w:hAnsi="宋体"/>
          <w:b/>
          <w:sz w:val="24"/>
          <w:lang w:val="en-US" w:eastAsia="zh-CN"/>
        </w:rPr>
        <w:t>项目</w:t>
      </w:r>
      <w:r>
        <w:rPr>
          <w:rFonts w:hint="eastAsia" w:ascii="宋体" w:hAnsi="宋体"/>
          <w:b/>
          <w:sz w:val="24"/>
        </w:rPr>
        <w:t>地点：</w:t>
      </w:r>
      <w:r>
        <w:rPr>
          <w:rFonts w:hint="eastAsia" w:ascii="宋体" w:hAnsi="宋体"/>
          <w:sz w:val="24"/>
          <w:highlight w:val="none"/>
        </w:rPr>
        <w:t>西安高新区草堂科技产业</w:t>
      </w:r>
      <w:r>
        <w:rPr>
          <w:rFonts w:hint="eastAsia" w:ascii="宋体" w:hAnsi="宋体"/>
          <w:sz w:val="24"/>
          <w:highlight w:val="none"/>
          <w:lang w:val="en-US" w:eastAsia="zh-CN"/>
        </w:rPr>
        <w:t>园</w:t>
      </w:r>
    </w:p>
    <w:p>
      <w:pPr>
        <w:spacing w:line="500" w:lineRule="exact"/>
        <w:ind w:firstLine="482"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项目</w:t>
      </w:r>
      <w:r>
        <w:rPr>
          <w:rFonts w:hint="eastAsia" w:ascii="宋体" w:hAnsi="宋体"/>
          <w:b/>
          <w:sz w:val="24"/>
        </w:rPr>
        <w:t>范围：</w:t>
      </w:r>
    </w:p>
    <w:p>
      <w:pPr>
        <w:spacing w:line="500" w:lineRule="exact"/>
        <w:ind w:firstLine="480" w:firstLineChars="200"/>
        <w:rPr>
          <w:rFonts w:hint="eastAsia" w:ascii="宋体" w:hAnsi="宋体" w:eastAsia="宋体" w:cs="仿宋"/>
          <w:sz w:val="24"/>
          <w:highlight w:val="none"/>
          <w:lang w:eastAsia="zh-CN"/>
        </w:rPr>
      </w:pPr>
      <w:r>
        <w:rPr>
          <w:rFonts w:hint="eastAsia" w:ascii="宋体" w:hAnsi="宋体" w:eastAsia="宋体" w:cs="仿宋"/>
          <w:sz w:val="24"/>
          <w:highlight w:val="none"/>
        </w:rPr>
        <w:t>该项目位于草堂科技产业园</w:t>
      </w:r>
      <w:r>
        <w:rPr>
          <w:rFonts w:hint="eastAsia" w:ascii="宋体" w:hAnsi="宋体" w:eastAsia="宋体" w:cs="仿宋"/>
          <w:sz w:val="24"/>
          <w:highlight w:val="none"/>
          <w:lang w:val="en-US" w:eastAsia="zh-CN"/>
        </w:rPr>
        <w:t>内</w:t>
      </w:r>
      <w:r>
        <w:rPr>
          <w:rFonts w:hint="eastAsia" w:ascii="宋体" w:hAnsi="宋体" w:eastAsia="宋体" w:cs="仿宋"/>
          <w:sz w:val="24"/>
          <w:highlight w:val="none"/>
          <w:lang w:eastAsia="zh-CN"/>
        </w:rPr>
        <w:t>，</w:t>
      </w:r>
      <w:r>
        <w:rPr>
          <w:rFonts w:hint="eastAsia" w:ascii="宋体" w:hAnsi="宋体" w:eastAsia="宋体" w:cs="仿宋"/>
          <w:sz w:val="24"/>
          <w:highlight w:val="none"/>
        </w:rPr>
        <w:t>养护范围：南起秦岭一路、北至秦岭九路、西起草堂一路、东至盈川路。</w:t>
      </w:r>
    </w:p>
    <w:p>
      <w:pPr>
        <w:spacing w:line="500" w:lineRule="exact"/>
        <w:ind w:firstLine="480" w:firstLineChars="200"/>
        <w:rPr>
          <w:rFonts w:hint="eastAsia" w:ascii="宋体" w:hAnsi="宋体" w:eastAsia="宋体" w:cs="仿宋"/>
          <w:sz w:val="24"/>
          <w:highlight w:val="none"/>
          <w:lang w:eastAsia="zh-CN"/>
        </w:rPr>
      </w:pPr>
      <w:r>
        <w:rPr>
          <w:rFonts w:hint="eastAsia" w:ascii="宋体" w:hAnsi="宋体" w:eastAsia="宋体" w:cs="仿宋"/>
          <w:sz w:val="24"/>
          <w:highlight w:val="none"/>
        </w:rPr>
        <w:t>市政道路、给排水设施养护路段有：草堂一路、草堂二路、草堂三路、草堂四路、草堂五路、草堂六路、文济路、草堂七路、草堂八路、林谷路、草堂大道、草堂九路、秦岭二路、秦岭三路、秦岭四路、秦岭大道及其西延伸段、秦岭东五路、秦岭西五路、秦岭东六路、秦岭西六路、秦岭东七路、秦岭西七路、秦岭东八路、秦岭西八路、秦岭九路及其西延伸段、余沣路(环山路-六岔路口段)等路段。目前已经竣工验收道路总长度约为55.5km，另外还有庞光镇农村供水管道约25km。</w:t>
      </w:r>
    </w:p>
    <w:p>
      <w:pPr>
        <w:spacing w:line="5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防汛河道有：化羊峪河、黄柏峪河、乌桑峪河、太平峪河等4条河流</w:t>
      </w:r>
      <w:r>
        <w:rPr>
          <w:rFonts w:hint="eastAsia" w:ascii="宋体" w:hAnsi="宋体" w:eastAsia="宋体" w:cs="仿宋"/>
          <w:sz w:val="24"/>
          <w:highlight w:val="none"/>
          <w:lang w:val="en-US" w:eastAsia="zh-CN"/>
        </w:rPr>
        <w:t>流经园区的</w:t>
      </w:r>
      <w:r>
        <w:rPr>
          <w:rFonts w:hint="eastAsia" w:ascii="宋体" w:hAnsi="宋体" w:eastAsia="宋体" w:cs="仿宋"/>
          <w:sz w:val="24"/>
          <w:highlight w:val="none"/>
        </w:rPr>
        <w:t>范围段，河流总长度约13km。</w:t>
      </w:r>
    </w:p>
    <w:p>
      <w:pPr>
        <w:spacing w:before="156" w:beforeLines="50" w:after="156" w:afterLines="50" w:line="360" w:lineRule="auto"/>
        <w:rPr>
          <w:rFonts w:hint="eastAsia" w:ascii="宋体" w:hAnsi="宋体"/>
          <w:b/>
          <w:sz w:val="28"/>
          <w:szCs w:val="28"/>
        </w:rPr>
      </w:pPr>
      <w:r>
        <w:rPr>
          <w:rFonts w:hint="eastAsia" w:ascii="宋体" w:hAnsi="宋体"/>
          <w:b/>
          <w:sz w:val="28"/>
          <w:szCs w:val="28"/>
        </w:rPr>
        <w:t xml:space="preserve">第二条  </w:t>
      </w:r>
      <w:r>
        <w:rPr>
          <w:rFonts w:hint="eastAsia" w:ascii="宋体" w:hAnsi="宋体"/>
          <w:b/>
          <w:sz w:val="28"/>
          <w:szCs w:val="28"/>
          <w:lang w:val="en-US" w:eastAsia="zh-CN"/>
        </w:rPr>
        <w:t>项目</w:t>
      </w:r>
      <w:r>
        <w:rPr>
          <w:rFonts w:hint="eastAsia" w:ascii="宋体" w:hAnsi="宋体"/>
          <w:b/>
          <w:sz w:val="28"/>
          <w:szCs w:val="28"/>
        </w:rPr>
        <w:t>内容</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仿宋"/>
          <w:sz w:val="24"/>
        </w:rPr>
      </w:pPr>
      <w:r>
        <w:rPr>
          <w:rFonts w:hint="eastAsia" w:ascii="宋体" w:hAnsi="宋体" w:cs="仿宋"/>
          <w:b/>
          <w:sz w:val="24"/>
        </w:rPr>
        <w:t>1</w:t>
      </w:r>
      <w:r>
        <w:rPr>
          <w:rFonts w:hint="eastAsia" w:ascii="宋体" w:hAnsi="宋体" w:cs="仿宋"/>
          <w:b/>
          <w:sz w:val="24"/>
          <w:lang w:eastAsia="zh-CN"/>
        </w:rPr>
        <w:t>.</w:t>
      </w:r>
      <w:r>
        <w:rPr>
          <w:rFonts w:hint="eastAsia" w:ascii="宋体" w:hAnsi="宋体" w:cs="仿宋"/>
          <w:b/>
          <w:sz w:val="24"/>
        </w:rPr>
        <w:t>市政道路及给排水设施日常巡查：</w:t>
      </w:r>
      <w:r>
        <w:rPr>
          <w:rFonts w:hint="eastAsia" w:ascii="宋体" w:hAnsi="宋体" w:cs="仿宋"/>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仿宋"/>
          <w:sz w:val="24"/>
        </w:rPr>
      </w:pPr>
      <w:r>
        <w:rPr>
          <w:rFonts w:hint="eastAsia" w:ascii="宋体" w:hAnsi="宋体" w:eastAsia="宋体" w:cs="Times New Roman"/>
          <w:sz w:val="24"/>
        </w:rPr>
        <w:t>包括养护区域内车行道面层(粗油和细油)、基层(二灰石和灰土)，人行道面层(透水砖和盲道石)、基层(细石砼)、树池围石、车止石，路缘石(普通砼道牙、防撞砼道牙、石材道牙和平石)，给排水检查井的井圈、井盖、井室、防坠网，雨水收集</w:t>
      </w:r>
      <w:r>
        <w:rPr>
          <w:rFonts w:hint="eastAsia" w:ascii="宋体" w:hAnsi="宋体" w:eastAsia="宋体" w:cs="Times New Roman"/>
          <w:sz w:val="24"/>
          <w:lang w:val="en-US" w:eastAsia="zh-CN"/>
        </w:rPr>
        <w:t>井</w:t>
      </w:r>
      <w:r>
        <w:rPr>
          <w:rFonts w:hint="eastAsia" w:ascii="宋体" w:hAnsi="宋体" w:eastAsia="宋体" w:cs="Times New Roman"/>
          <w:sz w:val="24"/>
        </w:rPr>
        <w:t>的井圈、井篦、井室，给排水管道、阀门、消火栓，涵洞，标识牌，标线(热熔标线及常温标线)，减速带及其他市政设施等的日常巡查。</w:t>
      </w:r>
      <w:r>
        <w:rPr>
          <w:rFonts w:hint="eastAsia" w:ascii="宋体" w:hAnsi="宋体" w:eastAsia="宋体" w:cs="Times New Roman"/>
          <w:sz w:val="24"/>
          <w:lang w:val="en-US" w:eastAsia="zh-CN"/>
        </w:rPr>
        <w:t>巡查</w:t>
      </w:r>
      <w:r>
        <w:rPr>
          <w:rFonts w:hint="eastAsia" w:ascii="宋体" w:hAnsi="宋体" w:eastAsia="宋体" w:cs="Times New Roman"/>
          <w:sz w:val="24"/>
        </w:rPr>
        <w:t>发现各项损坏情况做好问题台账登记，及时报告甲方并提出可行的维修养护方案；巡查管道、检查井的渗漏、淤堵问题，对各河道排放口以及企业排放口水流及水质情况进行监管控制，杜绝企业非法排放；及时发现并制止无合法手续挖掘破坏市政道路及附属设施的行为，并及时反馈给甲方。</w:t>
      </w:r>
    </w:p>
    <w:p>
      <w:pPr>
        <w:spacing w:line="500" w:lineRule="exact"/>
        <w:ind w:firstLine="482" w:firstLineChars="200"/>
        <w:rPr>
          <w:rFonts w:hint="eastAsia" w:ascii="宋体" w:hAnsi="宋体" w:cs="仿宋"/>
          <w:sz w:val="24"/>
        </w:rPr>
      </w:pPr>
      <w:r>
        <w:rPr>
          <w:rFonts w:hint="eastAsia" w:ascii="宋体" w:hAnsi="宋体" w:cs="仿宋"/>
          <w:b/>
          <w:sz w:val="24"/>
        </w:rPr>
        <w:t>2.市政道路及给排水设施维修养护：</w:t>
      </w:r>
      <w:r>
        <w:rPr>
          <w:rFonts w:hint="eastAsia" w:ascii="宋体" w:hAnsi="宋体" w:cs="仿宋"/>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包括对养护区域内凹陷凸起、壅包、破损剥落、龟裂等缺陷路面的铣刨重铺处理以及塌陷路面基础处理，对破损的人行道面层、树池围石、车止石、路缘石、减速带、标识牌、防撞水泥墩、反光柱、护栏等的更换恢复，对各种破损缺陷井框</w:t>
      </w:r>
      <w:r>
        <w:rPr>
          <w:rFonts w:hint="eastAsia" w:ascii="宋体" w:hAnsi="宋体" w:eastAsia="宋体" w:cs="Times New Roman"/>
          <w:sz w:val="24"/>
          <w:lang w:eastAsia="zh-CN"/>
        </w:rPr>
        <w:t>、</w:t>
      </w:r>
      <w:r>
        <w:rPr>
          <w:rFonts w:hint="eastAsia" w:ascii="宋体" w:hAnsi="宋体" w:eastAsia="宋体" w:cs="Times New Roman"/>
          <w:sz w:val="24"/>
        </w:rPr>
        <w:t>井盖</w:t>
      </w:r>
      <w:r>
        <w:rPr>
          <w:rFonts w:hint="eastAsia" w:ascii="宋体" w:hAnsi="宋体" w:eastAsia="宋体" w:cs="Times New Roman"/>
          <w:sz w:val="24"/>
          <w:lang w:eastAsia="zh-CN"/>
        </w:rPr>
        <w:t>、</w:t>
      </w:r>
      <w:r>
        <w:rPr>
          <w:rFonts w:hint="eastAsia" w:ascii="宋体" w:hAnsi="宋体" w:eastAsia="宋体" w:cs="Times New Roman"/>
          <w:sz w:val="24"/>
        </w:rPr>
        <w:t>防坠网、雨水篦子、阀门、消火栓的更换维修养护，对模糊、缺失或错误的标线清除重画以及道牙的喷涂翻新，对淤堵管道的清淤疏通、存在渗漏管井以及非法私接管道的防漏</w:t>
      </w:r>
      <w:r>
        <w:rPr>
          <w:rFonts w:hint="eastAsia" w:ascii="宋体" w:hAnsi="宋体" w:eastAsia="宋体" w:cs="Times New Roman"/>
          <w:sz w:val="24"/>
          <w:lang w:val="en-US" w:eastAsia="zh-CN"/>
        </w:rPr>
        <w:t>和</w:t>
      </w:r>
      <w:r>
        <w:rPr>
          <w:rFonts w:hint="eastAsia" w:ascii="宋体" w:hAnsi="宋体" w:eastAsia="宋体" w:cs="Times New Roman"/>
          <w:sz w:val="24"/>
        </w:rPr>
        <w:t>封堵处理，涵洞内清淤疏通以及缺陷问题修复养护，对积水路段以及未打通的管道辅助抽排水处理，根据甲方要求随时调节</w:t>
      </w:r>
      <w:r>
        <w:rPr>
          <w:rFonts w:hint="eastAsia" w:ascii="宋体" w:hAnsi="宋体" w:eastAsia="宋体" w:cs="Times New Roman"/>
          <w:sz w:val="24"/>
          <w:lang w:val="en-US" w:eastAsia="zh-CN"/>
        </w:rPr>
        <w:t>和</w:t>
      </w:r>
      <w:r>
        <w:rPr>
          <w:rFonts w:hint="eastAsia" w:ascii="宋体" w:hAnsi="宋体" w:eastAsia="宋体" w:cs="Times New Roman"/>
          <w:sz w:val="24"/>
        </w:rPr>
        <w:t>开关雨水污水管道阀门。</w:t>
      </w:r>
    </w:p>
    <w:p>
      <w:pPr>
        <w:spacing w:line="500" w:lineRule="exact"/>
        <w:ind w:firstLine="482" w:firstLineChars="200"/>
        <w:rPr>
          <w:rFonts w:hint="eastAsia" w:ascii="宋体" w:hAnsi="宋体" w:eastAsia="宋体" w:cs="仿宋"/>
          <w:b/>
          <w:sz w:val="24"/>
        </w:rPr>
      </w:pPr>
      <w:r>
        <w:rPr>
          <w:rFonts w:hint="eastAsia" w:ascii="宋体" w:hAnsi="宋体" w:eastAsia="宋体" w:cs="仿宋"/>
          <w:b/>
          <w:sz w:val="24"/>
          <w:lang w:val="en-US" w:eastAsia="zh-CN"/>
        </w:rPr>
        <w:t>3.</w:t>
      </w:r>
      <w:r>
        <w:rPr>
          <w:rFonts w:hint="eastAsia" w:ascii="宋体" w:hAnsi="宋体" w:eastAsia="宋体" w:cs="仿宋"/>
          <w:b/>
          <w:sz w:val="24"/>
        </w:rPr>
        <w:t xml:space="preserve">园区防汛： </w:t>
      </w:r>
    </w:p>
    <w:p>
      <w:pPr>
        <w:numPr>
          <w:ilvl w:val="0"/>
          <w:numId w:val="0"/>
        </w:numPr>
        <w:spacing w:line="500" w:lineRule="exact"/>
        <w:ind w:firstLine="480" w:firstLineChars="200"/>
        <w:rPr>
          <w:rFonts w:ascii="宋体" w:hAnsi="宋体" w:cs="仿宋"/>
          <w:sz w:val="24"/>
        </w:rPr>
      </w:pPr>
      <w:r>
        <w:rPr>
          <w:rFonts w:hint="eastAsia" w:ascii="宋体" w:hAnsi="宋体" w:eastAsia="宋体" w:cs="Times New Roman"/>
          <w:sz w:val="24"/>
          <w:lang w:val="en-US" w:eastAsia="zh-CN"/>
        </w:rPr>
        <w:t>结合</w:t>
      </w:r>
      <w:r>
        <w:rPr>
          <w:rFonts w:hint="eastAsia" w:ascii="宋体" w:hAnsi="宋体" w:eastAsia="宋体" w:cs="Times New Roman"/>
          <w:sz w:val="24"/>
        </w:rPr>
        <w:t>园区</w:t>
      </w:r>
      <w:r>
        <w:rPr>
          <w:rFonts w:hint="eastAsia" w:ascii="宋体" w:hAnsi="宋体" w:eastAsia="宋体" w:cs="Times New Roman"/>
          <w:sz w:val="24"/>
          <w:lang w:val="en-US" w:eastAsia="zh-CN"/>
        </w:rPr>
        <w:t>实际</w:t>
      </w:r>
      <w:r>
        <w:rPr>
          <w:rFonts w:hint="eastAsia" w:ascii="宋体" w:hAnsi="宋体" w:eastAsia="宋体" w:cs="Times New Roman"/>
          <w:sz w:val="24"/>
        </w:rPr>
        <w:t>情况编制</w:t>
      </w:r>
      <w:r>
        <w:rPr>
          <w:rFonts w:hint="eastAsia" w:ascii="宋体" w:hAnsi="宋体" w:eastAsia="宋体" w:cs="Times New Roman"/>
          <w:sz w:val="24"/>
          <w:lang w:val="en-US" w:eastAsia="zh-CN"/>
        </w:rPr>
        <w:t>园区</w:t>
      </w:r>
      <w:r>
        <w:rPr>
          <w:rFonts w:hint="eastAsia" w:ascii="宋体" w:hAnsi="宋体" w:eastAsia="宋体" w:cs="Times New Roman"/>
          <w:sz w:val="24"/>
        </w:rPr>
        <w:t>可行性防讯</w:t>
      </w:r>
      <w:r>
        <w:rPr>
          <w:rFonts w:hint="eastAsia" w:ascii="宋体" w:hAnsi="宋体" w:eastAsia="宋体" w:cs="Times New Roman"/>
          <w:sz w:val="24"/>
          <w:lang w:val="en-US" w:eastAsia="zh-CN"/>
        </w:rPr>
        <w:t>应急</w:t>
      </w:r>
      <w:r>
        <w:rPr>
          <w:rFonts w:hint="eastAsia" w:ascii="宋体" w:hAnsi="宋体" w:eastAsia="宋体" w:cs="Times New Roman"/>
          <w:sz w:val="24"/>
        </w:rPr>
        <w:t>预案。汛前对园区内管网及4条河流进行排查，及时对淤堵或存在垃圾管道进行清理，对河道淤堵、河岸堤坝损坏情况做好问题台账登记，及时报告甲方并提出可行的维修养护方案，确保汛期来临之前将问题处理完。汛期根据雨情启动相应应急响应，严格落实24小时值班制度，做好天气、水情预报,加强园区积水路面、管网、河道巡查工作，中雨以上必须保证每个易积水点及排水不通的管道处有人值守抽排降水，确保过往行人安全以及企业的安全；及时监测掌握河道河岸堤坝情况、河流水位、流速,分析预估可能发生的情况,如遇险情，第一时间上报甲方，按照甲方要求进行应急抢险。</w:t>
      </w:r>
    </w:p>
    <w:p>
      <w:pPr>
        <w:spacing w:line="500" w:lineRule="exact"/>
        <w:ind w:firstLine="482" w:firstLineChars="200"/>
        <w:rPr>
          <w:rFonts w:hint="eastAsia" w:ascii="宋体" w:hAnsi="宋体" w:cs="仿宋"/>
          <w:b/>
          <w:sz w:val="24"/>
        </w:rPr>
      </w:pPr>
      <w:r>
        <w:rPr>
          <w:rFonts w:hint="eastAsia" w:ascii="宋体" w:hAnsi="宋体" w:cs="仿宋"/>
          <w:b/>
          <w:sz w:val="24"/>
        </w:rPr>
        <w:t>4.其它临时</w:t>
      </w:r>
      <w:r>
        <w:rPr>
          <w:rFonts w:hint="eastAsia" w:ascii="宋体" w:hAnsi="宋体" w:cs="仿宋"/>
          <w:b/>
          <w:sz w:val="24"/>
          <w:lang w:val="en-US" w:eastAsia="zh-CN"/>
        </w:rPr>
        <w:t>工作</w:t>
      </w:r>
      <w:r>
        <w:rPr>
          <w:rFonts w:hint="eastAsia" w:ascii="宋体" w:hAnsi="宋体" w:cs="仿宋"/>
          <w:b/>
          <w:sz w:val="24"/>
        </w:rPr>
        <w:t>：</w:t>
      </w:r>
    </w:p>
    <w:p>
      <w:pPr>
        <w:spacing w:line="500" w:lineRule="exact"/>
        <w:ind w:firstLine="480" w:firstLineChars="200"/>
        <w:rPr>
          <w:rFonts w:ascii="宋体" w:hAnsi="宋体" w:cs="仿宋"/>
          <w:sz w:val="24"/>
        </w:rPr>
      </w:pPr>
      <w:r>
        <w:rPr>
          <w:rFonts w:hint="eastAsia" w:ascii="宋体" w:hAnsi="宋体" w:eastAsia="宋体" w:cs="Times New Roman"/>
          <w:sz w:val="24"/>
        </w:rPr>
        <w:t>市政道路给排水临时</w:t>
      </w:r>
      <w:r>
        <w:rPr>
          <w:rFonts w:hint="eastAsia" w:ascii="宋体" w:hAnsi="宋体" w:eastAsia="宋体" w:cs="Times New Roman"/>
          <w:sz w:val="24"/>
          <w:lang w:val="en-US" w:eastAsia="zh-CN"/>
        </w:rPr>
        <w:t>工作</w:t>
      </w:r>
      <w:r>
        <w:rPr>
          <w:rFonts w:hint="eastAsia" w:ascii="宋体" w:hAnsi="宋体" w:eastAsia="宋体" w:cs="Times New Roman"/>
          <w:sz w:val="24"/>
          <w:lang w:eastAsia="zh-CN"/>
        </w:rPr>
        <w:t>、</w:t>
      </w:r>
      <w:r>
        <w:rPr>
          <w:rFonts w:hint="eastAsia" w:ascii="宋体" w:hAnsi="宋体" w:eastAsia="宋体" w:cs="Times New Roman"/>
          <w:sz w:val="24"/>
        </w:rPr>
        <w:t>应急抢险任务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园区观摩调研等重大活动的相关保障工作</w:t>
      </w:r>
      <w:r>
        <w:rPr>
          <w:rFonts w:hint="eastAsia" w:ascii="宋体" w:hAnsi="宋体" w:eastAsia="宋体" w:cs="Times New Roman"/>
          <w:sz w:val="24"/>
        </w:rPr>
        <w:t>。</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第三条  服务期限</w:t>
      </w:r>
    </w:p>
    <w:p>
      <w:pPr>
        <w:pStyle w:val="116"/>
        <w:spacing w:line="500" w:lineRule="exact"/>
        <w:ind w:firstLine="480" w:firstLineChars="200"/>
        <w:rPr>
          <w:rFonts w:hint="default" w:ascii="宋体" w:hAnsi="宋体" w:eastAsia="宋体"/>
          <w:sz w:val="24"/>
          <w:highlight w:val="none"/>
          <w:lang w:val="en-US" w:eastAsia="zh-CN"/>
        </w:rPr>
      </w:pPr>
      <w:r>
        <w:rPr>
          <w:rFonts w:hint="eastAsia" w:ascii="宋体" w:hAnsi="宋体"/>
          <w:kern w:val="0"/>
          <w:sz w:val="24"/>
        </w:rPr>
        <w:t>1、</w:t>
      </w:r>
      <w:r>
        <w:rPr>
          <w:rFonts w:hint="eastAsia" w:ascii="宋体" w:hAnsi="宋体"/>
          <w:kern w:val="0"/>
          <w:sz w:val="24"/>
          <w:highlight w:val="none"/>
        </w:rPr>
        <w:t>养护服务</w:t>
      </w:r>
      <w:r>
        <w:rPr>
          <w:rFonts w:ascii="宋体" w:hAnsi="宋体"/>
          <w:kern w:val="0"/>
          <w:sz w:val="24"/>
          <w:highlight w:val="none"/>
        </w:rPr>
        <w:t>总</w:t>
      </w:r>
      <w:r>
        <w:rPr>
          <w:rFonts w:hint="eastAsia" w:ascii="宋体" w:hAnsi="宋体"/>
          <w:kern w:val="0"/>
          <w:sz w:val="24"/>
          <w:highlight w:val="none"/>
        </w:rPr>
        <w:t>期限</w:t>
      </w:r>
      <w:r>
        <w:rPr>
          <w:rFonts w:ascii="宋体" w:hAnsi="宋体"/>
          <w:kern w:val="0"/>
          <w:sz w:val="24"/>
          <w:highlight w:val="none"/>
        </w:rPr>
        <w:t>为</w:t>
      </w:r>
      <w:r>
        <w:rPr>
          <w:rFonts w:hint="eastAsia" w:ascii="宋体" w:hAnsi="宋体"/>
          <w:kern w:val="0"/>
          <w:sz w:val="24"/>
          <w:highlight w:val="none"/>
        </w:rPr>
        <w:t>12个月。</w:t>
      </w:r>
      <w:r>
        <w:rPr>
          <w:rFonts w:hint="eastAsia" w:ascii="宋体" w:hAnsi="宋体"/>
          <w:kern w:val="0"/>
          <w:sz w:val="24"/>
          <w:highlight w:val="none"/>
          <w:lang w:val="en-US" w:eastAsia="zh-CN"/>
        </w:rPr>
        <w:t>(具体以项目实施时间为准）</w:t>
      </w:r>
    </w:p>
    <w:p>
      <w:pPr>
        <w:pStyle w:val="116"/>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乙</w:t>
      </w:r>
      <w:r>
        <w:rPr>
          <w:rFonts w:hint="eastAsia" w:ascii="宋体" w:hAnsi="宋体"/>
          <w:sz w:val="24"/>
        </w:rPr>
        <w:t>方必须于</w:t>
      </w:r>
      <w:r>
        <w:rPr>
          <w:rFonts w:hint="eastAsia" w:ascii="宋体" w:hAnsi="宋体"/>
          <w:sz w:val="24"/>
          <w:u w:val="single"/>
          <w:lang w:val="en-US" w:eastAsia="zh-CN"/>
        </w:rPr>
        <w:t xml:space="preserve">     </w:t>
      </w:r>
      <w:r>
        <w:rPr>
          <w:rFonts w:hint="eastAsia" w:ascii="宋体" w:hAnsi="宋体"/>
          <w:sz w:val="24"/>
          <w:u w:val="single"/>
        </w:rPr>
        <w:t>年</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日前</w:t>
      </w:r>
      <w:r>
        <w:rPr>
          <w:rFonts w:hint="eastAsia" w:ascii="宋体" w:hAnsi="宋体"/>
          <w:sz w:val="24"/>
        </w:rPr>
        <w:t>组织满足要求的人员设备进场，完成项目部驻地建设。及时对接上家养护单位，熟悉了解园区养护工作并做到养护工作无缝交接，确保</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日正常巡查养护。</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第四条  承包方式：</w:t>
      </w:r>
    </w:p>
    <w:p>
      <w:pPr>
        <w:pStyle w:val="116"/>
        <w:spacing w:line="500" w:lineRule="exact"/>
        <w:ind w:firstLine="480" w:firstLineChars="200"/>
        <w:rPr>
          <w:rFonts w:hint="eastAsia" w:ascii="宋体" w:hAnsi="宋体"/>
          <w:kern w:val="0"/>
          <w:sz w:val="24"/>
          <w:highlight w:val="none"/>
        </w:rPr>
      </w:pPr>
      <w:r>
        <w:rPr>
          <w:rFonts w:hint="eastAsia" w:ascii="宋体" w:hAnsi="宋体"/>
          <w:kern w:val="0"/>
          <w:sz w:val="24"/>
          <w:highlight w:val="none"/>
        </w:rPr>
        <w:t>本</w:t>
      </w:r>
      <w:r>
        <w:rPr>
          <w:rFonts w:hint="eastAsia" w:ascii="宋体" w:hAnsi="宋体"/>
          <w:kern w:val="0"/>
          <w:sz w:val="24"/>
          <w:highlight w:val="none"/>
          <w:lang w:val="en-US" w:eastAsia="zh-CN"/>
        </w:rPr>
        <w:t>项目</w:t>
      </w:r>
      <w:r>
        <w:rPr>
          <w:rFonts w:hint="eastAsia" w:ascii="宋体" w:hAnsi="宋体"/>
          <w:kern w:val="0"/>
          <w:sz w:val="24"/>
          <w:highlight w:val="none"/>
        </w:rPr>
        <w:t>采用全费用综合单价方式承包，包工、包料、包质量、包安全及文明施工。</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第五条  合同价款</w:t>
      </w:r>
    </w:p>
    <w:p>
      <w:pPr>
        <w:spacing w:line="500" w:lineRule="exact"/>
        <w:ind w:firstLine="480" w:firstLineChars="200"/>
        <w:rPr>
          <w:rFonts w:hint="eastAsia" w:ascii="宋体" w:hAnsi="宋体"/>
          <w:sz w:val="24"/>
          <w:highlight w:val="none"/>
        </w:rPr>
      </w:pPr>
      <w:r>
        <w:rPr>
          <w:rFonts w:hint="eastAsia" w:ascii="宋体" w:hAnsi="宋体"/>
          <w:sz w:val="24"/>
          <w:highlight w:val="none"/>
        </w:rPr>
        <w:t>1、巡查维修养护全费用综合单价见附表1：道路给排水巡查养护及园区防汛</w:t>
      </w:r>
      <w:r>
        <w:rPr>
          <w:rFonts w:hint="eastAsia" w:ascii="宋体" w:hAnsi="宋体"/>
          <w:sz w:val="24"/>
          <w:highlight w:val="none"/>
          <w:lang w:val="en-US" w:eastAsia="zh-CN"/>
        </w:rPr>
        <w:t>项目费用明细表</w:t>
      </w:r>
      <w:r>
        <w:rPr>
          <w:rFonts w:hint="eastAsia" w:ascii="宋体" w:hAnsi="宋体"/>
          <w:sz w:val="24"/>
          <w:highlight w:val="none"/>
        </w:rPr>
        <w:t>。</w:t>
      </w:r>
    </w:p>
    <w:p>
      <w:pPr>
        <w:spacing w:line="500" w:lineRule="exact"/>
        <w:ind w:firstLine="480" w:firstLineChars="200"/>
        <w:rPr>
          <w:rFonts w:hint="eastAsia" w:ascii="宋体" w:hAnsi="宋体"/>
          <w:sz w:val="24"/>
        </w:rPr>
      </w:pPr>
      <w:r>
        <w:rPr>
          <w:rFonts w:hint="eastAsia" w:ascii="宋体" w:hAnsi="宋体"/>
          <w:sz w:val="24"/>
        </w:rPr>
        <w:t>2、合同中的</w:t>
      </w:r>
      <w:r>
        <w:rPr>
          <w:rFonts w:hint="eastAsia" w:ascii="宋体" w:hAnsi="宋体"/>
          <w:kern w:val="0"/>
          <w:sz w:val="24"/>
        </w:rPr>
        <w:t>全费用综合单价均已包括为完成本合同巡查维修养护内容所需的全部人工费、材料费、机械设备费、措施费、管理费、利润、规费、税费、人员与机械设备进出场费、安全文明施工费、环境保护费、治污减霾降效费、完工后的场地清理及垃圾处理费、保险费以及全部安全事故责任。</w:t>
      </w:r>
    </w:p>
    <w:p>
      <w:pPr>
        <w:spacing w:line="500" w:lineRule="exact"/>
        <w:ind w:firstLine="480" w:firstLineChars="200"/>
        <w:rPr>
          <w:rFonts w:hint="eastAsia" w:ascii="宋体" w:hAnsi="宋体"/>
          <w:sz w:val="24"/>
          <w:highlight w:val="none"/>
        </w:rPr>
      </w:pPr>
      <w:r>
        <w:rPr>
          <w:rFonts w:hint="eastAsia" w:ascii="宋体" w:hAnsi="宋体"/>
          <w:sz w:val="24"/>
          <w:highlight w:val="none"/>
        </w:rPr>
        <w:t>3、最终以甲方实际收方签认工程数量及合同中的</w:t>
      </w:r>
      <w:r>
        <w:rPr>
          <w:rFonts w:hint="eastAsia" w:ascii="宋体" w:hAnsi="宋体"/>
          <w:kern w:val="0"/>
          <w:sz w:val="24"/>
          <w:highlight w:val="none"/>
        </w:rPr>
        <w:t>全费用综合单价进行</w:t>
      </w:r>
      <w:r>
        <w:rPr>
          <w:rFonts w:hint="eastAsia" w:ascii="宋体" w:hAnsi="宋体"/>
          <w:sz w:val="24"/>
          <w:highlight w:val="none"/>
        </w:rPr>
        <w:t>结算,对完成工程量清单项目而做的辅助工作内容均已包含在全费用综合单价中,不另外计价。</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第六条  质量标准要求</w:t>
      </w:r>
    </w:p>
    <w:p>
      <w:pPr>
        <w:spacing w:line="500" w:lineRule="exact"/>
        <w:ind w:firstLine="480" w:firstLineChars="200"/>
        <w:rPr>
          <w:rFonts w:hint="eastAsia" w:ascii="宋体" w:hAnsi="宋体"/>
          <w:sz w:val="24"/>
        </w:rPr>
      </w:pPr>
      <w:r>
        <w:rPr>
          <w:rFonts w:hint="eastAsia" w:ascii="宋体" w:hAnsi="宋体"/>
          <w:sz w:val="24"/>
        </w:rPr>
        <w:t>1、所有材料、设备、成品半成品必须经过甲方验收，验收不合格者不得用于本工程。对于</w:t>
      </w:r>
      <w:r>
        <w:rPr>
          <w:rFonts w:hint="eastAsia" w:ascii="宋体" w:hAnsi="宋体" w:cs="仿宋"/>
          <w:sz w:val="24"/>
        </w:rPr>
        <w:t>隐蔽工程，须经自检合格且甲方验收合格后方可进行隐蔽工程覆盖和继续下一步施工。</w:t>
      </w:r>
    </w:p>
    <w:p>
      <w:pPr>
        <w:spacing w:line="500" w:lineRule="exact"/>
        <w:ind w:firstLine="480" w:firstLineChars="200"/>
        <w:rPr>
          <w:rFonts w:ascii="宋体" w:hAnsi="宋体" w:cs="仿宋"/>
          <w:sz w:val="24"/>
        </w:rPr>
      </w:pPr>
      <w:r>
        <w:rPr>
          <w:rFonts w:hint="eastAsia" w:ascii="宋体" w:hAnsi="宋体"/>
          <w:sz w:val="24"/>
        </w:rPr>
        <w:t>2、</w:t>
      </w:r>
      <w:r>
        <w:rPr>
          <w:rFonts w:hint="eastAsia" w:ascii="宋体" w:hAnsi="宋体" w:cs="仿宋"/>
          <w:sz w:val="24"/>
          <w:lang w:val="en-US" w:eastAsia="zh-CN"/>
        </w:rPr>
        <w:t>乙</w:t>
      </w:r>
      <w:r>
        <w:rPr>
          <w:rFonts w:hint="eastAsia" w:ascii="宋体" w:hAnsi="宋体" w:cs="仿宋"/>
          <w:sz w:val="24"/>
        </w:rPr>
        <w:t>方应按照国家行业规范要求施工，随时接受甲方的检查，为检查提供便利条件，</w:t>
      </w:r>
      <w:r>
        <w:rPr>
          <w:rFonts w:hint="eastAsia" w:ascii="宋体" w:hAnsi="宋体"/>
          <w:sz w:val="24"/>
        </w:rPr>
        <w:t>由于</w:t>
      </w:r>
      <w:r>
        <w:rPr>
          <w:rFonts w:hint="eastAsia" w:ascii="宋体" w:hAnsi="宋体"/>
          <w:sz w:val="24"/>
          <w:lang w:val="en-US" w:eastAsia="zh-CN"/>
        </w:rPr>
        <w:t>乙</w:t>
      </w:r>
      <w:r>
        <w:rPr>
          <w:rFonts w:hint="eastAsia" w:ascii="宋体" w:hAnsi="宋体"/>
          <w:sz w:val="24"/>
        </w:rPr>
        <w:t>方施工质量达不到规范要求，其整改处理或返工费用以及对甲方造成的损失全部由</w:t>
      </w:r>
      <w:r>
        <w:rPr>
          <w:rFonts w:hint="eastAsia" w:ascii="宋体" w:hAnsi="宋体"/>
          <w:sz w:val="24"/>
          <w:lang w:val="en-US" w:eastAsia="zh-CN"/>
        </w:rPr>
        <w:t>乙</w:t>
      </w:r>
      <w:r>
        <w:rPr>
          <w:rFonts w:hint="eastAsia" w:ascii="宋体" w:hAnsi="宋体"/>
          <w:sz w:val="24"/>
        </w:rPr>
        <w:t>方承担。</w:t>
      </w:r>
    </w:p>
    <w:p>
      <w:pPr>
        <w:spacing w:line="500" w:lineRule="exact"/>
        <w:ind w:firstLine="480" w:firstLineChars="200"/>
        <w:rPr>
          <w:rFonts w:hint="eastAsia" w:ascii="宋体" w:hAnsi="宋体"/>
          <w:sz w:val="24"/>
        </w:rPr>
      </w:pPr>
      <w:r>
        <w:rPr>
          <w:rFonts w:hint="eastAsia" w:ascii="宋体" w:hAnsi="宋体" w:cs="仿宋"/>
          <w:sz w:val="24"/>
        </w:rPr>
        <w:t>3、道路维护工程具备验收条件，</w:t>
      </w:r>
      <w:r>
        <w:rPr>
          <w:rFonts w:hint="eastAsia" w:ascii="宋体" w:hAnsi="宋体" w:cs="仿宋"/>
          <w:sz w:val="24"/>
          <w:lang w:val="en-US" w:eastAsia="zh-CN"/>
        </w:rPr>
        <w:t>乙</w:t>
      </w:r>
      <w:r>
        <w:rPr>
          <w:rFonts w:hint="eastAsia" w:ascii="宋体" w:hAnsi="宋体" w:cs="仿宋"/>
          <w:sz w:val="24"/>
        </w:rPr>
        <w:t>方按国家有关规定，向甲方提供完整资料和验收报告，必须按甲方提出的意见要求进行整改并承担费用。修补更换的工程缺陷责任期为1年，缺陷责任期自工程交付使用之日起计算。缺陷责任期内，由于丙方施工质量而引起的损害（因非修补层结构损坏、交通事故、火灾、不可抗力因素除外）应无偿补修，并承担由此产生的费用。</w:t>
      </w:r>
    </w:p>
    <w:p>
      <w:pPr>
        <w:spacing w:line="500" w:lineRule="exact"/>
        <w:ind w:firstLine="480" w:firstLineChars="200"/>
        <w:rPr>
          <w:rFonts w:hint="eastAsia" w:ascii="宋体" w:hAnsi="宋体"/>
          <w:sz w:val="24"/>
        </w:rPr>
      </w:pPr>
      <w:r>
        <w:rPr>
          <w:rFonts w:hint="eastAsia" w:ascii="宋体" w:hAnsi="宋体"/>
          <w:sz w:val="24"/>
        </w:rPr>
        <w:t>4、所有工程质量安全应符合现行国家、行业、省、市等相关技术标准及规范，包括但不仅限于下列规范：</w:t>
      </w:r>
    </w:p>
    <w:p>
      <w:pPr>
        <w:spacing w:line="360" w:lineRule="auto"/>
        <w:ind w:firstLine="547" w:firstLineChars="228"/>
        <w:rPr>
          <w:rFonts w:ascii="宋体" w:hAnsi="宋体" w:cs="仿宋"/>
          <w:sz w:val="24"/>
        </w:rPr>
      </w:pPr>
      <w:r>
        <w:rPr>
          <w:rFonts w:hint="eastAsia" w:ascii="宋体" w:hAnsi="宋体" w:cs="仿宋"/>
          <w:sz w:val="24"/>
        </w:rPr>
        <w:t>《城镇道路养护技术规范》CJJ36-2016</w:t>
      </w:r>
    </w:p>
    <w:p>
      <w:pPr>
        <w:spacing w:line="360" w:lineRule="auto"/>
        <w:ind w:firstLine="547" w:firstLineChars="228"/>
        <w:rPr>
          <w:rFonts w:hint="eastAsia" w:ascii="宋体" w:hAnsi="宋体" w:cs="仿宋"/>
          <w:sz w:val="24"/>
        </w:rPr>
      </w:pPr>
      <w:r>
        <w:rPr>
          <w:rFonts w:hint="eastAsia" w:ascii="宋体" w:hAnsi="宋体" w:cs="仿宋"/>
          <w:sz w:val="24"/>
        </w:rPr>
        <w:t>《公路沥青路面养护技术规范》JTJ073.2-2017</w:t>
      </w:r>
    </w:p>
    <w:p>
      <w:pPr>
        <w:spacing w:line="360" w:lineRule="auto"/>
        <w:ind w:firstLine="547" w:firstLineChars="228"/>
        <w:rPr>
          <w:rFonts w:hint="eastAsia" w:ascii="宋体" w:hAnsi="宋体" w:cs="仿宋"/>
          <w:sz w:val="24"/>
        </w:rPr>
      </w:pPr>
      <w:r>
        <w:rPr>
          <w:rFonts w:ascii="宋体" w:hAnsi="宋体" w:cs="仿宋"/>
          <w:sz w:val="24"/>
        </w:rPr>
        <w:t>《公路沥青路面施工技术规范》JTGF40-2004</w:t>
      </w:r>
    </w:p>
    <w:p>
      <w:pPr>
        <w:spacing w:line="360" w:lineRule="auto"/>
        <w:ind w:firstLine="547" w:firstLineChars="228"/>
        <w:rPr>
          <w:rFonts w:hint="eastAsia" w:ascii="宋体" w:hAnsi="宋体" w:cs="仿宋"/>
          <w:sz w:val="24"/>
        </w:rPr>
      </w:pPr>
      <w:r>
        <w:rPr>
          <w:rFonts w:ascii="宋体" w:hAnsi="宋体" w:cs="仿宋"/>
          <w:sz w:val="24"/>
        </w:rPr>
        <w:t>《公路路面基层施工技术规程》JTJ034-2000</w:t>
      </w:r>
    </w:p>
    <w:p>
      <w:pPr>
        <w:spacing w:line="360" w:lineRule="auto"/>
        <w:ind w:firstLine="547" w:firstLineChars="228"/>
        <w:rPr>
          <w:rFonts w:ascii="宋体" w:hAnsi="宋体" w:cs="仿宋"/>
          <w:sz w:val="24"/>
        </w:rPr>
      </w:pPr>
      <w:r>
        <w:rPr>
          <w:rFonts w:ascii="宋体" w:hAnsi="宋体" w:cs="仿宋"/>
          <w:sz w:val="24"/>
        </w:rPr>
        <w:t>《公路改性沥青路面施工技术规范》GTJ036-98</w:t>
      </w:r>
    </w:p>
    <w:p>
      <w:pPr>
        <w:spacing w:line="360" w:lineRule="auto"/>
        <w:ind w:firstLine="547" w:firstLineChars="228"/>
        <w:rPr>
          <w:rFonts w:ascii="宋体" w:hAnsi="宋体" w:cs="仿宋"/>
          <w:sz w:val="24"/>
        </w:rPr>
      </w:pPr>
      <w:r>
        <w:rPr>
          <w:rFonts w:hint="eastAsia" w:ascii="宋体" w:hAnsi="宋体" w:cs="仿宋"/>
          <w:sz w:val="24"/>
        </w:rPr>
        <w:t>《道路施工安全设施设置示例》GB5768－2009</w:t>
      </w:r>
    </w:p>
    <w:p>
      <w:pPr>
        <w:spacing w:line="360" w:lineRule="auto"/>
        <w:ind w:firstLine="547" w:firstLineChars="228"/>
        <w:rPr>
          <w:rFonts w:ascii="宋体" w:hAnsi="宋体" w:cs="仿宋"/>
          <w:sz w:val="24"/>
        </w:rPr>
      </w:pPr>
      <w:r>
        <w:rPr>
          <w:rFonts w:hint="eastAsia" w:ascii="宋体" w:hAnsi="宋体" w:cs="仿宋"/>
          <w:sz w:val="24"/>
        </w:rPr>
        <w:t>《城市道路养护作业安全设施设置技术规程》DBJ13/T－149－2012</w:t>
      </w:r>
    </w:p>
    <w:p>
      <w:pPr>
        <w:spacing w:line="360" w:lineRule="auto"/>
        <w:ind w:firstLine="547" w:firstLineChars="228"/>
        <w:rPr>
          <w:rFonts w:hint="eastAsia" w:ascii="宋体" w:hAnsi="宋体" w:cs="仿宋"/>
          <w:sz w:val="24"/>
        </w:rPr>
      </w:pPr>
      <w:r>
        <w:rPr>
          <w:rFonts w:ascii="宋体" w:hAnsi="宋体" w:cs="仿宋"/>
          <w:sz w:val="24"/>
        </w:rPr>
        <w:t>《城镇道路工程施工与质量验收规范》</w:t>
      </w:r>
      <w:r>
        <w:rPr>
          <w:rFonts w:hint="eastAsia" w:ascii="宋体" w:hAnsi="宋体" w:cs="仿宋"/>
          <w:sz w:val="24"/>
        </w:rPr>
        <w:t>CJJ</w:t>
      </w:r>
      <w:r>
        <w:rPr>
          <w:rFonts w:ascii="宋体" w:hAnsi="宋体" w:cs="仿宋"/>
          <w:sz w:val="24"/>
        </w:rPr>
        <w:t>1-2</w:t>
      </w:r>
      <w:r>
        <w:rPr>
          <w:rFonts w:hint="eastAsia" w:ascii="宋体" w:hAnsi="宋体" w:cs="仿宋"/>
          <w:sz w:val="24"/>
        </w:rPr>
        <w:t>0</w:t>
      </w:r>
      <w:r>
        <w:rPr>
          <w:rFonts w:ascii="宋体" w:hAnsi="宋体" w:cs="仿宋"/>
          <w:sz w:val="24"/>
        </w:rPr>
        <w:t>08</w:t>
      </w:r>
    </w:p>
    <w:p>
      <w:pPr>
        <w:spacing w:line="360" w:lineRule="auto"/>
        <w:ind w:firstLine="547" w:firstLineChars="228"/>
        <w:rPr>
          <w:rFonts w:ascii="宋体" w:hAnsi="宋体" w:cs="仿宋"/>
          <w:sz w:val="24"/>
        </w:rPr>
      </w:pPr>
      <w:r>
        <w:rPr>
          <w:rFonts w:hint="eastAsia" w:ascii="宋体" w:hAnsi="宋体" w:cs="仿宋"/>
          <w:sz w:val="24"/>
        </w:rPr>
        <w:t xml:space="preserve">《道路交通标志和标线》GB5768－2009  </w:t>
      </w:r>
    </w:p>
    <w:p>
      <w:pPr>
        <w:spacing w:line="360" w:lineRule="auto"/>
        <w:ind w:firstLine="547" w:firstLineChars="228"/>
        <w:rPr>
          <w:rFonts w:ascii="宋体" w:hAnsi="宋体" w:cs="仿宋"/>
          <w:sz w:val="24"/>
        </w:rPr>
      </w:pPr>
      <w:r>
        <w:rPr>
          <w:rFonts w:hint="eastAsia" w:ascii="宋体" w:hAnsi="宋体" w:cs="仿宋"/>
          <w:sz w:val="24"/>
        </w:rPr>
        <w:t>《道路交通标志板及支撑件》GB/T 23827</w:t>
      </w:r>
    </w:p>
    <w:p>
      <w:pPr>
        <w:spacing w:line="360" w:lineRule="auto"/>
        <w:ind w:firstLine="547" w:firstLineChars="228"/>
        <w:rPr>
          <w:rFonts w:ascii="宋体" w:hAnsi="宋体" w:cs="仿宋"/>
          <w:sz w:val="24"/>
          <w:highlight w:val="none"/>
        </w:rPr>
      </w:pPr>
      <w:r>
        <w:rPr>
          <w:rFonts w:hint="eastAsia" w:ascii="宋体" w:hAnsi="宋体" w:cs="仿宋"/>
          <w:sz w:val="24"/>
          <w:highlight w:val="none"/>
        </w:rPr>
        <w:t>《道路交通反光膜》GB/T 18833</w:t>
      </w:r>
    </w:p>
    <w:p>
      <w:pPr>
        <w:spacing w:line="360" w:lineRule="auto"/>
        <w:ind w:firstLine="547" w:firstLineChars="228"/>
        <w:rPr>
          <w:rFonts w:ascii="宋体" w:hAnsi="宋体" w:cs="仿宋"/>
          <w:sz w:val="24"/>
          <w:highlight w:val="none"/>
        </w:rPr>
      </w:pPr>
      <w:r>
        <w:rPr>
          <w:rFonts w:hint="eastAsia" w:ascii="宋体" w:hAnsi="宋体" w:cs="仿宋"/>
          <w:sz w:val="24"/>
          <w:highlight w:val="none"/>
        </w:rPr>
        <w:t>《路面标线涂料》</w:t>
      </w:r>
      <w:r>
        <w:rPr>
          <w:rFonts w:ascii="宋体" w:hAnsi="宋体" w:cs="仿宋"/>
          <w:sz w:val="24"/>
          <w:highlight w:val="none"/>
        </w:rPr>
        <w:t>JT/T280-2004</w:t>
      </w:r>
    </w:p>
    <w:p>
      <w:pPr>
        <w:spacing w:line="360" w:lineRule="auto"/>
        <w:ind w:firstLine="547" w:firstLineChars="228"/>
        <w:rPr>
          <w:rFonts w:hint="default" w:ascii="宋体" w:hAnsi="宋体" w:eastAsia="宋体" w:cs="仿宋"/>
          <w:sz w:val="24"/>
          <w:highlight w:val="none"/>
          <w:lang w:val="en-US" w:eastAsia="zh-CN"/>
        </w:rPr>
      </w:pPr>
      <w:r>
        <w:rPr>
          <w:rFonts w:hint="eastAsia" w:ascii="宋体" w:hAnsi="宋体" w:cs="仿宋"/>
          <w:sz w:val="24"/>
          <w:highlight w:val="none"/>
        </w:rPr>
        <w:t>《道路交通标线质量要求和检测方法》</w:t>
      </w:r>
      <w:r>
        <w:rPr>
          <w:rFonts w:ascii="宋体" w:hAnsi="宋体" w:cs="仿宋"/>
          <w:sz w:val="24"/>
          <w:highlight w:val="none"/>
        </w:rPr>
        <w:t>GB/T16311-2005</w:t>
      </w:r>
      <w:r>
        <w:rPr>
          <w:rFonts w:hint="eastAsia" w:ascii="宋体" w:hAnsi="宋体" w:cs="仿宋"/>
          <w:sz w:val="24"/>
          <w:highlight w:val="none"/>
        </w:rPr>
        <w:t xml:space="preserve"> </w:t>
      </w:r>
      <w:r>
        <w:rPr>
          <w:rFonts w:hint="eastAsia" w:ascii="宋体" w:hAnsi="宋体" w:cs="仿宋"/>
          <w:sz w:val="24"/>
          <w:highlight w:val="none"/>
          <w:lang w:val="en-US" w:eastAsia="zh-CN"/>
        </w:rPr>
        <w:t xml:space="preserve">    </w:t>
      </w:r>
    </w:p>
    <w:p>
      <w:pPr>
        <w:spacing w:before="156" w:beforeLines="50" w:after="156" w:afterLines="50" w:line="360" w:lineRule="auto"/>
        <w:ind w:firstLine="641"/>
        <w:rPr>
          <w:rFonts w:hint="eastAsia" w:ascii="宋体" w:hAnsi="宋体"/>
          <w:b/>
          <w:sz w:val="28"/>
          <w:szCs w:val="28"/>
        </w:rPr>
      </w:pPr>
      <w:r>
        <w:rPr>
          <w:rFonts w:hint="eastAsia" w:ascii="宋体" w:hAnsi="宋体"/>
          <w:b/>
          <w:sz w:val="28"/>
          <w:szCs w:val="28"/>
        </w:rPr>
        <w:t>第七条  人员配备</w:t>
      </w:r>
    </w:p>
    <w:p>
      <w:pPr>
        <w:spacing w:line="360" w:lineRule="auto"/>
        <w:ind w:firstLine="547" w:firstLineChars="228"/>
        <w:rPr>
          <w:rFonts w:hint="eastAsia" w:ascii="宋体" w:hAnsi="宋体" w:cs="仿宋"/>
          <w:sz w:val="24"/>
        </w:rPr>
      </w:pPr>
      <w:r>
        <w:rPr>
          <w:rFonts w:hint="eastAsia" w:ascii="宋体" w:hAnsi="宋体" w:cs="仿宋"/>
          <w:sz w:val="24"/>
        </w:rPr>
        <w:t>1、</w:t>
      </w:r>
      <w:r>
        <w:rPr>
          <w:rFonts w:hint="eastAsia" w:ascii="宋体" w:hAnsi="宋体" w:cs="仿宋"/>
          <w:sz w:val="24"/>
          <w:lang w:val="en-US" w:eastAsia="zh-CN"/>
        </w:rPr>
        <w:t>乙</w:t>
      </w:r>
      <w:r>
        <w:rPr>
          <w:rFonts w:hint="eastAsia" w:ascii="宋体" w:hAnsi="宋体" w:cs="仿宋"/>
          <w:sz w:val="24"/>
        </w:rPr>
        <w:t>方应成立市政养护项目管理部。项目组人员必须包含项目负责人、技术负责人、技术管理员、安全专职人员(2人以上)、质检人员、资料员、专业的维修养护人员。市政道路巡查、市政给排水巡查及园区防汛巡查必须为固定班组、专职人员，每巡查小组不少于3人。市政道路、给排水设施维修更换作业班组不少于5个班组，分别为：给排水抢修班组、窨井盖抢修班组、路缘石人行道及其他市政设施抢修班组(不少于2组)以及沥青路面抢修班组(注：沥青路面抢修班组可以为外包队伍)。</w:t>
      </w:r>
    </w:p>
    <w:p>
      <w:pPr>
        <w:spacing w:line="360" w:lineRule="auto"/>
        <w:ind w:firstLine="547" w:firstLineChars="228"/>
        <w:rPr>
          <w:rFonts w:hint="eastAsia" w:ascii="宋体" w:hAnsi="宋体" w:cs="仿宋"/>
          <w:sz w:val="24"/>
        </w:rPr>
      </w:pPr>
      <w:r>
        <w:rPr>
          <w:rFonts w:hint="eastAsia" w:ascii="宋体" w:hAnsi="宋体" w:cs="仿宋"/>
          <w:sz w:val="24"/>
        </w:rPr>
        <w:t>2、为保证项目顺利进行，</w:t>
      </w:r>
      <w:r>
        <w:rPr>
          <w:rFonts w:hint="eastAsia" w:ascii="宋体" w:hAnsi="宋体" w:cs="仿宋"/>
          <w:sz w:val="24"/>
          <w:lang w:val="en-US" w:eastAsia="zh-CN"/>
        </w:rPr>
        <w:t>乙</w:t>
      </w:r>
      <w:r>
        <w:rPr>
          <w:rFonts w:hint="eastAsia" w:ascii="宋体" w:hAnsi="宋体" w:cs="仿宋"/>
          <w:sz w:val="24"/>
        </w:rPr>
        <w:t>方人员项目负责人、技术负责人、安全员以及巡查养护人员必须在甲方登记备案，有事外出离开必须征得甲方代表同意，并向甲方提交书面请假条和请假期间的工作安排。</w:t>
      </w:r>
      <w:r>
        <w:rPr>
          <w:rFonts w:hint="eastAsia" w:ascii="宋体" w:hAnsi="宋体" w:cs="仿宋"/>
          <w:sz w:val="24"/>
          <w:lang w:val="en-US" w:eastAsia="zh-CN"/>
        </w:rPr>
        <w:t>乙</w:t>
      </w:r>
      <w:r>
        <w:rPr>
          <w:rFonts w:hint="eastAsia" w:ascii="宋体" w:hAnsi="宋体" w:cs="仿宋"/>
          <w:sz w:val="24"/>
        </w:rPr>
        <w:t>方项目负责人、技术负责人每月在岗时间不少于22天，且不可同时请假外出，巡查养护人员采用轮岗制，确保每天都有固定班组随时待命。所有备案登记人员须保持24小时手机畅通，以便有抢修任务时可及时调配人员。</w:t>
      </w:r>
    </w:p>
    <w:p>
      <w:pPr>
        <w:spacing w:line="360" w:lineRule="auto"/>
        <w:ind w:firstLine="547" w:firstLineChars="228"/>
        <w:rPr>
          <w:rFonts w:ascii="宋体" w:hAnsi="宋体" w:cs="仿宋"/>
          <w:sz w:val="24"/>
        </w:rPr>
      </w:pPr>
      <w:r>
        <w:rPr>
          <w:rFonts w:hint="eastAsia" w:ascii="宋体" w:hAnsi="宋体" w:cs="仿宋"/>
          <w:sz w:val="24"/>
        </w:rPr>
        <w:t>3、当</w:t>
      </w:r>
      <w:r>
        <w:rPr>
          <w:rFonts w:hint="eastAsia" w:ascii="宋体" w:hAnsi="宋体" w:cs="仿宋"/>
          <w:sz w:val="24"/>
          <w:lang w:val="en-US" w:eastAsia="zh-CN"/>
        </w:rPr>
        <w:t>乙</w:t>
      </w:r>
      <w:r>
        <w:rPr>
          <w:rFonts w:hint="eastAsia" w:ascii="宋体" w:hAnsi="宋体" w:cs="仿宋"/>
          <w:sz w:val="24"/>
        </w:rPr>
        <w:t>方备案登记人员多次不按时完成或者拒不执行甲方安排的合理工作任务时，甲方有权要求丙方更换对应岗位人员，</w:t>
      </w:r>
      <w:r>
        <w:rPr>
          <w:rFonts w:hint="eastAsia" w:ascii="宋体" w:hAnsi="宋体" w:cs="仿宋"/>
          <w:sz w:val="24"/>
          <w:lang w:val="en-US" w:eastAsia="zh-CN"/>
        </w:rPr>
        <w:t>乙</w:t>
      </w:r>
      <w:r>
        <w:rPr>
          <w:rFonts w:hint="eastAsia" w:ascii="宋体" w:hAnsi="宋体" w:cs="仿宋"/>
          <w:sz w:val="24"/>
        </w:rPr>
        <w:t>方必须服从，并不得因此要求增加任何费用。</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第八条  材料设备</w:t>
      </w:r>
    </w:p>
    <w:p>
      <w:pPr>
        <w:spacing w:line="500" w:lineRule="exact"/>
        <w:ind w:firstLine="480" w:firstLineChars="200"/>
        <w:rPr>
          <w:rFonts w:hint="eastAsia" w:ascii="宋体" w:hAnsi="宋体" w:cs="仿宋"/>
          <w:sz w:val="24"/>
        </w:rPr>
      </w:pPr>
      <w:r>
        <w:rPr>
          <w:rFonts w:hint="eastAsia" w:ascii="宋体" w:hAnsi="宋体" w:cs="仿宋"/>
          <w:sz w:val="24"/>
        </w:rPr>
        <w:t>1、巡查维修养护防汛所需的材料、机械、设备及工具都为</w:t>
      </w:r>
      <w:r>
        <w:rPr>
          <w:rFonts w:hint="eastAsia" w:ascii="宋体" w:hAnsi="宋体" w:cs="仿宋"/>
          <w:sz w:val="24"/>
          <w:lang w:val="en-US" w:eastAsia="zh-CN"/>
        </w:rPr>
        <w:t>乙</w:t>
      </w:r>
      <w:r>
        <w:rPr>
          <w:rFonts w:hint="eastAsia" w:ascii="宋体" w:hAnsi="宋体" w:cs="仿宋"/>
          <w:sz w:val="24"/>
        </w:rPr>
        <w:t>方自备，甲方不提供任何材料、机械、设备及工具。</w:t>
      </w:r>
    </w:p>
    <w:p>
      <w:pPr>
        <w:spacing w:line="360" w:lineRule="auto"/>
        <w:ind w:firstLine="547" w:firstLineChars="228"/>
        <w:rPr>
          <w:rFonts w:ascii="宋体" w:hAnsi="宋体" w:cs="仿宋"/>
          <w:sz w:val="24"/>
        </w:rPr>
      </w:pPr>
      <w:r>
        <w:rPr>
          <w:rFonts w:hint="eastAsia" w:ascii="宋体" w:hAnsi="宋体" w:cs="仿宋"/>
          <w:sz w:val="24"/>
        </w:rPr>
        <w:t>2、</w:t>
      </w:r>
      <w:r>
        <w:rPr>
          <w:rFonts w:hint="eastAsia" w:ascii="宋体" w:hAnsi="宋体" w:cs="仿宋"/>
          <w:sz w:val="24"/>
          <w:lang w:val="en-US" w:eastAsia="zh-CN"/>
        </w:rPr>
        <w:t>乙</w:t>
      </w:r>
      <w:r>
        <w:rPr>
          <w:rFonts w:hint="eastAsia" w:ascii="宋体" w:hAnsi="宋体" w:cs="仿宋"/>
          <w:sz w:val="24"/>
        </w:rPr>
        <w:t>方必须自有或长期租赁常备机械设备且长期停放于项目管理部以备甲方检查，应急机械设备可临时租用，但必须确保不因机械设备影响巡查养护防汛及应急抢险工作。常备机械设备包含但不限于：</w:t>
      </w:r>
      <w:r>
        <w:rPr>
          <w:rFonts w:hint="eastAsia" w:ascii="宋体" w:hAnsi="宋体" w:eastAsia="宋体" w:cs="仿宋"/>
          <w:sz w:val="24"/>
          <w:lang w:val="en-US" w:eastAsia="zh-CN"/>
        </w:rPr>
        <w:t>2辆配备GPS定位巡查车(道路、给排水各一辆，汛期需另外增加一辆配备GPS定位巡查车)</w:t>
      </w:r>
      <w:r>
        <w:rPr>
          <w:rFonts w:hint="eastAsia" w:ascii="宋体" w:hAnsi="宋体" w:eastAsia="宋体" w:cs="仿宋"/>
          <w:sz w:val="24"/>
        </w:rPr>
        <w:t>、</w:t>
      </w:r>
      <w:r>
        <w:rPr>
          <w:rFonts w:hint="eastAsia" w:ascii="宋体" w:hAnsi="宋体" w:cs="仿宋"/>
          <w:sz w:val="24"/>
        </w:rPr>
        <w:t>2辆维修工程车(转运机具、材料及清运垃圾)；小型路面破碎机、路面直线开槽切割机、沥青路面灌缝机、小型铣刨机、沥青热再生设备、小型压路机(可压实沟槽、人行道基础)；井盖圆弧路面切割机；6台移动发电机、8台污水泵(&gt;4寸5kw)、2台通风设备(含风管) 、空气压缩机、有害气体检测仪、防水水电、对讲机、便携式氧气罐(含呼吸面罩)；PE热熔机(4分-8寸)、管道打压设备；吸污运输车；道牙喷漆设备；水印相机(确保每个巡查班组、施工班组1台)。应急机械设备包含但不限于：挖掘机、装载机、起重机、雾炮机、洒水车、高压清洗管道疏通车、大型铣刨机、沥青洒布机、摊铺机、重型震动压路机、热熔标线划线车、电焊机。</w:t>
      </w:r>
    </w:p>
    <w:p>
      <w:pPr>
        <w:spacing w:line="500" w:lineRule="exact"/>
        <w:ind w:firstLine="480" w:firstLineChars="200"/>
        <w:rPr>
          <w:rFonts w:hint="eastAsia" w:ascii="宋体" w:hAnsi="宋体" w:eastAsia="宋体" w:cs="仿宋"/>
          <w:sz w:val="24"/>
        </w:rPr>
      </w:pPr>
      <w:r>
        <w:rPr>
          <w:rFonts w:hint="eastAsia" w:ascii="宋体" w:hAnsi="宋体" w:cs="仿宋"/>
          <w:sz w:val="24"/>
        </w:rPr>
        <w:t>3、为本项目配备的机械设备必须保证性能良好，且机械设备进出场、安拆、维修、保养、保险、安全等均由</w:t>
      </w:r>
      <w:r>
        <w:rPr>
          <w:rFonts w:hint="eastAsia" w:ascii="宋体" w:hAnsi="宋体" w:cs="仿宋"/>
          <w:sz w:val="24"/>
          <w:lang w:val="en-US" w:eastAsia="zh-CN"/>
        </w:rPr>
        <w:t>乙</w:t>
      </w:r>
      <w:r>
        <w:rPr>
          <w:rFonts w:hint="eastAsia" w:ascii="宋体" w:hAnsi="宋体" w:cs="仿宋"/>
          <w:sz w:val="24"/>
        </w:rPr>
        <w:t>方自行负责并承担费用。</w:t>
      </w:r>
      <w:r>
        <w:rPr>
          <w:rFonts w:hint="eastAsia" w:ascii="宋体" w:hAnsi="宋体" w:eastAsia="宋体" w:cs="仿宋"/>
          <w:sz w:val="24"/>
          <w:lang w:val="en-US" w:eastAsia="zh-CN"/>
        </w:rPr>
        <w:t>常备机械设备必须为乙方自有或长期租赁且长期停放于项目管理部以备甲方履约检查，应急机械设备必须提供两家以上的临时调用或临时租用协议，确保不因机械设备影响应急抢险工作。为本项目配备的机械设备必须保证性能良好，日常道路巡查车辆必须安装GPS卫星定位系统并支持甲方手机APP软件联网实时查看，保证实施动态监测。</w:t>
      </w:r>
    </w:p>
    <w:p>
      <w:pPr>
        <w:spacing w:line="500" w:lineRule="exact"/>
        <w:ind w:firstLine="480" w:firstLineChars="200"/>
        <w:rPr>
          <w:rFonts w:hint="eastAsia" w:ascii="宋体" w:hAnsi="宋体" w:cs="仿宋"/>
          <w:sz w:val="24"/>
        </w:rPr>
      </w:pPr>
      <w:r>
        <w:rPr>
          <w:rFonts w:hint="eastAsia" w:ascii="宋体" w:hAnsi="宋体" w:cs="仿宋"/>
          <w:sz w:val="24"/>
        </w:rPr>
        <w:t>4、当机械设备不能满足正常巡查养护及防汛要求时，甲方有权要求</w:t>
      </w:r>
      <w:r>
        <w:rPr>
          <w:rFonts w:hint="eastAsia" w:ascii="宋体" w:hAnsi="宋体" w:cs="仿宋"/>
          <w:sz w:val="24"/>
          <w:lang w:val="en-US" w:eastAsia="zh-CN"/>
        </w:rPr>
        <w:t>乙</w:t>
      </w:r>
      <w:r>
        <w:rPr>
          <w:rFonts w:hint="eastAsia" w:ascii="宋体" w:hAnsi="宋体" w:cs="仿宋"/>
          <w:sz w:val="24"/>
        </w:rPr>
        <w:t>方增加机械设备投入或更换效率低的机械设备，</w:t>
      </w:r>
      <w:r>
        <w:rPr>
          <w:rFonts w:hint="eastAsia" w:ascii="宋体" w:hAnsi="宋体" w:cs="仿宋"/>
          <w:sz w:val="24"/>
          <w:lang w:val="en-US" w:eastAsia="zh-CN"/>
        </w:rPr>
        <w:t>乙</w:t>
      </w:r>
      <w:r>
        <w:rPr>
          <w:rFonts w:hint="eastAsia" w:ascii="宋体" w:hAnsi="宋体" w:cs="仿宋"/>
          <w:sz w:val="24"/>
        </w:rPr>
        <w:t>方必须服从，并不得因此要求增加任何费用。</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第九条  变更</w:t>
      </w:r>
    </w:p>
    <w:p>
      <w:pPr>
        <w:spacing w:line="500" w:lineRule="exact"/>
        <w:ind w:firstLine="480" w:firstLineChars="200"/>
        <w:rPr>
          <w:rFonts w:hint="eastAsia" w:ascii="宋体" w:hAnsi="宋体"/>
          <w:sz w:val="24"/>
          <w:highlight w:val="none"/>
        </w:rPr>
      </w:pPr>
      <w:r>
        <w:rPr>
          <w:rFonts w:hint="eastAsia" w:ascii="宋体" w:hAnsi="宋体"/>
          <w:sz w:val="24"/>
          <w:highlight w:val="none"/>
        </w:rPr>
        <w:t>1、本合同价款采用固定全费用综合单价方式确定，材料、机械、能源等全部涨跌风险已经包含在全费用综合单价内，</w:t>
      </w:r>
      <w:r>
        <w:rPr>
          <w:rFonts w:hint="eastAsia" w:ascii="宋体" w:hAnsi="宋体"/>
          <w:sz w:val="24"/>
          <w:highlight w:val="none"/>
          <w:lang w:val="en-US" w:eastAsia="zh-CN"/>
        </w:rPr>
        <w:t>乙</w:t>
      </w:r>
      <w:r>
        <w:rPr>
          <w:rFonts w:hint="eastAsia" w:ascii="宋体" w:hAnsi="宋体"/>
          <w:sz w:val="24"/>
          <w:highlight w:val="none"/>
        </w:rPr>
        <w:t>方不得因此要求调整全费用综合单价。</w:t>
      </w:r>
    </w:p>
    <w:p>
      <w:pPr>
        <w:spacing w:line="500" w:lineRule="exact"/>
        <w:ind w:firstLine="480" w:firstLineChars="200"/>
        <w:rPr>
          <w:rFonts w:hint="eastAsia" w:ascii="宋体" w:hAnsi="宋体"/>
          <w:sz w:val="24"/>
          <w:highlight w:val="none"/>
        </w:rPr>
      </w:pPr>
      <w:r>
        <w:rPr>
          <w:rFonts w:hint="eastAsia" w:ascii="宋体" w:hAnsi="宋体"/>
          <w:sz w:val="24"/>
        </w:rPr>
        <w:t>2、</w:t>
      </w:r>
      <w:r>
        <w:rPr>
          <w:rFonts w:hint="eastAsia" w:ascii="宋体" w:hAnsi="宋体" w:cs="仿宋"/>
          <w:sz w:val="24"/>
        </w:rPr>
        <w:t>与道路给排水相关的临时工程和甲方安排的园区内应急抢险及其它紧急任务工程，</w:t>
      </w:r>
      <w:r>
        <w:rPr>
          <w:rFonts w:hint="eastAsia" w:ascii="宋体" w:hAnsi="宋体" w:cs="仿宋"/>
          <w:sz w:val="24"/>
          <w:lang w:val="en-US" w:eastAsia="zh-CN"/>
        </w:rPr>
        <w:t>乙</w:t>
      </w:r>
      <w:r>
        <w:rPr>
          <w:rFonts w:hint="eastAsia" w:ascii="宋体" w:hAnsi="宋体" w:cs="仿宋"/>
          <w:sz w:val="24"/>
        </w:rPr>
        <w:t>方应全力配合完成。</w:t>
      </w:r>
      <w:r>
        <w:rPr>
          <w:rFonts w:hint="eastAsia" w:ascii="宋体" w:hAnsi="宋体"/>
          <w:sz w:val="24"/>
        </w:rPr>
        <w:t>应甲方要求发生的计日工、清单漏项项目以及项目特征变化清单子目，</w:t>
      </w:r>
      <w:r>
        <w:rPr>
          <w:rFonts w:hint="eastAsia" w:ascii="宋体" w:hAnsi="宋体"/>
          <w:sz w:val="24"/>
          <w:highlight w:val="none"/>
        </w:rPr>
        <w:t>经甲方签认工程量，依据《2009陕西省市政工程消耗量定额》、《2009陕西省市政工程价目表》、《陕西省市政设施维修养护定额2012》及相关取费标准、</w:t>
      </w:r>
      <w:r>
        <w:rPr>
          <w:rFonts w:ascii="宋体" w:hAnsi="宋体"/>
          <w:sz w:val="24"/>
          <w:highlight w:val="none"/>
        </w:rPr>
        <w:t>陕建发[20</w:t>
      </w: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1097</w:t>
      </w:r>
      <w:r>
        <w:rPr>
          <w:rFonts w:ascii="宋体" w:hAnsi="宋体"/>
          <w:sz w:val="24"/>
          <w:highlight w:val="none"/>
        </w:rPr>
        <w:t>号</w:t>
      </w:r>
      <w:r>
        <w:rPr>
          <w:rFonts w:hint="eastAsia" w:ascii="宋体" w:hAnsi="宋体"/>
          <w:sz w:val="24"/>
          <w:highlight w:val="none"/>
        </w:rPr>
        <w:t>文、陕西省工程造价管理机构发布的材料信息价、甲方认质认价，经甲方委托的第三方造价机构审核，并按合同约定进行计价结算。</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第十条  农民工工资保障</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bCs/>
          <w:sz w:val="24"/>
        </w:rPr>
        <w:t>甲方有权对</w:t>
      </w:r>
      <w:r>
        <w:rPr>
          <w:rFonts w:hint="eastAsia" w:ascii="宋体" w:hAnsi="宋体"/>
          <w:bCs/>
          <w:sz w:val="24"/>
          <w:lang w:val="en-US" w:eastAsia="zh-CN"/>
        </w:rPr>
        <w:t>乙</w:t>
      </w:r>
      <w:r>
        <w:rPr>
          <w:rFonts w:hint="eastAsia" w:ascii="宋体" w:hAnsi="宋体"/>
          <w:bCs/>
          <w:sz w:val="24"/>
        </w:rPr>
        <w:t>方的员工工资支付等情况进行监督、检查，</w:t>
      </w:r>
      <w:r>
        <w:rPr>
          <w:rFonts w:hint="eastAsia" w:ascii="宋体" w:hAnsi="宋体"/>
          <w:bCs/>
          <w:sz w:val="24"/>
          <w:lang w:val="en-US" w:eastAsia="zh-CN"/>
        </w:rPr>
        <w:t>乙</w:t>
      </w:r>
      <w:r>
        <w:rPr>
          <w:rFonts w:hint="eastAsia" w:ascii="宋体" w:hAnsi="宋体"/>
          <w:bCs/>
          <w:sz w:val="24"/>
        </w:rPr>
        <w:t>方不得以任何理由拒绝，应为甲方的监督、检查提供便利。</w:t>
      </w:r>
    </w:p>
    <w:p>
      <w:pPr>
        <w:spacing w:line="500" w:lineRule="exact"/>
        <w:ind w:firstLine="480" w:firstLineChars="200"/>
        <w:rPr>
          <w:rFonts w:hint="eastAsia" w:ascii="宋体" w:hAnsi="宋体"/>
          <w:sz w:val="24"/>
          <w:lang w:val="en-US" w:eastAsia="zh-CN"/>
        </w:rPr>
      </w:pPr>
      <w:r>
        <w:rPr>
          <w:rFonts w:hint="eastAsia" w:ascii="宋体" w:hAnsi="宋体"/>
          <w:sz w:val="24"/>
        </w:rPr>
        <w:t>2、若</w:t>
      </w:r>
      <w:r>
        <w:rPr>
          <w:rFonts w:hint="eastAsia" w:ascii="宋体" w:hAnsi="宋体"/>
          <w:sz w:val="24"/>
          <w:lang w:val="en-US" w:eastAsia="zh-CN"/>
        </w:rPr>
        <w:t>乙</w:t>
      </w:r>
      <w:r>
        <w:rPr>
          <w:rFonts w:hint="eastAsia" w:ascii="宋体" w:hAnsi="宋体"/>
          <w:sz w:val="24"/>
        </w:rPr>
        <w:t>方违反国家法律、行政法规及有关国家政策，拖欠或克扣员工工资，经甲方催告后在合理时间仍不纠正的，甲方有权采取包括但不限于暂停支付养护费用、代</w:t>
      </w:r>
      <w:r>
        <w:rPr>
          <w:rFonts w:hint="eastAsia" w:ascii="宋体" w:hAnsi="宋体"/>
          <w:sz w:val="24"/>
          <w:lang w:val="en-US" w:eastAsia="zh-CN"/>
        </w:rPr>
        <w:t>乙</w:t>
      </w:r>
      <w:r>
        <w:rPr>
          <w:rFonts w:hint="eastAsia" w:ascii="宋体" w:hAnsi="宋体"/>
          <w:sz w:val="24"/>
        </w:rPr>
        <w:t>方发放员工工资等措施，由此造成的一切损失和责任由</w:t>
      </w:r>
      <w:r>
        <w:rPr>
          <w:rFonts w:hint="eastAsia" w:ascii="宋体" w:hAnsi="宋体"/>
          <w:sz w:val="24"/>
          <w:lang w:val="en-US" w:eastAsia="zh-CN"/>
        </w:rPr>
        <w:t>乙</w:t>
      </w:r>
      <w:r>
        <w:rPr>
          <w:rFonts w:hint="eastAsia" w:ascii="宋体" w:hAnsi="宋体"/>
          <w:sz w:val="24"/>
        </w:rPr>
        <w:t>方承担。</w:t>
      </w:r>
      <w:r>
        <w:rPr>
          <w:rFonts w:hint="eastAsia" w:ascii="宋体" w:hAnsi="宋体"/>
          <w:sz w:val="24"/>
          <w:lang w:val="en-US" w:eastAsia="zh-CN"/>
        </w:rPr>
        <w:t>同时，视为乙方出现严重违约情形，甲方可以解除合同并要求乙方支付违约金。</w:t>
      </w:r>
    </w:p>
    <w:p>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3、若乙方未及时支付农民工工资，甲方可代乙方支付，代乙方支付的农民工工资款项，甲方将从以后应支付的工程款中予以抵扣。</w:t>
      </w:r>
    </w:p>
    <w:p>
      <w:pPr>
        <w:spacing w:line="50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4、乙方郑重承诺：若发生甲方代乙方支付农民工工资的情况时，甲方确认的农民工名单及发放标准等具体金额，乙方均予以认可。</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第十一条  考核标准</w:t>
      </w:r>
    </w:p>
    <w:p>
      <w:pPr>
        <w:spacing w:line="500" w:lineRule="exact"/>
        <w:ind w:firstLine="480" w:firstLineChars="200"/>
        <w:rPr>
          <w:rFonts w:hint="eastAsia" w:ascii="宋体" w:hAnsi="宋体"/>
          <w:sz w:val="24"/>
        </w:rPr>
      </w:pPr>
      <w:r>
        <w:rPr>
          <w:rFonts w:hint="eastAsia" w:ascii="宋体" w:hAnsi="宋体"/>
          <w:sz w:val="24"/>
        </w:rPr>
        <w:t>甲方于次月初对</w:t>
      </w:r>
      <w:r>
        <w:rPr>
          <w:rFonts w:hint="eastAsia" w:ascii="宋体" w:hAnsi="宋体"/>
          <w:sz w:val="24"/>
          <w:lang w:val="en-US" w:eastAsia="zh-CN"/>
        </w:rPr>
        <w:t>乙</w:t>
      </w:r>
      <w:r>
        <w:rPr>
          <w:rFonts w:hint="eastAsia" w:ascii="宋体" w:hAnsi="宋体"/>
          <w:sz w:val="24"/>
        </w:rPr>
        <w:t>方上月履约服务情况进行考核打分，考核项目总分100分，考核具体项目内容及各项分值比例见附表2：道路给排水养护及园区防汛考核标准。</w:t>
      </w:r>
      <w:r>
        <w:rPr>
          <w:rFonts w:hint="eastAsia" w:ascii="宋体" w:hAnsi="宋体"/>
          <w:b/>
          <w:sz w:val="24"/>
          <w:u w:val="single"/>
        </w:rPr>
        <w:t>每月从巡查费用中提取5%作为当月的考核激励金</w:t>
      </w:r>
      <w:r>
        <w:rPr>
          <w:rFonts w:hint="eastAsia" w:ascii="宋体" w:hAnsi="宋体"/>
          <w:b/>
          <w:szCs w:val="21"/>
          <w:u w:val="single"/>
        </w:rPr>
        <w:t>(月度考核激励金=月度巡查数量×巡查单价×5%)</w:t>
      </w:r>
      <w:r>
        <w:rPr>
          <w:rFonts w:hint="eastAsia" w:ascii="宋体" w:hAnsi="宋体"/>
          <w:sz w:val="24"/>
        </w:rPr>
        <w:t>，并按下列标准评定等级，根据考核等级给予兑现。</w:t>
      </w:r>
    </w:p>
    <w:p>
      <w:pPr>
        <w:spacing w:line="500" w:lineRule="exact"/>
        <w:ind w:firstLine="480" w:firstLineChars="200"/>
        <w:rPr>
          <w:rFonts w:hint="eastAsia" w:ascii="宋体" w:hAnsi="宋体"/>
          <w:sz w:val="24"/>
        </w:rPr>
      </w:pPr>
      <w:r>
        <w:rPr>
          <w:rFonts w:hint="eastAsia" w:ascii="宋体" w:hAnsi="宋体"/>
          <w:sz w:val="24"/>
        </w:rPr>
        <w:t>1、月度考核得分A≧90分，月度考核等级为优秀，考核系数I=100%，考核激励金兑现100%；</w:t>
      </w:r>
    </w:p>
    <w:p>
      <w:pPr>
        <w:spacing w:line="500" w:lineRule="exact"/>
        <w:ind w:firstLine="480" w:firstLineChars="200"/>
        <w:rPr>
          <w:rFonts w:hint="eastAsia" w:ascii="宋体" w:hAnsi="宋体"/>
          <w:sz w:val="24"/>
        </w:rPr>
      </w:pPr>
      <w:r>
        <w:rPr>
          <w:rFonts w:hint="eastAsia" w:ascii="宋体" w:hAnsi="宋体"/>
          <w:sz w:val="24"/>
        </w:rPr>
        <w:t>2、月度考核得分90分&gt;A≧80分，月度考核等级为合格，考核系数I=90%，考核激励金兑现90%；</w:t>
      </w:r>
    </w:p>
    <w:p>
      <w:pPr>
        <w:spacing w:line="500" w:lineRule="exact"/>
        <w:ind w:firstLine="480" w:firstLineChars="200"/>
        <w:rPr>
          <w:rFonts w:hint="eastAsia" w:ascii="宋体" w:hAnsi="宋体"/>
          <w:sz w:val="24"/>
        </w:rPr>
      </w:pPr>
      <w:r>
        <w:rPr>
          <w:rFonts w:hint="eastAsia" w:ascii="宋体" w:hAnsi="宋体"/>
          <w:sz w:val="24"/>
        </w:rPr>
        <w:t>3、月度考核得分80分&gt;A≧70分，月度考核等级为不合格，考核系数I=50%，考核激励金兑现50%；</w:t>
      </w:r>
    </w:p>
    <w:p>
      <w:pPr>
        <w:spacing w:line="500" w:lineRule="exact"/>
        <w:ind w:firstLine="480" w:firstLineChars="200"/>
        <w:rPr>
          <w:rFonts w:hint="eastAsia" w:ascii="宋体" w:hAnsi="宋体"/>
          <w:sz w:val="24"/>
        </w:rPr>
      </w:pPr>
      <w:r>
        <w:rPr>
          <w:rFonts w:hint="eastAsia" w:ascii="宋体" w:hAnsi="宋体"/>
          <w:sz w:val="24"/>
        </w:rPr>
        <w:t>4、月度考核得分A&lt;70分，月度考核等级为极差，考核系数I=0%，考核激励金兑现0%；</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b/>
          <w:sz w:val="24"/>
          <w:u w:val="single"/>
        </w:rPr>
        <w:t>考核扣减的激励金部分不再给予计价</w:t>
      </w:r>
      <w:r>
        <w:rPr>
          <w:rFonts w:hint="eastAsia" w:ascii="宋体" w:hAnsi="宋体"/>
          <w:sz w:val="24"/>
        </w:rPr>
        <w:t>，连续两个月考核为不合格或低于不合格，甲方有权利解除合同并暂停支付养护费用。</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第十二条  计量与支付</w:t>
      </w:r>
    </w:p>
    <w:p>
      <w:pPr>
        <w:spacing w:line="500" w:lineRule="exact"/>
        <w:ind w:firstLine="480" w:firstLineChars="200"/>
        <w:rPr>
          <w:rFonts w:hint="eastAsia" w:ascii="宋体" w:hAnsi="宋体"/>
          <w:sz w:val="24"/>
        </w:rPr>
      </w:pPr>
      <w:r>
        <w:rPr>
          <w:rFonts w:hint="eastAsia" w:ascii="宋体" w:hAnsi="宋体"/>
          <w:sz w:val="24"/>
        </w:rPr>
        <w:t>1、甲方不提供任何预付款项。</w:t>
      </w:r>
    </w:p>
    <w:p>
      <w:pPr>
        <w:spacing w:line="500" w:lineRule="exact"/>
        <w:ind w:firstLine="480" w:firstLineChars="200"/>
        <w:rPr>
          <w:rFonts w:hint="eastAsia" w:ascii="宋体" w:hAnsi="宋体"/>
          <w:sz w:val="24"/>
        </w:rPr>
      </w:pPr>
      <w:r>
        <w:rPr>
          <w:rFonts w:hint="eastAsia" w:ascii="宋体" w:hAnsi="宋体"/>
          <w:sz w:val="24"/>
        </w:rPr>
        <w:t xml:space="preserve">2、巡查维修养护按月计量结算，巡查里程及维修更换工程量(含相应佐证影像资料)按月汇总于次月5日前报甲方审核签认，并报甲方委托的外审机构审核确定。最后依据甲方签认外审通过的工程量、合同中的全费用综合单价以及月度考核系数进行结算。 </w:t>
      </w:r>
    </w:p>
    <w:p>
      <w:pPr>
        <w:spacing w:line="50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甲</w:t>
      </w:r>
      <w:r>
        <w:rPr>
          <w:rFonts w:hint="eastAsia" w:ascii="宋体" w:hAnsi="宋体"/>
          <w:sz w:val="24"/>
        </w:rPr>
        <w:t>方在收到</w:t>
      </w:r>
      <w:r>
        <w:rPr>
          <w:rFonts w:hint="eastAsia" w:ascii="宋体" w:hAnsi="宋体"/>
          <w:sz w:val="24"/>
          <w:lang w:val="en-US" w:eastAsia="zh-CN"/>
        </w:rPr>
        <w:t>乙</w:t>
      </w:r>
      <w:r>
        <w:rPr>
          <w:rFonts w:hint="eastAsia" w:ascii="宋体" w:hAnsi="宋体"/>
          <w:sz w:val="24"/>
        </w:rPr>
        <w:t>方等额普通增值税发票及支付申请后，于</w:t>
      </w:r>
      <w:r>
        <w:rPr>
          <w:rFonts w:hint="eastAsia" w:ascii="宋体" w:hAnsi="宋体"/>
          <w:sz w:val="24"/>
          <w:u w:val="single"/>
        </w:rPr>
        <w:t>15</w:t>
      </w:r>
      <w:r>
        <w:rPr>
          <w:rFonts w:ascii="宋体" w:hAnsi="宋体"/>
          <w:sz w:val="24"/>
          <w:u w:val="single"/>
        </w:rPr>
        <w:t>个工作</w:t>
      </w:r>
      <w:r>
        <w:rPr>
          <w:rFonts w:hint="eastAsia" w:ascii="宋体" w:hAnsi="宋体"/>
          <w:sz w:val="24"/>
          <w:u w:val="single"/>
        </w:rPr>
        <w:t>日</w:t>
      </w:r>
      <w:r>
        <w:rPr>
          <w:rFonts w:hint="eastAsia" w:ascii="宋体" w:hAnsi="宋体"/>
          <w:sz w:val="24"/>
        </w:rPr>
        <w:t>内支付巡查</w:t>
      </w:r>
      <w:r>
        <w:rPr>
          <w:rFonts w:ascii="宋体" w:hAnsi="宋体"/>
          <w:sz w:val="24"/>
        </w:rPr>
        <w:t>养护防汛工程款给</w:t>
      </w:r>
      <w:r>
        <w:rPr>
          <w:rFonts w:hint="eastAsia" w:ascii="宋体" w:hAnsi="宋体"/>
          <w:sz w:val="24"/>
          <w:lang w:val="en-US" w:eastAsia="zh-CN"/>
        </w:rPr>
        <w:t>乙</w:t>
      </w:r>
      <w:r>
        <w:rPr>
          <w:rFonts w:ascii="宋体" w:hAnsi="宋体"/>
          <w:sz w:val="24"/>
        </w:rPr>
        <w:t>方</w:t>
      </w:r>
      <w:r>
        <w:rPr>
          <w:rFonts w:hint="eastAsia" w:ascii="宋体" w:hAnsi="宋体"/>
          <w:sz w:val="24"/>
        </w:rPr>
        <w:t>。</w:t>
      </w:r>
    </w:p>
    <w:p>
      <w:pPr>
        <w:spacing w:before="156" w:beforeLines="50" w:after="156" w:afterLines="50" w:line="360" w:lineRule="auto"/>
        <w:rPr>
          <w:rFonts w:hint="eastAsia" w:ascii="宋体" w:hAnsi="宋体"/>
          <w:b/>
          <w:sz w:val="28"/>
          <w:szCs w:val="28"/>
        </w:rPr>
      </w:pPr>
      <w:r>
        <w:rPr>
          <w:rFonts w:hint="eastAsia" w:ascii="宋体" w:hAnsi="宋体"/>
          <w:b/>
          <w:sz w:val="28"/>
          <w:szCs w:val="28"/>
        </w:rPr>
        <w:t>第十三条  各方责任</w:t>
      </w:r>
    </w:p>
    <w:p>
      <w:pPr>
        <w:widowControl/>
        <w:autoSpaceDE w:val="0"/>
        <w:autoSpaceDN w:val="0"/>
        <w:adjustRightInd w:val="0"/>
        <w:spacing w:line="500" w:lineRule="exact"/>
        <w:ind w:firstLine="562" w:firstLineChars="200"/>
        <w:textAlignment w:val="baseline"/>
        <w:rPr>
          <w:rFonts w:hint="eastAsia" w:ascii="宋体" w:hAnsi="宋体"/>
          <w:b/>
          <w:sz w:val="28"/>
          <w:szCs w:val="28"/>
        </w:rPr>
      </w:pPr>
      <w:r>
        <w:rPr>
          <w:rFonts w:hint="eastAsia" w:ascii="宋体" w:hAnsi="宋体"/>
          <w:b/>
          <w:sz w:val="28"/>
          <w:szCs w:val="28"/>
        </w:rPr>
        <w:t>(一)甲方责任</w:t>
      </w:r>
    </w:p>
    <w:p>
      <w:pPr>
        <w:spacing w:line="500" w:lineRule="exact"/>
        <w:ind w:firstLine="480" w:firstLineChars="200"/>
        <w:rPr>
          <w:rFonts w:hint="eastAsia" w:ascii="宋体" w:hAnsi="宋体"/>
          <w:sz w:val="24"/>
        </w:rPr>
      </w:pPr>
      <w:r>
        <w:rPr>
          <w:rFonts w:hint="eastAsia" w:ascii="宋体" w:hAnsi="宋体"/>
          <w:sz w:val="24"/>
        </w:rPr>
        <w:t>1、在</w:t>
      </w:r>
      <w:r>
        <w:rPr>
          <w:rFonts w:hint="eastAsia" w:ascii="宋体" w:hAnsi="宋体"/>
          <w:sz w:val="24"/>
          <w:lang w:val="en-US" w:eastAsia="zh-CN"/>
        </w:rPr>
        <w:t>乙</w:t>
      </w:r>
      <w:r>
        <w:rPr>
          <w:rFonts w:hint="eastAsia" w:ascii="宋体" w:hAnsi="宋体"/>
          <w:sz w:val="24"/>
        </w:rPr>
        <w:t>方进场前提供草堂</w:t>
      </w:r>
      <w:r>
        <w:rPr>
          <w:rFonts w:hint="eastAsia" w:ascii="宋体" w:hAnsi="宋体"/>
          <w:sz w:val="24"/>
          <w:lang w:val="en-US" w:eastAsia="zh-CN"/>
        </w:rPr>
        <w:t>科技产业园</w:t>
      </w:r>
      <w:r>
        <w:rPr>
          <w:rFonts w:hint="eastAsia" w:ascii="宋体" w:hAnsi="宋体"/>
          <w:sz w:val="24"/>
        </w:rPr>
        <w:t>巡查养护范围内的道路及给排水图纸；审查养护施工组织方案、下发维修指令、监督丙方按照合同规范进行巡查养护。</w:t>
      </w:r>
    </w:p>
    <w:p>
      <w:pPr>
        <w:spacing w:line="500" w:lineRule="exact"/>
        <w:ind w:firstLine="480" w:firstLineChars="200"/>
        <w:rPr>
          <w:rFonts w:hint="eastAsia" w:ascii="宋体" w:hAnsi="宋体"/>
          <w:sz w:val="24"/>
        </w:rPr>
      </w:pPr>
      <w:r>
        <w:rPr>
          <w:rFonts w:hint="eastAsia" w:ascii="宋体" w:hAnsi="宋体"/>
          <w:sz w:val="24"/>
        </w:rPr>
        <w:t>2、按照合同约定进行工程量签认、考核、计价并支付巡查养护工程款。</w:t>
      </w:r>
    </w:p>
    <w:p>
      <w:pPr>
        <w:widowControl/>
        <w:autoSpaceDE w:val="0"/>
        <w:autoSpaceDN w:val="0"/>
        <w:adjustRightInd w:val="0"/>
        <w:spacing w:line="500" w:lineRule="exact"/>
        <w:ind w:firstLine="562" w:firstLineChars="200"/>
        <w:textAlignment w:val="baseline"/>
        <w:rPr>
          <w:rFonts w:hint="eastAsia" w:ascii="宋体" w:hAnsi="宋体"/>
          <w:b/>
          <w:bCs/>
          <w:sz w:val="24"/>
        </w:rPr>
      </w:pPr>
      <w:r>
        <w:rPr>
          <w:rFonts w:hint="eastAsia" w:ascii="宋体" w:hAnsi="宋体"/>
          <w:b/>
          <w:sz w:val="28"/>
          <w:szCs w:val="28"/>
        </w:rPr>
        <w:t>(二)</w:t>
      </w:r>
      <w:r>
        <w:rPr>
          <w:rFonts w:hint="eastAsia" w:ascii="宋体" w:hAnsi="宋体"/>
          <w:b/>
          <w:sz w:val="28"/>
          <w:szCs w:val="28"/>
          <w:lang w:val="en-US" w:eastAsia="zh-CN"/>
        </w:rPr>
        <w:t>乙</w:t>
      </w:r>
      <w:r>
        <w:rPr>
          <w:rFonts w:hint="eastAsia" w:ascii="宋体" w:hAnsi="宋体"/>
          <w:b/>
          <w:sz w:val="28"/>
          <w:szCs w:val="28"/>
        </w:rPr>
        <w:t>方责任</w:t>
      </w:r>
      <w:r>
        <w:rPr>
          <w:rFonts w:hint="eastAsia" w:ascii="宋体" w:hAnsi="宋体"/>
          <w:b/>
          <w:bCs/>
          <w:sz w:val="24"/>
        </w:rPr>
        <w:t xml:space="preserve"> </w:t>
      </w:r>
    </w:p>
    <w:p>
      <w:pPr>
        <w:spacing w:line="500" w:lineRule="exact"/>
        <w:ind w:firstLine="480" w:firstLineChars="200"/>
        <w:rPr>
          <w:rFonts w:hint="eastAsia" w:ascii="宋体" w:hAnsi="宋体"/>
          <w:sz w:val="24"/>
        </w:rPr>
      </w:pPr>
      <w:r>
        <w:rPr>
          <w:rFonts w:hint="eastAsia" w:ascii="宋体" w:hAnsi="宋体"/>
          <w:sz w:val="24"/>
        </w:rPr>
        <w:t>1、遵守甲方制定的各项规章制度，遵守当地的民风民俗，因</w:t>
      </w:r>
      <w:r>
        <w:rPr>
          <w:rFonts w:hint="eastAsia" w:ascii="宋体" w:hAnsi="宋体"/>
          <w:sz w:val="24"/>
          <w:lang w:val="en-US" w:eastAsia="zh-CN"/>
        </w:rPr>
        <w:t>乙</w:t>
      </w:r>
      <w:r>
        <w:rPr>
          <w:rFonts w:hint="eastAsia" w:ascii="宋体" w:hAnsi="宋体"/>
          <w:sz w:val="24"/>
        </w:rPr>
        <w:t>方原因引起的民事纠纷的责任和费用由</w:t>
      </w:r>
      <w:r>
        <w:rPr>
          <w:rFonts w:hint="eastAsia" w:ascii="宋体" w:hAnsi="宋体"/>
          <w:sz w:val="24"/>
          <w:lang w:val="en-US" w:eastAsia="zh-CN"/>
        </w:rPr>
        <w:t>乙</w:t>
      </w:r>
      <w:r>
        <w:rPr>
          <w:rFonts w:hint="eastAsia" w:ascii="宋体" w:hAnsi="宋体"/>
          <w:sz w:val="24"/>
        </w:rPr>
        <w:t>方承担。</w:t>
      </w:r>
    </w:p>
    <w:p>
      <w:pPr>
        <w:spacing w:line="500" w:lineRule="exact"/>
        <w:ind w:firstLine="480" w:firstLineChars="200"/>
        <w:rPr>
          <w:rFonts w:hint="eastAsia" w:ascii="宋体" w:hAnsi="宋体"/>
          <w:sz w:val="24"/>
        </w:rPr>
      </w:pPr>
      <w:r>
        <w:rPr>
          <w:rFonts w:hint="eastAsia" w:ascii="宋体" w:hAnsi="宋体"/>
          <w:sz w:val="24"/>
        </w:rPr>
        <w:t>2、应服从甲方代表的安排，积极配合接受甲方的监督检查，对不服从指挥调度者，甲方有权勒令其退场。</w:t>
      </w:r>
    </w:p>
    <w:p>
      <w:pPr>
        <w:spacing w:line="500" w:lineRule="exact"/>
        <w:ind w:firstLine="480" w:firstLineChars="200"/>
        <w:rPr>
          <w:rFonts w:hint="eastAsia" w:ascii="宋体" w:hAnsi="宋体"/>
          <w:sz w:val="24"/>
        </w:rPr>
      </w:pPr>
      <w:r>
        <w:rPr>
          <w:rFonts w:hint="eastAsia" w:ascii="宋体" w:hAnsi="宋体"/>
          <w:sz w:val="24"/>
        </w:rPr>
        <w:t>3、为</w:t>
      </w:r>
      <w:r>
        <w:rPr>
          <w:rFonts w:hint="eastAsia" w:ascii="宋体" w:hAnsi="宋体"/>
          <w:sz w:val="24"/>
          <w:lang w:val="en-US" w:eastAsia="zh-CN"/>
        </w:rPr>
        <w:t>乙</w:t>
      </w:r>
      <w:r>
        <w:rPr>
          <w:rFonts w:hint="eastAsia" w:ascii="宋体" w:hAnsi="宋体"/>
          <w:sz w:val="24"/>
        </w:rPr>
        <w:t>方所有进场人员购买团体意外伤害保险、为机械设备办理法律法规要求的强制保险并承担费用，自行负责作业中的人、车、机的安全，自行负责承担作业中发生的一切安全事故责任及费用。</w:t>
      </w:r>
    </w:p>
    <w:p>
      <w:pPr>
        <w:spacing w:line="500" w:lineRule="exact"/>
        <w:ind w:firstLine="480" w:firstLineChars="200"/>
        <w:rPr>
          <w:rFonts w:hint="eastAsia" w:ascii="宋体" w:hAnsi="宋体"/>
          <w:sz w:val="24"/>
        </w:rPr>
      </w:pPr>
      <w:r>
        <w:rPr>
          <w:rFonts w:hint="eastAsia" w:ascii="宋体" w:hAnsi="宋体"/>
          <w:sz w:val="24"/>
        </w:rPr>
        <w:t>4、精细巡查养护，及时发现并消除安全质量隐患；及时发现并制止违规占用或破坏道路、给排水及交通设施的行为。</w:t>
      </w:r>
    </w:p>
    <w:p>
      <w:pPr>
        <w:spacing w:line="500" w:lineRule="exact"/>
        <w:ind w:firstLine="480" w:firstLineChars="200"/>
        <w:rPr>
          <w:rFonts w:hint="eastAsia" w:ascii="宋体" w:hAnsi="宋体"/>
          <w:sz w:val="24"/>
        </w:rPr>
      </w:pPr>
      <w:r>
        <w:rPr>
          <w:rFonts w:hint="eastAsia" w:ascii="宋体" w:hAnsi="宋体"/>
          <w:sz w:val="24"/>
        </w:rPr>
        <w:t>5、按照国家和地方有关环保规定施工，确保施工中防尘降噪措施，保持施工现场文明清洁。</w:t>
      </w:r>
    </w:p>
    <w:p>
      <w:pPr>
        <w:spacing w:before="156" w:beforeLines="50" w:after="156" w:afterLines="50" w:line="360" w:lineRule="auto"/>
        <w:rPr>
          <w:rFonts w:ascii="宋体" w:hAnsi="宋体"/>
          <w:b/>
          <w:sz w:val="28"/>
          <w:szCs w:val="28"/>
        </w:rPr>
      </w:pPr>
      <w:r>
        <w:rPr>
          <w:rFonts w:hint="eastAsia" w:ascii="宋体" w:hAnsi="宋体"/>
          <w:b/>
          <w:sz w:val="28"/>
          <w:szCs w:val="28"/>
        </w:rPr>
        <w:t xml:space="preserve">第十四条  </w:t>
      </w:r>
      <w:r>
        <w:rPr>
          <w:rFonts w:ascii="宋体" w:hAnsi="宋体"/>
          <w:b/>
          <w:sz w:val="28"/>
          <w:szCs w:val="28"/>
        </w:rPr>
        <w:t>保密约定</w:t>
      </w:r>
    </w:p>
    <w:p>
      <w:pPr>
        <w:spacing w:line="500" w:lineRule="exact"/>
        <w:ind w:firstLine="480" w:firstLineChars="200"/>
        <w:rPr>
          <w:rFonts w:ascii="宋体" w:hAnsi="宋体"/>
          <w:sz w:val="24"/>
        </w:rPr>
      </w:pPr>
      <w:r>
        <w:rPr>
          <w:rFonts w:hint="eastAsia" w:ascii="宋体" w:hAnsi="宋体"/>
          <w:sz w:val="24"/>
        </w:rPr>
        <w:t>1、</w:t>
      </w:r>
      <w:r>
        <w:rPr>
          <w:rFonts w:ascii="宋体" w:hAnsi="宋体"/>
          <w:sz w:val="24"/>
        </w:rPr>
        <w:t>在本合同订立前、履行中、终止后未经合同</w:t>
      </w:r>
      <w:r>
        <w:rPr>
          <w:rFonts w:hint="eastAsia" w:ascii="宋体" w:hAnsi="宋体"/>
          <w:sz w:val="24"/>
        </w:rPr>
        <w:t>另一方</w:t>
      </w:r>
      <w:r>
        <w:rPr>
          <w:rFonts w:ascii="宋体" w:hAnsi="宋体"/>
          <w:sz w:val="24"/>
        </w:rPr>
        <w:t xml:space="preserve">书面同意，任何一方均应对各方提供的资料、信息负保密责任，包括但不限于商业秘密、技术资料、图纸、数据、文件以及与业务有关的客户信息等。 </w:t>
      </w:r>
    </w:p>
    <w:p>
      <w:pPr>
        <w:spacing w:line="500" w:lineRule="exact"/>
        <w:ind w:firstLine="480" w:firstLineChars="200"/>
        <w:rPr>
          <w:rFonts w:hint="eastAsia" w:ascii="宋体" w:hAnsi="宋体"/>
          <w:sz w:val="24"/>
        </w:rPr>
      </w:pPr>
      <w:r>
        <w:rPr>
          <w:rFonts w:hint="eastAsia" w:ascii="宋体" w:hAnsi="宋体"/>
          <w:sz w:val="24"/>
        </w:rPr>
        <w:t>2、</w:t>
      </w:r>
      <w:r>
        <w:rPr>
          <w:rFonts w:ascii="宋体" w:hAnsi="宋体"/>
          <w:sz w:val="24"/>
        </w:rPr>
        <w:t>本保密条款具有独立性，不受本合同终止或解除的影响。</w:t>
      </w:r>
    </w:p>
    <w:p>
      <w:pPr>
        <w:spacing w:before="156" w:beforeLines="50" w:after="156" w:afterLines="50" w:line="360" w:lineRule="auto"/>
        <w:rPr>
          <w:rFonts w:ascii="宋体" w:hAnsi="宋体"/>
          <w:b/>
          <w:sz w:val="28"/>
          <w:szCs w:val="28"/>
        </w:rPr>
      </w:pPr>
      <w:r>
        <w:rPr>
          <w:rFonts w:hint="eastAsia" w:ascii="宋体" w:hAnsi="宋体"/>
          <w:b/>
          <w:sz w:val="28"/>
          <w:szCs w:val="28"/>
        </w:rPr>
        <w:t>第十五条  其它</w:t>
      </w:r>
    </w:p>
    <w:p>
      <w:pPr>
        <w:spacing w:line="500" w:lineRule="exact"/>
        <w:ind w:firstLine="480" w:firstLineChars="200"/>
        <w:rPr>
          <w:rFonts w:hint="eastAsia" w:ascii="宋体" w:hAnsi="宋体"/>
          <w:sz w:val="24"/>
          <w:highlight w:val="none"/>
        </w:rPr>
      </w:pPr>
      <w:r>
        <w:rPr>
          <w:rFonts w:hint="eastAsia" w:ascii="宋体" w:hAnsi="宋体"/>
          <w:sz w:val="24"/>
        </w:rPr>
        <w:t>1、在合同履行过程中如发生争议，首先应友好协商解决，解决不了，可向</w:t>
      </w:r>
      <w:r>
        <w:rPr>
          <w:rFonts w:hint="eastAsia" w:ascii="宋体" w:hAnsi="宋体"/>
          <w:sz w:val="24"/>
          <w:highlight w:val="none"/>
          <w:lang w:val="en-US" w:eastAsia="zh-CN"/>
        </w:rPr>
        <w:t>项目所在地</w:t>
      </w:r>
      <w:r>
        <w:rPr>
          <w:rFonts w:hint="eastAsia" w:ascii="宋体" w:hAnsi="宋体"/>
          <w:sz w:val="24"/>
          <w:highlight w:val="none"/>
        </w:rPr>
        <w:t>人民法院提起诉讼。</w:t>
      </w:r>
    </w:p>
    <w:p>
      <w:pPr>
        <w:spacing w:line="500" w:lineRule="exact"/>
        <w:ind w:firstLine="480" w:firstLineChars="200"/>
        <w:rPr>
          <w:rFonts w:hint="eastAsia" w:ascii="宋体" w:hAnsi="宋体"/>
          <w:sz w:val="24"/>
        </w:rPr>
      </w:pPr>
      <w:r>
        <w:rPr>
          <w:rFonts w:hint="eastAsia" w:ascii="宋体" w:hAnsi="宋体"/>
          <w:sz w:val="24"/>
        </w:rPr>
        <w:t>2、</w:t>
      </w:r>
      <w:r>
        <w:rPr>
          <w:rFonts w:ascii="宋体" w:hAnsi="宋体"/>
          <w:sz w:val="24"/>
        </w:rPr>
        <w:t>本合同未尽事宜，双方</w:t>
      </w:r>
      <w:r>
        <w:rPr>
          <w:rFonts w:hint="eastAsia" w:ascii="宋体" w:hAnsi="宋体"/>
          <w:sz w:val="24"/>
          <w:lang w:val="en-US" w:eastAsia="zh-CN"/>
        </w:rPr>
        <w:t>协商解决</w:t>
      </w:r>
      <w:r>
        <w:rPr>
          <w:rFonts w:ascii="宋体" w:hAnsi="宋体"/>
          <w:sz w:val="24"/>
        </w:rPr>
        <w:t>。</w:t>
      </w:r>
      <w:r>
        <w:rPr>
          <w:rFonts w:hint="eastAsia" w:ascii="宋体" w:hAnsi="宋体"/>
          <w:sz w:val="24"/>
        </w:rPr>
        <w:t>附件作为本合同的组成部分，具有同等法律效力。</w:t>
      </w:r>
    </w:p>
    <w:p>
      <w:pPr>
        <w:spacing w:line="500" w:lineRule="exact"/>
        <w:ind w:firstLine="480" w:firstLineChars="200"/>
        <w:rPr>
          <w:rFonts w:hint="eastAsia" w:ascii="宋体" w:hAnsi="宋体"/>
          <w:sz w:val="24"/>
          <w:highlight w:val="none"/>
        </w:rPr>
      </w:pPr>
      <w:r>
        <w:rPr>
          <w:rFonts w:hint="eastAsia" w:ascii="宋体" w:hAnsi="宋体"/>
          <w:sz w:val="24"/>
        </w:rPr>
        <w:t>3、本合同经</w:t>
      </w:r>
      <w:r>
        <w:rPr>
          <w:rFonts w:hint="eastAsia" w:ascii="宋体" w:hAnsi="宋体"/>
          <w:sz w:val="24"/>
          <w:lang w:val="en-US" w:eastAsia="zh-CN"/>
        </w:rPr>
        <w:t>双</w:t>
      </w:r>
      <w:r>
        <w:rPr>
          <w:rFonts w:hint="eastAsia" w:ascii="宋体" w:hAnsi="宋体"/>
          <w:sz w:val="24"/>
        </w:rPr>
        <w:t>方</w:t>
      </w:r>
      <w:r>
        <w:rPr>
          <w:rFonts w:hint="eastAsia" w:ascii="宋体" w:hAnsi="宋体"/>
          <w:sz w:val="24"/>
          <w:lang w:val="en-US" w:eastAsia="zh-CN"/>
        </w:rPr>
        <w:t>法定代表人</w:t>
      </w:r>
      <w:r>
        <w:rPr>
          <w:rFonts w:hint="eastAsia" w:ascii="宋体" w:hAnsi="宋体"/>
          <w:sz w:val="24"/>
        </w:rPr>
        <w:t>签字并盖章生效，</w:t>
      </w:r>
      <w:r>
        <w:rPr>
          <w:rFonts w:hint="eastAsia" w:ascii="宋体" w:hAnsi="宋体"/>
          <w:sz w:val="24"/>
          <w:highlight w:val="none"/>
        </w:rPr>
        <w:t>甲方、乙方共执</w:t>
      </w:r>
      <w:r>
        <w:rPr>
          <w:rFonts w:hint="eastAsia" w:ascii="宋体" w:hAnsi="宋体"/>
          <w:sz w:val="24"/>
          <w:highlight w:val="none"/>
          <w:lang w:val="en-US" w:eastAsia="zh-CN"/>
        </w:rPr>
        <w:t>7</w:t>
      </w:r>
      <w:r>
        <w:rPr>
          <w:rFonts w:hint="eastAsia" w:ascii="宋体" w:hAnsi="宋体"/>
          <w:sz w:val="24"/>
          <w:highlight w:val="none"/>
        </w:rPr>
        <w:t>份。</w:t>
      </w: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1000" w:lineRule="exact"/>
        <w:rPr>
          <w:rFonts w:ascii="宋体" w:hAnsi="宋体"/>
          <w:color w:val="000000"/>
          <w:sz w:val="28"/>
          <w:szCs w:val="28"/>
        </w:rPr>
      </w:pPr>
      <w:r>
        <w:rPr>
          <w:rFonts w:hint="eastAsia" w:ascii="宋体" w:hAnsi="宋体"/>
          <w:color w:val="000000"/>
          <w:sz w:val="28"/>
          <w:szCs w:val="28"/>
        </w:rPr>
        <w:t>甲    方：西安高新区草堂科技产业</w:t>
      </w:r>
      <w:r>
        <w:rPr>
          <w:rFonts w:hint="eastAsia" w:ascii="宋体" w:hAnsi="宋体"/>
          <w:color w:val="000000"/>
          <w:sz w:val="28"/>
          <w:szCs w:val="28"/>
          <w:lang w:val="en-US" w:eastAsia="zh-CN"/>
        </w:rPr>
        <w:t>园发展中心</w:t>
      </w:r>
      <w:r>
        <w:rPr>
          <w:rFonts w:hint="eastAsia" w:ascii="宋体" w:hAnsi="宋体"/>
          <w:color w:val="000000"/>
          <w:sz w:val="28"/>
          <w:szCs w:val="28"/>
        </w:rPr>
        <w:t>（盖章）</w:t>
      </w:r>
    </w:p>
    <w:p>
      <w:pPr>
        <w:spacing w:line="1000" w:lineRule="exact"/>
        <w:rPr>
          <w:rFonts w:hint="eastAsia" w:ascii="宋体" w:hAnsi="宋体"/>
          <w:color w:val="000000"/>
          <w:sz w:val="28"/>
          <w:szCs w:val="28"/>
        </w:rPr>
      </w:pPr>
      <w:r>
        <w:rPr>
          <w:rFonts w:hint="eastAsia" w:ascii="宋体" w:hAnsi="宋体"/>
          <w:color w:val="000000"/>
          <w:sz w:val="28"/>
          <w:szCs w:val="28"/>
        </w:rPr>
        <w:t xml:space="preserve">法人代表或其委托代理人： </w:t>
      </w:r>
    </w:p>
    <w:p>
      <w:pPr>
        <w:spacing w:line="1000" w:lineRule="exact"/>
        <w:rPr>
          <w:rFonts w:hint="eastAsia" w:ascii="宋体" w:hAnsi="宋体"/>
          <w:color w:val="000000"/>
          <w:sz w:val="28"/>
          <w:szCs w:val="28"/>
        </w:rPr>
      </w:pPr>
      <w:r>
        <w:rPr>
          <w:rFonts w:hint="eastAsia" w:ascii="宋体" w:hAnsi="宋体"/>
          <w:color w:val="000000"/>
          <w:sz w:val="28"/>
          <w:szCs w:val="28"/>
        </w:rPr>
        <w:t xml:space="preserve">联系方式：  </w:t>
      </w:r>
    </w:p>
    <w:p>
      <w:pPr>
        <w:spacing w:line="1000" w:lineRule="exact"/>
        <w:rPr>
          <w:rFonts w:hint="eastAsia" w:ascii="宋体" w:hAnsi="宋体"/>
          <w:color w:val="000000"/>
          <w:sz w:val="28"/>
          <w:szCs w:val="28"/>
        </w:rPr>
      </w:pPr>
    </w:p>
    <w:p>
      <w:pPr>
        <w:spacing w:line="1000" w:lineRule="exact"/>
        <w:rPr>
          <w:rFonts w:hint="eastAsia" w:ascii="宋体" w:hAnsi="宋体"/>
          <w:color w:val="000000"/>
          <w:sz w:val="28"/>
          <w:szCs w:val="28"/>
        </w:rPr>
      </w:pPr>
      <w:r>
        <w:rPr>
          <w:rFonts w:hint="eastAsia" w:ascii="宋体" w:hAnsi="宋体"/>
          <w:color w:val="000000"/>
          <w:sz w:val="28"/>
          <w:szCs w:val="28"/>
        </w:rPr>
        <w:t>乙    方：</w:t>
      </w:r>
      <w:r>
        <w:rPr>
          <w:rFonts w:hint="eastAsia" w:ascii="宋体" w:hAnsi="宋体"/>
          <w:color w:val="000000"/>
          <w:sz w:val="28"/>
          <w:szCs w:val="28"/>
          <w:lang w:val="en-US" w:eastAsia="zh-CN"/>
        </w:rPr>
        <w:t xml:space="preserve">    </w:t>
      </w:r>
      <w:r>
        <w:rPr>
          <w:rFonts w:hint="eastAsia" w:ascii="宋体" w:hAnsi="宋体"/>
          <w:color w:val="000000"/>
          <w:sz w:val="28"/>
          <w:szCs w:val="28"/>
        </w:rPr>
        <w:t>（盖章）</w:t>
      </w:r>
    </w:p>
    <w:p>
      <w:pPr>
        <w:spacing w:line="1000" w:lineRule="exact"/>
        <w:rPr>
          <w:rFonts w:hint="eastAsia" w:ascii="宋体" w:hAnsi="宋体"/>
          <w:color w:val="000000"/>
          <w:sz w:val="28"/>
          <w:szCs w:val="28"/>
        </w:rPr>
      </w:pPr>
      <w:r>
        <w:rPr>
          <w:rFonts w:hint="eastAsia" w:ascii="宋体" w:hAnsi="宋体"/>
          <w:color w:val="000000"/>
          <w:sz w:val="28"/>
          <w:szCs w:val="28"/>
        </w:rPr>
        <w:t xml:space="preserve">法人代表或其委托代理人： </w:t>
      </w:r>
    </w:p>
    <w:p>
      <w:pPr>
        <w:spacing w:line="1000" w:lineRule="exact"/>
        <w:sectPr>
          <w:footerReference r:id="rId9" w:type="first"/>
          <w:footerReference r:id="rId8" w:type="default"/>
          <w:pgSz w:w="11906" w:h="16838"/>
          <w:pgMar w:top="1440" w:right="1440" w:bottom="1440" w:left="1440" w:header="567" w:footer="284" w:gutter="567"/>
          <w:pgNumType w:fmt="decimal" w:start="1"/>
          <w:cols w:space="720" w:num="1"/>
          <w:titlePg/>
          <w:docGrid w:type="lines" w:linePitch="312" w:charSpace="0"/>
        </w:sectPr>
      </w:pPr>
      <w:r>
        <w:rPr>
          <w:rFonts w:hint="eastAsia" w:ascii="宋体" w:hAnsi="宋体"/>
          <w:color w:val="000000"/>
          <w:sz w:val="28"/>
          <w:szCs w:val="28"/>
        </w:rPr>
        <w:t xml:space="preserve">联系方式： </w:t>
      </w:r>
    </w:p>
    <w:p>
      <w:pPr>
        <w:jc w:val="left"/>
        <w:rPr>
          <w:sz w:val="28"/>
          <w:szCs w:val="28"/>
        </w:rPr>
      </w:pPr>
      <w:bookmarkStart w:id="129" w:name="_Toc25678"/>
      <w:r>
        <w:rPr>
          <w:rFonts w:hint="eastAsia"/>
          <w:sz w:val="28"/>
          <w:szCs w:val="28"/>
        </w:rPr>
        <w:t>附表：</w:t>
      </w:r>
    </w:p>
    <w:p>
      <w:pPr>
        <w:spacing w:line="480" w:lineRule="auto"/>
        <w:jc w:val="center"/>
        <w:rPr>
          <w:rFonts w:hint="eastAsia" w:ascii="宋体" w:hAnsi="宋体"/>
          <w:sz w:val="28"/>
          <w:szCs w:val="28"/>
        </w:rPr>
      </w:pPr>
      <w:r>
        <w:rPr>
          <w:rFonts w:hint="eastAsia" w:ascii="宋体" w:hAnsi="宋体"/>
          <w:sz w:val="28"/>
          <w:szCs w:val="28"/>
        </w:rPr>
        <w:t>道路给排水养护及园区防汛考核标准</w:t>
      </w:r>
    </w:p>
    <w:tbl>
      <w:tblPr>
        <w:tblStyle w:val="40"/>
        <w:tblW w:w="15640" w:type="dxa"/>
        <w:jc w:val="center"/>
        <w:tblLayout w:type="autofit"/>
        <w:tblCellMar>
          <w:top w:w="0" w:type="dxa"/>
          <w:left w:w="108" w:type="dxa"/>
          <w:bottom w:w="0" w:type="dxa"/>
          <w:right w:w="108" w:type="dxa"/>
        </w:tblCellMar>
      </w:tblPr>
      <w:tblGrid>
        <w:gridCol w:w="680"/>
        <w:gridCol w:w="1280"/>
        <w:gridCol w:w="12080"/>
        <w:gridCol w:w="800"/>
        <w:gridCol w:w="800"/>
      </w:tblGrid>
      <w:tr>
        <w:tblPrEx>
          <w:tblCellMar>
            <w:top w:w="0" w:type="dxa"/>
            <w:left w:w="108" w:type="dxa"/>
            <w:bottom w:w="0" w:type="dxa"/>
            <w:right w:w="108" w:type="dxa"/>
          </w:tblCellMar>
        </w:tblPrEx>
        <w:trPr>
          <w:trHeight w:val="799" w:hRule="atLeast"/>
          <w:tblHeader/>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8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考核项目</w:t>
            </w:r>
          </w:p>
        </w:tc>
        <w:tc>
          <w:tcPr>
            <w:tcW w:w="1208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考评标准</w:t>
            </w:r>
          </w:p>
        </w:tc>
        <w:tc>
          <w:tcPr>
            <w:tcW w:w="80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基准分值</w:t>
            </w:r>
          </w:p>
        </w:tc>
        <w:tc>
          <w:tcPr>
            <w:tcW w:w="80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考评得分</w:t>
            </w:r>
          </w:p>
        </w:tc>
      </w:tr>
      <w:tr>
        <w:tblPrEx>
          <w:tblCellMar>
            <w:top w:w="0" w:type="dxa"/>
            <w:left w:w="108" w:type="dxa"/>
            <w:bottom w:w="0" w:type="dxa"/>
            <w:right w:w="108" w:type="dxa"/>
          </w:tblCellMar>
        </w:tblPrEx>
        <w:trPr>
          <w:trHeight w:val="1399"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备案登记人员履约情况</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1.甲方不定期检查备案人员履约情况，不在岗且未请假经甲方批准一人次扣2分；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2.管理技术人员以及特殊操作工人应持证上岗，未按要求每发现一人次扣1分；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3.重大节日、暴风雨雪恶劣天气以及汛期，应严格执行24小时值班制度，未按时提交值班计划表、值班打卡登记表，每次扣1分，未落实24小时值班制度，每发现一次扣5分；</w:t>
            </w:r>
          </w:p>
          <w:p>
            <w:pPr>
              <w:widowControl/>
              <w:jc w:val="left"/>
              <w:rPr>
                <w:rFonts w:ascii="宋体" w:hAnsi="宋体" w:cs="宋体"/>
                <w:color w:val="000000"/>
                <w:kern w:val="0"/>
                <w:szCs w:val="21"/>
              </w:rPr>
            </w:pPr>
            <w:r>
              <w:rPr>
                <w:rFonts w:hint="eastAsia" w:ascii="宋体" w:hAnsi="宋体" w:cs="宋体"/>
                <w:color w:val="000000"/>
                <w:kern w:val="0"/>
                <w:szCs w:val="21"/>
              </w:rPr>
              <w:t>4.甲方不定期召开项目会议，项目负责人、项目技术负责人每缺席一次扣5分。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002"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机械设备及防汛物资情况</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1.未按投标承诺提供常备机械设备每台次扣2分；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2.应急机械设备于应急使用时未能及时到位每台次扣3分；</w:t>
            </w:r>
          </w:p>
          <w:p>
            <w:pPr>
              <w:widowControl/>
              <w:jc w:val="left"/>
              <w:rPr>
                <w:rFonts w:ascii="宋体" w:hAnsi="宋体" w:cs="宋体"/>
                <w:color w:val="000000"/>
                <w:kern w:val="0"/>
                <w:szCs w:val="21"/>
              </w:rPr>
            </w:pPr>
            <w:r>
              <w:rPr>
                <w:rFonts w:hint="eastAsia" w:ascii="宋体" w:hAnsi="宋体" w:cs="宋体"/>
                <w:color w:val="000000"/>
                <w:kern w:val="0"/>
                <w:szCs w:val="21"/>
              </w:rPr>
              <w:t>3.未按照要求补充准备防汛物资、常用维修更换养护所需的材料，每次扣5分。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399"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安全文明施工管理</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1.巡查养护车辆、人员按照要求统一着色标志、统一服装，作业人员需穿反光背心及配备相应安全防护措施，未按要求每人(车)次扣1分；</w:t>
            </w:r>
          </w:p>
          <w:p>
            <w:pPr>
              <w:widowControl/>
              <w:jc w:val="left"/>
              <w:rPr>
                <w:rFonts w:hint="eastAsia" w:ascii="宋体" w:hAnsi="宋体" w:cs="宋体"/>
                <w:color w:val="000000"/>
                <w:kern w:val="0"/>
                <w:szCs w:val="21"/>
              </w:rPr>
            </w:pPr>
            <w:r>
              <w:rPr>
                <w:rFonts w:hint="eastAsia" w:ascii="宋体" w:hAnsi="宋体" w:cs="宋体"/>
                <w:color w:val="000000"/>
                <w:kern w:val="0"/>
                <w:szCs w:val="21"/>
              </w:rPr>
              <w:t>2.未建立安全生产责任制，或未按安全管理规范要求对巡查作业人员进行安全培训、安全技术交底每人次扣1分；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3.未给作业工人购买集体意外保险，扣5分；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4.养护过程中没有按要求采取安全文明措施、交通导流标志，如围挡、交通指示、警示标志等，每发现一次扣2分； </w:t>
            </w:r>
          </w:p>
          <w:p>
            <w:pPr>
              <w:widowControl/>
              <w:jc w:val="left"/>
              <w:rPr>
                <w:rFonts w:ascii="宋体" w:hAnsi="宋体" w:cs="宋体"/>
                <w:color w:val="000000"/>
                <w:kern w:val="0"/>
                <w:szCs w:val="21"/>
              </w:rPr>
            </w:pPr>
            <w:r>
              <w:rPr>
                <w:rFonts w:hint="eastAsia" w:ascii="宋体" w:hAnsi="宋体" w:cs="宋体"/>
                <w:color w:val="000000"/>
                <w:kern w:val="0"/>
                <w:szCs w:val="21"/>
              </w:rPr>
              <w:t>5.未按治污减霾要求对扬尘作业进行洒水覆盖，施工现场材料乱堆、乱放污染环境，完工垃圾未及时清运，每发现一次扣2分。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05"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日常巡查情况</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1.未按照要求建立巡视检查制度，或未对巡视人员进行巡视岗前培训、巡查交底每项扣2分；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2.未按时提交巡查计划、巡查台账、巡查路线图、部件损坏通知单，每次扣1分；</w:t>
            </w:r>
          </w:p>
          <w:p>
            <w:pPr>
              <w:widowControl/>
              <w:jc w:val="left"/>
              <w:rPr>
                <w:rFonts w:hint="eastAsia" w:ascii="宋体" w:hAnsi="宋体" w:eastAsia="宋体" w:cs="宋体"/>
                <w:kern w:val="0"/>
                <w:szCs w:val="21"/>
                <w:lang w:eastAsia="zh-CN"/>
              </w:rPr>
            </w:pPr>
            <w:r>
              <w:rPr>
                <w:rFonts w:hint="eastAsia" w:ascii="宋体" w:hAnsi="宋体" w:cs="宋体"/>
                <w:kern w:val="0"/>
                <w:szCs w:val="21"/>
              </w:rPr>
              <w:t xml:space="preserve">3.巡视人员发现市政设施严重破损、存在安全隐患未能及时上报或未提出处理措施方案，每次扣1分； </w:t>
            </w:r>
          </w:p>
          <w:p>
            <w:pPr>
              <w:widowControl/>
              <w:jc w:val="left"/>
              <w:rPr>
                <w:rFonts w:hint="eastAsia" w:ascii="宋体" w:hAnsi="宋体" w:eastAsia="宋体" w:cs="宋体"/>
                <w:kern w:val="0"/>
                <w:szCs w:val="21"/>
                <w:lang w:eastAsia="zh-CN"/>
              </w:rPr>
            </w:pPr>
            <w:r>
              <w:rPr>
                <w:rFonts w:hint="eastAsia" w:ascii="宋体" w:hAnsi="宋体" w:cs="宋体"/>
                <w:kern w:val="0"/>
                <w:szCs w:val="21"/>
              </w:rPr>
              <w:t>4.巡视车辆日行驶里程、巡查遍数以及巡查人员配备不满足要求或不以发现解决问题的无质量巡查，发现一次扣5分；</w:t>
            </w:r>
          </w:p>
          <w:p>
            <w:pPr>
              <w:widowControl/>
              <w:jc w:val="left"/>
              <w:rPr>
                <w:rFonts w:hint="eastAsia" w:ascii="宋体" w:hAnsi="宋体" w:cs="宋体"/>
                <w:kern w:val="0"/>
                <w:szCs w:val="21"/>
              </w:rPr>
            </w:pPr>
            <w:r>
              <w:rPr>
                <w:rFonts w:hint="eastAsia" w:ascii="宋体" w:hAnsi="宋体" w:cs="宋体"/>
                <w:kern w:val="0"/>
                <w:szCs w:val="21"/>
              </w:rPr>
              <w:t>5.经甲方抽查发现正常巡查应发现而未发现的问题，每发生一次扣5分；</w:t>
            </w:r>
          </w:p>
          <w:p>
            <w:pPr>
              <w:widowControl/>
              <w:jc w:val="left"/>
              <w:rPr>
                <w:rFonts w:ascii="宋体" w:hAnsi="宋体" w:cs="宋体"/>
                <w:color w:val="000000"/>
                <w:kern w:val="0"/>
                <w:szCs w:val="21"/>
              </w:rPr>
            </w:pPr>
            <w:r>
              <w:rPr>
                <w:rFonts w:hint="eastAsia" w:ascii="宋体" w:hAnsi="宋体" w:cs="宋体"/>
                <w:kern w:val="0"/>
                <w:szCs w:val="21"/>
              </w:rPr>
              <w:t>6.因丙方巡查、维修更换不及时等原因导致第三方伤害的，每发生一次扣5分。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602"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维修养护管理</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1.未上报针对本项目编制的实施性巡查养护施工组织(必须包含常见道路病害及维修施工方案)，扣5分；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2.未经甲方代表允许擅自进行维修处理，或更改甲方确定的维修更换方式、维修范围，每发生一次扣5分；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3.未按规定对隐蔽工程进行报验，未验收或验收不合格擅自施工下道工序，每发生一次扣5分；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4.不能及时有效完成维修养护任务，未完成一次扣2分。</w:t>
            </w:r>
          </w:p>
          <w:p>
            <w:pPr>
              <w:widowControl/>
              <w:jc w:val="left"/>
              <w:rPr>
                <w:rFonts w:ascii="宋体" w:hAnsi="宋体" w:cs="宋体"/>
                <w:color w:val="000000"/>
                <w:kern w:val="0"/>
                <w:szCs w:val="21"/>
              </w:rPr>
            </w:pPr>
            <w:r>
              <w:rPr>
                <w:rFonts w:hint="eastAsia" w:ascii="宋体" w:hAnsi="宋体" w:cs="宋体"/>
                <w:color w:val="000000"/>
                <w:kern w:val="0"/>
                <w:szCs w:val="21"/>
              </w:rPr>
              <w:t>5.未能于月底上报本月巡查工作总结，(包括日常巡查情况、巡查路径图、道路及设施损坏情况汇总、维修养护情况汇总、本月养护管理的优缺点以及原因分析和下一步改进措施)，每发生一次扣5分。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200"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维修质量情况</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1.更换及维修使用不合格原材，每发现一次扣10分；</w:t>
            </w:r>
          </w:p>
          <w:p>
            <w:pPr>
              <w:widowControl/>
              <w:jc w:val="left"/>
              <w:rPr>
                <w:rFonts w:hint="eastAsia" w:ascii="宋体" w:hAnsi="宋体" w:cs="宋体"/>
                <w:color w:val="000000"/>
                <w:kern w:val="0"/>
                <w:szCs w:val="21"/>
              </w:rPr>
            </w:pPr>
            <w:r>
              <w:rPr>
                <w:rFonts w:hint="eastAsia" w:ascii="宋体" w:hAnsi="宋体" w:cs="宋体"/>
                <w:color w:val="000000"/>
                <w:kern w:val="0"/>
                <w:szCs w:val="21"/>
              </w:rPr>
              <w:t>2.养护维修质量不符合规范或投标文件约定要求，每发现一次扣2分；</w:t>
            </w:r>
          </w:p>
          <w:p>
            <w:pPr>
              <w:widowControl/>
              <w:jc w:val="left"/>
              <w:rPr>
                <w:rFonts w:hint="eastAsia" w:ascii="宋体" w:hAnsi="宋体" w:cs="宋体"/>
                <w:color w:val="000000"/>
                <w:kern w:val="0"/>
                <w:szCs w:val="21"/>
              </w:rPr>
            </w:pPr>
            <w:r>
              <w:rPr>
                <w:rFonts w:hint="eastAsia" w:ascii="宋体" w:hAnsi="宋体" w:cs="宋体"/>
                <w:color w:val="000000"/>
                <w:kern w:val="0"/>
                <w:szCs w:val="21"/>
              </w:rPr>
              <w:br w:type="page"/>
            </w:r>
            <w:r>
              <w:rPr>
                <w:rFonts w:hint="eastAsia" w:ascii="宋体" w:hAnsi="宋体" w:cs="宋体"/>
                <w:color w:val="000000"/>
                <w:kern w:val="0"/>
                <w:szCs w:val="21"/>
              </w:rPr>
              <w:t>3.主要、关键工序施工时施工技术管理人员不在场，或者在场不履行自检义务，每发现一次扣2分；</w:t>
            </w:r>
          </w:p>
          <w:p>
            <w:pPr>
              <w:widowControl/>
              <w:jc w:val="left"/>
              <w:rPr>
                <w:rFonts w:ascii="宋体" w:hAnsi="宋体" w:cs="宋体"/>
                <w:color w:val="000000"/>
                <w:kern w:val="0"/>
                <w:szCs w:val="21"/>
              </w:rPr>
            </w:pPr>
            <w:r>
              <w:rPr>
                <w:rFonts w:hint="eastAsia" w:ascii="宋体" w:hAnsi="宋体" w:cs="宋体"/>
                <w:color w:val="000000"/>
                <w:kern w:val="0"/>
                <w:szCs w:val="21"/>
              </w:rPr>
              <w:br w:type="page"/>
            </w:r>
            <w:r>
              <w:rPr>
                <w:rFonts w:hint="eastAsia" w:ascii="宋体" w:hAnsi="宋体" w:cs="宋体"/>
                <w:color w:val="000000"/>
                <w:kern w:val="0"/>
                <w:szCs w:val="21"/>
              </w:rPr>
              <w:t>4.缺陷责任期内因乙方原因出现问题不整改或整改不及时，每发生一次扣5分。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002"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服务配合情况</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1.无故不执行甲方的巡查、维修养护要求以及应急临时工程，每发生一次扣5分；</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2.不服从甲方现场管理、不执行甲方提出的整改要求或对甲方人员进行人身攻击，每发生一次扣5分；</w:t>
            </w:r>
          </w:p>
          <w:p>
            <w:pPr>
              <w:widowControl/>
              <w:jc w:val="left"/>
              <w:rPr>
                <w:rFonts w:ascii="宋体" w:hAnsi="宋体" w:cs="宋体"/>
                <w:color w:val="000000"/>
                <w:kern w:val="0"/>
                <w:szCs w:val="21"/>
              </w:rPr>
            </w:pPr>
            <w:r>
              <w:rPr>
                <w:rFonts w:hint="eastAsia" w:ascii="宋体" w:hAnsi="宋体" w:cs="宋体"/>
                <w:color w:val="000000"/>
                <w:kern w:val="0"/>
                <w:szCs w:val="21"/>
              </w:rPr>
              <w:t>3.虚报、乱报签证及进度款，经核实工程量审减超过10%的，每发生一次扣5分。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002" w:hRule="atLeast"/>
          <w:jc w:val="center"/>
        </w:trPr>
        <w:tc>
          <w:tcPr>
            <w:tcW w:w="68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8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社会监督情况</w:t>
            </w:r>
          </w:p>
        </w:tc>
        <w:tc>
          <w:tcPr>
            <w:tcW w:w="1208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1.存在打架、斗殴等现象，反映至派出所影响甲方形象，每发生一次扣2分；</w:t>
            </w:r>
          </w:p>
          <w:p>
            <w:pPr>
              <w:widowControl/>
              <w:jc w:val="left"/>
              <w:rPr>
                <w:rFonts w:hint="eastAsia" w:ascii="宋体" w:hAnsi="宋体" w:cs="宋体"/>
                <w:color w:val="000000"/>
                <w:kern w:val="0"/>
                <w:szCs w:val="21"/>
              </w:rPr>
            </w:pPr>
            <w:r>
              <w:rPr>
                <w:rFonts w:hint="eastAsia" w:ascii="宋体" w:hAnsi="宋体" w:cs="宋体"/>
                <w:color w:val="000000"/>
                <w:kern w:val="0"/>
                <w:szCs w:val="21"/>
              </w:rPr>
              <w:t>2.因丙方原因导致农民工、群众或企业举报，每发生一次扣5分；</w:t>
            </w:r>
          </w:p>
          <w:p>
            <w:pPr>
              <w:widowControl/>
              <w:jc w:val="left"/>
              <w:rPr>
                <w:rFonts w:ascii="宋体" w:hAnsi="宋体" w:cs="宋体"/>
                <w:color w:val="000000"/>
                <w:kern w:val="0"/>
                <w:szCs w:val="21"/>
              </w:rPr>
            </w:pPr>
            <w:r>
              <w:rPr>
                <w:rFonts w:hint="eastAsia" w:ascii="宋体" w:hAnsi="宋体" w:cs="宋体"/>
                <w:color w:val="000000"/>
                <w:kern w:val="0"/>
                <w:szCs w:val="21"/>
              </w:rPr>
              <w:t>3.因丙方原因导致农民工、群众或企业上访，每发生一次扣5分。</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19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08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80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600" w:hRule="atLeast"/>
          <w:jc w:val="center"/>
        </w:trPr>
        <w:tc>
          <w:tcPr>
            <w:tcW w:w="15640" w:type="dxa"/>
            <w:gridSpan w:val="5"/>
            <w:tcBorders>
              <w:top w:val="nil"/>
              <w:left w:val="nil"/>
              <w:bottom w:val="nil"/>
              <w:right w:val="nil"/>
            </w:tcBorders>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注：按照考评标准逐项进行扣减，每个考核项目考评得分最低0分；分数扣减应后附扣分原因表，其中每条扣分都有扣分依据资料或情况说明。</w:t>
            </w:r>
          </w:p>
        </w:tc>
      </w:tr>
    </w:tbl>
    <w:p>
      <w:pPr>
        <w:rPr>
          <w:rFonts w:hint="eastAsia" w:ascii="宋体" w:hAnsi="宋体"/>
          <w:b/>
          <w:sz w:val="28"/>
          <w:szCs w:val="28"/>
        </w:rPr>
        <w:sectPr>
          <w:headerReference r:id="rId11" w:type="first"/>
          <w:footerReference r:id="rId13" w:type="first"/>
          <w:headerReference r:id="rId10" w:type="default"/>
          <w:footerReference r:id="rId12" w:type="default"/>
          <w:pgSz w:w="16838" w:h="11905" w:orient="landscape"/>
          <w:pgMar w:top="1440" w:right="1440" w:bottom="1440" w:left="1440" w:header="567" w:footer="283" w:gutter="567"/>
          <w:pgNumType w:fmt="decimal"/>
          <w:cols w:space="720" w:num="1"/>
          <w:titlePg/>
          <w:docGrid w:type="lines" w:linePitch="322" w:charSpace="0"/>
        </w:sectPr>
      </w:pPr>
    </w:p>
    <w:bookmarkEnd w:id="129"/>
    <w:p>
      <w:pPr>
        <w:pStyle w:val="3"/>
        <w:ind w:firstLine="1767" w:firstLineChars="400"/>
        <w:jc w:val="both"/>
      </w:pPr>
      <w:bookmarkStart w:id="130" w:name="_Toc15861"/>
      <w:bookmarkStart w:id="131" w:name="_Toc19120"/>
      <w:r>
        <w:rPr>
          <w:rFonts w:hint="eastAsia"/>
        </w:rPr>
        <w:t>第五章  采购内容及要求</w:t>
      </w:r>
      <w:bookmarkEnd w:id="128"/>
      <w:bookmarkEnd w:id="130"/>
      <w:bookmarkEnd w:id="131"/>
    </w:p>
    <w:p>
      <w:pPr>
        <w:pStyle w:val="83"/>
        <w:spacing w:line="500" w:lineRule="exact"/>
        <w:outlineLvl w:val="1"/>
        <w:rPr>
          <w:rFonts w:ascii="宋体" w:hAnsi="宋体"/>
          <w:b/>
          <w:bCs/>
          <w:sz w:val="24"/>
          <w:szCs w:val="24"/>
        </w:rPr>
      </w:pPr>
      <w:bookmarkStart w:id="132" w:name="_Toc21661"/>
      <w:bookmarkStart w:id="133" w:name="_Toc30616"/>
      <w:bookmarkStart w:id="134" w:name="_Toc217446094"/>
      <w:r>
        <w:rPr>
          <w:rFonts w:hint="eastAsia" w:ascii="宋体" w:hAnsi="宋体"/>
          <w:b/>
          <w:bCs/>
          <w:sz w:val="24"/>
          <w:szCs w:val="24"/>
        </w:rPr>
        <w:t>一、项目名称</w:t>
      </w:r>
      <w:bookmarkEnd w:id="132"/>
      <w:bookmarkEnd w:id="133"/>
    </w:p>
    <w:p>
      <w:pPr>
        <w:pStyle w:val="83"/>
        <w:spacing w:line="500" w:lineRule="exact"/>
        <w:ind w:firstLine="480" w:firstLineChars="200"/>
        <w:rPr>
          <w:rFonts w:ascii="宋体" w:hAnsi="宋体"/>
          <w:sz w:val="24"/>
          <w:szCs w:val="24"/>
        </w:rPr>
      </w:pPr>
      <w:r>
        <w:rPr>
          <w:rFonts w:hint="eastAsia" w:ascii="宋体" w:hAnsi="宋体"/>
          <w:sz w:val="24"/>
          <w:szCs w:val="24"/>
        </w:rPr>
        <w:t>西安高新区草堂科技产业园市政道路、给排水管网养护及园区防汛项目。</w:t>
      </w:r>
    </w:p>
    <w:p>
      <w:pPr>
        <w:pStyle w:val="83"/>
        <w:spacing w:line="500" w:lineRule="exact"/>
        <w:outlineLvl w:val="1"/>
        <w:rPr>
          <w:rFonts w:ascii="宋体" w:hAnsi="宋体"/>
          <w:b/>
          <w:bCs/>
          <w:sz w:val="24"/>
          <w:szCs w:val="24"/>
        </w:rPr>
      </w:pPr>
      <w:bookmarkStart w:id="135" w:name="_Toc8557"/>
      <w:bookmarkStart w:id="136" w:name="_Toc16723"/>
      <w:r>
        <w:rPr>
          <w:rFonts w:hint="eastAsia" w:ascii="宋体" w:hAnsi="宋体"/>
          <w:b/>
          <w:bCs/>
          <w:sz w:val="24"/>
          <w:szCs w:val="24"/>
        </w:rPr>
        <w:t>二、项目概况</w:t>
      </w:r>
      <w:bookmarkEnd w:id="135"/>
      <w:bookmarkEnd w:id="136"/>
    </w:p>
    <w:p>
      <w:pPr>
        <w:pStyle w:val="83"/>
        <w:spacing w:line="500" w:lineRule="exact"/>
        <w:ind w:firstLine="480" w:firstLineChars="200"/>
        <w:rPr>
          <w:rFonts w:ascii="宋体" w:hAnsi="宋体"/>
          <w:sz w:val="24"/>
          <w:szCs w:val="24"/>
        </w:rPr>
      </w:pPr>
      <w:r>
        <w:rPr>
          <w:rFonts w:hint="eastAsia" w:ascii="宋体" w:hAnsi="宋体"/>
          <w:sz w:val="24"/>
          <w:szCs w:val="24"/>
        </w:rPr>
        <w:t>该项目位于草堂科技产业园内，养护范围：南起秦岭一路、北至秦岭九路、西起草堂一路、东至盈川路。</w:t>
      </w:r>
    </w:p>
    <w:p>
      <w:pPr>
        <w:pStyle w:val="83"/>
        <w:spacing w:line="500" w:lineRule="exact"/>
        <w:ind w:firstLine="480" w:firstLineChars="200"/>
        <w:rPr>
          <w:rFonts w:ascii="宋体" w:hAnsi="宋体"/>
          <w:sz w:val="24"/>
          <w:szCs w:val="24"/>
        </w:rPr>
      </w:pPr>
      <w:r>
        <w:rPr>
          <w:rFonts w:hint="eastAsia" w:ascii="宋体" w:hAnsi="宋体"/>
          <w:sz w:val="24"/>
          <w:szCs w:val="24"/>
        </w:rPr>
        <w:t>市政道路、给排水设施养护路段有：草堂一路、草堂二路、草堂三路、草堂四路、草堂五路、草堂六路、文济路、草堂七路、草堂八路、林谷路、草堂大道、草堂九路、秦岭二路、秦岭三路、秦岭四路、秦岭大道及其西延伸段、秦岭东五路、秦岭西五路、秦岭东六路、秦岭西六路、秦岭东七路、秦岭西七路、秦岭东八路、秦岭西八路、秦岭九路及其西延伸段、余沣路(环山路-六岔路口段)等路段。目前已经竣工验收道路总长度约为55.5km，另外还有庞光镇农村供水管道约25km。</w:t>
      </w:r>
    </w:p>
    <w:p>
      <w:pPr>
        <w:pStyle w:val="83"/>
        <w:spacing w:line="500" w:lineRule="exact"/>
        <w:ind w:firstLine="480" w:firstLineChars="200"/>
        <w:rPr>
          <w:rFonts w:ascii="宋体" w:hAnsi="宋体"/>
          <w:sz w:val="24"/>
          <w:szCs w:val="24"/>
        </w:rPr>
      </w:pPr>
      <w:r>
        <w:rPr>
          <w:rFonts w:hint="eastAsia" w:ascii="宋体" w:hAnsi="宋体"/>
          <w:sz w:val="24"/>
          <w:szCs w:val="24"/>
        </w:rPr>
        <w:t>防汛河道有：化羊峪河、黄柏峪河、乌桑峪河、太平峪河等4条河流流经园区的范围段，河流总长度约13km。</w:t>
      </w:r>
    </w:p>
    <w:p>
      <w:pPr>
        <w:pStyle w:val="83"/>
        <w:spacing w:line="500" w:lineRule="exact"/>
        <w:outlineLvl w:val="1"/>
        <w:rPr>
          <w:rFonts w:ascii="宋体" w:hAnsi="宋体"/>
          <w:b/>
          <w:bCs/>
          <w:sz w:val="24"/>
          <w:szCs w:val="24"/>
        </w:rPr>
      </w:pPr>
      <w:bookmarkStart w:id="137" w:name="_Toc1044"/>
      <w:bookmarkStart w:id="138" w:name="_Toc23741"/>
      <w:r>
        <w:rPr>
          <w:rFonts w:hint="eastAsia" w:ascii="宋体" w:hAnsi="宋体"/>
          <w:b/>
          <w:bCs/>
          <w:sz w:val="24"/>
          <w:szCs w:val="24"/>
        </w:rPr>
        <w:t>三、</w:t>
      </w:r>
      <w:r>
        <w:rPr>
          <w:rFonts w:hint="eastAsia" w:ascii="宋体" w:hAnsi="宋体"/>
          <w:b/>
          <w:bCs/>
          <w:sz w:val="24"/>
          <w:szCs w:val="24"/>
          <w:lang w:val="en-US" w:eastAsia="zh-CN"/>
        </w:rPr>
        <w:t>项目</w:t>
      </w:r>
      <w:r>
        <w:rPr>
          <w:rFonts w:hint="eastAsia" w:ascii="宋体" w:hAnsi="宋体"/>
          <w:b/>
          <w:bCs/>
          <w:sz w:val="24"/>
          <w:szCs w:val="24"/>
        </w:rPr>
        <w:t>内容</w:t>
      </w:r>
      <w:bookmarkEnd w:id="137"/>
      <w:bookmarkEnd w:id="138"/>
    </w:p>
    <w:p>
      <w:pPr>
        <w:pStyle w:val="83"/>
        <w:spacing w:line="500" w:lineRule="exact"/>
        <w:ind w:firstLine="480" w:firstLineChars="200"/>
        <w:rPr>
          <w:rFonts w:ascii="宋体" w:hAnsi="宋体"/>
          <w:sz w:val="24"/>
          <w:szCs w:val="24"/>
        </w:rPr>
      </w:pPr>
      <w:r>
        <w:rPr>
          <w:rFonts w:hint="eastAsia" w:ascii="宋体" w:hAnsi="宋体"/>
          <w:sz w:val="24"/>
          <w:szCs w:val="24"/>
        </w:rPr>
        <w:t>1.市政道路及给排水设施日常巡查：包括养护区域内车行道面层(粗油和细油)、基层(二灰石和灰土)，人行道面层(透水砖和盲道石)、基层(细石砼)、树池围石、车止石，路缘石(普通砼道牙、防撞砼道牙、石材道牙和平石)，给排水检查井的井圈、井盖、井室、防坠网，雨水收集井的井圈、井篦、井室，给排水管道、阀门、消火栓，涵洞，标识牌，标线(热熔标线及常温标线)，减速带及其他市政设施等的日常巡查。巡查发现各项损坏情况做好问题台账登记，及时报告甲方并提出可行的维修养护方案；巡查管道、检查井的渗漏、淤堵问题，对各河道排放口以及企业排放口水流及水质情况进行监管控制，杜绝企业非法排放；及时发现并制止无合法手续挖掘破坏市政道路及附属设施的行为，并及时反馈给甲方。</w:t>
      </w:r>
    </w:p>
    <w:p>
      <w:pPr>
        <w:pStyle w:val="83"/>
        <w:spacing w:line="500" w:lineRule="exact"/>
        <w:ind w:firstLine="480" w:firstLineChars="200"/>
        <w:rPr>
          <w:rFonts w:ascii="宋体" w:hAnsi="宋体"/>
          <w:sz w:val="24"/>
          <w:szCs w:val="24"/>
        </w:rPr>
      </w:pPr>
      <w:r>
        <w:rPr>
          <w:rFonts w:hint="eastAsia" w:ascii="宋体" w:hAnsi="宋体"/>
          <w:sz w:val="24"/>
          <w:szCs w:val="24"/>
        </w:rPr>
        <w:t>2.市政道路及给排水设施维修养护：包括对养护区域内凹陷凸起、壅包、破损剥落、龟裂等缺陷路面的铣刨重铺处理以及塌陷路面基础处理，对破损的人行道面层、树池围石、车止石、路缘石、减速带、标识牌、防撞水泥墩、反光柱、护栏等的更换恢复，对各种破损缺陷井框、井盖、防坠网、雨水篦子、阀门、消火栓的更换维修养护，对模糊、缺失或错误的标线清除重画以及道牙的喷涂翻新，对淤堵管道的清淤疏通、存在渗漏管井以及非法私接管道的防漏和封堵处理，涵洞内清淤疏通以及缺陷问题修复养护，对积水路段以及未打通的管道辅助抽排水处理，根据甲方要求随时调节和开关雨水污水管道阀门。</w:t>
      </w:r>
    </w:p>
    <w:p>
      <w:pPr>
        <w:pStyle w:val="83"/>
        <w:spacing w:line="500" w:lineRule="exact"/>
        <w:ind w:firstLine="480" w:firstLineChars="200"/>
        <w:rPr>
          <w:rFonts w:ascii="宋体" w:hAnsi="宋体"/>
          <w:sz w:val="24"/>
          <w:szCs w:val="24"/>
        </w:rPr>
      </w:pPr>
      <w:r>
        <w:rPr>
          <w:rFonts w:hint="eastAsia" w:ascii="宋体" w:hAnsi="宋体"/>
          <w:sz w:val="24"/>
          <w:szCs w:val="24"/>
        </w:rPr>
        <w:t>3.园区防讯：结合园区实际情况编制园区可行性防讯应急预案。汛前对园区内管网及4条河流进行排查，及时对淤堵或存在垃圾管道进行清理，对河道淤堵、河岸堤坝损坏情况做好问题台账登记，及时报告甲方并提出可行的维修养护方案，确保汛期来临之前将问题处理完。汛期根据雨情启动相应应急响应，严格落实24小时值班制度，做好天气、水情预报,加强园区积水路面、管网、河道巡查工作，中雨以上必须保证每个易积水点及排水不通的管道处有人值守抽排降水，确保过往行人安全以及企业的安全；及时监测掌握河道河岸堤坝情况、河流水位、流速,分析预估可能发生的情况,如遇险情，第一时间上报甲方，按照甲方要求进行应急抢险。</w:t>
      </w:r>
    </w:p>
    <w:p>
      <w:pPr>
        <w:pStyle w:val="83"/>
        <w:spacing w:line="500" w:lineRule="exact"/>
        <w:ind w:firstLine="480" w:firstLineChars="200"/>
        <w:rPr>
          <w:rFonts w:ascii="宋体" w:hAnsi="宋体"/>
          <w:sz w:val="24"/>
          <w:szCs w:val="24"/>
        </w:rPr>
      </w:pPr>
      <w:r>
        <w:rPr>
          <w:rFonts w:hint="eastAsia" w:ascii="宋体" w:hAnsi="宋体"/>
          <w:sz w:val="24"/>
          <w:szCs w:val="24"/>
        </w:rPr>
        <w:t>4.甲方安排的其它工作：市政道路给排水临时工程、应急抢险任务、园区观摩调研等重大活动的相关保障工作。</w:t>
      </w:r>
    </w:p>
    <w:p>
      <w:pPr>
        <w:pStyle w:val="83"/>
        <w:spacing w:line="500" w:lineRule="exact"/>
        <w:outlineLvl w:val="1"/>
        <w:rPr>
          <w:rFonts w:ascii="宋体" w:hAnsi="宋体"/>
          <w:sz w:val="24"/>
          <w:szCs w:val="24"/>
        </w:rPr>
      </w:pPr>
      <w:bookmarkStart w:id="139" w:name="_Toc20104"/>
      <w:r>
        <w:rPr>
          <w:rFonts w:hint="eastAsia" w:ascii="宋体" w:hAnsi="宋体"/>
          <w:b/>
          <w:bCs/>
          <w:sz w:val="24"/>
          <w:szCs w:val="24"/>
        </w:rPr>
        <w:t>四、服务期限：</w:t>
      </w:r>
      <w:r>
        <w:rPr>
          <w:rFonts w:hint="eastAsia" w:ascii="宋体" w:hAnsi="宋体"/>
          <w:sz w:val="24"/>
          <w:szCs w:val="24"/>
        </w:rPr>
        <w:t>1年。</w:t>
      </w:r>
      <w:bookmarkEnd w:id="139"/>
    </w:p>
    <w:p>
      <w:pPr>
        <w:pStyle w:val="83"/>
        <w:spacing w:line="500" w:lineRule="exact"/>
        <w:outlineLvl w:val="1"/>
        <w:rPr>
          <w:rFonts w:ascii="宋体" w:hAnsi="宋体"/>
          <w:b/>
          <w:bCs/>
          <w:sz w:val="24"/>
          <w:szCs w:val="24"/>
        </w:rPr>
      </w:pPr>
      <w:bookmarkStart w:id="140" w:name="_Toc28386"/>
      <w:r>
        <w:rPr>
          <w:rFonts w:hint="eastAsia" w:ascii="宋体" w:hAnsi="宋体"/>
          <w:b/>
          <w:bCs/>
          <w:sz w:val="24"/>
          <w:szCs w:val="24"/>
        </w:rPr>
        <w:t>五、具体要求</w:t>
      </w:r>
      <w:bookmarkEnd w:id="140"/>
    </w:p>
    <w:p>
      <w:pPr>
        <w:pStyle w:val="83"/>
        <w:spacing w:line="500" w:lineRule="exact"/>
        <w:ind w:firstLine="480" w:firstLineChars="200"/>
        <w:rPr>
          <w:rFonts w:ascii="宋体" w:hAnsi="宋体"/>
          <w:sz w:val="24"/>
          <w:szCs w:val="24"/>
        </w:rPr>
      </w:pPr>
      <w:r>
        <w:rPr>
          <w:rFonts w:hint="eastAsia" w:ascii="宋体" w:hAnsi="宋体"/>
          <w:sz w:val="24"/>
          <w:szCs w:val="24"/>
        </w:rPr>
        <w:t xml:space="preserve">1.办公场所要求： </w:t>
      </w:r>
    </w:p>
    <w:p>
      <w:pPr>
        <w:pStyle w:val="83"/>
        <w:spacing w:line="500" w:lineRule="exact"/>
        <w:ind w:firstLine="480" w:firstLineChars="200"/>
        <w:rPr>
          <w:rFonts w:ascii="宋体" w:hAnsi="宋体"/>
          <w:sz w:val="24"/>
          <w:szCs w:val="24"/>
        </w:rPr>
      </w:pPr>
      <w:r>
        <w:rPr>
          <w:rFonts w:hint="eastAsia" w:ascii="宋体" w:hAnsi="宋体"/>
          <w:sz w:val="24"/>
          <w:szCs w:val="24"/>
        </w:rPr>
        <w:t>为保证服务质量及便捷性，乙方应在草堂科技产业园园区内或园区周边2km范围内设置固定项目管理部，必须配备满足生产的办公室、物资材料仓储室、机械设备停放场以及相应的生活区。</w:t>
      </w:r>
    </w:p>
    <w:p>
      <w:pPr>
        <w:pStyle w:val="83"/>
        <w:spacing w:line="500" w:lineRule="exact"/>
        <w:ind w:firstLine="480" w:firstLineChars="200"/>
        <w:rPr>
          <w:rFonts w:ascii="宋体" w:hAnsi="宋体"/>
          <w:sz w:val="24"/>
          <w:szCs w:val="24"/>
        </w:rPr>
      </w:pPr>
      <w:r>
        <w:rPr>
          <w:rFonts w:hint="eastAsia" w:ascii="宋体" w:hAnsi="宋体"/>
          <w:sz w:val="24"/>
          <w:szCs w:val="24"/>
        </w:rPr>
        <w:t>2.项目团队成员配备要求：</w:t>
      </w:r>
    </w:p>
    <w:p>
      <w:pPr>
        <w:pStyle w:val="83"/>
        <w:spacing w:line="500" w:lineRule="exact"/>
        <w:ind w:firstLine="480" w:firstLineChars="200"/>
        <w:rPr>
          <w:rFonts w:ascii="宋体" w:hAnsi="宋体"/>
          <w:sz w:val="24"/>
          <w:szCs w:val="24"/>
        </w:rPr>
      </w:pPr>
      <w:r>
        <w:rPr>
          <w:rFonts w:hint="eastAsia" w:ascii="宋体" w:hAnsi="宋体"/>
          <w:sz w:val="24"/>
          <w:szCs w:val="24"/>
        </w:rPr>
        <w:t>乙方应成立项目管理组织机构，要求项目组成员结构合理、分工明确，并保证项目组成员具有相应资格或职称证书，持证上岗。项目组人员必须包含项目负责人、技术负责人、技术管理人员、安全专职人员(2人以上)、质检人员、资料员、专业的维修养护人员，并详细说明每个人的职责及工作任务。市政道路巡查、市政给排水巡查及园区防汛巡查必须为固定班组，每巡查小组不少于3人。市政道路、给排水设施维修更换作业班组不少于5个班组，分别为：给排水抢修班组、窨井盖抢修班组、路缘石人行道及其他市政设施抢修班组2组以及沥青路面抢修班组。</w:t>
      </w:r>
    </w:p>
    <w:p>
      <w:pPr>
        <w:pStyle w:val="83"/>
        <w:spacing w:line="500" w:lineRule="exact"/>
        <w:ind w:firstLine="480" w:firstLineChars="200"/>
        <w:rPr>
          <w:rFonts w:ascii="宋体" w:hAnsi="宋体"/>
          <w:sz w:val="24"/>
          <w:szCs w:val="24"/>
        </w:rPr>
      </w:pPr>
      <w:r>
        <w:rPr>
          <w:rFonts w:hint="eastAsia" w:ascii="宋体" w:hAnsi="宋体"/>
          <w:sz w:val="24"/>
          <w:szCs w:val="24"/>
        </w:rPr>
        <w:t>为保障项目的高质量实施，要求乙方项目负责人与技术负责人必须具备丰富的类似项目经验，有负责过项目整体质量、安全、进度的控制管理经验，在人力、物资、设备等方面协调及执行落实能力强，项目负责人应按月汇报本月工作情况总结及下月工作计划安排。为保证项目顺利进行，乙方项目负责人、技术负责人、安全员以及巡查养护维修人员必须在甲方登记备案，外出离开项目必须征得甲方代表同意，并向甲方提交书面请假条和请假期间的工作安排。在服务期内，甲方会定期对乙方履约人数进行检查，项目负责人、技术负责人每月在岗时间不少于22天，且不可同时请假外出，巡查养护人员采用轮岗制，确保每天都有固定班组随时待命，所有备案登记人员须保持24小时手机畅通，以便有抢修任务时可及时调配人员。</w:t>
      </w:r>
    </w:p>
    <w:p>
      <w:pPr>
        <w:pStyle w:val="83"/>
        <w:spacing w:line="500" w:lineRule="exact"/>
        <w:ind w:firstLine="480" w:firstLineChars="200"/>
        <w:rPr>
          <w:rFonts w:ascii="宋体" w:hAnsi="宋体"/>
          <w:sz w:val="24"/>
          <w:szCs w:val="24"/>
        </w:rPr>
      </w:pPr>
      <w:r>
        <w:rPr>
          <w:rFonts w:hint="eastAsia" w:ascii="宋体" w:hAnsi="宋体"/>
          <w:sz w:val="24"/>
          <w:szCs w:val="24"/>
        </w:rPr>
        <w:t>3.机械设备数量及型号参数要求：</w:t>
      </w:r>
    </w:p>
    <w:p>
      <w:pPr>
        <w:pStyle w:val="83"/>
        <w:spacing w:line="500" w:lineRule="exact"/>
        <w:ind w:firstLine="480" w:firstLineChars="200"/>
        <w:rPr>
          <w:rFonts w:ascii="宋体" w:hAnsi="宋体"/>
          <w:sz w:val="24"/>
          <w:szCs w:val="24"/>
        </w:rPr>
      </w:pPr>
      <w:r>
        <w:rPr>
          <w:rFonts w:hint="eastAsia" w:ascii="宋体" w:hAnsi="宋体"/>
          <w:sz w:val="24"/>
          <w:szCs w:val="24"/>
        </w:rPr>
        <w:t>常备机械设备包含但不限于：2辆配备GPS定位巡查车(道路、给排水各一辆，汛期需另外增加一辆配备GPS定位巡查车)、2辆维修工程车(转运机具、材料及清运垃圾)；小型路面破碎机、路面直线开槽切割机、沥青路面灌缝机、小型铣刨机、沥青热再生设备、小型压路机(可压实沟槽、人行道基础)；井盖圆弧路面切割机；6台移动发电机、8台污水泵(&gt;4寸口径5kw)、2台通风设备(含风管) 、空气压缩机、有害气体检测仪、便携式氧气罐(含呼吸面罩)；PE热熔机(4分-8寸)、管道打压设备；吸污运输车；道牙喷漆设备等。</w:t>
      </w:r>
    </w:p>
    <w:p>
      <w:pPr>
        <w:pStyle w:val="83"/>
        <w:spacing w:line="500" w:lineRule="exact"/>
        <w:ind w:firstLine="480" w:firstLineChars="200"/>
        <w:rPr>
          <w:rFonts w:ascii="宋体" w:hAnsi="宋体"/>
          <w:sz w:val="24"/>
          <w:szCs w:val="24"/>
        </w:rPr>
      </w:pPr>
      <w:r>
        <w:rPr>
          <w:rFonts w:hint="eastAsia" w:ascii="宋体" w:hAnsi="宋体"/>
          <w:sz w:val="24"/>
          <w:szCs w:val="24"/>
        </w:rPr>
        <w:t>应急机械设备包含但不限于：挖掘机、装载机、起重机、雾炮洒水车、高压清洗管道疏通车、大型铣刨机、沥青洒布机、摊铺机、重型震动压路机、热熔标线划线车等。</w:t>
      </w:r>
    </w:p>
    <w:p>
      <w:pPr>
        <w:pStyle w:val="83"/>
        <w:spacing w:line="500" w:lineRule="exact"/>
        <w:ind w:firstLine="480" w:firstLineChars="200"/>
        <w:rPr>
          <w:rFonts w:ascii="宋体" w:hAnsi="宋体"/>
          <w:sz w:val="24"/>
          <w:szCs w:val="24"/>
        </w:rPr>
      </w:pPr>
      <w:r>
        <w:rPr>
          <w:rFonts w:hint="eastAsia" w:ascii="宋体" w:hAnsi="宋体"/>
          <w:sz w:val="24"/>
          <w:szCs w:val="24"/>
        </w:rPr>
        <w:t>常备机械设备必须为乙方自有或长期租赁且长期停放于项目管理部以备甲方履约检查，应急机械设备必须提供两家以上的临时调用或临时租用协议，确保不因机械设备影响应急抢险工作。为本项目配备的机械设备必须保证性能良好，日常道路巡查车辆必须安装GPS卫星定位系统并支持甲方手机APP软件联网实时查看，保证实施动态监测。巡查维修养护所需的机械设备及工具均为乙方自备，甲方不提供任何机械设备及工具。</w:t>
      </w:r>
    </w:p>
    <w:p>
      <w:pPr>
        <w:pStyle w:val="83"/>
        <w:spacing w:line="500" w:lineRule="exact"/>
        <w:ind w:firstLine="480" w:firstLineChars="200"/>
        <w:rPr>
          <w:rFonts w:ascii="宋体" w:hAnsi="宋体"/>
          <w:sz w:val="24"/>
          <w:szCs w:val="24"/>
        </w:rPr>
      </w:pPr>
      <w:r>
        <w:rPr>
          <w:rFonts w:hint="eastAsia" w:ascii="宋体" w:hAnsi="宋体"/>
          <w:sz w:val="24"/>
          <w:szCs w:val="24"/>
        </w:rPr>
        <w:t>4.技术方案要求：</w:t>
      </w:r>
    </w:p>
    <w:p>
      <w:pPr>
        <w:pStyle w:val="83"/>
        <w:spacing w:line="500" w:lineRule="exact"/>
        <w:ind w:firstLine="480" w:firstLineChars="200"/>
        <w:rPr>
          <w:rFonts w:ascii="宋体" w:hAnsi="宋体"/>
          <w:sz w:val="24"/>
          <w:szCs w:val="24"/>
        </w:rPr>
      </w:pPr>
      <w:r>
        <w:rPr>
          <w:rFonts w:hint="eastAsia" w:ascii="宋体" w:hAnsi="宋体"/>
          <w:sz w:val="24"/>
          <w:szCs w:val="24"/>
        </w:rPr>
        <w:t>乙方应自行勘察养护范围现场，要充分了解养护地点范围的整体情况，针对本项目情况，提供详尽的实施性养护施工组织方案，内容至少包括：⑴详细的日常巡查方案（包含人员安排、车辆安排、路线安排、巡查计划等）；⑵详细的维修养护方案（包含人员、车辆、设备、材料配备、养护技术方案）；⑶养护方法、标准的规范性及质量保证措施；⑷组织管理体系、教育培训、责任监督措施；⑸文明施工规范措施及安全生产防范保障措施；⑹发生突发事件的应急预案，针对汛期编制完善的园区防汛应急预案。</w:t>
      </w:r>
    </w:p>
    <w:p>
      <w:pPr>
        <w:pStyle w:val="83"/>
        <w:spacing w:line="500" w:lineRule="exact"/>
        <w:ind w:firstLine="480" w:firstLineChars="200"/>
        <w:rPr>
          <w:rFonts w:ascii="宋体" w:hAnsi="宋体"/>
          <w:sz w:val="24"/>
          <w:szCs w:val="24"/>
        </w:rPr>
      </w:pPr>
      <w:r>
        <w:rPr>
          <w:rFonts w:hint="eastAsia" w:ascii="宋体" w:hAnsi="宋体"/>
          <w:sz w:val="24"/>
          <w:szCs w:val="24"/>
        </w:rPr>
        <w:t>5.道路巡查要求：</w:t>
      </w:r>
    </w:p>
    <w:p>
      <w:pPr>
        <w:pStyle w:val="83"/>
        <w:spacing w:line="500" w:lineRule="exact"/>
        <w:ind w:firstLine="480" w:firstLineChars="200"/>
        <w:rPr>
          <w:rFonts w:ascii="宋体" w:hAnsi="宋体"/>
          <w:sz w:val="24"/>
          <w:szCs w:val="24"/>
        </w:rPr>
      </w:pPr>
      <w:r>
        <w:rPr>
          <w:rFonts w:hint="eastAsia" w:ascii="宋体" w:hAnsi="宋体"/>
          <w:sz w:val="24"/>
          <w:szCs w:val="24"/>
        </w:rPr>
        <w:t>道路巡查小组应建立完善的日常巡查制度、管理制度、应急处理制度、自查自检制度及完善的管理机制和应急处理机制。根据天气预报、近期道路及设施状况每月报送巡查计划经甲方代表批准后对管养区域进行全面巡查，确保园区道路及设施每日三巡，且要确保对沿线的检查井、雨水收集口、管道、阀门、消火栓、沥青路面、人行道、路缘石、树池围石、车止石、减速带、标识牌、标线、道牙喷涂情况、防撞水泥墩、反光柱、护栏、涵洞等都一一巡查到位，巡查车速不宜大于20km/h，遇到雨季汛期、突发气象灾害或园区重大活动，应无条件服从甲方要求，增加巡查次数，做好相关配合保障工作。巡查要以及时发现问题并抢修恢复为目的，可以采用人车结合方式巡查，日间及主要道路高频次巡查、夜间及次要道路低频次巡查、重大活动消缺排险巡查、白班精细化巡查，每月开展一次集中缺陷徒步全面排查。</w:t>
      </w:r>
    </w:p>
    <w:p>
      <w:pPr>
        <w:pStyle w:val="83"/>
        <w:spacing w:line="500" w:lineRule="exact"/>
        <w:ind w:firstLine="480" w:firstLineChars="200"/>
        <w:rPr>
          <w:rFonts w:ascii="宋体" w:hAnsi="宋体"/>
          <w:sz w:val="24"/>
          <w:szCs w:val="24"/>
        </w:rPr>
      </w:pPr>
      <w:r>
        <w:rPr>
          <w:rFonts w:hint="eastAsia" w:ascii="宋体" w:hAnsi="宋体"/>
          <w:sz w:val="24"/>
          <w:szCs w:val="24"/>
        </w:rPr>
        <w:t>市政道路及设施巡查小组不应少于3人，其中必须包含1位技术管理人员。巡查小组应对巡查情况建立每日巡查台账，巡查台账应包含巡查里程、巡查损坏清单位置等信息。巡查小组须在每日巡查任务完成后，打印当日巡查GPS路径图(其中包含巡查时段、巡查车速、巡查线路、巡查里程等信息)，每月统一提交由甲方检查存档。</w:t>
      </w:r>
    </w:p>
    <w:p>
      <w:pPr>
        <w:pStyle w:val="83"/>
        <w:spacing w:line="500" w:lineRule="exact"/>
        <w:ind w:firstLine="480" w:firstLineChars="200"/>
        <w:rPr>
          <w:rFonts w:ascii="宋体" w:hAnsi="宋体"/>
          <w:sz w:val="24"/>
          <w:szCs w:val="24"/>
        </w:rPr>
      </w:pPr>
      <w:r>
        <w:rPr>
          <w:rFonts w:hint="eastAsia" w:ascii="宋体" w:hAnsi="宋体"/>
          <w:sz w:val="24"/>
          <w:szCs w:val="24"/>
        </w:rPr>
        <w:t>巡查中发现各项损坏情况须重点记录，并及时向甲方代表以电话和图片形式反馈损坏情况和处理意见，并依照甲方代表意见进行下一步工作，随后应以《部件设施损坏通知单》形式完善资料，及时进行反馈。《部件设施损坏通知单》应包含巡查损坏部位名称、位置、损坏原因、损坏部位处理意见、巡查人员签名等信息，并将损坏部件的含水印远、近景照片(水印信息包含位置及时间)作为附件。</w:t>
      </w:r>
    </w:p>
    <w:p>
      <w:pPr>
        <w:pStyle w:val="83"/>
        <w:spacing w:line="500" w:lineRule="exact"/>
        <w:ind w:firstLine="480" w:firstLineChars="200"/>
        <w:rPr>
          <w:rFonts w:ascii="宋体" w:hAnsi="宋体"/>
          <w:sz w:val="24"/>
          <w:szCs w:val="24"/>
        </w:rPr>
      </w:pPr>
      <w:r>
        <w:rPr>
          <w:rFonts w:hint="eastAsia" w:ascii="宋体" w:hAnsi="宋体"/>
          <w:sz w:val="24"/>
          <w:szCs w:val="24"/>
        </w:rPr>
        <w:t>巡查人员应及时发现路面坑洞（1㎡以内）、板块破碎、边角明显受损等路况及窨井盖、雨篦子等市政设施损坏、丢失情况，雨污管道淤堵、渗漏或路面沉陷、断裂、大面积坑槽（1㎡以上）等路面险情；同时还应及时发现并制止无合法手续挖掘破坏市政道路及附属设施的行为，并第一时间反馈给甲方代表；定期巡查给水、雨污管道，对企业排放污水流量及水质进行监管控制，杜绝企业私接管道排放或超标排放。巡查时如发现危及行人车辆通行安全的路面险情时，应第一时间安排做好安全围挡，设置警示标志，保证行人和车辆通行安全，并及时向甲方代表上报。巡查过程中，巡查小组还需随时清理路面石块和其它影响通行安全的障碍，并对积水路段辅助抽排水。甲方有权临时抽查，要求乙方陪同到指定区域进行现场查看，乙方应无条件配合。</w:t>
      </w:r>
    </w:p>
    <w:p>
      <w:pPr>
        <w:pStyle w:val="83"/>
        <w:spacing w:line="500" w:lineRule="exact"/>
        <w:ind w:firstLine="480" w:firstLineChars="200"/>
        <w:rPr>
          <w:rFonts w:ascii="宋体" w:hAnsi="宋体"/>
          <w:sz w:val="24"/>
          <w:szCs w:val="24"/>
        </w:rPr>
      </w:pPr>
      <w:r>
        <w:rPr>
          <w:rFonts w:hint="eastAsia" w:ascii="宋体" w:hAnsi="宋体"/>
          <w:sz w:val="24"/>
          <w:szCs w:val="24"/>
        </w:rPr>
        <w:t>6.市政道路维修养护要求：</w:t>
      </w:r>
    </w:p>
    <w:p>
      <w:pPr>
        <w:pStyle w:val="83"/>
        <w:spacing w:line="500" w:lineRule="exact"/>
        <w:ind w:firstLine="480" w:firstLineChars="200"/>
        <w:rPr>
          <w:rFonts w:ascii="宋体" w:hAnsi="宋体"/>
          <w:sz w:val="24"/>
          <w:szCs w:val="24"/>
        </w:rPr>
      </w:pPr>
      <w:r>
        <w:rPr>
          <w:rFonts w:hint="eastAsia" w:ascii="宋体" w:hAnsi="宋体"/>
          <w:sz w:val="24"/>
          <w:szCs w:val="24"/>
        </w:rPr>
        <w:t>道路维修养护班组应具备健全的日常养护制度、管理制度、应急处理制度及自查自检制度。乙方提供的市政道路及设施日常养护维修服务包括管养区域检查井盖、雨篦丢失损坏的更换、道路破损修复、人行道块料面层、道牙修复更换、树池、防撞水泥墩、反光柱、护栏修复更换等。乙方必须提供维修养护所需的全部材料及设备，并按相关要求进行养护维修作业。</w:t>
      </w:r>
    </w:p>
    <w:p>
      <w:pPr>
        <w:pStyle w:val="83"/>
        <w:spacing w:line="500" w:lineRule="exact"/>
        <w:ind w:firstLine="480" w:firstLineChars="200"/>
        <w:rPr>
          <w:rFonts w:ascii="宋体" w:hAnsi="宋体"/>
          <w:sz w:val="24"/>
          <w:szCs w:val="24"/>
        </w:rPr>
      </w:pPr>
      <w:r>
        <w:rPr>
          <w:rFonts w:hint="eastAsia" w:ascii="宋体" w:hAnsi="宋体"/>
          <w:sz w:val="24"/>
          <w:szCs w:val="24"/>
        </w:rPr>
        <w:t>路面养护应严格以“预防为主、防治结合”作为作业方针。认真负责并高效地采用热再生养护设备，运用热再生技术对养护路段上的沥青路面病害进行养护和维修。路面病害包括：坑槽、翻浆、沉陷、拥包、松散、龟裂、车辙、脱皮、啃皮、泛油、网裂、波浪等。要求通过养护达到排除道路病害、路面及配套设施平顺完整，确保道路安全畅通。道路基层稳定、面层表面平整、无坑洞、排水畅通，维修外观规则、美观。</w:t>
      </w:r>
    </w:p>
    <w:p>
      <w:pPr>
        <w:pStyle w:val="83"/>
        <w:spacing w:line="500" w:lineRule="exact"/>
        <w:ind w:firstLine="480" w:firstLineChars="200"/>
        <w:rPr>
          <w:rFonts w:ascii="宋体" w:hAnsi="宋体"/>
          <w:sz w:val="24"/>
          <w:szCs w:val="24"/>
        </w:rPr>
      </w:pPr>
      <w:r>
        <w:rPr>
          <w:rFonts w:hint="eastAsia" w:ascii="宋体" w:hAnsi="宋体"/>
          <w:sz w:val="24"/>
          <w:szCs w:val="24"/>
        </w:rPr>
        <w:t>要保证雨水口、管道等排水设施排水通畅、无渗漏现象，阀门运行性能安全良好，检查井、雨水口框盖完好无缺失，与路面衔接平顺；涵洞安全、完好、整洁、无淤堵。道路其它各类设施遵循“保障安全、提供服务、利于管理”的原则，保持完整、齐全、平顺整齐和良好的工作状态，各种设施应加强养护，及时维修和更换损坏部件。</w:t>
      </w:r>
    </w:p>
    <w:p>
      <w:pPr>
        <w:pStyle w:val="83"/>
        <w:spacing w:line="500" w:lineRule="exact"/>
        <w:ind w:firstLine="480" w:firstLineChars="200"/>
        <w:rPr>
          <w:rFonts w:ascii="宋体" w:hAnsi="宋体"/>
          <w:sz w:val="24"/>
          <w:szCs w:val="24"/>
        </w:rPr>
      </w:pPr>
      <w:r>
        <w:rPr>
          <w:rFonts w:hint="eastAsia" w:ascii="宋体" w:hAnsi="宋体"/>
          <w:sz w:val="24"/>
          <w:szCs w:val="24"/>
        </w:rPr>
        <w:t>为保证维修质量，巡查人员须对维修前、维修中以及维修后的现场情况包含近景和远景分别进行拍照留档，相机必须采用自带位置及时间水印信息功能的相机，乙方每月须向甲方提供编制成册的档案资料和照片等佐证资料。日常巡查若发现问题，必须以部件设施损坏通知单形式上报给甲方代表核实，养护维修的施工面积由双方根据施工工艺，针对具体情况共同确定并出具修复更换指令，最终结算以甲方出具的修复更换指令和现场收方验收数量为准。具体流程：乙方巡查发现问题→向甲方反馈部件设施损坏通知单(含施工地点、修复意见、施工方案、工程数量以及预算金额) →甲方现场核实修改并出具维修更换指令→乙方施工修复→收方验收按月结算→质保期→支付质保金。</w:t>
      </w:r>
    </w:p>
    <w:p>
      <w:pPr>
        <w:pStyle w:val="83"/>
        <w:spacing w:line="500" w:lineRule="exact"/>
        <w:ind w:firstLine="480" w:firstLineChars="200"/>
        <w:rPr>
          <w:rFonts w:ascii="宋体" w:hAnsi="宋体"/>
          <w:sz w:val="24"/>
          <w:szCs w:val="24"/>
        </w:rPr>
      </w:pPr>
      <w:r>
        <w:rPr>
          <w:rFonts w:hint="eastAsia" w:ascii="宋体" w:hAnsi="宋体"/>
          <w:sz w:val="24"/>
          <w:szCs w:val="24"/>
        </w:rPr>
        <w:t>节假日应安排足额人员值班，并上报值班表，所有备案登记人员须保持24小时手机畅通，确保有维护维修、抢修任务时及时到位。</w:t>
      </w:r>
    </w:p>
    <w:p>
      <w:pPr>
        <w:pStyle w:val="83"/>
        <w:spacing w:line="500" w:lineRule="exact"/>
        <w:ind w:firstLine="480" w:firstLineChars="200"/>
        <w:rPr>
          <w:rFonts w:ascii="宋体" w:hAnsi="宋体"/>
          <w:sz w:val="24"/>
          <w:szCs w:val="24"/>
        </w:rPr>
      </w:pPr>
      <w:r>
        <w:rPr>
          <w:rFonts w:hint="eastAsia" w:ascii="宋体" w:hAnsi="宋体"/>
          <w:sz w:val="24"/>
          <w:szCs w:val="24"/>
        </w:rPr>
        <w:t>7.雨污管道检测维护要求：</w:t>
      </w:r>
    </w:p>
    <w:p>
      <w:pPr>
        <w:pStyle w:val="83"/>
        <w:spacing w:line="500" w:lineRule="exact"/>
        <w:ind w:firstLine="480" w:firstLineChars="200"/>
        <w:rPr>
          <w:rFonts w:ascii="宋体" w:hAnsi="宋体"/>
          <w:sz w:val="24"/>
          <w:szCs w:val="24"/>
        </w:rPr>
      </w:pPr>
      <w:r>
        <w:rPr>
          <w:rFonts w:hint="eastAsia" w:ascii="宋体" w:hAnsi="宋体"/>
          <w:sz w:val="24"/>
          <w:szCs w:val="24"/>
        </w:rPr>
        <w:t>日常巡查：应检查各个井圈井盖是否有损坏破损、检查各个检查井是否有渗漏、淤堵问题，是否有企业非法接管偷排情况、检查各个给水管道阀门是否漏水损坏。根据甲方需求要对各个企业排放雨污水流量进行监测统计，并对排放雨污水进行取样送检至甲方指定第三方检测单位。</w:t>
      </w:r>
    </w:p>
    <w:p>
      <w:pPr>
        <w:pStyle w:val="83"/>
        <w:spacing w:line="500" w:lineRule="exact"/>
        <w:ind w:firstLine="480" w:firstLineChars="200"/>
        <w:rPr>
          <w:rFonts w:ascii="宋体" w:hAnsi="宋体"/>
          <w:sz w:val="24"/>
          <w:szCs w:val="24"/>
        </w:rPr>
      </w:pPr>
      <w:r>
        <w:rPr>
          <w:rFonts w:hint="eastAsia" w:ascii="宋体" w:hAnsi="宋体"/>
          <w:sz w:val="24"/>
          <w:szCs w:val="24"/>
        </w:rPr>
        <w:t>管道内窥CCTV检测：应确保每年度一次对所有雨污管道采用机器人高清成像设备、管道闭路电视检测系统进行管道内窥检测，并出具完整的管道内窥检测报告。要求对管道流速流量进行检查统计，并对管身以及接缝的质量进行检测，确定管道的破裂、腐蚀以及渗漏、淤堵位置以及程度，并形成高清影像资料。如有特殊情况，甲方要求增加次数时乙方应无条件配合。</w:t>
      </w:r>
    </w:p>
    <w:p>
      <w:pPr>
        <w:pStyle w:val="83"/>
        <w:spacing w:line="500" w:lineRule="exact"/>
        <w:ind w:firstLine="480" w:firstLineChars="200"/>
        <w:rPr>
          <w:rFonts w:ascii="宋体" w:hAnsi="宋体"/>
          <w:sz w:val="24"/>
          <w:szCs w:val="24"/>
        </w:rPr>
      </w:pPr>
      <w:r>
        <w:rPr>
          <w:rFonts w:hint="eastAsia" w:ascii="宋体" w:hAnsi="宋体"/>
          <w:sz w:val="24"/>
          <w:szCs w:val="24"/>
        </w:rPr>
        <w:t>修复养护时要对破损缺陷井框井盖及时更换，各种检查井、雨水口的井圈基础有松散破坏的要及时进行加固养护至设计强度，未达到设计强度是应进行必要的围挡以及警示标志；对存在渗漏的管道、检查井以及非法私接管道进行封堵防漏处理；对淤堵管道、检查井及时进行清淤疏通清洗处理。</w:t>
      </w:r>
    </w:p>
    <w:p>
      <w:pPr>
        <w:pStyle w:val="83"/>
        <w:spacing w:line="500" w:lineRule="exact"/>
        <w:ind w:firstLine="480" w:firstLineChars="200"/>
        <w:rPr>
          <w:rFonts w:ascii="宋体" w:hAnsi="宋体"/>
          <w:sz w:val="24"/>
          <w:szCs w:val="24"/>
        </w:rPr>
      </w:pPr>
      <w:r>
        <w:rPr>
          <w:rFonts w:hint="eastAsia" w:ascii="宋体" w:hAnsi="宋体"/>
          <w:sz w:val="24"/>
          <w:szCs w:val="24"/>
        </w:rPr>
        <w:t>8.防汛要求：</w:t>
      </w:r>
    </w:p>
    <w:p>
      <w:pPr>
        <w:pStyle w:val="83"/>
        <w:spacing w:line="500" w:lineRule="exact"/>
        <w:ind w:firstLine="480" w:firstLineChars="200"/>
        <w:rPr>
          <w:rFonts w:ascii="宋体" w:hAnsi="宋体"/>
          <w:sz w:val="24"/>
          <w:szCs w:val="24"/>
        </w:rPr>
      </w:pPr>
      <w:r>
        <w:rPr>
          <w:rFonts w:hint="eastAsia" w:ascii="宋体" w:hAnsi="宋体"/>
          <w:sz w:val="24"/>
          <w:szCs w:val="24"/>
        </w:rPr>
        <w:t>汛前准备工作：⑴建立健全防汛指挥系统和防汛抢险队伍；⑵防汛物资准备齐全；⑶制定完善的防汛预案；⑷进行汛前检查。</w:t>
      </w:r>
    </w:p>
    <w:p>
      <w:pPr>
        <w:pStyle w:val="83"/>
        <w:spacing w:line="500" w:lineRule="exact"/>
        <w:ind w:firstLine="480" w:firstLineChars="200"/>
        <w:rPr>
          <w:rFonts w:ascii="宋体" w:hAnsi="宋体"/>
          <w:sz w:val="24"/>
          <w:szCs w:val="24"/>
        </w:rPr>
      </w:pPr>
      <w:r>
        <w:rPr>
          <w:rFonts w:hint="eastAsia" w:ascii="宋体" w:hAnsi="宋体"/>
          <w:sz w:val="24"/>
          <w:szCs w:val="24"/>
        </w:rPr>
        <w:t>汛期工作：⑴开展天气、水情预报,进行工程检查,及时掌握河道情况及河流水位、水情、工情,分析预估可能发生的情况,进行防洪调度,和研究采取相应的对策；⑵开展巡查工作，每日按时巡查相关市政道路情况及河道的水位情况，做好记录；防汛严重状态时,要增加巡护人员,严加防守；⑶如遇到紧急防汛情况，第一时间上报相关部门；⑷汛期所有市政道路排水管网，要保证通畅，做好清淤工作；⑸相关市政道路易积水点，要加强抽排工作；⑹汛期过后做好全面总结工作。</w:t>
      </w:r>
    </w:p>
    <w:p>
      <w:pPr>
        <w:pStyle w:val="83"/>
        <w:spacing w:line="500" w:lineRule="exact"/>
        <w:ind w:firstLine="480" w:firstLineChars="200"/>
        <w:rPr>
          <w:rFonts w:ascii="宋体" w:hAnsi="宋体"/>
          <w:sz w:val="24"/>
          <w:szCs w:val="24"/>
        </w:rPr>
      </w:pPr>
      <w:r>
        <w:rPr>
          <w:rFonts w:hint="eastAsia" w:ascii="宋体" w:hAnsi="宋体"/>
          <w:sz w:val="24"/>
          <w:szCs w:val="24"/>
        </w:rPr>
        <w:t>9.安全文明施工要求：</w:t>
      </w:r>
    </w:p>
    <w:p>
      <w:pPr>
        <w:pStyle w:val="83"/>
        <w:spacing w:line="500" w:lineRule="exact"/>
        <w:ind w:firstLine="480" w:firstLineChars="200"/>
        <w:rPr>
          <w:rFonts w:ascii="宋体" w:hAnsi="宋体"/>
          <w:sz w:val="24"/>
          <w:szCs w:val="24"/>
        </w:rPr>
      </w:pPr>
      <w:r>
        <w:rPr>
          <w:rFonts w:hint="eastAsia" w:ascii="宋体" w:hAnsi="宋体"/>
          <w:sz w:val="24"/>
          <w:szCs w:val="24"/>
        </w:rPr>
        <w:t>必须作好施工现场组织管理、文明施工，维护现场秩序，做到工完场清、道路畅通。施工现场统一用镂空围栏（高度2.0M）进行围挡作业，对短时间内或小面积（1M²以下）维修可用水马、安全锥、彩色旗等安全防护标志，并设有市政设施抢修施工告示牌，严禁用土头垃圾堆做防护。养护维修过程中当天产生的土堆、废渣、垃圾等应在当天维修结束后清理完毕，做到工完料尽场地清。建筑垃圾不得随意倾倒，由乙方自行联系运至草堂科技产业园以外的建筑垃圾堆放场所并承担相应的费用。夜间应尽量减少噪音对周边居民以及企业的影响。</w:t>
      </w:r>
    </w:p>
    <w:p>
      <w:pPr>
        <w:pStyle w:val="83"/>
        <w:spacing w:line="500" w:lineRule="exact"/>
        <w:ind w:firstLine="480" w:firstLineChars="200"/>
        <w:rPr>
          <w:rFonts w:ascii="宋体" w:hAnsi="宋体"/>
          <w:sz w:val="24"/>
          <w:szCs w:val="24"/>
        </w:rPr>
      </w:pPr>
      <w:r>
        <w:rPr>
          <w:rFonts w:hint="eastAsia" w:ascii="宋体" w:hAnsi="宋体"/>
          <w:sz w:val="24"/>
          <w:szCs w:val="24"/>
        </w:rPr>
        <w:t>乙方应对己方施工人员人身及财产安全负责，对己方人员和机械设备购买保险及相应的劳保用具。人员作业时必须穿着印制有“市政维护”标识字样的橘色醒目统一制服，并根据实际情况穿戴反光服、耐高温防护鞋、安全帽等安全防护用品。巡查及养护人员均应严格按照相关技术规范进行施工，做到安全施工且不影响交通。</w:t>
      </w:r>
    </w:p>
    <w:p>
      <w:pPr>
        <w:pStyle w:val="83"/>
        <w:spacing w:line="500" w:lineRule="exact"/>
        <w:ind w:firstLine="480" w:firstLineChars="200"/>
        <w:rPr>
          <w:rFonts w:ascii="宋体" w:hAnsi="宋体"/>
          <w:sz w:val="24"/>
          <w:szCs w:val="24"/>
        </w:rPr>
      </w:pPr>
      <w:r>
        <w:rPr>
          <w:rFonts w:hint="eastAsia" w:ascii="宋体" w:hAnsi="宋体"/>
          <w:sz w:val="24"/>
          <w:szCs w:val="24"/>
        </w:rPr>
        <w:t>10.验收及质保要求：</w:t>
      </w:r>
    </w:p>
    <w:p>
      <w:pPr>
        <w:pStyle w:val="83"/>
        <w:spacing w:line="500" w:lineRule="exact"/>
        <w:ind w:firstLine="480" w:firstLineChars="200"/>
        <w:rPr>
          <w:rFonts w:ascii="宋体" w:hAnsi="宋体"/>
          <w:sz w:val="24"/>
          <w:szCs w:val="24"/>
        </w:rPr>
      </w:pPr>
      <w:r>
        <w:rPr>
          <w:rFonts w:hint="eastAsia" w:ascii="宋体" w:hAnsi="宋体"/>
          <w:sz w:val="24"/>
          <w:szCs w:val="24"/>
        </w:rPr>
        <w:t>甲方将对养护过程中的日常巡查、施工现场管理、安全文明施工、质量控制、工程量验收等实行全面监督检查，并作为考核依据核拨计量款。乙方应按照《城镇道路养护技术规范》等规范要求施工，随时接受甲方的检查，为检查提供便利条件。如施工与规范要求不相符处，须按甲方要求返工修改，并承担因自身原因导致返工、修改的费用。对于隐蔽工程，待工程具备覆盖、掩盖条件，并经自检合格后通知甲方参与验收，甲方接到通知后组织人员验收，验收合格并在验收记录上签字方可进行隐蔽和继续施工。</w:t>
      </w:r>
    </w:p>
    <w:p>
      <w:pPr>
        <w:pStyle w:val="83"/>
        <w:spacing w:line="500" w:lineRule="exact"/>
        <w:ind w:firstLine="480" w:firstLineChars="200"/>
        <w:rPr>
          <w:rFonts w:ascii="宋体" w:hAnsi="宋体"/>
          <w:sz w:val="24"/>
          <w:szCs w:val="24"/>
        </w:rPr>
      </w:pPr>
      <w:r>
        <w:rPr>
          <w:rFonts w:hint="eastAsia" w:ascii="宋体" w:hAnsi="宋体"/>
          <w:sz w:val="24"/>
          <w:szCs w:val="24"/>
        </w:rPr>
        <w:t>道路及设施维护工程所需材料、设备到达现场前，乙方应提交设备材料清单。道路维护工程具备验收条件，乙方按国家有关规定，向甲方提供完整资料和验收报告。对甲方提出的修改意见，乙方必须按要求修改，并承担由自身原因造成修改的费用。工程验收，以国家颁发的最新的验收规范、检验标准，按双方签字认可的为准，对有关硬件、设备、材料按相关的国标、行业标准和产品说明书为准。</w:t>
      </w:r>
    </w:p>
    <w:p>
      <w:pPr>
        <w:pStyle w:val="83"/>
        <w:spacing w:line="500" w:lineRule="exact"/>
        <w:ind w:firstLine="480" w:firstLineChars="200"/>
        <w:rPr>
          <w:rFonts w:ascii="宋体" w:hAnsi="宋体"/>
          <w:sz w:val="24"/>
          <w:szCs w:val="24"/>
        </w:rPr>
      </w:pPr>
      <w:r>
        <w:rPr>
          <w:rFonts w:hint="eastAsia" w:ascii="宋体" w:hAnsi="宋体"/>
          <w:sz w:val="24"/>
          <w:szCs w:val="24"/>
        </w:rPr>
        <w:t>修补更换的工程缺陷责任期为1年，缺陷责任期自工程交付使用之日起计算。缺陷责任期内，中标供应商应对其施工自身导致的质量缺陷承担修复责任。由于乙方施工质量而引起的损害（因非修补层结构损坏、交通事故、火灾、不可抗力因素除外）应无偿补修，并承担由此产生的费用。</w:t>
      </w:r>
    </w:p>
    <w:p>
      <w:pPr>
        <w:pStyle w:val="83"/>
        <w:spacing w:line="500" w:lineRule="exact"/>
        <w:outlineLvl w:val="1"/>
        <w:rPr>
          <w:rFonts w:ascii="宋体" w:hAnsi="宋体"/>
          <w:b/>
          <w:bCs/>
          <w:sz w:val="24"/>
          <w:szCs w:val="24"/>
        </w:rPr>
      </w:pPr>
      <w:bookmarkStart w:id="141" w:name="_Toc18915"/>
      <w:bookmarkStart w:id="142" w:name="_Toc8927"/>
      <w:r>
        <w:rPr>
          <w:rFonts w:hint="eastAsia" w:ascii="宋体" w:hAnsi="宋体"/>
          <w:b/>
          <w:bCs/>
          <w:sz w:val="24"/>
          <w:szCs w:val="24"/>
        </w:rPr>
        <w:t>六、执行规范及标准</w:t>
      </w:r>
      <w:bookmarkEnd w:id="141"/>
      <w:bookmarkEnd w:id="142"/>
    </w:p>
    <w:p>
      <w:pPr>
        <w:pStyle w:val="83"/>
        <w:spacing w:line="500" w:lineRule="exact"/>
        <w:ind w:firstLine="480" w:firstLineChars="200"/>
        <w:rPr>
          <w:rFonts w:ascii="宋体" w:hAnsi="宋体"/>
          <w:sz w:val="24"/>
          <w:szCs w:val="24"/>
        </w:rPr>
      </w:pPr>
      <w:r>
        <w:rPr>
          <w:rFonts w:hint="eastAsia" w:ascii="宋体" w:hAnsi="宋体"/>
          <w:sz w:val="24"/>
          <w:szCs w:val="24"/>
        </w:rPr>
        <w:t>应符合现行国家、行业、省、市等相关技术标准及规范，包括但不仅限于下列规范：</w:t>
      </w:r>
    </w:p>
    <w:p>
      <w:pPr>
        <w:pStyle w:val="83"/>
        <w:spacing w:line="500" w:lineRule="exact"/>
        <w:ind w:firstLine="480" w:firstLineChars="200"/>
        <w:rPr>
          <w:rFonts w:ascii="宋体" w:hAnsi="宋体"/>
          <w:sz w:val="24"/>
          <w:szCs w:val="24"/>
        </w:rPr>
      </w:pPr>
      <w:r>
        <w:rPr>
          <w:rFonts w:hint="eastAsia" w:ascii="宋体" w:hAnsi="宋体"/>
          <w:sz w:val="24"/>
          <w:szCs w:val="24"/>
        </w:rPr>
        <w:t>《城镇道路养护技术规范》CJJ36-2016</w:t>
      </w:r>
    </w:p>
    <w:p>
      <w:pPr>
        <w:pStyle w:val="83"/>
        <w:spacing w:line="500" w:lineRule="exact"/>
        <w:ind w:firstLine="480" w:firstLineChars="200"/>
        <w:rPr>
          <w:rFonts w:ascii="宋体" w:hAnsi="宋体"/>
          <w:sz w:val="24"/>
          <w:szCs w:val="24"/>
        </w:rPr>
      </w:pPr>
      <w:r>
        <w:rPr>
          <w:rFonts w:hint="eastAsia" w:ascii="宋体" w:hAnsi="宋体"/>
          <w:sz w:val="24"/>
          <w:szCs w:val="24"/>
        </w:rPr>
        <w:t>《公路沥青路面养护技术规范》JTG 5142-2019</w:t>
      </w:r>
    </w:p>
    <w:p>
      <w:pPr>
        <w:pStyle w:val="83"/>
        <w:spacing w:line="500" w:lineRule="exact"/>
        <w:ind w:firstLine="480" w:firstLineChars="200"/>
        <w:rPr>
          <w:rFonts w:ascii="宋体" w:hAnsi="宋体"/>
          <w:sz w:val="24"/>
          <w:szCs w:val="24"/>
        </w:rPr>
      </w:pPr>
      <w:r>
        <w:rPr>
          <w:rFonts w:hint="eastAsia" w:ascii="宋体" w:hAnsi="宋体"/>
          <w:sz w:val="24"/>
          <w:szCs w:val="24"/>
        </w:rPr>
        <w:t>《道路施工安全设施设置示例》GB5768-2009</w:t>
      </w:r>
    </w:p>
    <w:p>
      <w:pPr>
        <w:pStyle w:val="83"/>
        <w:spacing w:line="500" w:lineRule="exact"/>
        <w:ind w:firstLine="480" w:firstLineChars="200"/>
        <w:rPr>
          <w:rFonts w:ascii="宋体" w:hAnsi="宋体"/>
          <w:sz w:val="24"/>
          <w:szCs w:val="24"/>
        </w:rPr>
      </w:pPr>
      <w:r>
        <w:rPr>
          <w:rFonts w:hint="eastAsia" w:ascii="宋体" w:hAnsi="宋体"/>
          <w:sz w:val="24"/>
          <w:szCs w:val="24"/>
        </w:rPr>
        <w:t xml:space="preserve">《城市道路养护作业安全设施设置技术规程》DBJ/T13-149-2012  </w:t>
      </w:r>
    </w:p>
    <w:p>
      <w:pPr>
        <w:pStyle w:val="83"/>
        <w:numPr>
          <w:ilvl w:val="0"/>
          <w:numId w:val="3"/>
        </w:numPr>
        <w:spacing w:line="500" w:lineRule="exact"/>
        <w:ind w:firstLine="470" w:firstLineChars="200"/>
        <w:outlineLvl w:val="1"/>
        <w:rPr>
          <w:rFonts w:ascii="宋体" w:hAnsi="宋体"/>
          <w:b/>
          <w:spacing w:val="-3"/>
          <w:sz w:val="24"/>
          <w:szCs w:val="24"/>
        </w:rPr>
      </w:pPr>
      <w:bookmarkStart w:id="143" w:name="_Toc4894"/>
      <w:bookmarkStart w:id="144" w:name="_Toc16587"/>
      <w:r>
        <w:rPr>
          <w:rFonts w:hint="eastAsia" w:ascii="宋体" w:hAnsi="宋体"/>
          <w:b/>
          <w:spacing w:val="-3"/>
          <w:sz w:val="24"/>
          <w:szCs w:val="24"/>
        </w:rPr>
        <w:t>清单</w:t>
      </w:r>
      <w:bookmarkEnd w:id="143"/>
      <w:bookmarkEnd w:id="144"/>
    </w:p>
    <w:tbl>
      <w:tblPr>
        <w:tblStyle w:val="40"/>
        <w:tblW w:w="8470" w:type="dxa"/>
        <w:tblInd w:w="96" w:type="dxa"/>
        <w:tblLayout w:type="fixed"/>
        <w:tblCellMar>
          <w:top w:w="0" w:type="dxa"/>
          <w:left w:w="108" w:type="dxa"/>
          <w:bottom w:w="0" w:type="dxa"/>
          <w:right w:w="108" w:type="dxa"/>
        </w:tblCellMar>
      </w:tblPr>
      <w:tblGrid>
        <w:gridCol w:w="516"/>
        <w:gridCol w:w="3396"/>
        <w:gridCol w:w="766"/>
        <w:gridCol w:w="1752"/>
        <w:gridCol w:w="1080"/>
        <w:gridCol w:w="960"/>
      </w:tblGrid>
      <w:tr>
        <w:tblPrEx>
          <w:tblCellMar>
            <w:top w:w="0" w:type="dxa"/>
            <w:left w:w="108" w:type="dxa"/>
            <w:bottom w:w="0" w:type="dxa"/>
            <w:right w:w="108" w:type="dxa"/>
          </w:tblCellMar>
        </w:tblPrEx>
        <w:trPr>
          <w:trHeight w:val="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计量单位</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val="en-US" w:eastAsia="zh-CN" w:bidi="ar"/>
              </w:rPr>
              <w:t>全费用</w:t>
            </w:r>
            <w:r>
              <w:rPr>
                <w:rFonts w:hint="eastAsia" w:ascii="黑体" w:hAnsi="宋体" w:eastAsia="黑体" w:cs="黑体"/>
                <w:color w:val="000000"/>
                <w:kern w:val="0"/>
                <w:sz w:val="20"/>
                <w:szCs w:val="20"/>
                <w:lang w:bidi="ar"/>
              </w:rPr>
              <w:t>综合单价</w:t>
            </w:r>
            <w:r>
              <w:rPr>
                <w:rFonts w:hint="eastAsia" w:ascii="黑体" w:hAnsi="宋体" w:eastAsia="黑体" w:cs="黑体"/>
                <w:color w:val="000000"/>
                <w:kern w:val="0"/>
                <w:sz w:val="20"/>
                <w:szCs w:val="20"/>
                <w:lang w:val="en-US" w:eastAsia="zh-CN" w:bidi="ar"/>
              </w:rPr>
              <w:t>最高限价</w:t>
            </w:r>
            <w:r>
              <w:rPr>
                <w:rFonts w:hint="eastAsia" w:ascii="黑体" w:hAnsi="宋体" w:eastAsia="黑体" w:cs="黑体"/>
                <w:color w:val="000000"/>
                <w:kern w:val="0"/>
                <w:sz w:val="20"/>
                <w:szCs w:val="20"/>
                <w:lang w:bidi="ar"/>
              </w:rPr>
              <w:t xml:space="preserve"> (元)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月估数量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市政道路巡视检查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km/次</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12465</w:t>
            </w:r>
          </w:p>
        </w:tc>
        <w:tc>
          <w:tcPr>
            <w:tcW w:w="960" w:type="dxa"/>
            <w:vMerge w:val="restart"/>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rFonts w:ascii="黑体" w:hAnsi="宋体" w:eastAsia="黑体" w:cs="黑体"/>
                <w:color w:val="000000"/>
                <w:sz w:val="20"/>
                <w:szCs w:val="20"/>
              </w:rPr>
            </w:pP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表中工程数量为暂估月工程量，月结算工程量依据实际发生情况据实结算。</w:t>
            </w: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给排水管网巡视检查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km/次</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2853</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防汛巡视检查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km/次</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4cm厚细粒式(AC-13)SBS改性沥青砼上面层修复(含拆除清运)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5cm厚细粒式(AC-13)SBS改性沥青砼上面层修复(含拆除清运)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8cm厚中粒式(AC-20)沥青砼下面层修复(含拆除清运)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30cm厚C30砼路面面层</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20cm厚二灰碎石基层(重量比8:17:75)(含拆除清运)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20cm厚石灰土底基层(石灰掺量10%)(含拆除清运)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6cm厚C30砼人行道透水砖更换(含拆除清运)(30×15×6cm)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C35砼乙式路缘石更换(含拆除清运)(立道牙，长79×35×13.3cm)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C35砼平石路缘石更换(含拆除清运)(平石，长39×50×10cm)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花岗岩F式路缘石更换(含拆除清运)(石材道牙，长49×20×18cm)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247.08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花岗岩树池围石更换(含拆除清运)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车止石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可调式重型铸铁井盖更换(D=70cm)(含拆除清运)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96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铸铁雨水篦子更换(75×45cm)(含拆除清运)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计日工（普工）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工日</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计日工（1m3挖机）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1716.98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计日工（25t吊车）</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1599.58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计日工（10kw汽油发电机）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448.16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计日工（4寸7.5kw污水泵）</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计日工（D=70cm、1kw排气扇）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人工土方开挖</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垃圾外运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吸污车处理化粪池</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消火栓更换修复SS100/65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2658.77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管道漏点修复(哈夫节)球墨铸铁，规格：DN200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阀门更换修复球墨铸铁，规格：DN200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水表更换修复DN200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双壁波纹管道安装DN300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219.46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6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热熔标线</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60"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标志牌</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3163.11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9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bl>
    <w:p>
      <w:pPr>
        <w:pStyle w:val="2"/>
      </w:pPr>
    </w:p>
    <w:p>
      <w:r>
        <w:rPr>
          <w:rFonts w:hint="eastAsia"/>
          <w:b/>
          <w:bCs/>
          <w:lang w:val="en-US" w:eastAsia="zh-CN"/>
        </w:rPr>
        <w:t>注：</w:t>
      </w:r>
      <w:r>
        <w:rPr>
          <w:rFonts w:hint="eastAsia"/>
          <w:b/>
          <w:bCs/>
        </w:rPr>
        <w:t>此清单为全费用综合单价 ，</w:t>
      </w:r>
      <w:r>
        <w:rPr>
          <w:rFonts w:hint="eastAsia"/>
          <w:b/>
          <w:bCs/>
          <w:lang w:val="en-US" w:eastAsia="zh-CN"/>
        </w:rPr>
        <w:t>投标</w:t>
      </w:r>
      <w:r>
        <w:rPr>
          <w:rFonts w:hint="eastAsia"/>
          <w:b/>
          <w:bCs/>
        </w:rPr>
        <w:t>报价时均要低于</w:t>
      </w:r>
      <w:r>
        <w:rPr>
          <w:rFonts w:hint="eastAsia" w:ascii="黑体" w:hAnsi="宋体" w:eastAsia="黑体" w:cs="黑体"/>
          <w:color w:val="000000"/>
          <w:kern w:val="0"/>
          <w:sz w:val="20"/>
          <w:szCs w:val="20"/>
          <w:lang w:val="en-US" w:eastAsia="zh-CN" w:bidi="ar"/>
        </w:rPr>
        <w:t>全费用</w:t>
      </w:r>
      <w:r>
        <w:rPr>
          <w:rFonts w:hint="eastAsia" w:ascii="黑体" w:hAnsi="宋体" w:eastAsia="黑体" w:cs="黑体"/>
          <w:color w:val="000000"/>
          <w:kern w:val="0"/>
          <w:sz w:val="20"/>
          <w:szCs w:val="20"/>
          <w:lang w:bidi="ar"/>
        </w:rPr>
        <w:t>综合单价</w:t>
      </w:r>
      <w:r>
        <w:rPr>
          <w:rFonts w:hint="eastAsia" w:ascii="黑体" w:hAnsi="宋体" w:eastAsia="黑体" w:cs="黑体"/>
          <w:color w:val="000000"/>
          <w:kern w:val="0"/>
          <w:sz w:val="20"/>
          <w:szCs w:val="20"/>
          <w:lang w:val="en-US" w:eastAsia="zh-CN" w:bidi="ar"/>
        </w:rPr>
        <w:t>最高限价</w:t>
      </w:r>
      <w:r>
        <w:rPr>
          <w:rFonts w:hint="eastAsia" w:ascii="黑体" w:hAnsi="宋体" w:eastAsia="黑体" w:cs="黑体"/>
          <w:color w:val="000000"/>
          <w:kern w:val="0"/>
          <w:sz w:val="20"/>
          <w:szCs w:val="20"/>
          <w:lang w:bidi="ar"/>
        </w:rPr>
        <w:t xml:space="preserve"> </w:t>
      </w:r>
      <w:r>
        <w:rPr>
          <w:rFonts w:hint="eastAsia"/>
          <w:b/>
          <w:bCs/>
        </w:rPr>
        <w:t xml:space="preserve"> ，高于或等于最高限价按废标处理。</w:t>
      </w:r>
    </w:p>
    <w:p>
      <w:pPr>
        <w:pStyle w:val="2"/>
      </w:pPr>
    </w:p>
    <w:p>
      <w:pPr>
        <w:pStyle w:val="2"/>
      </w:pPr>
    </w:p>
    <w:p>
      <w:pPr>
        <w:pStyle w:val="2"/>
      </w:pPr>
    </w:p>
    <w:bookmarkEnd w:id="134"/>
    <w:p>
      <w:bookmarkStart w:id="145" w:name="_Toc10691"/>
      <w:bookmarkStart w:id="146" w:name="_Toc111853932"/>
      <w:r>
        <w:rPr>
          <w:rFonts w:hint="eastAsia"/>
        </w:rPr>
        <w:br w:type="page"/>
      </w:r>
    </w:p>
    <w:p>
      <w:pPr>
        <w:pStyle w:val="3"/>
        <w:ind w:firstLine="1767" w:firstLineChars="400"/>
        <w:jc w:val="both"/>
      </w:pPr>
      <w:bookmarkStart w:id="147" w:name="_Toc15716"/>
      <w:r>
        <w:rPr>
          <w:rFonts w:hint="eastAsia"/>
        </w:rPr>
        <w:t>第六章  投标文件格式</w:t>
      </w:r>
      <w:bookmarkEnd w:id="111"/>
      <w:bookmarkEnd w:id="145"/>
      <w:bookmarkEnd w:id="146"/>
      <w:bookmarkEnd w:id="147"/>
    </w:p>
    <w:p>
      <w:pPr>
        <w:spacing w:line="400" w:lineRule="exact"/>
        <w:rPr>
          <w:rFonts w:ascii="仿宋_GB2312" w:eastAsia="仿宋_GB2312"/>
          <w:b/>
          <w:sz w:val="32"/>
          <w:szCs w:val="32"/>
        </w:rPr>
      </w:pPr>
    </w:p>
    <w:p>
      <w:pPr>
        <w:spacing w:line="400" w:lineRule="exact"/>
        <w:ind w:firstLine="570"/>
        <w:rPr>
          <w:rFonts w:ascii="仿宋_GB2312" w:hAnsi="宋体" w:eastAsia="仿宋_GB2312"/>
          <w:sz w:val="28"/>
          <w:szCs w:val="28"/>
        </w:rPr>
      </w:pPr>
    </w:p>
    <w:p>
      <w:pPr>
        <w:pStyle w:val="83"/>
        <w:ind w:firstLine="6720" w:firstLineChars="2100"/>
        <w:rPr>
          <w:rFonts w:ascii="宋体" w:hAnsi="宋体"/>
          <w:b/>
          <w:sz w:val="52"/>
          <w:szCs w:val="52"/>
        </w:rPr>
      </w:pPr>
      <w:bookmarkStart w:id="148" w:name="_Toc217446082"/>
      <w:r>
        <w:rPr>
          <w:rFonts w:hint="eastAsia"/>
          <w:sz w:val="32"/>
          <w:szCs w:val="32"/>
        </w:rPr>
        <w:t>正本/副本</w:t>
      </w:r>
    </w:p>
    <w:p>
      <w:pPr>
        <w:pStyle w:val="2"/>
        <w:jc w:val="center"/>
        <w:rPr>
          <w:rFonts w:hint="eastAsia" w:ascii="宋体" w:hAnsi="宋体" w:cs="宋体"/>
          <w:b/>
          <w:bCs/>
          <w:sz w:val="44"/>
          <w:szCs w:val="44"/>
        </w:rPr>
      </w:pPr>
      <w:bookmarkStart w:id="149" w:name="_Toc11157"/>
    </w:p>
    <w:p>
      <w:pPr>
        <w:pStyle w:val="2"/>
        <w:ind w:left="0" w:leftChars="0" w:firstLine="0" w:firstLineChars="0"/>
        <w:jc w:val="center"/>
        <w:rPr>
          <w:rFonts w:hint="eastAsia" w:eastAsia="宋体"/>
          <w:lang w:eastAsia="zh-CN"/>
        </w:rPr>
      </w:pPr>
      <w:r>
        <w:rPr>
          <w:rFonts w:hint="eastAsia" w:ascii="宋体" w:hAnsi="宋体" w:cs="宋体"/>
          <w:b/>
          <w:bCs/>
          <w:sz w:val="44"/>
          <w:szCs w:val="44"/>
        </w:rPr>
        <w:t>西安高新区草堂科技产业园市政道路、给排水管网养护及园区防汛项目</w:t>
      </w:r>
      <w:bookmarkEnd w:id="149"/>
      <w:r>
        <w:rPr>
          <w:rFonts w:hint="eastAsia" w:ascii="宋体" w:hAnsi="宋体" w:cs="宋体"/>
          <w:b/>
          <w:bCs/>
          <w:sz w:val="44"/>
          <w:szCs w:val="44"/>
          <w:lang w:eastAsia="zh-CN"/>
        </w:rPr>
        <w:t>（</w:t>
      </w:r>
      <w:r>
        <w:rPr>
          <w:rFonts w:hint="eastAsia" w:ascii="宋体" w:hAnsi="宋体" w:cs="宋体"/>
          <w:b/>
          <w:bCs/>
          <w:sz w:val="44"/>
          <w:szCs w:val="44"/>
          <w:lang w:val="en-US" w:eastAsia="zh-CN"/>
        </w:rPr>
        <w:t>二次</w:t>
      </w:r>
      <w:r>
        <w:rPr>
          <w:rFonts w:hint="eastAsia" w:ascii="宋体" w:hAnsi="宋体" w:cs="宋体"/>
          <w:b/>
          <w:bCs/>
          <w:sz w:val="44"/>
          <w:szCs w:val="44"/>
          <w:lang w:eastAsia="zh-CN"/>
        </w:rPr>
        <w:t>）</w:t>
      </w:r>
    </w:p>
    <w:p>
      <w:pPr>
        <w:pStyle w:val="21"/>
        <w:adjustRightInd w:val="0"/>
        <w:snapToGrid w:val="0"/>
        <w:spacing w:before="156" w:beforeLines="50" w:line="360" w:lineRule="auto"/>
        <w:jc w:val="center"/>
        <w:outlineLvl w:val="0"/>
        <w:rPr>
          <w:rFonts w:hint="eastAsia" w:hAnsi="宋体"/>
          <w:b/>
          <w:kern w:val="0"/>
          <w:sz w:val="30"/>
          <w:szCs w:val="30"/>
        </w:rPr>
      </w:pPr>
      <w:r>
        <w:rPr>
          <w:rFonts w:hint="eastAsia" w:hAnsi="宋体"/>
          <w:b/>
          <w:kern w:val="0"/>
          <w:sz w:val="30"/>
          <w:szCs w:val="30"/>
        </w:rPr>
        <w:t>项目编号：DZDL-2022-088.1B1</w:t>
      </w:r>
    </w:p>
    <w:p>
      <w:pPr>
        <w:pStyle w:val="83"/>
        <w:spacing w:line="1600" w:lineRule="exact"/>
        <w:jc w:val="center"/>
        <w:rPr>
          <w:rFonts w:ascii="方正小标宋简体" w:eastAsia="方正小标宋简体"/>
          <w:sz w:val="84"/>
          <w:szCs w:val="84"/>
        </w:rPr>
      </w:pPr>
      <w:r>
        <w:rPr>
          <w:rFonts w:hint="eastAsia"/>
          <w:sz w:val="84"/>
          <w:szCs w:val="84"/>
        </w:rPr>
        <w:t>投标文件</w:t>
      </w:r>
    </w:p>
    <w:p>
      <w:pPr>
        <w:pStyle w:val="2"/>
        <w:ind w:firstLine="0"/>
        <w:jc w:val="center"/>
        <w:rPr>
          <w:b/>
          <w:sz w:val="32"/>
          <w:szCs w:val="32"/>
        </w:rPr>
      </w:pPr>
    </w:p>
    <w:p>
      <w:pPr>
        <w:pStyle w:val="2"/>
        <w:ind w:firstLine="0"/>
        <w:jc w:val="center"/>
        <w:rPr>
          <w:b/>
          <w:sz w:val="32"/>
          <w:szCs w:val="32"/>
        </w:rPr>
      </w:pPr>
    </w:p>
    <w:p>
      <w:pPr>
        <w:pStyle w:val="2"/>
        <w:ind w:firstLine="0"/>
        <w:rPr>
          <w:sz w:val="32"/>
          <w:szCs w:val="32"/>
        </w:rPr>
      </w:pPr>
    </w:p>
    <w:p>
      <w:pPr>
        <w:pStyle w:val="2"/>
        <w:spacing w:before="161" w:beforeLines="50"/>
        <w:ind w:firstLine="0"/>
        <w:rPr>
          <w:rFonts w:ascii="宋体" w:hAnsi="宋体"/>
          <w:b/>
          <w:sz w:val="32"/>
          <w:szCs w:val="32"/>
        </w:rPr>
      </w:pPr>
    </w:p>
    <w:p>
      <w:pPr>
        <w:pStyle w:val="83"/>
        <w:rPr>
          <w:sz w:val="32"/>
          <w:szCs w:val="32"/>
        </w:rPr>
      </w:pPr>
    </w:p>
    <w:p>
      <w:pPr>
        <w:pStyle w:val="83"/>
        <w:ind w:firstLine="640" w:firstLineChars="200"/>
        <w:rPr>
          <w:sz w:val="32"/>
          <w:szCs w:val="32"/>
        </w:rPr>
      </w:pPr>
      <w:bookmarkStart w:id="150" w:name="_Toc26642"/>
      <w:bookmarkStart w:id="151" w:name="_Toc4029"/>
      <w:bookmarkStart w:id="152" w:name="_Toc73217187"/>
      <w:r>
        <w:rPr>
          <w:rFonts w:hint="eastAsia"/>
          <w:sz w:val="32"/>
          <w:szCs w:val="32"/>
        </w:rPr>
        <w:t>投标人：</w:t>
      </w:r>
      <w:r>
        <w:rPr>
          <w:rFonts w:hint="eastAsia"/>
          <w:sz w:val="32"/>
          <w:szCs w:val="32"/>
          <w:u w:val="single"/>
        </w:rPr>
        <w:t xml:space="preserve">                          </w:t>
      </w:r>
      <w:r>
        <w:rPr>
          <w:rFonts w:hint="eastAsia"/>
          <w:sz w:val="32"/>
          <w:szCs w:val="32"/>
        </w:rPr>
        <w:t>（盖单位章）</w:t>
      </w:r>
      <w:bookmarkEnd w:id="150"/>
      <w:bookmarkEnd w:id="151"/>
      <w:bookmarkEnd w:id="152"/>
    </w:p>
    <w:p>
      <w:pPr>
        <w:rPr>
          <w:sz w:val="32"/>
          <w:szCs w:val="32"/>
        </w:rPr>
      </w:pPr>
    </w:p>
    <w:p>
      <w:pPr>
        <w:pStyle w:val="83"/>
        <w:ind w:firstLine="640" w:firstLineChars="200"/>
        <w:rPr>
          <w:sz w:val="32"/>
          <w:szCs w:val="32"/>
        </w:rPr>
      </w:pPr>
      <w:bookmarkStart w:id="153" w:name="_Toc6397"/>
      <w:bookmarkStart w:id="154" w:name="_Toc73217188"/>
      <w:bookmarkStart w:id="155" w:name="_Toc842"/>
      <w:r>
        <w:rPr>
          <w:rFonts w:hint="eastAsia"/>
          <w:sz w:val="32"/>
          <w:szCs w:val="32"/>
        </w:rPr>
        <w:t>法定代表人或其委托代理人：        （签字或盖章）</w:t>
      </w:r>
      <w:bookmarkEnd w:id="153"/>
      <w:bookmarkEnd w:id="154"/>
      <w:bookmarkEnd w:id="155"/>
    </w:p>
    <w:p>
      <w:pPr>
        <w:rPr>
          <w:sz w:val="32"/>
          <w:szCs w:val="32"/>
        </w:rPr>
      </w:pPr>
    </w:p>
    <w:p>
      <w:pPr>
        <w:pStyle w:val="83"/>
        <w:ind w:firstLine="640" w:firstLineChars="200"/>
        <w:rPr>
          <w:sz w:val="32"/>
          <w:szCs w:val="32"/>
        </w:rPr>
      </w:pPr>
      <w:bookmarkStart w:id="156" w:name="_Toc23806"/>
      <w:bookmarkStart w:id="157" w:name="_Toc23920"/>
      <w:bookmarkStart w:id="158" w:name="_Toc73217189"/>
      <w:r>
        <w:rPr>
          <w:rFonts w:hint="eastAsia"/>
          <w:sz w:val="32"/>
          <w:szCs w:val="32"/>
        </w:rPr>
        <w:t>时间：    年  月  日</w:t>
      </w:r>
      <w:bookmarkEnd w:id="156"/>
      <w:bookmarkEnd w:id="157"/>
      <w:bookmarkEnd w:id="158"/>
    </w:p>
    <w:p>
      <w:pPr>
        <w:pStyle w:val="83"/>
        <w:rPr>
          <w:rFonts w:ascii="方正小标宋简体" w:eastAsia="方正小标宋简体"/>
          <w:sz w:val="32"/>
          <w:szCs w:val="32"/>
        </w:rPr>
      </w:pPr>
    </w:p>
    <w:p>
      <w:pPr>
        <w:pStyle w:val="2"/>
        <w:spacing w:before="161" w:beforeLines="50" w:after="161" w:afterLines="50"/>
        <w:ind w:firstLine="0"/>
        <w:jc w:val="center"/>
        <w:rPr>
          <w:rFonts w:ascii="方正小标宋简体" w:eastAsia="方正小标宋简体"/>
          <w:sz w:val="44"/>
          <w:szCs w:val="44"/>
        </w:rPr>
      </w:pPr>
      <w:r>
        <w:rPr>
          <w:rFonts w:hint="eastAsia" w:ascii="方正小标宋简体" w:eastAsia="方正小标宋简体"/>
          <w:sz w:val="44"/>
          <w:szCs w:val="44"/>
        </w:rPr>
        <w:br w:type="page"/>
      </w:r>
      <w:r>
        <w:rPr>
          <w:rFonts w:hint="eastAsia" w:ascii="宋体" w:hAnsi="宋体" w:cs="宋体"/>
          <w:sz w:val="44"/>
          <w:szCs w:val="44"/>
        </w:rPr>
        <w:t>目  录</w:t>
      </w:r>
    </w:p>
    <w:p>
      <w:pPr>
        <w:pStyle w:val="2"/>
        <w:spacing w:before="161" w:beforeLines="50" w:line="360" w:lineRule="auto"/>
        <w:ind w:firstLine="0"/>
        <w:rPr>
          <w:sz w:val="24"/>
          <w:szCs w:val="24"/>
        </w:rPr>
      </w:pPr>
    </w:p>
    <w:p>
      <w:pPr>
        <w:pStyle w:val="2"/>
        <w:spacing w:before="161" w:beforeLines="50" w:line="360" w:lineRule="auto"/>
        <w:ind w:firstLine="0"/>
        <w:rPr>
          <w:sz w:val="24"/>
          <w:szCs w:val="24"/>
        </w:rPr>
      </w:pPr>
    </w:p>
    <w:p>
      <w:pPr>
        <w:pStyle w:val="2"/>
        <w:spacing w:before="161" w:beforeLines="50" w:line="360" w:lineRule="auto"/>
        <w:ind w:firstLine="0"/>
        <w:rPr>
          <w:sz w:val="24"/>
          <w:szCs w:val="24"/>
        </w:rPr>
      </w:pPr>
    </w:p>
    <w:p>
      <w:pPr>
        <w:pStyle w:val="83"/>
        <w:spacing w:before="161" w:beforeLines="50"/>
        <w:rPr>
          <w:sz w:val="24"/>
          <w:szCs w:val="24"/>
        </w:rPr>
      </w:pPr>
      <w:r>
        <w:rPr>
          <w:rFonts w:hint="eastAsia"/>
        </w:rPr>
        <w:t>格式自拟，编制二级目录，编制页码。</w:t>
      </w:r>
    </w:p>
    <w:p>
      <w:pPr>
        <w:pStyle w:val="83"/>
      </w:pPr>
    </w:p>
    <w:p>
      <w:pPr>
        <w:pStyle w:val="2"/>
      </w:pPr>
    </w:p>
    <w:p>
      <w:pPr>
        <w:pStyle w:val="2"/>
        <w:ind w:firstLine="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pPr>
      <w:bookmarkStart w:id="159" w:name="_Toc11931"/>
      <w:bookmarkStart w:id="160" w:name="_Toc111853933"/>
      <w:bookmarkStart w:id="161" w:name="_Toc8478"/>
      <w:r>
        <w:rPr>
          <w:rFonts w:hint="eastAsia"/>
        </w:rPr>
        <w:t>第一部分、资格审查文件部分</w:t>
      </w:r>
      <w:bookmarkEnd w:id="159"/>
      <w:bookmarkEnd w:id="160"/>
      <w:bookmarkEnd w:id="161"/>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5"/>
        <w:spacing w:before="161" w:after="161"/>
        <w:jc w:val="center"/>
      </w:pPr>
      <w:bookmarkStart w:id="162" w:name="_Toc111853934"/>
      <w:bookmarkStart w:id="163" w:name="_Toc73217190"/>
      <w:bookmarkStart w:id="164" w:name="_Toc3775"/>
      <w:bookmarkStart w:id="165" w:name="_Toc20911"/>
      <w:r>
        <w:rPr>
          <w:rFonts w:hint="eastAsia"/>
        </w:rPr>
        <w:t>一</w:t>
      </w:r>
      <w:r>
        <w:rPr>
          <w:rFonts w:hint="eastAsia"/>
          <w:lang w:eastAsia="zh-CN"/>
        </w:rPr>
        <w:t>、</w:t>
      </w:r>
      <w:r>
        <w:rPr>
          <w:rFonts w:hint="eastAsia"/>
        </w:rPr>
        <w:t>投标人基本情况表</w:t>
      </w:r>
      <w:bookmarkEnd w:id="162"/>
      <w:bookmarkEnd w:id="163"/>
      <w:bookmarkEnd w:id="164"/>
      <w:bookmarkEnd w:id="165"/>
    </w:p>
    <w:tbl>
      <w:tblPr>
        <w:tblStyle w:val="4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132"/>
        <w:gridCol w:w="1419"/>
        <w:gridCol w:w="284"/>
        <w:gridCol w:w="851"/>
        <w:gridCol w:w="1134"/>
        <w:gridCol w:w="709"/>
        <w:gridCol w:w="425"/>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9214" w:type="dxa"/>
            <w:gridSpan w:val="9"/>
            <w:tcBorders>
              <w:top w:val="single" w:color="auto" w:sz="12" w:space="0"/>
              <w:bottom w:val="single" w:color="auto" w:sz="6" w:space="0"/>
            </w:tcBorders>
            <w:shd w:val="clear" w:color="auto" w:fill="F1F1F1" w:themeFill="background1" w:themeFillShade="F2"/>
            <w:vAlign w:val="center"/>
          </w:tcPr>
          <w:p>
            <w:pPr>
              <w:topLinePunct/>
              <w:spacing w:line="440" w:lineRule="exact"/>
              <w:jc w:val="center"/>
              <w:rPr>
                <w:rFonts w:ascii="宋体" w:hAnsi="宋体"/>
                <w:sz w:val="24"/>
              </w:rPr>
            </w:pPr>
            <w:r>
              <w:rPr>
                <w:rFonts w:ascii="宋体" w:hAnsi="宋体"/>
                <w:sz w:val="24"/>
              </w:rPr>
              <w:t>单位基本情况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7" w:hRule="atLeast"/>
        </w:trPr>
        <w:tc>
          <w:tcPr>
            <w:tcW w:w="2268" w:type="dxa"/>
            <w:tcBorders>
              <w:top w:val="single" w:color="auto" w:sz="6" w:space="0"/>
            </w:tcBorders>
            <w:vAlign w:val="center"/>
          </w:tcPr>
          <w:p>
            <w:pPr>
              <w:topLinePunct/>
              <w:jc w:val="center"/>
              <w:rPr>
                <w:rFonts w:ascii="宋体" w:hAnsi="宋体"/>
                <w:sz w:val="24"/>
              </w:rPr>
            </w:pPr>
            <w:r>
              <w:rPr>
                <w:rFonts w:hint="eastAsia" w:ascii="宋体" w:hAnsi="宋体"/>
                <w:sz w:val="24"/>
              </w:rPr>
              <w:t>投标人</w:t>
            </w:r>
            <w:r>
              <w:rPr>
                <w:rFonts w:ascii="宋体" w:hAnsi="宋体"/>
                <w:sz w:val="24"/>
              </w:rPr>
              <w:t>名称</w:t>
            </w:r>
          </w:p>
        </w:tc>
        <w:tc>
          <w:tcPr>
            <w:tcW w:w="6946" w:type="dxa"/>
            <w:gridSpan w:val="8"/>
            <w:tcBorders>
              <w:top w:val="single" w:color="auto" w:sz="6" w:space="0"/>
            </w:tcBorders>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2268" w:type="dxa"/>
            <w:vAlign w:val="center"/>
          </w:tcPr>
          <w:p>
            <w:pPr>
              <w:topLinePunct/>
              <w:jc w:val="center"/>
              <w:rPr>
                <w:rFonts w:ascii="宋体" w:hAnsi="宋体"/>
                <w:sz w:val="24"/>
              </w:rPr>
            </w:pPr>
            <w:r>
              <w:rPr>
                <w:rFonts w:hint="eastAsia" w:ascii="宋体" w:hAnsi="宋体"/>
                <w:sz w:val="24"/>
              </w:rPr>
              <w:t>统一社会信用代码</w:t>
            </w:r>
          </w:p>
        </w:tc>
        <w:tc>
          <w:tcPr>
            <w:tcW w:w="3686" w:type="dxa"/>
            <w:gridSpan w:val="4"/>
            <w:vAlign w:val="center"/>
          </w:tcPr>
          <w:p>
            <w:pPr>
              <w:topLinePunct/>
              <w:jc w:val="center"/>
              <w:rPr>
                <w:rFonts w:ascii="宋体" w:hAnsi="宋体"/>
                <w:sz w:val="24"/>
              </w:rPr>
            </w:pPr>
          </w:p>
        </w:tc>
        <w:tc>
          <w:tcPr>
            <w:tcW w:w="1843" w:type="dxa"/>
            <w:gridSpan w:val="2"/>
            <w:vAlign w:val="center"/>
          </w:tcPr>
          <w:p>
            <w:pPr>
              <w:topLinePunct/>
              <w:spacing w:line="440" w:lineRule="exact"/>
              <w:jc w:val="center"/>
              <w:rPr>
                <w:rFonts w:ascii="宋体" w:hAnsi="宋体"/>
                <w:sz w:val="24"/>
              </w:rPr>
            </w:pPr>
            <w:r>
              <w:rPr>
                <w:rFonts w:hint="eastAsia" w:ascii="宋体" w:hAnsi="宋体"/>
                <w:sz w:val="24"/>
              </w:rPr>
              <w:t>成立时间</w:t>
            </w:r>
          </w:p>
        </w:tc>
        <w:tc>
          <w:tcPr>
            <w:tcW w:w="1417" w:type="dxa"/>
            <w:gridSpan w:val="2"/>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2268" w:type="dxa"/>
            <w:vAlign w:val="center"/>
          </w:tcPr>
          <w:p>
            <w:pPr>
              <w:topLinePunct/>
              <w:jc w:val="center"/>
              <w:rPr>
                <w:rFonts w:ascii="宋体" w:hAnsi="宋体"/>
                <w:sz w:val="24"/>
              </w:rPr>
            </w:pPr>
            <w:r>
              <w:rPr>
                <w:rFonts w:hint="eastAsia" w:ascii="宋体" w:hAnsi="宋体"/>
                <w:sz w:val="24"/>
              </w:rPr>
              <w:t>注册地址</w:t>
            </w:r>
          </w:p>
        </w:tc>
        <w:tc>
          <w:tcPr>
            <w:tcW w:w="3686" w:type="dxa"/>
            <w:gridSpan w:val="4"/>
            <w:vAlign w:val="center"/>
          </w:tcPr>
          <w:p>
            <w:pPr>
              <w:topLinePunct/>
              <w:spacing w:line="440" w:lineRule="exact"/>
              <w:jc w:val="center"/>
              <w:rPr>
                <w:rFonts w:ascii="宋体" w:hAnsi="宋体"/>
                <w:sz w:val="24"/>
              </w:rPr>
            </w:pPr>
          </w:p>
        </w:tc>
        <w:tc>
          <w:tcPr>
            <w:tcW w:w="1843" w:type="dxa"/>
            <w:gridSpan w:val="2"/>
            <w:vAlign w:val="center"/>
          </w:tcPr>
          <w:p>
            <w:pPr>
              <w:topLinePunct/>
              <w:spacing w:line="440" w:lineRule="exact"/>
              <w:jc w:val="center"/>
              <w:rPr>
                <w:rFonts w:ascii="宋体" w:hAnsi="宋体"/>
                <w:sz w:val="24"/>
              </w:rPr>
            </w:pPr>
            <w:r>
              <w:rPr>
                <w:rFonts w:hint="eastAsia" w:ascii="宋体" w:hAnsi="宋体"/>
                <w:sz w:val="24"/>
              </w:rPr>
              <w:t>资产总额</w:t>
            </w:r>
          </w:p>
        </w:tc>
        <w:tc>
          <w:tcPr>
            <w:tcW w:w="1417" w:type="dxa"/>
            <w:gridSpan w:val="2"/>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268" w:type="dxa"/>
            <w:vAlign w:val="center"/>
          </w:tcPr>
          <w:p>
            <w:pPr>
              <w:topLinePunct/>
              <w:jc w:val="center"/>
              <w:rPr>
                <w:rFonts w:ascii="宋体" w:hAnsi="宋体"/>
                <w:sz w:val="24"/>
              </w:rPr>
            </w:pPr>
            <w:r>
              <w:rPr>
                <w:rFonts w:hint="eastAsia" w:ascii="宋体" w:hAnsi="宋体"/>
                <w:sz w:val="24"/>
              </w:rPr>
              <w:t>上年度营业收入</w:t>
            </w:r>
          </w:p>
        </w:tc>
        <w:tc>
          <w:tcPr>
            <w:tcW w:w="3686" w:type="dxa"/>
            <w:gridSpan w:val="4"/>
            <w:vAlign w:val="center"/>
          </w:tcPr>
          <w:p>
            <w:pPr>
              <w:topLinePunct/>
              <w:jc w:val="center"/>
              <w:rPr>
                <w:rFonts w:ascii="宋体" w:hAnsi="宋体"/>
                <w:sz w:val="24"/>
              </w:rPr>
            </w:pPr>
          </w:p>
        </w:tc>
        <w:tc>
          <w:tcPr>
            <w:tcW w:w="1843" w:type="dxa"/>
            <w:gridSpan w:val="2"/>
            <w:vAlign w:val="center"/>
          </w:tcPr>
          <w:p>
            <w:pPr>
              <w:topLinePunct/>
              <w:spacing w:line="440" w:lineRule="exact"/>
              <w:jc w:val="center"/>
              <w:rPr>
                <w:rFonts w:ascii="宋体" w:hAnsi="宋体"/>
                <w:sz w:val="24"/>
              </w:rPr>
            </w:pPr>
            <w:r>
              <w:rPr>
                <w:rFonts w:hint="eastAsia" w:ascii="宋体" w:hAnsi="宋体"/>
                <w:sz w:val="24"/>
              </w:rPr>
              <w:t>所属行业</w:t>
            </w:r>
          </w:p>
        </w:tc>
        <w:tc>
          <w:tcPr>
            <w:tcW w:w="1417" w:type="dxa"/>
            <w:gridSpan w:val="2"/>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268" w:type="dxa"/>
            <w:vMerge w:val="restart"/>
            <w:vAlign w:val="center"/>
          </w:tcPr>
          <w:p>
            <w:pPr>
              <w:topLinePunct/>
              <w:jc w:val="center"/>
              <w:rPr>
                <w:rFonts w:ascii="宋体" w:hAnsi="宋体"/>
                <w:sz w:val="24"/>
              </w:rPr>
            </w:pPr>
            <w:r>
              <w:rPr>
                <w:rFonts w:hint="eastAsia" w:ascii="宋体" w:hAnsi="宋体"/>
                <w:sz w:val="24"/>
              </w:rPr>
              <w:t>法定代表人</w:t>
            </w:r>
          </w:p>
          <w:p>
            <w:pPr>
              <w:topLinePunct/>
              <w:jc w:val="center"/>
              <w:rPr>
                <w:rFonts w:ascii="宋体" w:hAnsi="宋体"/>
                <w:sz w:val="24"/>
              </w:rPr>
            </w:pPr>
            <w:r>
              <w:rPr>
                <w:rFonts w:hint="eastAsia" w:ascii="宋体" w:hAnsi="宋体"/>
                <w:sz w:val="24"/>
              </w:rPr>
              <w:t xml:space="preserve"> （单位负责人）</w:t>
            </w:r>
          </w:p>
        </w:tc>
        <w:tc>
          <w:tcPr>
            <w:tcW w:w="1132" w:type="dxa"/>
            <w:vMerge w:val="restart"/>
            <w:vAlign w:val="center"/>
          </w:tcPr>
          <w:p>
            <w:pPr>
              <w:topLinePunct/>
              <w:jc w:val="center"/>
              <w:rPr>
                <w:rFonts w:ascii="宋体" w:hAnsi="宋体"/>
                <w:sz w:val="24"/>
              </w:rPr>
            </w:pPr>
            <w:r>
              <w:rPr>
                <w:rFonts w:hint="eastAsia" w:ascii="宋体" w:hAnsi="宋体"/>
                <w:sz w:val="24"/>
              </w:rPr>
              <w:t>姓名</w:t>
            </w:r>
          </w:p>
        </w:tc>
        <w:tc>
          <w:tcPr>
            <w:tcW w:w="1419" w:type="dxa"/>
            <w:vMerge w:val="restart"/>
            <w:vAlign w:val="center"/>
          </w:tcPr>
          <w:p>
            <w:pPr>
              <w:topLinePunct/>
              <w:jc w:val="center"/>
              <w:rPr>
                <w:rFonts w:ascii="宋体" w:hAnsi="宋体"/>
                <w:sz w:val="24"/>
              </w:rPr>
            </w:pPr>
          </w:p>
        </w:tc>
        <w:tc>
          <w:tcPr>
            <w:tcW w:w="1135" w:type="dxa"/>
            <w:gridSpan w:val="2"/>
            <w:vMerge w:val="restart"/>
            <w:vAlign w:val="center"/>
          </w:tcPr>
          <w:p>
            <w:pPr>
              <w:topLinePunct/>
              <w:jc w:val="center"/>
              <w:rPr>
                <w:rFonts w:ascii="宋体" w:hAnsi="宋体"/>
                <w:sz w:val="24"/>
              </w:rPr>
            </w:pPr>
            <w:r>
              <w:rPr>
                <w:rFonts w:hint="eastAsia" w:ascii="宋体" w:hAnsi="宋体"/>
                <w:sz w:val="24"/>
              </w:rPr>
              <w:t>电话</w:t>
            </w:r>
          </w:p>
        </w:tc>
        <w:tc>
          <w:tcPr>
            <w:tcW w:w="1843" w:type="dxa"/>
            <w:gridSpan w:val="2"/>
            <w:vAlign w:val="center"/>
          </w:tcPr>
          <w:p>
            <w:pPr>
              <w:topLinePunct/>
              <w:spacing w:line="440" w:lineRule="exact"/>
              <w:jc w:val="center"/>
              <w:rPr>
                <w:rFonts w:ascii="宋体" w:hAnsi="宋体"/>
                <w:sz w:val="24"/>
              </w:rPr>
            </w:pPr>
            <w:r>
              <w:rPr>
                <w:rFonts w:hint="eastAsia" w:ascii="宋体" w:hAnsi="宋体"/>
                <w:sz w:val="24"/>
              </w:rPr>
              <w:t>手机</w:t>
            </w:r>
          </w:p>
        </w:tc>
        <w:tc>
          <w:tcPr>
            <w:tcW w:w="1417" w:type="dxa"/>
            <w:gridSpan w:val="2"/>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268" w:type="dxa"/>
            <w:vMerge w:val="continue"/>
            <w:vAlign w:val="center"/>
          </w:tcPr>
          <w:p>
            <w:pPr>
              <w:topLinePunct/>
              <w:jc w:val="center"/>
              <w:rPr>
                <w:rFonts w:ascii="宋体" w:hAnsi="宋体"/>
                <w:sz w:val="24"/>
              </w:rPr>
            </w:pPr>
          </w:p>
        </w:tc>
        <w:tc>
          <w:tcPr>
            <w:tcW w:w="1132" w:type="dxa"/>
            <w:vMerge w:val="continue"/>
            <w:vAlign w:val="center"/>
          </w:tcPr>
          <w:p>
            <w:pPr>
              <w:topLinePunct/>
              <w:jc w:val="center"/>
              <w:rPr>
                <w:rFonts w:ascii="宋体" w:hAnsi="宋体"/>
                <w:sz w:val="24"/>
              </w:rPr>
            </w:pPr>
          </w:p>
        </w:tc>
        <w:tc>
          <w:tcPr>
            <w:tcW w:w="1419" w:type="dxa"/>
            <w:vMerge w:val="continue"/>
            <w:vAlign w:val="center"/>
          </w:tcPr>
          <w:p>
            <w:pPr>
              <w:topLinePunct/>
              <w:jc w:val="center"/>
              <w:rPr>
                <w:rFonts w:ascii="宋体" w:hAnsi="宋体"/>
                <w:sz w:val="24"/>
              </w:rPr>
            </w:pPr>
          </w:p>
        </w:tc>
        <w:tc>
          <w:tcPr>
            <w:tcW w:w="1135" w:type="dxa"/>
            <w:gridSpan w:val="2"/>
            <w:vMerge w:val="continue"/>
            <w:vAlign w:val="center"/>
          </w:tcPr>
          <w:p>
            <w:pPr>
              <w:topLinePunct/>
              <w:jc w:val="center"/>
              <w:rPr>
                <w:rFonts w:ascii="宋体" w:hAnsi="宋体"/>
                <w:sz w:val="24"/>
              </w:rPr>
            </w:pPr>
          </w:p>
        </w:tc>
        <w:tc>
          <w:tcPr>
            <w:tcW w:w="1843" w:type="dxa"/>
            <w:gridSpan w:val="2"/>
            <w:vAlign w:val="center"/>
          </w:tcPr>
          <w:p>
            <w:pPr>
              <w:topLinePunct/>
              <w:spacing w:line="440" w:lineRule="exact"/>
              <w:jc w:val="center"/>
              <w:rPr>
                <w:rFonts w:ascii="宋体" w:hAnsi="宋体"/>
                <w:sz w:val="24"/>
              </w:rPr>
            </w:pPr>
            <w:r>
              <w:rPr>
                <w:rFonts w:hint="eastAsia" w:ascii="宋体" w:hAnsi="宋体"/>
                <w:sz w:val="24"/>
              </w:rPr>
              <w:t>办公</w:t>
            </w:r>
          </w:p>
        </w:tc>
        <w:tc>
          <w:tcPr>
            <w:tcW w:w="1417" w:type="dxa"/>
            <w:gridSpan w:val="2"/>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268" w:type="dxa"/>
            <w:vMerge w:val="restart"/>
            <w:vAlign w:val="center"/>
          </w:tcPr>
          <w:p>
            <w:pPr>
              <w:topLinePunct/>
              <w:jc w:val="center"/>
              <w:rPr>
                <w:rFonts w:ascii="宋体" w:hAnsi="宋体"/>
                <w:sz w:val="24"/>
              </w:rPr>
            </w:pPr>
            <w:r>
              <w:rPr>
                <w:rFonts w:hint="eastAsia" w:ascii="宋体" w:hAnsi="宋体"/>
                <w:sz w:val="24"/>
              </w:rPr>
              <w:t>业务联系方式</w:t>
            </w:r>
          </w:p>
        </w:tc>
        <w:tc>
          <w:tcPr>
            <w:tcW w:w="1132" w:type="dxa"/>
            <w:vMerge w:val="restart"/>
            <w:vAlign w:val="center"/>
          </w:tcPr>
          <w:p>
            <w:pPr>
              <w:topLinePunct/>
              <w:jc w:val="center"/>
              <w:rPr>
                <w:rFonts w:ascii="宋体" w:hAnsi="宋体"/>
                <w:sz w:val="24"/>
              </w:rPr>
            </w:pPr>
            <w:r>
              <w:rPr>
                <w:rFonts w:hint="eastAsia" w:ascii="宋体" w:hAnsi="宋体"/>
                <w:sz w:val="24"/>
              </w:rPr>
              <w:t>联系人</w:t>
            </w:r>
          </w:p>
        </w:tc>
        <w:tc>
          <w:tcPr>
            <w:tcW w:w="1419" w:type="dxa"/>
            <w:vMerge w:val="restart"/>
            <w:vAlign w:val="center"/>
          </w:tcPr>
          <w:p>
            <w:pPr>
              <w:topLinePunct/>
              <w:jc w:val="center"/>
              <w:rPr>
                <w:rFonts w:ascii="宋体" w:hAnsi="宋体"/>
                <w:sz w:val="24"/>
              </w:rPr>
            </w:pPr>
          </w:p>
        </w:tc>
        <w:tc>
          <w:tcPr>
            <w:tcW w:w="1135" w:type="dxa"/>
            <w:gridSpan w:val="2"/>
            <w:vAlign w:val="center"/>
          </w:tcPr>
          <w:p>
            <w:pPr>
              <w:topLinePunct/>
              <w:jc w:val="center"/>
              <w:rPr>
                <w:rFonts w:ascii="宋体" w:hAnsi="宋体"/>
                <w:sz w:val="24"/>
              </w:rPr>
            </w:pPr>
            <w:r>
              <w:rPr>
                <w:rFonts w:hint="eastAsia" w:ascii="宋体" w:hAnsi="宋体"/>
                <w:sz w:val="24"/>
              </w:rPr>
              <w:t>电话</w:t>
            </w:r>
          </w:p>
        </w:tc>
        <w:tc>
          <w:tcPr>
            <w:tcW w:w="3260" w:type="dxa"/>
            <w:gridSpan w:val="4"/>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268" w:type="dxa"/>
            <w:vMerge w:val="continue"/>
            <w:vAlign w:val="center"/>
          </w:tcPr>
          <w:p>
            <w:pPr>
              <w:topLinePunct/>
              <w:jc w:val="center"/>
              <w:rPr>
                <w:rFonts w:ascii="宋体" w:hAnsi="宋体"/>
                <w:sz w:val="24"/>
              </w:rPr>
            </w:pPr>
          </w:p>
        </w:tc>
        <w:tc>
          <w:tcPr>
            <w:tcW w:w="1132" w:type="dxa"/>
            <w:vMerge w:val="continue"/>
            <w:vAlign w:val="center"/>
          </w:tcPr>
          <w:p>
            <w:pPr>
              <w:topLinePunct/>
              <w:jc w:val="center"/>
              <w:rPr>
                <w:rFonts w:ascii="宋体" w:hAnsi="宋体"/>
                <w:sz w:val="24"/>
              </w:rPr>
            </w:pPr>
          </w:p>
        </w:tc>
        <w:tc>
          <w:tcPr>
            <w:tcW w:w="1419" w:type="dxa"/>
            <w:vMerge w:val="continue"/>
            <w:vAlign w:val="center"/>
          </w:tcPr>
          <w:p>
            <w:pPr>
              <w:topLinePunct/>
              <w:jc w:val="center"/>
              <w:rPr>
                <w:rFonts w:ascii="宋体" w:hAnsi="宋体"/>
                <w:sz w:val="24"/>
              </w:rPr>
            </w:pPr>
          </w:p>
        </w:tc>
        <w:tc>
          <w:tcPr>
            <w:tcW w:w="1135" w:type="dxa"/>
            <w:gridSpan w:val="2"/>
            <w:vAlign w:val="center"/>
          </w:tcPr>
          <w:p>
            <w:pPr>
              <w:topLinePunct/>
              <w:jc w:val="center"/>
              <w:rPr>
                <w:rFonts w:ascii="宋体" w:hAnsi="宋体"/>
                <w:sz w:val="24"/>
              </w:rPr>
            </w:pPr>
            <w:r>
              <w:rPr>
                <w:rFonts w:hint="eastAsia" w:ascii="宋体" w:hAnsi="宋体"/>
                <w:sz w:val="24"/>
              </w:rPr>
              <w:t>邮箱</w:t>
            </w:r>
          </w:p>
        </w:tc>
        <w:tc>
          <w:tcPr>
            <w:tcW w:w="3260" w:type="dxa"/>
            <w:gridSpan w:val="4"/>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2268" w:type="dxa"/>
            <w:vAlign w:val="center"/>
          </w:tcPr>
          <w:p>
            <w:pPr>
              <w:topLinePunct/>
              <w:jc w:val="center"/>
              <w:rPr>
                <w:rFonts w:ascii="宋体" w:hAnsi="宋体"/>
                <w:sz w:val="24"/>
              </w:rPr>
            </w:pPr>
            <w:r>
              <w:rPr>
                <w:rFonts w:hint="eastAsia" w:ascii="宋体" w:hAnsi="宋体"/>
                <w:sz w:val="24"/>
              </w:rPr>
              <w:t>基本账户开户银行</w:t>
            </w:r>
          </w:p>
        </w:tc>
        <w:tc>
          <w:tcPr>
            <w:tcW w:w="2551" w:type="dxa"/>
            <w:gridSpan w:val="2"/>
            <w:vAlign w:val="center"/>
          </w:tcPr>
          <w:p>
            <w:pPr>
              <w:topLinePunct/>
              <w:spacing w:line="440" w:lineRule="exact"/>
              <w:jc w:val="center"/>
              <w:rPr>
                <w:rFonts w:ascii="宋体" w:hAnsi="宋体"/>
                <w:sz w:val="24"/>
              </w:rPr>
            </w:pPr>
          </w:p>
        </w:tc>
        <w:tc>
          <w:tcPr>
            <w:tcW w:w="2269" w:type="dxa"/>
            <w:gridSpan w:val="3"/>
            <w:vAlign w:val="center"/>
          </w:tcPr>
          <w:p>
            <w:pPr>
              <w:topLinePunct/>
              <w:spacing w:line="440" w:lineRule="exact"/>
              <w:jc w:val="center"/>
              <w:rPr>
                <w:rFonts w:ascii="宋体" w:hAnsi="宋体"/>
                <w:sz w:val="24"/>
              </w:rPr>
            </w:pPr>
            <w:r>
              <w:rPr>
                <w:rFonts w:hint="eastAsia" w:ascii="宋体" w:hAnsi="宋体"/>
                <w:sz w:val="24"/>
              </w:rPr>
              <w:t>基本账户开户银行</w:t>
            </w:r>
          </w:p>
        </w:tc>
        <w:tc>
          <w:tcPr>
            <w:tcW w:w="2126" w:type="dxa"/>
            <w:gridSpan w:val="3"/>
            <w:vAlign w:val="center"/>
          </w:tcPr>
          <w:p>
            <w:pPr>
              <w:topLinePun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268" w:type="dxa"/>
            <w:vAlign w:val="center"/>
          </w:tcPr>
          <w:p>
            <w:pPr>
              <w:topLinePunct/>
              <w:spacing w:line="360" w:lineRule="exact"/>
              <w:jc w:val="center"/>
              <w:rPr>
                <w:rFonts w:ascii="宋体" w:hAnsi="宋体"/>
                <w:sz w:val="24"/>
              </w:rPr>
            </w:pPr>
            <w:r>
              <w:rPr>
                <w:rFonts w:hint="eastAsia" w:ascii="宋体" w:hAnsi="宋体"/>
                <w:sz w:val="24"/>
              </w:rPr>
              <w:t>经营范围</w:t>
            </w:r>
          </w:p>
        </w:tc>
        <w:tc>
          <w:tcPr>
            <w:tcW w:w="6946" w:type="dxa"/>
            <w:gridSpan w:val="8"/>
            <w:vAlign w:val="center"/>
          </w:tcPr>
          <w:p>
            <w:pPr>
              <w:topLinePunct/>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268" w:type="dxa"/>
            <w:tcBorders>
              <w:bottom w:val="single" w:color="auto" w:sz="6" w:space="0"/>
            </w:tcBorders>
            <w:vAlign w:val="center"/>
          </w:tcPr>
          <w:p>
            <w:pPr>
              <w:topLinePunct/>
              <w:spacing w:line="360" w:lineRule="exact"/>
              <w:jc w:val="center"/>
              <w:rPr>
                <w:rFonts w:ascii="宋体" w:hAnsi="宋体"/>
                <w:sz w:val="24"/>
              </w:rPr>
            </w:pPr>
            <w:r>
              <w:rPr>
                <w:rFonts w:hint="eastAsia" w:ascii="宋体" w:hAnsi="宋体"/>
                <w:sz w:val="24"/>
              </w:rPr>
              <w:t>所获得资质及等级(国家行政部门颁发)</w:t>
            </w:r>
          </w:p>
        </w:tc>
        <w:tc>
          <w:tcPr>
            <w:tcW w:w="6946" w:type="dxa"/>
            <w:gridSpan w:val="8"/>
            <w:tcBorders>
              <w:bottom w:val="single" w:color="auto" w:sz="6" w:space="0"/>
            </w:tcBorders>
            <w:vAlign w:val="center"/>
          </w:tcPr>
          <w:p>
            <w:pPr>
              <w:topLinePunct/>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214" w:type="dxa"/>
            <w:gridSpan w:val="9"/>
            <w:tcBorders>
              <w:top w:val="single" w:color="auto" w:sz="6" w:space="0"/>
              <w:bottom w:val="single" w:color="auto" w:sz="6" w:space="0"/>
            </w:tcBorders>
            <w:shd w:val="clear" w:color="auto" w:fill="F1F1F1" w:themeFill="background1" w:themeFillShade="F2"/>
            <w:vAlign w:val="center"/>
          </w:tcPr>
          <w:p>
            <w:pPr>
              <w:topLinePunct/>
              <w:spacing w:line="440" w:lineRule="exact"/>
              <w:jc w:val="center"/>
              <w:rPr>
                <w:rFonts w:ascii="宋体" w:hAnsi="宋体"/>
                <w:sz w:val="24"/>
              </w:rPr>
            </w:pPr>
            <w:r>
              <w:rPr>
                <w:rFonts w:ascii="宋体" w:hAnsi="宋体"/>
                <w:sz w:val="24"/>
              </w:rPr>
              <w:t>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2268" w:type="dxa"/>
            <w:vMerge w:val="restart"/>
            <w:tcBorders>
              <w:top w:val="single" w:color="auto" w:sz="6" w:space="0"/>
            </w:tcBorders>
            <w:vAlign w:val="center"/>
          </w:tcPr>
          <w:p>
            <w:pPr>
              <w:topLinePunct/>
              <w:jc w:val="center"/>
              <w:rPr>
                <w:rFonts w:ascii="宋体" w:hAnsi="宋体"/>
                <w:sz w:val="24"/>
              </w:rPr>
            </w:pPr>
            <w:r>
              <w:rPr>
                <w:rFonts w:ascii="宋体" w:hAnsi="宋体"/>
                <w:sz w:val="24"/>
              </w:rPr>
              <w:t>从业人员总数</w:t>
            </w:r>
          </w:p>
        </w:tc>
        <w:tc>
          <w:tcPr>
            <w:tcW w:w="1132" w:type="dxa"/>
            <w:vMerge w:val="restart"/>
            <w:tcBorders>
              <w:top w:val="single" w:color="auto" w:sz="6" w:space="0"/>
            </w:tcBorders>
            <w:vAlign w:val="center"/>
          </w:tcPr>
          <w:p>
            <w:pPr>
              <w:topLinePunct/>
              <w:jc w:val="center"/>
              <w:rPr>
                <w:rFonts w:ascii="宋体" w:hAnsi="宋体"/>
                <w:sz w:val="24"/>
              </w:rPr>
            </w:pPr>
          </w:p>
        </w:tc>
        <w:tc>
          <w:tcPr>
            <w:tcW w:w="1703" w:type="dxa"/>
            <w:gridSpan w:val="2"/>
            <w:tcBorders>
              <w:top w:val="single" w:color="auto" w:sz="6" w:space="0"/>
            </w:tcBorders>
            <w:vAlign w:val="center"/>
          </w:tcPr>
          <w:p>
            <w:pPr>
              <w:topLinePunct/>
              <w:jc w:val="center"/>
              <w:rPr>
                <w:rFonts w:ascii="宋体" w:hAnsi="宋体"/>
                <w:sz w:val="24"/>
              </w:rPr>
            </w:pPr>
            <w:r>
              <w:rPr>
                <w:rFonts w:hint="eastAsia" w:ascii="宋体" w:hAnsi="宋体"/>
                <w:sz w:val="24"/>
              </w:rPr>
              <w:t>管理人员数量</w:t>
            </w:r>
          </w:p>
        </w:tc>
        <w:tc>
          <w:tcPr>
            <w:tcW w:w="851" w:type="dxa"/>
            <w:tcBorders>
              <w:top w:val="single" w:color="auto" w:sz="6" w:space="0"/>
            </w:tcBorders>
            <w:vAlign w:val="center"/>
          </w:tcPr>
          <w:p>
            <w:pPr>
              <w:topLinePunct/>
              <w:jc w:val="center"/>
              <w:rPr>
                <w:rFonts w:ascii="宋体" w:hAnsi="宋体"/>
                <w:sz w:val="24"/>
              </w:rPr>
            </w:pPr>
          </w:p>
        </w:tc>
        <w:tc>
          <w:tcPr>
            <w:tcW w:w="2268" w:type="dxa"/>
            <w:gridSpan w:val="3"/>
            <w:tcBorders>
              <w:top w:val="single" w:color="auto" w:sz="6" w:space="0"/>
              <w:right w:val="single" w:color="auto" w:sz="4" w:space="0"/>
            </w:tcBorders>
            <w:vAlign w:val="center"/>
          </w:tcPr>
          <w:p>
            <w:pPr>
              <w:jc w:val="center"/>
              <w:rPr>
                <w:rFonts w:ascii="宋体" w:hAnsi="宋体"/>
                <w:sz w:val="24"/>
              </w:rPr>
            </w:pPr>
            <w:r>
              <w:rPr>
                <w:rFonts w:hint="eastAsia" w:ascii="宋体" w:hAnsi="宋体"/>
                <w:sz w:val="24"/>
              </w:rPr>
              <w:t>专业技术人员数量</w:t>
            </w:r>
          </w:p>
        </w:tc>
        <w:tc>
          <w:tcPr>
            <w:tcW w:w="992" w:type="dxa"/>
            <w:tcBorders>
              <w:top w:val="single" w:color="auto" w:sz="6" w:space="0"/>
              <w:left w:val="single" w:color="auto" w:sz="4" w:space="0"/>
            </w:tcBorders>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2268" w:type="dxa"/>
            <w:vMerge w:val="continue"/>
            <w:tcBorders>
              <w:bottom w:val="single" w:color="auto" w:sz="6" w:space="0"/>
            </w:tcBorders>
            <w:vAlign w:val="center"/>
          </w:tcPr>
          <w:p>
            <w:pPr>
              <w:topLinePunct/>
              <w:jc w:val="center"/>
              <w:rPr>
                <w:rFonts w:ascii="宋体" w:hAnsi="宋体"/>
                <w:sz w:val="24"/>
              </w:rPr>
            </w:pPr>
          </w:p>
        </w:tc>
        <w:tc>
          <w:tcPr>
            <w:tcW w:w="1132" w:type="dxa"/>
            <w:vMerge w:val="continue"/>
            <w:tcBorders>
              <w:bottom w:val="single" w:color="auto" w:sz="6" w:space="0"/>
            </w:tcBorders>
            <w:vAlign w:val="center"/>
          </w:tcPr>
          <w:p>
            <w:pPr>
              <w:topLinePunct/>
              <w:jc w:val="center"/>
              <w:rPr>
                <w:rFonts w:ascii="宋体" w:hAnsi="宋体"/>
                <w:sz w:val="24"/>
              </w:rPr>
            </w:pPr>
          </w:p>
        </w:tc>
        <w:tc>
          <w:tcPr>
            <w:tcW w:w="1703" w:type="dxa"/>
            <w:gridSpan w:val="2"/>
            <w:tcBorders>
              <w:bottom w:val="single" w:color="auto" w:sz="6" w:space="0"/>
            </w:tcBorders>
            <w:vAlign w:val="center"/>
          </w:tcPr>
          <w:p>
            <w:pPr>
              <w:topLinePunct/>
              <w:jc w:val="center"/>
              <w:rPr>
                <w:rFonts w:ascii="宋体" w:hAnsi="宋体"/>
                <w:sz w:val="24"/>
              </w:rPr>
            </w:pPr>
            <w:r>
              <w:rPr>
                <w:rFonts w:hint="eastAsia" w:ascii="宋体" w:hAnsi="宋体"/>
                <w:sz w:val="24"/>
              </w:rPr>
              <w:t>残疾人数量</w:t>
            </w:r>
          </w:p>
        </w:tc>
        <w:tc>
          <w:tcPr>
            <w:tcW w:w="851" w:type="dxa"/>
            <w:tcBorders>
              <w:bottom w:val="single" w:color="auto" w:sz="6" w:space="0"/>
            </w:tcBorders>
            <w:vAlign w:val="center"/>
          </w:tcPr>
          <w:p>
            <w:pPr>
              <w:topLinePunct/>
              <w:jc w:val="center"/>
              <w:rPr>
                <w:rFonts w:ascii="宋体" w:hAnsi="宋体"/>
                <w:sz w:val="24"/>
              </w:rPr>
            </w:pPr>
          </w:p>
        </w:tc>
        <w:tc>
          <w:tcPr>
            <w:tcW w:w="2268" w:type="dxa"/>
            <w:gridSpan w:val="3"/>
            <w:tcBorders>
              <w:bottom w:val="single" w:color="auto" w:sz="6" w:space="0"/>
              <w:right w:val="single" w:color="auto" w:sz="4" w:space="0"/>
            </w:tcBorders>
            <w:vAlign w:val="center"/>
          </w:tcPr>
          <w:p>
            <w:pPr>
              <w:jc w:val="center"/>
              <w:rPr>
                <w:rFonts w:ascii="宋体" w:hAnsi="宋体"/>
                <w:sz w:val="24"/>
              </w:rPr>
            </w:pPr>
            <w:r>
              <w:rPr>
                <w:rFonts w:hint="eastAsia" w:ascii="宋体" w:hAnsi="宋体"/>
                <w:sz w:val="24"/>
              </w:rPr>
              <w:t>少数民族数量</w:t>
            </w:r>
          </w:p>
        </w:tc>
        <w:tc>
          <w:tcPr>
            <w:tcW w:w="992" w:type="dxa"/>
            <w:tcBorders>
              <w:left w:val="single" w:color="auto" w:sz="4" w:space="0"/>
              <w:bottom w:val="single" w:color="auto" w:sz="6" w:space="0"/>
            </w:tcBorders>
            <w:vAlign w:val="center"/>
          </w:tcPr>
          <w:p>
            <w:pPr>
              <w:topLinePunct/>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9214" w:type="dxa"/>
            <w:gridSpan w:val="9"/>
            <w:tcBorders>
              <w:top w:val="single" w:color="auto" w:sz="6" w:space="0"/>
              <w:bottom w:val="single" w:color="auto" w:sz="6" w:space="0"/>
            </w:tcBorders>
            <w:shd w:val="clear" w:color="auto" w:fill="F1F1F1" w:themeFill="background1" w:themeFillShade="F2"/>
            <w:vAlign w:val="center"/>
          </w:tcPr>
          <w:p>
            <w:pPr>
              <w:topLinePunct/>
              <w:jc w:val="center"/>
              <w:rPr>
                <w:rFonts w:ascii="宋体" w:hAnsi="宋体"/>
                <w:sz w:val="24"/>
              </w:rPr>
            </w:pPr>
            <w:r>
              <w:rPr>
                <w:rFonts w:hint="eastAsia" w:ascii="宋体" w:hAnsi="宋体"/>
                <w:sz w:val="24"/>
              </w:rPr>
              <w:t>存在直接控股、管理关系的</w:t>
            </w:r>
            <w:r>
              <w:rPr>
                <w:rFonts w:ascii="宋体" w:hAnsi="宋体"/>
                <w:sz w:val="24"/>
              </w:rPr>
              <w:t>相关单位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atLeast"/>
        </w:trPr>
        <w:tc>
          <w:tcPr>
            <w:tcW w:w="2268" w:type="dxa"/>
            <w:tcBorders>
              <w:top w:val="single" w:color="auto" w:sz="6" w:space="0"/>
            </w:tcBorders>
            <w:vAlign w:val="center"/>
          </w:tcPr>
          <w:p>
            <w:pPr>
              <w:topLinePunct/>
              <w:jc w:val="center"/>
              <w:rPr>
                <w:rFonts w:ascii="宋体" w:hAnsi="宋体"/>
                <w:sz w:val="24"/>
              </w:rPr>
            </w:pPr>
            <w:r>
              <w:rPr>
                <w:rFonts w:ascii="宋体" w:hAnsi="宋体"/>
                <w:sz w:val="24"/>
              </w:rPr>
              <w:t>关系</w:t>
            </w:r>
          </w:p>
        </w:tc>
        <w:tc>
          <w:tcPr>
            <w:tcW w:w="6946" w:type="dxa"/>
            <w:gridSpan w:val="8"/>
            <w:tcBorders>
              <w:top w:val="single" w:color="auto" w:sz="6" w:space="0"/>
            </w:tcBorders>
            <w:vAlign w:val="center"/>
          </w:tcPr>
          <w:p>
            <w:pPr>
              <w:topLinePunct/>
              <w:jc w:val="center"/>
              <w:rPr>
                <w:rFonts w:ascii="宋体" w:hAnsi="宋体"/>
                <w:sz w:val="24"/>
              </w:rPr>
            </w:pPr>
            <w:r>
              <w:rPr>
                <w:rFonts w:ascii="宋体" w:hAnsi="宋体"/>
                <w:sz w:val="24"/>
              </w:rPr>
              <w:t>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2268" w:type="dxa"/>
            <w:vAlign w:val="center"/>
          </w:tcPr>
          <w:p>
            <w:pPr>
              <w:topLinePunct/>
              <w:jc w:val="center"/>
              <w:rPr>
                <w:rFonts w:ascii="宋体" w:hAnsi="宋体"/>
                <w:sz w:val="24"/>
              </w:rPr>
            </w:pPr>
          </w:p>
        </w:tc>
        <w:tc>
          <w:tcPr>
            <w:tcW w:w="6946" w:type="dxa"/>
            <w:gridSpan w:val="8"/>
            <w:vAlign w:val="center"/>
          </w:tcPr>
          <w:p>
            <w:pPr>
              <w:topLinePun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2268" w:type="dxa"/>
            <w:vAlign w:val="center"/>
          </w:tcPr>
          <w:p>
            <w:pPr>
              <w:topLinePunct/>
              <w:jc w:val="center"/>
              <w:rPr>
                <w:rFonts w:ascii="宋体" w:hAnsi="宋体"/>
                <w:sz w:val="24"/>
              </w:rPr>
            </w:pPr>
          </w:p>
        </w:tc>
        <w:tc>
          <w:tcPr>
            <w:tcW w:w="6946" w:type="dxa"/>
            <w:gridSpan w:val="8"/>
            <w:vAlign w:val="center"/>
          </w:tcPr>
          <w:p>
            <w:pPr>
              <w:topLinePunct/>
              <w:jc w:val="center"/>
              <w:rPr>
                <w:rFonts w:ascii="宋体" w:hAnsi="宋体"/>
                <w:sz w:val="24"/>
              </w:rPr>
            </w:pPr>
          </w:p>
        </w:tc>
      </w:tr>
    </w:tbl>
    <w:p>
      <w:pPr>
        <w:adjustRightInd w:val="0"/>
        <w:snapToGrid w:val="0"/>
        <w:spacing w:line="360" w:lineRule="auto"/>
        <w:ind w:left="420" w:hanging="420" w:hangingChars="200"/>
        <w:rPr>
          <w:rFonts w:ascii="宋体" w:hAnsi="宋体"/>
          <w:szCs w:val="21"/>
        </w:rPr>
      </w:pPr>
      <w:r>
        <w:rPr>
          <w:rFonts w:hint="eastAsia" w:ascii="宋体" w:hAnsi="宋体"/>
          <w:szCs w:val="21"/>
        </w:rPr>
        <w:t>说明： 1.成立时间至提交投标文件截止时间不足一年的可不填写“上年度营业收入”； 2.表格空间不足时，请自行扩展。</w:t>
      </w:r>
    </w:p>
    <w:p>
      <w:pPr>
        <w:pStyle w:val="2"/>
      </w:pPr>
    </w:p>
    <w:p>
      <w:pPr>
        <w:pStyle w:val="5"/>
        <w:spacing w:before="161" w:after="161"/>
        <w:jc w:val="center"/>
        <w:rPr>
          <w:szCs w:val="21"/>
        </w:rPr>
      </w:pPr>
      <w:bookmarkStart w:id="166" w:name="_Toc111853935"/>
      <w:bookmarkStart w:id="167" w:name="_Toc18844"/>
      <w:bookmarkStart w:id="168" w:name="_Toc14867"/>
      <w:bookmarkStart w:id="169" w:name="_Toc73217191"/>
      <w:r>
        <w:rPr>
          <w:rFonts w:hint="eastAsia"/>
        </w:rPr>
        <w:t>二</w:t>
      </w:r>
      <w:r>
        <w:rPr>
          <w:rFonts w:hint="eastAsia"/>
          <w:lang w:eastAsia="zh-CN"/>
        </w:rPr>
        <w:t>、</w:t>
      </w:r>
      <w:r>
        <w:rPr>
          <w:rFonts w:hint="eastAsia"/>
        </w:rPr>
        <w:t>法定代表人（单位负责人）身份证明</w:t>
      </w:r>
      <w:bookmarkEnd w:id="166"/>
      <w:bookmarkEnd w:id="167"/>
      <w:bookmarkEnd w:id="168"/>
      <w:bookmarkEnd w:id="169"/>
    </w:p>
    <w:p>
      <w:pPr>
        <w:snapToGrid w:val="0"/>
        <w:spacing w:line="480" w:lineRule="auto"/>
        <w:rPr>
          <w:rFonts w:ascii="宋体" w:hAnsi="宋体"/>
          <w:szCs w:val="21"/>
        </w:rPr>
      </w:pPr>
    </w:p>
    <w:p>
      <w:pPr>
        <w:autoSpaceDE w:val="0"/>
        <w:autoSpaceDN w:val="0"/>
        <w:adjustRightInd w:val="0"/>
        <w:snapToGrid w:val="0"/>
        <w:spacing w:before="161" w:beforeLines="50" w:line="360" w:lineRule="auto"/>
        <w:jc w:val="left"/>
        <w:rPr>
          <w:rFonts w:ascii="宋体" w:hAnsi="宋体" w:cs="宋体"/>
          <w:kern w:val="0"/>
          <w:sz w:val="24"/>
        </w:rPr>
      </w:pPr>
      <w:r>
        <w:rPr>
          <w:rFonts w:hint="eastAsia" w:ascii="宋体" w:hAnsi="宋体"/>
          <w:sz w:val="24"/>
        </w:rPr>
        <w:t>投标人</w:t>
      </w:r>
      <w:r>
        <w:rPr>
          <w:rFonts w:hint="eastAsia" w:ascii="宋体" w:hAnsi="宋体" w:cs="宋体"/>
          <w:kern w:val="0"/>
          <w:sz w:val="24"/>
        </w:rPr>
        <w:t>名称：</w:t>
      </w:r>
    </w:p>
    <w:p>
      <w:pPr>
        <w:autoSpaceDE w:val="0"/>
        <w:autoSpaceDN w:val="0"/>
        <w:adjustRightInd w:val="0"/>
        <w:snapToGrid w:val="0"/>
        <w:spacing w:before="161" w:beforeLines="50" w:line="360" w:lineRule="auto"/>
        <w:jc w:val="left"/>
        <w:rPr>
          <w:rFonts w:ascii="宋体" w:hAnsi="宋体" w:cs="宋体"/>
          <w:kern w:val="0"/>
          <w:sz w:val="24"/>
        </w:rPr>
      </w:pPr>
      <w:r>
        <w:rPr>
          <w:rFonts w:hint="eastAsia" w:ascii="宋体" w:hAnsi="宋体" w:cs="宋体"/>
          <w:kern w:val="0"/>
          <w:sz w:val="24"/>
        </w:rPr>
        <w:t>统一社会信用代码：</w:t>
      </w:r>
    </w:p>
    <w:p>
      <w:pPr>
        <w:autoSpaceDE w:val="0"/>
        <w:autoSpaceDN w:val="0"/>
        <w:adjustRightInd w:val="0"/>
        <w:snapToGrid w:val="0"/>
        <w:spacing w:before="161" w:beforeLines="50" w:line="360" w:lineRule="auto"/>
        <w:jc w:val="left"/>
        <w:rPr>
          <w:rFonts w:ascii="宋体" w:hAnsi="宋体" w:cs="宋体"/>
          <w:kern w:val="0"/>
          <w:sz w:val="24"/>
        </w:rPr>
      </w:pPr>
      <w:r>
        <w:rPr>
          <w:rFonts w:hint="eastAsia" w:ascii="宋体" w:hAnsi="宋体" w:cs="宋体"/>
          <w:kern w:val="0"/>
          <w:sz w:val="24"/>
        </w:rPr>
        <w:t>姓名： 性别： 年龄： 职务：</w:t>
      </w:r>
    </w:p>
    <w:p>
      <w:pPr>
        <w:autoSpaceDE w:val="0"/>
        <w:autoSpaceDN w:val="0"/>
        <w:adjustRightInd w:val="0"/>
        <w:snapToGrid w:val="0"/>
        <w:spacing w:before="161" w:beforeLines="50" w:line="360" w:lineRule="auto"/>
        <w:jc w:val="left"/>
        <w:rPr>
          <w:rFonts w:ascii="宋体" w:hAnsi="宋体" w:cs="宋体"/>
          <w:kern w:val="0"/>
          <w:sz w:val="24"/>
        </w:rPr>
      </w:pPr>
      <w:r>
        <w:rPr>
          <w:rFonts w:hint="eastAsia" w:ascii="宋体" w:hAnsi="宋体" w:cs="宋体"/>
          <w:kern w:val="0"/>
          <w:sz w:val="24"/>
        </w:rPr>
        <w:t>系（投标人名称）的法定代表人（单位负责人）。</w:t>
      </w:r>
    </w:p>
    <w:p>
      <w:pPr>
        <w:autoSpaceDE w:val="0"/>
        <w:autoSpaceDN w:val="0"/>
        <w:adjustRightInd w:val="0"/>
        <w:snapToGrid w:val="0"/>
        <w:spacing w:before="161" w:beforeLines="50" w:line="360" w:lineRule="auto"/>
        <w:jc w:val="left"/>
        <w:rPr>
          <w:rFonts w:ascii="宋体" w:hAnsi="宋体" w:cs="宋体"/>
          <w:kern w:val="0"/>
          <w:sz w:val="24"/>
        </w:rPr>
      </w:pPr>
      <w:r>
        <w:rPr>
          <w:rFonts w:hint="eastAsia" w:ascii="宋体" w:hAnsi="宋体" w:cs="宋体"/>
          <w:kern w:val="0"/>
          <w:sz w:val="24"/>
        </w:rPr>
        <w:t>特此证明。</w:t>
      </w:r>
    </w:p>
    <w:p>
      <w:pPr>
        <w:autoSpaceDE w:val="0"/>
        <w:autoSpaceDN w:val="0"/>
        <w:adjustRightInd w:val="0"/>
        <w:snapToGrid w:val="0"/>
        <w:spacing w:before="161" w:beforeLines="50" w:line="360" w:lineRule="auto"/>
        <w:jc w:val="left"/>
        <w:rPr>
          <w:rFonts w:ascii="宋体" w:hAnsi="宋体"/>
          <w:sz w:val="24"/>
        </w:rPr>
      </w:pPr>
    </w:p>
    <w:p>
      <w:pPr>
        <w:autoSpaceDE w:val="0"/>
        <w:autoSpaceDN w:val="0"/>
        <w:adjustRightInd w:val="0"/>
        <w:snapToGrid w:val="0"/>
        <w:spacing w:before="161" w:beforeLines="50" w:line="360" w:lineRule="auto"/>
        <w:jc w:val="left"/>
        <w:rPr>
          <w:rFonts w:ascii="宋体" w:hAnsi="宋体" w:cs="宋体"/>
          <w:kern w:val="0"/>
          <w:sz w:val="24"/>
        </w:rPr>
      </w:pPr>
      <w:r>
        <w:rPr>
          <w:rFonts w:hint="eastAsia" w:ascii="宋体" w:hAnsi="宋体"/>
          <w:sz w:val="24"/>
        </w:rPr>
        <w:t>附：法定代表人身份证复印件</w:t>
      </w:r>
    </w:p>
    <w:p>
      <w:pPr>
        <w:snapToGrid w:val="0"/>
        <w:spacing w:line="480" w:lineRule="auto"/>
        <w:rPr>
          <w:rFonts w:ascii="宋体" w:hAnsi="宋体"/>
          <w:sz w:val="24"/>
        </w:rPr>
      </w:pPr>
    </w:p>
    <w:tbl>
      <w:tblPr>
        <w:tblStyle w:val="4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ascii="宋体" w:hAnsi="宋体"/>
                <w:sz w:val="24"/>
              </w:rPr>
            </w:pPr>
          </w:p>
          <w:p>
            <w:pPr>
              <w:snapToGrid w:val="0"/>
              <w:spacing w:line="480" w:lineRule="auto"/>
              <w:jc w:val="center"/>
              <w:rPr>
                <w:rFonts w:ascii="宋体" w:hAnsi="宋体"/>
                <w:sz w:val="24"/>
              </w:rPr>
            </w:pPr>
          </w:p>
          <w:p>
            <w:pPr>
              <w:autoSpaceDE w:val="0"/>
              <w:autoSpaceDN w:val="0"/>
              <w:adjustRightInd w:val="0"/>
              <w:snapToGrid w:val="0"/>
              <w:spacing w:before="161" w:beforeLines="50" w:line="360" w:lineRule="auto"/>
              <w:jc w:val="center"/>
              <w:rPr>
                <w:rFonts w:ascii="宋体" w:hAnsi="宋体" w:cs="宋体"/>
                <w:kern w:val="0"/>
                <w:sz w:val="24"/>
              </w:rPr>
            </w:pPr>
            <w:r>
              <w:rPr>
                <w:rFonts w:hint="eastAsia" w:ascii="宋体" w:hAnsi="宋体"/>
                <w:sz w:val="24"/>
              </w:rPr>
              <w:t>法定代表人身份证复印件粘贴处</w:t>
            </w:r>
          </w:p>
          <w:p>
            <w:pPr>
              <w:snapToGrid w:val="0"/>
              <w:spacing w:line="480" w:lineRule="auto"/>
              <w:jc w:val="center"/>
              <w:rPr>
                <w:rFonts w:ascii="宋体" w:hAnsi="宋体"/>
                <w:sz w:val="24"/>
              </w:rPr>
            </w:pPr>
          </w:p>
          <w:p>
            <w:pPr>
              <w:snapToGrid w:val="0"/>
              <w:spacing w:line="480" w:lineRule="auto"/>
              <w:jc w:val="center"/>
              <w:rPr>
                <w:rFonts w:ascii="宋体" w:hAnsi="宋体"/>
                <w:sz w:val="24"/>
              </w:rPr>
            </w:pPr>
          </w:p>
        </w:tc>
      </w:tr>
    </w:tbl>
    <w:p>
      <w:pPr>
        <w:snapToGrid w:val="0"/>
        <w:spacing w:line="480" w:lineRule="auto"/>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ind w:right="420"/>
        <w:rPr>
          <w:rFonts w:ascii="宋体" w:hAnsi="宋体"/>
          <w:sz w:val="24"/>
        </w:rPr>
      </w:pPr>
    </w:p>
    <w:p>
      <w:pPr>
        <w:adjustRightInd w:val="0"/>
        <w:snapToGrid w:val="0"/>
        <w:spacing w:line="360" w:lineRule="auto"/>
        <w:ind w:right="420"/>
        <w:rPr>
          <w:rFonts w:ascii="宋体" w:hAnsi="宋体"/>
          <w:sz w:val="24"/>
        </w:rPr>
      </w:pPr>
    </w:p>
    <w:p>
      <w:pPr>
        <w:adjustRightInd w:val="0"/>
        <w:snapToGrid w:val="0"/>
        <w:spacing w:line="360" w:lineRule="auto"/>
        <w:ind w:right="420"/>
        <w:rPr>
          <w:rFonts w:ascii="宋体" w:hAnsi="宋体"/>
          <w:sz w:val="24"/>
        </w:rPr>
      </w:pPr>
    </w:p>
    <w:p>
      <w:pPr>
        <w:adjustRightInd w:val="0"/>
        <w:snapToGrid w:val="0"/>
        <w:spacing w:line="360" w:lineRule="auto"/>
        <w:ind w:right="420"/>
        <w:rPr>
          <w:rFonts w:ascii="宋体" w:hAnsi="宋体"/>
          <w:sz w:val="24"/>
        </w:rPr>
      </w:pPr>
    </w:p>
    <w:p>
      <w:pPr>
        <w:adjustRightInd w:val="0"/>
        <w:snapToGrid w:val="0"/>
        <w:spacing w:line="360" w:lineRule="auto"/>
        <w:ind w:right="420" w:firstLine="240" w:firstLineChars="100"/>
        <w:rPr>
          <w:rFonts w:ascii="宋体" w:hAnsi="宋体"/>
          <w:sz w:val="24"/>
        </w:rPr>
      </w:pPr>
    </w:p>
    <w:p>
      <w:pPr>
        <w:adjustRightInd w:val="0"/>
        <w:snapToGrid w:val="0"/>
        <w:spacing w:line="360" w:lineRule="auto"/>
        <w:ind w:right="420" w:firstLine="3720" w:firstLineChars="1550"/>
        <w:rPr>
          <w:rFonts w:ascii="宋体" w:hAnsi="宋体"/>
          <w:sz w:val="24"/>
        </w:rPr>
      </w:pPr>
    </w:p>
    <w:p>
      <w:pPr>
        <w:adjustRightInd w:val="0"/>
        <w:snapToGrid w:val="0"/>
        <w:spacing w:line="360" w:lineRule="auto"/>
        <w:ind w:right="420" w:firstLine="4920" w:firstLineChars="2050"/>
        <w:rPr>
          <w:rFonts w:ascii="宋体" w:hAnsi="宋体"/>
          <w:sz w:val="24"/>
        </w:rPr>
      </w:pPr>
      <w:r>
        <w:rPr>
          <w:rFonts w:hint="eastAsia" w:ascii="宋体" w:hAnsi="宋体"/>
          <w:sz w:val="24"/>
        </w:rPr>
        <w:t>投标人名称：（盖单位章）</w:t>
      </w:r>
    </w:p>
    <w:p>
      <w:pPr>
        <w:adjustRightInd w:val="0"/>
        <w:snapToGrid w:val="0"/>
        <w:spacing w:line="360" w:lineRule="auto"/>
        <w:ind w:right="420" w:firstLine="5520" w:firstLineChars="2300"/>
        <w:rPr>
          <w:rFonts w:ascii="宋体" w:hAnsi="宋体"/>
          <w:sz w:val="24"/>
        </w:rPr>
      </w:pPr>
    </w:p>
    <w:p>
      <w:pPr>
        <w:adjustRightInd w:val="0"/>
        <w:snapToGrid w:val="0"/>
        <w:spacing w:line="360" w:lineRule="auto"/>
        <w:ind w:right="420" w:firstLine="5100" w:firstLineChars="2125"/>
        <w:rPr>
          <w:rFonts w:ascii="宋体" w:hAnsi="宋体"/>
          <w:sz w:val="24"/>
        </w:rPr>
      </w:pPr>
      <w:r>
        <w:rPr>
          <w:rFonts w:hint="eastAsia" w:ascii="宋体" w:hAnsi="宋体"/>
          <w:sz w:val="24"/>
        </w:rPr>
        <w:t>日  期：  年  月  日</w:t>
      </w:r>
    </w:p>
    <w:p>
      <w:pPr>
        <w:adjustRightInd w:val="0"/>
        <w:snapToGrid w:val="0"/>
        <w:spacing w:line="360" w:lineRule="auto"/>
        <w:ind w:right="420" w:firstLine="210" w:firstLineChars="100"/>
        <w:rPr>
          <w:rFonts w:ascii="仿宋_GB2312" w:hAnsi="宋体" w:eastAsia="仿宋_GB2312"/>
          <w:szCs w:val="21"/>
        </w:rPr>
      </w:pPr>
    </w:p>
    <w:p>
      <w:pPr>
        <w:pStyle w:val="2"/>
      </w:pPr>
    </w:p>
    <w:p>
      <w:pPr>
        <w:pStyle w:val="2"/>
      </w:pPr>
    </w:p>
    <w:p>
      <w:pPr>
        <w:adjustRightInd w:val="0"/>
        <w:snapToGrid w:val="0"/>
        <w:spacing w:line="360" w:lineRule="auto"/>
        <w:ind w:right="420" w:firstLine="211" w:firstLineChars="100"/>
        <w:rPr>
          <w:rFonts w:ascii="宋体" w:hAnsi="宋体"/>
          <w:b/>
          <w:szCs w:val="21"/>
        </w:rPr>
      </w:pPr>
      <w:r>
        <w:rPr>
          <w:rFonts w:hint="eastAsia" w:ascii="宋体" w:hAnsi="宋体"/>
          <w:b/>
          <w:szCs w:val="21"/>
        </w:rPr>
        <w:t xml:space="preserve"> </w:t>
      </w:r>
    </w:p>
    <w:p>
      <w:pPr>
        <w:pStyle w:val="5"/>
        <w:spacing w:before="161" w:after="161"/>
        <w:ind w:firstLine="2811" w:firstLineChars="1000"/>
        <w:jc w:val="both"/>
      </w:pPr>
      <w:bookmarkStart w:id="170" w:name="_Toc22410"/>
      <w:bookmarkStart w:id="171" w:name="_Toc111853936"/>
      <w:bookmarkStart w:id="172" w:name="_Toc73217192"/>
      <w:bookmarkStart w:id="173" w:name="_Toc16065"/>
      <w:r>
        <w:rPr>
          <w:rFonts w:hint="eastAsia"/>
        </w:rPr>
        <w:t>三</w:t>
      </w:r>
      <w:r>
        <w:rPr>
          <w:rFonts w:hint="eastAsia"/>
          <w:lang w:eastAsia="zh-CN"/>
        </w:rPr>
        <w:t>、</w:t>
      </w:r>
      <w:r>
        <w:rPr>
          <w:rFonts w:hint="eastAsia"/>
        </w:rPr>
        <w:t>授权委托书</w:t>
      </w:r>
      <w:bookmarkEnd w:id="170"/>
      <w:bookmarkEnd w:id="171"/>
      <w:bookmarkEnd w:id="172"/>
      <w:bookmarkEnd w:id="173"/>
    </w:p>
    <w:p>
      <w:pPr>
        <w:spacing w:line="360" w:lineRule="auto"/>
        <w:ind w:firstLine="480" w:firstLineChars="200"/>
        <w:rPr>
          <w:rFonts w:ascii="宋体" w:hAnsi="宋体"/>
          <w:sz w:val="24"/>
        </w:rPr>
      </w:pPr>
      <w:r>
        <w:rPr>
          <w:rFonts w:hint="eastAsia" w:ascii="宋体" w:hAnsi="宋体"/>
          <w:sz w:val="24"/>
          <w:lang w:val="zh-CN"/>
        </w:rPr>
        <w:t>本人（姓名）系（投标人名称）的法定代表人（单位负责人），现委托（姓名）为我方代理人。代理人根据授权，以我方的名义签署、澄清确认、递交、撤回、修改（采购项目）投标文件、签订合同和全权处理一切与之有关的事宜，</w:t>
      </w:r>
      <w:r>
        <w:rPr>
          <w:rFonts w:hint="eastAsia" w:ascii="宋体" w:hAnsi="宋体" w:cs="宋体"/>
          <w:kern w:val="0"/>
          <w:sz w:val="24"/>
        </w:rPr>
        <w:t>其法律后果由我方承担。</w:t>
      </w:r>
    </w:p>
    <w:p>
      <w:pPr>
        <w:spacing w:line="480" w:lineRule="auto"/>
        <w:ind w:firstLine="480" w:firstLineChars="200"/>
        <w:rPr>
          <w:rFonts w:ascii="宋体" w:hAnsi="宋体"/>
          <w:sz w:val="24"/>
        </w:rPr>
      </w:pPr>
      <w:r>
        <w:rPr>
          <w:rFonts w:hint="eastAsia" w:ascii="宋体" w:hAnsi="宋体"/>
          <w:sz w:val="24"/>
          <w:lang w:val="zh-CN"/>
        </w:rPr>
        <w:t>委托期限</w:t>
      </w:r>
      <w:r>
        <w:rPr>
          <w:rFonts w:hint="eastAsia" w:ascii="宋体" w:hAnsi="宋体"/>
          <w:sz w:val="24"/>
        </w:rPr>
        <w:t>：自开标之日起90日历天</w:t>
      </w:r>
      <w:r>
        <w:rPr>
          <w:rFonts w:hint="eastAsia" w:ascii="宋体" w:hAnsi="宋体"/>
          <w:sz w:val="24"/>
          <w:lang w:val="zh-CN"/>
        </w:rPr>
        <w:t>。</w:t>
      </w:r>
    </w:p>
    <w:p>
      <w:pPr>
        <w:spacing w:line="480" w:lineRule="auto"/>
        <w:ind w:firstLine="480" w:firstLineChars="200"/>
        <w:rPr>
          <w:rFonts w:ascii="宋体" w:hAnsi="宋体"/>
          <w:b/>
          <w:bCs/>
          <w:sz w:val="24"/>
        </w:rPr>
      </w:pPr>
      <w:r>
        <w:rPr>
          <w:rFonts w:hint="eastAsia" w:ascii="宋体" w:hAnsi="宋体"/>
          <w:sz w:val="24"/>
        </w:rPr>
        <w:t>代理人无转委托权。</w:t>
      </w:r>
    </w:p>
    <w:p>
      <w:pPr>
        <w:spacing w:line="360" w:lineRule="auto"/>
        <w:ind w:firstLine="480" w:firstLineChars="200"/>
        <w:rPr>
          <w:rFonts w:ascii="宋体" w:hAnsi="宋体"/>
          <w:sz w:val="24"/>
        </w:rPr>
      </w:pPr>
    </w:p>
    <w:p>
      <w:pPr>
        <w:spacing w:line="360" w:lineRule="auto"/>
        <w:rPr>
          <w:rFonts w:ascii="宋体" w:hAnsi="宋体"/>
          <w:sz w:val="24"/>
          <w:u w:val="single"/>
        </w:rPr>
      </w:pPr>
      <w:r>
        <w:rPr>
          <w:rFonts w:hint="eastAsia" w:ascii="宋体" w:hAnsi="宋体"/>
          <w:sz w:val="24"/>
          <w:lang w:val="zh-CN"/>
        </w:rPr>
        <w:t>附：法定代表人（单位负责人）身份证复印件</w:t>
      </w:r>
      <w:r>
        <w:rPr>
          <w:rFonts w:hint="eastAsia" w:ascii="宋体" w:hAnsi="宋体"/>
          <w:sz w:val="24"/>
        </w:rPr>
        <w:t>、</w:t>
      </w:r>
      <w:r>
        <w:rPr>
          <w:rFonts w:hint="eastAsia" w:ascii="宋体" w:hAnsi="宋体"/>
          <w:sz w:val="24"/>
          <w:lang w:val="zh-CN"/>
        </w:rPr>
        <w:t>委托代理人身份证复印件</w:t>
      </w:r>
    </w:p>
    <w:tbl>
      <w:tblPr>
        <w:tblStyle w:val="4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u w:val="single"/>
              </w:rPr>
            </w:pPr>
            <w:r>
              <w:rPr>
                <w:rFonts w:hint="eastAsia" w:ascii="宋体" w:hAnsi="宋体"/>
                <w:sz w:val="24"/>
                <w:lang w:val="zh-CN"/>
              </w:rPr>
              <w:t>法定代表人（单位负责人）身份证正反面复印件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u w:val="single"/>
              </w:rPr>
            </w:pPr>
            <w:r>
              <w:rPr>
                <w:rFonts w:hint="eastAsia" w:ascii="宋体" w:hAnsi="宋体"/>
                <w:sz w:val="24"/>
                <w:lang w:val="zh-CN"/>
              </w:rPr>
              <w:t>委托代理人身份证正反面复印件</w:t>
            </w:r>
          </w:p>
        </w:tc>
      </w:tr>
    </w:tbl>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3240" w:firstLineChars="1350"/>
        <w:rPr>
          <w:rFonts w:ascii="宋体" w:hAnsi="宋体"/>
          <w:sz w:val="24"/>
        </w:rPr>
      </w:pPr>
      <w:r>
        <w:rPr>
          <w:rFonts w:hint="eastAsia" w:ascii="宋体" w:hAnsi="宋体"/>
          <w:sz w:val="24"/>
        </w:rPr>
        <w:t xml:space="preserve">投  标  人：（盖单位章） </w:t>
      </w:r>
    </w:p>
    <w:p>
      <w:pPr>
        <w:ind w:firstLine="480" w:firstLineChars="200"/>
        <w:rPr>
          <w:rFonts w:ascii="宋体" w:hAnsi="宋体"/>
          <w:sz w:val="24"/>
        </w:rPr>
      </w:pPr>
    </w:p>
    <w:p>
      <w:pPr>
        <w:ind w:firstLine="3240" w:firstLineChars="1350"/>
        <w:rPr>
          <w:rFonts w:ascii="宋体" w:hAnsi="宋体"/>
          <w:sz w:val="24"/>
        </w:rPr>
      </w:pPr>
      <w:r>
        <w:rPr>
          <w:rFonts w:hint="eastAsia" w:ascii="宋体" w:hAnsi="宋体"/>
          <w:sz w:val="24"/>
        </w:rPr>
        <w:t>法定代表人（单位负责人）:  （签字或盖章）</w:t>
      </w:r>
    </w:p>
    <w:p>
      <w:pPr>
        <w:ind w:firstLine="3960" w:firstLineChars="1650"/>
        <w:rPr>
          <w:rFonts w:ascii="宋体" w:hAnsi="宋体"/>
          <w:sz w:val="24"/>
        </w:rPr>
      </w:pPr>
    </w:p>
    <w:p>
      <w:pPr>
        <w:ind w:firstLine="3240" w:firstLineChars="1350"/>
        <w:jc w:val="left"/>
        <w:rPr>
          <w:rFonts w:ascii="宋体" w:hAnsi="宋体"/>
          <w:sz w:val="24"/>
          <w:u w:val="single"/>
        </w:rPr>
      </w:pPr>
      <w:r>
        <w:rPr>
          <w:rFonts w:hint="eastAsia" w:ascii="宋体" w:hAnsi="宋体"/>
          <w:sz w:val="24"/>
        </w:rPr>
        <w:t>身 份 证 号：</w:t>
      </w:r>
    </w:p>
    <w:p>
      <w:pPr>
        <w:ind w:firstLine="3960" w:firstLineChars="1650"/>
        <w:rPr>
          <w:rFonts w:ascii="宋体" w:hAnsi="宋体"/>
          <w:sz w:val="24"/>
        </w:rPr>
      </w:pPr>
    </w:p>
    <w:p>
      <w:pPr>
        <w:ind w:firstLine="3240" w:firstLineChars="1350"/>
        <w:rPr>
          <w:rFonts w:ascii="宋体" w:hAnsi="宋体"/>
          <w:sz w:val="24"/>
        </w:rPr>
      </w:pPr>
      <w:r>
        <w:rPr>
          <w:rFonts w:hint="eastAsia" w:ascii="宋体" w:hAnsi="宋体"/>
          <w:sz w:val="24"/>
        </w:rPr>
        <w:t xml:space="preserve">委托代理人： （签字）     </w:t>
      </w:r>
    </w:p>
    <w:p>
      <w:pPr>
        <w:ind w:firstLine="3240" w:firstLineChars="1350"/>
        <w:jc w:val="left"/>
        <w:rPr>
          <w:rFonts w:ascii="宋体" w:hAnsi="宋体"/>
          <w:sz w:val="24"/>
        </w:rPr>
      </w:pPr>
    </w:p>
    <w:p>
      <w:pPr>
        <w:ind w:firstLine="3240" w:firstLineChars="1350"/>
        <w:jc w:val="left"/>
        <w:rPr>
          <w:rFonts w:ascii="宋体" w:hAnsi="宋体"/>
          <w:sz w:val="24"/>
          <w:u w:val="single"/>
        </w:rPr>
      </w:pPr>
      <w:r>
        <w:rPr>
          <w:rFonts w:hint="eastAsia" w:ascii="宋体" w:hAnsi="宋体"/>
          <w:sz w:val="24"/>
        </w:rPr>
        <w:t>身 份 证 号：</w:t>
      </w:r>
    </w:p>
    <w:p>
      <w:pPr>
        <w:ind w:firstLine="480" w:firstLineChars="200"/>
        <w:rPr>
          <w:rFonts w:ascii="宋体" w:hAnsi="宋体"/>
          <w:sz w:val="24"/>
        </w:rPr>
      </w:pPr>
    </w:p>
    <w:p>
      <w:pPr>
        <w:ind w:firstLine="3120" w:firstLineChars="1300"/>
        <w:rPr>
          <w:rFonts w:ascii="仿宋_GB2312" w:eastAsia="仿宋_GB2312"/>
          <w:sz w:val="24"/>
          <w:lang w:val="zh-CN"/>
        </w:rPr>
      </w:pPr>
      <w:r>
        <w:rPr>
          <w:rFonts w:hint="eastAsia" w:ascii="宋体" w:hAnsi="宋体"/>
          <w:sz w:val="24"/>
        </w:rPr>
        <w:t xml:space="preserve"> 授权委托日期：     年   月   日</w:t>
      </w:r>
    </w:p>
    <w:p>
      <w:pPr>
        <w:ind w:firstLine="420" w:firstLineChars="200"/>
        <w:rPr>
          <w:rFonts w:ascii="仿宋_GB2312" w:eastAsia="仿宋_GB2312"/>
          <w:lang w:val="zh-CN"/>
        </w:rPr>
      </w:pPr>
    </w:p>
    <w:p>
      <w:pPr>
        <w:ind w:firstLine="420" w:firstLineChars="200"/>
        <w:rPr>
          <w:rFonts w:ascii="仿宋_GB2312" w:eastAsia="仿宋_GB2312"/>
          <w:lang w:val="zh-CN"/>
        </w:rPr>
      </w:pPr>
    </w:p>
    <w:p>
      <w:pPr>
        <w:pStyle w:val="5"/>
        <w:spacing w:before="161" w:after="161"/>
        <w:jc w:val="center"/>
      </w:pPr>
      <w:bookmarkStart w:id="174" w:name="_Toc12688"/>
      <w:bookmarkStart w:id="175" w:name="_Toc873"/>
      <w:bookmarkStart w:id="176" w:name="_Toc111853937"/>
      <w:bookmarkStart w:id="177" w:name="_Toc73217193"/>
      <w:r>
        <w:rPr>
          <w:rFonts w:hint="eastAsia"/>
        </w:rPr>
        <w:t>四</w:t>
      </w:r>
      <w:r>
        <w:rPr>
          <w:rFonts w:hint="eastAsia"/>
          <w:lang w:eastAsia="zh-CN"/>
        </w:rPr>
        <w:t>、</w:t>
      </w:r>
      <w:r>
        <w:rPr>
          <w:rFonts w:hint="eastAsia"/>
          <w:lang w:val="zh-CN"/>
        </w:rPr>
        <w:t>投标人的营业执照等证明文件，自然人的身份证明</w:t>
      </w:r>
      <w:bookmarkEnd w:id="174"/>
      <w:bookmarkEnd w:id="175"/>
      <w:bookmarkEnd w:id="176"/>
      <w:bookmarkEnd w:id="177"/>
    </w:p>
    <w:p>
      <w:pPr>
        <w:pStyle w:val="21"/>
        <w:adjustRightInd w:val="0"/>
        <w:snapToGrid w:val="0"/>
        <w:spacing w:line="360" w:lineRule="auto"/>
        <w:jc w:val="left"/>
        <w:rPr>
          <w:rFonts w:hAnsi="宋体"/>
          <w:sz w:val="24"/>
          <w:szCs w:val="24"/>
        </w:rPr>
      </w:pPr>
    </w:p>
    <w:p>
      <w:pPr>
        <w:pStyle w:val="21"/>
        <w:adjustRightInd w:val="0"/>
        <w:snapToGrid w:val="0"/>
        <w:spacing w:line="360" w:lineRule="auto"/>
        <w:rPr>
          <w:rFonts w:hAnsi="宋体"/>
          <w:sz w:val="24"/>
          <w:szCs w:val="24"/>
        </w:rPr>
      </w:pPr>
      <w:r>
        <w:rPr>
          <w:rFonts w:hint="eastAsia" w:hAnsi="宋体"/>
          <w:sz w:val="24"/>
          <w:szCs w:val="24"/>
        </w:rPr>
        <w:t xml:space="preserve"> 说明：</w:t>
      </w:r>
    </w:p>
    <w:p>
      <w:pPr>
        <w:pStyle w:val="21"/>
        <w:adjustRightInd w:val="0"/>
        <w:snapToGrid w:val="0"/>
        <w:spacing w:line="360" w:lineRule="auto"/>
        <w:ind w:firstLine="480" w:firstLineChars="200"/>
        <w:rPr>
          <w:rFonts w:hAnsi="宋体"/>
          <w:sz w:val="24"/>
          <w:szCs w:val="24"/>
        </w:rPr>
      </w:pPr>
      <w:r>
        <w:rPr>
          <w:rFonts w:hint="eastAsia" w:hAnsi="宋体"/>
          <w:sz w:val="24"/>
          <w:szCs w:val="24"/>
        </w:rPr>
        <w:t>（1）企业单位投标提供有效的营业执照（3证合1或多证合1）；或</w:t>
      </w:r>
    </w:p>
    <w:p>
      <w:pPr>
        <w:pStyle w:val="21"/>
        <w:adjustRightInd w:val="0"/>
        <w:snapToGrid w:val="0"/>
        <w:spacing w:line="360" w:lineRule="auto"/>
        <w:ind w:firstLine="480" w:firstLineChars="200"/>
        <w:rPr>
          <w:rFonts w:hAnsi="宋体"/>
          <w:sz w:val="24"/>
          <w:szCs w:val="24"/>
        </w:rPr>
      </w:pPr>
      <w:r>
        <w:rPr>
          <w:rFonts w:hint="eastAsia" w:hAnsi="宋体"/>
          <w:sz w:val="24"/>
          <w:szCs w:val="24"/>
        </w:rPr>
        <w:t>（2）事业单位投标提供有效的法人证书（带有社会统一信用代码）；或</w:t>
      </w:r>
    </w:p>
    <w:p>
      <w:pPr>
        <w:pStyle w:val="21"/>
        <w:adjustRightInd w:val="0"/>
        <w:snapToGrid w:val="0"/>
        <w:spacing w:line="360" w:lineRule="auto"/>
        <w:ind w:firstLine="480" w:firstLineChars="200"/>
        <w:rPr>
          <w:rFonts w:hAnsi="宋体"/>
          <w:sz w:val="24"/>
          <w:szCs w:val="24"/>
        </w:rPr>
      </w:pPr>
      <w:r>
        <w:rPr>
          <w:rFonts w:hint="eastAsia" w:hAnsi="宋体"/>
          <w:sz w:val="24"/>
          <w:szCs w:val="24"/>
        </w:rPr>
        <w:t>（3）其他组织投标提供有效的登记证书（带有社会统一信用代码）；或</w:t>
      </w:r>
    </w:p>
    <w:p>
      <w:pPr>
        <w:pStyle w:val="21"/>
        <w:adjustRightInd w:val="0"/>
        <w:snapToGrid w:val="0"/>
        <w:spacing w:line="360" w:lineRule="auto"/>
        <w:ind w:firstLine="480" w:firstLineChars="200"/>
        <w:rPr>
          <w:rFonts w:hAnsi="宋体"/>
          <w:sz w:val="24"/>
          <w:szCs w:val="24"/>
        </w:rPr>
      </w:pPr>
      <w:r>
        <w:rPr>
          <w:rFonts w:hint="eastAsia" w:hAnsi="宋体"/>
          <w:sz w:val="24"/>
          <w:szCs w:val="24"/>
        </w:rPr>
        <w:t>（4）自然人投标提供有效的身份证复印件；</w:t>
      </w:r>
    </w:p>
    <w:p>
      <w:pPr>
        <w:pStyle w:val="21"/>
        <w:adjustRightInd w:val="0"/>
        <w:snapToGrid w:val="0"/>
        <w:spacing w:line="360" w:lineRule="auto"/>
        <w:ind w:firstLine="720" w:firstLineChars="300"/>
        <w:rPr>
          <w:rFonts w:hAnsi="宋体"/>
          <w:sz w:val="24"/>
          <w:szCs w:val="24"/>
        </w:rPr>
      </w:pPr>
      <w:r>
        <w:rPr>
          <w:rFonts w:hint="eastAsia" w:hAnsi="宋体"/>
          <w:sz w:val="24"/>
          <w:szCs w:val="24"/>
        </w:rPr>
        <w:t>以上（1）-（3）项为正本或者副本复印件，并加盖投标人单位章。</w:t>
      </w: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jc w:val="center"/>
        <w:rPr>
          <w:b/>
          <w:sz w:val="36"/>
          <w:szCs w:val="36"/>
        </w:rPr>
      </w:pPr>
    </w:p>
    <w:p>
      <w:pPr>
        <w:pStyle w:val="21"/>
        <w:adjustRightInd w:val="0"/>
        <w:snapToGrid w:val="0"/>
        <w:spacing w:line="360" w:lineRule="auto"/>
        <w:rPr>
          <w:b/>
          <w:sz w:val="36"/>
          <w:szCs w:val="36"/>
        </w:rPr>
      </w:pPr>
    </w:p>
    <w:p>
      <w:pPr>
        <w:pStyle w:val="21"/>
        <w:adjustRightInd w:val="0"/>
        <w:snapToGrid w:val="0"/>
        <w:spacing w:line="360" w:lineRule="auto"/>
        <w:rPr>
          <w:b/>
          <w:sz w:val="36"/>
          <w:szCs w:val="36"/>
        </w:rPr>
      </w:pPr>
    </w:p>
    <w:p>
      <w:pPr>
        <w:pStyle w:val="5"/>
        <w:spacing w:before="161" w:after="161"/>
        <w:jc w:val="center"/>
      </w:pPr>
      <w:bookmarkStart w:id="178" w:name="_Toc18763"/>
      <w:bookmarkStart w:id="179" w:name="_Toc111853938"/>
      <w:bookmarkStart w:id="180" w:name="_Toc10551"/>
      <w:bookmarkStart w:id="181" w:name="_Toc73217194"/>
      <w:r>
        <w:rPr>
          <w:rFonts w:hint="eastAsia" w:hAnsi="宋体"/>
        </w:rPr>
        <w:t>五</w:t>
      </w:r>
      <w:r>
        <w:rPr>
          <w:rFonts w:hint="eastAsia"/>
          <w:lang w:eastAsia="zh-CN"/>
        </w:rPr>
        <w:t>、</w:t>
      </w:r>
      <w:r>
        <w:rPr>
          <w:rFonts w:hint="eastAsia"/>
        </w:rPr>
        <w:t>财务状况报告</w:t>
      </w:r>
      <w:bookmarkEnd w:id="178"/>
      <w:bookmarkEnd w:id="179"/>
      <w:bookmarkEnd w:id="180"/>
      <w:bookmarkEnd w:id="181"/>
    </w:p>
    <w:p>
      <w:pPr>
        <w:pStyle w:val="21"/>
        <w:adjustRightInd w:val="0"/>
        <w:snapToGrid w:val="0"/>
        <w:spacing w:line="360" w:lineRule="auto"/>
        <w:jc w:val="left"/>
        <w:rPr>
          <w:rFonts w:hAnsi="宋体"/>
          <w:b/>
          <w:sz w:val="24"/>
          <w:szCs w:val="24"/>
        </w:rPr>
      </w:pPr>
    </w:p>
    <w:p>
      <w:pPr>
        <w:pStyle w:val="21"/>
        <w:adjustRightInd w:val="0"/>
        <w:snapToGrid w:val="0"/>
        <w:spacing w:line="360" w:lineRule="auto"/>
        <w:jc w:val="left"/>
        <w:rPr>
          <w:rFonts w:hAnsi="宋体"/>
          <w:sz w:val="24"/>
          <w:szCs w:val="24"/>
        </w:rPr>
      </w:pPr>
      <w:r>
        <w:rPr>
          <w:rFonts w:hint="eastAsia" w:hAnsi="宋体"/>
          <w:sz w:val="24"/>
          <w:szCs w:val="24"/>
        </w:rPr>
        <w:t>说明：</w:t>
      </w:r>
    </w:p>
    <w:p>
      <w:pPr>
        <w:pStyle w:val="21"/>
        <w:adjustRightInd w:val="0"/>
        <w:snapToGrid w:val="0"/>
        <w:spacing w:line="360" w:lineRule="auto"/>
        <w:ind w:firstLine="480" w:firstLineChars="200"/>
        <w:jc w:val="left"/>
        <w:rPr>
          <w:rFonts w:hAnsi="宋体"/>
          <w:sz w:val="24"/>
          <w:szCs w:val="24"/>
        </w:rPr>
      </w:pPr>
      <w:r>
        <w:rPr>
          <w:rFonts w:hAnsi="宋体"/>
          <w:sz w:val="24"/>
          <w:szCs w:val="24"/>
        </w:rPr>
        <w:t>提供</w:t>
      </w:r>
      <w:r>
        <w:rPr>
          <w:rFonts w:hint="eastAsia" w:hAnsi="宋体"/>
          <w:sz w:val="24"/>
          <w:szCs w:val="24"/>
        </w:rPr>
        <w:t>2021年度</w:t>
      </w:r>
      <w:r>
        <w:rPr>
          <w:rFonts w:hAnsi="宋体"/>
          <w:sz w:val="24"/>
          <w:szCs w:val="24"/>
        </w:rPr>
        <w:t>经审计的财务会计报告（至少包括审计报告、资产负债表和利润表，成立时间至提交投标文件截止时间不足一年的可提供成立后任意时段的资产负债表）</w:t>
      </w:r>
      <w:r>
        <w:rPr>
          <w:rFonts w:hint="eastAsia" w:hAnsi="宋体"/>
          <w:sz w:val="24"/>
          <w:szCs w:val="24"/>
        </w:rPr>
        <w:t>或健全的财务会计制度</w:t>
      </w:r>
      <w:r>
        <w:rPr>
          <w:rFonts w:hAnsi="宋体"/>
          <w:sz w:val="24"/>
          <w:szCs w:val="24"/>
        </w:rPr>
        <w:t>或提供</w:t>
      </w:r>
      <w:r>
        <w:rPr>
          <w:rFonts w:hint="eastAsia" w:hAnsi="宋体"/>
          <w:sz w:val="24"/>
          <w:szCs w:val="24"/>
        </w:rPr>
        <w:t>投标投标人</w:t>
      </w:r>
      <w:r>
        <w:rPr>
          <w:rFonts w:hAnsi="宋体"/>
          <w:sz w:val="24"/>
          <w:szCs w:val="24"/>
        </w:rPr>
        <w:t>基本存款账户信息及</w:t>
      </w:r>
      <w:r>
        <w:rPr>
          <w:rFonts w:hint="eastAsia" w:hAnsi="宋体"/>
          <w:sz w:val="24"/>
          <w:szCs w:val="24"/>
        </w:rPr>
        <w:t>开标</w:t>
      </w:r>
      <w:r>
        <w:rPr>
          <w:rFonts w:hAnsi="宋体"/>
          <w:sz w:val="24"/>
          <w:szCs w:val="24"/>
        </w:rPr>
        <w:t>日期前三个月内其基本存款账户开户银行出具的资信证明或西安市政府采购信用担保机构出具的投标担保函。</w:t>
      </w:r>
    </w:p>
    <w:p>
      <w:pPr>
        <w:pStyle w:val="21"/>
        <w:adjustRightInd w:val="0"/>
        <w:snapToGrid w:val="0"/>
        <w:spacing w:line="360" w:lineRule="auto"/>
        <w:ind w:firstLine="480" w:firstLineChars="200"/>
        <w:rPr>
          <w:rFonts w:hAnsi="宋体"/>
          <w:sz w:val="24"/>
          <w:szCs w:val="24"/>
        </w:rPr>
      </w:pPr>
    </w:p>
    <w:p>
      <w:pPr>
        <w:pStyle w:val="21"/>
        <w:adjustRightInd w:val="0"/>
        <w:snapToGrid w:val="0"/>
        <w:spacing w:line="360" w:lineRule="auto"/>
        <w:ind w:firstLine="480" w:firstLineChars="200"/>
        <w:rPr>
          <w:rFonts w:hAnsi="宋体"/>
          <w:sz w:val="24"/>
          <w:szCs w:val="24"/>
        </w:rPr>
      </w:pPr>
      <w:r>
        <w:rPr>
          <w:rFonts w:hint="eastAsia" w:hAnsi="宋体"/>
          <w:sz w:val="24"/>
          <w:szCs w:val="24"/>
        </w:rPr>
        <w:t>原件或复印件可直接装订，复印件加盖投标人单位章。</w:t>
      </w: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center"/>
        <w:rPr>
          <w:b/>
          <w:sz w:val="36"/>
          <w:szCs w:val="36"/>
        </w:rPr>
      </w:pPr>
    </w:p>
    <w:p>
      <w:pPr>
        <w:pStyle w:val="5"/>
        <w:spacing w:before="161" w:after="161"/>
        <w:jc w:val="center"/>
      </w:pPr>
      <w:bookmarkStart w:id="182" w:name="_Toc22600"/>
      <w:bookmarkStart w:id="183" w:name="_Toc15754"/>
      <w:bookmarkStart w:id="184" w:name="_Toc111853939"/>
      <w:bookmarkStart w:id="185" w:name="_Toc73217195"/>
      <w:r>
        <w:rPr>
          <w:rFonts w:hint="eastAsia"/>
        </w:rPr>
        <w:t>六</w:t>
      </w:r>
      <w:r>
        <w:rPr>
          <w:rFonts w:hint="eastAsia"/>
          <w:lang w:eastAsia="zh-CN"/>
        </w:rPr>
        <w:t>、</w:t>
      </w:r>
      <w:r>
        <w:rPr>
          <w:rFonts w:hint="eastAsia"/>
        </w:rPr>
        <w:t>税收缴纳证明</w:t>
      </w:r>
      <w:bookmarkEnd w:id="182"/>
      <w:bookmarkEnd w:id="183"/>
      <w:bookmarkEnd w:id="184"/>
      <w:bookmarkEnd w:id="185"/>
    </w:p>
    <w:p>
      <w:pPr>
        <w:pStyle w:val="21"/>
        <w:adjustRightInd w:val="0"/>
        <w:snapToGrid w:val="0"/>
        <w:spacing w:line="360" w:lineRule="auto"/>
        <w:jc w:val="left"/>
        <w:rPr>
          <w:sz w:val="24"/>
          <w:szCs w:val="24"/>
        </w:rPr>
      </w:pPr>
    </w:p>
    <w:p>
      <w:pPr>
        <w:pStyle w:val="21"/>
        <w:adjustRightInd w:val="0"/>
        <w:snapToGrid w:val="0"/>
        <w:spacing w:line="360" w:lineRule="auto"/>
        <w:jc w:val="left"/>
        <w:rPr>
          <w:rFonts w:hAnsi="宋体"/>
          <w:sz w:val="24"/>
          <w:szCs w:val="24"/>
        </w:rPr>
      </w:pPr>
      <w:r>
        <w:rPr>
          <w:rFonts w:hint="eastAsia" w:hAnsi="宋体"/>
          <w:sz w:val="24"/>
          <w:szCs w:val="24"/>
        </w:rPr>
        <w:t>说明：</w:t>
      </w:r>
    </w:p>
    <w:p>
      <w:pPr>
        <w:spacing w:line="360" w:lineRule="auto"/>
        <w:ind w:firstLine="480"/>
        <w:rPr>
          <w:rFonts w:ascii="宋体" w:hAnsi="宋体"/>
          <w:sz w:val="24"/>
        </w:rPr>
      </w:pPr>
      <w:r>
        <w:rPr>
          <w:rFonts w:hint="eastAsia" w:ascii="宋体" w:hAnsi="宋体"/>
          <w:sz w:val="24"/>
        </w:rPr>
        <w:t>（1）提供投标人2022年至今已缴纳的至少一个月的纳税证明或完税证明（复印件）或税务机关开具的完税证明（原件）；</w:t>
      </w:r>
    </w:p>
    <w:p>
      <w:pPr>
        <w:spacing w:line="360" w:lineRule="auto"/>
        <w:ind w:firstLine="600" w:firstLineChars="250"/>
        <w:rPr>
          <w:rFonts w:ascii="宋体" w:hAnsi="宋体"/>
          <w:sz w:val="24"/>
        </w:rPr>
      </w:pPr>
      <w:r>
        <w:rPr>
          <w:rFonts w:hint="eastAsia" w:ascii="宋体" w:hAnsi="宋体"/>
          <w:sz w:val="24"/>
        </w:rPr>
        <w:t>（2）依法免税的应提供相关文件证明；</w:t>
      </w:r>
    </w:p>
    <w:p>
      <w:pPr>
        <w:pStyle w:val="21"/>
        <w:tabs>
          <w:tab w:val="left" w:pos="851"/>
        </w:tabs>
        <w:adjustRightInd w:val="0"/>
        <w:snapToGrid w:val="0"/>
        <w:spacing w:line="360" w:lineRule="auto"/>
        <w:ind w:firstLine="600" w:firstLineChars="250"/>
        <w:rPr>
          <w:rFonts w:hAnsi="宋体"/>
          <w:sz w:val="24"/>
          <w:szCs w:val="24"/>
        </w:rPr>
      </w:pPr>
      <w:r>
        <w:rPr>
          <w:rFonts w:hint="eastAsia" w:hAnsi="宋体"/>
          <w:sz w:val="24"/>
          <w:szCs w:val="24"/>
        </w:rPr>
        <w:t>（3）公益类事业单位无需提供；</w:t>
      </w:r>
    </w:p>
    <w:p>
      <w:pPr>
        <w:pStyle w:val="21"/>
        <w:adjustRightInd w:val="0"/>
        <w:snapToGrid w:val="0"/>
        <w:spacing w:line="360" w:lineRule="auto"/>
        <w:ind w:firstLine="480" w:firstLineChars="200"/>
        <w:rPr>
          <w:rFonts w:hAnsi="宋体"/>
          <w:sz w:val="24"/>
          <w:szCs w:val="24"/>
        </w:rPr>
      </w:pPr>
      <w:r>
        <w:rPr>
          <w:rFonts w:hint="eastAsia" w:hAnsi="宋体"/>
          <w:sz w:val="24"/>
          <w:szCs w:val="24"/>
        </w:rPr>
        <w:t xml:space="preserve"> （4）新成立未发生缴纳税收事项的投标人，应提供纳税书面承诺；</w:t>
      </w:r>
    </w:p>
    <w:p>
      <w:pPr>
        <w:pStyle w:val="21"/>
        <w:adjustRightInd w:val="0"/>
        <w:snapToGrid w:val="0"/>
        <w:spacing w:line="360" w:lineRule="auto"/>
        <w:ind w:firstLine="480" w:firstLineChars="200"/>
        <w:rPr>
          <w:rFonts w:hAnsi="宋体"/>
          <w:sz w:val="24"/>
          <w:szCs w:val="24"/>
        </w:rPr>
      </w:pPr>
      <w:r>
        <w:rPr>
          <w:rFonts w:hint="eastAsia" w:hAnsi="宋体"/>
          <w:sz w:val="24"/>
          <w:szCs w:val="24"/>
        </w:rPr>
        <w:t xml:space="preserve"> （5）原件或复印件可直接装订，复印件加盖投标人单位章。</w:t>
      </w:r>
    </w:p>
    <w:p>
      <w:pPr>
        <w:pStyle w:val="21"/>
        <w:adjustRightInd w:val="0"/>
        <w:snapToGrid w:val="0"/>
        <w:spacing w:line="360" w:lineRule="auto"/>
        <w:ind w:firstLine="420" w:firstLineChars="200"/>
        <w:rPr>
          <w:rFonts w:hAnsi="宋体"/>
        </w:rPr>
      </w:pPr>
    </w:p>
    <w:p>
      <w:pPr>
        <w:pStyle w:val="21"/>
        <w:adjustRightInd w:val="0"/>
        <w:snapToGrid w:val="0"/>
        <w:spacing w:line="360" w:lineRule="auto"/>
        <w:jc w:val="left"/>
        <w:rPr>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left"/>
        <w:rPr>
          <w:b/>
          <w:sz w:val="24"/>
          <w:szCs w:val="24"/>
        </w:rPr>
      </w:pPr>
    </w:p>
    <w:p>
      <w:pPr>
        <w:pStyle w:val="21"/>
        <w:adjustRightInd w:val="0"/>
        <w:snapToGrid w:val="0"/>
        <w:spacing w:line="360" w:lineRule="auto"/>
        <w:jc w:val="center"/>
        <w:rPr>
          <w:b/>
          <w:sz w:val="36"/>
          <w:szCs w:val="36"/>
        </w:rPr>
      </w:pPr>
    </w:p>
    <w:p>
      <w:pPr>
        <w:pStyle w:val="5"/>
        <w:spacing w:before="161" w:after="161"/>
        <w:jc w:val="center"/>
        <w:rPr>
          <w:rFonts w:hAnsi="宋体"/>
        </w:rPr>
      </w:pPr>
      <w:bookmarkStart w:id="186" w:name="_Toc29908"/>
      <w:bookmarkStart w:id="187" w:name="_Toc111853940"/>
      <w:bookmarkStart w:id="188" w:name="_Toc73217196"/>
      <w:bookmarkStart w:id="189" w:name="_Toc10603"/>
      <w:r>
        <w:rPr>
          <w:rFonts w:hint="eastAsia"/>
        </w:rPr>
        <w:t>七</w:t>
      </w:r>
      <w:r>
        <w:rPr>
          <w:rFonts w:hint="eastAsia"/>
          <w:lang w:eastAsia="zh-CN"/>
        </w:rPr>
        <w:t>、</w:t>
      </w:r>
      <w:r>
        <w:rPr>
          <w:rFonts w:hint="eastAsia"/>
        </w:rPr>
        <w:t>缴纳社会保障资金证明</w:t>
      </w:r>
      <w:bookmarkEnd w:id="186"/>
      <w:bookmarkEnd w:id="187"/>
      <w:bookmarkEnd w:id="188"/>
      <w:bookmarkEnd w:id="189"/>
    </w:p>
    <w:p>
      <w:pPr>
        <w:pStyle w:val="21"/>
        <w:adjustRightInd w:val="0"/>
        <w:snapToGrid w:val="0"/>
        <w:spacing w:line="360" w:lineRule="auto"/>
        <w:jc w:val="left"/>
        <w:rPr>
          <w:rFonts w:hAnsi="宋体"/>
          <w:sz w:val="24"/>
          <w:szCs w:val="24"/>
        </w:rPr>
      </w:pPr>
    </w:p>
    <w:p>
      <w:pPr>
        <w:pStyle w:val="21"/>
        <w:adjustRightInd w:val="0"/>
        <w:snapToGrid w:val="0"/>
        <w:spacing w:line="360" w:lineRule="auto"/>
        <w:jc w:val="left"/>
        <w:rPr>
          <w:rFonts w:hAnsi="宋体"/>
          <w:sz w:val="24"/>
          <w:szCs w:val="24"/>
        </w:rPr>
      </w:pPr>
      <w:r>
        <w:rPr>
          <w:rFonts w:hint="eastAsia" w:hAnsi="宋体"/>
          <w:sz w:val="24"/>
          <w:szCs w:val="24"/>
        </w:rPr>
        <w:t>说明：</w:t>
      </w:r>
    </w:p>
    <w:p>
      <w:pPr>
        <w:spacing w:line="360" w:lineRule="auto"/>
        <w:ind w:firstLine="482"/>
        <w:rPr>
          <w:rFonts w:ascii="宋体" w:hAnsi="宋体"/>
          <w:sz w:val="24"/>
        </w:rPr>
      </w:pPr>
      <w:r>
        <w:rPr>
          <w:rFonts w:hint="eastAsia" w:ascii="宋体" w:hAnsi="宋体"/>
          <w:sz w:val="24"/>
        </w:rPr>
        <w:t>（1）提供投标人自2022年至今已缴存的至少一个月</w:t>
      </w:r>
      <w:r>
        <w:rPr>
          <w:rFonts w:ascii="宋体" w:hAnsi="宋体"/>
          <w:sz w:val="24"/>
        </w:rPr>
        <w:t>的</w:t>
      </w:r>
      <w:r>
        <w:rPr>
          <w:rFonts w:hint="eastAsia" w:ascii="宋体" w:hAnsi="宋体"/>
          <w:sz w:val="24"/>
        </w:rPr>
        <w:t>任意时段</w:t>
      </w:r>
      <w:r>
        <w:rPr>
          <w:rFonts w:ascii="宋体" w:hAnsi="宋体"/>
          <w:sz w:val="24"/>
        </w:rPr>
        <w:t>的社会保障资金缴存单据</w:t>
      </w:r>
      <w:r>
        <w:rPr>
          <w:rFonts w:hint="eastAsia" w:ascii="宋体" w:hAnsi="宋体"/>
          <w:sz w:val="24"/>
        </w:rPr>
        <w:t>复印件</w:t>
      </w:r>
      <w:r>
        <w:rPr>
          <w:rFonts w:ascii="宋体" w:hAnsi="宋体"/>
          <w:sz w:val="24"/>
        </w:rPr>
        <w:t>或社保机构开具的社会保险参保缴费情况证明</w:t>
      </w:r>
      <w:r>
        <w:rPr>
          <w:rFonts w:hint="eastAsia" w:ascii="宋体" w:hAnsi="宋体"/>
          <w:sz w:val="24"/>
        </w:rPr>
        <w:t>原件；</w:t>
      </w:r>
    </w:p>
    <w:p>
      <w:pPr>
        <w:spacing w:line="360" w:lineRule="auto"/>
        <w:ind w:firstLine="482"/>
        <w:rPr>
          <w:rFonts w:ascii="宋体" w:hAnsi="宋体"/>
          <w:sz w:val="24"/>
        </w:rPr>
      </w:pPr>
      <w:r>
        <w:rPr>
          <w:rFonts w:hint="eastAsia" w:ascii="宋体" w:hAnsi="宋体"/>
          <w:sz w:val="24"/>
        </w:rPr>
        <w:t>（2）</w:t>
      </w:r>
      <w:r>
        <w:rPr>
          <w:rFonts w:ascii="宋体" w:hAnsi="宋体"/>
          <w:sz w:val="24"/>
        </w:rPr>
        <w:t>依法不需要缴纳社会保障资金的</w:t>
      </w:r>
      <w:r>
        <w:rPr>
          <w:rFonts w:hint="eastAsia" w:ascii="宋体" w:hAnsi="宋体"/>
          <w:sz w:val="24"/>
        </w:rPr>
        <w:t>投标人</w:t>
      </w:r>
      <w:r>
        <w:rPr>
          <w:rFonts w:ascii="宋体" w:hAnsi="宋体"/>
          <w:sz w:val="24"/>
        </w:rPr>
        <w:t>应提供相关文件证明</w:t>
      </w:r>
      <w:r>
        <w:rPr>
          <w:rFonts w:hint="eastAsia" w:ascii="宋体" w:hAnsi="宋体"/>
          <w:sz w:val="24"/>
        </w:rPr>
        <w:t>；</w:t>
      </w:r>
    </w:p>
    <w:p>
      <w:pPr>
        <w:pStyle w:val="21"/>
        <w:adjustRightInd w:val="0"/>
        <w:snapToGrid w:val="0"/>
        <w:spacing w:line="360" w:lineRule="auto"/>
        <w:ind w:firstLine="482"/>
        <w:rPr>
          <w:rFonts w:hAnsi="宋体"/>
          <w:sz w:val="24"/>
          <w:szCs w:val="24"/>
        </w:rPr>
      </w:pPr>
      <w:r>
        <w:rPr>
          <w:rFonts w:hint="eastAsia" w:hAnsi="宋体"/>
          <w:sz w:val="24"/>
          <w:szCs w:val="24"/>
        </w:rPr>
        <w:t>（3）公益类事业单位无需提供；</w:t>
      </w:r>
    </w:p>
    <w:p>
      <w:pPr>
        <w:pStyle w:val="21"/>
        <w:adjustRightInd w:val="0"/>
        <w:snapToGrid w:val="0"/>
        <w:spacing w:line="360" w:lineRule="auto"/>
        <w:ind w:firstLine="482"/>
        <w:rPr>
          <w:rFonts w:hAnsi="宋体"/>
          <w:sz w:val="24"/>
          <w:szCs w:val="24"/>
        </w:rPr>
      </w:pPr>
      <w:r>
        <w:rPr>
          <w:rFonts w:hint="eastAsia" w:hAnsi="宋体"/>
          <w:sz w:val="24"/>
          <w:szCs w:val="24"/>
        </w:rPr>
        <w:t>（4）新成立未发生缴纳社保资金事项的投标人，应提供缴纳社保资金的书面承诺；</w:t>
      </w:r>
    </w:p>
    <w:p>
      <w:pPr>
        <w:pStyle w:val="21"/>
        <w:adjustRightInd w:val="0"/>
        <w:snapToGrid w:val="0"/>
        <w:spacing w:line="360" w:lineRule="auto"/>
        <w:ind w:firstLine="482"/>
        <w:rPr>
          <w:rFonts w:hAnsi="宋体"/>
          <w:sz w:val="24"/>
          <w:szCs w:val="24"/>
        </w:rPr>
      </w:pPr>
      <w:r>
        <w:rPr>
          <w:rFonts w:hint="eastAsia" w:hAnsi="宋体"/>
          <w:sz w:val="24"/>
          <w:szCs w:val="24"/>
        </w:rPr>
        <w:t>（5）原件或复印件可直接装订，复印件加盖投标人单位章。</w:t>
      </w: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21"/>
        <w:adjustRightInd w:val="0"/>
        <w:snapToGrid w:val="0"/>
        <w:spacing w:line="360" w:lineRule="auto"/>
        <w:ind w:firstLine="482"/>
        <w:rPr>
          <w:rFonts w:hAnsi="宋体"/>
          <w:sz w:val="24"/>
          <w:szCs w:val="24"/>
        </w:rPr>
      </w:pPr>
    </w:p>
    <w:p>
      <w:pPr>
        <w:pStyle w:val="5"/>
        <w:spacing w:before="161" w:after="161"/>
        <w:jc w:val="center"/>
        <w:rPr>
          <w:lang w:val="zh-CN"/>
        </w:rPr>
      </w:pPr>
      <w:bookmarkStart w:id="190" w:name="_Toc16470"/>
      <w:bookmarkStart w:id="191" w:name="_Toc23336"/>
      <w:bookmarkStart w:id="192" w:name="_Toc73217197"/>
      <w:bookmarkStart w:id="193" w:name="_Toc111853941"/>
      <w:r>
        <w:rPr>
          <w:rFonts w:hint="eastAsia"/>
        </w:rPr>
        <w:t>八</w:t>
      </w:r>
      <w:r>
        <w:rPr>
          <w:rFonts w:hint="eastAsia"/>
          <w:lang w:eastAsia="zh-CN"/>
        </w:rPr>
        <w:t>、</w:t>
      </w:r>
      <w:r>
        <w:rPr>
          <w:rFonts w:hint="eastAsia"/>
          <w:lang w:val="zh-CN"/>
        </w:rPr>
        <w:t>具备履行合同所必需的设备和专业技术能力的</w:t>
      </w:r>
      <w:bookmarkEnd w:id="190"/>
      <w:bookmarkEnd w:id="191"/>
      <w:r>
        <w:rPr>
          <w:rFonts w:hint="eastAsia"/>
          <w:lang w:val="zh-CN"/>
        </w:rPr>
        <w:t>承诺</w:t>
      </w:r>
      <w:bookmarkEnd w:id="192"/>
      <w:bookmarkEnd w:id="193"/>
    </w:p>
    <w:p>
      <w:pPr>
        <w:pStyle w:val="2"/>
        <w:ind w:firstLine="0"/>
        <w:jc w:val="left"/>
        <w:rPr>
          <w:rFonts w:ascii="宋体" w:hAnsi="宋体"/>
          <w:b/>
          <w:sz w:val="24"/>
          <w:szCs w:val="24"/>
        </w:rPr>
      </w:pPr>
    </w:p>
    <w:p>
      <w:pPr>
        <w:rPr>
          <w:rFonts w:ascii="宋体" w:hAnsi="宋体"/>
          <w:sz w:val="24"/>
          <w:u w:val="single"/>
        </w:rPr>
      </w:pPr>
      <w:r>
        <w:rPr>
          <w:rFonts w:hint="eastAsia" w:ascii="宋体" w:hAnsi="宋体"/>
          <w:sz w:val="28"/>
          <w:szCs w:val="28"/>
          <w:u w:val="single"/>
        </w:rPr>
        <w:t xml:space="preserve">         招标人             </w:t>
      </w:r>
      <w:r>
        <w:rPr>
          <w:rFonts w:hint="eastAsia" w:ascii="宋体" w:hAnsi="宋体"/>
          <w:sz w:val="24"/>
          <w:u w:val="single"/>
        </w:rPr>
        <w:t>：</w:t>
      </w:r>
    </w:p>
    <w:p>
      <w:pPr>
        <w:pStyle w:val="2"/>
        <w:ind w:firstLine="0"/>
        <w:jc w:val="left"/>
        <w:rPr>
          <w:rFonts w:ascii="宋体" w:hAnsi="宋体"/>
          <w:b/>
          <w:color w:val="FF0000"/>
          <w:sz w:val="24"/>
          <w:szCs w:val="24"/>
        </w:rPr>
      </w:pPr>
    </w:p>
    <w:p>
      <w:pPr>
        <w:pStyle w:val="2"/>
        <w:rPr>
          <w:sz w:val="24"/>
          <w:szCs w:val="24"/>
        </w:rPr>
      </w:pPr>
    </w:p>
    <w:p>
      <w:pPr>
        <w:pStyle w:val="21"/>
        <w:adjustRightInd w:val="0"/>
        <w:snapToGrid w:val="0"/>
        <w:spacing w:line="480" w:lineRule="auto"/>
        <w:ind w:firstLine="480" w:firstLineChars="200"/>
        <w:rPr>
          <w:rFonts w:hAnsi="宋体"/>
          <w:sz w:val="24"/>
          <w:szCs w:val="24"/>
        </w:rPr>
      </w:pPr>
      <w:r>
        <w:rPr>
          <w:rFonts w:hint="eastAsia" w:hAnsi="宋体"/>
          <w:sz w:val="24"/>
          <w:szCs w:val="24"/>
        </w:rPr>
        <w:t xml:space="preserve"> 我公司作为本次项目的投标人，根据招标文件要求，现郑重承诺如下：</w:t>
      </w:r>
    </w:p>
    <w:p>
      <w:pPr>
        <w:pStyle w:val="21"/>
        <w:adjustRightInd w:val="0"/>
        <w:snapToGrid w:val="0"/>
        <w:spacing w:line="480" w:lineRule="auto"/>
        <w:ind w:firstLine="480" w:firstLineChars="200"/>
        <w:rPr>
          <w:rFonts w:hAnsi="宋体"/>
          <w:sz w:val="24"/>
          <w:szCs w:val="24"/>
        </w:rPr>
      </w:pPr>
      <w:r>
        <w:rPr>
          <w:rFonts w:hint="eastAsia" w:hAnsi="宋体"/>
          <w:sz w:val="24"/>
          <w:szCs w:val="24"/>
        </w:rPr>
        <w:t xml:space="preserve"> 我公司具有履行合同所必须的设备和专业技术能力。</w:t>
      </w:r>
    </w:p>
    <w:p>
      <w:pPr>
        <w:pStyle w:val="21"/>
        <w:adjustRightInd w:val="0"/>
        <w:snapToGrid w:val="0"/>
        <w:spacing w:line="480" w:lineRule="auto"/>
        <w:ind w:firstLine="480" w:firstLineChars="200"/>
        <w:rPr>
          <w:rFonts w:hAnsi="宋体"/>
          <w:sz w:val="24"/>
          <w:szCs w:val="24"/>
        </w:rPr>
      </w:pPr>
      <w:r>
        <w:rPr>
          <w:rFonts w:hint="eastAsia" w:hAnsi="宋体"/>
          <w:sz w:val="24"/>
          <w:szCs w:val="24"/>
        </w:rPr>
        <w:t xml:space="preserve"> 我公司对上述声明的内容事项真实性负责。</w:t>
      </w:r>
    </w:p>
    <w:p>
      <w:pPr>
        <w:pStyle w:val="21"/>
        <w:adjustRightInd w:val="0"/>
        <w:snapToGrid w:val="0"/>
        <w:spacing w:line="480" w:lineRule="auto"/>
        <w:ind w:firstLine="480" w:firstLineChars="200"/>
        <w:rPr>
          <w:rFonts w:hAnsi="宋体"/>
          <w:sz w:val="24"/>
          <w:szCs w:val="24"/>
        </w:rPr>
      </w:pPr>
      <w:r>
        <w:rPr>
          <w:rFonts w:hint="eastAsia" w:hAnsi="宋体"/>
          <w:sz w:val="24"/>
          <w:szCs w:val="24"/>
        </w:rPr>
        <w:t xml:space="preserve"> 如经查实上述声明的内容事项存在虚假，我公司愿意接受以提供虚假材料谋取中标追究法律责任。</w:t>
      </w:r>
    </w:p>
    <w:p>
      <w:pPr>
        <w:pStyle w:val="21"/>
        <w:adjustRightInd w:val="0"/>
        <w:snapToGrid w:val="0"/>
        <w:spacing w:line="480" w:lineRule="auto"/>
        <w:ind w:firstLine="480" w:firstLineChars="200"/>
        <w:rPr>
          <w:rFonts w:hAnsi="宋体"/>
          <w:sz w:val="24"/>
          <w:szCs w:val="24"/>
        </w:rPr>
      </w:pPr>
      <w:r>
        <w:rPr>
          <w:rFonts w:hint="eastAsia" w:hAnsi="宋体"/>
          <w:sz w:val="24"/>
          <w:szCs w:val="24"/>
        </w:rPr>
        <w:t>特此承诺。</w:t>
      </w: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rPr>
      </w:pPr>
    </w:p>
    <w:p>
      <w:pPr>
        <w:pStyle w:val="21"/>
        <w:adjustRightInd w:val="0"/>
        <w:snapToGrid w:val="0"/>
        <w:ind w:firstLine="480" w:firstLineChars="200"/>
        <w:rPr>
          <w:rFonts w:hAnsi="宋体"/>
          <w:sz w:val="24"/>
          <w:szCs w:val="24"/>
          <w:u w:val="single"/>
        </w:rPr>
      </w:pPr>
    </w:p>
    <w:p>
      <w:pPr>
        <w:pStyle w:val="2"/>
        <w:spacing w:line="480" w:lineRule="auto"/>
        <w:ind w:firstLine="570"/>
        <w:rPr>
          <w:rFonts w:ascii="宋体" w:hAnsi="宋体"/>
          <w:sz w:val="24"/>
          <w:szCs w:val="24"/>
        </w:rPr>
      </w:pPr>
      <w:r>
        <w:rPr>
          <w:rFonts w:hint="eastAsia" w:ascii="宋体" w:hAnsi="宋体"/>
          <w:sz w:val="24"/>
          <w:szCs w:val="24"/>
        </w:rPr>
        <w:t>声  明  人:(投标人名称、盖单位章)</w:t>
      </w:r>
    </w:p>
    <w:p>
      <w:pPr>
        <w:pStyle w:val="2"/>
        <w:spacing w:line="480" w:lineRule="auto"/>
        <w:ind w:firstLine="573"/>
        <w:rPr>
          <w:rFonts w:ascii="宋体" w:hAnsi="宋体"/>
          <w:sz w:val="24"/>
          <w:szCs w:val="24"/>
        </w:rPr>
      </w:pPr>
      <w:r>
        <w:rPr>
          <w:rFonts w:hint="eastAsia" w:ascii="宋体" w:hAnsi="宋体"/>
          <w:sz w:val="24"/>
          <w:szCs w:val="24"/>
        </w:rPr>
        <w:t>法定代表人或委托代理人：（签字或盖章）</w:t>
      </w:r>
    </w:p>
    <w:p>
      <w:pPr>
        <w:pStyle w:val="2"/>
        <w:spacing w:line="480" w:lineRule="auto"/>
        <w:ind w:firstLine="573"/>
        <w:rPr>
          <w:rFonts w:ascii="宋体" w:hAnsi="宋体"/>
          <w:sz w:val="24"/>
          <w:szCs w:val="24"/>
        </w:rPr>
      </w:pPr>
      <w:r>
        <w:rPr>
          <w:rFonts w:hint="eastAsia" w:ascii="宋体" w:hAnsi="宋体"/>
          <w:sz w:val="24"/>
          <w:szCs w:val="24"/>
        </w:rPr>
        <w:t>日      期：</w:t>
      </w:r>
    </w:p>
    <w:p>
      <w:pPr>
        <w:pStyle w:val="2"/>
        <w:spacing w:line="480" w:lineRule="auto"/>
        <w:ind w:firstLine="573"/>
        <w:rPr>
          <w:rFonts w:ascii="宋体" w:hAnsi="宋体"/>
          <w:sz w:val="24"/>
          <w:szCs w:val="24"/>
        </w:rPr>
      </w:pPr>
    </w:p>
    <w:p>
      <w:pPr>
        <w:pStyle w:val="2"/>
        <w:spacing w:line="480" w:lineRule="auto"/>
        <w:ind w:firstLine="573"/>
        <w:rPr>
          <w:rFonts w:ascii="宋体" w:hAnsi="宋体"/>
          <w:sz w:val="24"/>
          <w:szCs w:val="24"/>
        </w:rPr>
      </w:pPr>
    </w:p>
    <w:p>
      <w:pPr>
        <w:pStyle w:val="5"/>
        <w:spacing w:before="161" w:after="161"/>
        <w:jc w:val="center"/>
      </w:pPr>
      <w:bookmarkStart w:id="194" w:name="_Toc73217198"/>
      <w:bookmarkStart w:id="195" w:name="_Toc111853942"/>
      <w:bookmarkStart w:id="196" w:name="_Toc16721"/>
      <w:bookmarkStart w:id="197" w:name="_Toc22021"/>
      <w:r>
        <w:rPr>
          <w:rFonts w:hint="eastAsia"/>
        </w:rPr>
        <w:t>九</w:t>
      </w:r>
      <w:r>
        <w:rPr>
          <w:rFonts w:hint="eastAsia"/>
          <w:lang w:eastAsia="zh-CN"/>
        </w:rPr>
        <w:t>、</w:t>
      </w:r>
      <w:r>
        <w:rPr>
          <w:rFonts w:hint="eastAsia"/>
        </w:rPr>
        <w:t>无重大违法记录的书面声明</w:t>
      </w:r>
      <w:bookmarkEnd w:id="194"/>
      <w:bookmarkEnd w:id="195"/>
      <w:bookmarkEnd w:id="196"/>
      <w:bookmarkEnd w:id="197"/>
    </w:p>
    <w:p>
      <w:pPr>
        <w:pStyle w:val="2"/>
        <w:ind w:firstLine="0"/>
        <w:jc w:val="center"/>
        <w:rPr>
          <w:rFonts w:ascii="仿宋_GB2312" w:eastAsia="仿宋_GB2312"/>
          <w:b/>
          <w:sz w:val="36"/>
          <w:szCs w:val="36"/>
        </w:rPr>
      </w:pPr>
    </w:p>
    <w:p>
      <w:pPr>
        <w:rPr>
          <w:rFonts w:ascii="宋体" w:hAnsi="宋体"/>
          <w:sz w:val="24"/>
          <w:u w:val="single"/>
        </w:rPr>
      </w:pPr>
      <w:r>
        <w:rPr>
          <w:rFonts w:hint="eastAsia" w:ascii="宋体" w:hAnsi="宋体"/>
          <w:sz w:val="28"/>
          <w:szCs w:val="28"/>
          <w:u w:val="single"/>
        </w:rPr>
        <w:t xml:space="preserve">         招标人             </w:t>
      </w:r>
      <w:r>
        <w:rPr>
          <w:rFonts w:hint="eastAsia" w:ascii="宋体" w:hAnsi="宋体"/>
          <w:sz w:val="24"/>
          <w:u w:val="single"/>
        </w:rPr>
        <w:t>：</w:t>
      </w:r>
    </w:p>
    <w:p>
      <w:pPr>
        <w:pStyle w:val="2"/>
        <w:spacing w:line="360" w:lineRule="auto"/>
        <w:ind w:firstLine="573"/>
        <w:rPr>
          <w:rFonts w:ascii="宋体" w:hAnsi="宋体"/>
          <w:sz w:val="24"/>
          <w:szCs w:val="24"/>
        </w:rPr>
      </w:pPr>
    </w:p>
    <w:p>
      <w:pPr>
        <w:pStyle w:val="2"/>
        <w:spacing w:line="360" w:lineRule="auto"/>
        <w:ind w:firstLine="573"/>
        <w:rPr>
          <w:rFonts w:ascii="宋体" w:hAnsi="宋体"/>
          <w:sz w:val="24"/>
          <w:szCs w:val="24"/>
        </w:rPr>
      </w:pPr>
      <w:r>
        <w:rPr>
          <w:rFonts w:hint="eastAsia" w:ascii="宋体" w:hAnsi="宋体"/>
          <w:sz w:val="24"/>
          <w:szCs w:val="24"/>
        </w:rPr>
        <w:t>我方（投标人），就参加  采购项目（采购项目编号：）投标事宜，在此郑重声明：</w:t>
      </w:r>
    </w:p>
    <w:p>
      <w:pPr>
        <w:pStyle w:val="2"/>
        <w:spacing w:line="360" w:lineRule="auto"/>
        <w:ind w:firstLine="573"/>
        <w:rPr>
          <w:rFonts w:ascii="宋体" w:hAnsi="宋体"/>
          <w:sz w:val="24"/>
          <w:szCs w:val="24"/>
        </w:rPr>
      </w:pPr>
      <w:r>
        <w:rPr>
          <w:rFonts w:hint="eastAsia" w:ascii="宋体" w:hAnsi="宋体"/>
          <w:sz w:val="24"/>
          <w:szCs w:val="24"/>
        </w:rPr>
        <w:t>1.我方所提交的投标文件全部真实有效；</w:t>
      </w:r>
    </w:p>
    <w:p>
      <w:pPr>
        <w:pStyle w:val="2"/>
        <w:spacing w:line="360" w:lineRule="auto"/>
        <w:ind w:firstLine="573"/>
        <w:rPr>
          <w:rFonts w:ascii="宋体" w:hAnsi="宋体"/>
          <w:sz w:val="24"/>
          <w:szCs w:val="24"/>
        </w:rPr>
      </w:pPr>
      <w:r>
        <w:rPr>
          <w:rFonts w:hint="eastAsia" w:ascii="宋体" w:hAnsi="宋体"/>
          <w:sz w:val="24"/>
          <w:szCs w:val="24"/>
        </w:rPr>
        <w:t>2.我方近3年来无因安全事故、质量事故、投标违规等不良记录被政府有关部门处罚或仍在处罚期限内的情形存在；</w:t>
      </w:r>
    </w:p>
    <w:p>
      <w:pPr>
        <w:pStyle w:val="2"/>
        <w:spacing w:line="360" w:lineRule="auto"/>
        <w:ind w:firstLine="573"/>
        <w:rPr>
          <w:rFonts w:ascii="宋体" w:hAnsi="宋体"/>
          <w:sz w:val="24"/>
          <w:szCs w:val="24"/>
        </w:rPr>
      </w:pPr>
      <w:r>
        <w:rPr>
          <w:rFonts w:hint="eastAsia" w:ascii="宋体" w:hAnsi="宋体"/>
          <w:sz w:val="24"/>
          <w:szCs w:val="24"/>
        </w:rPr>
        <w:t>3.我方近3年来无违规违法经营受到责令停产(或停止经营)、吊销生产许可证（或经营许可证）、较大数额罚款（举行听证会）等行政处罚的情形存在；</w:t>
      </w:r>
    </w:p>
    <w:p>
      <w:pPr>
        <w:pStyle w:val="2"/>
        <w:spacing w:line="360" w:lineRule="auto"/>
        <w:ind w:firstLine="573"/>
        <w:rPr>
          <w:rFonts w:ascii="宋体" w:hAnsi="宋体"/>
          <w:sz w:val="24"/>
          <w:szCs w:val="24"/>
        </w:rPr>
      </w:pPr>
      <w:r>
        <w:rPr>
          <w:rFonts w:hint="eastAsia" w:ascii="宋体" w:hAnsi="宋体"/>
          <w:sz w:val="24"/>
          <w:szCs w:val="24"/>
        </w:rPr>
        <w:t>4.我方无企业财产被查封、冻结或处于破产状态或严重亏损状态等情形存在；</w:t>
      </w:r>
    </w:p>
    <w:p>
      <w:pPr>
        <w:pStyle w:val="2"/>
        <w:spacing w:line="360" w:lineRule="auto"/>
        <w:ind w:firstLine="573"/>
        <w:rPr>
          <w:rFonts w:ascii="宋体" w:hAnsi="宋体"/>
          <w:sz w:val="24"/>
          <w:szCs w:val="24"/>
        </w:rPr>
      </w:pPr>
      <w:r>
        <w:rPr>
          <w:rFonts w:hint="eastAsia" w:ascii="宋体" w:hAnsi="宋体"/>
          <w:sz w:val="24"/>
          <w:szCs w:val="24"/>
        </w:rPr>
        <w:t>5.我方承诺在投标过程中，保证不予其他单位围标、串标，不出让投标资格，不采取不正当手段诋毁、排挤其他投标人，不向采购人、采购代理机构、评标委员会成员行贿；</w:t>
      </w:r>
    </w:p>
    <w:p>
      <w:pPr>
        <w:pStyle w:val="2"/>
        <w:spacing w:line="360" w:lineRule="auto"/>
        <w:ind w:firstLine="573"/>
        <w:rPr>
          <w:rFonts w:ascii="宋体" w:hAnsi="宋体"/>
          <w:sz w:val="24"/>
          <w:szCs w:val="24"/>
        </w:rPr>
      </w:pPr>
      <w:r>
        <w:rPr>
          <w:rFonts w:hint="eastAsia" w:ascii="宋体" w:hAnsi="宋体"/>
          <w:sz w:val="24"/>
          <w:szCs w:val="24"/>
        </w:rPr>
        <w:t>6.我方参加本次政府采购活动近3年内，在经营活动中没有重大违法记录；</w:t>
      </w:r>
    </w:p>
    <w:p>
      <w:pPr>
        <w:pStyle w:val="2"/>
        <w:spacing w:line="360" w:lineRule="auto"/>
        <w:ind w:firstLine="573"/>
        <w:rPr>
          <w:rFonts w:ascii="宋体" w:hAnsi="宋体"/>
          <w:sz w:val="24"/>
          <w:szCs w:val="24"/>
        </w:rPr>
      </w:pPr>
      <w:r>
        <w:rPr>
          <w:rFonts w:hint="eastAsia" w:ascii="宋体" w:hAnsi="宋体"/>
          <w:sz w:val="24"/>
          <w:szCs w:val="24"/>
        </w:rPr>
        <w:t>7.我方在投标时未列入政府采购严重违法</w:t>
      </w:r>
      <w:r>
        <w:rPr>
          <w:rFonts w:hint="eastAsia" w:ascii="宋体" w:hAnsi="宋体" w:cs="Arial"/>
          <w:sz w:val="24"/>
          <w:szCs w:val="24"/>
          <w:shd w:val="clear" w:color="auto" w:fill="FFFFFF"/>
        </w:rPr>
        <w:t>失信行为记录</w:t>
      </w:r>
      <w:r>
        <w:rPr>
          <w:rFonts w:hint="eastAsia" w:ascii="宋体" w:hAnsi="宋体"/>
          <w:sz w:val="24"/>
          <w:szCs w:val="24"/>
        </w:rPr>
        <w:t>名单、失信被执行人、重大税收违法案件当事人名单。</w:t>
      </w:r>
    </w:p>
    <w:p>
      <w:pPr>
        <w:pStyle w:val="2"/>
        <w:spacing w:line="360" w:lineRule="auto"/>
        <w:ind w:firstLine="573"/>
        <w:rPr>
          <w:rFonts w:ascii="宋体" w:hAnsi="宋体"/>
          <w:sz w:val="24"/>
          <w:szCs w:val="24"/>
        </w:rPr>
      </w:pPr>
      <w:r>
        <w:rPr>
          <w:rFonts w:hint="eastAsia" w:ascii="宋体" w:hAnsi="宋体"/>
          <w:sz w:val="24"/>
          <w:szCs w:val="24"/>
        </w:rPr>
        <w:t>以上声明若有违反，一经查实，我方愿意接受政府有关部门的相应处罚，并愿意承担由此带来的法律后果。</w:t>
      </w:r>
    </w:p>
    <w:p>
      <w:pPr>
        <w:pStyle w:val="2"/>
        <w:spacing w:line="480" w:lineRule="auto"/>
        <w:ind w:firstLine="570"/>
        <w:rPr>
          <w:rFonts w:ascii="宋体" w:hAnsi="宋体"/>
          <w:sz w:val="24"/>
          <w:szCs w:val="24"/>
        </w:rPr>
      </w:pPr>
    </w:p>
    <w:p>
      <w:pPr>
        <w:pStyle w:val="2"/>
        <w:spacing w:line="480" w:lineRule="auto"/>
        <w:ind w:firstLine="570"/>
        <w:rPr>
          <w:rFonts w:ascii="宋体" w:hAnsi="宋体"/>
          <w:sz w:val="24"/>
          <w:szCs w:val="24"/>
        </w:rPr>
      </w:pPr>
      <w:r>
        <w:rPr>
          <w:rFonts w:hint="eastAsia" w:ascii="宋体" w:hAnsi="宋体"/>
          <w:sz w:val="24"/>
          <w:szCs w:val="24"/>
        </w:rPr>
        <w:t>特此声明！</w:t>
      </w:r>
    </w:p>
    <w:p>
      <w:pPr>
        <w:pStyle w:val="2"/>
        <w:spacing w:line="480" w:lineRule="auto"/>
        <w:ind w:firstLine="570"/>
        <w:rPr>
          <w:rFonts w:ascii="宋体" w:hAnsi="宋体"/>
          <w:sz w:val="24"/>
          <w:szCs w:val="24"/>
        </w:rPr>
      </w:pPr>
    </w:p>
    <w:p>
      <w:pPr>
        <w:pStyle w:val="2"/>
        <w:spacing w:line="480" w:lineRule="auto"/>
        <w:ind w:firstLine="570"/>
        <w:rPr>
          <w:rFonts w:ascii="宋体" w:hAnsi="宋体"/>
          <w:sz w:val="24"/>
          <w:szCs w:val="24"/>
        </w:rPr>
      </w:pPr>
      <w:r>
        <w:rPr>
          <w:rFonts w:hint="eastAsia" w:ascii="宋体" w:hAnsi="宋体"/>
          <w:sz w:val="24"/>
          <w:szCs w:val="24"/>
        </w:rPr>
        <w:t>声  明  人:(投标人名称、盖单位章)</w:t>
      </w:r>
    </w:p>
    <w:p>
      <w:pPr>
        <w:pStyle w:val="2"/>
        <w:spacing w:line="480" w:lineRule="auto"/>
        <w:ind w:firstLine="573"/>
        <w:rPr>
          <w:rFonts w:ascii="宋体" w:hAnsi="宋体"/>
          <w:sz w:val="24"/>
          <w:szCs w:val="24"/>
        </w:rPr>
      </w:pPr>
      <w:r>
        <w:rPr>
          <w:rFonts w:hint="eastAsia" w:ascii="宋体" w:hAnsi="宋体"/>
          <w:sz w:val="24"/>
          <w:szCs w:val="24"/>
        </w:rPr>
        <w:t>法定代表人或委托代理人：（签字或盖章）</w:t>
      </w:r>
    </w:p>
    <w:p>
      <w:pPr>
        <w:pStyle w:val="2"/>
        <w:spacing w:line="480" w:lineRule="auto"/>
        <w:ind w:firstLine="573"/>
        <w:rPr>
          <w:rFonts w:ascii="宋体" w:hAnsi="宋体"/>
          <w:sz w:val="24"/>
          <w:szCs w:val="24"/>
        </w:rPr>
      </w:pPr>
      <w:r>
        <w:rPr>
          <w:rFonts w:hint="eastAsia" w:ascii="宋体" w:hAnsi="宋体"/>
          <w:sz w:val="24"/>
          <w:szCs w:val="24"/>
        </w:rPr>
        <w:t>日      期：</w:t>
      </w:r>
    </w:p>
    <w:p>
      <w:pPr>
        <w:pStyle w:val="5"/>
        <w:spacing w:before="161" w:after="161"/>
        <w:jc w:val="center"/>
        <w:rPr>
          <w:rFonts w:ascii="楷体" w:hAnsi="楷体" w:eastAsia="楷体"/>
        </w:rPr>
      </w:pPr>
      <w:bookmarkStart w:id="198" w:name="_Toc111853943"/>
      <w:bookmarkStart w:id="199" w:name="_Toc73217199"/>
      <w:r>
        <w:rPr>
          <w:rFonts w:hint="eastAsia"/>
        </w:rPr>
        <w:t>十</w:t>
      </w:r>
      <w:r>
        <w:rPr>
          <w:rFonts w:hint="eastAsia"/>
          <w:lang w:eastAsia="zh-CN"/>
        </w:rPr>
        <w:t>、</w:t>
      </w:r>
      <w:r>
        <w:rPr>
          <w:rFonts w:hint="eastAsia"/>
        </w:rPr>
        <w:t>不存在控股关系、管理关系的书面承诺</w:t>
      </w:r>
      <w:bookmarkEnd w:id="198"/>
      <w:bookmarkEnd w:id="199"/>
    </w:p>
    <w:p>
      <w:pPr>
        <w:spacing w:after="322" w:afterLines="100"/>
        <w:rPr>
          <w:rFonts w:ascii="宋体" w:hAnsi="宋体"/>
          <w:bCs/>
          <w:sz w:val="28"/>
          <w:szCs w:val="28"/>
        </w:rPr>
      </w:pPr>
    </w:p>
    <w:p>
      <w:pPr>
        <w:pStyle w:val="21"/>
        <w:adjustRightInd w:val="0"/>
        <w:snapToGrid w:val="0"/>
        <w:spacing w:line="360" w:lineRule="auto"/>
        <w:ind w:firstLine="480" w:firstLineChars="200"/>
        <w:jc w:val="left"/>
        <w:rPr>
          <w:rFonts w:hAnsi="宋体"/>
          <w:sz w:val="24"/>
          <w:szCs w:val="24"/>
        </w:rPr>
      </w:pPr>
      <w:r>
        <w:rPr>
          <w:rFonts w:hint="eastAsia" w:hAnsi="宋体"/>
          <w:sz w:val="24"/>
          <w:szCs w:val="24"/>
        </w:rPr>
        <w:t>说明：格式自拟。</w:t>
      </w: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spacing w:after="322" w:afterLines="100"/>
        <w:rPr>
          <w:rFonts w:ascii="宋体" w:hAnsi="宋体"/>
          <w:bCs/>
          <w:sz w:val="28"/>
          <w:szCs w:val="28"/>
        </w:rPr>
      </w:pPr>
    </w:p>
    <w:p>
      <w:pPr>
        <w:pStyle w:val="2"/>
      </w:pPr>
    </w:p>
    <w:p>
      <w:pPr>
        <w:pStyle w:val="2"/>
      </w:pPr>
    </w:p>
    <w:p>
      <w:pPr>
        <w:pStyle w:val="16"/>
      </w:pPr>
    </w:p>
    <w:p>
      <w:pPr>
        <w:pStyle w:val="5"/>
        <w:spacing w:before="161" w:after="161"/>
        <w:jc w:val="both"/>
        <w:rPr>
          <w:rFonts w:ascii="楷体" w:hAnsi="楷体" w:eastAsia="楷体"/>
        </w:rPr>
      </w:pPr>
      <w:bookmarkStart w:id="200" w:name="_Toc73217201"/>
      <w:bookmarkStart w:id="201" w:name="_Toc111853944"/>
      <w:r>
        <w:rPr>
          <w:rFonts w:hint="eastAsia"/>
        </w:rPr>
        <w:t>十一</w:t>
      </w:r>
      <w:bookmarkEnd w:id="200"/>
      <w:bookmarkEnd w:id="201"/>
      <w:bookmarkStart w:id="202" w:name="_Toc73217202"/>
      <w:r>
        <w:rPr>
          <w:rFonts w:hint="eastAsia"/>
          <w:lang w:eastAsia="zh-CN"/>
        </w:rPr>
        <w:t>、</w:t>
      </w:r>
      <w:r>
        <w:rPr>
          <w:rFonts w:hint="eastAsia" w:hAnsi="宋体"/>
          <w:sz w:val="24"/>
          <w:szCs w:val="24"/>
        </w:rPr>
        <w:t>“信用中国”网站(www.creditchina.gov.cn) （包括未被列入失信被执行人、未被列入重大税收违法案件当事人、未被列入政府采购不良行为记录）、中国政府采购网(www.ccgp.gov.cn) （未被列入政府采购严重违法失信行为信息记录）。</w:t>
      </w:r>
    </w:p>
    <w:p>
      <w:bookmarkStart w:id="203" w:name="_Toc111853945"/>
      <w:r>
        <w:rPr>
          <w:rFonts w:hint="eastAsia"/>
        </w:rPr>
        <w:br w:type="page"/>
      </w:r>
    </w:p>
    <w:p>
      <w:pPr>
        <w:pStyle w:val="5"/>
        <w:spacing w:before="161" w:after="161"/>
        <w:jc w:val="both"/>
      </w:pPr>
      <w:r>
        <w:rPr>
          <w:rFonts w:hint="eastAsia"/>
        </w:rPr>
        <w:t>十二</w:t>
      </w:r>
      <w:r>
        <w:rPr>
          <w:rFonts w:hint="eastAsia"/>
          <w:lang w:eastAsia="zh-CN"/>
        </w:rPr>
        <w:t>、</w:t>
      </w:r>
      <w:r>
        <w:rPr>
          <w:rFonts w:hint="eastAsia" w:ascii="宋体" w:hAnsi="宋体"/>
          <w:kern w:val="0"/>
          <w:sz w:val="24"/>
          <w:lang w:val="zh-CN"/>
        </w:rPr>
        <w:t>供应商须具备建设行政主管部门颁发的市政公用工程施工总承包</w:t>
      </w:r>
      <w:r>
        <w:rPr>
          <w:rFonts w:hint="eastAsia" w:ascii="宋体" w:hAnsi="宋体"/>
          <w:kern w:val="0"/>
          <w:sz w:val="24"/>
        </w:rPr>
        <w:t>三</w:t>
      </w:r>
      <w:r>
        <w:rPr>
          <w:rFonts w:hint="eastAsia" w:ascii="宋体" w:hAnsi="宋体"/>
          <w:kern w:val="0"/>
          <w:sz w:val="24"/>
          <w:lang w:val="zh-CN"/>
        </w:rPr>
        <w:t>级（含</w:t>
      </w:r>
      <w:r>
        <w:rPr>
          <w:rFonts w:hint="eastAsia" w:ascii="宋体" w:hAnsi="宋体"/>
          <w:kern w:val="0"/>
          <w:sz w:val="24"/>
        </w:rPr>
        <w:t>三</w:t>
      </w:r>
      <w:r>
        <w:rPr>
          <w:rFonts w:hint="eastAsia" w:ascii="宋体" w:hAnsi="宋体"/>
          <w:kern w:val="0"/>
          <w:sz w:val="24"/>
          <w:lang w:val="zh-CN"/>
        </w:rPr>
        <w:t>级）及以上资质并具有有效的安全生产许可证；</w:t>
      </w:r>
    </w:p>
    <w:p>
      <w:r>
        <w:rPr>
          <w:rFonts w:hint="eastAsia"/>
        </w:rPr>
        <w:br w:type="page"/>
      </w:r>
    </w:p>
    <w:p>
      <w:pPr>
        <w:pStyle w:val="5"/>
        <w:spacing w:before="161" w:after="161"/>
        <w:jc w:val="both"/>
      </w:pPr>
      <w:r>
        <w:rPr>
          <w:rFonts w:hint="eastAsia"/>
        </w:rPr>
        <w:t>十三</w:t>
      </w:r>
      <w:r>
        <w:rPr>
          <w:rFonts w:hint="eastAsia"/>
          <w:lang w:eastAsia="zh-CN"/>
        </w:rPr>
        <w:t>、</w:t>
      </w:r>
      <w:r>
        <w:rPr>
          <w:rFonts w:hint="eastAsia"/>
        </w:rPr>
        <w:t>拟派项目经理须具备市政公用工程专业二级（含二级）及以上注册建造师证书，具备有效的安全生产考核合格证书（B证），且未担任其他在建工程项目的项目经理（提供承诺函）；</w:t>
      </w:r>
    </w:p>
    <w:bookmarkEnd w:id="203"/>
    <w:p>
      <w:pPr>
        <w:pStyle w:val="2"/>
      </w:pPr>
    </w:p>
    <w:p>
      <w:pPr>
        <w:pStyle w:val="2"/>
      </w:pPr>
    </w:p>
    <w:p>
      <w:pPr>
        <w:pStyle w:val="2"/>
      </w:pPr>
    </w:p>
    <w:p>
      <w:pPr>
        <w:pStyle w:val="2"/>
        <w:ind w:firstLine="0"/>
      </w:pPr>
    </w:p>
    <w:p>
      <w:r>
        <w:rPr>
          <w:rFonts w:hint="eastAsia"/>
        </w:rPr>
        <w:br w:type="page"/>
      </w:r>
    </w:p>
    <w:p>
      <w:pPr>
        <w:pStyle w:val="5"/>
        <w:spacing w:before="161" w:after="161"/>
        <w:jc w:val="center"/>
      </w:pPr>
      <w:r>
        <w:rPr>
          <w:rFonts w:hint="eastAsia"/>
        </w:rPr>
        <w:t>十四、非联合体投标承诺书</w:t>
      </w:r>
    </w:p>
    <w:p>
      <w:pPr>
        <w:spacing w:line="500" w:lineRule="exact"/>
        <w:ind w:firstLine="3600" w:firstLineChars="1500"/>
        <w:rPr>
          <w:rFonts w:ascii="宋体" w:hAnsi="宋体" w:cs="宋体"/>
          <w:sz w:val="24"/>
          <w:lang w:val="zh-CN"/>
        </w:rPr>
      </w:pPr>
      <w:r>
        <w:rPr>
          <w:rFonts w:hint="eastAsia" w:ascii="宋体" w:hAnsi="宋体" w:cs="宋体"/>
          <w:sz w:val="24"/>
          <w:lang w:val="zh-CN"/>
        </w:rPr>
        <w:t>（</w:t>
      </w:r>
      <w:r>
        <w:rPr>
          <w:rFonts w:hint="eastAsia" w:ascii="宋体" w:hAnsi="宋体" w:cs="宋体"/>
          <w:sz w:val="24"/>
        </w:rPr>
        <w:t>格式自拟</w:t>
      </w:r>
      <w:r>
        <w:rPr>
          <w:rFonts w:hint="eastAsia" w:ascii="宋体" w:hAnsi="宋体" w:cs="宋体"/>
          <w:sz w:val="24"/>
          <w:lang w:val="zh-CN"/>
        </w:rPr>
        <w:t>）</w:t>
      </w:r>
    </w:p>
    <w:p>
      <w:pPr>
        <w:spacing w:line="500" w:lineRule="exact"/>
        <w:ind w:firstLine="480" w:firstLineChars="200"/>
        <w:rPr>
          <w:rFonts w:ascii="宋体" w:hAnsi="宋体" w:cs="宋体"/>
          <w:sz w:val="24"/>
        </w:rPr>
        <w:sectPr>
          <w:pgSz w:w="11905" w:h="16838"/>
          <w:pgMar w:top="1440" w:right="1440" w:bottom="1440" w:left="1440" w:header="567" w:footer="283" w:gutter="567"/>
          <w:pgNumType w:fmt="decimal"/>
          <w:cols w:space="720" w:num="1"/>
          <w:titlePg/>
          <w:docGrid w:type="lines" w:linePitch="322" w:charSpace="0"/>
        </w:sectPr>
      </w:pPr>
    </w:p>
    <w:bookmarkEnd w:id="202"/>
    <w:p>
      <w:pPr>
        <w:pStyle w:val="2"/>
        <w:ind w:firstLine="0"/>
        <w:jc w:val="center"/>
        <w:rPr>
          <w:b/>
          <w:sz w:val="32"/>
          <w:szCs w:val="32"/>
        </w:rPr>
      </w:pPr>
    </w:p>
    <w:p>
      <w:pPr>
        <w:pStyle w:val="2"/>
        <w:ind w:firstLine="0"/>
        <w:jc w:val="center"/>
        <w:rPr>
          <w:b/>
          <w:sz w:val="32"/>
          <w:szCs w:val="32"/>
        </w:rPr>
      </w:pPr>
    </w:p>
    <w:p>
      <w:pPr>
        <w:pStyle w:val="4"/>
        <w:jc w:val="center"/>
      </w:pPr>
      <w:bookmarkStart w:id="204" w:name="_Toc31732"/>
      <w:bookmarkStart w:id="205" w:name="_Toc111853946"/>
      <w:bookmarkStart w:id="206" w:name="_Toc17676"/>
      <w:r>
        <w:rPr>
          <w:rFonts w:hint="eastAsia"/>
        </w:rPr>
        <w:t>第二部分、技术和商务文件部分</w:t>
      </w:r>
      <w:bookmarkEnd w:id="204"/>
      <w:bookmarkEnd w:id="205"/>
      <w:bookmarkEnd w:id="206"/>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ind w:firstLine="0"/>
        <w:rPr>
          <w:sz w:val="32"/>
          <w:szCs w:val="32"/>
        </w:rPr>
      </w:pPr>
    </w:p>
    <w:p>
      <w:pPr>
        <w:pStyle w:val="2"/>
        <w:spacing w:before="120" w:beforeLines="50" w:line="360" w:lineRule="auto"/>
        <w:ind w:firstLine="1392" w:firstLineChars="580"/>
        <w:rPr>
          <w:sz w:val="24"/>
          <w:szCs w:val="24"/>
        </w:rPr>
      </w:pPr>
    </w:p>
    <w:bookmarkEnd w:id="148"/>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pPr>
        <w:pStyle w:val="2"/>
        <w:spacing w:before="120" w:beforeLines="50"/>
        <w:ind w:firstLine="1218" w:firstLineChars="580"/>
      </w:pPr>
    </w:p>
    <w:p>
      <w:bookmarkStart w:id="207" w:name="_Toc26476"/>
      <w:bookmarkStart w:id="208" w:name="_Toc111853947"/>
      <w:bookmarkStart w:id="209" w:name="_Toc73217217"/>
      <w:bookmarkStart w:id="210" w:name="_Toc7909"/>
      <w:r>
        <w:rPr>
          <w:rFonts w:hint="eastAsia"/>
        </w:rPr>
        <w:br w:type="page"/>
      </w:r>
    </w:p>
    <w:p>
      <w:pPr>
        <w:pStyle w:val="5"/>
        <w:spacing w:before="120" w:after="120"/>
        <w:jc w:val="center"/>
        <w:rPr>
          <w:rFonts w:ascii="仿宋_GB2312" w:eastAsia="仿宋_GB2312"/>
          <w:bCs/>
          <w:szCs w:val="28"/>
        </w:rPr>
      </w:pPr>
      <w:r>
        <w:rPr>
          <w:rFonts w:hint="eastAsia"/>
        </w:rPr>
        <w:t>一、投 标 函</w:t>
      </w:r>
      <w:bookmarkEnd w:id="207"/>
      <w:bookmarkEnd w:id="208"/>
      <w:bookmarkEnd w:id="209"/>
      <w:bookmarkEnd w:id="210"/>
    </w:p>
    <w:p>
      <w:pPr>
        <w:pStyle w:val="24"/>
        <w:spacing w:after="240" w:afterLines="100" w:line="400" w:lineRule="exact"/>
        <w:ind w:firstLine="0"/>
        <w:rPr>
          <w:rFonts w:ascii="宋体" w:hAnsi="宋体"/>
          <w:bCs/>
          <w:sz w:val="24"/>
          <w:szCs w:val="24"/>
          <w:u w:val="single"/>
        </w:rPr>
      </w:pPr>
      <w:r>
        <w:rPr>
          <w:rFonts w:hint="eastAsia" w:ascii="宋体" w:hAnsi="宋体"/>
          <w:bCs/>
          <w:sz w:val="24"/>
          <w:szCs w:val="24"/>
          <w:u w:val="single"/>
        </w:rPr>
        <w:t xml:space="preserve">      招标人                  ：</w:t>
      </w:r>
    </w:p>
    <w:p>
      <w:pPr>
        <w:pStyle w:val="24"/>
        <w:spacing w:before="120" w:beforeLines="50" w:line="360" w:lineRule="auto"/>
        <w:ind w:firstLine="480" w:firstLineChars="200"/>
        <w:rPr>
          <w:rFonts w:ascii="宋体" w:hAnsi="宋体"/>
          <w:sz w:val="24"/>
          <w:szCs w:val="24"/>
        </w:rPr>
      </w:pPr>
      <w:r>
        <w:rPr>
          <w:rFonts w:hint="eastAsia" w:ascii="宋体" w:hAnsi="宋体"/>
          <w:sz w:val="24"/>
          <w:szCs w:val="24"/>
        </w:rPr>
        <w:t>我方已仔细研究了</w:t>
      </w:r>
      <w:r>
        <w:rPr>
          <w:rFonts w:hint="eastAsia" w:ascii="宋体" w:hAnsi="宋体"/>
          <w:sz w:val="24"/>
          <w:szCs w:val="24"/>
          <w:u w:val="single"/>
        </w:rPr>
        <w:t xml:space="preserve">         (</w:t>
      </w:r>
      <w:r>
        <w:rPr>
          <w:rFonts w:hint="eastAsia" w:ascii="宋体" w:hAnsi="宋体"/>
          <w:sz w:val="24"/>
          <w:szCs w:val="24"/>
        </w:rPr>
        <w:t>项目名称)的招标文件（政府采购项目编号：</w:t>
      </w:r>
      <w:r>
        <w:rPr>
          <w:rFonts w:hint="eastAsia" w:ascii="宋体" w:hAnsi="宋体"/>
          <w:sz w:val="24"/>
          <w:szCs w:val="24"/>
          <w:u w:val="single"/>
        </w:rPr>
        <w:t xml:space="preserve">      </w:t>
      </w:r>
      <w:r>
        <w:rPr>
          <w:rFonts w:hint="eastAsia" w:ascii="宋体" w:hAnsi="宋体"/>
          <w:sz w:val="24"/>
          <w:szCs w:val="24"/>
        </w:rPr>
        <w:t>）的全部内容，知悉参加投标的风险，我方承诺接受招标文件的全部条款且无任何异议，</w:t>
      </w:r>
      <w:r>
        <w:rPr>
          <w:rFonts w:hint="eastAsia" w:ascii="宋体" w:hAnsi="宋体"/>
          <w:bCs/>
          <w:sz w:val="24"/>
          <w:szCs w:val="24"/>
        </w:rPr>
        <w:t>决定参加贵单位组织的本项目</w:t>
      </w:r>
      <w:r>
        <w:rPr>
          <w:rFonts w:hint="eastAsia" w:ascii="宋体" w:hAnsi="宋体"/>
          <w:bCs/>
          <w:sz w:val="24"/>
          <w:szCs w:val="24"/>
          <w:u w:val="single"/>
        </w:rPr>
        <w:t xml:space="preserve">     </w:t>
      </w:r>
      <w:r>
        <w:rPr>
          <w:rFonts w:hint="eastAsia" w:ascii="宋体" w:hAnsi="宋体"/>
          <w:bCs/>
          <w:sz w:val="24"/>
          <w:szCs w:val="24"/>
        </w:rPr>
        <w:t>投标。</w:t>
      </w:r>
    </w:p>
    <w:p>
      <w:pPr>
        <w:pStyle w:val="21"/>
        <w:adjustRightInd w:val="0"/>
        <w:snapToGrid w:val="0"/>
        <w:spacing w:before="120" w:beforeLines="50"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一、我方提交投标文件正本一份和副本 二 份，电子文件一份（一个U盘）。</w:t>
      </w:r>
    </w:p>
    <w:p>
      <w:pPr>
        <w:pStyle w:val="21"/>
        <w:adjustRightInd w:val="0"/>
        <w:snapToGrid w:val="0"/>
        <w:spacing w:before="120" w:beforeLines="50" w:line="360" w:lineRule="auto"/>
        <w:ind w:firstLine="480" w:firstLineChars="200"/>
        <w:rPr>
          <w:rFonts w:hAnsi="宋体"/>
          <w:sz w:val="24"/>
          <w:szCs w:val="24"/>
        </w:rPr>
      </w:pPr>
      <w:r>
        <w:rPr>
          <w:rFonts w:hint="eastAsia" w:hAnsi="宋体"/>
          <w:sz w:val="24"/>
          <w:szCs w:val="24"/>
        </w:rPr>
        <w:t>二、我方的投标报价为人民币（大写)</w:t>
      </w:r>
      <w:r>
        <w:rPr>
          <w:rFonts w:hint="eastAsia" w:hAnsi="宋体"/>
          <w:sz w:val="24"/>
          <w:szCs w:val="24"/>
          <w:u w:val="single"/>
        </w:rPr>
        <w:t xml:space="preserve">        </w:t>
      </w:r>
      <w:r>
        <w:rPr>
          <w:rFonts w:hint="eastAsia" w:hAnsi="宋体"/>
          <w:sz w:val="24"/>
          <w:szCs w:val="24"/>
        </w:rPr>
        <w:t>，（小写）¥</w:t>
      </w:r>
      <w:r>
        <w:rPr>
          <w:rFonts w:hint="eastAsia" w:hAnsi="宋体"/>
          <w:sz w:val="24"/>
          <w:szCs w:val="24"/>
          <w:u w:val="single"/>
        </w:rPr>
        <w:t xml:space="preserve">        </w:t>
      </w:r>
      <w:r>
        <w:rPr>
          <w:rFonts w:hint="eastAsia" w:hAnsi="宋体"/>
          <w:sz w:val="24"/>
          <w:szCs w:val="24"/>
        </w:rPr>
        <w:t>元；项目经理为</w:t>
      </w:r>
      <w:r>
        <w:rPr>
          <w:rFonts w:hint="eastAsia" w:hAnsi="宋体"/>
          <w:sz w:val="24"/>
          <w:szCs w:val="24"/>
          <w:u w:val="single"/>
        </w:rPr>
        <w:t xml:space="preserve"> </w:t>
      </w:r>
      <w:r>
        <w:rPr>
          <w:rFonts w:hint="eastAsia" w:hAnsi="宋体"/>
          <w:sz w:val="24"/>
          <w:szCs w:val="24"/>
          <w:u w:val="single"/>
        </w:rPr>
        <w:tab/>
      </w:r>
      <w:r>
        <w:rPr>
          <w:rFonts w:hint="eastAsia" w:hAnsi="宋体"/>
          <w:sz w:val="24"/>
          <w:szCs w:val="24"/>
          <w:u w:val="single"/>
        </w:rPr>
        <w:t xml:space="preserve">   </w:t>
      </w:r>
      <w:r>
        <w:rPr>
          <w:rFonts w:hint="eastAsia" w:hAnsi="宋体"/>
          <w:sz w:val="24"/>
          <w:szCs w:val="24"/>
        </w:rPr>
        <w:t>，工程质量：</w:t>
      </w:r>
      <w:r>
        <w:rPr>
          <w:rFonts w:hint="eastAsia" w:hAnsi="宋体"/>
          <w:sz w:val="24"/>
          <w:szCs w:val="24"/>
          <w:u w:val="single"/>
        </w:rPr>
        <w:t xml:space="preserve">            </w:t>
      </w:r>
      <w:r>
        <w:rPr>
          <w:rFonts w:hint="eastAsia" w:hAnsi="宋体"/>
          <w:sz w:val="24"/>
          <w:szCs w:val="24"/>
        </w:rPr>
        <w:t>，服务期限为</w:t>
      </w:r>
      <w:r>
        <w:rPr>
          <w:rFonts w:hint="eastAsia" w:hAnsi="宋体"/>
          <w:sz w:val="24"/>
          <w:szCs w:val="24"/>
          <w:u w:val="single"/>
        </w:rPr>
        <w:t xml:space="preserve">           </w:t>
      </w:r>
      <w:r>
        <w:rPr>
          <w:rFonts w:hint="eastAsia"/>
          <w:sz w:val="24"/>
          <w:szCs w:val="24"/>
        </w:rPr>
        <w:t>，投标有效期为</w:t>
      </w:r>
      <w:r>
        <w:rPr>
          <w:rFonts w:hint="eastAsia"/>
          <w:sz w:val="24"/>
          <w:szCs w:val="24"/>
          <w:lang w:val="zh-CN"/>
        </w:rPr>
        <w:t>投标截止日起90日历</w:t>
      </w:r>
      <w:r>
        <w:rPr>
          <w:rFonts w:hint="eastAsia"/>
          <w:sz w:val="24"/>
          <w:szCs w:val="24"/>
        </w:rPr>
        <w:t>天。</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三、我方承诺承诺除商务和技术偏差表列出的偏差外，我方响应招标文件的全部要求。</w:t>
      </w:r>
    </w:p>
    <w:p>
      <w:pPr>
        <w:pStyle w:val="21"/>
        <w:adjustRightInd w:val="0"/>
        <w:snapToGrid w:val="0"/>
        <w:spacing w:before="120" w:beforeLines="50" w:line="360" w:lineRule="auto"/>
        <w:ind w:firstLine="480" w:firstLineChars="200"/>
        <w:rPr>
          <w:rFonts w:hAnsi="宋体"/>
          <w:sz w:val="24"/>
          <w:szCs w:val="24"/>
        </w:rPr>
      </w:pPr>
      <w:r>
        <w:rPr>
          <w:rFonts w:hint="eastAsia" w:hAnsi="宋体"/>
          <w:sz w:val="24"/>
          <w:szCs w:val="24"/>
        </w:rPr>
        <w:t>四、我方愿意向贵方提供任何与本项采购有关的样品、数据、情况和技术资料。若贵方需要，我方愿意提供我方作出的一切承诺的证明材料。</w:t>
      </w:r>
    </w:p>
    <w:p>
      <w:pPr>
        <w:pStyle w:val="24"/>
        <w:spacing w:before="120" w:beforeLines="50" w:line="360" w:lineRule="auto"/>
        <w:ind w:firstLine="480" w:firstLineChars="200"/>
        <w:rPr>
          <w:rFonts w:ascii="宋体" w:hAnsi="宋体"/>
          <w:bCs/>
          <w:sz w:val="24"/>
          <w:szCs w:val="24"/>
        </w:rPr>
      </w:pPr>
      <w:r>
        <w:rPr>
          <w:rFonts w:hint="eastAsia" w:ascii="宋体" w:hAnsi="宋体"/>
          <w:sz w:val="24"/>
          <w:szCs w:val="24"/>
        </w:rPr>
        <w:t>五、</w:t>
      </w:r>
      <w:r>
        <w:rPr>
          <w:rFonts w:hint="eastAsia" w:ascii="宋体" w:hAnsi="宋体"/>
          <w:bCs/>
          <w:sz w:val="24"/>
          <w:szCs w:val="24"/>
        </w:rPr>
        <w:t>我方承诺在招标文件规定的投标有效期内不撤销投标文件。</w:t>
      </w:r>
    </w:p>
    <w:p>
      <w:pPr>
        <w:pStyle w:val="21"/>
        <w:adjustRightInd w:val="0"/>
        <w:snapToGrid w:val="0"/>
        <w:spacing w:before="120" w:beforeLines="50" w:line="360" w:lineRule="auto"/>
        <w:ind w:firstLine="480" w:firstLineChars="200"/>
        <w:rPr>
          <w:rFonts w:hAnsi="宋体"/>
          <w:sz w:val="24"/>
          <w:szCs w:val="24"/>
        </w:rPr>
      </w:pPr>
      <w:r>
        <w:rPr>
          <w:rFonts w:hint="eastAsia" w:hAnsi="宋体"/>
          <w:sz w:val="24"/>
          <w:szCs w:val="24"/>
        </w:rPr>
        <w:t>六、我方承诺遵守《中华人民共和国政府采购法》及其实施条例的有关规定，保证在获得中标资格后：</w:t>
      </w:r>
    </w:p>
    <w:p>
      <w:pPr>
        <w:pStyle w:val="24"/>
        <w:spacing w:before="120" w:beforeLines="50" w:line="360" w:lineRule="auto"/>
        <w:ind w:firstLine="480" w:firstLineChars="200"/>
        <w:rPr>
          <w:rFonts w:ascii="宋体" w:hAnsi="宋体"/>
          <w:sz w:val="24"/>
          <w:szCs w:val="24"/>
        </w:rPr>
      </w:pPr>
      <w:r>
        <w:rPr>
          <w:rFonts w:hint="eastAsia" w:ascii="宋体" w:hAnsi="宋体"/>
          <w:sz w:val="24"/>
          <w:szCs w:val="24"/>
        </w:rPr>
        <w:t>1.在收到中标通知书后，在中标通知书规定的期限内与采购人签订合同；</w:t>
      </w:r>
    </w:p>
    <w:p>
      <w:pPr>
        <w:pStyle w:val="24"/>
        <w:spacing w:before="120" w:beforeLines="50" w:line="360" w:lineRule="auto"/>
        <w:ind w:firstLine="480" w:firstLineChars="200"/>
        <w:rPr>
          <w:rFonts w:ascii="宋体" w:hAnsi="宋体"/>
          <w:sz w:val="24"/>
          <w:szCs w:val="24"/>
        </w:rPr>
      </w:pPr>
      <w:r>
        <w:rPr>
          <w:rFonts w:hint="eastAsia" w:ascii="宋体" w:hAnsi="宋体"/>
          <w:sz w:val="24"/>
          <w:szCs w:val="24"/>
        </w:rPr>
        <w:t>2.在签订合同时不向采购人提出附加条件；</w:t>
      </w:r>
    </w:p>
    <w:p>
      <w:pPr>
        <w:pStyle w:val="24"/>
        <w:spacing w:before="120" w:beforeLines="50" w:line="360" w:lineRule="auto"/>
        <w:ind w:firstLine="480" w:firstLineChars="200"/>
        <w:rPr>
          <w:rFonts w:ascii="宋体" w:hAnsi="宋体"/>
          <w:bCs/>
          <w:sz w:val="24"/>
          <w:szCs w:val="24"/>
        </w:rPr>
      </w:pPr>
      <w:r>
        <w:rPr>
          <w:rFonts w:hint="eastAsia" w:ascii="宋体" w:hAnsi="宋体"/>
          <w:sz w:val="24"/>
          <w:szCs w:val="24"/>
        </w:rPr>
        <w:t>3.在合同规定期限内完成合同规定的全部义务；</w:t>
      </w:r>
    </w:p>
    <w:p>
      <w:pPr>
        <w:pStyle w:val="21"/>
        <w:adjustRightInd w:val="0"/>
        <w:snapToGrid w:val="0"/>
        <w:spacing w:before="120" w:beforeLines="50" w:line="360" w:lineRule="auto"/>
        <w:ind w:firstLine="480" w:firstLineChars="200"/>
        <w:rPr>
          <w:rFonts w:hAnsi="宋体"/>
          <w:bCs/>
          <w:sz w:val="24"/>
          <w:szCs w:val="24"/>
        </w:rPr>
      </w:pPr>
      <w:r>
        <w:rPr>
          <w:rFonts w:hint="eastAsia" w:hAnsi="宋体"/>
          <w:sz w:val="24"/>
          <w:szCs w:val="24"/>
        </w:rPr>
        <w:t>4.</w:t>
      </w:r>
      <w:r>
        <w:rPr>
          <w:rFonts w:hint="eastAsia" w:hAnsi="宋体"/>
          <w:bCs/>
          <w:sz w:val="24"/>
          <w:szCs w:val="24"/>
        </w:rPr>
        <w:t>按照招标文件规定和标准向贵方交纳招标代理服务费及造价费；</w:t>
      </w:r>
    </w:p>
    <w:p>
      <w:pPr>
        <w:pStyle w:val="21"/>
        <w:adjustRightInd w:val="0"/>
        <w:snapToGrid w:val="0"/>
        <w:spacing w:before="120" w:beforeLines="50" w:line="360" w:lineRule="auto"/>
        <w:ind w:firstLine="480" w:firstLineChars="200"/>
        <w:rPr>
          <w:rFonts w:hAnsi="宋体"/>
          <w:sz w:val="24"/>
          <w:szCs w:val="24"/>
        </w:rPr>
      </w:pPr>
      <w:r>
        <w:rPr>
          <w:rFonts w:hint="eastAsia" w:hAnsi="宋体"/>
          <w:sz w:val="24"/>
          <w:szCs w:val="24"/>
        </w:rPr>
        <w:t>5.按照招标文件规定提交履约保证金。</w:t>
      </w:r>
    </w:p>
    <w:p>
      <w:pPr>
        <w:pStyle w:val="21"/>
        <w:adjustRightInd w:val="0"/>
        <w:snapToGrid w:val="0"/>
        <w:spacing w:before="120" w:beforeLines="50" w:line="360" w:lineRule="auto"/>
        <w:ind w:firstLine="480" w:firstLineChars="200"/>
        <w:rPr>
          <w:rFonts w:hAnsi="宋体"/>
          <w:sz w:val="24"/>
          <w:szCs w:val="24"/>
        </w:rPr>
      </w:pPr>
      <w:r>
        <w:rPr>
          <w:rFonts w:hint="eastAsia" w:hAnsi="宋体"/>
          <w:sz w:val="24"/>
          <w:szCs w:val="24"/>
        </w:rPr>
        <w:t>七、我方完全理解并同意招标文件中有关不退还投标保证金条款所规定的情形。</w:t>
      </w:r>
    </w:p>
    <w:p>
      <w:pPr>
        <w:pStyle w:val="24"/>
        <w:spacing w:before="120" w:beforeLines="50" w:line="360" w:lineRule="auto"/>
        <w:ind w:firstLine="480" w:firstLineChars="200"/>
        <w:rPr>
          <w:rFonts w:ascii="宋体" w:hAnsi="宋体"/>
          <w:bCs/>
          <w:sz w:val="24"/>
          <w:szCs w:val="24"/>
        </w:rPr>
      </w:pPr>
      <w:r>
        <w:rPr>
          <w:rFonts w:hint="eastAsia" w:ascii="宋体" w:hAnsi="宋体"/>
          <w:sz w:val="24"/>
          <w:szCs w:val="24"/>
        </w:rPr>
        <w:t>八、</w:t>
      </w:r>
      <w:r>
        <w:rPr>
          <w:rFonts w:hint="eastAsia" w:ascii="宋体" w:hAnsi="宋体"/>
          <w:bCs/>
          <w:sz w:val="24"/>
          <w:szCs w:val="24"/>
        </w:rPr>
        <w:t>我方完全理解最低报价不是中标的唯一条件，并尊重评标委员会的评审结论和中标结果。</w:t>
      </w:r>
    </w:p>
    <w:p>
      <w:pPr>
        <w:pStyle w:val="24"/>
        <w:spacing w:before="120" w:beforeLines="50" w:line="360" w:lineRule="auto"/>
        <w:ind w:firstLine="480" w:firstLineChars="200"/>
        <w:rPr>
          <w:rFonts w:hAnsi="宋体"/>
          <w:bCs/>
          <w:sz w:val="24"/>
          <w:szCs w:val="24"/>
        </w:rPr>
      </w:pPr>
      <w:r>
        <w:rPr>
          <w:rFonts w:hint="eastAsia" w:ascii="宋体" w:hAnsi="宋体"/>
          <w:bCs/>
          <w:sz w:val="24"/>
          <w:szCs w:val="24"/>
        </w:rPr>
        <w:t>九、</w:t>
      </w:r>
      <w:r>
        <w:rPr>
          <w:rFonts w:hint="eastAsia" w:hAnsi="宋体"/>
          <w:sz w:val="24"/>
          <w:szCs w:val="24"/>
        </w:rPr>
        <w:t>我方在此声明，所递交的投标文件及有关资料内容完整、真实和准确，且不存在第二章“投标人须知”第</w:t>
      </w:r>
      <w:r>
        <w:rPr>
          <w:rFonts w:hint="eastAsia" w:ascii="宋体" w:hAnsi="宋体"/>
          <w:sz w:val="24"/>
          <w:szCs w:val="24"/>
        </w:rPr>
        <w:t>1.3.2</w:t>
      </w:r>
      <w:r>
        <w:rPr>
          <w:rFonts w:hint="eastAsia" w:hAnsi="宋体"/>
          <w:sz w:val="24"/>
          <w:szCs w:val="24"/>
        </w:rPr>
        <w:t>条款规定的任何一种情形。否则，愿承担《中华人民共和国政府采购法》</w:t>
      </w:r>
      <w:r>
        <w:rPr>
          <w:rFonts w:hint="eastAsia" w:hAnsi="宋体"/>
          <w:bCs/>
          <w:sz w:val="24"/>
          <w:szCs w:val="24"/>
        </w:rPr>
        <w:t>第七十七条规定的法律责任。</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十、我方保证上述投标报价不低于我单位工程施工的成本价。</w:t>
      </w:r>
    </w:p>
    <w:p>
      <w:pPr>
        <w:pStyle w:val="24"/>
        <w:spacing w:line="360" w:lineRule="auto"/>
        <w:ind w:firstLine="480" w:firstLineChars="200"/>
        <w:rPr>
          <w:rFonts w:ascii="宋体" w:hAnsi="宋体"/>
          <w:bCs/>
          <w:sz w:val="24"/>
          <w:szCs w:val="24"/>
        </w:rPr>
      </w:pPr>
      <w:r>
        <w:rPr>
          <w:rFonts w:ascii="宋体" w:hAnsi="宋体"/>
          <w:bCs/>
          <w:sz w:val="24"/>
          <w:szCs w:val="24"/>
        </w:rPr>
        <w:t>十一、</w:t>
      </w:r>
      <w:r>
        <w:rPr>
          <w:rFonts w:hint="eastAsia" w:ascii="宋体" w:hAnsi="宋体"/>
          <w:bCs/>
          <w:sz w:val="24"/>
          <w:szCs w:val="24"/>
        </w:rPr>
        <w:t>如果因我方原因放弃中标，我方承诺承担因下个中标候选人中标给招标人带来的经济损失。</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十二、（其他补充说明）。</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十三、有关本项目的所有函电，请按下列地址联系：</w:t>
      </w:r>
    </w:p>
    <w:p>
      <w:pPr>
        <w:pStyle w:val="24"/>
        <w:spacing w:line="360" w:lineRule="auto"/>
        <w:ind w:firstLine="480" w:firstLineChars="200"/>
        <w:rPr>
          <w:rFonts w:ascii="宋体" w:hAnsi="宋体"/>
          <w:bCs/>
          <w:sz w:val="24"/>
          <w:szCs w:val="24"/>
        </w:rPr>
      </w:pPr>
    </w:p>
    <w:p>
      <w:pPr>
        <w:pStyle w:val="24"/>
        <w:spacing w:line="360" w:lineRule="auto"/>
        <w:ind w:firstLine="480" w:firstLineChars="200"/>
        <w:rPr>
          <w:rFonts w:ascii="宋体" w:hAnsi="宋体"/>
          <w:bCs/>
          <w:sz w:val="24"/>
          <w:szCs w:val="24"/>
        </w:rPr>
      </w:pPr>
    </w:p>
    <w:p>
      <w:pPr>
        <w:pStyle w:val="24"/>
        <w:spacing w:line="360" w:lineRule="auto"/>
        <w:ind w:firstLine="480" w:firstLineChars="200"/>
        <w:rPr>
          <w:rFonts w:ascii="宋体" w:hAnsi="宋体"/>
          <w:bCs/>
          <w:sz w:val="24"/>
          <w:szCs w:val="24"/>
        </w:rPr>
      </w:pPr>
    </w:p>
    <w:p>
      <w:pPr>
        <w:pStyle w:val="24"/>
        <w:spacing w:line="360" w:lineRule="auto"/>
        <w:ind w:firstLine="480" w:firstLineChars="200"/>
        <w:rPr>
          <w:rFonts w:ascii="宋体" w:hAnsi="宋体"/>
          <w:bCs/>
          <w:sz w:val="24"/>
          <w:szCs w:val="24"/>
        </w:rPr>
      </w:pPr>
      <w:r>
        <w:rPr>
          <w:rFonts w:hint="eastAsia" w:ascii="宋体" w:hAnsi="宋体"/>
          <w:bCs/>
          <w:sz w:val="24"/>
          <w:szCs w:val="24"/>
        </w:rPr>
        <w:t>投 标 人：（盖单位章）</w:t>
      </w:r>
    </w:p>
    <w:p>
      <w:pPr>
        <w:pStyle w:val="24"/>
        <w:spacing w:line="360" w:lineRule="auto"/>
        <w:ind w:firstLine="480" w:firstLineChars="200"/>
        <w:rPr>
          <w:rFonts w:ascii="宋体" w:hAnsi="宋体"/>
          <w:bCs/>
          <w:sz w:val="24"/>
          <w:szCs w:val="24"/>
        </w:rPr>
      </w:pPr>
    </w:p>
    <w:p>
      <w:pPr>
        <w:pStyle w:val="24"/>
        <w:spacing w:line="360" w:lineRule="auto"/>
        <w:ind w:firstLine="480" w:firstLineChars="200"/>
        <w:rPr>
          <w:rFonts w:ascii="宋体" w:hAnsi="宋体"/>
          <w:bCs/>
          <w:sz w:val="24"/>
          <w:szCs w:val="24"/>
        </w:rPr>
      </w:pPr>
      <w:r>
        <w:rPr>
          <w:rFonts w:hint="eastAsia" w:ascii="宋体" w:hAnsi="宋体"/>
          <w:bCs/>
          <w:sz w:val="24"/>
          <w:szCs w:val="24"/>
        </w:rPr>
        <w:t>法定代表人或委托代理人：（签字）</w:t>
      </w:r>
    </w:p>
    <w:p>
      <w:pPr>
        <w:pStyle w:val="24"/>
        <w:spacing w:line="360" w:lineRule="auto"/>
        <w:ind w:firstLine="480" w:firstLineChars="200"/>
        <w:rPr>
          <w:rFonts w:ascii="宋体" w:hAnsi="宋体"/>
          <w:bCs/>
          <w:sz w:val="24"/>
          <w:szCs w:val="24"/>
        </w:rPr>
      </w:pP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通讯地址：</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邮政编码：</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联系电话：</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传    真：</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电子邮件：</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 xml:space="preserve">开户银行: </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帐    号：</w:t>
      </w:r>
    </w:p>
    <w:p>
      <w:pPr>
        <w:pStyle w:val="24"/>
        <w:spacing w:before="120" w:beforeLines="50" w:line="360" w:lineRule="auto"/>
        <w:ind w:firstLine="480" w:firstLineChars="200"/>
        <w:rPr>
          <w:rFonts w:ascii="宋体" w:hAnsi="宋体"/>
          <w:bCs/>
          <w:sz w:val="24"/>
          <w:szCs w:val="24"/>
        </w:rPr>
      </w:pPr>
      <w:r>
        <w:rPr>
          <w:rFonts w:hint="eastAsia" w:ascii="宋体" w:hAnsi="宋体"/>
          <w:bCs/>
          <w:sz w:val="24"/>
          <w:szCs w:val="24"/>
        </w:rPr>
        <w:t>日    期：    年   月   日</w:t>
      </w:r>
    </w:p>
    <w:p>
      <w:pPr>
        <w:spacing w:line="400" w:lineRule="exact"/>
        <w:rPr>
          <w:rFonts w:ascii="仿宋_GB2312" w:hAnsi="宋体" w:eastAsia="仿宋_GB2312"/>
          <w:b/>
          <w:sz w:val="28"/>
          <w:szCs w:val="28"/>
        </w:rPr>
      </w:pPr>
    </w:p>
    <w:p>
      <w:pPr>
        <w:spacing w:line="400" w:lineRule="exact"/>
        <w:rPr>
          <w:rFonts w:ascii="仿宋_GB2312" w:hAnsi="宋体" w:eastAsia="仿宋_GB2312"/>
          <w:b/>
          <w:sz w:val="28"/>
          <w:szCs w:val="28"/>
        </w:rPr>
      </w:pPr>
    </w:p>
    <w:p>
      <w:pPr>
        <w:spacing w:line="400" w:lineRule="exact"/>
        <w:rPr>
          <w:rFonts w:ascii="仿宋_GB2312" w:hAnsi="宋体" w:eastAsia="仿宋_GB2312"/>
          <w:b/>
          <w:sz w:val="28"/>
          <w:szCs w:val="28"/>
        </w:rPr>
      </w:pPr>
    </w:p>
    <w:p>
      <w:pPr>
        <w:spacing w:line="400" w:lineRule="exact"/>
        <w:rPr>
          <w:rFonts w:ascii="仿宋_GB2312" w:hAnsi="宋体" w:eastAsia="仿宋_GB2312"/>
          <w:b/>
          <w:sz w:val="28"/>
          <w:szCs w:val="28"/>
        </w:rPr>
      </w:pPr>
    </w:p>
    <w:p>
      <w:pPr>
        <w:spacing w:line="400" w:lineRule="exact"/>
        <w:rPr>
          <w:rFonts w:ascii="仿宋_GB2312" w:hAnsi="宋体" w:eastAsia="仿宋_GB2312"/>
          <w:b/>
          <w:sz w:val="28"/>
          <w:szCs w:val="28"/>
        </w:rPr>
      </w:pPr>
    </w:p>
    <w:p>
      <w:pPr>
        <w:spacing w:line="400" w:lineRule="exact"/>
        <w:rPr>
          <w:rFonts w:ascii="仿宋_GB2312" w:hAnsi="宋体" w:eastAsia="仿宋_GB2312"/>
          <w:b/>
          <w:sz w:val="28"/>
          <w:szCs w:val="28"/>
        </w:rPr>
      </w:pPr>
    </w:p>
    <w:p>
      <w:pPr>
        <w:spacing w:line="400" w:lineRule="exact"/>
        <w:rPr>
          <w:rFonts w:ascii="仿宋_GB2312" w:hAnsi="宋体" w:eastAsia="仿宋_GB2312"/>
          <w:b/>
          <w:sz w:val="28"/>
          <w:szCs w:val="28"/>
        </w:rPr>
      </w:pPr>
    </w:p>
    <w:p>
      <w:pPr>
        <w:pStyle w:val="5"/>
        <w:spacing w:before="120" w:after="120"/>
        <w:jc w:val="center"/>
      </w:pPr>
      <w:bookmarkStart w:id="211" w:name="_Toc73217218"/>
      <w:bookmarkStart w:id="212" w:name="_Toc15175"/>
      <w:bookmarkStart w:id="213" w:name="_Toc111853948"/>
      <w:bookmarkStart w:id="214" w:name="_Toc23224"/>
      <w:r>
        <w:rPr>
          <w:rFonts w:hint="eastAsia"/>
        </w:rPr>
        <w:t>二、开标一览表</w:t>
      </w:r>
      <w:bookmarkEnd w:id="211"/>
      <w:bookmarkEnd w:id="212"/>
      <w:bookmarkEnd w:id="213"/>
      <w:bookmarkEnd w:id="214"/>
    </w:p>
    <w:p>
      <w:pPr>
        <w:pStyle w:val="83"/>
      </w:pPr>
      <w:r>
        <w:rPr>
          <w:rFonts w:hint="eastAsia"/>
          <w:szCs w:val="21"/>
        </w:rPr>
        <w:t xml:space="preserve"> </w:t>
      </w:r>
    </w:p>
    <w:p/>
    <w:tbl>
      <w:tblPr>
        <w:tblStyle w:val="40"/>
        <w:tblW w:w="9300" w:type="dxa"/>
        <w:tblInd w:w="93" w:type="dxa"/>
        <w:tblLayout w:type="fixed"/>
        <w:tblCellMar>
          <w:top w:w="0" w:type="dxa"/>
          <w:left w:w="108" w:type="dxa"/>
          <w:bottom w:w="0" w:type="dxa"/>
          <w:right w:w="108" w:type="dxa"/>
        </w:tblCellMar>
      </w:tblPr>
      <w:tblGrid>
        <w:gridCol w:w="2000"/>
        <w:gridCol w:w="7300"/>
      </w:tblGrid>
      <w:tr>
        <w:tblPrEx>
          <w:tblCellMar>
            <w:top w:w="0" w:type="dxa"/>
            <w:left w:w="108" w:type="dxa"/>
            <w:bottom w:w="0" w:type="dxa"/>
            <w:right w:w="108" w:type="dxa"/>
          </w:tblCellMar>
        </w:tblPrEx>
        <w:trPr>
          <w:trHeight w:val="1077"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7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1936"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投标总报价</w:t>
            </w:r>
          </w:p>
          <w:p>
            <w:pPr>
              <w:widowControl/>
              <w:jc w:val="center"/>
              <w:rPr>
                <w:rFonts w:ascii="宋体" w:hAnsi="宋体" w:cs="宋体"/>
                <w:kern w:val="0"/>
                <w:sz w:val="24"/>
              </w:rPr>
            </w:pPr>
            <w:r>
              <w:rPr>
                <w:rFonts w:hint="eastAsia" w:ascii="宋体" w:hAnsi="宋体" w:cs="宋体"/>
                <w:b/>
                <w:bCs/>
                <w:kern w:val="0"/>
                <w:sz w:val="24"/>
              </w:rPr>
              <w:t>（元）</w:t>
            </w:r>
          </w:p>
        </w:tc>
        <w:tc>
          <w:tcPr>
            <w:tcW w:w="7300" w:type="dxa"/>
            <w:tcBorders>
              <w:top w:val="single" w:color="auto" w:sz="4" w:space="0"/>
              <w:left w:val="nil"/>
              <w:bottom w:val="single" w:color="auto" w:sz="4" w:space="0"/>
              <w:right w:val="single" w:color="auto" w:sz="4" w:space="0"/>
            </w:tcBorders>
            <w:noWrap/>
            <w:vAlign w:val="center"/>
          </w:tcPr>
          <w:p>
            <w:pPr>
              <w:pStyle w:val="2"/>
              <w:ind w:firstLine="0"/>
              <w:jc w:val="left"/>
              <w:rPr>
                <w:rFonts w:hAnsi="宋体"/>
                <w:sz w:val="24"/>
                <w:szCs w:val="24"/>
                <w:u w:val="single"/>
              </w:rPr>
            </w:pPr>
            <w:r>
              <w:rPr>
                <w:rFonts w:hint="eastAsia" w:hAnsi="宋体"/>
                <w:sz w:val="24"/>
                <w:szCs w:val="24"/>
              </w:rPr>
              <w:t>大写：</w:t>
            </w:r>
            <w:r>
              <w:rPr>
                <w:rFonts w:hint="eastAsia" w:hAnsi="宋体"/>
                <w:sz w:val="24"/>
                <w:szCs w:val="24"/>
                <w:u w:val="single"/>
              </w:rPr>
              <w:t xml:space="preserve">                        </w:t>
            </w:r>
          </w:p>
          <w:p>
            <w:pPr>
              <w:pStyle w:val="2"/>
              <w:ind w:firstLine="0"/>
              <w:jc w:val="left"/>
              <w:rPr>
                <w:rFonts w:hint="eastAsia" w:hAnsi="宋体"/>
                <w:sz w:val="24"/>
                <w:szCs w:val="24"/>
              </w:rPr>
            </w:pPr>
          </w:p>
          <w:p>
            <w:pPr>
              <w:pStyle w:val="2"/>
              <w:ind w:firstLine="0"/>
              <w:jc w:val="left"/>
              <w:rPr>
                <w:rFonts w:hAnsi="宋体"/>
                <w:sz w:val="24"/>
                <w:szCs w:val="24"/>
                <w:u w:val="single"/>
              </w:rPr>
            </w:pPr>
            <w:r>
              <w:rPr>
                <w:rFonts w:hint="eastAsia" w:hAnsi="宋体"/>
                <w:sz w:val="24"/>
                <w:szCs w:val="24"/>
              </w:rPr>
              <w:t>小写：¥</w:t>
            </w:r>
            <w:r>
              <w:rPr>
                <w:rFonts w:hint="eastAsia" w:hAnsi="宋体"/>
                <w:sz w:val="24"/>
                <w:szCs w:val="24"/>
                <w:u w:val="single"/>
              </w:rPr>
              <w:t xml:space="preserve">                       </w:t>
            </w:r>
          </w:p>
          <w:p>
            <w:pPr>
              <w:pStyle w:val="2"/>
              <w:ind w:firstLine="0"/>
              <w:jc w:val="left"/>
              <w:rPr>
                <w:sz w:val="24"/>
                <w:szCs w:val="24"/>
                <w:u w:val="single"/>
              </w:rPr>
            </w:pPr>
          </w:p>
        </w:tc>
      </w:tr>
      <w:tr>
        <w:tblPrEx>
          <w:tblCellMar>
            <w:top w:w="0" w:type="dxa"/>
            <w:left w:w="108" w:type="dxa"/>
            <w:bottom w:w="0" w:type="dxa"/>
            <w:right w:w="108" w:type="dxa"/>
          </w:tblCellMar>
        </w:tblPrEx>
        <w:trPr>
          <w:trHeight w:val="1077"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质量要求、验收标准</w:t>
            </w:r>
          </w:p>
        </w:tc>
        <w:tc>
          <w:tcPr>
            <w:tcW w:w="7300" w:type="dxa"/>
            <w:tcBorders>
              <w:top w:val="single" w:color="auto" w:sz="4" w:space="0"/>
              <w:left w:val="nil"/>
              <w:bottom w:val="single" w:color="auto" w:sz="4" w:space="0"/>
              <w:right w:val="single" w:color="auto" w:sz="4" w:space="0"/>
            </w:tcBorders>
            <w:noWrap/>
            <w:vAlign w:val="center"/>
          </w:tcPr>
          <w:p>
            <w:pPr>
              <w:pStyle w:val="2"/>
              <w:ind w:firstLine="0"/>
              <w:jc w:val="center"/>
              <w:rPr>
                <w:rFonts w:hAnsi="宋体"/>
                <w:sz w:val="24"/>
                <w:szCs w:val="24"/>
              </w:rPr>
            </w:pPr>
          </w:p>
        </w:tc>
      </w:tr>
      <w:tr>
        <w:tblPrEx>
          <w:tblCellMar>
            <w:top w:w="0" w:type="dxa"/>
            <w:left w:w="108" w:type="dxa"/>
            <w:bottom w:w="0" w:type="dxa"/>
            <w:right w:w="108" w:type="dxa"/>
          </w:tblCellMar>
        </w:tblPrEx>
        <w:trPr>
          <w:trHeight w:val="1077"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b/>
                <w:bCs/>
                <w:kern w:val="0"/>
                <w:sz w:val="24"/>
              </w:rPr>
              <w:t>服务期限</w:t>
            </w:r>
          </w:p>
        </w:tc>
        <w:tc>
          <w:tcPr>
            <w:tcW w:w="73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077" w:hRule="atLeast"/>
        </w:trPr>
        <w:tc>
          <w:tcPr>
            <w:tcW w:w="2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b/>
                <w:bCs/>
                <w:kern w:val="0"/>
                <w:sz w:val="24"/>
              </w:rPr>
              <w:t>项目经理</w:t>
            </w:r>
          </w:p>
        </w:tc>
        <w:tc>
          <w:tcPr>
            <w:tcW w:w="73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bl>
    <w:p>
      <w:pPr>
        <w:spacing w:before="120" w:beforeLines="50" w:line="200" w:lineRule="exact"/>
        <w:ind w:left="472" w:hanging="472" w:hangingChars="196"/>
        <w:jc w:val="left"/>
        <w:rPr>
          <w:rFonts w:ascii="仿宋_GB2312" w:hAnsi="宋体" w:eastAsia="仿宋_GB2312"/>
          <w:b/>
          <w:sz w:val="24"/>
        </w:rPr>
      </w:pPr>
    </w:p>
    <w:p>
      <w:pPr>
        <w:pStyle w:val="83"/>
      </w:pPr>
    </w:p>
    <w:p>
      <w:pPr>
        <w:pStyle w:val="83"/>
      </w:pPr>
      <w:r>
        <w:rPr>
          <w:rFonts w:hint="eastAsia"/>
        </w:rPr>
        <w:t>投标人：（盖单位章）</w:t>
      </w:r>
    </w:p>
    <w:p>
      <w:pPr>
        <w:pStyle w:val="83"/>
      </w:pPr>
    </w:p>
    <w:p>
      <w:pPr>
        <w:pStyle w:val="83"/>
      </w:pPr>
      <w:r>
        <w:rPr>
          <w:rFonts w:hint="eastAsia"/>
        </w:rPr>
        <w:t>法定代表人或委托代理人：（签字或盖章）</w:t>
      </w:r>
    </w:p>
    <w:p>
      <w:pPr>
        <w:pStyle w:val="83"/>
        <w:rPr>
          <w:rFonts w:ascii="仿宋_GB2312" w:eastAsia="仿宋_GB2312"/>
        </w:rPr>
      </w:pPr>
    </w:p>
    <w:p>
      <w:pPr>
        <w:pStyle w:val="83"/>
      </w:pPr>
      <w:r>
        <w:rPr>
          <w:rFonts w:hint="eastAsia"/>
        </w:rPr>
        <w:t>日期：   年 月 日</w:t>
      </w:r>
    </w:p>
    <w:p>
      <w:pPr>
        <w:pStyle w:val="83"/>
      </w:pPr>
    </w:p>
    <w:p>
      <w:pPr>
        <w:pStyle w:val="83"/>
      </w:pPr>
    </w:p>
    <w:p>
      <w:pPr>
        <w:pStyle w:val="2"/>
      </w:pPr>
    </w:p>
    <w:p>
      <w:pPr>
        <w:pStyle w:val="2"/>
      </w:pPr>
    </w:p>
    <w:p>
      <w:pPr>
        <w:pStyle w:val="2"/>
        <w:ind w:firstLine="0"/>
      </w:pPr>
    </w:p>
    <w:p>
      <w:pPr>
        <w:pStyle w:val="2"/>
      </w:pPr>
    </w:p>
    <w:p>
      <w:bookmarkStart w:id="215" w:name="_Toc5292"/>
      <w:bookmarkStart w:id="216" w:name="_Toc14594"/>
      <w:bookmarkStart w:id="217" w:name="_Toc73217219"/>
      <w:bookmarkStart w:id="218" w:name="_Toc111853949"/>
      <w:r>
        <w:rPr>
          <w:rFonts w:hint="eastAsia"/>
        </w:rPr>
        <w:br w:type="page"/>
      </w:r>
    </w:p>
    <w:p>
      <w:pPr>
        <w:pStyle w:val="5"/>
        <w:spacing w:before="120" w:after="120"/>
        <w:jc w:val="center"/>
      </w:pPr>
      <w:r>
        <w:rPr>
          <w:rFonts w:hint="eastAsia"/>
        </w:rPr>
        <w:t>三、</w:t>
      </w:r>
      <w:bookmarkEnd w:id="215"/>
      <w:bookmarkEnd w:id="216"/>
      <w:bookmarkEnd w:id="217"/>
      <w:r>
        <w:rPr>
          <w:rFonts w:hint="eastAsia"/>
        </w:rPr>
        <w:t>已标价工程量清单</w:t>
      </w:r>
      <w:bookmarkEnd w:id="218"/>
    </w:p>
    <w:p>
      <w:pPr>
        <w:pStyle w:val="2"/>
        <w:jc w:val="left"/>
        <w:rPr>
          <w:sz w:val="24"/>
          <w:szCs w:val="24"/>
        </w:rPr>
      </w:pPr>
    </w:p>
    <w:p>
      <w:pPr>
        <w:pStyle w:val="2"/>
        <w:spacing w:line="360" w:lineRule="auto"/>
        <w:jc w:val="left"/>
        <w:rPr>
          <w:sz w:val="24"/>
          <w:szCs w:val="24"/>
        </w:rPr>
      </w:pPr>
      <w:r>
        <w:rPr>
          <w:rFonts w:hint="eastAsia" w:ascii="宋体" w:hAnsi="宋体"/>
          <w:sz w:val="28"/>
          <w:szCs w:val="28"/>
        </w:rPr>
        <w:t>西安高新区草堂科技产业园市政道路、给排水管网养护及园区防汛项目</w:t>
      </w:r>
    </w:p>
    <w:tbl>
      <w:tblPr>
        <w:tblStyle w:val="40"/>
        <w:tblW w:w="9529" w:type="dxa"/>
        <w:tblInd w:w="96" w:type="dxa"/>
        <w:tblLayout w:type="autofit"/>
        <w:tblCellMar>
          <w:top w:w="0" w:type="dxa"/>
          <w:left w:w="108" w:type="dxa"/>
          <w:bottom w:w="0" w:type="dxa"/>
          <w:right w:w="108" w:type="dxa"/>
        </w:tblCellMar>
      </w:tblPr>
      <w:tblGrid>
        <w:gridCol w:w="489"/>
        <w:gridCol w:w="3219"/>
        <w:gridCol w:w="816"/>
        <w:gridCol w:w="1046"/>
        <w:gridCol w:w="898"/>
        <w:gridCol w:w="1125"/>
        <w:gridCol w:w="1014"/>
        <w:gridCol w:w="922"/>
      </w:tblGrid>
      <w:tr>
        <w:tblPrEx>
          <w:tblCellMar>
            <w:top w:w="0" w:type="dxa"/>
            <w:left w:w="108" w:type="dxa"/>
            <w:bottom w:w="0" w:type="dxa"/>
            <w:right w:w="108" w:type="dxa"/>
          </w:tblCellMar>
        </w:tblPrEx>
        <w:trPr>
          <w:trHeight w:val="6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项目名称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计量单位</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val="en-US" w:eastAsia="zh-CN" w:bidi="ar"/>
              </w:rPr>
              <w:t>全费用</w:t>
            </w:r>
            <w:r>
              <w:rPr>
                <w:rFonts w:hint="eastAsia" w:ascii="黑体" w:hAnsi="宋体" w:eastAsia="黑体" w:cs="黑体"/>
                <w:color w:val="000000"/>
                <w:kern w:val="0"/>
                <w:sz w:val="20"/>
                <w:szCs w:val="20"/>
                <w:lang w:bidi="ar"/>
              </w:rPr>
              <w:t>综合单价</w:t>
            </w:r>
            <w:r>
              <w:rPr>
                <w:rFonts w:hint="eastAsia" w:ascii="黑体" w:hAnsi="宋体" w:eastAsia="黑体" w:cs="黑体"/>
                <w:color w:val="000000"/>
                <w:kern w:val="0"/>
                <w:sz w:val="20"/>
                <w:szCs w:val="20"/>
                <w:lang w:val="en-US" w:eastAsia="zh-CN" w:bidi="ar"/>
              </w:rPr>
              <w:t>最高限价</w:t>
            </w:r>
            <w:r>
              <w:rPr>
                <w:rFonts w:hint="eastAsia" w:ascii="黑体" w:hAnsi="宋体" w:eastAsia="黑体" w:cs="黑体"/>
                <w:color w:val="000000"/>
                <w:kern w:val="0"/>
                <w:sz w:val="20"/>
                <w:szCs w:val="20"/>
                <w:lang w:bidi="ar"/>
              </w:rPr>
              <w:t xml:space="preserve"> (元)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月估数量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 xml:space="preserve">全费用综合单价报价((元)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总价(元)</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市政道路巡视检查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km/次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p>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表中工程数量为暂估月工程量，月结算工程量依据实际发生情况据实结算。</w:t>
            </w:r>
          </w:p>
          <w:p>
            <w:pPr>
              <w:widowControl/>
              <w:jc w:val="center"/>
              <w:textAlignment w:val="center"/>
              <w:rPr>
                <w:rFonts w:ascii="黑体" w:hAnsi="宋体" w:eastAsia="黑体" w:cs="黑体"/>
                <w:color w:val="000000"/>
                <w:kern w:val="0"/>
                <w:sz w:val="20"/>
                <w:szCs w:val="20"/>
                <w:lang w:bidi="ar"/>
              </w:rPr>
            </w:pPr>
          </w:p>
          <w:p>
            <w:pPr>
              <w:pStyle w:val="2"/>
            </w:pPr>
          </w:p>
          <w:p>
            <w:pPr>
              <w:pStyle w:val="2"/>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给排水管网巡视检查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km/次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防汛巡视检查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km/次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4cm厚细粒式(AC-13)SBS改性沥青砼上面层修复(含拆除清运)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5cm厚细粒式(AC-13)SBS改性沥青砼上面层修复(含拆除清运)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8cm厚中粒式(AC-20)沥青砼下面层修复(含拆除清运)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152.75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30cm厚C30砼路面面层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204.69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20cm厚二灰碎石基层(重量比8:17:75)(含拆除清运)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52.83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20cm厚石灰土底基层(石灰掺量10%)(含拆除清运)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6cm厚C30砼人行道透水砖更换(含拆除清运)(30×15×6cm)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136.79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C35砼乙式路缘石更换(含拆除清运)(立道牙，长79×35×13.3cm)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116.05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C35砼平石路缘石更换(含拆除清运)(平石，长39×50×10cm)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花岗岩F式路缘石更换(含拆除清运)(石材道牙，长49×20×18cm)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247.08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花岗岩树池围石更换(含拆除清运)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车止石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可调式重型铸铁井盖更换(D=70cm)(含拆除清运)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1161.14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铸铁雨水篦子更换(75×45cm)(含拆除清运)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250.81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计日工（普工）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工日</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156.36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计日工（1m3挖机）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1716.98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计日工（25t吊车）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1599.58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计日工（10kw汽油发电机）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448.16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计日工（4寸7.5kw污水泵）</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计日工（D=70cm、1kw排气扇）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台班</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人工土方开挖</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垃圾外运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65.62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吸污车处理化粪池</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220.34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消火栓更换修复SS100/65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2658.77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管道漏点修复(哈夫节)球墨铸铁，规格：DN200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171.01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阀门更换修复球墨铸铁，规格：DN200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795.29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水表更换修复DN200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2752.3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双壁波纹管道安装DN300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219.46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热熔标线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r>
              <w:rPr>
                <w:rFonts w:hint="eastAsia" w:ascii="宋体" w:hAnsi="宋体" w:cs="宋体"/>
                <w:color w:val="000000"/>
                <w:kern w:val="0"/>
                <w:sz w:val="20"/>
                <w:szCs w:val="20"/>
                <w:vertAlign w:val="superscript"/>
                <w:lang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172.04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51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标志牌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3163.11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9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0"/>
                <w:szCs w:val="20"/>
              </w:rPr>
            </w:pPr>
          </w:p>
        </w:tc>
      </w:tr>
      <w:tr>
        <w:tblPrEx>
          <w:tblCellMar>
            <w:top w:w="0" w:type="dxa"/>
            <w:left w:w="108" w:type="dxa"/>
            <w:bottom w:w="0" w:type="dxa"/>
            <w:right w:w="108" w:type="dxa"/>
          </w:tblCellMar>
        </w:tblPrEx>
        <w:trPr>
          <w:trHeight w:val="600" w:hRule="atLeast"/>
        </w:trPr>
        <w:tc>
          <w:tcPr>
            <w:tcW w:w="3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月度小计（元）</w:t>
            </w:r>
          </w:p>
        </w:tc>
        <w:tc>
          <w:tcPr>
            <w:tcW w:w="5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000000"/>
                <w:sz w:val="20"/>
                <w:szCs w:val="20"/>
              </w:rPr>
            </w:pPr>
          </w:p>
        </w:tc>
      </w:tr>
      <w:tr>
        <w:tblPrEx>
          <w:tblCellMar>
            <w:top w:w="0" w:type="dxa"/>
            <w:left w:w="108" w:type="dxa"/>
            <w:bottom w:w="0" w:type="dxa"/>
            <w:right w:w="108" w:type="dxa"/>
          </w:tblCellMar>
        </w:tblPrEx>
        <w:trPr>
          <w:trHeight w:val="600" w:hRule="atLeast"/>
        </w:trPr>
        <w:tc>
          <w:tcPr>
            <w:tcW w:w="3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年度合计（元）</w:t>
            </w:r>
          </w:p>
        </w:tc>
        <w:tc>
          <w:tcPr>
            <w:tcW w:w="5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000000"/>
                <w:sz w:val="20"/>
                <w:szCs w:val="20"/>
              </w:rPr>
            </w:pPr>
          </w:p>
        </w:tc>
      </w:tr>
    </w:tbl>
    <w:p>
      <w:r>
        <w:rPr>
          <w:rFonts w:hint="eastAsia" w:ascii="宋体" w:hAnsi="宋体"/>
          <w:b/>
          <w:bCs/>
          <w:color w:val="auto"/>
          <w:sz w:val="24"/>
          <w:szCs w:val="24"/>
        </w:rPr>
        <w:t>说明：</w:t>
      </w:r>
      <w:r>
        <w:rPr>
          <w:rFonts w:hint="eastAsia" w:ascii="宋体" w:hAnsi="宋体"/>
          <w:b/>
          <w:bCs/>
          <w:color w:val="auto"/>
          <w:sz w:val="24"/>
          <w:szCs w:val="24"/>
          <w:lang w:val="en-US" w:eastAsia="zh-CN"/>
        </w:rPr>
        <w:t>投标</w:t>
      </w:r>
      <w:r>
        <w:rPr>
          <w:rFonts w:hint="eastAsia" w:ascii="宋体" w:hAnsi="宋体"/>
          <w:b/>
          <w:bCs/>
          <w:color w:val="auto"/>
          <w:sz w:val="24"/>
          <w:szCs w:val="24"/>
        </w:rPr>
        <w:t>报价时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全费用综合单价报价</w:t>
      </w:r>
      <w:r>
        <w:rPr>
          <w:rFonts w:hint="eastAsia" w:ascii="宋体" w:hAnsi="宋体"/>
          <w:b/>
          <w:bCs/>
          <w:color w:val="auto"/>
          <w:sz w:val="24"/>
          <w:szCs w:val="24"/>
        </w:rPr>
        <w:t>均要低于</w:t>
      </w:r>
      <w:r>
        <w:rPr>
          <w:rFonts w:hint="eastAsia" w:ascii="宋体" w:hAnsi="宋体"/>
          <w:b/>
          <w:bCs/>
          <w:color w:val="auto"/>
          <w:sz w:val="24"/>
          <w:szCs w:val="24"/>
          <w:lang w:val="en-US" w:eastAsia="zh-CN"/>
        </w:rPr>
        <w:t>全费用</w:t>
      </w:r>
      <w:r>
        <w:rPr>
          <w:rFonts w:hint="eastAsia" w:ascii="宋体" w:hAnsi="宋体"/>
          <w:b/>
          <w:bCs/>
          <w:color w:val="auto"/>
          <w:sz w:val="24"/>
          <w:szCs w:val="24"/>
        </w:rPr>
        <w:t>综合单价</w:t>
      </w:r>
      <w:r>
        <w:rPr>
          <w:rFonts w:hint="eastAsia" w:ascii="宋体" w:hAnsi="宋体"/>
          <w:b/>
          <w:bCs/>
          <w:color w:val="auto"/>
          <w:sz w:val="24"/>
          <w:szCs w:val="24"/>
          <w:lang w:val="en-US" w:eastAsia="zh-CN"/>
        </w:rPr>
        <w:t>最高限价，</w:t>
      </w:r>
      <w:r>
        <w:rPr>
          <w:rFonts w:hint="eastAsia" w:ascii="宋体" w:hAnsi="宋体"/>
          <w:b/>
          <w:bCs/>
          <w:color w:val="auto"/>
          <w:sz w:val="24"/>
          <w:szCs w:val="24"/>
        </w:rPr>
        <w:t>高于或等于最高限价按废标处理。</w:t>
      </w:r>
    </w:p>
    <w:p>
      <w:pPr>
        <w:pStyle w:val="2"/>
        <w:rPr>
          <w:b/>
          <w:bCs/>
          <w:color w:val="auto"/>
        </w:rPr>
      </w:pPr>
    </w:p>
    <w:p>
      <w:pPr>
        <w:pStyle w:val="2"/>
        <w:rPr>
          <w:rFonts w:ascii="宋体" w:hAnsi="宋体" w:cs="宋体"/>
          <w:b/>
          <w:bCs/>
          <w:color w:val="auto"/>
          <w:kern w:val="0"/>
          <w:sz w:val="20"/>
        </w:rPr>
        <w:sectPr>
          <w:pgSz w:w="11907" w:h="16840"/>
          <w:pgMar w:top="1440" w:right="1247" w:bottom="1440" w:left="1247" w:header="851" w:footer="992" w:gutter="0"/>
          <w:pgNumType w:fmt="decimal" w:chapStyle="1"/>
          <w:cols w:space="720" w:num="1"/>
          <w:titlePg/>
          <w:docGrid w:linePitch="312" w:charSpace="0"/>
        </w:sectPr>
      </w:pPr>
    </w:p>
    <w:p>
      <w:pPr>
        <w:pStyle w:val="5"/>
        <w:spacing w:before="120" w:after="120"/>
        <w:jc w:val="center"/>
      </w:pPr>
      <w:bookmarkStart w:id="219" w:name="_Toc12921"/>
      <w:bookmarkStart w:id="220" w:name="_Toc73217220"/>
      <w:bookmarkStart w:id="221" w:name="_Toc8864"/>
      <w:bookmarkStart w:id="222" w:name="_Toc111853950"/>
      <w:r>
        <w:rPr>
          <w:rFonts w:hint="eastAsia"/>
        </w:rPr>
        <w:t>四、商务与技术条款偏离表</w:t>
      </w:r>
      <w:bookmarkEnd w:id="219"/>
      <w:bookmarkEnd w:id="220"/>
      <w:bookmarkEnd w:id="221"/>
      <w:bookmarkEnd w:id="222"/>
    </w:p>
    <w:p>
      <w:pPr>
        <w:pStyle w:val="2"/>
        <w:spacing w:after="120" w:afterLines="50"/>
        <w:ind w:firstLine="120" w:firstLineChars="50"/>
        <w:rPr>
          <w:rFonts w:ascii="宋体" w:hAnsi="宋体"/>
          <w:sz w:val="24"/>
          <w:szCs w:val="24"/>
        </w:rPr>
      </w:pPr>
    </w:p>
    <w:tbl>
      <w:tblPr>
        <w:tblStyle w:val="4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2698"/>
        <w:gridCol w:w="2126"/>
        <w:gridCol w:w="851"/>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vAlign w:val="center"/>
          </w:tcPr>
          <w:p>
            <w:pPr>
              <w:adjustRightInd w:val="0"/>
              <w:snapToGrid w:val="0"/>
              <w:ind w:right="23"/>
              <w:jc w:val="center"/>
              <w:rPr>
                <w:rFonts w:ascii="宋体" w:hAnsi="宋体"/>
                <w:b/>
                <w:bCs/>
                <w:sz w:val="24"/>
              </w:rPr>
            </w:pPr>
            <w:r>
              <w:rPr>
                <w:rFonts w:hint="eastAsia" w:ascii="宋体" w:hAnsi="宋体"/>
                <w:b/>
                <w:bCs/>
                <w:sz w:val="24"/>
              </w:rPr>
              <w:t>序号</w:t>
            </w:r>
          </w:p>
        </w:tc>
        <w:tc>
          <w:tcPr>
            <w:tcW w:w="1429" w:type="dxa"/>
            <w:vAlign w:val="center"/>
          </w:tcPr>
          <w:p>
            <w:pPr>
              <w:adjustRightInd w:val="0"/>
              <w:snapToGrid w:val="0"/>
              <w:ind w:right="23"/>
              <w:jc w:val="center"/>
              <w:rPr>
                <w:rFonts w:ascii="宋体" w:hAnsi="宋体"/>
                <w:b/>
                <w:bCs/>
                <w:sz w:val="24"/>
              </w:rPr>
            </w:pPr>
            <w:r>
              <w:rPr>
                <w:rFonts w:hint="eastAsia" w:ascii="宋体" w:hAnsi="宋体"/>
                <w:b/>
                <w:bCs/>
                <w:sz w:val="24"/>
              </w:rPr>
              <w:t>文件条目号</w:t>
            </w:r>
          </w:p>
        </w:tc>
        <w:tc>
          <w:tcPr>
            <w:tcW w:w="2698" w:type="dxa"/>
            <w:vAlign w:val="center"/>
          </w:tcPr>
          <w:p>
            <w:pPr>
              <w:adjustRightInd w:val="0"/>
              <w:snapToGrid w:val="0"/>
              <w:ind w:right="23"/>
              <w:jc w:val="center"/>
              <w:rPr>
                <w:rFonts w:ascii="宋体" w:hAnsi="宋体"/>
                <w:b/>
                <w:bCs/>
                <w:sz w:val="24"/>
              </w:rPr>
            </w:pPr>
            <w:r>
              <w:rPr>
                <w:rFonts w:hint="eastAsia" w:ascii="宋体" w:hAnsi="宋体"/>
                <w:b/>
                <w:bCs/>
                <w:sz w:val="24"/>
              </w:rPr>
              <w:t>采购商务和技术要求</w:t>
            </w:r>
          </w:p>
        </w:tc>
        <w:tc>
          <w:tcPr>
            <w:tcW w:w="2126" w:type="dxa"/>
            <w:vAlign w:val="center"/>
          </w:tcPr>
          <w:p>
            <w:pPr>
              <w:adjustRightInd w:val="0"/>
              <w:snapToGrid w:val="0"/>
              <w:ind w:right="23"/>
              <w:jc w:val="center"/>
              <w:rPr>
                <w:rFonts w:ascii="宋体" w:hAnsi="宋体"/>
                <w:b/>
                <w:bCs/>
                <w:sz w:val="24"/>
              </w:rPr>
            </w:pPr>
            <w:r>
              <w:rPr>
                <w:rFonts w:hint="eastAsia" w:ascii="宋体" w:hAnsi="宋体"/>
                <w:b/>
                <w:bCs/>
                <w:sz w:val="24"/>
              </w:rPr>
              <w:t>响应文件情况</w:t>
            </w:r>
          </w:p>
        </w:tc>
        <w:tc>
          <w:tcPr>
            <w:tcW w:w="851" w:type="dxa"/>
            <w:vAlign w:val="center"/>
          </w:tcPr>
          <w:p>
            <w:pPr>
              <w:adjustRightInd w:val="0"/>
              <w:snapToGrid w:val="0"/>
              <w:ind w:right="23"/>
              <w:jc w:val="center"/>
              <w:rPr>
                <w:rFonts w:ascii="宋体" w:hAnsi="宋体"/>
                <w:b/>
                <w:bCs/>
                <w:sz w:val="24"/>
              </w:rPr>
            </w:pPr>
            <w:r>
              <w:rPr>
                <w:rFonts w:hint="eastAsia" w:ascii="宋体" w:hAnsi="宋体"/>
                <w:b/>
                <w:bCs/>
                <w:sz w:val="24"/>
              </w:rPr>
              <w:t>偏离</w:t>
            </w:r>
          </w:p>
        </w:tc>
        <w:tc>
          <w:tcPr>
            <w:tcW w:w="1559" w:type="dxa"/>
            <w:vAlign w:val="center"/>
          </w:tcPr>
          <w:p>
            <w:pPr>
              <w:adjustRightInd w:val="0"/>
              <w:snapToGrid w:val="0"/>
              <w:ind w:right="23"/>
              <w:jc w:val="center"/>
              <w:rPr>
                <w:rFonts w:ascii="宋体" w:hAnsi="宋体"/>
                <w:b/>
                <w:bCs/>
                <w:sz w:val="24"/>
              </w:rPr>
            </w:pPr>
            <w:r>
              <w:rPr>
                <w:rFonts w:hint="eastAsia" w:ascii="宋体" w:hAnsi="宋体"/>
                <w:b/>
                <w:bCs/>
                <w:sz w:val="24"/>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ascii="宋体" w:hAnsi="宋体"/>
                <w:bCs/>
                <w:sz w:val="24"/>
              </w:rPr>
            </w:pPr>
          </w:p>
        </w:tc>
        <w:tc>
          <w:tcPr>
            <w:tcW w:w="1429" w:type="dxa"/>
          </w:tcPr>
          <w:p>
            <w:pPr>
              <w:adjustRightInd w:val="0"/>
              <w:snapToGrid w:val="0"/>
              <w:spacing w:line="360" w:lineRule="auto"/>
              <w:ind w:right="24"/>
              <w:rPr>
                <w:rFonts w:ascii="宋体" w:hAnsi="宋体"/>
                <w:bCs/>
                <w:sz w:val="24"/>
              </w:rPr>
            </w:pPr>
          </w:p>
        </w:tc>
        <w:tc>
          <w:tcPr>
            <w:tcW w:w="2698" w:type="dxa"/>
          </w:tcPr>
          <w:p>
            <w:pPr>
              <w:adjustRightInd w:val="0"/>
              <w:snapToGrid w:val="0"/>
              <w:spacing w:line="360" w:lineRule="auto"/>
              <w:ind w:right="24"/>
              <w:rPr>
                <w:rFonts w:ascii="宋体" w:hAnsi="宋体"/>
                <w:bCs/>
                <w:sz w:val="24"/>
              </w:rPr>
            </w:pPr>
          </w:p>
        </w:tc>
        <w:tc>
          <w:tcPr>
            <w:tcW w:w="2126" w:type="dxa"/>
          </w:tcPr>
          <w:p>
            <w:pPr>
              <w:adjustRightInd w:val="0"/>
              <w:snapToGrid w:val="0"/>
              <w:spacing w:line="360" w:lineRule="auto"/>
              <w:ind w:right="24"/>
              <w:rPr>
                <w:rFonts w:ascii="宋体" w:hAnsi="宋体"/>
                <w:bCs/>
                <w:sz w:val="24"/>
              </w:rPr>
            </w:pPr>
          </w:p>
        </w:tc>
        <w:tc>
          <w:tcPr>
            <w:tcW w:w="851" w:type="dxa"/>
          </w:tcPr>
          <w:p>
            <w:pPr>
              <w:adjustRightInd w:val="0"/>
              <w:snapToGrid w:val="0"/>
              <w:spacing w:line="360" w:lineRule="auto"/>
              <w:ind w:right="24"/>
              <w:rPr>
                <w:rFonts w:ascii="宋体" w:hAnsi="宋体"/>
                <w:bCs/>
                <w:sz w:val="24"/>
              </w:rPr>
            </w:pPr>
          </w:p>
        </w:tc>
        <w:tc>
          <w:tcPr>
            <w:tcW w:w="1559" w:type="dxa"/>
          </w:tcPr>
          <w:p>
            <w:pPr>
              <w:adjustRightInd w:val="0"/>
              <w:snapToGrid w:val="0"/>
              <w:spacing w:line="360" w:lineRule="auto"/>
              <w:ind w:right="24"/>
              <w:rPr>
                <w:rFonts w:ascii="宋体" w:hAnsi="宋体"/>
                <w:bCs/>
                <w:sz w:val="24"/>
              </w:rPr>
            </w:pPr>
          </w:p>
        </w:tc>
      </w:tr>
    </w:tbl>
    <w:p>
      <w:pPr>
        <w:spacing w:before="120" w:beforeLines="50" w:line="400" w:lineRule="exact"/>
        <w:ind w:left="825" w:leftChars="50" w:hanging="720" w:hangingChars="300"/>
        <w:rPr>
          <w:rFonts w:ascii="宋体" w:hAnsi="宋体"/>
          <w:sz w:val="24"/>
        </w:rPr>
      </w:pPr>
      <w:r>
        <w:rPr>
          <w:rFonts w:hint="eastAsia" w:ascii="宋体" w:hAnsi="宋体"/>
          <w:sz w:val="24"/>
        </w:rPr>
        <w:t>说明：</w:t>
      </w:r>
    </w:p>
    <w:p>
      <w:pPr>
        <w:spacing w:line="400" w:lineRule="exact"/>
        <w:ind w:left="141" w:leftChars="67" w:firstLine="676" w:firstLineChars="282"/>
        <w:rPr>
          <w:rFonts w:ascii="宋体" w:hAnsi="宋体"/>
          <w:sz w:val="24"/>
        </w:rPr>
      </w:pPr>
      <w:r>
        <w:rPr>
          <w:rFonts w:hint="eastAsia" w:ascii="宋体" w:hAnsi="宋体"/>
          <w:sz w:val="24"/>
        </w:rPr>
        <w:t>1.本表只填写投标文件中与招标文件有偏离（包括正偏离和负偏离）的内容，投标文件中商务和技术响应与招标文件要求完全一致的，不用在此表中列出，但必须提交空白表。</w:t>
      </w:r>
    </w:p>
    <w:p>
      <w:pPr>
        <w:spacing w:line="400" w:lineRule="exact"/>
        <w:ind w:left="141" w:leftChars="67" w:firstLine="720" w:firstLineChars="300"/>
        <w:rPr>
          <w:rFonts w:ascii="宋体" w:hAnsi="宋体"/>
          <w:sz w:val="24"/>
        </w:rPr>
      </w:pPr>
      <w:r>
        <w:rPr>
          <w:rFonts w:hint="eastAsia" w:ascii="宋体" w:hAnsi="宋体"/>
          <w:sz w:val="24"/>
        </w:rPr>
        <w:t>2.投标人必须据实填写，不得虚假响应，否则将取消其投标或中标资格，并按有关规定进处罚。</w:t>
      </w:r>
    </w:p>
    <w:p>
      <w:pPr>
        <w:adjustRightInd w:val="0"/>
        <w:spacing w:line="400" w:lineRule="exact"/>
        <w:ind w:firstLine="480" w:firstLineChars="200"/>
        <w:jc w:val="left"/>
        <w:rPr>
          <w:rFonts w:ascii="宋体" w:hAnsi="宋体"/>
          <w:bCs/>
          <w:sz w:val="24"/>
        </w:rPr>
      </w:pPr>
    </w:p>
    <w:p>
      <w:pPr>
        <w:adjustRightInd w:val="0"/>
        <w:spacing w:line="400" w:lineRule="exact"/>
        <w:ind w:firstLine="480" w:firstLineChars="200"/>
        <w:jc w:val="left"/>
        <w:rPr>
          <w:rFonts w:ascii="宋体" w:hAnsi="宋体"/>
          <w:bCs/>
          <w:sz w:val="24"/>
        </w:rPr>
      </w:pPr>
      <w:r>
        <w:rPr>
          <w:rFonts w:hint="eastAsia" w:ascii="宋体" w:hAnsi="宋体"/>
          <w:bCs/>
          <w:sz w:val="24"/>
        </w:rPr>
        <w:t>投 标 人：（盖单位章）</w:t>
      </w:r>
    </w:p>
    <w:p>
      <w:pPr>
        <w:adjustRightInd w:val="0"/>
        <w:spacing w:line="400" w:lineRule="exact"/>
        <w:ind w:firstLine="420" w:firstLineChars="175"/>
        <w:jc w:val="left"/>
        <w:rPr>
          <w:rFonts w:ascii="宋体" w:hAnsi="宋体"/>
          <w:sz w:val="24"/>
        </w:rPr>
      </w:pPr>
    </w:p>
    <w:p>
      <w:pPr>
        <w:adjustRightInd w:val="0"/>
        <w:spacing w:line="400" w:lineRule="exact"/>
        <w:ind w:firstLine="420" w:firstLineChars="175"/>
        <w:jc w:val="left"/>
        <w:rPr>
          <w:rFonts w:ascii="宋体" w:hAnsi="宋体"/>
          <w:bCs/>
          <w:sz w:val="24"/>
        </w:rPr>
      </w:pPr>
      <w:r>
        <w:rPr>
          <w:rFonts w:hint="eastAsia" w:ascii="宋体" w:hAnsi="宋体"/>
          <w:sz w:val="24"/>
        </w:rPr>
        <w:t>法定代表人或委托代理人：（签字或盖章）</w:t>
      </w:r>
    </w:p>
    <w:p>
      <w:pPr>
        <w:adjustRightInd w:val="0"/>
        <w:spacing w:line="400" w:lineRule="exact"/>
        <w:ind w:firstLine="420" w:firstLineChars="175"/>
        <w:jc w:val="left"/>
        <w:rPr>
          <w:rFonts w:ascii="宋体" w:hAnsi="宋体"/>
          <w:sz w:val="24"/>
        </w:rPr>
      </w:pPr>
    </w:p>
    <w:p>
      <w:pPr>
        <w:adjustRightInd w:val="0"/>
        <w:spacing w:line="400" w:lineRule="exact"/>
        <w:ind w:firstLine="420" w:firstLineChars="175"/>
        <w:jc w:val="left"/>
        <w:rPr>
          <w:rFonts w:ascii="宋体" w:hAnsi="宋体"/>
          <w:sz w:val="24"/>
        </w:rPr>
      </w:pPr>
      <w:r>
        <w:rPr>
          <w:rFonts w:hint="eastAsia" w:ascii="宋体" w:hAnsi="宋体"/>
          <w:sz w:val="24"/>
        </w:rPr>
        <w:t>日     期：    年    月    日</w:t>
      </w:r>
    </w:p>
    <w:p>
      <w:pPr>
        <w:pStyle w:val="5"/>
        <w:spacing w:before="120" w:after="120"/>
        <w:jc w:val="center"/>
      </w:pPr>
      <w:bookmarkStart w:id="223" w:name="_Toc8331"/>
      <w:bookmarkStart w:id="224" w:name="_Toc27399"/>
      <w:bookmarkStart w:id="225" w:name="_Toc73217221"/>
      <w:bookmarkStart w:id="226" w:name="_Toc111853951"/>
      <w:r>
        <w:rPr>
          <w:rFonts w:hint="eastAsia"/>
        </w:rPr>
        <w:t>五、</w:t>
      </w:r>
      <w:bookmarkEnd w:id="223"/>
      <w:bookmarkEnd w:id="224"/>
      <w:r>
        <w:rPr>
          <w:rFonts w:hint="eastAsia"/>
        </w:rPr>
        <w:t>技术方案</w:t>
      </w:r>
      <w:bookmarkEnd w:id="225"/>
      <w:bookmarkEnd w:id="226"/>
    </w:p>
    <w:p>
      <w:pPr>
        <w:adjustRightInd w:val="0"/>
        <w:spacing w:line="400" w:lineRule="exact"/>
        <w:jc w:val="left"/>
        <w:rPr>
          <w:rFonts w:ascii="宋体" w:hAnsi="宋体"/>
          <w:sz w:val="24"/>
        </w:rPr>
      </w:pPr>
    </w:p>
    <w:p>
      <w:pPr>
        <w:adjustRightInd w:val="0"/>
        <w:spacing w:line="400" w:lineRule="exact"/>
        <w:jc w:val="left"/>
        <w:rPr>
          <w:rFonts w:ascii="宋体" w:hAnsi="宋体"/>
          <w:sz w:val="24"/>
        </w:rPr>
      </w:pPr>
      <w:r>
        <w:rPr>
          <w:rFonts w:ascii="宋体" w:hAnsi="宋体"/>
          <w:sz w:val="24"/>
        </w:rPr>
        <w:t>说明：</w:t>
      </w:r>
    </w:p>
    <w:p>
      <w:pPr>
        <w:adjustRightInd w:val="0"/>
        <w:spacing w:line="400" w:lineRule="exact"/>
        <w:ind w:firstLine="482" w:firstLineChars="200"/>
        <w:jc w:val="left"/>
        <w:rPr>
          <w:rFonts w:ascii="宋体" w:hAnsi="宋体"/>
          <w:b/>
          <w:bCs/>
          <w:sz w:val="24"/>
        </w:rPr>
      </w:pPr>
      <w:r>
        <w:rPr>
          <w:rFonts w:hint="eastAsia" w:ascii="宋体" w:hAnsi="宋体"/>
          <w:b/>
          <w:sz w:val="24"/>
        </w:rPr>
        <w:t>根据第三章评标办法自行拟定。</w:t>
      </w: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spacing w:line="360" w:lineRule="auto"/>
        <w:rPr>
          <w:rFonts w:ascii="宋体" w:hAnsi="宋体"/>
          <w:sz w:val="24"/>
        </w:rPr>
      </w:pPr>
    </w:p>
    <w:p>
      <w:pPr>
        <w:spacing w:line="360" w:lineRule="auto"/>
        <w:rPr>
          <w:rFonts w:ascii="宋体" w:hAnsi="宋体"/>
          <w:sz w:val="24"/>
        </w:rPr>
      </w:pPr>
    </w:p>
    <w:p>
      <w:pPr>
        <w:adjustRightInd w:val="0"/>
        <w:snapToGrid w:val="0"/>
        <w:spacing w:line="360" w:lineRule="auto"/>
        <w:rPr>
          <w:rFonts w:ascii="宋体" w:hAnsi="宋体"/>
          <w:sz w:val="36"/>
          <w:szCs w:val="36"/>
        </w:rPr>
      </w:pPr>
      <w:r>
        <w:rPr>
          <w:rFonts w:hint="eastAsia" w:ascii="宋体" w:hAnsi="宋体"/>
          <w:sz w:val="36"/>
          <w:szCs w:val="36"/>
        </w:rPr>
        <w:br w:type="page"/>
      </w:r>
      <w:bookmarkStart w:id="227" w:name="_Toc217446088"/>
      <w:r>
        <w:rPr>
          <w:rFonts w:hint="eastAsia" w:ascii="黑体" w:hAnsi="宋体" w:eastAsia="黑体"/>
          <w:sz w:val="28"/>
          <w:szCs w:val="28"/>
        </w:rPr>
        <w:t>附件1：</w:t>
      </w:r>
    </w:p>
    <w:p>
      <w:pPr>
        <w:adjustRightInd w:val="0"/>
        <w:snapToGrid w:val="0"/>
        <w:spacing w:after="120" w:afterLines="50" w:line="360" w:lineRule="auto"/>
        <w:jc w:val="center"/>
        <w:rPr>
          <w:rFonts w:ascii="宋体" w:hAnsi="宋体"/>
          <w:b/>
          <w:bCs/>
          <w:sz w:val="32"/>
          <w:szCs w:val="32"/>
        </w:rPr>
      </w:pPr>
      <w:r>
        <w:rPr>
          <w:rFonts w:hint="eastAsia" w:ascii="宋体" w:hAnsi="宋体"/>
          <w:b/>
          <w:bCs/>
          <w:sz w:val="32"/>
          <w:szCs w:val="32"/>
        </w:rPr>
        <w:t>本项目组织实施人员表</w:t>
      </w:r>
    </w:p>
    <w:p>
      <w:pPr>
        <w:pStyle w:val="2"/>
        <w:spacing w:after="120" w:afterLines="50"/>
        <w:ind w:firstLine="0"/>
        <w:jc w:val="left"/>
        <w:rPr>
          <w:rFonts w:ascii="宋体" w:hAnsi="宋体"/>
          <w:sz w:val="24"/>
          <w:szCs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34"/>
        <w:gridCol w:w="1560"/>
        <w:gridCol w:w="1701"/>
        <w:gridCol w:w="198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vAlign w:val="center"/>
          </w:tcPr>
          <w:p>
            <w:pPr>
              <w:pStyle w:val="2"/>
              <w:ind w:firstLine="0"/>
              <w:rPr>
                <w:rFonts w:ascii="宋体" w:hAnsi="宋体"/>
                <w:b/>
                <w:sz w:val="24"/>
                <w:szCs w:val="24"/>
              </w:rPr>
            </w:pPr>
            <w:r>
              <w:rPr>
                <w:rFonts w:hint="eastAsia" w:ascii="宋体" w:hAnsi="宋体"/>
                <w:b/>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姓名</w:t>
            </w:r>
          </w:p>
        </w:tc>
        <w:tc>
          <w:tcPr>
            <w:tcW w:w="850" w:type="dxa"/>
            <w:vAlign w:val="center"/>
          </w:tcPr>
          <w:p>
            <w:pPr>
              <w:pStyle w:val="2"/>
              <w:ind w:firstLine="0"/>
              <w:jc w:val="center"/>
              <w:rPr>
                <w:rFonts w:ascii="宋体" w:hAnsi="宋体"/>
                <w:sz w:val="24"/>
                <w:szCs w:val="24"/>
              </w:rPr>
            </w:pPr>
            <w:r>
              <w:rPr>
                <w:rFonts w:hint="eastAsia" w:ascii="宋体" w:hAnsi="宋体"/>
                <w:sz w:val="24"/>
                <w:szCs w:val="24"/>
              </w:rPr>
              <w:t>年龄</w:t>
            </w:r>
          </w:p>
        </w:tc>
        <w:tc>
          <w:tcPr>
            <w:tcW w:w="1134" w:type="dxa"/>
            <w:vAlign w:val="center"/>
          </w:tcPr>
          <w:p>
            <w:pPr>
              <w:pStyle w:val="2"/>
              <w:ind w:firstLine="0"/>
              <w:jc w:val="center"/>
              <w:rPr>
                <w:rFonts w:ascii="宋体" w:hAnsi="宋体"/>
                <w:sz w:val="24"/>
                <w:szCs w:val="24"/>
              </w:rPr>
            </w:pPr>
            <w:r>
              <w:rPr>
                <w:rFonts w:hint="eastAsia" w:ascii="宋体" w:hAnsi="宋体"/>
                <w:sz w:val="24"/>
                <w:szCs w:val="24"/>
              </w:rPr>
              <w:t>职务</w:t>
            </w:r>
          </w:p>
        </w:tc>
        <w:tc>
          <w:tcPr>
            <w:tcW w:w="1560" w:type="dxa"/>
            <w:vAlign w:val="center"/>
          </w:tcPr>
          <w:p>
            <w:pPr>
              <w:pStyle w:val="2"/>
              <w:ind w:firstLine="0"/>
              <w:jc w:val="center"/>
              <w:rPr>
                <w:rFonts w:ascii="宋体" w:hAnsi="宋体"/>
                <w:sz w:val="24"/>
                <w:szCs w:val="24"/>
              </w:rPr>
            </w:pPr>
            <w:r>
              <w:rPr>
                <w:rFonts w:hint="eastAsia" w:ascii="宋体" w:hAnsi="宋体"/>
                <w:sz w:val="24"/>
                <w:szCs w:val="24"/>
              </w:rPr>
              <w:t>资格/职称</w:t>
            </w:r>
          </w:p>
        </w:tc>
        <w:tc>
          <w:tcPr>
            <w:tcW w:w="1701" w:type="dxa"/>
          </w:tcPr>
          <w:p>
            <w:pPr>
              <w:pStyle w:val="2"/>
              <w:ind w:firstLine="0"/>
              <w:jc w:val="center"/>
              <w:rPr>
                <w:rFonts w:ascii="宋体" w:hAnsi="宋体"/>
                <w:sz w:val="24"/>
                <w:szCs w:val="24"/>
              </w:rPr>
            </w:pPr>
            <w:r>
              <w:rPr>
                <w:rFonts w:hint="eastAsia" w:ascii="宋体" w:hAnsi="宋体"/>
                <w:sz w:val="24"/>
                <w:szCs w:val="24"/>
              </w:rPr>
              <w:t>在本行业从业 工作年限</w:t>
            </w:r>
          </w:p>
        </w:tc>
        <w:tc>
          <w:tcPr>
            <w:tcW w:w="2971" w:type="dxa"/>
            <w:gridSpan w:val="2"/>
            <w:tcBorders>
              <w:righ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pPr>
              <w:pStyle w:val="2"/>
              <w:ind w:firstLine="0"/>
              <w:jc w:val="left"/>
              <w:rPr>
                <w:rFonts w:ascii="宋体" w:hAnsi="宋体"/>
                <w:b/>
                <w:sz w:val="24"/>
                <w:szCs w:val="24"/>
              </w:rPr>
            </w:pPr>
          </w:p>
        </w:tc>
        <w:tc>
          <w:tcPr>
            <w:tcW w:w="850" w:type="dxa"/>
            <w:tcBorders>
              <w:bottom w:val="single" w:color="auto" w:sz="4" w:space="0"/>
            </w:tcBorders>
          </w:tcPr>
          <w:p>
            <w:pPr>
              <w:pStyle w:val="2"/>
              <w:ind w:firstLine="0"/>
              <w:jc w:val="left"/>
              <w:rPr>
                <w:rFonts w:ascii="宋体" w:hAnsi="宋体"/>
                <w:b/>
                <w:sz w:val="24"/>
                <w:szCs w:val="24"/>
              </w:rPr>
            </w:pPr>
          </w:p>
        </w:tc>
        <w:tc>
          <w:tcPr>
            <w:tcW w:w="1134" w:type="dxa"/>
            <w:tcBorders>
              <w:bottom w:val="single" w:color="auto" w:sz="4" w:space="0"/>
            </w:tcBorders>
          </w:tcPr>
          <w:p>
            <w:pPr>
              <w:pStyle w:val="2"/>
              <w:ind w:firstLine="0"/>
              <w:jc w:val="left"/>
              <w:rPr>
                <w:rFonts w:ascii="宋体" w:hAnsi="宋体"/>
                <w:b/>
                <w:sz w:val="24"/>
                <w:szCs w:val="24"/>
              </w:rPr>
            </w:pPr>
          </w:p>
        </w:tc>
        <w:tc>
          <w:tcPr>
            <w:tcW w:w="1560" w:type="dxa"/>
            <w:tcBorders>
              <w:bottom w:val="single" w:color="auto" w:sz="4" w:space="0"/>
            </w:tcBorders>
          </w:tcPr>
          <w:p>
            <w:pPr>
              <w:pStyle w:val="2"/>
              <w:ind w:firstLine="0"/>
              <w:jc w:val="left"/>
              <w:rPr>
                <w:rFonts w:ascii="宋体" w:hAnsi="宋体"/>
                <w:b/>
                <w:sz w:val="24"/>
                <w:szCs w:val="24"/>
              </w:rPr>
            </w:pPr>
          </w:p>
        </w:tc>
        <w:tc>
          <w:tcPr>
            <w:tcW w:w="1701" w:type="dxa"/>
            <w:tcBorders>
              <w:bottom w:val="single" w:color="auto" w:sz="4" w:space="0"/>
            </w:tcBorders>
          </w:tcPr>
          <w:p>
            <w:pPr>
              <w:pStyle w:val="2"/>
              <w:ind w:firstLine="0"/>
              <w:jc w:val="left"/>
              <w:rPr>
                <w:rFonts w:ascii="宋体" w:hAnsi="宋体"/>
                <w:b/>
                <w:sz w:val="24"/>
                <w:szCs w:val="24"/>
              </w:rPr>
            </w:pPr>
          </w:p>
        </w:tc>
        <w:tc>
          <w:tcPr>
            <w:tcW w:w="2971" w:type="dxa"/>
            <w:gridSpan w:val="2"/>
            <w:tcBorders>
              <w:bottom w:val="single" w:color="auto" w:sz="4" w:space="0"/>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vAlign w:val="center"/>
          </w:tcPr>
          <w:p>
            <w:pPr>
              <w:pStyle w:val="2"/>
              <w:ind w:firstLine="0"/>
              <w:rPr>
                <w:rFonts w:ascii="宋体" w:hAnsi="宋体"/>
                <w:b/>
                <w:sz w:val="24"/>
                <w:szCs w:val="24"/>
              </w:rPr>
            </w:pPr>
            <w:r>
              <w:rPr>
                <w:rFonts w:hint="eastAsia" w:ascii="宋体" w:hAnsi="宋体"/>
                <w:b/>
                <w:sz w:val="24"/>
                <w:szCs w:val="24"/>
              </w:rPr>
              <w:t>2.管理人员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姓名</w:t>
            </w:r>
          </w:p>
        </w:tc>
        <w:tc>
          <w:tcPr>
            <w:tcW w:w="850" w:type="dxa"/>
            <w:vAlign w:val="center"/>
          </w:tcPr>
          <w:p>
            <w:pPr>
              <w:pStyle w:val="2"/>
              <w:ind w:firstLine="0"/>
              <w:jc w:val="center"/>
              <w:rPr>
                <w:rFonts w:ascii="宋体" w:hAnsi="宋体"/>
                <w:sz w:val="24"/>
                <w:szCs w:val="24"/>
              </w:rPr>
            </w:pPr>
            <w:r>
              <w:rPr>
                <w:rFonts w:hint="eastAsia" w:ascii="宋体" w:hAnsi="宋体"/>
                <w:sz w:val="24"/>
                <w:szCs w:val="24"/>
              </w:rPr>
              <w:t>年龄</w:t>
            </w:r>
          </w:p>
        </w:tc>
        <w:tc>
          <w:tcPr>
            <w:tcW w:w="1134" w:type="dxa"/>
            <w:vAlign w:val="center"/>
          </w:tcPr>
          <w:p>
            <w:pPr>
              <w:pStyle w:val="2"/>
              <w:ind w:firstLine="0"/>
              <w:jc w:val="center"/>
              <w:rPr>
                <w:rFonts w:ascii="宋体" w:hAnsi="宋体"/>
                <w:sz w:val="24"/>
                <w:szCs w:val="24"/>
              </w:rPr>
            </w:pPr>
            <w:r>
              <w:rPr>
                <w:rFonts w:hint="eastAsia" w:ascii="宋体" w:hAnsi="宋体"/>
                <w:sz w:val="24"/>
                <w:szCs w:val="24"/>
              </w:rPr>
              <w:t>职务</w:t>
            </w:r>
          </w:p>
        </w:tc>
        <w:tc>
          <w:tcPr>
            <w:tcW w:w="1560" w:type="dxa"/>
            <w:vAlign w:val="center"/>
          </w:tcPr>
          <w:p>
            <w:pPr>
              <w:pStyle w:val="2"/>
              <w:ind w:firstLine="0"/>
              <w:jc w:val="center"/>
              <w:rPr>
                <w:rFonts w:ascii="宋体" w:hAnsi="宋体"/>
                <w:sz w:val="24"/>
                <w:szCs w:val="24"/>
              </w:rPr>
            </w:pPr>
            <w:r>
              <w:rPr>
                <w:rFonts w:hint="eastAsia" w:ascii="宋体" w:hAnsi="宋体"/>
                <w:sz w:val="24"/>
                <w:szCs w:val="24"/>
              </w:rPr>
              <w:t>资格/职称</w:t>
            </w:r>
          </w:p>
        </w:tc>
        <w:tc>
          <w:tcPr>
            <w:tcW w:w="1701" w:type="dxa"/>
            <w:vAlign w:val="center"/>
          </w:tcPr>
          <w:p>
            <w:pPr>
              <w:pStyle w:val="2"/>
              <w:ind w:firstLine="0"/>
              <w:jc w:val="center"/>
              <w:rPr>
                <w:rFonts w:ascii="宋体" w:hAnsi="宋体"/>
                <w:b/>
                <w:sz w:val="24"/>
                <w:szCs w:val="24"/>
              </w:rPr>
            </w:pPr>
            <w:r>
              <w:rPr>
                <w:rFonts w:hint="eastAsia" w:ascii="宋体" w:hAnsi="宋体"/>
                <w:sz w:val="24"/>
                <w:szCs w:val="24"/>
              </w:rPr>
              <w:t>在本行业从业 工作年限</w:t>
            </w:r>
          </w:p>
        </w:tc>
        <w:tc>
          <w:tcPr>
            <w:tcW w:w="1984" w:type="dxa"/>
            <w:vAlign w:val="center"/>
          </w:tcPr>
          <w:p>
            <w:pPr>
              <w:pStyle w:val="2"/>
              <w:ind w:firstLine="0"/>
              <w:jc w:val="center"/>
              <w:rPr>
                <w:rFonts w:ascii="宋体" w:hAnsi="宋体"/>
                <w:b/>
                <w:sz w:val="24"/>
                <w:szCs w:val="24"/>
              </w:rPr>
            </w:pPr>
            <w:r>
              <w:rPr>
                <w:rFonts w:hint="eastAsia" w:ascii="宋体" w:hAnsi="宋体"/>
                <w:sz w:val="24"/>
                <w:szCs w:val="24"/>
              </w:rPr>
              <w:t>主要工作业绩</w:t>
            </w:r>
          </w:p>
        </w:tc>
        <w:tc>
          <w:tcPr>
            <w:tcW w:w="987" w:type="dxa"/>
            <w:tcBorders>
              <w:righ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当前</w:t>
            </w:r>
          </w:p>
          <w:p>
            <w:pPr>
              <w:pStyle w:val="2"/>
              <w:ind w:firstLine="0"/>
              <w:jc w:val="center"/>
              <w:rPr>
                <w:rFonts w:ascii="宋体" w:hAnsi="宋体"/>
                <w:sz w:val="24"/>
                <w:szCs w:val="24"/>
              </w:rPr>
            </w:pPr>
            <w:r>
              <w:rPr>
                <w:rFonts w:hint="eastAsia" w:ascii="宋体" w:hAnsi="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2"/>
              <w:ind w:firstLine="0"/>
              <w:jc w:val="left"/>
              <w:rPr>
                <w:rFonts w:ascii="宋体" w:hAnsi="宋体"/>
                <w:b/>
                <w:sz w:val="24"/>
                <w:szCs w:val="24"/>
              </w:rPr>
            </w:pPr>
          </w:p>
        </w:tc>
        <w:tc>
          <w:tcPr>
            <w:tcW w:w="850" w:type="dxa"/>
          </w:tcPr>
          <w:p>
            <w:pPr>
              <w:pStyle w:val="2"/>
              <w:ind w:firstLine="0"/>
              <w:jc w:val="left"/>
              <w:rPr>
                <w:rFonts w:ascii="宋体" w:hAnsi="宋体"/>
                <w:b/>
                <w:sz w:val="24"/>
                <w:szCs w:val="24"/>
              </w:rPr>
            </w:pPr>
          </w:p>
        </w:tc>
        <w:tc>
          <w:tcPr>
            <w:tcW w:w="1134" w:type="dxa"/>
          </w:tcPr>
          <w:p>
            <w:pPr>
              <w:pStyle w:val="2"/>
              <w:ind w:firstLine="0"/>
              <w:jc w:val="left"/>
              <w:rPr>
                <w:rFonts w:ascii="宋体" w:hAnsi="宋体"/>
                <w:b/>
                <w:sz w:val="24"/>
                <w:szCs w:val="24"/>
              </w:rPr>
            </w:pPr>
          </w:p>
        </w:tc>
        <w:tc>
          <w:tcPr>
            <w:tcW w:w="1560"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984" w:type="dxa"/>
          </w:tcPr>
          <w:p>
            <w:pPr>
              <w:pStyle w:val="2"/>
              <w:ind w:firstLine="0"/>
              <w:jc w:val="left"/>
              <w:rPr>
                <w:rFonts w:ascii="宋体" w:hAnsi="宋体"/>
                <w:b/>
                <w:sz w:val="24"/>
                <w:szCs w:val="24"/>
              </w:rPr>
            </w:pPr>
          </w:p>
        </w:tc>
        <w:tc>
          <w:tcPr>
            <w:tcW w:w="987" w:type="dxa"/>
            <w:tcBorders>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2"/>
              <w:ind w:firstLine="0"/>
              <w:jc w:val="left"/>
              <w:rPr>
                <w:rFonts w:ascii="宋体" w:hAnsi="宋体"/>
                <w:b/>
                <w:sz w:val="24"/>
                <w:szCs w:val="24"/>
              </w:rPr>
            </w:pPr>
          </w:p>
        </w:tc>
        <w:tc>
          <w:tcPr>
            <w:tcW w:w="850" w:type="dxa"/>
          </w:tcPr>
          <w:p>
            <w:pPr>
              <w:pStyle w:val="2"/>
              <w:ind w:firstLine="0"/>
              <w:jc w:val="left"/>
              <w:rPr>
                <w:rFonts w:ascii="宋体" w:hAnsi="宋体"/>
                <w:b/>
                <w:sz w:val="24"/>
                <w:szCs w:val="24"/>
              </w:rPr>
            </w:pPr>
          </w:p>
        </w:tc>
        <w:tc>
          <w:tcPr>
            <w:tcW w:w="1134" w:type="dxa"/>
          </w:tcPr>
          <w:p>
            <w:pPr>
              <w:pStyle w:val="2"/>
              <w:ind w:firstLine="0"/>
              <w:jc w:val="left"/>
              <w:rPr>
                <w:rFonts w:ascii="宋体" w:hAnsi="宋体"/>
                <w:b/>
                <w:sz w:val="24"/>
                <w:szCs w:val="24"/>
              </w:rPr>
            </w:pPr>
          </w:p>
        </w:tc>
        <w:tc>
          <w:tcPr>
            <w:tcW w:w="1560"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984" w:type="dxa"/>
          </w:tcPr>
          <w:p>
            <w:pPr>
              <w:pStyle w:val="2"/>
              <w:ind w:firstLine="0"/>
              <w:jc w:val="left"/>
              <w:rPr>
                <w:rFonts w:ascii="宋体" w:hAnsi="宋体"/>
                <w:b/>
                <w:sz w:val="24"/>
                <w:szCs w:val="24"/>
              </w:rPr>
            </w:pPr>
          </w:p>
        </w:tc>
        <w:tc>
          <w:tcPr>
            <w:tcW w:w="987" w:type="dxa"/>
            <w:tcBorders>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2"/>
              <w:ind w:firstLine="0"/>
              <w:jc w:val="left"/>
              <w:rPr>
                <w:rFonts w:ascii="宋体" w:hAnsi="宋体"/>
                <w:b/>
                <w:sz w:val="24"/>
                <w:szCs w:val="24"/>
              </w:rPr>
            </w:pPr>
          </w:p>
        </w:tc>
        <w:tc>
          <w:tcPr>
            <w:tcW w:w="850" w:type="dxa"/>
          </w:tcPr>
          <w:p>
            <w:pPr>
              <w:pStyle w:val="2"/>
              <w:ind w:firstLine="0"/>
              <w:jc w:val="left"/>
              <w:rPr>
                <w:rFonts w:ascii="宋体" w:hAnsi="宋体"/>
                <w:b/>
                <w:sz w:val="24"/>
                <w:szCs w:val="24"/>
              </w:rPr>
            </w:pPr>
          </w:p>
        </w:tc>
        <w:tc>
          <w:tcPr>
            <w:tcW w:w="1134" w:type="dxa"/>
          </w:tcPr>
          <w:p>
            <w:pPr>
              <w:pStyle w:val="2"/>
              <w:ind w:firstLine="0"/>
              <w:jc w:val="left"/>
              <w:rPr>
                <w:rFonts w:ascii="宋体" w:hAnsi="宋体"/>
                <w:b/>
                <w:sz w:val="24"/>
                <w:szCs w:val="24"/>
              </w:rPr>
            </w:pPr>
          </w:p>
        </w:tc>
        <w:tc>
          <w:tcPr>
            <w:tcW w:w="1560"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984" w:type="dxa"/>
          </w:tcPr>
          <w:p>
            <w:pPr>
              <w:pStyle w:val="2"/>
              <w:ind w:firstLine="0"/>
              <w:jc w:val="left"/>
              <w:rPr>
                <w:rFonts w:ascii="宋体" w:hAnsi="宋体"/>
                <w:b/>
                <w:sz w:val="24"/>
                <w:szCs w:val="24"/>
              </w:rPr>
            </w:pPr>
          </w:p>
        </w:tc>
        <w:tc>
          <w:tcPr>
            <w:tcW w:w="987" w:type="dxa"/>
            <w:tcBorders>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2"/>
              <w:ind w:firstLine="0"/>
              <w:jc w:val="left"/>
              <w:rPr>
                <w:rFonts w:ascii="宋体" w:hAnsi="宋体"/>
                <w:b/>
                <w:sz w:val="24"/>
                <w:szCs w:val="24"/>
              </w:rPr>
            </w:pPr>
          </w:p>
        </w:tc>
        <w:tc>
          <w:tcPr>
            <w:tcW w:w="850" w:type="dxa"/>
          </w:tcPr>
          <w:p>
            <w:pPr>
              <w:pStyle w:val="2"/>
              <w:ind w:firstLine="0"/>
              <w:jc w:val="left"/>
              <w:rPr>
                <w:rFonts w:ascii="宋体" w:hAnsi="宋体"/>
                <w:b/>
                <w:sz w:val="24"/>
                <w:szCs w:val="24"/>
              </w:rPr>
            </w:pPr>
          </w:p>
        </w:tc>
        <w:tc>
          <w:tcPr>
            <w:tcW w:w="1134" w:type="dxa"/>
          </w:tcPr>
          <w:p>
            <w:pPr>
              <w:pStyle w:val="2"/>
              <w:ind w:firstLine="0"/>
              <w:jc w:val="left"/>
              <w:rPr>
                <w:rFonts w:ascii="宋体" w:hAnsi="宋体"/>
                <w:b/>
                <w:sz w:val="24"/>
                <w:szCs w:val="24"/>
              </w:rPr>
            </w:pPr>
          </w:p>
        </w:tc>
        <w:tc>
          <w:tcPr>
            <w:tcW w:w="1560"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984" w:type="dxa"/>
          </w:tcPr>
          <w:p>
            <w:pPr>
              <w:pStyle w:val="2"/>
              <w:ind w:firstLine="0"/>
              <w:jc w:val="left"/>
              <w:rPr>
                <w:rFonts w:ascii="宋体" w:hAnsi="宋体"/>
                <w:b/>
                <w:sz w:val="24"/>
                <w:szCs w:val="24"/>
              </w:rPr>
            </w:pPr>
          </w:p>
        </w:tc>
        <w:tc>
          <w:tcPr>
            <w:tcW w:w="987" w:type="dxa"/>
            <w:tcBorders>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tcPr>
          <w:p>
            <w:pPr>
              <w:pStyle w:val="2"/>
              <w:ind w:firstLine="0"/>
              <w:jc w:val="left"/>
              <w:rPr>
                <w:rFonts w:ascii="宋体" w:hAnsi="宋体"/>
                <w:b/>
                <w:sz w:val="24"/>
                <w:szCs w:val="24"/>
              </w:rPr>
            </w:pPr>
            <w:r>
              <w:rPr>
                <w:rFonts w:hint="eastAsia" w:ascii="宋体" w:hAnsi="宋体"/>
                <w:b/>
                <w:sz w:val="24"/>
                <w:szCs w:val="24"/>
              </w:rPr>
              <w:t>3.技术人员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姓名</w:t>
            </w:r>
          </w:p>
        </w:tc>
        <w:tc>
          <w:tcPr>
            <w:tcW w:w="850" w:type="dxa"/>
            <w:vAlign w:val="center"/>
          </w:tcPr>
          <w:p>
            <w:pPr>
              <w:pStyle w:val="2"/>
              <w:ind w:firstLine="0"/>
              <w:jc w:val="center"/>
              <w:rPr>
                <w:rFonts w:ascii="宋体" w:hAnsi="宋体"/>
                <w:sz w:val="24"/>
                <w:szCs w:val="24"/>
              </w:rPr>
            </w:pPr>
            <w:r>
              <w:rPr>
                <w:rFonts w:hint="eastAsia" w:ascii="宋体" w:hAnsi="宋体"/>
                <w:sz w:val="24"/>
                <w:szCs w:val="24"/>
              </w:rPr>
              <w:t>年龄</w:t>
            </w:r>
          </w:p>
        </w:tc>
        <w:tc>
          <w:tcPr>
            <w:tcW w:w="1134" w:type="dxa"/>
            <w:vAlign w:val="center"/>
          </w:tcPr>
          <w:p>
            <w:pPr>
              <w:pStyle w:val="2"/>
              <w:ind w:firstLine="0"/>
              <w:jc w:val="center"/>
              <w:rPr>
                <w:rFonts w:ascii="宋体" w:hAnsi="宋体"/>
                <w:sz w:val="24"/>
                <w:szCs w:val="24"/>
              </w:rPr>
            </w:pPr>
            <w:r>
              <w:rPr>
                <w:rFonts w:hint="eastAsia" w:ascii="宋体" w:hAnsi="宋体"/>
                <w:sz w:val="24"/>
                <w:szCs w:val="24"/>
              </w:rPr>
              <w:t>职务</w:t>
            </w:r>
          </w:p>
        </w:tc>
        <w:tc>
          <w:tcPr>
            <w:tcW w:w="1560" w:type="dxa"/>
            <w:vAlign w:val="center"/>
          </w:tcPr>
          <w:p>
            <w:pPr>
              <w:pStyle w:val="2"/>
              <w:ind w:firstLine="0"/>
              <w:jc w:val="center"/>
              <w:rPr>
                <w:rFonts w:ascii="宋体" w:hAnsi="宋体"/>
                <w:sz w:val="24"/>
                <w:szCs w:val="24"/>
              </w:rPr>
            </w:pPr>
            <w:r>
              <w:rPr>
                <w:rFonts w:hint="eastAsia" w:ascii="宋体" w:hAnsi="宋体"/>
                <w:sz w:val="24"/>
                <w:szCs w:val="24"/>
              </w:rPr>
              <w:t>资格/职称</w:t>
            </w:r>
          </w:p>
        </w:tc>
        <w:tc>
          <w:tcPr>
            <w:tcW w:w="1701" w:type="dxa"/>
            <w:vAlign w:val="center"/>
          </w:tcPr>
          <w:p>
            <w:pPr>
              <w:pStyle w:val="2"/>
              <w:ind w:firstLine="0"/>
              <w:jc w:val="center"/>
              <w:rPr>
                <w:rFonts w:ascii="宋体" w:hAnsi="宋体"/>
                <w:b/>
                <w:sz w:val="24"/>
                <w:szCs w:val="24"/>
              </w:rPr>
            </w:pPr>
            <w:r>
              <w:rPr>
                <w:rFonts w:hint="eastAsia" w:ascii="宋体" w:hAnsi="宋体"/>
                <w:sz w:val="24"/>
                <w:szCs w:val="24"/>
              </w:rPr>
              <w:t>在本行业从业 工作年限</w:t>
            </w:r>
          </w:p>
        </w:tc>
        <w:tc>
          <w:tcPr>
            <w:tcW w:w="1984" w:type="dxa"/>
            <w:vAlign w:val="center"/>
          </w:tcPr>
          <w:p>
            <w:pPr>
              <w:pStyle w:val="2"/>
              <w:ind w:firstLine="0"/>
              <w:jc w:val="center"/>
              <w:rPr>
                <w:rFonts w:ascii="宋体" w:hAnsi="宋体"/>
                <w:b/>
                <w:sz w:val="24"/>
                <w:szCs w:val="24"/>
              </w:rPr>
            </w:pPr>
            <w:r>
              <w:rPr>
                <w:rFonts w:hint="eastAsia" w:ascii="宋体" w:hAnsi="宋体"/>
                <w:sz w:val="24"/>
                <w:szCs w:val="24"/>
              </w:rPr>
              <w:t>主要工作业绩</w:t>
            </w:r>
          </w:p>
        </w:tc>
        <w:tc>
          <w:tcPr>
            <w:tcW w:w="987" w:type="dxa"/>
            <w:tcBorders>
              <w:righ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当前</w:t>
            </w:r>
          </w:p>
          <w:p>
            <w:pPr>
              <w:pStyle w:val="2"/>
              <w:ind w:firstLine="0"/>
              <w:jc w:val="center"/>
              <w:rPr>
                <w:rFonts w:ascii="宋体" w:hAnsi="宋体"/>
                <w:sz w:val="24"/>
                <w:szCs w:val="24"/>
              </w:rPr>
            </w:pPr>
            <w:r>
              <w:rPr>
                <w:rFonts w:hint="eastAsia" w:ascii="宋体" w:hAnsi="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pPr>
              <w:pStyle w:val="2"/>
              <w:ind w:firstLine="0"/>
              <w:jc w:val="left"/>
              <w:rPr>
                <w:rFonts w:ascii="宋体" w:hAnsi="宋体"/>
                <w:b/>
                <w:sz w:val="24"/>
                <w:szCs w:val="24"/>
              </w:rPr>
            </w:pPr>
          </w:p>
        </w:tc>
        <w:tc>
          <w:tcPr>
            <w:tcW w:w="850" w:type="dxa"/>
            <w:tcBorders>
              <w:bottom w:val="single" w:color="auto" w:sz="4" w:space="0"/>
            </w:tcBorders>
          </w:tcPr>
          <w:p>
            <w:pPr>
              <w:pStyle w:val="2"/>
              <w:ind w:firstLine="0"/>
              <w:jc w:val="left"/>
              <w:rPr>
                <w:rFonts w:ascii="宋体" w:hAnsi="宋体"/>
                <w:b/>
                <w:sz w:val="24"/>
                <w:szCs w:val="24"/>
              </w:rPr>
            </w:pPr>
          </w:p>
        </w:tc>
        <w:tc>
          <w:tcPr>
            <w:tcW w:w="1134" w:type="dxa"/>
            <w:tcBorders>
              <w:bottom w:val="single" w:color="auto" w:sz="4" w:space="0"/>
            </w:tcBorders>
          </w:tcPr>
          <w:p>
            <w:pPr>
              <w:pStyle w:val="2"/>
              <w:ind w:firstLine="0"/>
              <w:jc w:val="left"/>
              <w:rPr>
                <w:rFonts w:ascii="宋体" w:hAnsi="宋体"/>
                <w:b/>
                <w:sz w:val="24"/>
                <w:szCs w:val="24"/>
              </w:rPr>
            </w:pPr>
          </w:p>
        </w:tc>
        <w:tc>
          <w:tcPr>
            <w:tcW w:w="1560" w:type="dxa"/>
            <w:tcBorders>
              <w:bottom w:val="single" w:color="auto" w:sz="4" w:space="0"/>
            </w:tcBorders>
          </w:tcPr>
          <w:p>
            <w:pPr>
              <w:pStyle w:val="2"/>
              <w:ind w:firstLine="0"/>
              <w:jc w:val="left"/>
              <w:rPr>
                <w:rFonts w:ascii="宋体" w:hAnsi="宋体"/>
                <w:b/>
                <w:sz w:val="24"/>
                <w:szCs w:val="24"/>
              </w:rPr>
            </w:pPr>
          </w:p>
        </w:tc>
        <w:tc>
          <w:tcPr>
            <w:tcW w:w="1701" w:type="dxa"/>
            <w:tcBorders>
              <w:bottom w:val="single" w:color="auto" w:sz="4" w:space="0"/>
            </w:tcBorders>
          </w:tcPr>
          <w:p>
            <w:pPr>
              <w:pStyle w:val="2"/>
              <w:ind w:firstLine="0"/>
              <w:jc w:val="left"/>
              <w:rPr>
                <w:rFonts w:ascii="宋体" w:hAnsi="宋体"/>
                <w:b/>
                <w:sz w:val="24"/>
                <w:szCs w:val="24"/>
              </w:rPr>
            </w:pPr>
          </w:p>
        </w:tc>
        <w:tc>
          <w:tcPr>
            <w:tcW w:w="1984" w:type="dxa"/>
            <w:tcBorders>
              <w:bottom w:val="single" w:color="auto" w:sz="4" w:space="0"/>
            </w:tcBorders>
          </w:tcPr>
          <w:p>
            <w:pPr>
              <w:pStyle w:val="2"/>
              <w:ind w:firstLine="0"/>
              <w:jc w:val="left"/>
              <w:rPr>
                <w:rFonts w:ascii="宋体" w:hAnsi="宋体"/>
                <w:b/>
                <w:sz w:val="24"/>
                <w:szCs w:val="24"/>
              </w:rPr>
            </w:pPr>
          </w:p>
        </w:tc>
        <w:tc>
          <w:tcPr>
            <w:tcW w:w="987" w:type="dxa"/>
            <w:tcBorders>
              <w:bottom w:val="single" w:color="auto" w:sz="4" w:space="0"/>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pPr>
              <w:pStyle w:val="2"/>
              <w:ind w:firstLine="0"/>
              <w:jc w:val="left"/>
              <w:rPr>
                <w:rFonts w:ascii="宋体" w:hAnsi="宋体"/>
                <w:b/>
                <w:sz w:val="24"/>
                <w:szCs w:val="24"/>
              </w:rPr>
            </w:pPr>
          </w:p>
        </w:tc>
        <w:tc>
          <w:tcPr>
            <w:tcW w:w="850" w:type="dxa"/>
            <w:tcBorders>
              <w:bottom w:val="single" w:color="auto" w:sz="4" w:space="0"/>
            </w:tcBorders>
          </w:tcPr>
          <w:p>
            <w:pPr>
              <w:pStyle w:val="2"/>
              <w:ind w:firstLine="0"/>
              <w:jc w:val="left"/>
              <w:rPr>
                <w:rFonts w:ascii="宋体" w:hAnsi="宋体"/>
                <w:b/>
                <w:sz w:val="24"/>
                <w:szCs w:val="24"/>
              </w:rPr>
            </w:pPr>
          </w:p>
        </w:tc>
        <w:tc>
          <w:tcPr>
            <w:tcW w:w="1134" w:type="dxa"/>
            <w:tcBorders>
              <w:bottom w:val="single" w:color="auto" w:sz="4" w:space="0"/>
            </w:tcBorders>
          </w:tcPr>
          <w:p>
            <w:pPr>
              <w:pStyle w:val="2"/>
              <w:ind w:firstLine="0"/>
              <w:jc w:val="left"/>
              <w:rPr>
                <w:rFonts w:ascii="宋体" w:hAnsi="宋体"/>
                <w:b/>
                <w:sz w:val="24"/>
                <w:szCs w:val="24"/>
              </w:rPr>
            </w:pPr>
          </w:p>
        </w:tc>
        <w:tc>
          <w:tcPr>
            <w:tcW w:w="1560" w:type="dxa"/>
            <w:tcBorders>
              <w:bottom w:val="single" w:color="auto" w:sz="4" w:space="0"/>
            </w:tcBorders>
          </w:tcPr>
          <w:p>
            <w:pPr>
              <w:pStyle w:val="2"/>
              <w:ind w:firstLine="0"/>
              <w:jc w:val="left"/>
              <w:rPr>
                <w:rFonts w:ascii="宋体" w:hAnsi="宋体"/>
                <w:b/>
                <w:sz w:val="24"/>
                <w:szCs w:val="24"/>
              </w:rPr>
            </w:pPr>
          </w:p>
        </w:tc>
        <w:tc>
          <w:tcPr>
            <w:tcW w:w="1701" w:type="dxa"/>
            <w:tcBorders>
              <w:bottom w:val="single" w:color="auto" w:sz="4" w:space="0"/>
            </w:tcBorders>
          </w:tcPr>
          <w:p>
            <w:pPr>
              <w:pStyle w:val="2"/>
              <w:ind w:firstLine="0"/>
              <w:jc w:val="left"/>
              <w:rPr>
                <w:rFonts w:ascii="宋体" w:hAnsi="宋体"/>
                <w:b/>
                <w:sz w:val="24"/>
                <w:szCs w:val="24"/>
              </w:rPr>
            </w:pPr>
          </w:p>
        </w:tc>
        <w:tc>
          <w:tcPr>
            <w:tcW w:w="1984" w:type="dxa"/>
            <w:tcBorders>
              <w:bottom w:val="single" w:color="auto" w:sz="4" w:space="0"/>
            </w:tcBorders>
          </w:tcPr>
          <w:p>
            <w:pPr>
              <w:pStyle w:val="2"/>
              <w:ind w:firstLine="0"/>
              <w:jc w:val="left"/>
              <w:rPr>
                <w:rFonts w:ascii="宋体" w:hAnsi="宋体"/>
                <w:b/>
                <w:sz w:val="24"/>
                <w:szCs w:val="24"/>
              </w:rPr>
            </w:pPr>
          </w:p>
        </w:tc>
        <w:tc>
          <w:tcPr>
            <w:tcW w:w="987" w:type="dxa"/>
            <w:tcBorders>
              <w:bottom w:val="single" w:color="auto" w:sz="4" w:space="0"/>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pPr>
              <w:pStyle w:val="2"/>
              <w:ind w:firstLine="0"/>
              <w:jc w:val="left"/>
              <w:rPr>
                <w:rFonts w:ascii="宋体" w:hAnsi="宋体"/>
                <w:b/>
                <w:sz w:val="24"/>
                <w:szCs w:val="24"/>
              </w:rPr>
            </w:pPr>
          </w:p>
        </w:tc>
        <w:tc>
          <w:tcPr>
            <w:tcW w:w="850" w:type="dxa"/>
            <w:tcBorders>
              <w:bottom w:val="single" w:color="auto" w:sz="4" w:space="0"/>
            </w:tcBorders>
          </w:tcPr>
          <w:p>
            <w:pPr>
              <w:pStyle w:val="2"/>
              <w:ind w:firstLine="0"/>
              <w:jc w:val="left"/>
              <w:rPr>
                <w:rFonts w:ascii="宋体" w:hAnsi="宋体"/>
                <w:b/>
                <w:sz w:val="24"/>
                <w:szCs w:val="24"/>
              </w:rPr>
            </w:pPr>
          </w:p>
        </w:tc>
        <w:tc>
          <w:tcPr>
            <w:tcW w:w="1134" w:type="dxa"/>
            <w:tcBorders>
              <w:bottom w:val="single" w:color="auto" w:sz="4" w:space="0"/>
            </w:tcBorders>
          </w:tcPr>
          <w:p>
            <w:pPr>
              <w:pStyle w:val="2"/>
              <w:ind w:firstLine="0"/>
              <w:jc w:val="left"/>
              <w:rPr>
                <w:rFonts w:ascii="宋体" w:hAnsi="宋体"/>
                <w:b/>
                <w:sz w:val="24"/>
                <w:szCs w:val="24"/>
              </w:rPr>
            </w:pPr>
          </w:p>
        </w:tc>
        <w:tc>
          <w:tcPr>
            <w:tcW w:w="1560" w:type="dxa"/>
            <w:tcBorders>
              <w:bottom w:val="single" w:color="auto" w:sz="4" w:space="0"/>
            </w:tcBorders>
          </w:tcPr>
          <w:p>
            <w:pPr>
              <w:pStyle w:val="2"/>
              <w:ind w:firstLine="0"/>
              <w:jc w:val="left"/>
              <w:rPr>
                <w:rFonts w:ascii="宋体" w:hAnsi="宋体"/>
                <w:b/>
                <w:sz w:val="24"/>
                <w:szCs w:val="24"/>
              </w:rPr>
            </w:pPr>
          </w:p>
        </w:tc>
        <w:tc>
          <w:tcPr>
            <w:tcW w:w="1701" w:type="dxa"/>
            <w:tcBorders>
              <w:bottom w:val="single" w:color="auto" w:sz="4" w:space="0"/>
            </w:tcBorders>
          </w:tcPr>
          <w:p>
            <w:pPr>
              <w:pStyle w:val="2"/>
              <w:ind w:firstLine="0"/>
              <w:jc w:val="left"/>
              <w:rPr>
                <w:rFonts w:ascii="宋体" w:hAnsi="宋体"/>
                <w:b/>
                <w:sz w:val="24"/>
                <w:szCs w:val="24"/>
              </w:rPr>
            </w:pPr>
          </w:p>
        </w:tc>
        <w:tc>
          <w:tcPr>
            <w:tcW w:w="1984" w:type="dxa"/>
            <w:tcBorders>
              <w:bottom w:val="single" w:color="auto" w:sz="4" w:space="0"/>
            </w:tcBorders>
          </w:tcPr>
          <w:p>
            <w:pPr>
              <w:pStyle w:val="2"/>
              <w:ind w:firstLine="0"/>
              <w:jc w:val="left"/>
              <w:rPr>
                <w:rFonts w:ascii="宋体" w:hAnsi="宋体"/>
                <w:b/>
                <w:sz w:val="24"/>
                <w:szCs w:val="24"/>
              </w:rPr>
            </w:pPr>
          </w:p>
        </w:tc>
        <w:tc>
          <w:tcPr>
            <w:tcW w:w="987" w:type="dxa"/>
            <w:tcBorders>
              <w:bottom w:val="single" w:color="auto" w:sz="4" w:space="0"/>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pPr>
              <w:pStyle w:val="2"/>
              <w:ind w:firstLine="0"/>
              <w:jc w:val="left"/>
              <w:rPr>
                <w:rFonts w:ascii="宋体" w:hAnsi="宋体"/>
                <w:b/>
                <w:sz w:val="24"/>
                <w:szCs w:val="24"/>
              </w:rPr>
            </w:pPr>
          </w:p>
        </w:tc>
        <w:tc>
          <w:tcPr>
            <w:tcW w:w="850" w:type="dxa"/>
            <w:tcBorders>
              <w:bottom w:val="single" w:color="auto" w:sz="12" w:space="0"/>
            </w:tcBorders>
          </w:tcPr>
          <w:p>
            <w:pPr>
              <w:pStyle w:val="2"/>
              <w:ind w:firstLine="0"/>
              <w:jc w:val="left"/>
              <w:rPr>
                <w:rFonts w:ascii="宋体" w:hAnsi="宋体"/>
                <w:b/>
                <w:sz w:val="24"/>
                <w:szCs w:val="24"/>
              </w:rPr>
            </w:pPr>
          </w:p>
        </w:tc>
        <w:tc>
          <w:tcPr>
            <w:tcW w:w="1134" w:type="dxa"/>
            <w:tcBorders>
              <w:bottom w:val="single" w:color="auto" w:sz="12" w:space="0"/>
            </w:tcBorders>
          </w:tcPr>
          <w:p>
            <w:pPr>
              <w:pStyle w:val="2"/>
              <w:ind w:firstLine="0"/>
              <w:jc w:val="left"/>
              <w:rPr>
                <w:rFonts w:ascii="宋体" w:hAnsi="宋体"/>
                <w:b/>
                <w:sz w:val="24"/>
                <w:szCs w:val="24"/>
              </w:rPr>
            </w:pPr>
          </w:p>
        </w:tc>
        <w:tc>
          <w:tcPr>
            <w:tcW w:w="1560" w:type="dxa"/>
            <w:tcBorders>
              <w:bottom w:val="single" w:color="auto" w:sz="12" w:space="0"/>
            </w:tcBorders>
          </w:tcPr>
          <w:p>
            <w:pPr>
              <w:pStyle w:val="2"/>
              <w:ind w:firstLine="0"/>
              <w:jc w:val="left"/>
              <w:rPr>
                <w:rFonts w:ascii="宋体" w:hAnsi="宋体"/>
                <w:b/>
                <w:sz w:val="24"/>
                <w:szCs w:val="24"/>
              </w:rPr>
            </w:pPr>
          </w:p>
        </w:tc>
        <w:tc>
          <w:tcPr>
            <w:tcW w:w="1701" w:type="dxa"/>
            <w:tcBorders>
              <w:bottom w:val="single" w:color="auto" w:sz="12" w:space="0"/>
            </w:tcBorders>
          </w:tcPr>
          <w:p>
            <w:pPr>
              <w:pStyle w:val="2"/>
              <w:ind w:firstLine="0"/>
              <w:jc w:val="left"/>
              <w:rPr>
                <w:rFonts w:ascii="宋体" w:hAnsi="宋体"/>
                <w:b/>
                <w:sz w:val="24"/>
                <w:szCs w:val="24"/>
              </w:rPr>
            </w:pPr>
          </w:p>
        </w:tc>
        <w:tc>
          <w:tcPr>
            <w:tcW w:w="1984" w:type="dxa"/>
            <w:tcBorders>
              <w:bottom w:val="single" w:color="auto" w:sz="12" w:space="0"/>
            </w:tcBorders>
          </w:tcPr>
          <w:p>
            <w:pPr>
              <w:pStyle w:val="2"/>
              <w:ind w:firstLine="0"/>
              <w:jc w:val="left"/>
              <w:rPr>
                <w:rFonts w:ascii="宋体" w:hAnsi="宋体"/>
                <w:b/>
                <w:sz w:val="24"/>
                <w:szCs w:val="24"/>
              </w:rPr>
            </w:pPr>
          </w:p>
        </w:tc>
        <w:tc>
          <w:tcPr>
            <w:tcW w:w="987" w:type="dxa"/>
            <w:tcBorders>
              <w:bottom w:val="single" w:color="auto" w:sz="12" w:space="0"/>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vAlign w:val="center"/>
          </w:tcPr>
          <w:p>
            <w:pPr>
              <w:pStyle w:val="2"/>
              <w:ind w:firstLine="0"/>
              <w:rPr>
                <w:rFonts w:ascii="宋体" w:hAnsi="宋体"/>
                <w:b/>
                <w:sz w:val="24"/>
                <w:szCs w:val="24"/>
              </w:rPr>
            </w:pPr>
            <w:r>
              <w:rPr>
                <w:rFonts w:hint="eastAsia" w:ascii="宋体" w:hAnsi="宋体"/>
                <w:b/>
                <w:sz w:val="24"/>
                <w:szCs w:val="24"/>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姓名</w:t>
            </w:r>
          </w:p>
        </w:tc>
        <w:tc>
          <w:tcPr>
            <w:tcW w:w="850" w:type="dxa"/>
            <w:vAlign w:val="center"/>
          </w:tcPr>
          <w:p>
            <w:pPr>
              <w:pStyle w:val="2"/>
              <w:ind w:firstLine="0"/>
              <w:jc w:val="center"/>
              <w:rPr>
                <w:rFonts w:ascii="宋体" w:hAnsi="宋体"/>
                <w:sz w:val="24"/>
                <w:szCs w:val="24"/>
              </w:rPr>
            </w:pPr>
            <w:r>
              <w:rPr>
                <w:rFonts w:hint="eastAsia" w:ascii="宋体" w:hAnsi="宋体"/>
                <w:sz w:val="24"/>
                <w:szCs w:val="24"/>
              </w:rPr>
              <w:t>年龄</w:t>
            </w:r>
          </w:p>
        </w:tc>
        <w:tc>
          <w:tcPr>
            <w:tcW w:w="1134" w:type="dxa"/>
            <w:vAlign w:val="center"/>
          </w:tcPr>
          <w:p>
            <w:pPr>
              <w:pStyle w:val="2"/>
              <w:ind w:firstLine="0"/>
              <w:jc w:val="center"/>
              <w:rPr>
                <w:rFonts w:ascii="宋体" w:hAnsi="宋体"/>
                <w:sz w:val="24"/>
                <w:szCs w:val="24"/>
              </w:rPr>
            </w:pPr>
            <w:r>
              <w:rPr>
                <w:rFonts w:hint="eastAsia" w:ascii="宋体" w:hAnsi="宋体"/>
                <w:sz w:val="24"/>
                <w:szCs w:val="24"/>
              </w:rPr>
              <w:t>职务</w:t>
            </w:r>
          </w:p>
        </w:tc>
        <w:tc>
          <w:tcPr>
            <w:tcW w:w="1560" w:type="dxa"/>
            <w:vAlign w:val="center"/>
          </w:tcPr>
          <w:p>
            <w:pPr>
              <w:pStyle w:val="2"/>
              <w:ind w:firstLine="0"/>
              <w:jc w:val="center"/>
              <w:rPr>
                <w:rFonts w:ascii="宋体" w:hAnsi="宋体"/>
                <w:sz w:val="24"/>
                <w:szCs w:val="24"/>
              </w:rPr>
            </w:pPr>
            <w:r>
              <w:rPr>
                <w:rFonts w:hint="eastAsia" w:ascii="宋体" w:hAnsi="宋体"/>
                <w:sz w:val="24"/>
                <w:szCs w:val="24"/>
              </w:rPr>
              <w:t>资格/职称</w:t>
            </w:r>
          </w:p>
        </w:tc>
        <w:tc>
          <w:tcPr>
            <w:tcW w:w="1701" w:type="dxa"/>
            <w:vAlign w:val="center"/>
          </w:tcPr>
          <w:p>
            <w:pPr>
              <w:pStyle w:val="2"/>
              <w:ind w:firstLine="0"/>
              <w:jc w:val="center"/>
              <w:rPr>
                <w:rFonts w:ascii="宋体" w:hAnsi="宋体"/>
                <w:b/>
                <w:sz w:val="24"/>
                <w:szCs w:val="24"/>
              </w:rPr>
            </w:pPr>
            <w:r>
              <w:rPr>
                <w:rFonts w:hint="eastAsia" w:ascii="宋体" w:hAnsi="宋体"/>
                <w:sz w:val="24"/>
                <w:szCs w:val="24"/>
              </w:rPr>
              <w:t>在本行业从业 工作年限</w:t>
            </w:r>
          </w:p>
        </w:tc>
        <w:tc>
          <w:tcPr>
            <w:tcW w:w="1984" w:type="dxa"/>
            <w:vAlign w:val="center"/>
          </w:tcPr>
          <w:p>
            <w:pPr>
              <w:pStyle w:val="2"/>
              <w:ind w:firstLine="0"/>
              <w:jc w:val="center"/>
              <w:rPr>
                <w:rFonts w:ascii="宋体" w:hAnsi="宋体"/>
                <w:b/>
                <w:sz w:val="24"/>
                <w:szCs w:val="24"/>
              </w:rPr>
            </w:pPr>
            <w:r>
              <w:rPr>
                <w:rFonts w:hint="eastAsia" w:ascii="宋体" w:hAnsi="宋体"/>
                <w:sz w:val="24"/>
                <w:szCs w:val="24"/>
              </w:rPr>
              <w:t>主要工作业绩</w:t>
            </w:r>
          </w:p>
        </w:tc>
        <w:tc>
          <w:tcPr>
            <w:tcW w:w="987" w:type="dxa"/>
            <w:tcBorders>
              <w:right w:val="single" w:color="auto" w:sz="12" w:space="0"/>
            </w:tcBorders>
            <w:vAlign w:val="center"/>
          </w:tcPr>
          <w:p>
            <w:pPr>
              <w:pStyle w:val="2"/>
              <w:ind w:firstLine="0"/>
              <w:jc w:val="center"/>
              <w:rPr>
                <w:rFonts w:ascii="宋体" w:hAnsi="宋体"/>
                <w:sz w:val="24"/>
                <w:szCs w:val="24"/>
              </w:rPr>
            </w:pPr>
            <w:r>
              <w:rPr>
                <w:rFonts w:hint="eastAsia" w:ascii="宋体" w:hAnsi="宋体"/>
                <w:sz w:val="24"/>
                <w:szCs w:val="24"/>
              </w:rPr>
              <w:t>当前</w:t>
            </w:r>
          </w:p>
          <w:p>
            <w:pPr>
              <w:pStyle w:val="2"/>
              <w:ind w:firstLine="0"/>
              <w:jc w:val="center"/>
              <w:rPr>
                <w:rFonts w:ascii="宋体" w:hAnsi="宋体"/>
                <w:sz w:val="24"/>
                <w:szCs w:val="24"/>
              </w:rPr>
            </w:pPr>
            <w:r>
              <w:rPr>
                <w:rFonts w:hint="eastAsia" w:ascii="宋体" w:hAnsi="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2"/>
              <w:ind w:firstLine="0"/>
              <w:jc w:val="left"/>
              <w:rPr>
                <w:rFonts w:ascii="宋体" w:hAnsi="宋体"/>
                <w:b/>
                <w:sz w:val="24"/>
                <w:szCs w:val="24"/>
              </w:rPr>
            </w:pPr>
          </w:p>
        </w:tc>
        <w:tc>
          <w:tcPr>
            <w:tcW w:w="850" w:type="dxa"/>
          </w:tcPr>
          <w:p>
            <w:pPr>
              <w:pStyle w:val="2"/>
              <w:ind w:firstLine="0"/>
              <w:jc w:val="left"/>
              <w:rPr>
                <w:rFonts w:ascii="宋体" w:hAnsi="宋体"/>
                <w:b/>
                <w:sz w:val="24"/>
                <w:szCs w:val="24"/>
              </w:rPr>
            </w:pPr>
          </w:p>
        </w:tc>
        <w:tc>
          <w:tcPr>
            <w:tcW w:w="1134" w:type="dxa"/>
          </w:tcPr>
          <w:p>
            <w:pPr>
              <w:pStyle w:val="2"/>
              <w:ind w:firstLine="0"/>
              <w:jc w:val="left"/>
              <w:rPr>
                <w:rFonts w:ascii="宋体" w:hAnsi="宋体"/>
                <w:b/>
                <w:sz w:val="24"/>
                <w:szCs w:val="24"/>
              </w:rPr>
            </w:pPr>
          </w:p>
        </w:tc>
        <w:tc>
          <w:tcPr>
            <w:tcW w:w="1560"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984" w:type="dxa"/>
          </w:tcPr>
          <w:p>
            <w:pPr>
              <w:pStyle w:val="2"/>
              <w:ind w:firstLine="0"/>
              <w:jc w:val="left"/>
              <w:rPr>
                <w:rFonts w:ascii="宋体" w:hAnsi="宋体"/>
                <w:b/>
                <w:sz w:val="24"/>
                <w:szCs w:val="24"/>
              </w:rPr>
            </w:pPr>
          </w:p>
        </w:tc>
        <w:tc>
          <w:tcPr>
            <w:tcW w:w="987" w:type="dxa"/>
            <w:tcBorders>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pPr>
              <w:pStyle w:val="2"/>
              <w:ind w:firstLine="0"/>
              <w:jc w:val="left"/>
              <w:rPr>
                <w:rFonts w:ascii="宋体" w:hAnsi="宋体"/>
                <w:b/>
                <w:sz w:val="24"/>
                <w:szCs w:val="24"/>
              </w:rPr>
            </w:pPr>
          </w:p>
        </w:tc>
        <w:tc>
          <w:tcPr>
            <w:tcW w:w="850" w:type="dxa"/>
          </w:tcPr>
          <w:p>
            <w:pPr>
              <w:pStyle w:val="2"/>
              <w:ind w:firstLine="0"/>
              <w:jc w:val="left"/>
              <w:rPr>
                <w:rFonts w:ascii="宋体" w:hAnsi="宋体"/>
                <w:b/>
                <w:sz w:val="24"/>
                <w:szCs w:val="24"/>
              </w:rPr>
            </w:pPr>
          </w:p>
        </w:tc>
        <w:tc>
          <w:tcPr>
            <w:tcW w:w="1134" w:type="dxa"/>
          </w:tcPr>
          <w:p>
            <w:pPr>
              <w:pStyle w:val="2"/>
              <w:ind w:firstLine="0"/>
              <w:jc w:val="left"/>
              <w:rPr>
                <w:rFonts w:ascii="宋体" w:hAnsi="宋体"/>
                <w:b/>
                <w:sz w:val="24"/>
                <w:szCs w:val="24"/>
              </w:rPr>
            </w:pPr>
          </w:p>
        </w:tc>
        <w:tc>
          <w:tcPr>
            <w:tcW w:w="1560"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984" w:type="dxa"/>
          </w:tcPr>
          <w:p>
            <w:pPr>
              <w:pStyle w:val="2"/>
              <w:ind w:firstLine="0"/>
              <w:jc w:val="left"/>
              <w:rPr>
                <w:rFonts w:ascii="宋体" w:hAnsi="宋体"/>
                <w:b/>
                <w:sz w:val="24"/>
                <w:szCs w:val="24"/>
              </w:rPr>
            </w:pPr>
          </w:p>
        </w:tc>
        <w:tc>
          <w:tcPr>
            <w:tcW w:w="987" w:type="dxa"/>
            <w:tcBorders>
              <w:right w:val="single" w:color="auto" w:sz="12" w:space="0"/>
            </w:tcBorders>
          </w:tcPr>
          <w:p>
            <w:pPr>
              <w:pStyle w:val="2"/>
              <w:ind w:firstLine="0"/>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pPr>
              <w:pStyle w:val="2"/>
              <w:ind w:firstLine="0"/>
              <w:jc w:val="left"/>
              <w:rPr>
                <w:rFonts w:ascii="宋体" w:hAnsi="宋体"/>
                <w:b/>
                <w:sz w:val="24"/>
                <w:szCs w:val="24"/>
              </w:rPr>
            </w:pPr>
          </w:p>
        </w:tc>
        <w:tc>
          <w:tcPr>
            <w:tcW w:w="850" w:type="dxa"/>
            <w:tcBorders>
              <w:bottom w:val="single" w:color="auto" w:sz="12" w:space="0"/>
            </w:tcBorders>
          </w:tcPr>
          <w:p>
            <w:pPr>
              <w:pStyle w:val="2"/>
              <w:ind w:firstLine="0"/>
              <w:jc w:val="left"/>
              <w:rPr>
                <w:rFonts w:ascii="宋体" w:hAnsi="宋体"/>
                <w:b/>
                <w:sz w:val="24"/>
                <w:szCs w:val="24"/>
              </w:rPr>
            </w:pPr>
          </w:p>
        </w:tc>
        <w:tc>
          <w:tcPr>
            <w:tcW w:w="1134" w:type="dxa"/>
            <w:tcBorders>
              <w:bottom w:val="single" w:color="auto" w:sz="12" w:space="0"/>
            </w:tcBorders>
          </w:tcPr>
          <w:p>
            <w:pPr>
              <w:pStyle w:val="2"/>
              <w:ind w:firstLine="0"/>
              <w:jc w:val="left"/>
              <w:rPr>
                <w:rFonts w:ascii="宋体" w:hAnsi="宋体"/>
                <w:b/>
                <w:sz w:val="24"/>
                <w:szCs w:val="24"/>
              </w:rPr>
            </w:pPr>
          </w:p>
        </w:tc>
        <w:tc>
          <w:tcPr>
            <w:tcW w:w="1560" w:type="dxa"/>
            <w:tcBorders>
              <w:bottom w:val="single" w:color="auto" w:sz="12" w:space="0"/>
            </w:tcBorders>
          </w:tcPr>
          <w:p>
            <w:pPr>
              <w:pStyle w:val="2"/>
              <w:ind w:firstLine="0"/>
              <w:jc w:val="left"/>
              <w:rPr>
                <w:rFonts w:ascii="宋体" w:hAnsi="宋体"/>
                <w:b/>
                <w:sz w:val="24"/>
                <w:szCs w:val="24"/>
              </w:rPr>
            </w:pPr>
          </w:p>
        </w:tc>
        <w:tc>
          <w:tcPr>
            <w:tcW w:w="1701" w:type="dxa"/>
            <w:tcBorders>
              <w:bottom w:val="single" w:color="auto" w:sz="12" w:space="0"/>
            </w:tcBorders>
          </w:tcPr>
          <w:p>
            <w:pPr>
              <w:pStyle w:val="2"/>
              <w:ind w:firstLine="0"/>
              <w:jc w:val="left"/>
              <w:rPr>
                <w:rFonts w:ascii="宋体" w:hAnsi="宋体"/>
                <w:b/>
                <w:sz w:val="24"/>
                <w:szCs w:val="24"/>
              </w:rPr>
            </w:pPr>
          </w:p>
        </w:tc>
        <w:tc>
          <w:tcPr>
            <w:tcW w:w="1984" w:type="dxa"/>
            <w:tcBorders>
              <w:bottom w:val="single" w:color="auto" w:sz="12" w:space="0"/>
            </w:tcBorders>
          </w:tcPr>
          <w:p>
            <w:pPr>
              <w:pStyle w:val="2"/>
              <w:ind w:firstLine="0"/>
              <w:jc w:val="left"/>
              <w:rPr>
                <w:rFonts w:ascii="宋体" w:hAnsi="宋体"/>
                <w:b/>
                <w:sz w:val="24"/>
                <w:szCs w:val="24"/>
              </w:rPr>
            </w:pPr>
          </w:p>
        </w:tc>
        <w:tc>
          <w:tcPr>
            <w:tcW w:w="987" w:type="dxa"/>
            <w:tcBorders>
              <w:bottom w:val="single" w:color="auto" w:sz="12" w:space="0"/>
              <w:right w:val="single" w:color="auto" w:sz="12" w:space="0"/>
            </w:tcBorders>
          </w:tcPr>
          <w:p>
            <w:pPr>
              <w:pStyle w:val="2"/>
              <w:ind w:firstLine="0"/>
              <w:jc w:val="left"/>
              <w:rPr>
                <w:rFonts w:ascii="宋体" w:hAnsi="宋体"/>
                <w:b/>
                <w:sz w:val="24"/>
                <w:szCs w:val="24"/>
              </w:rPr>
            </w:pPr>
          </w:p>
        </w:tc>
      </w:tr>
    </w:tbl>
    <w:p>
      <w:pPr>
        <w:pStyle w:val="2"/>
        <w:ind w:firstLine="0"/>
        <w:jc w:val="left"/>
        <w:rPr>
          <w:rFonts w:ascii="宋体" w:hAnsi="宋体"/>
          <w:sz w:val="24"/>
          <w:szCs w:val="24"/>
        </w:rPr>
      </w:pPr>
      <w:r>
        <w:rPr>
          <w:rFonts w:hint="eastAsia" w:ascii="宋体" w:hAnsi="宋体"/>
          <w:sz w:val="24"/>
          <w:szCs w:val="24"/>
        </w:rPr>
        <w:t>说明：</w:t>
      </w:r>
    </w:p>
    <w:p>
      <w:pPr>
        <w:pStyle w:val="2"/>
        <w:ind w:firstLine="0"/>
        <w:jc w:val="left"/>
        <w:rPr>
          <w:rFonts w:ascii="宋体" w:hAnsi="宋体"/>
          <w:sz w:val="24"/>
          <w:szCs w:val="24"/>
        </w:rPr>
      </w:pPr>
      <w:r>
        <w:rPr>
          <w:rFonts w:hint="eastAsia" w:ascii="宋体" w:hAnsi="宋体"/>
          <w:sz w:val="24"/>
          <w:szCs w:val="24"/>
        </w:rPr>
        <w:t>1.职务是指在本单位所担任的职务。</w:t>
      </w:r>
    </w:p>
    <w:p>
      <w:pPr>
        <w:pStyle w:val="2"/>
        <w:ind w:firstLine="0"/>
        <w:jc w:val="left"/>
        <w:rPr>
          <w:rFonts w:ascii="宋体" w:hAnsi="宋体"/>
          <w:sz w:val="24"/>
          <w:szCs w:val="24"/>
        </w:rPr>
      </w:pPr>
      <w:r>
        <w:rPr>
          <w:rFonts w:hint="eastAsia" w:ascii="宋体" w:hAnsi="宋体"/>
          <w:sz w:val="24"/>
          <w:szCs w:val="24"/>
        </w:rPr>
        <w:t>2.提供以上人员相关证书复印件加盖公章。</w:t>
      </w:r>
    </w:p>
    <w:p>
      <w:pPr>
        <w:pStyle w:val="2"/>
        <w:ind w:firstLine="0"/>
        <w:jc w:val="left"/>
        <w:rPr>
          <w:rFonts w:ascii="宋体" w:hAnsi="宋体"/>
          <w:b/>
          <w:sz w:val="24"/>
          <w:szCs w:val="24"/>
        </w:rPr>
      </w:pPr>
    </w:p>
    <w:p>
      <w:pPr>
        <w:pStyle w:val="83"/>
        <w:rPr>
          <w:sz w:val="24"/>
          <w:szCs w:val="24"/>
        </w:rPr>
      </w:pPr>
      <w:r>
        <w:rPr>
          <w:rFonts w:hint="eastAsia"/>
          <w:sz w:val="24"/>
          <w:szCs w:val="24"/>
        </w:rPr>
        <w:t>投  标  人： （盖单位章）</w:t>
      </w:r>
    </w:p>
    <w:p>
      <w:pPr>
        <w:pStyle w:val="83"/>
        <w:rPr>
          <w:sz w:val="24"/>
          <w:szCs w:val="24"/>
        </w:rPr>
      </w:pPr>
    </w:p>
    <w:p>
      <w:pPr>
        <w:pStyle w:val="83"/>
        <w:rPr>
          <w:sz w:val="24"/>
          <w:szCs w:val="24"/>
        </w:rPr>
      </w:pPr>
      <w:r>
        <w:rPr>
          <w:rFonts w:hint="eastAsia"/>
          <w:sz w:val="24"/>
          <w:szCs w:val="24"/>
        </w:rPr>
        <w:t>法定代表人或委托代理人：（签字或盖章）</w:t>
      </w:r>
    </w:p>
    <w:p>
      <w:pPr>
        <w:pStyle w:val="83"/>
        <w:rPr>
          <w:sz w:val="24"/>
          <w:szCs w:val="24"/>
        </w:rPr>
      </w:pPr>
    </w:p>
    <w:p>
      <w:pPr>
        <w:pStyle w:val="83"/>
        <w:rPr>
          <w:sz w:val="24"/>
          <w:szCs w:val="24"/>
        </w:rPr>
      </w:pPr>
      <w:r>
        <w:rPr>
          <w:rFonts w:hint="eastAsia"/>
          <w:sz w:val="24"/>
          <w:szCs w:val="24"/>
        </w:rPr>
        <w:t>日    期：     年 月  日</w:t>
      </w:r>
    </w:p>
    <w:p>
      <w:pPr>
        <w:pStyle w:val="2"/>
        <w:spacing w:after="240" w:afterLines="100"/>
        <w:ind w:firstLine="240" w:firstLineChars="100"/>
        <w:rPr>
          <w:rFonts w:ascii="宋体" w:hAnsi="宋体"/>
          <w:sz w:val="24"/>
          <w:szCs w:val="24"/>
        </w:rPr>
      </w:pPr>
    </w:p>
    <w:p>
      <w:pPr>
        <w:adjustRightInd w:val="0"/>
        <w:snapToGrid w:val="0"/>
        <w:spacing w:line="360" w:lineRule="auto"/>
        <w:rPr>
          <w:rFonts w:ascii="黑体" w:hAnsi="宋体" w:eastAsia="黑体"/>
          <w:sz w:val="28"/>
          <w:szCs w:val="28"/>
        </w:rPr>
      </w:pPr>
      <w:r>
        <w:rPr>
          <w:rFonts w:hint="eastAsia" w:ascii="黑体" w:hAnsi="宋体" w:eastAsia="黑体"/>
          <w:sz w:val="28"/>
          <w:szCs w:val="28"/>
        </w:rPr>
        <w:t>附件2：</w:t>
      </w:r>
    </w:p>
    <w:p>
      <w:pPr>
        <w:pStyle w:val="83"/>
        <w:jc w:val="center"/>
        <w:rPr>
          <w:rFonts w:ascii="宋体" w:hAnsi="宋体"/>
          <w:b/>
          <w:sz w:val="32"/>
          <w:szCs w:val="32"/>
        </w:rPr>
      </w:pPr>
      <w:r>
        <w:rPr>
          <w:rFonts w:hint="eastAsia" w:ascii="宋体" w:hAnsi="宋体"/>
          <w:b/>
          <w:sz w:val="32"/>
          <w:szCs w:val="32"/>
        </w:rPr>
        <w:t>近3年类似项目业绩一览表</w:t>
      </w:r>
    </w:p>
    <w:p>
      <w:pPr>
        <w:pStyle w:val="83"/>
      </w:pPr>
      <w:r>
        <w:rPr>
          <w:rFonts w:hint="eastAsia"/>
        </w:rPr>
        <w:t xml:space="preserve">                                                      单位：万元</w:t>
      </w:r>
    </w:p>
    <w:tbl>
      <w:tblPr>
        <w:tblStyle w:val="40"/>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449"/>
        <w:gridCol w:w="1435"/>
        <w:gridCol w:w="1259"/>
        <w:gridCol w:w="1701"/>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pStyle w:val="2"/>
              <w:ind w:firstLine="0"/>
              <w:jc w:val="center"/>
              <w:rPr>
                <w:rFonts w:ascii="宋体" w:hAnsi="宋体"/>
                <w:b/>
                <w:sz w:val="24"/>
                <w:szCs w:val="24"/>
              </w:rPr>
            </w:pPr>
            <w:r>
              <w:rPr>
                <w:rFonts w:hint="eastAsia" w:ascii="宋体" w:hAnsi="宋体"/>
                <w:b/>
                <w:sz w:val="24"/>
                <w:szCs w:val="24"/>
              </w:rPr>
              <w:t>项目名称</w:t>
            </w:r>
          </w:p>
        </w:tc>
        <w:tc>
          <w:tcPr>
            <w:tcW w:w="1620" w:type="dxa"/>
            <w:vAlign w:val="center"/>
          </w:tcPr>
          <w:p>
            <w:pPr>
              <w:pStyle w:val="2"/>
              <w:ind w:firstLine="0"/>
              <w:jc w:val="center"/>
              <w:rPr>
                <w:rFonts w:ascii="宋体" w:hAnsi="宋体"/>
                <w:b/>
                <w:sz w:val="24"/>
                <w:szCs w:val="24"/>
              </w:rPr>
            </w:pPr>
            <w:r>
              <w:rPr>
                <w:rFonts w:hint="eastAsia" w:ascii="宋体" w:hAnsi="宋体"/>
                <w:b/>
                <w:sz w:val="24"/>
                <w:szCs w:val="24"/>
              </w:rPr>
              <w:t>合同金额</w:t>
            </w:r>
          </w:p>
        </w:tc>
        <w:tc>
          <w:tcPr>
            <w:tcW w:w="1449" w:type="dxa"/>
            <w:vAlign w:val="center"/>
          </w:tcPr>
          <w:p>
            <w:pPr>
              <w:pStyle w:val="2"/>
              <w:ind w:firstLine="0"/>
              <w:jc w:val="center"/>
              <w:rPr>
                <w:rFonts w:ascii="宋体" w:hAnsi="宋体"/>
                <w:b/>
                <w:sz w:val="24"/>
                <w:szCs w:val="24"/>
              </w:rPr>
            </w:pPr>
            <w:r>
              <w:rPr>
                <w:rFonts w:hint="eastAsia" w:ascii="宋体" w:hAnsi="宋体"/>
                <w:b/>
                <w:sz w:val="24"/>
                <w:szCs w:val="24"/>
              </w:rPr>
              <w:t>时间</w:t>
            </w:r>
          </w:p>
        </w:tc>
        <w:tc>
          <w:tcPr>
            <w:tcW w:w="1435" w:type="dxa"/>
            <w:vAlign w:val="center"/>
          </w:tcPr>
          <w:p>
            <w:pPr>
              <w:pStyle w:val="2"/>
              <w:ind w:firstLine="0"/>
              <w:jc w:val="center"/>
              <w:rPr>
                <w:rFonts w:ascii="宋体" w:hAnsi="宋体"/>
                <w:b/>
                <w:sz w:val="24"/>
                <w:szCs w:val="24"/>
              </w:rPr>
            </w:pPr>
            <w:r>
              <w:rPr>
                <w:rFonts w:ascii="宋体" w:hAnsi="宋体"/>
                <w:b/>
                <w:sz w:val="24"/>
                <w:szCs w:val="24"/>
              </w:rPr>
              <w:t>项目经理</w:t>
            </w:r>
          </w:p>
        </w:tc>
        <w:tc>
          <w:tcPr>
            <w:tcW w:w="1259" w:type="dxa"/>
            <w:vAlign w:val="center"/>
          </w:tcPr>
          <w:p>
            <w:pPr>
              <w:pStyle w:val="2"/>
              <w:ind w:firstLine="0"/>
              <w:jc w:val="center"/>
              <w:rPr>
                <w:rFonts w:ascii="宋体" w:hAnsi="宋体"/>
                <w:b/>
                <w:sz w:val="24"/>
                <w:szCs w:val="24"/>
              </w:rPr>
            </w:pPr>
            <w:r>
              <w:rPr>
                <w:rFonts w:hint="eastAsia" w:ascii="宋体" w:hAnsi="宋体"/>
                <w:b/>
                <w:sz w:val="24"/>
                <w:szCs w:val="24"/>
              </w:rPr>
              <w:t>招标人名称及联系电话</w:t>
            </w:r>
          </w:p>
        </w:tc>
        <w:tc>
          <w:tcPr>
            <w:tcW w:w="1701" w:type="dxa"/>
            <w:vAlign w:val="center"/>
          </w:tcPr>
          <w:p>
            <w:pPr>
              <w:pStyle w:val="2"/>
              <w:ind w:firstLine="0"/>
              <w:jc w:val="center"/>
              <w:rPr>
                <w:rFonts w:ascii="宋体" w:hAnsi="宋体"/>
                <w:b/>
                <w:sz w:val="24"/>
                <w:szCs w:val="24"/>
              </w:rPr>
            </w:pPr>
            <w:r>
              <w:rPr>
                <w:rFonts w:ascii="宋体" w:hAnsi="宋体"/>
                <w:b/>
                <w:sz w:val="24"/>
                <w:szCs w:val="24"/>
              </w:rPr>
              <w:t>项目描述</w:t>
            </w:r>
          </w:p>
        </w:tc>
        <w:tc>
          <w:tcPr>
            <w:tcW w:w="904" w:type="dxa"/>
            <w:vAlign w:val="center"/>
          </w:tcPr>
          <w:p>
            <w:pPr>
              <w:pStyle w:val="2"/>
              <w:ind w:firstLine="0"/>
              <w:jc w:val="center"/>
              <w:rPr>
                <w:rFonts w:ascii="宋体" w:hAnsi="宋体"/>
                <w:b/>
                <w:sz w:val="24"/>
                <w:szCs w:val="24"/>
              </w:rPr>
            </w:pPr>
            <w:r>
              <w:rPr>
                <w:rFonts w:hint="eastAsia" w:ascii="宋体" w:hAnsi="宋体"/>
                <w:b/>
                <w:sz w:val="24"/>
                <w:szCs w:val="24"/>
              </w:rPr>
              <w:t>是否通过验收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jc w:val="right"/>
              <w:rPr>
                <w:rFonts w:ascii="宋体" w:hAnsi="宋体"/>
                <w:sz w:val="24"/>
                <w:szCs w:val="24"/>
              </w:rPr>
            </w:pPr>
            <w:r>
              <w:rPr>
                <w:rFonts w:ascii="宋体" w:hAnsi="宋体"/>
                <w:sz w:val="24"/>
                <w:szCs w:val="24"/>
              </w:rPr>
              <w:t>万元</w:t>
            </w:r>
          </w:p>
        </w:tc>
        <w:tc>
          <w:tcPr>
            <w:tcW w:w="1449" w:type="dxa"/>
          </w:tcPr>
          <w:p>
            <w:pPr>
              <w:pStyle w:val="2"/>
              <w:ind w:firstLine="240" w:firstLineChars="100"/>
              <w:rPr>
                <w:rFonts w:ascii="宋体" w:hAnsi="宋体"/>
                <w:sz w:val="24"/>
                <w:szCs w:val="24"/>
              </w:rPr>
            </w:pPr>
            <w:r>
              <w:rPr>
                <w:rFonts w:ascii="宋体" w:hAnsi="宋体"/>
                <w:sz w:val="24"/>
                <w:szCs w:val="24"/>
              </w:rPr>
              <w:t>年</w:t>
            </w:r>
            <w:r>
              <w:rPr>
                <w:rFonts w:hint="eastAsia" w:ascii="宋体" w:hAnsi="宋体"/>
                <w:sz w:val="24"/>
                <w:szCs w:val="24"/>
              </w:rPr>
              <w:t xml:space="preserve"> 月 日</w:t>
            </w: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pStyle w:val="2"/>
              <w:ind w:firstLine="0"/>
              <w:rPr>
                <w:rFonts w:ascii="宋体" w:hAnsi="宋体"/>
                <w:sz w:val="24"/>
                <w:szCs w:val="24"/>
              </w:rPr>
            </w:pPr>
          </w:p>
        </w:tc>
        <w:tc>
          <w:tcPr>
            <w:tcW w:w="1620" w:type="dxa"/>
          </w:tcPr>
          <w:p>
            <w:pPr>
              <w:pStyle w:val="2"/>
              <w:ind w:firstLine="0"/>
              <w:rPr>
                <w:rFonts w:ascii="宋体" w:hAnsi="宋体"/>
                <w:sz w:val="24"/>
                <w:szCs w:val="24"/>
              </w:rPr>
            </w:pPr>
          </w:p>
        </w:tc>
        <w:tc>
          <w:tcPr>
            <w:tcW w:w="1449" w:type="dxa"/>
          </w:tcPr>
          <w:p>
            <w:pPr>
              <w:pStyle w:val="2"/>
              <w:ind w:firstLine="0"/>
              <w:rPr>
                <w:rFonts w:ascii="宋体" w:hAnsi="宋体"/>
                <w:sz w:val="24"/>
                <w:szCs w:val="24"/>
              </w:rPr>
            </w:pPr>
          </w:p>
        </w:tc>
        <w:tc>
          <w:tcPr>
            <w:tcW w:w="1435" w:type="dxa"/>
          </w:tcPr>
          <w:p>
            <w:pPr>
              <w:pStyle w:val="2"/>
              <w:ind w:firstLine="0"/>
              <w:rPr>
                <w:rFonts w:ascii="宋体" w:hAnsi="宋体"/>
                <w:sz w:val="24"/>
                <w:szCs w:val="24"/>
              </w:rPr>
            </w:pPr>
          </w:p>
        </w:tc>
        <w:tc>
          <w:tcPr>
            <w:tcW w:w="1259" w:type="dxa"/>
          </w:tcPr>
          <w:p>
            <w:pPr>
              <w:pStyle w:val="2"/>
              <w:ind w:firstLine="0"/>
              <w:rPr>
                <w:rFonts w:ascii="宋体" w:hAnsi="宋体"/>
                <w:sz w:val="24"/>
                <w:szCs w:val="24"/>
              </w:rPr>
            </w:pPr>
          </w:p>
        </w:tc>
        <w:tc>
          <w:tcPr>
            <w:tcW w:w="1701" w:type="dxa"/>
          </w:tcPr>
          <w:p>
            <w:pPr>
              <w:pStyle w:val="2"/>
              <w:ind w:firstLine="0"/>
              <w:rPr>
                <w:rFonts w:ascii="宋体" w:hAnsi="宋体"/>
                <w:sz w:val="24"/>
                <w:szCs w:val="24"/>
              </w:rPr>
            </w:pPr>
          </w:p>
        </w:tc>
        <w:tc>
          <w:tcPr>
            <w:tcW w:w="904" w:type="dxa"/>
          </w:tcPr>
          <w:p>
            <w:pPr>
              <w:pStyle w:val="2"/>
              <w:ind w:firstLine="0"/>
              <w:rPr>
                <w:rFonts w:ascii="宋体" w:hAnsi="宋体"/>
                <w:sz w:val="24"/>
                <w:szCs w:val="24"/>
              </w:rPr>
            </w:pPr>
          </w:p>
        </w:tc>
      </w:tr>
    </w:tbl>
    <w:p>
      <w:pPr>
        <w:pStyle w:val="2"/>
        <w:rPr>
          <w:rFonts w:ascii="宋体" w:hAnsi="宋体"/>
          <w:sz w:val="24"/>
          <w:szCs w:val="24"/>
        </w:rPr>
      </w:pPr>
    </w:p>
    <w:p>
      <w:pPr>
        <w:autoSpaceDE w:val="0"/>
        <w:autoSpaceDN w:val="0"/>
        <w:spacing w:line="360" w:lineRule="auto"/>
        <w:rPr>
          <w:rFonts w:ascii="宋体" w:hAnsi="宋体"/>
          <w:bCs/>
          <w:sz w:val="24"/>
        </w:rPr>
      </w:pPr>
      <w:r>
        <w:rPr>
          <w:rFonts w:hint="eastAsia" w:ascii="宋体" w:hAnsi="宋体" w:cs="Arial"/>
          <w:sz w:val="24"/>
        </w:rPr>
        <w:t>说明：1.</w:t>
      </w:r>
      <w:r>
        <w:rPr>
          <w:rFonts w:hint="eastAsia" w:ascii="宋体" w:hAnsi="宋体" w:cs="宋体"/>
          <w:kern w:val="0"/>
          <w:sz w:val="24"/>
          <w:lang w:val="zh-CN"/>
        </w:rPr>
        <w:t>提供自</w:t>
      </w:r>
      <w:r>
        <w:rPr>
          <w:rFonts w:hint="eastAsia" w:ascii="宋体" w:hAnsi="宋体" w:cs="宋体"/>
          <w:kern w:val="0"/>
          <w:sz w:val="24"/>
        </w:rPr>
        <w:t>20</w:t>
      </w:r>
      <w:r>
        <w:rPr>
          <w:rFonts w:hint="eastAsia" w:ascii="宋体" w:hAnsi="宋体" w:cs="宋体"/>
          <w:kern w:val="0"/>
          <w:sz w:val="24"/>
          <w:lang w:val="en-US" w:eastAsia="zh-CN"/>
        </w:rPr>
        <w:t>19</w:t>
      </w:r>
      <w:r>
        <w:rPr>
          <w:rFonts w:hint="eastAsia" w:ascii="宋体" w:hAnsi="宋体" w:cs="宋体"/>
          <w:kern w:val="0"/>
          <w:sz w:val="24"/>
          <w:lang w:val="zh-CN"/>
        </w:rPr>
        <w:t>年</w:t>
      </w:r>
      <w:r>
        <w:rPr>
          <w:rFonts w:hint="eastAsia" w:ascii="宋体" w:hAnsi="宋体" w:cs="宋体"/>
          <w:kern w:val="0"/>
          <w:sz w:val="24"/>
        </w:rPr>
        <w:t>1月1日</w:t>
      </w:r>
      <w:r>
        <w:rPr>
          <w:rFonts w:hint="eastAsia" w:ascii="宋体" w:hAnsi="宋体" w:cs="宋体"/>
          <w:kern w:val="0"/>
          <w:sz w:val="24"/>
          <w:lang w:val="zh-CN"/>
        </w:rPr>
        <w:t>以来的类似业绩证明材料。类似业绩是指与采购项目在产品类型、使用功能等方面相同或相近的项目；2.</w:t>
      </w:r>
      <w:r>
        <w:rPr>
          <w:rFonts w:hint="eastAsia" w:ascii="宋体" w:hAnsi="宋体" w:cs="Arial"/>
          <w:sz w:val="24"/>
        </w:rPr>
        <w:t>“合同金额”需提供合同复印件、“时间”以合同签订时间或中标通知书时间为准；3.投标人</w:t>
      </w:r>
      <w:r>
        <w:rPr>
          <w:rFonts w:hint="eastAsia" w:ascii="宋体" w:hAnsi="宋体"/>
          <w:bCs/>
          <w:sz w:val="24"/>
        </w:rPr>
        <w:t>未按上述要求提供、</w:t>
      </w:r>
      <w:r>
        <w:rPr>
          <w:rFonts w:hint="eastAsia" w:ascii="宋体" w:hAnsi="宋体"/>
          <w:sz w:val="24"/>
        </w:rPr>
        <w:t>填写</w:t>
      </w:r>
      <w:r>
        <w:rPr>
          <w:rFonts w:hint="eastAsia" w:ascii="宋体" w:hAnsi="宋体"/>
          <w:bCs/>
          <w:sz w:val="24"/>
        </w:rPr>
        <w:t>的，评标时不予加分。</w:t>
      </w:r>
    </w:p>
    <w:p>
      <w:pPr>
        <w:pStyle w:val="2"/>
      </w:pPr>
    </w:p>
    <w:p>
      <w:pPr>
        <w:adjustRightInd w:val="0"/>
        <w:spacing w:before="360" w:beforeLines="150" w:line="360" w:lineRule="auto"/>
        <w:ind w:firstLine="120" w:firstLineChars="50"/>
        <w:jc w:val="left"/>
        <w:rPr>
          <w:rFonts w:ascii="宋体" w:hAnsi="宋体"/>
          <w:sz w:val="24"/>
        </w:rPr>
      </w:pPr>
      <w:r>
        <w:rPr>
          <w:rFonts w:hint="eastAsia" w:ascii="宋体" w:hAnsi="宋体"/>
          <w:sz w:val="24"/>
        </w:rPr>
        <w:t>投 标 人：（盖单位章）</w:t>
      </w:r>
    </w:p>
    <w:p>
      <w:pPr>
        <w:pStyle w:val="75"/>
        <w:spacing w:before="360" w:beforeLines="150" w:line="360" w:lineRule="auto"/>
        <w:ind w:firstLine="120" w:firstLineChars="50"/>
        <w:rPr>
          <w:rFonts w:ascii="宋体" w:hAnsi="宋体"/>
          <w:bCs/>
          <w:sz w:val="24"/>
          <w:szCs w:val="24"/>
        </w:rPr>
      </w:pPr>
      <w:r>
        <w:rPr>
          <w:rFonts w:hint="eastAsia" w:ascii="宋体" w:hAnsi="宋体"/>
          <w:sz w:val="24"/>
          <w:szCs w:val="24"/>
        </w:rPr>
        <w:t>法定代表人或委托代理人：（签字或盖章）</w:t>
      </w:r>
    </w:p>
    <w:p>
      <w:pPr>
        <w:pStyle w:val="75"/>
        <w:spacing w:before="360" w:beforeLines="150" w:line="360" w:lineRule="auto"/>
        <w:rPr>
          <w:rFonts w:ascii="宋体" w:hAnsi="宋体"/>
          <w:b/>
          <w:bCs/>
          <w:sz w:val="24"/>
          <w:szCs w:val="24"/>
        </w:rPr>
      </w:pPr>
      <w:r>
        <w:rPr>
          <w:rFonts w:hint="eastAsia" w:ascii="宋体" w:hAnsi="宋体"/>
          <w:bCs/>
          <w:sz w:val="24"/>
          <w:szCs w:val="24"/>
        </w:rPr>
        <w:t xml:space="preserve"> 日    期:     年   月   日   </w:t>
      </w:r>
    </w:p>
    <w:p>
      <w:pPr>
        <w:adjustRightInd w:val="0"/>
        <w:spacing w:after="480" w:afterLines="200" w:line="360" w:lineRule="auto"/>
        <w:ind w:firstLine="3253" w:firstLineChars="900"/>
        <w:rPr>
          <w:rFonts w:ascii="宋体" w:hAnsi="宋体"/>
          <w:b/>
          <w:bCs/>
          <w:sz w:val="36"/>
          <w:szCs w:val="36"/>
        </w:rPr>
      </w:pPr>
    </w:p>
    <w:p>
      <w:pPr>
        <w:adjustRightInd w:val="0"/>
        <w:snapToGrid w:val="0"/>
        <w:spacing w:line="360" w:lineRule="auto"/>
        <w:rPr>
          <w:rFonts w:ascii="黑体" w:hAnsi="宋体" w:eastAsia="黑体"/>
          <w:sz w:val="28"/>
          <w:szCs w:val="28"/>
        </w:rPr>
      </w:pPr>
      <w:r>
        <w:rPr>
          <w:rFonts w:hint="eastAsia" w:ascii="黑体" w:hAnsi="宋体" w:eastAsia="黑体"/>
          <w:sz w:val="28"/>
          <w:szCs w:val="28"/>
        </w:rPr>
        <w:t>附件3：</w:t>
      </w:r>
    </w:p>
    <w:p>
      <w:pPr>
        <w:pStyle w:val="2"/>
        <w:spacing w:after="240" w:afterLines="100"/>
        <w:ind w:firstLine="723"/>
        <w:jc w:val="center"/>
        <w:rPr>
          <w:rFonts w:ascii="宋体" w:hAnsi="宋体" w:cs="宋体"/>
          <w:b/>
          <w:kern w:val="0"/>
          <w:sz w:val="32"/>
          <w:szCs w:val="32"/>
          <w:lang w:val="zh-CN"/>
        </w:rPr>
      </w:pPr>
      <w:r>
        <w:rPr>
          <w:rFonts w:ascii="宋体" w:hAnsi="宋体" w:cs="Arial"/>
          <w:b/>
          <w:bCs/>
          <w:sz w:val="32"/>
          <w:szCs w:val="32"/>
          <w:lang w:val="zh-CN"/>
        </w:rPr>
        <w:t>拟投入的机械及设备</w:t>
      </w:r>
      <w:r>
        <w:rPr>
          <w:rFonts w:hint="eastAsia" w:ascii="宋体" w:hAnsi="宋体" w:cs="Arial"/>
          <w:b/>
          <w:bCs/>
          <w:sz w:val="32"/>
          <w:szCs w:val="32"/>
          <w:lang w:val="zh-CN"/>
        </w:rPr>
        <w:t>清单表</w:t>
      </w:r>
    </w:p>
    <w:p>
      <w:pPr>
        <w:pStyle w:val="2"/>
        <w:spacing w:after="120" w:afterLines="50"/>
        <w:ind w:firstLine="0"/>
        <w:jc w:val="left"/>
        <w:rPr>
          <w:rFonts w:ascii="宋体" w:hAnsi="宋体"/>
          <w:sz w:val="24"/>
          <w:szCs w:val="24"/>
        </w:rPr>
      </w:pP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1"/>
        <w:gridCol w:w="1161"/>
        <w:gridCol w:w="851"/>
        <w:gridCol w:w="1701"/>
        <w:gridCol w:w="1559"/>
        <w:gridCol w:w="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pPr>
              <w:pStyle w:val="2"/>
              <w:ind w:firstLine="0"/>
              <w:jc w:val="center"/>
              <w:rPr>
                <w:rFonts w:ascii="宋体" w:hAnsi="宋体"/>
                <w:b/>
                <w:sz w:val="24"/>
                <w:szCs w:val="24"/>
              </w:rPr>
            </w:pPr>
            <w:r>
              <w:rPr>
                <w:rFonts w:hint="eastAsia" w:ascii="宋体" w:hAnsi="宋体"/>
                <w:b/>
                <w:sz w:val="24"/>
                <w:szCs w:val="24"/>
              </w:rPr>
              <w:t>序号</w:t>
            </w:r>
          </w:p>
        </w:tc>
        <w:tc>
          <w:tcPr>
            <w:tcW w:w="2241" w:type="dxa"/>
            <w:vAlign w:val="center"/>
          </w:tcPr>
          <w:p>
            <w:pPr>
              <w:pStyle w:val="2"/>
              <w:ind w:firstLine="0"/>
              <w:jc w:val="center"/>
              <w:rPr>
                <w:rFonts w:ascii="宋体" w:hAnsi="宋体"/>
                <w:b/>
                <w:sz w:val="24"/>
                <w:szCs w:val="24"/>
              </w:rPr>
            </w:pPr>
            <w:r>
              <w:rPr>
                <w:rFonts w:hint="eastAsia" w:ascii="宋体" w:hAnsi="宋体"/>
                <w:b/>
                <w:sz w:val="24"/>
                <w:szCs w:val="24"/>
              </w:rPr>
              <w:t>设备名称</w:t>
            </w:r>
          </w:p>
        </w:tc>
        <w:tc>
          <w:tcPr>
            <w:tcW w:w="1161" w:type="dxa"/>
            <w:vAlign w:val="center"/>
          </w:tcPr>
          <w:p>
            <w:pPr>
              <w:pStyle w:val="2"/>
              <w:ind w:firstLine="0"/>
              <w:jc w:val="center"/>
              <w:rPr>
                <w:rFonts w:ascii="宋体" w:hAnsi="宋体"/>
                <w:b/>
                <w:sz w:val="24"/>
                <w:szCs w:val="24"/>
              </w:rPr>
            </w:pPr>
            <w:r>
              <w:rPr>
                <w:rFonts w:hint="eastAsia" w:ascii="宋体" w:hAnsi="宋体"/>
                <w:b/>
                <w:sz w:val="24"/>
                <w:szCs w:val="24"/>
              </w:rPr>
              <w:t>计量单位</w:t>
            </w:r>
          </w:p>
        </w:tc>
        <w:tc>
          <w:tcPr>
            <w:tcW w:w="851" w:type="dxa"/>
            <w:vAlign w:val="center"/>
          </w:tcPr>
          <w:p>
            <w:pPr>
              <w:pStyle w:val="2"/>
              <w:ind w:firstLine="0"/>
              <w:jc w:val="center"/>
              <w:rPr>
                <w:rFonts w:ascii="宋体" w:hAnsi="宋体"/>
                <w:b/>
                <w:sz w:val="24"/>
                <w:szCs w:val="24"/>
              </w:rPr>
            </w:pPr>
            <w:r>
              <w:rPr>
                <w:rFonts w:hint="eastAsia" w:ascii="宋体" w:hAnsi="宋体"/>
                <w:b/>
                <w:sz w:val="24"/>
                <w:szCs w:val="24"/>
              </w:rPr>
              <w:t>数量</w:t>
            </w:r>
          </w:p>
        </w:tc>
        <w:tc>
          <w:tcPr>
            <w:tcW w:w="1701" w:type="dxa"/>
            <w:vAlign w:val="center"/>
          </w:tcPr>
          <w:p>
            <w:pPr>
              <w:pStyle w:val="2"/>
              <w:ind w:firstLine="0"/>
              <w:jc w:val="center"/>
              <w:rPr>
                <w:rFonts w:ascii="宋体" w:hAnsi="宋体"/>
                <w:b/>
                <w:sz w:val="24"/>
                <w:szCs w:val="24"/>
              </w:rPr>
            </w:pPr>
            <w:r>
              <w:rPr>
                <w:rFonts w:hint="eastAsia" w:ascii="宋体" w:hAnsi="宋体"/>
                <w:b/>
                <w:sz w:val="24"/>
                <w:szCs w:val="24"/>
              </w:rPr>
              <w:t>生产企业</w:t>
            </w:r>
          </w:p>
        </w:tc>
        <w:tc>
          <w:tcPr>
            <w:tcW w:w="1559" w:type="dxa"/>
            <w:vAlign w:val="center"/>
          </w:tcPr>
          <w:p>
            <w:pPr>
              <w:pStyle w:val="2"/>
              <w:ind w:firstLine="0"/>
              <w:jc w:val="center"/>
              <w:rPr>
                <w:rFonts w:ascii="宋体" w:hAnsi="宋体"/>
                <w:b/>
                <w:sz w:val="24"/>
                <w:szCs w:val="24"/>
              </w:rPr>
            </w:pPr>
            <w:r>
              <w:rPr>
                <w:rFonts w:hint="eastAsia" w:ascii="宋体" w:hAnsi="宋体"/>
                <w:b/>
                <w:sz w:val="24"/>
                <w:szCs w:val="24"/>
              </w:rPr>
              <w:t>持有方式</w:t>
            </w:r>
          </w:p>
          <w:p>
            <w:pPr>
              <w:pStyle w:val="2"/>
              <w:ind w:firstLine="0"/>
              <w:jc w:val="center"/>
              <w:rPr>
                <w:rFonts w:ascii="宋体" w:hAnsi="宋体"/>
                <w:b/>
                <w:sz w:val="24"/>
                <w:szCs w:val="24"/>
              </w:rPr>
            </w:pPr>
            <w:r>
              <w:rPr>
                <w:rFonts w:hint="eastAsia" w:ascii="宋体" w:hAnsi="宋体"/>
                <w:b/>
                <w:sz w:val="24"/>
                <w:szCs w:val="24"/>
              </w:rPr>
              <w:t>（自有/租赁）</w:t>
            </w:r>
          </w:p>
        </w:tc>
        <w:tc>
          <w:tcPr>
            <w:tcW w:w="845" w:type="dxa"/>
            <w:vAlign w:val="center"/>
          </w:tcPr>
          <w:p>
            <w:pPr>
              <w:pStyle w:val="2"/>
              <w:ind w:firstLine="0"/>
              <w:jc w:val="center"/>
              <w:rPr>
                <w:rFonts w:ascii="宋体" w:hAnsi="宋体"/>
                <w:b/>
                <w:sz w:val="24"/>
                <w:szCs w:val="24"/>
              </w:rPr>
            </w:pPr>
            <w:r>
              <w:rPr>
                <w:rFonts w:hint="eastAsia" w:ascii="宋体" w:hAnsi="宋体"/>
                <w:b/>
                <w:sz w:val="24"/>
                <w:szCs w:val="24"/>
              </w:rPr>
              <w:t>使用年限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Pr>
          <w:p>
            <w:pPr>
              <w:pStyle w:val="2"/>
              <w:ind w:firstLine="0"/>
              <w:jc w:val="left"/>
              <w:rPr>
                <w:rFonts w:ascii="宋体" w:hAnsi="宋体"/>
                <w:b/>
                <w:sz w:val="24"/>
                <w:szCs w:val="24"/>
              </w:rPr>
            </w:pPr>
          </w:p>
        </w:tc>
        <w:tc>
          <w:tcPr>
            <w:tcW w:w="2241" w:type="dxa"/>
          </w:tcPr>
          <w:p>
            <w:pPr>
              <w:pStyle w:val="2"/>
              <w:ind w:firstLine="0"/>
              <w:jc w:val="left"/>
              <w:rPr>
                <w:rFonts w:ascii="宋体" w:hAnsi="宋体"/>
                <w:b/>
                <w:sz w:val="24"/>
                <w:szCs w:val="24"/>
              </w:rPr>
            </w:pPr>
          </w:p>
        </w:tc>
        <w:tc>
          <w:tcPr>
            <w:tcW w:w="1161" w:type="dxa"/>
          </w:tcPr>
          <w:p>
            <w:pPr>
              <w:pStyle w:val="2"/>
              <w:ind w:firstLine="0"/>
              <w:jc w:val="left"/>
              <w:rPr>
                <w:rFonts w:ascii="宋体" w:hAnsi="宋体"/>
                <w:b/>
                <w:sz w:val="24"/>
                <w:szCs w:val="24"/>
              </w:rPr>
            </w:pPr>
          </w:p>
        </w:tc>
        <w:tc>
          <w:tcPr>
            <w:tcW w:w="851" w:type="dxa"/>
          </w:tcPr>
          <w:p>
            <w:pPr>
              <w:pStyle w:val="2"/>
              <w:ind w:firstLine="0"/>
              <w:jc w:val="left"/>
              <w:rPr>
                <w:rFonts w:ascii="宋体" w:hAnsi="宋体"/>
                <w:b/>
                <w:sz w:val="24"/>
                <w:szCs w:val="24"/>
              </w:rPr>
            </w:pPr>
          </w:p>
        </w:tc>
        <w:tc>
          <w:tcPr>
            <w:tcW w:w="1701" w:type="dxa"/>
          </w:tcPr>
          <w:p>
            <w:pPr>
              <w:pStyle w:val="2"/>
              <w:ind w:firstLine="0"/>
              <w:jc w:val="left"/>
              <w:rPr>
                <w:rFonts w:ascii="宋体" w:hAnsi="宋体"/>
                <w:b/>
                <w:sz w:val="24"/>
                <w:szCs w:val="24"/>
              </w:rPr>
            </w:pPr>
          </w:p>
        </w:tc>
        <w:tc>
          <w:tcPr>
            <w:tcW w:w="1559" w:type="dxa"/>
          </w:tcPr>
          <w:p>
            <w:pPr>
              <w:pStyle w:val="2"/>
              <w:ind w:firstLine="0"/>
              <w:jc w:val="left"/>
              <w:rPr>
                <w:rFonts w:ascii="宋体" w:hAnsi="宋体"/>
                <w:b/>
                <w:sz w:val="24"/>
                <w:szCs w:val="24"/>
              </w:rPr>
            </w:pPr>
          </w:p>
        </w:tc>
        <w:tc>
          <w:tcPr>
            <w:tcW w:w="845" w:type="dxa"/>
          </w:tcPr>
          <w:p>
            <w:pPr>
              <w:pStyle w:val="2"/>
              <w:ind w:firstLine="0"/>
              <w:jc w:val="left"/>
              <w:rPr>
                <w:rFonts w:ascii="宋体" w:hAnsi="宋体"/>
                <w:b/>
                <w:sz w:val="24"/>
                <w:szCs w:val="24"/>
              </w:rPr>
            </w:pPr>
          </w:p>
        </w:tc>
      </w:tr>
    </w:tbl>
    <w:p>
      <w:pPr>
        <w:adjustRightInd w:val="0"/>
        <w:spacing w:line="400" w:lineRule="exact"/>
        <w:ind w:firstLine="120" w:firstLineChars="50"/>
        <w:jc w:val="left"/>
        <w:rPr>
          <w:rFonts w:ascii="宋体" w:hAnsi="宋体"/>
          <w:sz w:val="24"/>
        </w:rPr>
      </w:pPr>
      <w:r>
        <w:rPr>
          <w:rFonts w:hint="eastAsia" w:ascii="宋体" w:hAnsi="宋体"/>
          <w:sz w:val="24"/>
        </w:rPr>
        <w:t>说明：设备可以填写单台设备，也可以填写成套设备。提供购买发票或合同等证明文件。</w:t>
      </w:r>
    </w:p>
    <w:p>
      <w:pPr>
        <w:adjustRightInd w:val="0"/>
        <w:spacing w:before="480" w:beforeLines="200" w:line="360" w:lineRule="auto"/>
        <w:ind w:firstLine="120" w:firstLineChars="50"/>
        <w:jc w:val="left"/>
        <w:rPr>
          <w:rFonts w:ascii="宋体" w:hAnsi="宋体"/>
          <w:sz w:val="24"/>
        </w:rPr>
      </w:pPr>
    </w:p>
    <w:p>
      <w:pPr>
        <w:adjustRightInd w:val="0"/>
        <w:spacing w:before="360" w:beforeLines="150" w:line="360" w:lineRule="auto"/>
        <w:ind w:firstLine="120" w:firstLineChars="50"/>
        <w:jc w:val="left"/>
        <w:rPr>
          <w:rFonts w:ascii="宋体" w:hAnsi="宋体"/>
          <w:sz w:val="24"/>
        </w:rPr>
      </w:pPr>
      <w:r>
        <w:rPr>
          <w:rFonts w:hint="eastAsia" w:ascii="宋体" w:hAnsi="宋体"/>
          <w:sz w:val="24"/>
        </w:rPr>
        <w:t>投 标 人：（盖单位章）</w:t>
      </w:r>
    </w:p>
    <w:p>
      <w:pPr>
        <w:pStyle w:val="75"/>
        <w:spacing w:before="360" w:beforeLines="150" w:line="360" w:lineRule="auto"/>
        <w:ind w:firstLine="120" w:firstLineChars="50"/>
        <w:rPr>
          <w:rFonts w:ascii="宋体" w:hAnsi="宋体"/>
          <w:bCs/>
          <w:sz w:val="24"/>
          <w:szCs w:val="24"/>
        </w:rPr>
      </w:pPr>
      <w:r>
        <w:rPr>
          <w:rFonts w:hint="eastAsia" w:ascii="宋体" w:hAnsi="宋体"/>
          <w:sz w:val="24"/>
          <w:szCs w:val="24"/>
        </w:rPr>
        <w:t>法定代表人或委托代理人：（签字或盖章）</w:t>
      </w:r>
    </w:p>
    <w:p>
      <w:pPr>
        <w:pStyle w:val="75"/>
        <w:spacing w:before="360" w:beforeLines="150" w:line="360" w:lineRule="auto"/>
        <w:rPr>
          <w:rFonts w:ascii="宋体" w:hAnsi="宋体"/>
          <w:b/>
          <w:bCs/>
          <w:sz w:val="24"/>
          <w:szCs w:val="24"/>
        </w:rPr>
      </w:pPr>
      <w:r>
        <w:rPr>
          <w:rFonts w:hint="eastAsia" w:ascii="宋体" w:hAnsi="宋体"/>
          <w:bCs/>
          <w:sz w:val="24"/>
          <w:szCs w:val="24"/>
        </w:rPr>
        <w:t xml:space="preserve"> 日    期:     年   月   日   </w:t>
      </w:r>
    </w:p>
    <w:p>
      <w:pPr>
        <w:pStyle w:val="2"/>
        <w:rPr>
          <w:rFonts w:ascii="宋体" w:hAnsi="宋体"/>
          <w:sz w:val="24"/>
          <w:szCs w:val="24"/>
        </w:rPr>
      </w:pPr>
    </w:p>
    <w:p>
      <w:pPr>
        <w:pStyle w:val="2"/>
        <w:spacing w:after="480" w:afterLines="200"/>
        <w:ind w:firstLine="1890"/>
      </w:pPr>
    </w:p>
    <w:bookmarkEnd w:id="227"/>
    <w:p>
      <w:pPr>
        <w:pStyle w:val="5"/>
        <w:spacing w:before="120" w:after="120"/>
        <w:jc w:val="center"/>
      </w:pPr>
      <w:bookmarkStart w:id="228" w:name="_Toc73217223"/>
      <w:bookmarkStart w:id="229" w:name="_Toc111853953"/>
      <w:bookmarkStart w:id="230" w:name="_Toc16116"/>
      <w:bookmarkStart w:id="231" w:name="_Toc2980"/>
      <w:r>
        <w:rPr>
          <w:rFonts w:hint="eastAsia"/>
        </w:rPr>
        <w:t>六、</w:t>
      </w:r>
      <w:bookmarkEnd w:id="228"/>
      <w:r>
        <w:rPr>
          <w:rFonts w:hint="eastAsia"/>
        </w:rPr>
        <w:t>服务承诺及合理化建议</w:t>
      </w:r>
      <w:bookmarkEnd w:id="229"/>
    </w:p>
    <w:p>
      <w:pPr>
        <w:pStyle w:val="2"/>
      </w:pPr>
    </w:p>
    <w:p>
      <w:pPr>
        <w:spacing w:line="360" w:lineRule="auto"/>
        <w:jc w:val="center"/>
        <w:rPr>
          <w:rFonts w:ascii="宋体" w:hAnsi="宋体"/>
          <w:b/>
          <w:sz w:val="36"/>
          <w:szCs w:val="36"/>
        </w:rPr>
      </w:pPr>
    </w:p>
    <w:p>
      <w:pPr>
        <w:spacing w:line="360" w:lineRule="auto"/>
        <w:jc w:val="center"/>
        <w:rPr>
          <w:rFonts w:ascii="宋体" w:hAnsi="宋体"/>
          <w:b/>
          <w:sz w:val="28"/>
          <w:szCs w:val="28"/>
        </w:rPr>
      </w:pPr>
    </w:p>
    <w:p>
      <w:pPr>
        <w:pStyle w:val="2"/>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
      </w:pPr>
    </w:p>
    <w:p>
      <w:pPr>
        <w:pStyle w:val="2"/>
      </w:pPr>
    </w:p>
    <w:p>
      <w:pPr>
        <w:spacing w:line="360" w:lineRule="auto"/>
        <w:jc w:val="center"/>
        <w:rPr>
          <w:rFonts w:ascii="宋体" w:hAnsi="宋体"/>
          <w:b/>
          <w:sz w:val="36"/>
          <w:szCs w:val="36"/>
        </w:rPr>
      </w:pPr>
    </w:p>
    <w:p>
      <w:pPr>
        <w:pStyle w:val="2"/>
      </w:pPr>
    </w:p>
    <w:p>
      <w:pPr>
        <w:pStyle w:val="2"/>
      </w:pPr>
    </w:p>
    <w:p>
      <w:pPr>
        <w:pStyle w:val="2"/>
      </w:pPr>
    </w:p>
    <w:p>
      <w:pPr>
        <w:pStyle w:val="2"/>
      </w:pPr>
    </w:p>
    <w:p>
      <w:pPr>
        <w:spacing w:line="360" w:lineRule="auto"/>
        <w:jc w:val="center"/>
        <w:rPr>
          <w:rFonts w:ascii="宋体" w:hAnsi="宋体"/>
          <w:b/>
          <w:sz w:val="36"/>
          <w:szCs w:val="36"/>
        </w:rPr>
      </w:pPr>
    </w:p>
    <w:p>
      <w:pPr>
        <w:pStyle w:val="2"/>
      </w:pPr>
    </w:p>
    <w:p>
      <w:pPr>
        <w:pStyle w:val="2"/>
      </w:pPr>
    </w:p>
    <w:p>
      <w:pPr>
        <w:pStyle w:val="2"/>
      </w:pPr>
    </w:p>
    <w:p>
      <w:pPr>
        <w:pStyle w:val="5"/>
        <w:spacing w:before="120" w:after="120"/>
        <w:jc w:val="center"/>
      </w:pPr>
      <w:bookmarkStart w:id="232" w:name="_Toc73217224"/>
      <w:bookmarkStart w:id="233" w:name="_Toc111853954"/>
      <w:r>
        <w:rPr>
          <w:rFonts w:hint="eastAsia"/>
        </w:rPr>
        <w:t>七、其他证明材料</w:t>
      </w:r>
      <w:bookmarkEnd w:id="230"/>
      <w:bookmarkEnd w:id="231"/>
      <w:bookmarkEnd w:id="232"/>
      <w:bookmarkEnd w:id="233"/>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1.提供投标人享受政府采购优惠政策的证明材料；</w:t>
      </w:r>
    </w:p>
    <w:p>
      <w:pPr>
        <w:spacing w:line="360" w:lineRule="auto"/>
        <w:ind w:firstLine="504" w:firstLineChars="200"/>
        <w:rPr>
          <w:rFonts w:ascii="宋体" w:hAnsi="宋体" w:cs="宋体"/>
          <w:bCs/>
          <w:spacing w:val="6"/>
          <w:kern w:val="0"/>
          <w:sz w:val="24"/>
        </w:rPr>
      </w:pPr>
      <w:r>
        <w:rPr>
          <w:rFonts w:hint="eastAsia" w:ascii="宋体" w:hAnsi="宋体" w:cs="宋体"/>
          <w:bCs/>
          <w:spacing w:val="6"/>
          <w:kern w:val="0"/>
          <w:sz w:val="24"/>
        </w:rPr>
        <w:t>2.投标人认为有必要提供的其他证明材料。</w:t>
      </w:r>
    </w:p>
    <w:p>
      <w:pPr>
        <w:spacing w:line="360" w:lineRule="auto"/>
        <w:rPr>
          <w:rFonts w:ascii="宋体" w:hAnsi="宋体"/>
          <w:szCs w:val="21"/>
        </w:rPr>
      </w:pPr>
    </w:p>
    <w:p>
      <w:pPr>
        <w:adjustRightInd w:val="0"/>
        <w:spacing w:line="400" w:lineRule="exact"/>
        <w:jc w:val="left"/>
        <w:rPr>
          <w:rFonts w:ascii="宋体" w:hAnsi="宋体"/>
          <w:b/>
          <w:bCs/>
          <w:sz w:val="36"/>
          <w:szCs w:val="36"/>
        </w:rPr>
      </w:pPr>
    </w:p>
    <w:p>
      <w:pPr>
        <w:adjustRightInd w:val="0"/>
        <w:spacing w:line="400" w:lineRule="exact"/>
        <w:jc w:val="left"/>
        <w:rPr>
          <w:rFonts w:ascii="宋体" w:hAnsi="宋体"/>
          <w:b/>
          <w:bCs/>
          <w:sz w:val="36"/>
          <w:szCs w:val="36"/>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tabs>
          <w:tab w:val="left" w:pos="3600"/>
        </w:tabs>
        <w:adjustRightInd w:val="0"/>
        <w:snapToGrid w:val="0"/>
        <w:ind w:firstLine="493" w:firstLineChars="196"/>
        <w:rPr>
          <w:rFonts w:ascii="宋体" w:hAnsi="宋体" w:cs="宋体"/>
          <w:bCs/>
          <w:spacing w:val="6"/>
          <w:kern w:val="0"/>
          <w:sz w:val="24"/>
        </w:rPr>
      </w:pPr>
    </w:p>
    <w:p>
      <w:pPr>
        <w:pStyle w:val="2"/>
      </w:pPr>
    </w:p>
    <w:p>
      <w:pPr>
        <w:pStyle w:val="2"/>
        <w:tabs>
          <w:tab w:val="left" w:pos="3600"/>
        </w:tabs>
        <w:ind w:firstLine="412"/>
      </w:pPr>
    </w:p>
    <w:p>
      <w:pPr>
        <w:pStyle w:val="2"/>
        <w:spacing w:after="240" w:afterLines="100"/>
        <w:ind w:firstLine="0"/>
        <w:rPr>
          <w:rFonts w:ascii="宋体" w:hAnsi="宋体"/>
          <w:szCs w:val="21"/>
        </w:rPr>
      </w:pPr>
    </w:p>
    <w:p>
      <w:pPr>
        <w:pStyle w:val="2"/>
        <w:spacing w:after="240" w:afterLines="100"/>
        <w:ind w:firstLine="0"/>
        <w:rPr>
          <w:rFonts w:ascii="宋体" w:hAnsi="宋体"/>
          <w:szCs w:val="21"/>
        </w:rPr>
      </w:pPr>
    </w:p>
    <w:p>
      <w:pPr>
        <w:tabs>
          <w:tab w:val="left" w:pos="3600"/>
        </w:tabs>
        <w:adjustRightInd w:val="0"/>
        <w:snapToGrid w:val="0"/>
        <w:spacing w:before="240" w:beforeLines="100"/>
        <w:jc w:val="center"/>
        <w:rPr>
          <w:rFonts w:ascii="宋体" w:hAnsi="宋体"/>
          <w:b/>
          <w:sz w:val="32"/>
          <w:szCs w:val="32"/>
        </w:rPr>
      </w:pPr>
      <w:r>
        <w:rPr>
          <w:rFonts w:hint="eastAsia" w:ascii="宋体" w:hAnsi="宋体"/>
          <w:b/>
          <w:sz w:val="32"/>
          <w:szCs w:val="32"/>
        </w:rPr>
        <w:t>1.提供投标人享受政府采购优惠政策的证明材料</w:t>
      </w:r>
    </w:p>
    <w:p>
      <w:pPr>
        <w:adjustRightInd w:val="0"/>
        <w:snapToGrid w:val="0"/>
        <w:spacing w:line="360" w:lineRule="auto"/>
        <w:rPr>
          <w:rFonts w:ascii="仿宋_GB2312" w:hAnsi="宋体" w:eastAsia="仿宋_GB2312"/>
          <w:bCs/>
          <w:szCs w:val="21"/>
        </w:rPr>
      </w:pPr>
    </w:p>
    <w:p>
      <w:pPr>
        <w:pStyle w:val="21"/>
        <w:adjustRightInd w:val="0"/>
        <w:snapToGrid w:val="0"/>
        <w:spacing w:line="360" w:lineRule="auto"/>
        <w:rPr>
          <w:rFonts w:hAnsi="宋体"/>
          <w:b/>
          <w:sz w:val="28"/>
          <w:szCs w:val="28"/>
        </w:rPr>
      </w:pPr>
      <w:r>
        <w:rPr>
          <w:rFonts w:hint="eastAsia" w:hAnsi="宋体"/>
          <w:sz w:val="24"/>
          <w:szCs w:val="24"/>
        </w:rPr>
        <w:t>说明：</w:t>
      </w:r>
    </w:p>
    <w:p>
      <w:pPr>
        <w:adjustRightInd w:val="0"/>
        <w:snapToGrid w:val="0"/>
        <w:spacing w:line="360" w:lineRule="auto"/>
        <w:ind w:firstLine="480" w:firstLineChars="200"/>
        <w:rPr>
          <w:rFonts w:ascii="宋体" w:hAnsi="宋体"/>
          <w:sz w:val="24"/>
        </w:rPr>
      </w:pPr>
      <w:r>
        <w:rPr>
          <w:rFonts w:hint="eastAsia" w:ascii="宋体" w:hAnsi="宋体"/>
          <w:sz w:val="24"/>
        </w:rPr>
        <w:t>1.供应商为中小企业单位的，应按下文给定格式填写声明函。未提供或未按给定格式提供声明函的，将不能享受招标文件规定的价格优惠政策，但不影响投标文件的有效性。</w:t>
      </w:r>
    </w:p>
    <w:p>
      <w:pPr>
        <w:adjustRightInd w:val="0"/>
        <w:snapToGrid w:val="0"/>
        <w:spacing w:line="360" w:lineRule="auto"/>
        <w:ind w:firstLine="480" w:firstLineChars="200"/>
        <w:rPr>
          <w:rFonts w:ascii="宋体" w:hAnsi="宋体"/>
          <w:sz w:val="24"/>
        </w:rPr>
      </w:pPr>
      <w:r>
        <w:rPr>
          <w:rFonts w:hint="eastAsia" w:ascii="宋体" w:hAnsi="宋体"/>
          <w:sz w:val="24"/>
        </w:rPr>
        <w:t>1.供应商为残疾人福利性单位的，应按下文给定格式填写声明函。未提供或未按给定格式提供声明函的，将不能享受招标文件规定的价格优惠政策，但不影响投标文件的有效性。</w:t>
      </w:r>
    </w:p>
    <w:p>
      <w:pPr>
        <w:pStyle w:val="2"/>
      </w:pPr>
    </w:p>
    <w:p>
      <w:pPr>
        <w:adjustRightInd w:val="0"/>
        <w:snapToGrid w:val="0"/>
        <w:spacing w:line="360" w:lineRule="auto"/>
        <w:ind w:firstLine="480" w:firstLineChars="200"/>
        <w:rPr>
          <w:rFonts w:ascii="宋体" w:hAnsi="宋体"/>
          <w:sz w:val="24"/>
        </w:rPr>
      </w:pPr>
      <w:r>
        <w:rPr>
          <w:rFonts w:hint="eastAsia" w:ascii="宋体" w:hAnsi="宋体"/>
          <w:sz w:val="24"/>
        </w:rPr>
        <w:t>2、供应商为监狱企业的，应当提供由省级以上监狱管理局、戒毒管理局（含新疆生产建设兵团）出具的属于监狱企业的证明函（格式不限定）。未提供证明函的，将不能享受招标文件规定的价格优惠政策，但不影响投标文件的有效性。</w:t>
      </w:r>
    </w:p>
    <w:p>
      <w:pPr>
        <w:adjustRightInd w:val="0"/>
        <w:snapToGrid w:val="0"/>
        <w:spacing w:line="360" w:lineRule="auto"/>
        <w:ind w:firstLine="482" w:firstLineChars="200"/>
        <w:rPr>
          <w:rFonts w:ascii="宋体" w:hAnsi="宋体"/>
          <w:b/>
          <w:sz w:val="24"/>
        </w:rPr>
      </w:pPr>
      <w:r>
        <w:rPr>
          <w:rFonts w:hint="eastAsia" w:ascii="宋体" w:hAnsi="宋体"/>
          <w:b/>
          <w:sz w:val="24"/>
        </w:rPr>
        <w:t>特别提醒：仅当供应商属于中小微企业、或残疾人福利性单位、或监狱企业参与投标时才需填写相应的声明函/证明函，否则应当将其留空或直接删除。供应商性质将随成交公告一同公布，接受社会监督。</w:t>
      </w: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pStyle w:val="75"/>
        <w:spacing w:line="400" w:lineRule="exact"/>
        <w:rPr>
          <w:rFonts w:ascii="宋体" w:hAnsi="宋体"/>
          <w:b/>
          <w:sz w:val="28"/>
          <w:szCs w:val="28"/>
        </w:rPr>
      </w:pPr>
    </w:p>
    <w:p>
      <w:pPr>
        <w:adjustRightInd w:val="0"/>
        <w:snapToGrid w:val="0"/>
        <w:spacing w:line="360" w:lineRule="auto"/>
        <w:rPr>
          <w:rFonts w:ascii="黑体" w:hAnsi="宋体" w:eastAsia="黑体"/>
          <w:sz w:val="28"/>
          <w:szCs w:val="28"/>
        </w:rPr>
      </w:pPr>
      <w:r>
        <w:rPr>
          <w:rFonts w:hint="eastAsia" w:ascii="黑体" w:hAnsi="宋体" w:eastAsia="黑体"/>
          <w:sz w:val="28"/>
          <w:szCs w:val="28"/>
        </w:rPr>
        <w:t xml:space="preserve">附件4： </w:t>
      </w:r>
    </w:p>
    <w:p>
      <w:pPr>
        <w:pStyle w:val="83"/>
        <w:jc w:val="center"/>
        <w:rPr>
          <w:rFonts w:ascii="宋体" w:hAnsi="宋体"/>
          <w:b/>
          <w:sz w:val="32"/>
          <w:szCs w:val="32"/>
        </w:rPr>
      </w:pPr>
      <w:bookmarkStart w:id="234" w:name="OLE_LINK13"/>
      <w:bookmarkStart w:id="235" w:name="OLE_LINK14"/>
      <w:r>
        <w:rPr>
          <w:rFonts w:ascii="宋体" w:hAnsi="宋体"/>
          <w:b/>
          <w:sz w:val="32"/>
          <w:szCs w:val="32"/>
        </w:rPr>
        <w:t>中小企业声明函（工程、服务）</w:t>
      </w:r>
    </w:p>
    <w:p>
      <w:pPr>
        <w:pStyle w:val="16"/>
        <w:spacing w:before="5" w:line="360" w:lineRule="auto"/>
        <w:rPr>
          <w:rFonts w:ascii="宋体"/>
          <w:b/>
          <w:sz w:val="48"/>
        </w:rPr>
      </w:pPr>
    </w:p>
    <w:p>
      <w:pPr>
        <w:spacing w:line="360" w:lineRule="auto"/>
        <w:ind w:firstLine="504" w:firstLineChars="20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 单位名称 ）</w:t>
      </w:r>
      <w:r>
        <w:rPr>
          <w:rFonts w:hint="eastAsia" w:ascii="宋体" w:hAnsi="宋体"/>
          <w:spacing w:val="6"/>
          <w:sz w:val="24"/>
        </w:rPr>
        <w:t>的</w:t>
      </w:r>
      <w:r>
        <w:rPr>
          <w:rFonts w:hint="eastAsia" w:ascii="宋体" w:hAnsi="宋体"/>
          <w:spacing w:val="6"/>
          <w:sz w:val="24"/>
          <w:u w:val="single"/>
        </w:rPr>
        <w:t>（ 项目名称 ）</w:t>
      </w:r>
      <w:r>
        <w:rPr>
          <w:rFonts w:hint="eastAsia"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spacing w:val="6"/>
          <w:sz w:val="24"/>
        </w:rPr>
      </w:pPr>
      <w:r>
        <w:rPr>
          <w:rFonts w:hint="eastAsia" w:ascii="宋体" w:hAnsi="宋体"/>
          <w:spacing w:val="6"/>
          <w:sz w:val="24"/>
        </w:rPr>
        <w:t>1.（标的名称），属于</w:t>
      </w:r>
      <w:r>
        <w:rPr>
          <w:rFonts w:hint="eastAsia" w:ascii="宋体" w:hAnsi="宋体"/>
          <w:spacing w:val="6"/>
          <w:sz w:val="24"/>
          <w:u w:val="single"/>
        </w:rPr>
        <w:t>（采购文件中明确的所属行业）</w:t>
      </w:r>
      <w:r>
        <w:rPr>
          <w:rFonts w:hint="eastAsia" w:ascii="宋体" w:hAnsi="宋体"/>
          <w:spacing w:val="6"/>
          <w:sz w:val="24"/>
        </w:rPr>
        <w:t xml:space="preserve"> ；承建（承接）企业为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u w:val="single"/>
        </w:rPr>
        <w:t xml:space="preserve">  </w:t>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spacing w:line="360" w:lineRule="auto"/>
        <w:ind w:firstLine="504" w:firstLineChars="200"/>
        <w:rPr>
          <w:rFonts w:ascii="宋体" w:hAnsi="宋体"/>
          <w:spacing w:val="6"/>
          <w:sz w:val="24"/>
        </w:rPr>
      </w:pPr>
      <w:r>
        <w:rPr>
          <w:rFonts w:hint="eastAsia" w:ascii="宋体" w:hAnsi="宋体"/>
          <w:spacing w:val="6"/>
          <w:sz w:val="24"/>
        </w:rPr>
        <w:t>2.（标的名称），属于</w:t>
      </w:r>
      <w:r>
        <w:rPr>
          <w:rFonts w:hint="eastAsia" w:ascii="宋体" w:hAnsi="宋体"/>
          <w:spacing w:val="6"/>
          <w:sz w:val="24"/>
          <w:u w:val="single"/>
        </w:rPr>
        <w:t>（采购文件中明确的所属行业）</w:t>
      </w:r>
      <w:r>
        <w:rPr>
          <w:rFonts w:hint="eastAsia" w:ascii="宋体" w:hAnsi="宋体"/>
          <w:spacing w:val="6"/>
          <w:sz w:val="24"/>
        </w:rPr>
        <w:t xml:space="preserve"> ；承建（承接）企业为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u w:val="single"/>
        </w:rPr>
        <w:t xml:space="preserve">   </w:t>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spacing w:line="360" w:lineRule="auto"/>
        <w:ind w:firstLine="504" w:firstLineChars="200"/>
        <w:rPr>
          <w:rFonts w:ascii="宋体" w:hAnsi="宋体"/>
          <w:spacing w:val="6"/>
          <w:sz w:val="24"/>
        </w:rPr>
      </w:pPr>
      <w:r>
        <w:rPr>
          <w:rFonts w:hint="eastAsia" w:ascii="宋体" w:hAnsi="宋体"/>
          <w:spacing w:val="6"/>
          <w:sz w:val="24"/>
        </w:rPr>
        <w:t>……</w:t>
      </w:r>
    </w:p>
    <w:p>
      <w:pPr>
        <w:spacing w:line="360" w:lineRule="auto"/>
        <w:ind w:firstLine="504" w:firstLineChars="200"/>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spacing w:val="6"/>
          <w:sz w:val="24"/>
        </w:rPr>
      </w:pPr>
      <w:r>
        <w:rPr>
          <w:rFonts w:hint="eastAsia" w:ascii="宋体" w:hAnsi="宋体"/>
          <w:spacing w:val="6"/>
          <w:sz w:val="24"/>
        </w:rPr>
        <w:t>本企业对上述声明内容的真实性负责。如有虚假，将依法承担相应责任。</w:t>
      </w:r>
    </w:p>
    <w:p>
      <w:pPr>
        <w:spacing w:line="360" w:lineRule="auto"/>
        <w:ind w:firstLine="504" w:firstLineChars="200"/>
        <w:rPr>
          <w:rFonts w:ascii="宋体" w:hAnsi="宋体"/>
          <w:spacing w:val="6"/>
          <w:sz w:val="24"/>
        </w:rPr>
      </w:pPr>
    </w:p>
    <w:p>
      <w:pPr>
        <w:spacing w:line="360" w:lineRule="auto"/>
        <w:ind w:firstLine="506" w:firstLineChars="200"/>
        <w:rPr>
          <w:rFonts w:ascii="宋体" w:hAnsi="宋体"/>
          <w:b/>
          <w:bCs/>
          <w:spacing w:val="6"/>
          <w:sz w:val="24"/>
          <w:vertAlign w:val="superscript"/>
        </w:rPr>
      </w:pPr>
    </w:p>
    <w:p>
      <w:pPr>
        <w:pStyle w:val="2"/>
      </w:pPr>
    </w:p>
    <w:p>
      <w:pPr>
        <w:pStyle w:val="2"/>
      </w:pPr>
    </w:p>
    <w:p>
      <w:pPr>
        <w:pStyle w:val="2"/>
      </w:pPr>
    </w:p>
    <w:p>
      <w:pPr>
        <w:spacing w:line="360" w:lineRule="auto"/>
        <w:ind w:firstLine="7056" w:firstLineChars="2800"/>
        <w:rPr>
          <w:rFonts w:ascii="宋体" w:hAnsi="宋体"/>
          <w:spacing w:val="6"/>
          <w:sz w:val="24"/>
        </w:rPr>
      </w:pPr>
      <w:r>
        <w:rPr>
          <w:rFonts w:hint="eastAsia" w:ascii="宋体" w:hAnsi="宋体"/>
          <w:spacing w:val="6"/>
          <w:sz w:val="24"/>
        </w:rPr>
        <w:t>企业名称（盖章）：</w:t>
      </w:r>
    </w:p>
    <w:p>
      <w:pPr>
        <w:spacing w:after="120" w:afterLines="50" w:line="360" w:lineRule="auto"/>
        <w:ind w:firstLine="7056" w:firstLineChars="2800"/>
        <w:jc w:val="left"/>
        <w:rPr>
          <w:rFonts w:ascii="黑体" w:hAnsi="宋体" w:eastAsia="黑体"/>
          <w:bCs/>
          <w:sz w:val="24"/>
        </w:rPr>
      </w:pPr>
      <w:r>
        <w:rPr>
          <w:rFonts w:hint="eastAsia" w:ascii="宋体" w:hAnsi="宋体"/>
          <w:spacing w:val="6"/>
          <w:sz w:val="24"/>
        </w:rPr>
        <w:t>日  期：</w:t>
      </w:r>
    </w:p>
    <w:p>
      <w:pPr>
        <w:spacing w:line="360" w:lineRule="auto"/>
        <w:ind w:firstLine="506" w:firstLineChars="200"/>
        <w:rPr>
          <w:rFonts w:ascii="宋体" w:hAnsi="宋体"/>
          <w:b/>
          <w:bCs/>
          <w:spacing w:val="6"/>
          <w:sz w:val="24"/>
          <w:vertAlign w:val="superscript"/>
        </w:rPr>
      </w:pPr>
    </w:p>
    <w:p>
      <w:pPr>
        <w:spacing w:line="360" w:lineRule="auto"/>
        <w:ind w:firstLine="504" w:firstLineChars="200"/>
        <w:rPr>
          <w:rFonts w:ascii="宋体" w:hAnsi="宋体"/>
          <w:spacing w:val="6"/>
          <w:sz w:val="24"/>
        </w:rPr>
      </w:pPr>
      <w:r>
        <w:rPr>
          <w:rFonts w:hint="eastAsia" w:ascii="宋体" w:hAnsi="宋体"/>
          <w:spacing w:val="6"/>
          <w:sz w:val="24"/>
        </w:rPr>
        <w:t>从业人员、营业收入、资产总额填报上一年度数据，无上一年度数据的新成立企业可不填报。</w:t>
      </w:r>
    </w:p>
    <w:p>
      <w:pPr>
        <w:spacing w:after="120" w:afterLines="50" w:line="360" w:lineRule="auto"/>
        <w:rPr>
          <w:rFonts w:ascii="黑体" w:hAnsi="宋体" w:eastAsia="黑体"/>
          <w:bCs/>
          <w:sz w:val="28"/>
          <w:szCs w:val="28"/>
        </w:rPr>
      </w:pPr>
    </w:p>
    <w:p>
      <w:pPr>
        <w:adjustRightInd w:val="0"/>
        <w:snapToGrid w:val="0"/>
        <w:spacing w:line="360" w:lineRule="auto"/>
        <w:rPr>
          <w:rFonts w:ascii="黑体" w:hAnsi="宋体" w:eastAsia="黑体"/>
          <w:sz w:val="28"/>
          <w:szCs w:val="28"/>
        </w:rPr>
      </w:pPr>
      <w:r>
        <w:rPr>
          <w:rFonts w:hint="eastAsia" w:ascii="黑体" w:hAnsi="宋体" w:eastAsia="黑体"/>
          <w:sz w:val="28"/>
          <w:szCs w:val="28"/>
        </w:rPr>
        <w:t>附件5：（如有）</w:t>
      </w:r>
    </w:p>
    <w:p>
      <w:pPr>
        <w:spacing w:line="588" w:lineRule="exact"/>
        <w:jc w:val="center"/>
        <w:rPr>
          <w:rFonts w:ascii="宋体" w:hAnsi="宋体"/>
          <w:b/>
          <w:spacing w:val="6"/>
          <w:sz w:val="36"/>
          <w:szCs w:val="36"/>
        </w:rPr>
      </w:pPr>
    </w:p>
    <w:p>
      <w:pPr>
        <w:spacing w:line="588" w:lineRule="exact"/>
        <w:jc w:val="center"/>
        <w:rPr>
          <w:rFonts w:ascii="宋体" w:hAnsi="宋体"/>
          <w:b/>
          <w:spacing w:val="6"/>
          <w:sz w:val="36"/>
          <w:szCs w:val="36"/>
        </w:rPr>
      </w:pPr>
      <w:r>
        <w:rPr>
          <w:rFonts w:hint="eastAsia" w:ascii="宋体" w:hAnsi="宋体"/>
          <w:b/>
          <w:spacing w:val="6"/>
          <w:sz w:val="36"/>
          <w:szCs w:val="36"/>
        </w:rPr>
        <w:t>残疾人福利性单位声明函（非残疾人福利企业不填写）</w:t>
      </w:r>
    </w:p>
    <w:bookmarkEnd w:id="234"/>
    <w:bookmarkEnd w:id="235"/>
    <w:p>
      <w:pPr>
        <w:spacing w:line="588" w:lineRule="exact"/>
        <w:rPr>
          <w:rFonts w:ascii="仿宋_GB2312" w:eastAsia="仿宋_GB2312"/>
          <w:b/>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rPr>
          <w:rFonts w:ascii="宋体" w:hAnsi="宋体"/>
          <w:spacing w:val="6"/>
          <w:sz w:val="24"/>
        </w:rPr>
      </w:pPr>
    </w:p>
    <w:p>
      <w:pPr>
        <w:pStyle w:val="2"/>
      </w:pPr>
    </w:p>
    <w:p>
      <w:pPr>
        <w:pStyle w:val="2"/>
      </w:pPr>
    </w:p>
    <w:p>
      <w:pPr>
        <w:pStyle w:val="2"/>
      </w:pPr>
    </w:p>
    <w:p>
      <w:pPr>
        <w:pStyle w:val="2"/>
      </w:pPr>
    </w:p>
    <w:p>
      <w:pPr>
        <w:pStyle w:val="2"/>
      </w:pPr>
    </w:p>
    <w:p>
      <w:pPr>
        <w:pStyle w:val="2"/>
      </w:pPr>
    </w:p>
    <w:p>
      <w:pPr>
        <w:spacing w:line="360" w:lineRule="auto"/>
        <w:ind w:firstLine="504" w:firstLineChars="200"/>
        <w:rPr>
          <w:rFonts w:ascii="宋体" w:hAnsi="宋体"/>
          <w:spacing w:val="6"/>
          <w:sz w:val="24"/>
        </w:rPr>
      </w:pPr>
    </w:p>
    <w:p>
      <w:pPr>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单位名称：（盖单位章）：</w:t>
      </w:r>
    </w:p>
    <w:p>
      <w:pPr>
        <w:tabs>
          <w:tab w:val="left" w:pos="4860"/>
        </w:tabs>
        <w:spacing w:line="360" w:lineRule="auto"/>
        <w:ind w:right="1560" w:firstLine="504" w:firstLineChars="200"/>
        <w:jc w:val="center"/>
        <w:rPr>
          <w:rFonts w:ascii="宋体" w:hAnsi="宋体"/>
          <w:spacing w:val="6"/>
          <w:sz w:val="24"/>
        </w:rPr>
      </w:pPr>
    </w:p>
    <w:p>
      <w:pPr>
        <w:tabs>
          <w:tab w:val="left" w:pos="4860"/>
        </w:tabs>
        <w:spacing w:line="360" w:lineRule="auto"/>
        <w:ind w:right="1560" w:firstLine="504" w:firstLineChars="200"/>
        <w:jc w:val="center"/>
        <w:rPr>
          <w:rFonts w:ascii="宋体" w:hAnsi="宋体"/>
          <w:sz w:val="24"/>
        </w:rPr>
      </w:pPr>
      <w:r>
        <w:rPr>
          <w:rFonts w:hint="eastAsia" w:ascii="宋体" w:hAnsi="宋体"/>
          <w:spacing w:val="6"/>
          <w:sz w:val="24"/>
        </w:rPr>
        <w:t xml:space="preserve">                   日期：    年   月  日</w:t>
      </w:r>
    </w:p>
    <w:p>
      <w:pPr>
        <w:adjustRightInd w:val="0"/>
        <w:snapToGrid w:val="0"/>
        <w:spacing w:line="360" w:lineRule="auto"/>
        <w:rPr>
          <w:rFonts w:ascii="宋体" w:hAnsi="宋体"/>
          <w:b/>
          <w:sz w:val="24"/>
        </w:rPr>
      </w:pPr>
    </w:p>
    <w:p>
      <w:pPr>
        <w:adjustRightInd w:val="0"/>
        <w:snapToGrid w:val="0"/>
        <w:spacing w:before="50" w:line="360" w:lineRule="auto"/>
        <w:jc w:val="center"/>
        <w:rPr>
          <w:rFonts w:ascii="宋体" w:hAnsi="宋体"/>
          <w:b/>
          <w:sz w:val="24"/>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pStyle w:val="2"/>
      </w:pPr>
    </w:p>
    <w:p>
      <w:pPr>
        <w:adjustRightInd w:val="0"/>
        <w:snapToGrid w:val="0"/>
        <w:spacing w:line="360" w:lineRule="auto"/>
        <w:rPr>
          <w:rFonts w:ascii="黑体" w:hAnsi="宋体" w:eastAsia="黑体"/>
          <w:sz w:val="28"/>
          <w:szCs w:val="28"/>
        </w:rPr>
      </w:pPr>
      <w:r>
        <w:rPr>
          <w:rFonts w:hint="eastAsia" w:ascii="黑体" w:hAnsi="宋体" w:eastAsia="黑体"/>
          <w:sz w:val="28"/>
          <w:szCs w:val="28"/>
        </w:rPr>
        <w:t>附件6：（如有）</w:t>
      </w:r>
    </w:p>
    <w:p>
      <w:pPr>
        <w:pStyle w:val="2"/>
      </w:pPr>
    </w:p>
    <w:p>
      <w:pPr>
        <w:pStyle w:val="2"/>
      </w:pPr>
    </w:p>
    <w:p>
      <w:pPr>
        <w:adjustRightInd w:val="0"/>
        <w:snapToGrid w:val="0"/>
        <w:spacing w:before="50" w:line="360" w:lineRule="auto"/>
        <w:jc w:val="center"/>
        <w:rPr>
          <w:rFonts w:ascii="宋体" w:hAnsi="宋体"/>
          <w:b/>
          <w:sz w:val="36"/>
          <w:szCs w:val="36"/>
        </w:rPr>
      </w:pPr>
      <w:r>
        <w:rPr>
          <w:rFonts w:hint="eastAsia" w:ascii="宋体" w:hAnsi="宋体"/>
          <w:b/>
          <w:sz w:val="36"/>
          <w:szCs w:val="36"/>
        </w:rPr>
        <w:t>监狱企业证明文件</w:t>
      </w: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adjustRightInd w:val="0"/>
        <w:snapToGrid w:val="0"/>
        <w:spacing w:before="50" w:line="360" w:lineRule="auto"/>
        <w:jc w:val="center"/>
        <w:rPr>
          <w:rFonts w:ascii="宋体" w:hAnsi="宋体"/>
          <w:b/>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3600"/>
        </w:tabs>
        <w:adjustRightInd w:val="0"/>
        <w:snapToGrid w:val="0"/>
        <w:spacing w:before="240" w:beforeLines="100"/>
        <w:jc w:val="center"/>
        <w:rPr>
          <w:rFonts w:ascii="黑体" w:hAnsi="宋体" w:eastAsia="黑体"/>
          <w:b/>
          <w:sz w:val="36"/>
          <w:szCs w:val="36"/>
        </w:rPr>
      </w:pPr>
      <w:r>
        <w:rPr>
          <w:rFonts w:hint="eastAsia" w:ascii="黑体" w:hAnsi="宋体" w:eastAsia="黑体"/>
          <w:b/>
          <w:sz w:val="36"/>
          <w:szCs w:val="36"/>
        </w:rPr>
        <w:t>2.投标人认为有必要提供的其他证明材料</w:t>
      </w:r>
    </w:p>
    <w:p>
      <w:pPr>
        <w:pStyle w:val="75"/>
        <w:spacing w:line="400" w:lineRule="exact"/>
      </w:pPr>
    </w:p>
    <w:p>
      <w:pPr>
        <w:pStyle w:val="75"/>
        <w:spacing w:line="400" w:lineRule="exact"/>
        <w:rPr>
          <w:rFonts w:ascii="宋体" w:hAnsi="宋体"/>
          <w:sz w:val="24"/>
          <w:szCs w:val="24"/>
        </w:rPr>
      </w:pPr>
      <w:r>
        <w:rPr>
          <w:rFonts w:hint="eastAsia" w:ascii="宋体" w:hAnsi="宋体"/>
          <w:sz w:val="24"/>
          <w:szCs w:val="24"/>
        </w:rPr>
        <w:t>说明：</w:t>
      </w:r>
    </w:p>
    <w:p>
      <w:pPr>
        <w:pStyle w:val="75"/>
        <w:spacing w:line="400" w:lineRule="exact"/>
        <w:ind w:firstLine="480" w:firstLineChars="200"/>
        <w:rPr>
          <w:rFonts w:ascii="宋体" w:hAnsi="宋体"/>
          <w:sz w:val="24"/>
          <w:szCs w:val="24"/>
        </w:rPr>
      </w:pPr>
      <w:r>
        <w:rPr>
          <w:rFonts w:hint="eastAsia" w:ascii="宋体" w:hAnsi="宋体"/>
          <w:sz w:val="24"/>
          <w:szCs w:val="24"/>
        </w:rPr>
        <w:t>1.投标人通过陕西省政府采购网（http://www.ccgp-shaanxi.gov.cn/）注册登记加入陕西省政府采购供应商库的企业基本信息截图。</w:t>
      </w:r>
    </w:p>
    <w:p>
      <w:pPr>
        <w:pStyle w:val="75"/>
        <w:spacing w:line="400" w:lineRule="exact"/>
        <w:ind w:firstLine="480" w:firstLineChars="200"/>
        <w:rPr>
          <w:rFonts w:ascii="宋体" w:hAnsi="宋体"/>
          <w:sz w:val="24"/>
          <w:szCs w:val="24"/>
        </w:rPr>
      </w:pPr>
      <w:r>
        <w:rPr>
          <w:rFonts w:hint="eastAsia" w:ascii="宋体" w:hAnsi="宋体"/>
          <w:sz w:val="24"/>
          <w:szCs w:val="24"/>
        </w:rPr>
        <w:t>2.投标人提供的其他证明材料。</w:t>
      </w: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2"/>
        <w:ind w:firstLine="0"/>
        <w:rPr>
          <w:rFonts w:ascii="宋体" w:hAnsi="宋体" w:cs="宋体"/>
          <w:sz w:val="24"/>
          <w:szCs w:val="24"/>
        </w:rPr>
      </w:pPr>
    </w:p>
    <w:p>
      <w:pPr>
        <w:pStyle w:val="5"/>
        <w:spacing w:before="120" w:after="120"/>
        <w:jc w:val="center"/>
      </w:pPr>
      <w:bookmarkStart w:id="236" w:name="_Toc73217225"/>
      <w:bookmarkStart w:id="237" w:name="_Toc111853955"/>
      <w:r>
        <w:t>九</w:t>
      </w:r>
      <w:r>
        <w:rPr>
          <w:rFonts w:hint="eastAsia"/>
        </w:rPr>
        <w:t>、</w:t>
      </w:r>
      <w:r>
        <w:t>陕西省政府采购供应商拒绝政府采购领域商业贿赂承诺书</w:t>
      </w:r>
      <w:bookmarkEnd w:id="236"/>
      <w:bookmarkEnd w:id="237"/>
    </w:p>
    <w:p>
      <w:pPr>
        <w:widowControl/>
        <w:spacing w:line="408" w:lineRule="auto"/>
        <w:ind w:left="239" w:leftChars="114" w:firstLine="470" w:firstLineChars="196"/>
        <w:jc w:val="left"/>
        <w:rPr>
          <w:rFonts w:ascii="宋体" w:hAnsi="宋体" w:cs="宋体"/>
          <w:kern w:val="0"/>
          <w:sz w:val="24"/>
        </w:rPr>
      </w:pPr>
    </w:p>
    <w:p>
      <w:pPr>
        <w:widowControl/>
        <w:spacing w:line="408" w:lineRule="auto"/>
        <w:ind w:firstLine="420" w:firstLineChars="200"/>
        <w:jc w:val="left"/>
        <w:rPr>
          <w:rFonts w:ascii="宋体" w:hAnsi="宋体" w:cs="宋体"/>
          <w:kern w:val="0"/>
          <w:sz w:val="24"/>
        </w:rPr>
      </w:pPr>
      <w:r>
        <w:rPr>
          <w:rFonts w:ascii="宋体" w:hAnsi="宋体" w:cs="宋体"/>
          <w:kern w:val="0"/>
          <w:szCs w:val="21"/>
        </w:rPr>
        <w:t>为</w:t>
      </w:r>
      <w:r>
        <w:rPr>
          <w:rFonts w:ascii="宋体" w:hAnsi="宋体" w:cs="宋体"/>
          <w:kern w:val="0"/>
          <w:sz w:val="24"/>
        </w:rPr>
        <w:t>响应党中央、国务院关于治理政府采购领域商业贿赂行为的号召，我公司在此庄严承诺：</w:t>
      </w:r>
    </w:p>
    <w:p>
      <w:pPr>
        <w:widowControl/>
        <w:spacing w:line="408" w:lineRule="auto"/>
        <w:ind w:firstLine="480" w:firstLineChars="200"/>
        <w:jc w:val="left"/>
        <w:rPr>
          <w:rFonts w:ascii="宋体" w:hAnsi="宋体" w:cs="宋体"/>
          <w:kern w:val="0"/>
          <w:sz w:val="24"/>
        </w:rPr>
      </w:pPr>
      <w:r>
        <w:rPr>
          <w:rFonts w:ascii="宋体" w:hAnsi="宋体" w:cs="宋体"/>
          <w:kern w:val="0"/>
          <w:sz w:val="24"/>
        </w:rPr>
        <w:t>1、在参与政府采购活动中遵纪守法、诚信经营、公平竞标。</w:t>
      </w:r>
    </w:p>
    <w:p>
      <w:pPr>
        <w:widowControl/>
        <w:spacing w:line="408" w:lineRule="auto"/>
        <w:ind w:firstLine="480" w:firstLineChars="200"/>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pPr>
        <w:widowControl/>
        <w:spacing w:line="408" w:lineRule="auto"/>
        <w:ind w:firstLine="480" w:firstLineChars="200"/>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3、不向政府采购代理机构和采购人提供虚假资质文件或采用虚假应标方式参与政府采购市场竞争并谋取成交、成交。</w:t>
      </w:r>
    </w:p>
    <w:p>
      <w:pPr>
        <w:widowControl/>
        <w:spacing w:line="408" w:lineRule="auto"/>
        <w:ind w:firstLine="480" w:firstLineChars="200"/>
        <w:jc w:val="left"/>
        <w:rPr>
          <w:rFonts w:ascii="宋体" w:hAnsi="宋体" w:cs="宋体"/>
          <w:kern w:val="0"/>
          <w:sz w:val="24"/>
        </w:rPr>
      </w:pPr>
      <w:r>
        <w:rPr>
          <w:rFonts w:ascii="宋体" w:hAnsi="宋体" w:cs="宋体"/>
          <w:kern w:val="0"/>
          <w:sz w:val="24"/>
        </w:rPr>
        <w:t>4、不采取“围标、陪标”等商业欺诈手段获得政府采购定单。</w:t>
      </w:r>
    </w:p>
    <w:p>
      <w:pPr>
        <w:widowControl/>
        <w:spacing w:line="408" w:lineRule="auto"/>
        <w:ind w:firstLine="480" w:firstLineChars="200"/>
        <w:jc w:val="left"/>
        <w:rPr>
          <w:rFonts w:ascii="宋体" w:hAnsi="宋体" w:cs="宋体"/>
          <w:kern w:val="0"/>
          <w:sz w:val="24"/>
        </w:rPr>
      </w:pPr>
      <w:r>
        <w:rPr>
          <w:rFonts w:ascii="宋体" w:hAnsi="宋体" w:cs="宋体"/>
          <w:kern w:val="0"/>
          <w:sz w:val="24"/>
        </w:rPr>
        <w:t>5、不采取不正当手段诋毁、排挤其他供应商。</w:t>
      </w:r>
    </w:p>
    <w:p>
      <w:pPr>
        <w:widowControl/>
        <w:spacing w:line="408" w:lineRule="auto"/>
        <w:ind w:firstLine="480" w:firstLineChars="200"/>
        <w:jc w:val="left"/>
        <w:rPr>
          <w:rFonts w:ascii="宋体" w:hAnsi="宋体" w:cs="宋体"/>
          <w:kern w:val="0"/>
          <w:sz w:val="24"/>
        </w:rPr>
      </w:pPr>
      <w:r>
        <w:rPr>
          <w:rFonts w:ascii="宋体" w:hAnsi="宋体" w:cs="宋体"/>
          <w:kern w:val="0"/>
          <w:sz w:val="24"/>
        </w:rPr>
        <w:t>6、不在提供商品和服务</w:t>
      </w:r>
      <w:r>
        <w:rPr>
          <w:rFonts w:hint="eastAsia" w:ascii="宋体" w:hAnsi="宋体" w:cs="宋体"/>
          <w:kern w:val="0"/>
          <w:sz w:val="24"/>
        </w:rPr>
        <w:t>及工程</w:t>
      </w:r>
      <w:r>
        <w:rPr>
          <w:rFonts w:ascii="宋体" w:hAnsi="宋体" w:cs="宋体"/>
          <w:kern w:val="0"/>
          <w:sz w:val="24"/>
        </w:rPr>
        <w:t>时“偷梁换柱、以次充好”损害采购人的合法权益。</w:t>
      </w:r>
    </w:p>
    <w:p>
      <w:pPr>
        <w:widowControl/>
        <w:spacing w:line="408" w:lineRule="auto"/>
        <w:ind w:firstLine="480" w:firstLineChars="200"/>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pPr>
        <w:widowControl/>
        <w:spacing w:line="408" w:lineRule="auto"/>
        <w:ind w:firstLine="480" w:firstLineChars="200"/>
        <w:jc w:val="left"/>
        <w:rPr>
          <w:rFonts w:ascii="宋体" w:hAnsi="宋体" w:cs="宋体"/>
          <w:kern w:val="0"/>
          <w:sz w:val="24"/>
        </w:rPr>
      </w:pPr>
      <w:r>
        <w:rPr>
          <w:rFonts w:ascii="宋体" w:hAnsi="宋体" w:cs="宋体"/>
          <w:kern w:val="0"/>
          <w:sz w:val="24"/>
        </w:rPr>
        <w:t>8、尊重和接受政府采购监督管理部门的监督和政府采购代理机构招标采购要求，承担因违约行为给采购人造成的损失。</w:t>
      </w:r>
    </w:p>
    <w:p>
      <w:pPr>
        <w:widowControl/>
        <w:spacing w:line="408" w:lineRule="auto"/>
        <w:ind w:firstLine="480" w:firstLineChars="200"/>
        <w:jc w:val="left"/>
        <w:rPr>
          <w:rFonts w:ascii="宋体" w:hAnsi="宋体" w:cs="宋体"/>
          <w:kern w:val="0"/>
          <w:sz w:val="24"/>
        </w:rPr>
      </w:pPr>
      <w:r>
        <w:rPr>
          <w:rFonts w:ascii="宋体" w:hAnsi="宋体" w:cs="宋体"/>
          <w:kern w:val="0"/>
          <w:sz w:val="24"/>
        </w:rPr>
        <w:t>9、不发生其他有悖于政府采购公开、公平、公正和诚信原则的行为。</w:t>
      </w:r>
    </w:p>
    <w:p>
      <w:pPr>
        <w:pStyle w:val="16"/>
        <w:rPr>
          <w:sz w:val="24"/>
          <w:szCs w:val="24"/>
        </w:rPr>
      </w:pPr>
    </w:p>
    <w:p>
      <w:pPr>
        <w:spacing w:before="240" w:beforeLines="100" w:after="120" w:afterLines="50"/>
        <w:ind w:firstLine="4080" w:firstLineChars="1700"/>
        <w:jc w:val="left"/>
        <w:rPr>
          <w:rFonts w:ascii="宋体" w:hAnsi="宋体" w:cs="宋体"/>
          <w:kern w:val="0"/>
          <w:sz w:val="24"/>
        </w:rPr>
      </w:pPr>
      <w:r>
        <w:rPr>
          <w:rFonts w:hint="eastAsia" w:ascii="宋体" w:hAnsi="宋体"/>
          <w:kern w:val="0"/>
          <w:sz w:val="24"/>
        </w:rPr>
        <w:t>投标人（公章）：</w:t>
      </w:r>
      <w:r>
        <w:rPr>
          <w:rFonts w:hint="eastAsia" w:ascii="宋体" w:hAnsi="宋体" w:cs="宋体"/>
          <w:kern w:val="0"/>
          <w:sz w:val="24"/>
          <w:u w:val="single"/>
        </w:rPr>
        <w:t xml:space="preserve">（单位全称）           </w:t>
      </w:r>
    </w:p>
    <w:p>
      <w:pPr>
        <w:spacing w:before="240" w:beforeLines="100" w:after="120" w:afterLines="50"/>
        <w:ind w:firstLine="4080" w:firstLineChars="1700"/>
        <w:jc w:val="left"/>
        <w:rPr>
          <w:rFonts w:ascii="宋体"/>
          <w:kern w:val="0"/>
          <w:sz w:val="24"/>
        </w:rPr>
      </w:pPr>
      <w:r>
        <w:rPr>
          <w:rFonts w:hint="eastAsia" w:ascii="宋体" w:hAnsi="宋体" w:cs="宋体"/>
          <w:kern w:val="0"/>
          <w:sz w:val="24"/>
        </w:rPr>
        <w:t>法定代表人或被授权人（</w:t>
      </w:r>
      <w:r>
        <w:rPr>
          <w:rFonts w:ascii="宋体" w:hAnsi="宋体" w:cs="宋体"/>
          <w:kern w:val="0"/>
          <w:sz w:val="24"/>
        </w:rPr>
        <w:t>签字</w:t>
      </w:r>
      <w:r>
        <w:rPr>
          <w:rFonts w:hint="eastAsia" w:ascii="宋体" w:hAnsi="宋体" w:cs="宋体"/>
          <w:kern w:val="0"/>
          <w:sz w:val="24"/>
        </w:rPr>
        <w:t>或盖章）</w:t>
      </w:r>
      <w:r>
        <w:rPr>
          <w:rFonts w:ascii="宋体" w:hAnsi="宋体" w:cs="宋体"/>
          <w:kern w:val="0"/>
          <w:sz w:val="24"/>
        </w:rPr>
        <w:t>：</w:t>
      </w:r>
    </w:p>
    <w:p>
      <w:pPr>
        <w:ind w:left="1"/>
        <w:jc w:val="center"/>
        <w:rPr>
          <w:rFonts w:ascii="宋体" w:hAnsi="宋体"/>
          <w:kern w:val="0"/>
          <w:sz w:val="24"/>
        </w:rPr>
      </w:pPr>
      <w:r>
        <w:rPr>
          <w:rFonts w:hint="eastAsia" w:ascii="宋体" w:hAnsi="宋体"/>
          <w:kern w:val="0"/>
          <w:sz w:val="24"/>
        </w:rPr>
        <w:t xml:space="preserve">                          日期：    年   月   日</w:t>
      </w:r>
    </w:p>
    <w:p>
      <w:pPr>
        <w:pStyle w:val="2"/>
        <w:ind w:firstLine="0"/>
        <w:rPr>
          <w:rFonts w:ascii="宋体" w:hAnsi="宋体" w:cs="宋体"/>
          <w:sz w:val="24"/>
          <w:szCs w:val="24"/>
        </w:rPr>
      </w:pPr>
    </w:p>
    <w:p/>
    <w:sectPr>
      <w:headerReference r:id="rId14" w:type="default"/>
      <w:footerReference r:id="rId15" w:type="default"/>
      <w:pgSz w:w="11907" w:h="16840"/>
      <w:pgMar w:top="1440" w:right="1361" w:bottom="1440" w:left="1361" w:header="851" w:footer="992" w:gutter="0"/>
      <w:pgNumType w:fmt="decimal"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504020202020204"/>
    <w:charset w:val="00"/>
    <w:family w:val="swiss"/>
    <w:pitch w:val="default"/>
    <w:sig w:usb0="00000000" w:usb1="00000000" w:usb2="00000000" w:usb3="00000000" w:csb0="00000001"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rPr>
        <w:rFonts w:ascii="Microsoft JhengHei" w:hAnsi="Microsoft JhengHei"/>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kern w:val="0"/>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- 81 -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- 81 -</w:t>
                    </w:r>
                    <w:r>
                      <w:fldChar w:fldCharType="end"/>
                    </w:r>
                  </w:p>
                </w:txbxContent>
              </v:textbox>
            </v:shape>
          </w:pict>
        </mc:Fallback>
      </mc:AlternateContent>
    </w:r>
  </w:p>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0</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Microsoft JhengHei" w:hAnsi="Microsoft JhengHei"/>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0</w:t>
    </w:r>
    <w: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Microsoft JhengHei" w:hAnsi="Microsoft JhengHei"/>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- 46 -</w:t>
                    </w:r>
                    <w:r>
                      <w:fldChar w:fldCharType="end"/>
                    </w:r>
                  </w:p>
                </w:txbxContent>
              </v:textbox>
            </v:shape>
          </w:pict>
        </mc:Fallback>
      </mc:AlternateContent>
    </w:r>
  </w:p>
  <w:p>
    <w:pPr>
      <w:pStyle w:val="26"/>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411"/>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- 45 -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rPr>
        <w:rFonts w:ascii="微软雅黑" w:hAnsi="微软雅黑" w:eastAsia="微软雅黑" w:cs="宋体"/>
        <w:color w:val="001841"/>
        <w:kern w:val="0"/>
        <w:sz w:val="24"/>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rPr>
        <w:rFonts w:ascii="微软雅黑" w:hAnsi="微软雅黑" w:eastAsia="微软雅黑" w:cs="宋体"/>
        <w:color w:val="001841"/>
        <w:kern w:val="0"/>
        <w:sz w:val="24"/>
      </w:rPr>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79076"/>
    <w:multiLevelType w:val="singleLevel"/>
    <w:tmpl w:val="19279076"/>
    <w:lvl w:ilvl="0" w:tentative="0">
      <w:start w:val="7"/>
      <w:numFmt w:val="chineseCounting"/>
      <w:suff w:val="nothing"/>
      <w:lvlText w:val="%1、"/>
      <w:lvlJc w:val="left"/>
      <w:rPr>
        <w:rFonts w:hint="eastAsia"/>
      </w:rPr>
    </w:lvl>
  </w:abstractNum>
  <w:abstractNum w:abstractNumId="1">
    <w:nsid w:val="3E4A5899"/>
    <w:multiLevelType w:val="multilevel"/>
    <w:tmpl w:val="3E4A5899"/>
    <w:lvl w:ilvl="0" w:tentative="0">
      <w:start w:val="4"/>
      <w:numFmt w:val="bullet"/>
      <w:lvlText w:val="□"/>
      <w:lvlJc w:val="left"/>
      <w:pPr>
        <w:tabs>
          <w:tab w:val="left" w:pos="502"/>
        </w:tabs>
        <w:ind w:left="502" w:hanging="360"/>
      </w:pPr>
      <w:rPr>
        <w:rFonts w:hint="eastAsia" w:ascii="宋体" w:hAnsi="宋体" w:eastAsia="宋体" w:cs="Times New Roman"/>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2">
    <w:nsid w:val="759C4704"/>
    <w:multiLevelType w:val="singleLevel"/>
    <w:tmpl w:val="759C4704"/>
    <w:lvl w:ilvl="0" w:tentative="0">
      <w:start w:val="3"/>
      <w:numFmt w:val="decimal"/>
      <w:suff w:val="nothing"/>
      <w:lvlText w:val="%1、"/>
      <w:lvlJc w:val="left"/>
      <w:pPr>
        <w:ind w:left="12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ZDM4ODVjNmMyNzcyZWNjMDA2NDA3OWJkYjQ4MTgifQ=="/>
  </w:docVars>
  <w:rsids>
    <w:rsidRoot w:val="00527554"/>
    <w:rsid w:val="00001BD4"/>
    <w:rsid w:val="00002C22"/>
    <w:rsid w:val="00002CF1"/>
    <w:rsid w:val="00002F0C"/>
    <w:rsid w:val="00003B79"/>
    <w:rsid w:val="00005F7E"/>
    <w:rsid w:val="00006662"/>
    <w:rsid w:val="00011137"/>
    <w:rsid w:val="000136F7"/>
    <w:rsid w:val="00017404"/>
    <w:rsid w:val="000205DB"/>
    <w:rsid w:val="00021041"/>
    <w:rsid w:val="000311C2"/>
    <w:rsid w:val="0003206C"/>
    <w:rsid w:val="00032505"/>
    <w:rsid w:val="000405E2"/>
    <w:rsid w:val="000443D8"/>
    <w:rsid w:val="000510D6"/>
    <w:rsid w:val="00054946"/>
    <w:rsid w:val="00054BAC"/>
    <w:rsid w:val="00060172"/>
    <w:rsid w:val="00062C02"/>
    <w:rsid w:val="00072281"/>
    <w:rsid w:val="00072738"/>
    <w:rsid w:val="0007565C"/>
    <w:rsid w:val="00075AA0"/>
    <w:rsid w:val="000770F5"/>
    <w:rsid w:val="00077952"/>
    <w:rsid w:val="00077E04"/>
    <w:rsid w:val="00083AC4"/>
    <w:rsid w:val="00086CA3"/>
    <w:rsid w:val="00087764"/>
    <w:rsid w:val="0009008B"/>
    <w:rsid w:val="00095175"/>
    <w:rsid w:val="000966DF"/>
    <w:rsid w:val="000A224B"/>
    <w:rsid w:val="000A5A99"/>
    <w:rsid w:val="000A6009"/>
    <w:rsid w:val="000B0CDC"/>
    <w:rsid w:val="000B32B6"/>
    <w:rsid w:val="000B34D1"/>
    <w:rsid w:val="000B7CA2"/>
    <w:rsid w:val="000C0E8F"/>
    <w:rsid w:val="000C1384"/>
    <w:rsid w:val="000C1E7A"/>
    <w:rsid w:val="000C2991"/>
    <w:rsid w:val="000C3298"/>
    <w:rsid w:val="000C34CD"/>
    <w:rsid w:val="000C6C10"/>
    <w:rsid w:val="000D1D22"/>
    <w:rsid w:val="000D2037"/>
    <w:rsid w:val="000D2CD3"/>
    <w:rsid w:val="000D3AA8"/>
    <w:rsid w:val="000D60A4"/>
    <w:rsid w:val="000D715A"/>
    <w:rsid w:val="000D79B7"/>
    <w:rsid w:val="000E1025"/>
    <w:rsid w:val="000E29F0"/>
    <w:rsid w:val="000F2D6D"/>
    <w:rsid w:val="000F3D9A"/>
    <w:rsid w:val="000F463F"/>
    <w:rsid w:val="000F58CB"/>
    <w:rsid w:val="000F7702"/>
    <w:rsid w:val="000F7CE4"/>
    <w:rsid w:val="00100F17"/>
    <w:rsid w:val="00101642"/>
    <w:rsid w:val="00101840"/>
    <w:rsid w:val="00101AB1"/>
    <w:rsid w:val="00103656"/>
    <w:rsid w:val="0010405F"/>
    <w:rsid w:val="00104369"/>
    <w:rsid w:val="00104654"/>
    <w:rsid w:val="00106080"/>
    <w:rsid w:val="00106D83"/>
    <w:rsid w:val="00106E63"/>
    <w:rsid w:val="00111A2A"/>
    <w:rsid w:val="0011226B"/>
    <w:rsid w:val="00115C51"/>
    <w:rsid w:val="0011794D"/>
    <w:rsid w:val="001218C5"/>
    <w:rsid w:val="001303F0"/>
    <w:rsid w:val="00131AF8"/>
    <w:rsid w:val="00135CD4"/>
    <w:rsid w:val="0014321B"/>
    <w:rsid w:val="00144347"/>
    <w:rsid w:val="00145053"/>
    <w:rsid w:val="0015295F"/>
    <w:rsid w:val="001567FD"/>
    <w:rsid w:val="00156838"/>
    <w:rsid w:val="0016249E"/>
    <w:rsid w:val="00163B99"/>
    <w:rsid w:val="001647D6"/>
    <w:rsid w:val="0016644E"/>
    <w:rsid w:val="00173A9C"/>
    <w:rsid w:val="00173B60"/>
    <w:rsid w:val="001747AC"/>
    <w:rsid w:val="0017582E"/>
    <w:rsid w:val="00175A0E"/>
    <w:rsid w:val="001869C6"/>
    <w:rsid w:val="0019228F"/>
    <w:rsid w:val="001931EF"/>
    <w:rsid w:val="00194AFE"/>
    <w:rsid w:val="00195B01"/>
    <w:rsid w:val="0019689A"/>
    <w:rsid w:val="00196E80"/>
    <w:rsid w:val="001A0880"/>
    <w:rsid w:val="001A2058"/>
    <w:rsid w:val="001A26B7"/>
    <w:rsid w:val="001A2E58"/>
    <w:rsid w:val="001A55A4"/>
    <w:rsid w:val="001A64A2"/>
    <w:rsid w:val="001B1477"/>
    <w:rsid w:val="001B48D8"/>
    <w:rsid w:val="001B5861"/>
    <w:rsid w:val="001B5984"/>
    <w:rsid w:val="001C03E8"/>
    <w:rsid w:val="001C0B72"/>
    <w:rsid w:val="001C3A3D"/>
    <w:rsid w:val="001C4947"/>
    <w:rsid w:val="001C5207"/>
    <w:rsid w:val="001C59C1"/>
    <w:rsid w:val="001C760C"/>
    <w:rsid w:val="001D2909"/>
    <w:rsid w:val="001D2C1F"/>
    <w:rsid w:val="001D2CF2"/>
    <w:rsid w:val="001D4B14"/>
    <w:rsid w:val="001D4C49"/>
    <w:rsid w:val="001E1E49"/>
    <w:rsid w:val="001E29E9"/>
    <w:rsid w:val="001E3195"/>
    <w:rsid w:val="001E38FC"/>
    <w:rsid w:val="001E4800"/>
    <w:rsid w:val="001E66D8"/>
    <w:rsid w:val="001F14ED"/>
    <w:rsid w:val="001F3491"/>
    <w:rsid w:val="00202403"/>
    <w:rsid w:val="00204483"/>
    <w:rsid w:val="002049FF"/>
    <w:rsid w:val="00205080"/>
    <w:rsid w:val="00212C7F"/>
    <w:rsid w:val="00213EA1"/>
    <w:rsid w:val="002143FE"/>
    <w:rsid w:val="0022070B"/>
    <w:rsid w:val="00220C21"/>
    <w:rsid w:val="00222C62"/>
    <w:rsid w:val="00223F87"/>
    <w:rsid w:val="002303C9"/>
    <w:rsid w:val="00231C8D"/>
    <w:rsid w:val="00235AE3"/>
    <w:rsid w:val="0023669C"/>
    <w:rsid w:val="00241504"/>
    <w:rsid w:val="00242A03"/>
    <w:rsid w:val="002442F9"/>
    <w:rsid w:val="00244AA7"/>
    <w:rsid w:val="00254FF1"/>
    <w:rsid w:val="0025516D"/>
    <w:rsid w:val="0025580D"/>
    <w:rsid w:val="00256785"/>
    <w:rsid w:val="00257011"/>
    <w:rsid w:val="0026028F"/>
    <w:rsid w:val="00261FE6"/>
    <w:rsid w:val="0026574E"/>
    <w:rsid w:val="00267047"/>
    <w:rsid w:val="0026713A"/>
    <w:rsid w:val="00267C34"/>
    <w:rsid w:val="00272B5B"/>
    <w:rsid w:val="002748F7"/>
    <w:rsid w:val="0027531D"/>
    <w:rsid w:val="00277B2D"/>
    <w:rsid w:val="002814CE"/>
    <w:rsid w:val="002819AE"/>
    <w:rsid w:val="00282683"/>
    <w:rsid w:val="00283EBD"/>
    <w:rsid w:val="0028548B"/>
    <w:rsid w:val="002936B1"/>
    <w:rsid w:val="0029429A"/>
    <w:rsid w:val="002A0C32"/>
    <w:rsid w:val="002A1AAE"/>
    <w:rsid w:val="002A1B72"/>
    <w:rsid w:val="002A2C7D"/>
    <w:rsid w:val="002A3061"/>
    <w:rsid w:val="002A58FC"/>
    <w:rsid w:val="002A6662"/>
    <w:rsid w:val="002A74FD"/>
    <w:rsid w:val="002A7872"/>
    <w:rsid w:val="002B1FE6"/>
    <w:rsid w:val="002B52D9"/>
    <w:rsid w:val="002B6D85"/>
    <w:rsid w:val="002C06E3"/>
    <w:rsid w:val="002C1904"/>
    <w:rsid w:val="002C31FE"/>
    <w:rsid w:val="002C3AC8"/>
    <w:rsid w:val="002D53D4"/>
    <w:rsid w:val="002D6C7D"/>
    <w:rsid w:val="002E0820"/>
    <w:rsid w:val="002E0EEB"/>
    <w:rsid w:val="002E2F4A"/>
    <w:rsid w:val="002E3D3A"/>
    <w:rsid w:val="002E40A4"/>
    <w:rsid w:val="002F3136"/>
    <w:rsid w:val="002F60EA"/>
    <w:rsid w:val="0030610E"/>
    <w:rsid w:val="00306CE6"/>
    <w:rsid w:val="0031273C"/>
    <w:rsid w:val="00314B60"/>
    <w:rsid w:val="0032016E"/>
    <w:rsid w:val="00320821"/>
    <w:rsid w:val="00320C89"/>
    <w:rsid w:val="003217E1"/>
    <w:rsid w:val="0032228A"/>
    <w:rsid w:val="00322572"/>
    <w:rsid w:val="00325317"/>
    <w:rsid w:val="00330B6C"/>
    <w:rsid w:val="00331579"/>
    <w:rsid w:val="00337072"/>
    <w:rsid w:val="003403AF"/>
    <w:rsid w:val="003408CE"/>
    <w:rsid w:val="0034359E"/>
    <w:rsid w:val="00343913"/>
    <w:rsid w:val="00347833"/>
    <w:rsid w:val="00347B19"/>
    <w:rsid w:val="00351110"/>
    <w:rsid w:val="00353EA9"/>
    <w:rsid w:val="00353F08"/>
    <w:rsid w:val="00355735"/>
    <w:rsid w:val="00357A32"/>
    <w:rsid w:val="00362370"/>
    <w:rsid w:val="00362D2D"/>
    <w:rsid w:val="00364762"/>
    <w:rsid w:val="003656F0"/>
    <w:rsid w:val="00366822"/>
    <w:rsid w:val="0036738A"/>
    <w:rsid w:val="003717F8"/>
    <w:rsid w:val="00373425"/>
    <w:rsid w:val="00374870"/>
    <w:rsid w:val="00391220"/>
    <w:rsid w:val="00394A2F"/>
    <w:rsid w:val="00396121"/>
    <w:rsid w:val="00397244"/>
    <w:rsid w:val="003A218B"/>
    <w:rsid w:val="003A22BF"/>
    <w:rsid w:val="003A475D"/>
    <w:rsid w:val="003A6C2D"/>
    <w:rsid w:val="003B045D"/>
    <w:rsid w:val="003B0E7F"/>
    <w:rsid w:val="003B1BC6"/>
    <w:rsid w:val="003B588C"/>
    <w:rsid w:val="003B5A45"/>
    <w:rsid w:val="003B5CDA"/>
    <w:rsid w:val="003B7A0A"/>
    <w:rsid w:val="003C0E20"/>
    <w:rsid w:val="003C2F6B"/>
    <w:rsid w:val="003C35FD"/>
    <w:rsid w:val="003C3868"/>
    <w:rsid w:val="003C4A7C"/>
    <w:rsid w:val="003C4F54"/>
    <w:rsid w:val="003C69FB"/>
    <w:rsid w:val="003D137E"/>
    <w:rsid w:val="003D20CC"/>
    <w:rsid w:val="003E216D"/>
    <w:rsid w:val="003E2A40"/>
    <w:rsid w:val="003E3D5E"/>
    <w:rsid w:val="003E5203"/>
    <w:rsid w:val="003E5628"/>
    <w:rsid w:val="003F0D9B"/>
    <w:rsid w:val="003F1E11"/>
    <w:rsid w:val="003F2148"/>
    <w:rsid w:val="003F6D7E"/>
    <w:rsid w:val="003F73B6"/>
    <w:rsid w:val="00400FC1"/>
    <w:rsid w:val="00401869"/>
    <w:rsid w:val="00401968"/>
    <w:rsid w:val="00405276"/>
    <w:rsid w:val="00411E78"/>
    <w:rsid w:val="0041284A"/>
    <w:rsid w:val="00412F22"/>
    <w:rsid w:val="00414863"/>
    <w:rsid w:val="00417709"/>
    <w:rsid w:val="00423E28"/>
    <w:rsid w:val="0042587F"/>
    <w:rsid w:val="004259BB"/>
    <w:rsid w:val="00425BC5"/>
    <w:rsid w:val="00426611"/>
    <w:rsid w:val="004334A0"/>
    <w:rsid w:val="0043592A"/>
    <w:rsid w:val="00443A32"/>
    <w:rsid w:val="00445FA5"/>
    <w:rsid w:val="00446511"/>
    <w:rsid w:val="0045025D"/>
    <w:rsid w:val="00452084"/>
    <w:rsid w:val="004522FC"/>
    <w:rsid w:val="00452B16"/>
    <w:rsid w:val="00456D03"/>
    <w:rsid w:val="004619DC"/>
    <w:rsid w:val="00464714"/>
    <w:rsid w:val="00466CE2"/>
    <w:rsid w:val="00470A64"/>
    <w:rsid w:val="00470B77"/>
    <w:rsid w:val="00470F5E"/>
    <w:rsid w:val="004717FC"/>
    <w:rsid w:val="0048125D"/>
    <w:rsid w:val="0048406E"/>
    <w:rsid w:val="00484E3C"/>
    <w:rsid w:val="004927C6"/>
    <w:rsid w:val="0049373E"/>
    <w:rsid w:val="00495773"/>
    <w:rsid w:val="0049701C"/>
    <w:rsid w:val="0049778B"/>
    <w:rsid w:val="004A04F2"/>
    <w:rsid w:val="004A1875"/>
    <w:rsid w:val="004A2D59"/>
    <w:rsid w:val="004B5026"/>
    <w:rsid w:val="004B5609"/>
    <w:rsid w:val="004B6B5E"/>
    <w:rsid w:val="004C019D"/>
    <w:rsid w:val="004C2AFE"/>
    <w:rsid w:val="004C2FB9"/>
    <w:rsid w:val="004C37ED"/>
    <w:rsid w:val="004C39CA"/>
    <w:rsid w:val="004C41ED"/>
    <w:rsid w:val="004C45EE"/>
    <w:rsid w:val="004C6C64"/>
    <w:rsid w:val="004C7B27"/>
    <w:rsid w:val="004D37A4"/>
    <w:rsid w:val="004D3886"/>
    <w:rsid w:val="004D65A5"/>
    <w:rsid w:val="004E1560"/>
    <w:rsid w:val="004E1F4D"/>
    <w:rsid w:val="004E4E12"/>
    <w:rsid w:val="004E50F3"/>
    <w:rsid w:val="004E5A92"/>
    <w:rsid w:val="004F7457"/>
    <w:rsid w:val="00503A22"/>
    <w:rsid w:val="005040AE"/>
    <w:rsid w:val="0050538D"/>
    <w:rsid w:val="0050637C"/>
    <w:rsid w:val="00506B6F"/>
    <w:rsid w:val="00506BB3"/>
    <w:rsid w:val="0050785C"/>
    <w:rsid w:val="00507AC2"/>
    <w:rsid w:val="00511661"/>
    <w:rsid w:val="00514D28"/>
    <w:rsid w:val="00516AE4"/>
    <w:rsid w:val="005220C1"/>
    <w:rsid w:val="0052357E"/>
    <w:rsid w:val="00527554"/>
    <w:rsid w:val="00531F73"/>
    <w:rsid w:val="00536BBE"/>
    <w:rsid w:val="00540BD2"/>
    <w:rsid w:val="005415AE"/>
    <w:rsid w:val="00541631"/>
    <w:rsid w:val="00541704"/>
    <w:rsid w:val="00542152"/>
    <w:rsid w:val="0054636B"/>
    <w:rsid w:val="00546389"/>
    <w:rsid w:val="00551D29"/>
    <w:rsid w:val="00552292"/>
    <w:rsid w:val="0055392D"/>
    <w:rsid w:val="00554CD5"/>
    <w:rsid w:val="0055739D"/>
    <w:rsid w:val="00561752"/>
    <w:rsid w:val="005632EC"/>
    <w:rsid w:val="00565FC5"/>
    <w:rsid w:val="0056694C"/>
    <w:rsid w:val="00573F13"/>
    <w:rsid w:val="00577D64"/>
    <w:rsid w:val="005811F5"/>
    <w:rsid w:val="00582098"/>
    <w:rsid w:val="0058410A"/>
    <w:rsid w:val="00584281"/>
    <w:rsid w:val="00584DC1"/>
    <w:rsid w:val="0059018C"/>
    <w:rsid w:val="005907EA"/>
    <w:rsid w:val="0059218F"/>
    <w:rsid w:val="00592D7C"/>
    <w:rsid w:val="00594392"/>
    <w:rsid w:val="005963AC"/>
    <w:rsid w:val="005973FC"/>
    <w:rsid w:val="005A0314"/>
    <w:rsid w:val="005A126D"/>
    <w:rsid w:val="005A3AE3"/>
    <w:rsid w:val="005A5C52"/>
    <w:rsid w:val="005B1D51"/>
    <w:rsid w:val="005B4DF2"/>
    <w:rsid w:val="005B6E5C"/>
    <w:rsid w:val="005C3786"/>
    <w:rsid w:val="005C39A0"/>
    <w:rsid w:val="005D1A5A"/>
    <w:rsid w:val="005D242C"/>
    <w:rsid w:val="005E1669"/>
    <w:rsid w:val="005E26DA"/>
    <w:rsid w:val="005E35AB"/>
    <w:rsid w:val="005E6AFC"/>
    <w:rsid w:val="005F0C6B"/>
    <w:rsid w:val="005F34E3"/>
    <w:rsid w:val="005F4185"/>
    <w:rsid w:val="005F46BC"/>
    <w:rsid w:val="005F49F4"/>
    <w:rsid w:val="005F64A1"/>
    <w:rsid w:val="005F79D0"/>
    <w:rsid w:val="006006A5"/>
    <w:rsid w:val="006007CA"/>
    <w:rsid w:val="0060406F"/>
    <w:rsid w:val="006044DD"/>
    <w:rsid w:val="00614255"/>
    <w:rsid w:val="00614E6A"/>
    <w:rsid w:val="00615FC9"/>
    <w:rsid w:val="006204AD"/>
    <w:rsid w:val="006210F3"/>
    <w:rsid w:val="006263F5"/>
    <w:rsid w:val="00646D53"/>
    <w:rsid w:val="0064781D"/>
    <w:rsid w:val="00647DDD"/>
    <w:rsid w:val="006518E7"/>
    <w:rsid w:val="00653D0F"/>
    <w:rsid w:val="00654AFB"/>
    <w:rsid w:val="0065637B"/>
    <w:rsid w:val="00657D2A"/>
    <w:rsid w:val="00661859"/>
    <w:rsid w:val="00661EF5"/>
    <w:rsid w:val="0066318B"/>
    <w:rsid w:val="006644DF"/>
    <w:rsid w:val="006654B4"/>
    <w:rsid w:val="00667E38"/>
    <w:rsid w:val="00671130"/>
    <w:rsid w:val="00672927"/>
    <w:rsid w:val="0067362E"/>
    <w:rsid w:val="00675C70"/>
    <w:rsid w:val="006806C3"/>
    <w:rsid w:val="00681CB5"/>
    <w:rsid w:val="00682F02"/>
    <w:rsid w:val="0068453C"/>
    <w:rsid w:val="006849A8"/>
    <w:rsid w:val="0068674A"/>
    <w:rsid w:val="00687E5C"/>
    <w:rsid w:val="00690C4D"/>
    <w:rsid w:val="00692F47"/>
    <w:rsid w:val="00693B9E"/>
    <w:rsid w:val="00694F2B"/>
    <w:rsid w:val="00695DF3"/>
    <w:rsid w:val="006A162B"/>
    <w:rsid w:val="006A228D"/>
    <w:rsid w:val="006B17E4"/>
    <w:rsid w:val="006B2152"/>
    <w:rsid w:val="006B59E3"/>
    <w:rsid w:val="006B6C3C"/>
    <w:rsid w:val="006C38F0"/>
    <w:rsid w:val="006C69A1"/>
    <w:rsid w:val="006E1FA1"/>
    <w:rsid w:val="006E4533"/>
    <w:rsid w:val="006E5178"/>
    <w:rsid w:val="006E5723"/>
    <w:rsid w:val="006F05ED"/>
    <w:rsid w:val="006F0F89"/>
    <w:rsid w:val="006F4563"/>
    <w:rsid w:val="006F54B1"/>
    <w:rsid w:val="006F70D3"/>
    <w:rsid w:val="00700C53"/>
    <w:rsid w:val="00700F61"/>
    <w:rsid w:val="007017F0"/>
    <w:rsid w:val="007076A7"/>
    <w:rsid w:val="007146CA"/>
    <w:rsid w:val="00716CFF"/>
    <w:rsid w:val="0071798C"/>
    <w:rsid w:val="00720632"/>
    <w:rsid w:val="007216F7"/>
    <w:rsid w:val="00722CEA"/>
    <w:rsid w:val="007232EA"/>
    <w:rsid w:val="00724D2F"/>
    <w:rsid w:val="00726FEA"/>
    <w:rsid w:val="007322F1"/>
    <w:rsid w:val="00734E4F"/>
    <w:rsid w:val="00740CAB"/>
    <w:rsid w:val="00740DE5"/>
    <w:rsid w:val="00741F24"/>
    <w:rsid w:val="00743E31"/>
    <w:rsid w:val="007442B6"/>
    <w:rsid w:val="00747B03"/>
    <w:rsid w:val="0075073E"/>
    <w:rsid w:val="00750903"/>
    <w:rsid w:val="00751833"/>
    <w:rsid w:val="00753EF4"/>
    <w:rsid w:val="00757A8E"/>
    <w:rsid w:val="0076089D"/>
    <w:rsid w:val="007610E9"/>
    <w:rsid w:val="00764507"/>
    <w:rsid w:val="00764CF0"/>
    <w:rsid w:val="00765543"/>
    <w:rsid w:val="0076729C"/>
    <w:rsid w:val="0077026C"/>
    <w:rsid w:val="00770C02"/>
    <w:rsid w:val="007712AA"/>
    <w:rsid w:val="00771D33"/>
    <w:rsid w:val="007728E6"/>
    <w:rsid w:val="00773E25"/>
    <w:rsid w:val="00775358"/>
    <w:rsid w:val="0077665C"/>
    <w:rsid w:val="007769DB"/>
    <w:rsid w:val="00777F6A"/>
    <w:rsid w:val="0078280A"/>
    <w:rsid w:val="00784339"/>
    <w:rsid w:val="00785044"/>
    <w:rsid w:val="007858E7"/>
    <w:rsid w:val="00786B75"/>
    <w:rsid w:val="007900D7"/>
    <w:rsid w:val="007921FA"/>
    <w:rsid w:val="00793047"/>
    <w:rsid w:val="00796201"/>
    <w:rsid w:val="00797A83"/>
    <w:rsid w:val="007A3BE9"/>
    <w:rsid w:val="007A5900"/>
    <w:rsid w:val="007A6E39"/>
    <w:rsid w:val="007A6FE9"/>
    <w:rsid w:val="007B05A2"/>
    <w:rsid w:val="007B08E8"/>
    <w:rsid w:val="007B2357"/>
    <w:rsid w:val="007B36B5"/>
    <w:rsid w:val="007B5725"/>
    <w:rsid w:val="007B5BA4"/>
    <w:rsid w:val="007C1C6E"/>
    <w:rsid w:val="007C2AD2"/>
    <w:rsid w:val="007C520F"/>
    <w:rsid w:val="007D36F1"/>
    <w:rsid w:val="007D372C"/>
    <w:rsid w:val="007D4164"/>
    <w:rsid w:val="007D4FE0"/>
    <w:rsid w:val="007D5D98"/>
    <w:rsid w:val="007D6166"/>
    <w:rsid w:val="007D6B3C"/>
    <w:rsid w:val="007D7EB9"/>
    <w:rsid w:val="007E1403"/>
    <w:rsid w:val="007E384A"/>
    <w:rsid w:val="007E74FA"/>
    <w:rsid w:val="007F3665"/>
    <w:rsid w:val="007F7528"/>
    <w:rsid w:val="00800A70"/>
    <w:rsid w:val="00804FFD"/>
    <w:rsid w:val="008101DA"/>
    <w:rsid w:val="00811170"/>
    <w:rsid w:val="00811452"/>
    <w:rsid w:val="00814910"/>
    <w:rsid w:val="008200E8"/>
    <w:rsid w:val="00820A56"/>
    <w:rsid w:val="008213EF"/>
    <w:rsid w:val="00826178"/>
    <w:rsid w:val="00835146"/>
    <w:rsid w:val="00836CCA"/>
    <w:rsid w:val="00840F72"/>
    <w:rsid w:val="008416F8"/>
    <w:rsid w:val="00843AD9"/>
    <w:rsid w:val="00846B28"/>
    <w:rsid w:val="00846B71"/>
    <w:rsid w:val="00853947"/>
    <w:rsid w:val="00854D9E"/>
    <w:rsid w:val="008556EB"/>
    <w:rsid w:val="008617E9"/>
    <w:rsid w:val="00861A71"/>
    <w:rsid w:val="00861B78"/>
    <w:rsid w:val="00862B8F"/>
    <w:rsid w:val="00864220"/>
    <w:rsid w:val="008657CB"/>
    <w:rsid w:val="0087085A"/>
    <w:rsid w:val="0087378D"/>
    <w:rsid w:val="00873933"/>
    <w:rsid w:val="00873BBE"/>
    <w:rsid w:val="0087501D"/>
    <w:rsid w:val="0087689C"/>
    <w:rsid w:val="00876CC2"/>
    <w:rsid w:val="00877EE9"/>
    <w:rsid w:val="00882BCC"/>
    <w:rsid w:val="008845B1"/>
    <w:rsid w:val="00885126"/>
    <w:rsid w:val="00885665"/>
    <w:rsid w:val="00892603"/>
    <w:rsid w:val="0089752F"/>
    <w:rsid w:val="008A0BAD"/>
    <w:rsid w:val="008A19D9"/>
    <w:rsid w:val="008A1F24"/>
    <w:rsid w:val="008A380D"/>
    <w:rsid w:val="008A5749"/>
    <w:rsid w:val="008A5DBB"/>
    <w:rsid w:val="008A5F0B"/>
    <w:rsid w:val="008B0C8F"/>
    <w:rsid w:val="008B140D"/>
    <w:rsid w:val="008B1E5F"/>
    <w:rsid w:val="008B2113"/>
    <w:rsid w:val="008B26CF"/>
    <w:rsid w:val="008B3B9D"/>
    <w:rsid w:val="008B6037"/>
    <w:rsid w:val="008B67E4"/>
    <w:rsid w:val="008B7591"/>
    <w:rsid w:val="008C03E8"/>
    <w:rsid w:val="008C2D23"/>
    <w:rsid w:val="008C309F"/>
    <w:rsid w:val="008C70B0"/>
    <w:rsid w:val="008C747C"/>
    <w:rsid w:val="008D1A70"/>
    <w:rsid w:val="008D22C6"/>
    <w:rsid w:val="008D3537"/>
    <w:rsid w:val="008D6835"/>
    <w:rsid w:val="008E3AC8"/>
    <w:rsid w:val="008E52D7"/>
    <w:rsid w:val="008E6290"/>
    <w:rsid w:val="008E7672"/>
    <w:rsid w:val="008F1B57"/>
    <w:rsid w:val="008F2821"/>
    <w:rsid w:val="008F5738"/>
    <w:rsid w:val="00903E44"/>
    <w:rsid w:val="00904216"/>
    <w:rsid w:val="00904EFA"/>
    <w:rsid w:val="0090694C"/>
    <w:rsid w:val="00913C52"/>
    <w:rsid w:val="0091659A"/>
    <w:rsid w:val="00916641"/>
    <w:rsid w:val="00917EE4"/>
    <w:rsid w:val="009228FE"/>
    <w:rsid w:val="0092637E"/>
    <w:rsid w:val="00927E98"/>
    <w:rsid w:val="00931C32"/>
    <w:rsid w:val="00931F27"/>
    <w:rsid w:val="009366E3"/>
    <w:rsid w:val="00945839"/>
    <w:rsid w:val="00946826"/>
    <w:rsid w:val="00955EED"/>
    <w:rsid w:val="009625E7"/>
    <w:rsid w:val="00963542"/>
    <w:rsid w:val="0096371E"/>
    <w:rsid w:val="00966A4B"/>
    <w:rsid w:val="009676CF"/>
    <w:rsid w:val="00967C8F"/>
    <w:rsid w:val="009710E7"/>
    <w:rsid w:val="00972747"/>
    <w:rsid w:val="0097452F"/>
    <w:rsid w:val="009770F4"/>
    <w:rsid w:val="009840DE"/>
    <w:rsid w:val="00991511"/>
    <w:rsid w:val="0099468D"/>
    <w:rsid w:val="00997DF9"/>
    <w:rsid w:val="00997E4D"/>
    <w:rsid w:val="009A0D95"/>
    <w:rsid w:val="009A1A7C"/>
    <w:rsid w:val="009A1BCE"/>
    <w:rsid w:val="009A1D4E"/>
    <w:rsid w:val="009A24A7"/>
    <w:rsid w:val="009B0754"/>
    <w:rsid w:val="009B1E9E"/>
    <w:rsid w:val="009B20D2"/>
    <w:rsid w:val="009B7F49"/>
    <w:rsid w:val="009C10E1"/>
    <w:rsid w:val="009C1530"/>
    <w:rsid w:val="009C327B"/>
    <w:rsid w:val="009C7594"/>
    <w:rsid w:val="009D1003"/>
    <w:rsid w:val="009D1B37"/>
    <w:rsid w:val="009D2E8D"/>
    <w:rsid w:val="009D41E3"/>
    <w:rsid w:val="009D5AC6"/>
    <w:rsid w:val="009D6A3E"/>
    <w:rsid w:val="009E2DDB"/>
    <w:rsid w:val="009E5DDC"/>
    <w:rsid w:val="009E5EC5"/>
    <w:rsid w:val="009E7A33"/>
    <w:rsid w:val="009F21B1"/>
    <w:rsid w:val="009F4384"/>
    <w:rsid w:val="009F4963"/>
    <w:rsid w:val="009F5728"/>
    <w:rsid w:val="00A053CB"/>
    <w:rsid w:val="00A0690F"/>
    <w:rsid w:val="00A133F5"/>
    <w:rsid w:val="00A1430E"/>
    <w:rsid w:val="00A1497B"/>
    <w:rsid w:val="00A151ED"/>
    <w:rsid w:val="00A20471"/>
    <w:rsid w:val="00A2215F"/>
    <w:rsid w:val="00A25FA1"/>
    <w:rsid w:val="00A30304"/>
    <w:rsid w:val="00A3658B"/>
    <w:rsid w:val="00A372CB"/>
    <w:rsid w:val="00A4020F"/>
    <w:rsid w:val="00A416F1"/>
    <w:rsid w:val="00A4404D"/>
    <w:rsid w:val="00A467BE"/>
    <w:rsid w:val="00A46914"/>
    <w:rsid w:val="00A51AE6"/>
    <w:rsid w:val="00A55507"/>
    <w:rsid w:val="00A563A2"/>
    <w:rsid w:val="00A56D28"/>
    <w:rsid w:val="00A61772"/>
    <w:rsid w:val="00A6617D"/>
    <w:rsid w:val="00A71863"/>
    <w:rsid w:val="00A72B98"/>
    <w:rsid w:val="00A751B9"/>
    <w:rsid w:val="00A76EDC"/>
    <w:rsid w:val="00A81664"/>
    <w:rsid w:val="00A82AA8"/>
    <w:rsid w:val="00A836B2"/>
    <w:rsid w:val="00A8490C"/>
    <w:rsid w:val="00A85E5F"/>
    <w:rsid w:val="00A85FEF"/>
    <w:rsid w:val="00A864F0"/>
    <w:rsid w:val="00A870AE"/>
    <w:rsid w:val="00A870DD"/>
    <w:rsid w:val="00A91596"/>
    <w:rsid w:val="00A91C97"/>
    <w:rsid w:val="00A96CA4"/>
    <w:rsid w:val="00A97001"/>
    <w:rsid w:val="00AA1B72"/>
    <w:rsid w:val="00AA5546"/>
    <w:rsid w:val="00AA6412"/>
    <w:rsid w:val="00AB0CD9"/>
    <w:rsid w:val="00AB263C"/>
    <w:rsid w:val="00AB29DB"/>
    <w:rsid w:val="00AB2E86"/>
    <w:rsid w:val="00AB3A72"/>
    <w:rsid w:val="00AC25E8"/>
    <w:rsid w:val="00AC33C0"/>
    <w:rsid w:val="00AC4FE1"/>
    <w:rsid w:val="00AC514F"/>
    <w:rsid w:val="00AC5AE7"/>
    <w:rsid w:val="00AD08A4"/>
    <w:rsid w:val="00AD3E24"/>
    <w:rsid w:val="00AD5D3C"/>
    <w:rsid w:val="00AD6D59"/>
    <w:rsid w:val="00AE04B7"/>
    <w:rsid w:val="00AE1233"/>
    <w:rsid w:val="00AE1789"/>
    <w:rsid w:val="00AE2D2A"/>
    <w:rsid w:val="00AE4552"/>
    <w:rsid w:val="00AE63BB"/>
    <w:rsid w:val="00AE729E"/>
    <w:rsid w:val="00AF0331"/>
    <w:rsid w:val="00AF067E"/>
    <w:rsid w:val="00AF1921"/>
    <w:rsid w:val="00AF2338"/>
    <w:rsid w:val="00AF51F1"/>
    <w:rsid w:val="00AF5912"/>
    <w:rsid w:val="00AF7D9F"/>
    <w:rsid w:val="00B005DA"/>
    <w:rsid w:val="00B01B90"/>
    <w:rsid w:val="00B04FA3"/>
    <w:rsid w:val="00B0538E"/>
    <w:rsid w:val="00B07AE8"/>
    <w:rsid w:val="00B07B3B"/>
    <w:rsid w:val="00B11BC4"/>
    <w:rsid w:val="00B12F99"/>
    <w:rsid w:val="00B20DB1"/>
    <w:rsid w:val="00B2144D"/>
    <w:rsid w:val="00B229E4"/>
    <w:rsid w:val="00B3432B"/>
    <w:rsid w:val="00B4303C"/>
    <w:rsid w:val="00B510A4"/>
    <w:rsid w:val="00B51514"/>
    <w:rsid w:val="00B52E45"/>
    <w:rsid w:val="00B578A1"/>
    <w:rsid w:val="00B619F4"/>
    <w:rsid w:val="00B64426"/>
    <w:rsid w:val="00B6545E"/>
    <w:rsid w:val="00B65720"/>
    <w:rsid w:val="00B65CC6"/>
    <w:rsid w:val="00B703A5"/>
    <w:rsid w:val="00B712D5"/>
    <w:rsid w:val="00B71866"/>
    <w:rsid w:val="00B73A11"/>
    <w:rsid w:val="00B74958"/>
    <w:rsid w:val="00B76677"/>
    <w:rsid w:val="00B7739B"/>
    <w:rsid w:val="00B81007"/>
    <w:rsid w:val="00B82424"/>
    <w:rsid w:val="00B831E6"/>
    <w:rsid w:val="00B8396B"/>
    <w:rsid w:val="00B921F7"/>
    <w:rsid w:val="00B95773"/>
    <w:rsid w:val="00B97E4D"/>
    <w:rsid w:val="00BA0E6F"/>
    <w:rsid w:val="00BA5D4C"/>
    <w:rsid w:val="00BA67CE"/>
    <w:rsid w:val="00BB2D89"/>
    <w:rsid w:val="00BB633D"/>
    <w:rsid w:val="00BB6D72"/>
    <w:rsid w:val="00BC161B"/>
    <w:rsid w:val="00BC3AAA"/>
    <w:rsid w:val="00BD0577"/>
    <w:rsid w:val="00BD3492"/>
    <w:rsid w:val="00BD50EC"/>
    <w:rsid w:val="00BD640E"/>
    <w:rsid w:val="00BE1AF1"/>
    <w:rsid w:val="00BE3CBB"/>
    <w:rsid w:val="00BE624B"/>
    <w:rsid w:val="00BF068D"/>
    <w:rsid w:val="00BF2F9A"/>
    <w:rsid w:val="00C01089"/>
    <w:rsid w:val="00C020E5"/>
    <w:rsid w:val="00C047A9"/>
    <w:rsid w:val="00C04A17"/>
    <w:rsid w:val="00C10753"/>
    <w:rsid w:val="00C15E8F"/>
    <w:rsid w:val="00C2253F"/>
    <w:rsid w:val="00C22A2B"/>
    <w:rsid w:val="00C267E7"/>
    <w:rsid w:val="00C30433"/>
    <w:rsid w:val="00C36C45"/>
    <w:rsid w:val="00C431D8"/>
    <w:rsid w:val="00C43561"/>
    <w:rsid w:val="00C43B20"/>
    <w:rsid w:val="00C46743"/>
    <w:rsid w:val="00C46D9F"/>
    <w:rsid w:val="00C525C7"/>
    <w:rsid w:val="00C5277D"/>
    <w:rsid w:val="00C53324"/>
    <w:rsid w:val="00C56690"/>
    <w:rsid w:val="00C60C60"/>
    <w:rsid w:val="00C649F3"/>
    <w:rsid w:val="00C67ACE"/>
    <w:rsid w:val="00C72DEC"/>
    <w:rsid w:val="00C72E4B"/>
    <w:rsid w:val="00C7536C"/>
    <w:rsid w:val="00C80DE6"/>
    <w:rsid w:val="00C81271"/>
    <w:rsid w:val="00C81301"/>
    <w:rsid w:val="00C82176"/>
    <w:rsid w:val="00C82550"/>
    <w:rsid w:val="00C847B8"/>
    <w:rsid w:val="00C85A49"/>
    <w:rsid w:val="00C87F1F"/>
    <w:rsid w:val="00C90210"/>
    <w:rsid w:val="00C9082A"/>
    <w:rsid w:val="00C908AC"/>
    <w:rsid w:val="00C929A3"/>
    <w:rsid w:val="00C93E00"/>
    <w:rsid w:val="00C949EB"/>
    <w:rsid w:val="00C96442"/>
    <w:rsid w:val="00CA08FC"/>
    <w:rsid w:val="00CA17D5"/>
    <w:rsid w:val="00CA6958"/>
    <w:rsid w:val="00CA7747"/>
    <w:rsid w:val="00CB22F3"/>
    <w:rsid w:val="00CB236A"/>
    <w:rsid w:val="00CB24AA"/>
    <w:rsid w:val="00CB3E52"/>
    <w:rsid w:val="00CB5B01"/>
    <w:rsid w:val="00CB781E"/>
    <w:rsid w:val="00CB7BE0"/>
    <w:rsid w:val="00CC1630"/>
    <w:rsid w:val="00CC399F"/>
    <w:rsid w:val="00CC4327"/>
    <w:rsid w:val="00CC43DF"/>
    <w:rsid w:val="00CC5D2D"/>
    <w:rsid w:val="00CC6217"/>
    <w:rsid w:val="00CD19F4"/>
    <w:rsid w:val="00CE44EA"/>
    <w:rsid w:val="00CE55A0"/>
    <w:rsid w:val="00CF039F"/>
    <w:rsid w:val="00CF4808"/>
    <w:rsid w:val="00D00284"/>
    <w:rsid w:val="00D00F2A"/>
    <w:rsid w:val="00D01192"/>
    <w:rsid w:val="00D02DA7"/>
    <w:rsid w:val="00D02DBB"/>
    <w:rsid w:val="00D03A3C"/>
    <w:rsid w:val="00D05F73"/>
    <w:rsid w:val="00D07372"/>
    <w:rsid w:val="00D10D79"/>
    <w:rsid w:val="00D119DE"/>
    <w:rsid w:val="00D15EAB"/>
    <w:rsid w:val="00D162B1"/>
    <w:rsid w:val="00D16A89"/>
    <w:rsid w:val="00D21742"/>
    <w:rsid w:val="00D23615"/>
    <w:rsid w:val="00D259A7"/>
    <w:rsid w:val="00D332C0"/>
    <w:rsid w:val="00D34EDB"/>
    <w:rsid w:val="00D37FB9"/>
    <w:rsid w:val="00D42B3C"/>
    <w:rsid w:val="00D51776"/>
    <w:rsid w:val="00D5277A"/>
    <w:rsid w:val="00D55843"/>
    <w:rsid w:val="00D60315"/>
    <w:rsid w:val="00D64E1E"/>
    <w:rsid w:val="00D65749"/>
    <w:rsid w:val="00D6669F"/>
    <w:rsid w:val="00D73D5F"/>
    <w:rsid w:val="00D76407"/>
    <w:rsid w:val="00D77189"/>
    <w:rsid w:val="00D8159C"/>
    <w:rsid w:val="00D8216E"/>
    <w:rsid w:val="00D85B44"/>
    <w:rsid w:val="00D90275"/>
    <w:rsid w:val="00D90F1C"/>
    <w:rsid w:val="00D90F29"/>
    <w:rsid w:val="00D9313F"/>
    <w:rsid w:val="00D94A16"/>
    <w:rsid w:val="00D97F54"/>
    <w:rsid w:val="00DA2B38"/>
    <w:rsid w:val="00DA483A"/>
    <w:rsid w:val="00DA6948"/>
    <w:rsid w:val="00DB0ECC"/>
    <w:rsid w:val="00DB1D3A"/>
    <w:rsid w:val="00DB230E"/>
    <w:rsid w:val="00DC1D57"/>
    <w:rsid w:val="00DC3221"/>
    <w:rsid w:val="00DD6A5F"/>
    <w:rsid w:val="00DE0C1F"/>
    <w:rsid w:val="00DE1427"/>
    <w:rsid w:val="00DE2647"/>
    <w:rsid w:val="00DE5F03"/>
    <w:rsid w:val="00DF0077"/>
    <w:rsid w:val="00DF2DCD"/>
    <w:rsid w:val="00E068F6"/>
    <w:rsid w:val="00E16E4B"/>
    <w:rsid w:val="00E224F1"/>
    <w:rsid w:val="00E244FB"/>
    <w:rsid w:val="00E25E98"/>
    <w:rsid w:val="00E30463"/>
    <w:rsid w:val="00E30DB2"/>
    <w:rsid w:val="00E321CB"/>
    <w:rsid w:val="00E322A3"/>
    <w:rsid w:val="00E35AB7"/>
    <w:rsid w:val="00E36A23"/>
    <w:rsid w:val="00E37010"/>
    <w:rsid w:val="00E378BF"/>
    <w:rsid w:val="00E37908"/>
    <w:rsid w:val="00E418EE"/>
    <w:rsid w:val="00E43C8F"/>
    <w:rsid w:val="00E44D40"/>
    <w:rsid w:val="00E45364"/>
    <w:rsid w:val="00E468D7"/>
    <w:rsid w:val="00E507E8"/>
    <w:rsid w:val="00E560EF"/>
    <w:rsid w:val="00E62B30"/>
    <w:rsid w:val="00E659A3"/>
    <w:rsid w:val="00E67688"/>
    <w:rsid w:val="00E7087B"/>
    <w:rsid w:val="00E719B8"/>
    <w:rsid w:val="00E76191"/>
    <w:rsid w:val="00E823E9"/>
    <w:rsid w:val="00E82C7E"/>
    <w:rsid w:val="00E83006"/>
    <w:rsid w:val="00E843EB"/>
    <w:rsid w:val="00E844B5"/>
    <w:rsid w:val="00E844BB"/>
    <w:rsid w:val="00E85BC7"/>
    <w:rsid w:val="00E90BA5"/>
    <w:rsid w:val="00E963CC"/>
    <w:rsid w:val="00E964DA"/>
    <w:rsid w:val="00E96735"/>
    <w:rsid w:val="00EA0F9F"/>
    <w:rsid w:val="00EA2035"/>
    <w:rsid w:val="00EA30A7"/>
    <w:rsid w:val="00EA4DF0"/>
    <w:rsid w:val="00EA73B0"/>
    <w:rsid w:val="00EB0DB7"/>
    <w:rsid w:val="00EB1EA9"/>
    <w:rsid w:val="00EB37DD"/>
    <w:rsid w:val="00EB3CD6"/>
    <w:rsid w:val="00EB6EE6"/>
    <w:rsid w:val="00EC0590"/>
    <w:rsid w:val="00EC11DC"/>
    <w:rsid w:val="00EC23E9"/>
    <w:rsid w:val="00EC3D21"/>
    <w:rsid w:val="00EC493D"/>
    <w:rsid w:val="00EC49AE"/>
    <w:rsid w:val="00EC5149"/>
    <w:rsid w:val="00EC5E35"/>
    <w:rsid w:val="00EC7450"/>
    <w:rsid w:val="00ED3D54"/>
    <w:rsid w:val="00ED6433"/>
    <w:rsid w:val="00ED73C8"/>
    <w:rsid w:val="00EE1744"/>
    <w:rsid w:val="00EE4F9E"/>
    <w:rsid w:val="00EE5E47"/>
    <w:rsid w:val="00EE6A6B"/>
    <w:rsid w:val="00EF0FCA"/>
    <w:rsid w:val="00EF5C3F"/>
    <w:rsid w:val="00EF75F6"/>
    <w:rsid w:val="00F021E0"/>
    <w:rsid w:val="00F02EC3"/>
    <w:rsid w:val="00F02F13"/>
    <w:rsid w:val="00F03580"/>
    <w:rsid w:val="00F11AD9"/>
    <w:rsid w:val="00F1337B"/>
    <w:rsid w:val="00F14876"/>
    <w:rsid w:val="00F14AEA"/>
    <w:rsid w:val="00F211A4"/>
    <w:rsid w:val="00F21A77"/>
    <w:rsid w:val="00F26FF0"/>
    <w:rsid w:val="00F315E4"/>
    <w:rsid w:val="00F32535"/>
    <w:rsid w:val="00F366E3"/>
    <w:rsid w:val="00F4389B"/>
    <w:rsid w:val="00F512B0"/>
    <w:rsid w:val="00F51813"/>
    <w:rsid w:val="00F51AD5"/>
    <w:rsid w:val="00F521BC"/>
    <w:rsid w:val="00F53339"/>
    <w:rsid w:val="00F53FAA"/>
    <w:rsid w:val="00F556FB"/>
    <w:rsid w:val="00F57E54"/>
    <w:rsid w:val="00F61CD8"/>
    <w:rsid w:val="00F6557C"/>
    <w:rsid w:val="00F661E0"/>
    <w:rsid w:val="00F6725D"/>
    <w:rsid w:val="00F7309B"/>
    <w:rsid w:val="00F74470"/>
    <w:rsid w:val="00F74777"/>
    <w:rsid w:val="00F74A04"/>
    <w:rsid w:val="00F76F88"/>
    <w:rsid w:val="00F82CF3"/>
    <w:rsid w:val="00F837A8"/>
    <w:rsid w:val="00F837ED"/>
    <w:rsid w:val="00F83C7B"/>
    <w:rsid w:val="00F900A3"/>
    <w:rsid w:val="00F90A97"/>
    <w:rsid w:val="00F913A0"/>
    <w:rsid w:val="00F9279E"/>
    <w:rsid w:val="00F950E6"/>
    <w:rsid w:val="00F962EF"/>
    <w:rsid w:val="00FA01B3"/>
    <w:rsid w:val="00FA0807"/>
    <w:rsid w:val="00FA09C3"/>
    <w:rsid w:val="00FA17C8"/>
    <w:rsid w:val="00FA19C2"/>
    <w:rsid w:val="00FA530D"/>
    <w:rsid w:val="00FA5625"/>
    <w:rsid w:val="00FA6D5D"/>
    <w:rsid w:val="00FA7BC6"/>
    <w:rsid w:val="00FB5E87"/>
    <w:rsid w:val="00FC4899"/>
    <w:rsid w:val="00FC4AAA"/>
    <w:rsid w:val="00FC689E"/>
    <w:rsid w:val="00FC6AB1"/>
    <w:rsid w:val="00FC71AE"/>
    <w:rsid w:val="00FD167A"/>
    <w:rsid w:val="00FD46BD"/>
    <w:rsid w:val="00FD4860"/>
    <w:rsid w:val="00FD552B"/>
    <w:rsid w:val="00FE09DB"/>
    <w:rsid w:val="00FE2BF0"/>
    <w:rsid w:val="00FE2E0C"/>
    <w:rsid w:val="00FE5D80"/>
    <w:rsid w:val="00FF0172"/>
    <w:rsid w:val="00FF1BA8"/>
    <w:rsid w:val="00FF1ED5"/>
    <w:rsid w:val="00FF2C4E"/>
    <w:rsid w:val="00FF42B7"/>
    <w:rsid w:val="00FF46B9"/>
    <w:rsid w:val="00FF557F"/>
    <w:rsid w:val="02677CD8"/>
    <w:rsid w:val="03C00B64"/>
    <w:rsid w:val="06D550A2"/>
    <w:rsid w:val="09932FCE"/>
    <w:rsid w:val="0C0A1AE2"/>
    <w:rsid w:val="0D6E49D0"/>
    <w:rsid w:val="0EC7480D"/>
    <w:rsid w:val="0FDD28C2"/>
    <w:rsid w:val="12DB474B"/>
    <w:rsid w:val="14B2505B"/>
    <w:rsid w:val="181136F0"/>
    <w:rsid w:val="192C49C4"/>
    <w:rsid w:val="1CA02326"/>
    <w:rsid w:val="1CA87382"/>
    <w:rsid w:val="201155AF"/>
    <w:rsid w:val="21F02997"/>
    <w:rsid w:val="26277DC6"/>
    <w:rsid w:val="268325FA"/>
    <w:rsid w:val="27DA3F64"/>
    <w:rsid w:val="2BB02938"/>
    <w:rsid w:val="3099285D"/>
    <w:rsid w:val="36F9408D"/>
    <w:rsid w:val="36FF7BE6"/>
    <w:rsid w:val="37E34DEA"/>
    <w:rsid w:val="381F0236"/>
    <w:rsid w:val="3EA83117"/>
    <w:rsid w:val="41F86563"/>
    <w:rsid w:val="428921AC"/>
    <w:rsid w:val="44A96742"/>
    <w:rsid w:val="45A94C39"/>
    <w:rsid w:val="52AD0730"/>
    <w:rsid w:val="54F63E34"/>
    <w:rsid w:val="57970ED2"/>
    <w:rsid w:val="5A756EA5"/>
    <w:rsid w:val="5D4F5A84"/>
    <w:rsid w:val="5E231BA8"/>
    <w:rsid w:val="5ED82947"/>
    <w:rsid w:val="63106EDC"/>
    <w:rsid w:val="67773941"/>
    <w:rsid w:val="67E17376"/>
    <w:rsid w:val="6A2948B6"/>
    <w:rsid w:val="6ED02A10"/>
    <w:rsid w:val="6F032468"/>
    <w:rsid w:val="6F235519"/>
    <w:rsid w:val="732A6EDB"/>
    <w:rsid w:val="73B30682"/>
    <w:rsid w:val="75D17572"/>
    <w:rsid w:val="763C5432"/>
    <w:rsid w:val="7BFA5C09"/>
    <w:rsid w:val="7EEC5878"/>
    <w:rsid w:val="7F7104C1"/>
    <w:rsid w:val="7FB70E72"/>
    <w:rsid w:val="B46FC1A1"/>
    <w:rsid w:val="F7D7402B"/>
    <w:rsid w:val="FFFA9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40" w:after="40" w:line="360" w:lineRule="auto"/>
      <w:jc w:val="center"/>
      <w:outlineLvl w:val="0"/>
    </w:pPr>
    <w:rPr>
      <w:b/>
      <w:kern w:val="44"/>
      <w:sz w:val="44"/>
      <w:szCs w:val="20"/>
    </w:rPr>
  </w:style>
  <w:style w:type="paragraph" w:styleId="4">
    <w:name w:val="heading 2"/>
    <w:basedOn w:val="1"/>
    <w:next w:val="2"/>
    <w:link w:val="52"/>
    <w:qFormat/>
    <w:uiPriority w:val="0"/>
    <w:pPr>
      <w:keepNext/>
      <w:keepLines/>
      <w:spacing w:before="60" w:after="60" w:line="560" w:lineRule="exact"/>
      <w:outlineLvl w:val="1"/>
    </w:pPr>
    <w:rPr>
      <w:rFonts w:ascii="Arial" w:hAnsi="Arial" w:eastAsia="黑体"/>
      <w:b/>
      <w:sz w:val="32"/>
      <w:szCs w:val="20"/>
    </w:rPr>
  </w:style>
  <w:style w:type="paragraph" w:styleId="5">
    <w:name w:val="heading 3"/>
    <w:basedOn w:val="1"/>
    <w:next w:val="1"/>
    <w:link w:val="53"/>
    <w:qFormat/>
    <w:uiPriority w:val="0"/>
    <w:pPr>
      <w:keepNext/>
      <w:keepLines/>
      <w:spacing w:before="50" w:beforeLines="50" w:after="50" w:afterLines="50" w:line="500" w:lineRule="exact"/>
      <w:jc w:val="left"/>
      <w:outlineLvl w:val="2"/>
    </w:pPr>
    <w:rPr>
      <w:b/>
      <w:sz w:val="28"/>
      <w:szCs w:val="20"/>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55"/>
    <w:qFormat/>
    <w:uiPriority w:val="0"/>
    <w:pPr>
      <w:keepNext/>
      <w:keepLines/>
      <w:spacing w:before="280" w:after="290" w:line="372" w:lineRule="auto"/>
      <w:outlineLvl w:val="4"/>
    </w:pPr>
    <w:rPr>
      <w:b/>
      <w:sz w:val="28"/>
    </w:rPr>
  </w:style>
  <w:style w:type="paragraph" w:styleId="8">
    <w:name w:val="heading 6"/>
    <w:basedOn w:val="1"/>
    <w:next w:val="2"/>
    <w:link w:val="56"/>
    <w:qFormat/>
    <w:uiPriority w:val="0"/>
    <w:pPr>
      <w:keepNext/>
      <w:keepLines/>
      <w:spacing w:before="240" w:after="64" w:line="316" w:lineRule="auto"/>
      <w:outlineLvl w:val="5"/>
    </w:pPr>
    <w:rPr>
      <w:rFonts w:ascii="Arial" w:hAnsi="Arial" w:eastAsia="黑体"/>
      <w:b/>
      <w:sz w:val="24"/>
    </w:rPr>
  </w:style>
  <w:style w:type="paragraph" w:styleId="9">
    <w:name w:val="heading 7"/>
    <w:basedOn w:val="1"/>
    <w:next w:val="2"/>
    <w:link w:val="57"/>
    <w:qFormat/>
    <w:uiPriority w:val="0"/>
    <w:pPr>
      <w:keepNext/>
      <w:keepLines/>
      <w:spacing w:before="240" w:after="64" w:line="316" w:lineRule="auto"/>
      <w:outlineLvl w:val="6"/>
    </w:pPr>
    <w:rPr>
      <w:b/>
      <w:sz w:val="24"/>
    </w:rPr>
  </w:style>
  <w:style w:type="paragraph" w:styleId="10">
    <w:name w:val="heading 8"/>
    <w:basedOn w:val="1"/>
    <w:next w:val="2"/>
    <w:link w:val="58"/>
    <w:qFormat/>
    <w:uiPriority w:val="0"/>
    <w:pPr>
      <w:keepNext/>
      <w:keepLines/>
      <w:spacing w:before="240" w:after="64" w:line="316" w:lineRule="auto"/>
      <w:outlineLvl w:val="7"/>
    </w:pPr>
    <w:rPr>
      <w:rFonts w:ascii="Arial" w:hAnsi="Arial" w:eastAsia="黑体"/>
      <w:sz w:val="24"/>
    </w:rPr>
  </w:style>
  <w:style w:type="paragraph" w:styleId="11">
    <w:name w:val="heading 9"/>
    <w:basedOn w:val="1"/>
    <w:next w:val="2"/>
    <w:link w:val="59"/>
    <w:qFormat/>
    <w:uiPriority w:val="0"/>
    <w:pPr>
      <w:keepNext/>
      <w:keepLines/>
      <w:spacing w:before="240" w:after="64" w:line="316"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9"/>
    <w:qFormat/>
    <w:uiPriority w:val="0"/>
    <w:pPr>
      <w:ind w:firstLine="420"/>
    </w:pPr>
    <w:rPr>
      <w:szCs w:val="20"/>
    </w:rPr>
  </w:style>
  <w:style w:type="paragraph" w:styleId="12">
    <w:name w:val="toc 7"/>
    <w:basedOn w:val="1"/>
    <w:next w:val="1"/>
    <w:qFormat/>
    <w:uiPriority w:val="39"/>
    <w:pPr>
      <w:ind w:left="2520" w:leftChars="1200"/>
    </w:pPr>
    <w:rPr>
      <w:szCs w:val="22"/>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91"/>
    <w:qFormat/>
    <w:uiPriority w:val="0"/>
    <w:pPr>
      <w:shd w:val="clear" w:color="auto" w:fill="000080"/>
    </w:pPr>
    <w:rPr>
      <w:kern w:val="0"/>
      <w:sz w:val="20"/>
      <w:shd w:val="clear" w:color="auto" w:fill="000080"/>
    </w:rPr>
  </w:style>
  <w:style w:type="paragraph" w:styleId="15">
    <w:name w:val="annotation text"/>
    <w:basedOn w:val="1"/>
    <w:link w:val="60"/>
    <w:qFormat/>
    <w:uiPriority w:val="0"/>
    <w:pPr>
      <w:jc w:val="left"/>
    </w:pPr>
  </w:style>
  <w:style w:type="paragraph" w:styleId="16">
    <w:name w:val="Body Text"/>
    <w:basedOn w:val="1"/>
    <w:next w:val="1"/>
    <w:link w:val="61"/>
    <w:qFormat/>
    <w:uiPriority w:val="0"/>
    <w:pPr>
      <w:jc w:val="left"/>
    </w:pPr>
    <w:rPr>
      <w:rFonts w:ascii="Copperplate Gothic Bold" w:hAnsi="Copperplate Gothic Bold"/>
      <w:kern w:val="0"/>
      <w:sz w:val="20"/>
      <w:szCs w:val="20"/>
    </w:rPr>
  </w:style>
  <w:style w:type="paragraph" w:styleId="17">
    <w:name w:val="Body Text Indent"/>
    <w:basedOn w:val="1"/>
    <w:link w:val="62"/>
    <w:qFormat/>
    <w:uiPriority w:val="0"/>
    <w:pPr>
      <w:ind w:firstLine="630"/>
    </w:pPr>
    <w:rPr>
      <w:sz w:val="32"/>
      <w:szCs w:val="20"/>
    </w:rPr>
  </w:style>
  <w:style w:type="paragraph" w:styleId="18">
    <w:name w:val="index 4"/>
    <w:basedOn w:val="1"/>
    <w:next w:val="1"/>
    <w:qFormat/>
    <w:uiPriority w:val="0"/>
    <w:pPr>
      <w:ind w:left="600" w:leftChars="600"/>
    </w:pPr>
  </w:style>
  <w:style w:type="paragraph" w:styleId="19">
    <w:name w:val="toc 5"/>
    <w:basedOn w:val="1"/>
    <w:next w:val="1"/>
    <w:qFormat/>
    <w:uiPriority w:val="39"/>
    <w:pPr>
      <w:tabs>
        <w:tab w:val="right" w:leader="dot" w:pos="8296"/>
      </w:tabs>
      <w:ind w:left="1050" w:leftChars="500"/>
    </w:pPr>
    <w:rPr>
      <w:szCs w:val="22"/>
    </w:rPr>
  </w:style>
  <w:style w:type="paragraph" w:styleId="20">
    <w:name w:val="toc 3"/>
    <w:basedOn w:val="1"/>
    <w:next w:val="1"/>
    <w:unhideWhenUsed/>
    <w:qFormat/>
    <w:uiPriority w:val="39"/>
    <w:pPr>
      <w:ind w:left="840" w:leftChars="400"/>
    </w:pPr>
  </w:style>
  <w:style w:type="paragraph" w:styleId="21">
    <w:name w:val="Plain Text"/>
    <w:basedOn w:val="1"/>
    <w:link w:val="63"/>
    <w:qFormat/>
    <w:uiPriority w:val="0"/>
    <w:rPr>
      <w:rFonts w:ascii="宋体" w:hAnsi="Courier New" w:cs="Courier New"/>
      <w:szCs w:val="21"/>
    </w:rPr>
  </w:style>
  <w:style w:type="paragraph" w:styleId="22">
    <w:name w:val="toc 8"/>
    <w:basedOn w:val="1"/>
    <w:next w:val="1"/>
    <w:qFormat/>
    <w:uiPriority w:val="39"/>
    <w:pPr>
      <w:ind w:left="2940" w:leftChars="1400"/>
    </w:pPr>
    <w:rPr>
      <w:szCs w:val="22"/>
    </w:rPr>
  </w:style>
  <w:style w:type="paragraph" w:styleId="23">
    <w:name w:val="Date"/>
    <w:basedOn w:val="1"/>
    <w:next w:val="1"/>
    <w:link w:val="64"/>
    <w:qFormat/>
    <w:uiPriority w:val="0"/>
    <w:pPr>
      <w:ind w:left="100" w:leftChars="2500"/>
    </w:pPr>
  </w:style>
  <w:style w:type="paragraph" w:styleId="24">
    <w:name w:val="Body Text Indent 2"/>
    <w:basedOn w:val="1"/>
    <w:link w:val="65"/>
    <w:qFormat/>
    <w:uiPriority w:val="0"/>
    <w:pPr>
      <w:ind w:firstLine="630"/>
    </w:pPr>
    <w:rPr>
      <w:sz w:val="32"/>
      <w:szCs w:val="20"/>
    </w:rPr>
  </w:style>
  <w:style w:type="paragraph" w:styleId="25">
    <w:name w:val="Balloon Text"/>
    <w:basedOn w:val="1"/>
    <w:link w:val="66"/>
    <w:qFormat/>
    <w:uiPriority w:val="0"/>
    <w:rPr>
      <w:sz w:val="18"/>
      <w:szCs w:val="18"/>
    </w:rPr>
  </w:style>
  <w:style w:type="paragraph" w:styleId="26">
    <w:name w:val="footer"/>
    <w:basedOn w:val="1"/>
    <w:link w:val="50"/>
    <w:unhideWhenUsed/>
    <w:qFormat/>
    <w:uiPriority w:val="0"/>
    <w:pPr>
      <w:tabs>
        <w:tab w:val="center" w:pos="4153"/>
        <w:tab w:val="right" w:pos="8306"/>
      </w:tabs>
      <w:snapToGrid w:val="0"/>
      <w:jc w:val="left"/>
    </w:pPr>
    <w:rPr>
      <w:sz w:val="18"/>
      <w:szCs w:val="18"/>
    </w:rPr>
  </w:style>
  <w:style w:type="paragraph" w:styleId="27">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tabs>
        <w:tab w:val="left" w:pos="1890"/>
        <w:tab w:val="right" w:leader="dot" w:pos="8296"/>
      </w:tabs>
      <w:ind w:left="630" w:leftChars="300"/>
    </w:pPr>
    <w:rPr>
      <w:szCs w:val="22"/>
    </w:rPr>
  </w:style>
  <w:style w:type="paragraph" w:styleId="30">
    <w:name w:val="Subtitle"/>
    <w:basedOn w:val="1"/>
    <w:next w:val="1"/>
    <w:link w:val="92"/>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39"/>
    <w:pPr>
      <w:ind w:left="2100" w:leftChars="1000"/>
    </w:pPr>
    <w:rPr>
      <w:szCs w:val="22"/>
    </w:rPr>
  </w:style>
  <w:style w:type="paragraph" w:styleId="32">
    <w:name w:val="Body Text Indent 3"/>
    <w:basedOn w:val="1"/>
    <w:link w:val="67"/>
    <w:qFormat/>
    <w:uiPriority w:val="0"/>
    <w:pPr>
      <w:adjustRightInd w:val="0"/>
      <w:snapToGrid w:val="0"/>
      <w:spacing w:line="360" w:lineRule="auto"/>
      <w:ind w:firstLine="600" w:firstLineChars="200"/>
    </w:pPr>
    <w:rPr>
      <w:rFonts w:ascii="黑体" w:eastAsia="黑体"/>
      <w:sz w:val="30"/>
      <w:szCs w:val="28"/>
    </w:rPr>
  </w:style>
  <w:style w:type="paragraph" w:styleId="33">
    <w:name w:val="index 9"/>
    <w:basedOn w:val="1"/>
    <w:next w:val="1"/>
    <w:qFormat/>
    <w:uiPriority w:val="0"/>
    <w:pPr>
      <w:ind w:left="1600" w:leftChars="1600"/>
    </w:pPr>
  </w:style>
  <w:style w:type="paragraph" w:styleId="34">
    <w:name w:val="toc 2"/>
    <w:basedOn w:val="1"/>
    <w:next w:val="1"/>
    <w:unhideWhenUsed/>
    <w:qFormat/>
    <w:uiPriority w:val="39"/>
    <w:pPr>
      <w:ind w:left="420" w:leftChars="200"/>
    </w:pPr>
  </w:style>
  <w:style w:type="paragraph" w:styleId="35">
    <w:name w:val="toc 9"/>
    <w:basedOn w:val="1"/>
    <w:next w:val="1"/>
    <w:qFormat/>
    <w:uiPriority w:val="39"/>
    <w:pPr>
      <w:ind w:left="3360" w:leftChars="1600"/>
    </w:pPr>
    <w:rPr>
      <w:szCs w:val="22"/>
    </w:rPr>
  </w:style>
  <w:style w:type="paragraph" w:styleId="3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3"/>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68"/>
    <w:qFormat/>
    <w:uiPriority w:val="0"/>
    <w:rPr>
      <w:b/>
      <w:bCs/>
    </w:rPr>
  </w:style>
  <w:style w:type="paragraph" w:styleId="39">
    <w:name w:val="Body Text First Indent"/>
    <w:basedOn w:val="16"/>
    <w:unhideWhenUsed/>
    <w:qFormat/>
    <w:uiPriority w:val="99"/>
    <w:pPr>
      <w:adjustRightInd w:val="0"/>
      <w:ind w:firstLine="420"/>
      <w:textAlignment w:val="baseline"/>
    </w:pPr>
    <w:rPr>
      <w:rFonts w:ascii="宋体" w:hAnsi="宋体"/>
      <w:sz w:val="21"/>
    </w:rPr>
  </w:style>
  <w:style w:type="table" w:styleId="41">
    <w:name w:val="Table Grid"/>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页眉 Char"/>
    <w:basedOn w:val="42"/>
    <w:link w:val="27"/>
    <w:qFormat/>
    <w:uiPriority w:val="0"/>
    <w:rPr>
      <w:sz w:val="18"/>
      <w:szCs w:val="18"/>
    </w:rPr>
  </w:style>
  <w:style w:type="character" w:customStyle="1" w:styleId="50">
    <w:name w:val="页脚 Char"/>
    <w:basedOn w:val="42"/>
    <w:link w:val="26"/>
    <w:qFormat/>
    <w:uiPriority w:val="0"/>
    <w:rPr>
      <w:sz w:val="18"/>
      <w:szCs w:val="18"/>
    </w:rPr>
  </w:style>
  <w:style w:type="character" w:customStyle="1" w:styleId="51">
    <w:name w:val="标题 1 Char"/>
    <w:basedOn w:val="42"/>
    <w:link w:val="3"/>
    <w:qFormat/>
    <w:uiPriority w:val="0"/>
    <w:rPr>
      <w:rFonts w:ascii="Times New Roman" w:hAnsi="Times New Roman" w:eastAsia="宋体" w:cs="Times New Roman"/>
      <w:b/>
      <w:kern w:val="44"/>
      <w:sz w:val="44"/>
      <w:szCs w:val="20"/>
    </w:rPr>
  </w:style>
  <w:style w:type="character" w:customStyle="1" w:styleId="52">
    <w:name w:val="标题 2 Char"/>
    <w:basedOn w:val="42"/>
    <w:link w:val="4"/>
    <w:qFormat/>
    <w:uiPriority w:val="0"/>
    <w:rPr>
      <w:rFonts w:ascii="Arial" w:hAnsi="Arial" w:eastAsia="黑体" w:cs="Times New Roman"/>
      <w:b/>
      <w:kern w:val="2"/>
      <w:sz w:val="32"/>
    </w:rPr>
  </w:style>
  <w:style w:type="character" w:customStyle="1" w:styleId="53">
    <w:name w:val="标题 3 Char"/>
    <w:basedOn w:val="42"/>
    <w:link w:val="5"/>
    <w:qFormat/>
    <w:uiPriority w:val="0"/>
    <w:rPr>
      <w:rFonts w:ascii="Times New Roman" w:hAnsi="Times New Roman" w:eastAsia="宋体" w:cs="Times New Roman"/>
      <w:b/>
      <w:kern w:val="2"/>
      <w:sz w:val="28"/>
    </w:rPr>
  </w:style>
  <w:style w:type="character" w:customStyle="1" w:styleId="54">
    <w:name w:val="标题 4 Char"/>
    <w:basedOn w:val="42"/>
    <w:link w:val="6"/>
    <w:qFormat/>
    <w:uiPriority w:val="0"/>
    <w:rPr>
      <w:rFonts w:ascii="Arial" w:hAnsi="Arial" w:eastAsia="黑体" w:cs="Times New Roman"/>
      <w:b/>
      <w:bCs/>
      <w:sz w:val="28"/>
      <w:szCs w:val="28"/>
    </w:rPr>
  </w:style>
  <w:style w:type="character" w:customStyle="1" w:styleId="55">
    <w:name w:val="标题 5 Char"/>
    <w:basedOn w:val="42"/>
    <w:link w:val="7"/>
    <w:qFormat/>
    <w:uiPriority w:val="0"/>
    <w:rPr>
      <w:rFonts w:ascii="Times New Roman" w:hAnsi="Times New Roman" w:eastAsia="宋体" w:cs="Times New Roman"/>
      <w:b/>
      <w:sz w:val="28"/>
      <w:szCs w:val="24"/>
    </w:rPr>
  </w:style>
  <w:style w:type="character" w:customStyle="1" w:styleId="56">
    <w:name w:val="标题 6 Char"/>
    <w:basedOn w:val="42"/>
    <w:link w:val="8"/>
    <w:qFormat/>
    <w:uiPriority w:val="0"/>
    <w:rPr>
      <w:rFonts w:ascii="Arial" w:hAnsi="Arial" w:eastAsia="黑体" w:cs="Times New Roman"/>
      <w:b/>
      <w:sz w:val="24"/>
      <w:szCs w:val="24"/>
    </w:rPr>
  </w:style>
  <w:style w:type="character" w:customStyle="1" w:styleId="57">
    <w:name w:val="标题 7 Char"/>
    <w:basedOn w:val="42"/>
    <w:link w:val="9"/>
    <w:qFormat/>
    <w:uiPriority w:val="0"/>
    <w:rPr>
      <w:rFonts w:ascii="Times New Roman" w:hAnsi="Times New Roman" w:eastAsia="宋体" w:cs="Times New Roman"/>
      <w:b/>
      <w:sz w:val="24"/>
      <w:szCs w:val="24"/>
    </w:rPr>
  </w:style>
  <w:style w:type="character" w:customStyle="1" w:styleId="58">
    <w:name w:val="标题 8 Char"/>
    <w:basedOn w:val="42"/>
    <w:link w:val="10"/>
    <w:qFormat/>
    <w:uiPriority w:val="0"/>
    <w:rPr>
      <w:rFonts w:ascii="Arial" w:hAnsi="Arial" w:eastAsia="黑体" w:cs="Times New Roman"/>
      <w:sz w:val="24"/>
      <w:szCs w:val="24"/>
    </w:rPr>
  </w:style>
  <w:style w:type="character" w:customStyle="1" w:styleId="59">
    <w:name w:val="标题 9 Char"/>
    <w:basedOn w:val="42"/>
    <w:link w:val="11"/>
    <w:qFormat/>
    <w:uiPriority w:val="0"/>
    <w:rPr>
      <w:rFonts w:ascii="Arial" w:hAnsi="Arial" w:eastAsia="黑体" w:cs="Times New Roman"/>
      <w:szCs w:val="24"/>
    </w:rPr>
  </w:style>
  <w:style w:type="character" w:customStyle="1" w:styleId="60">
    <w:name w:val="批注文字 Char"/>
    <w:basedOn w:val="42"/>
    <w:link w:val="15"/>
    <w:qFormat/>
    <w:uiPriority w:val="0"/>
    <w:rPr>
      <w:rFonts w:ascii="Times New Roman" w:hAnsi="Times New Roman" w:eastAsia="宋体" w:cs="Times New Roman"/>
      <w:szCs w:val="24"/>
    </w:rPr>
  </w:style>
  <w:style w:type="character" w:customStyle="1" w:styleId="61">
    <w:name w:val="正文文本 Char"/>
    <w:basedOn w:val="42"/>
    <w:link w:val="16"/>
    <w:qFormat/>
    <w:uiPriority w:val="0"/>
    <w:rPr>
      <w:rFonts w:ascii="Copperplate Gothic Bold" w:hAnsi="Copperplate Gothic Bold" w:eastAsia="宋体" w:cs="Times New Roman"/>
      <w:kern w:val="0"/>
      <w:sz w:val="20"/>
      <w:szCs w:val="20"/>
    </w:rPr>
  </w:style>
  <w:style w:type="character" w:customStyle="1" w:styleId="62">
    <w:name w:val="正文文本缩进 Char"/>
    <w:basedOn w:val="42"/>
    <w:link w:val="17"/>
    <w:qFormat/>
    <w:uiPriority w:val="0"/>
    <w:rPr>
      <w:rFonts w:ascii="Times New Roman" w:hAnsi="Times New Roman" w:eastAsia="宋体" w:cs="Times New Roman"/>
      <w:sz w:val="32"/>
      <w:szCs w:val="20"/>
    </w:rPr>
  </w:style>
  <w:style w:type="character" w:customStyle="1" w:styleId="63">
    <w:name w:val="纯文本 Char"/>
    <w:basedOn w:val="42"/>
    <w:link w:val="21"/>
    <w:qFormat/>
    <w:uiPriority w:val="0"/>
    <w:rPr>
      <w:rFonts w:ascii="宋体" w:hAnsi="Courier New" w:eastAsia="宋体" w:cs="Courier New"/>
      <w:szCs w:val="21"/>
    </w:rPr>
  </w:style>
  <w:style w:type="character" w:customStyle="1" w:styleId="64">
    <w:name w:val="日期 Char"/>
    <w:basedOn w:val="42"/>
    <w:link w:val="23"/>
    <w:qFormat/>
    <w:uiPriority w:val="0"/>
    <w:rPr>
      <w:rFonts w:ascii="Times New Roman" w:hAnsi="Times New Roman" w:eastAsia="宋体" w:cs="Times New Roman"/>
      <w:szCs w:val="24"/>
    </w:rPr>
  </w:style>
  <w:style w:type="character" w:customStyle="1" w:styleId="65">
    <w:name w:val="正文文本缩进 2 Char"/>
    <w:basedOn w:val="42"/>
    <w:link w:val="24"/>
    <w:qFormat/>
    <w:uiPriority w:val="0"/>
    <w:rPr>
      <w:rFonts w:ascii="Times New Roman" w:hAnsi="Times New Roman" w:eastAsia="宋体" w:cs="Times New Roman"/>
      <w:sz w:val="32"/>
      <w:szCs w:val="20"/>
    </w:rPr>
  </w:style>
  <w:style w:type="character" w:customStyle="1" w:styleId="66">
    <w:name w:val="批注框文本 Char"/>
    <w:basedOn w:val="42"/>
    <w:link w:val="25"/>
    <w:qFormat/>
    <w:uiPriority w:val="0"/>
    <w:rPr>
      <w:rFonts w:ascii="Times New Roman" w:hAnsi="Times New Roman" w:eastAsia="宋体" w:cs="Times New Roman"/>
      <w:sz w:val="18"/>
      <w:szCs w:val="18"/>
    </w:rPr>
  </w:style>
  <w:style w:type="character" w:customStyle="1" w:styleId="67">
    <w:name w:val="正文文本缩进 3 Char"/>
    <w:basedOn w:val="42"/>
    <w:link w:val="32"/>
    <w:qFormat/>
    <w:uiPriority w:val="0"/>
    <w:rPr>
      <w:rFonts w:ascii="黑体" w:hAnsi="Times New Roman" w:eastAsia="黑体" w:cs="Times New Roman"/>
      <w:sz w:val="30"/>
      <w:szCs w:val="28"/>
    </w:rPr>
  </w:style>
  <w:style w:type="character" w:customStyle="1" w:styleId="68">
    <w:name w:val="批注主题 Char"/>
    <w:basedOn w:val="60"/>
    <w:link w:val="38"/>
    <w:qFormat/>
    <w:uiPriority w:val="0"/>
    <w:rPr>
      <w:rFonts w:ascii="Times New Roman" w:hAnsi="Times New Roman" w:eastAsia="宋体" w:cs="Times New Roman"/>
      <w:b/>
      <w:bCs/>
      <w:szCs w:val="24"/>
    </w:rPr>
  </w:style>
  <w:style w:type="character" w:customStyle="1" w:styleId="69">
    <w:name w:val="正文缩进 Char"/>
    <w:link w:val="2"/>
    <w:qFormat/>
    <w:uiPriority w:val="0"/>
    <w:rPr>
      <w:rFonts w:ascii="Times New Roman" w:hAnsi="Times New Roman" w:eastAsia="宋体" w:cs="Times New Roman"/>
      <w:szCs w:val="20"/>
    </w:rPr>
  </w:style>
  <w:style w:type="character" w:customStyle="1" w:styleId="70">
    <w:name w:val="style61"/>
    <w:qFormat/>
    <w:uiPriority w:val="0"/>
    <w:rPr>
      <w:color w:val="FF0000"/>
    </w:rPr>
  </w:style>
  <w:style w:type="character" w:customStyle="1" w:styleId="71">
    <w:name w:val="普通文字1 Char"/>
    <w:qFormat/>
    <w:uiPriority w:val="0"/>
    <w:rPr>
      <w:rFonts w:ascii="宋体" w:hAnsi="Courier New" w:eastAsia="宋体"/>
      <w:kern w:val="2"/>
      <w:sz w:val="21"/>
      <w:lang w:val="en-US" w:eastAsia="zh-CN" w:bidi="ar-SA"/>
    </w:rPr>
  </w:style>
  <w:style w:type="character" w:customStyle="1" w:styleId="72">
    <w:name w:val="p0 Char"/>
    <w:link w:val="73"/>
    <w:qFormat/>
    <w:uiPriority w:val="0"/>
    <w:rPr>
      <w:rFonts w:eastAsia="宋体"/>
      <w:szCs w:val="21"/>
    </w:rPr>
  </w:style>
  <w:style w:type="paragraph" w:customStyle="1" w:styleId="73">
    <w:name w:val="p0"/>
    <w:basedOn w:val="1"/>
    <w:link w:val="72"/>
    <w:qFormat/>
    <w:uiPriority w:val="0"/>
    <w:pPr>
      <w:widowControl/>
    </w:pPr>
    <w:rPr>
      <w:rFonts w:asciiTheme="minorHAnsi" w:hAnsiTheme="minorHAnsi" w:cstheme="minorBidi"/>
      <w:szCs w:val="21"/>
    </w:rPr>
  </w:style>
  <w:style w:type="character" w:customStyle="1" w:styleId="74">
    <w:name w:val="bds_nopic2"/>
    <w:qFormat/>
    <w:uiPriority w:val="0"/>
    <w:rPr>
      <w:rFonts w:ascii="Times New Roman" w:hAnsi="Times New Roman" w:eastAsia="宋体"/>
    </w:rPr>
  </w:style>
  <w:style w:type="paragraph" w:customStyle="1" w:styleId="75">
    <w:name w:val="Char1"/>
    <w:basedOn w:val="1"/>
    <w:qFormat/>
    <w:uiPriority w:val="0"/>
    <w:rPr>
      <w:szCs w:val="21"/>
    </w:rPr>
  </w:style>
  <w:style w:type="paragraph" w:customStyle="1" w:styleId="76">
    <w:name w:val="Char Char Char Char"/>
    <w:basedOn w:val="1"/>
    <w:qFormat/>
    <w:uiPriority w:val="0"/>
    <w:rPr>
      <w:rFonts w:ascii="Tahoma" w:hAnsi="Tahoma"/>
      <w:sz w:val="24"/>
      <w:szCs w:val="20"/>
    </w:rPr>
  </w:style>
  <w:style w:type="paragraph" w:customStyle="1" w:styleId="77">
    <w:name w:val="默认段落字体 Para Char Char Char Char Char Char Char"/>
    <w:basedOn w:val="1"/>
    <w:qFormat/>
    <w:uiPriority w:val="0"/>
    <w:rPr>
      <w:rFonts w:ascii="Tahoma" w:hAnsi="Tahoma"/>
      <w:sz w:val="24"/>
      <w:szCs w:val="20"/>
    </w:rPr>
  </w:style>
  <w:style w:type="paragraph" w:customStyle="1" w:styleId="78">
    <w:name w:val="表格"/>
    <w:basedOn w:val="1"/>
    <w:qFormat/>
    <w:uiPriority w:val="0"/>
    <w:pPr>
      <w:spacing w:line="400" w:lineRule="exact"/>
    </w:pPr>
    <w:rPr>
      <w:sz w:val="24"/>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正文首行缩进两字符"/>
    <w:basedOn w:val="1"/>
    <w:qFormat/>
    <w:uiPriority w:val="0"/>
    <w:pPr>
      <w:spacing w:line="360" w:lineRule="auto"/>
      <w:ind w:firstLine="200" w:firstLineChars="200"/>
    </w:p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3">
    <w:name w:val="※正文"/>
    <w:basedOn w:val="1"/>
    <w:next w:val="1"/>
    <w:qFormat/>
    <w:uiPriority w:val="0"/>
    <w:pPr>
      <w:widowControl/>
      <w:wordWrap w:val="0"/>
      <w:spacing w:line="400" w:lineRule="exact"/>
    </w:pPr>
    <w:rPr>
      <w:sz w:val="28"/>
      <w:szCs w:val="28"/>
    </w:rPr>
  </w:style>
  <w:style w:type="paragraph" w:customStyle="1" w:styleId="84">
    <w:name w:val="※正文（缩进4）"/>
    <w:basedOn w:val="83"/>
    <w:qFormat/>
    <w:uiPriority w:val="0"/>
    <w:pPr>
      <w:ind w:firstLine="400" w:firstLineChars="4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6">
    <w:name w:val="font41"/>
    <w:basedOn w:val="42"/>
    <w:qFormat/>
    <w:uiPriority w:val="0"/>
    <w:rPr>
      <w:rFonts w:hint="eastAsia" w:ascii="宋体" w:hAnsi="宋体" w:eastAsia="宋体"/>
      <w:color w:val="000000"/>
      <w:sz w:val="21"/>
      <w:szCs w:val="21"/>
      <w:u w:val="none"/>
    </w:rPr>
  </w:style>
  <w:style w:type="character" w:customStyle="1" w:styleId="87">
    <w:name w:val="font11"/>
    <w:basedOn w:val="42"/>
    <w:qFormat/>
    <w:uiPriority w:val="0"/>
    <w:rPr>
      <w:rFonts w:hint="eastAsia" w:ascii="宋体" w:hAnsi="宋体" w:eastAsia="宋体"/>
      <w:color w:val="000000"/>
      <w:sz w:val="21"/>
      <w:szCs w:val="21"/>
      <w:u w:val="none"/>
      <w:vertAlign w:val="superscript"/>
    </w:rPr>
  </w:style>
  <w:style w:type="character" w:customStyle="1" w:styleId="88">
    <w:name w:val="font21"/>
    <w:basedOn w:val="42"/>
    <w:qFormat/>
    <w:uiPriority w:val="0"/>
    <w:rPr>
      <w:rFonts w:hint="eastAsia" w:ascii="宋体" w:hAnsi="宋体" w:eastAsia="宋体"/>
      <w:color w:val="000000"/>
      <w:sz w:val="21"/>
      <w:szCs w:val="21"/>
      <w:u w:val="none"/>
      <w:vertAlign w:val="superscript"/>
    </w:rPr>
  </w:style>
  <w:style w:type="paragraph" w:customStyle="1" w:styleId="89">
    <w:name w:val="标题 11"/>
    <w:basedOn w:val="1"/>
    <w:qFormat/>
    <w:uiPriority w:val="1"/>
    <w:pPr>
      <w:autoSpaceDE w:val="0"/>
      <w:autoSpaceDN w:val="0"/>
      <w:spacing w:before="38"/>
      <w:ind w:left="1482" w:right="1677"/>
      <w:jc w:val="center"/>
      <w:outlineLvl w:val="1"/>
    </w:pPr>
    <w:rPr>
      <w:rFonts w:ascii="宋体" w:hAnsi="宋体" w:cs="宋体"/>
      <w:b/>
      <w:bCs/>
      <w:kern w:val="0"/>
      <w:sz w:val="36"/>
      <w:szCs w:val="36"/>
    </w:rPr>
  </w:style>
  <w:style w:type="paragraph" w:styleId="90">
    <w:name w:val="List Paragraph"/>
    <w:basedOn w:val="1"/>
    <w:qFormat/>
    <w:uiPriority w:val="1"/>
    <w:pPr>
      <w:ind w:firstLine="420" w:firstLineChars="200"/>
    </w:pPr>
    <w:rPr>
      <w:rFonts w:asciiTheme="minorHAnsi" w:hAnsiTheme="minorHAnsi" w:eastAsiaTheme="minorEastAsia" w:cstheme="minorBidi"/>
      <w:szCs w:val="22"/>
    </w:rPr>
  </w:style>
  <w:style w:type="character" w:customStyle="1" w:styleId="91">
    <w:name w:val="文档结构图 Char"/>
    <w:basedOn w:val="42"/>
    <w:link w:val="14"/>
    <w:qFormat/>
    <w:uiPriority w:val="0"/>
    <w:rPr>
      <w:rFonts w:ascii="Times New Roman" w:hAnsi="Times New Roman" w:eastAsia="宋体" w:cs="Times New Roman"/>
      <w:kern w:val="0"/>
      <w:sz w:val="20"/>
      <w:szCs w:val="24"/>
      <w:shd w:val="clear" w:color="auto" w:fill="000080"/>
    </w:rPr>
  </w:style>
  <w:style w:type="character" w:customStyle="1" w:styleId="92">
    <w:name w:val="副标题 Char"/>
    <w:basedOn w:val="42"/>
    <w:link w:val="30"/>
    <w:qFormat/>
    <w:uiPriority w:val="0"/>
    <w:rPr>
      <w:rFonts w:ascii="Cambria" w:hAnsi="Cambria" w:eastAsia="宋体" w:cs="Times New Roman"/>
      <w:b/>
      <w:bCs/>
      <w:kern w:val="28"/>
      <w:sz w:val="32"/>
      <w:szCs w:val="32"/>
    </w:rPr>
  </w:style>
  <w:style w:type="character" w:customStyle="1" w:styleId="93">
    <w:name w:val="标题 Char"/>
    <w:basedOn w:val="42"/>
    <w:link w:val="37"/>
    <w:qFormat/>
    <w:uiPriority w:val="0"/>
    <w:rPr>
      <w:rFonts w:ascii="Cambria" w:hAnsi="Cambria" w:eastAsia="宋体" w:cs="Times New Roman"/>
      <w:b/>
      <w:bCs/>
      <w:sz w:val="32"/>
      <w:szCs w:val="32"/>
    </w:rPr>
  </w:style>
  <w:style w:type="character" w:customStyle="1" w:styleId="94">
    <w:name w:val="文档结构图 Char1"/>
    <w:qFormat/>
    <w:uiPriority w:val="0"/>
    <w:rPr>
      <w:rFonts w:ascii="宋体"/>
      <w:kern w:val="2"/>
      <w:sz w:val="18"/>
      <w:szCs w:val="18"/>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5"/>
    <w:link w:val="95"/>
    <w:qFormat/>
    <w:uiPriority w:val="0"/>
    <w:pPr>
      <w:spacing w:before="260" w:after="260"/>
      <w:jc w:val="both"/>
    </w:pPr>
    <w:rPr>
      <w:rFonts w:ascii="Arial" w:hAnsi="Arial" w:eastAsiaTheme="minorEastAsia" w:cstheme="minorBidi"/>
      <w:bCs/>
      <w:sz w:val="24"/>
      <w:szCs w:val="32"/>
    </w:rPr>
  </w:style>
  <w:style w:type="character" w:customStyle="1" w:styleId="97">
    <w:name w:val="批注文字 Char Char"/>
    <w:qFormat/>
    <w:uiPriority w:val="0"/>
    <w:rPr>
      <w:rFonts w:ascii="宋体" w:hAnsi="Times New Roman" w:eastAsia="宋体" w:cs="Times New Roman"/>
      <w:sz w:val="28"/>
      <w:szCs w:val="20"/>
    </w:rPr>
  </w:style>
  <w:style w:type="character" w:customStyle="1" w:styleId="98">
    <w:name w:val="书籍标题1"/>
    <w:qFormat/>
    <w:uiPriority w:val="0"/>
    <w:rPr>
      <w:b/>
      <w:bCs/>
      <w:smallCaps/>
      <w:spacing w:val="5"/>
    </w:rPr>
  </w:style>
  <w:style w:type="character" w:customStyle="1" w:styleId="99">
    <w:name w:val="不明显参考1"/>
    <w:qFormat/>
    <w:uiPriority w:val="0"/>
    <w:rPr>
      <w:smallCaps/>
      <w:color w:val="C0504D"/>
      <w:u w:val="single"/>
    </w:rPr>
  </w:style>
  <w:style w:type="character" w:customStyle="1" w:styleId="100">
    <w:name w:val="textcontents"/>
    <w:qFormat/>
    <w:uiPriority w:val="0"/>
    <w:rPr>
      <w:rFonts w:cs="Times New Roman"/>
    </w:rPr>
  </w:style>
  <w:style w:type="character" w:customStyle="1" w:styleId="101">
    <w:name w:val="正文文本 Char1"/>
    <w:qFormat/>
    <w:uiPriority w:val="0"/>
    <w:rPr>
      <w:kern w:val="2"/>
      <w:sz w:val="21"/>
      <w:szCs w:val="22"/>
    </w:rPr>
  </w:style>
  <w:style w:type="character" w:customStyle="1" w:styleId="102">
    <w:name w:val="明显引用 Char"/>
    <w:link w:val="103"/>
    <w:qFormat/>
    <w:uiPriority w:val="0"/>
    <w:rPr>
      <w:b/>
      <w:bCs/>
      <w:i/>
      <w:iCs/>
      <w:color w:val="4F81BD"/>
    </w:rPr>
  </w:style>
  <w:style w:type="paragraph" w:styleId="103">
    <w:name w:val="Intense Quote"/>
    <w:basedOn w:val="1"/>
    <w:next w:val="1"/>
    <w:link w:val="10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4">
    <w:name w:val="明显引用 Char1"/>
    <w:basedOn w:val="42"/>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05">
    <w:name w:val="不明显强调1"/>
    <w:qFormat/>
    <w:uiPriority w:val="0"/>
    <w:rPr>
      <w:i/>
      <w:iCs/>
      <w:color w:val="808080"/>
    </w:rPr>
  </w:style>
  <w:style w:type="character" w:customStyle="1" w:styleId="106">
    <w:name w:val="明显参考1"/>
    <w:qFormat/>
    <w:uiPriority w:val="0"/>
    <w:rPr>
      <w:b/>
      <w:bCs/>
      <w:smallCaps/>
      <w:color w:val="C0504D"/>
      <w:spacing w:val="5"/>
      <w:u w:val="single"/>
    </w:rPr>
  </w:style>
  <w:style w:type="character" w:customStyle="1" w:styleId="107">
    <w:name w:val="引用 Char"/>
    <w:link w:val="108"/>
    <w:qFormat/>
    <w:uiPriority w:val="0"/>
    <w:rPr>
      <w:i/>
      <w:iCs/>
      <w:color w:val="000000"/>
    </w:rPr>
  </w:style>
  <w:style w:type="paragraph" w:styleId="108">
    <w:name w:val="Quote"/>
    <w:basedOn w:val="1"/>
    <w:next w:val="1"/>
    <w:link w:val="107"/>
    <w:qFormat/>
    <w:uiPriority w:val="0"/>
    <w:rPr>
      <w:rFonts w:asciiTheme="minorHAnsi" w:hAnsiTheme="minorHAnsi" w:eastAsiaTheme="minorEastAsia" w:cstheme="minorBidi"/>
      <w:i/>
      <w:iCs/>
      <w:color w:val="000000"/>
      <w:szCs w:val="22"/>
    </w:rPr>
  </w:style>
  <w:style w:type="character" w:customStyle="1" w:styleId="109">
    <w:name w:val="引用 Char1"/>
    <w:basedOn w:val="42"/>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4"/>
    <w:next w:val="18"/>
    <w:link w:val="110"/>
    <w:qFormat/>
    <w:uiPriority w:val="0"/>
    <w:pPr>
      <w:spacing w:before="260" w:after="260" w:line="413" w:lineRule="auto"/>
    </w:pPr>
    <w:rPr>
      <w:rFonts w:eastAsiaTheme="minorEastAsia" w:cstheme="minorBidi"/>
      <w:bCs/>
      <w:sz w:val="24"/>
      <w:szCs w:val="32"/>
    </w:rPr>
  </w:style>
  <w:style w:type="character" w:customStyle="1" w:styleId="112">
    <w:name w:val="批注框文本 Char1"/>
    <w:qFormat/>
    <w:uiPriority w:val="0"/>
    <w:rPr>
      <w:kern w:val="2"/>
      <w:sz w:val="18"/>
      <w:szCs w:val="18"/>
    </w:rPr>
  </w:style>
  <w:style w:type="character" w:customStyle="1" w:styleId="113">
    <w:name w:val="日期 Char1"/>
    <w:qFormat/>
    <w:uiPriority w:val="0"/>
    <w:rPr>
      <w:kern w:val="2"/>
      <w:sz w:val="21"/>
      <w:szCs w:val="22"/>
    </w:rPr>
  </w:style>
  <w:style w:type="character" w:customStyle="1" w:styleId="114">
    <w:name w:val="批注主题 Char1"/>
    <w:qFormat/>
    <w:uiPriority w:val="0"/>
    <w:rPr>
      <w:b/>
      <w:bCs/>
      <w:kern w:val="2"/>
      <w:sz w:val="21"/>
      <w:szCs w:val="22"/>
    </w:rPr>
  </w:style>
  <w:style w:type="character" w:customStyle="1" w:styleId="115">
    <w:name w:val="明显强调1"/>
    <w:qFormat/>
    <w:uiPriority w:val="0"/>
    <w:rPr>
      <w:b/>
      <w:bCs/>
      <w:i/>
      <w:iCs/>
      <w:color w:val="4F81BD"/>
    </w:rPr>
  </w:style>
  <w:style w:type="paragraph" w:styleId="11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118">
    <w:name w:val="TOC 标题1"/>
    <w:basedOn w:val="3"/>
    <w:next w:val="1"/>
    <w:qFormat/>
    <w:uiPriority w:val="0"/>
    <w:pPr>
      <w:spacing w:before="340" w:after="330" w:line="576" w:lineRule="auto"/>
      <w:jc w:val="both"/>
      <w:outlineLvl w:val="9"/>
    </w:pPr>
    <w:rPr>
      <w:bCs/>
      <w:szCs w:val="44"/>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kern w:val="0"/>
      <w:sz w:val="28"/>
    </w:rPr>
  </w:style>
  <w:style w:type="paragraph" w:customStyle="1" w:styleId="12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24">
    <w:name w:val="样式1"/>
    <w:basedOn w:val="5"/>
    <w:link w:val="126"/>
    <w:qFormat/>
    <w:uiPriority w:val="0"/>
    <w:pPr>
      <w:keepNext w:val="0"/>
      <w:keepLines w:val="0"/>
      <w:widowControl/>
      <w:spacing w:before="0" w:after="0" w:line="560" w:lineRule="exact"/>
    </w:pPr>
    <w:rPr>
      <w:rFonts w:ascii="方正小标宋_GBK" w:hAnsi="仿宋" w:eastAsia="楷体"/>
      <w:b w:val="0"/>
      <w:kern w:val="0"/>
      <w:szCs w:val="36"/>
    </w:rPr>
  </w:style>
  <w:style w:type="paragraph" w:customStyle="1" w:styleId="125">
    <w:name w:val="样式2"/>
    <w:basedOn w:val="1"/>
    <w:link w:val="127"/>
    <w:qFormat/>
    <w:uiPriority w:val="0"/>
    <w:pPr>
      <w:keepNext/>
      <w:widowControl/>
      <w:spacing w:before="50" w:beforeLines="50" w:after="50" w:afterLines="50" w:line="560" w:lineRule="exact"/>
      <w:ind w:firstLine="643" w:firstLineChars="200"/>
      <w:outlineLvl w:val="1"/>
    </w:pPr>
    <w:rPr>
      <w:rFonts w:ascii="仿宋_GB2312" w:hAnsi="仿宋" w:eastAsia="仿宋_GB2312"/>
      <w:b/>
      <w:bCs/>
      <w:kern w:val="32"/>
      <w:sz w:val="32"/>
      <w:szCs w:val="32"/>
    </w:rPr>
  </w:style>
  <w:style w:type="character" w:customStyle="1" w:styleId="126">
    <w:name w:val="样式1 字符"/>
    <w:basedOn w:val="52"/>
    <w:link w:val="124"/>
    <w:qFormat/>
    <w:uiPriority w:val="0"/>
    <w:rPr>
      <w:rFonts w:ascii="方正小标宋_GBK" w:hAnsi="仿宋" w:eastAsia="楷体" w:cs="Times New Roman"/>
      <w:b w:val="0"/>
      <w:kern w:val="2"/>
      <w:sz w:val="32"/>
      <w:szCs w:val="36"/>
    </w:rPr>
  </w:style>
  <w:style w:type="character" w:customStyle="1" w:styleId="127">
    <w:name w:val="样式2 字符"/>
    <w:basedOn w:val="42"/>
    <w:link w:val="125"/>
    <w:qFormat/>
    <w:uiPriority w:val="0"/>
    <w:rPr>
      <w:rFonts w:ascii="仿宋_GB2312" w:hAnsi="仿宋" w:eastAsia="仿宋_GB2312" w:cs="Times New Roman"/>
      <w:b/>
      <w:bCs/>
      <w:kern w:val="32"/>
      <w:sz w:val="32"/>
      <w:szCs w:val="32"/>
    </w:rPr>
  </w:style>
  <w:style w:type="paragraph" w:customStyle="1" w:styleId="128">
    <w:name w:val="※封面大标题"/>
    <w:basedOn w:val="1"/>
    <w:next w:val="1"/>
    <w:qFormat/>
    <w:uiPriority w:val="0"/>
    <w:pPr>
      <w:widowControl/>
      <w:jc w:val="center"/>
    </w:pPr>
    <w:rPr>
      <w:rFonts w:ascii="华文中宋" w:hAnsi="华文中宋" w:eastAsia="华文中宋"/>
      <w:kern w:val="0"/>
      <w:sz w:val="96"/>
      <w:szCs w:val="96"/>
    </w:rPr>
  </w:style>
  <w:style w:type="character" w:customStyle="1" w:styleId="129">
    <w:name w:val="font91"/>
    <w:qFormat/>
    <w:uiPriority w:val="0"/>
    <w:rPr>
      <w:rFonts w:hint="eastAsia" w:ascii="宋体" w:hAnsi="宋体" w:eastAsia="宋体" w:cs="宋体"/>
      <w:color w:val="000000"/>
      <w:sz w:val="20"/>
      <w:szCs w:val="20"/>
      <w:u w:val="none"/>
      <w:vertAlign w:val="superscript"/>
    </w:rPr>
  </w:style>
  <w:style w:type="paragraph" w:customStyle="1" w:styleId="130">
    <w:name w:val="_Style 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31">
    <w:name w:val="页码1"/>
    <w:qFormat/>
    <w:uiPriority w:val="0"/>
  </w:style>
  <w:style w:type="paragraph" w:customStyle="1" w:styleId="13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549A0-BE63-419D-9B94-4A0636E91A5C}">
  <ds:schemaRefs/>
</ds:datastoreItem>
</file>

<file path=docProps/app.xml><?xml version="1.0" encoding="utf-8"?>
<Properties xmlns="http://schemas.openxmlformats.org/officeDocument/2006/extended-properties" xmlns:vt="http://schemas.openxmlformats.org/officeDocument/2006/docPropsVTypes">
  <Template>Normal</Template>
  <Pages>94</Pages>
  <Words>41876</Words>
  <Characters>44853</Characters>
  <Lines>383</Lines>
  <Paragraphs>108</Paragraphs>
  <TotalTime>134</TotalTime>
  <ScaleCrop>false</ScaleCrop>
  <LinksUpToDate>false</LinksUpToDate>
  <CharactersWithSpaces>46080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2022-08-05T21:31:00Z</dcterms:created>
  <dc:creator>1</dc:creator>
  <cp:lastModifiedBy>PC</cp:lastModifiedBy>
  <cp:lastPrinted>2023-02-07T09:32:51Z</cp:lastPrinted>
  <dcterms:modified xsi:type="dcterms:W3CDTF">2023-02-07T09:33:22Z</dcterms:modified>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DC3B30516BBD4455A188BB68303FA8BE</vt:lpwstr>
  </property>
</Properties>
</file>